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C53304" w14:textId="77777777" w:rsidR="001E2EFC" w:rsidRPr="00765BC3" w:rsidRDefault="00035103" w:rsidP="000F06DB">
      <w:pPr>
        <w:rPr>
          <w:sz w:val="2"/>
          <w:szCs w:val="2"/>
        </w:rPr>
      </w:pPr>
      <w:bookmarkStart w:id="0" w:name="PM"/>
      <w:bookmarkStart w:id="1" w:name="_Hlk93507018"/>
      <w:bookmarkStart w:id="2" w:name="_GoBack"/>
      <w:bookmarkEnd w:id="0"/>
      <w:bookmarkEnd w:id="1"/>
      <w:bookmarkEnd w:id="2"/>
      <w:r>
        <w:rPr>
          <w:noProof/>
          <w:sz w:val="2"/>
          <w:szCs w:val="2"/>
          <w:lang w:eastAsia="en-AU"/>
        </w:rPr>
        <w:drawing>
          <wp:anchor distT="0" distB="0" distL="114300" distR="114300" simplePos="0" relativeHeight="251636736" behindDoc="0" locked="0" layoutInCell="1" allowOverlap="1" wp14:anchorId="1A8F7E1E" wp14:editId="6AA0CFD1">
            <wp:simplePos x="0" y="0"/>
            <wp:positionH relativeFrom="column">
              <wp:posOffset>-720090</wp:posOffset>
            </wp:positionH>
            <wp:positionV relativeFrom="margin">
              <wp:posOffset>-165735</wp:posOffset>
            </wp:positionV>
            <wp:extent cx="7560000" cy="1466274"/>
            <wp:effectExtent l="0" t="0" r="3175" b="635"/>
            <wp:wrapSquare wrapText="bothSides"/>
            <wp:docPr id="1" name="Picture 1" descr="Australian Government Department of Home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 Sheet Joint Template_Portrait.jpg"/>
                    <pic:cNvPicPr/>
                  </pic:nvPicPr>
                  <pic:blipFill>
                    <a:blip r:embed="rId7" cstate="print">
                      <a:extLst>
                        <a:ext uri="{28A0092B-C50C-407E-A947-70E740481C1C}">
                          <a14:useLocalDpi xmlns:a14="http://schemas.microsoft.com/office/drawing/2010/main"/>
                        </a:ext>
                      </a:extLst>
                    </a:blip>
                    <a:stretch>
                      <a:fillRect/>
                    </a:stretch>
                  </pic:blipFill>
                  <pic:spPr>
                    <a:xfrm>
                      <a:off x="0" y="0"/>
                      <a:ext cx="7560000" cy="1466274"/>
                    </a:xfrm>
                    <a:prstGeom prst="rect">
                      <a:avLst/>
                    </a:prstGeom>
                  </pic:spPr>
                </pic:pic>
              </a:graphicData>
            </a:graphic>
          </wp:anchor>
        </w:drawing>
      </w:r>
    </w:p>
    <w:p w14:paraId="14430011" w14:textId="3A458BE1" w:rsidR="001E2EFC" w:rsidRDefault="001E2EFC" w:rsidP="001E2EFC">
      <w:pPr>
        <w:pStyle w:val="Protection"/>
      </w:pPr>
    </w:p>
    <w:p w14:paraId="696636F5" w14:textId="77777777" w:rsidR="00143B7F" w:rsidRPr="0030502B" w:rsidRDefault="00A11971" w:rsidP="00143B7F">
      <w:pPr>
        <w:pStyle w:val="Protection"/>
      </w:pPr>
      <w:sdt>
        <w:sdtPr>
          <w:alias w:val="IMM"/>
          <w:tag w:val="DLM"/>
          <w:id w:val="-1234084015"/>
          <w:placeholder>
            <w:docPart w:val="DCCBCD472ED644EE9AE45F88E31151A7"/>
          </w:placeholder>
          <w:dataBinding w:prefixMappings="xmlns:ns0='http://DIBP/Minute' " w:xpath="/ns0:Minute_Root[1]/ns0:dlm[1]" w:storeItemID="{00000000-0000-0000-0000-000000000000}"/>
          <w:text/>
        </w:sdtPr>
        <w:sdtEndPr/>
        <w:sdtContent>
          <w:r w:rsidR="00C07E6E">
            <w:t xml:space="preserve">  </w:t>
          </w:r>
        </w:sdtContent>
      </w:sdt>
    </w:p>
    <w:p w14:paraId="11574A58" w14:textId="77777777" w:rsidR="00A23301" w:rsidRDefault="0005198D" w:rsidP="008129B5">
      <w:pPr>
        <w:pStyle w:val="Title"/>
      </w:pPr>
      <w:bookmarkStart w:id="3" w:name="_Toc79158130"/>
      <w:r w:rsidRPr="0005198D">
        <w:t>R</w:t>
      </w:r>
      <w:r w:rsidR="00374A1D" w:rsidRPr="0005198D">
        <w:t>egulation impact statement: a</w:t>
      </w:r>
      <w:r w:rsidR="00973C50">
        <w:t xml:space="preserve"> risk management pr</w:t>
      </w:r>
      <w:r w:rsidR="00973C50" w:rsidRPr="008129B5">
        <w:t>ogr</w:t>
      </w:r>
      <w:r w:rsidR="00973C50">
        <w:t>am</w:t>
      </w:r>
      <w:r w:rsidR="00374A1D" w:rsidRPr="0005198D">
        <w:t xml:space="preserve"> framework for critical</w:t>
      </w:r>
      <w:r w:rsidR="003F1C1F" w:rsidRPr="00067EDE">
        <w:t xml:space="preserve"> infrastructure </w:t>
      </w:r>
      <w:r w:rsidR="00374A1D" w:rsidRPr="00067EDE">
        <w:t>assets</w:t>
      </w:r>
      <w:bookmarkEnd w:id="3"/>
    </w:p>
    <w:p w14:paraId="5CCBD6AD" w14:textId="77777777" w:rsidR="00C75D11" w:rsidRDefault="00374A1D" w:rsidP="00B42866">
      <w:pPr>
        <w:pStyle w:val="Subtitle"/>
      </w:pPr>
      <w:r>
        <w:t xml:space="preserve">Department of Home Affairs, </w:t>
      </w:r>
      <w:r w:rsidR="00067EDE">
        <w:t>Cyber and Infrastructure Security Centre</w:t>
      </w:r>
    </w:p>
    <w:p w14:paraId="12F79A58" w14:textId="032A4105" w:rsidR="00596135" w:rsidRPr="00596135" w:rsidRDefault="00592F99" w:rsidP="00596135">
      <w:pPr>
        <w:pStyle w:val="Subtitle"/>
      </w:pPr>
      <w:r>
        <w:t>25</w:t>
      </w:r>
      <w:r w:rsidR="00AF0A9F">
        <w:t xml:space="preserve"> </w:t>
      </w:r>
      <w:r w:rsidR="001221D8">
        <w:t xml:space="preserve">November </w:t>
      </w:r>
      <w:r w:rsidR="00AF0A9F">
        <w:t>2022</w:t>
      </w:r>
    </w:p>
    <w:p w14:paraId="3FE8E03C" w14:textId="77777777" w:rsidR="00B42866" w:rsidRPr="006B0706" w:rsidRDefault="00B42866" w:rsidP="00D26871">
      <w:pPr>
        <w:pStyle w:val="BodyText"/>
      </w:pPr>
      <w:r w:rsidRPr="006B0706">
        <w:br w:type="page"/>
      </w:r>
    </w:p>
    <w:sdt>
      <w:sdtPr>
        <w:rPr>
          <w:rFonts w:asciiTheme="minorHAnsi" w:eastAsiaTheme="minorHAnsi" w:hAnsiTheme="minorHAnsi" w:cs="Times New Roman"/>
          <w:b w:val="0"/>
          <w:bCs w:val="0"/>
          <w:color w:val="auto"/>
          <w:sz w:val="20"/>
          <w:szCs w:val="24"/>
          <w:lang w:eastAsia="en-US"/>
        </w:rPr>
        <w:id w:val="-1573654905"/>
        <w:docPartObj>
          <w:docPartGallery w:val="Table of Contents"/>
          <w:docPartUnique/>
        </w:docPartObj>
      </w:sdtPr>
      <w:sdtEndPr>
        <w:rPr>
          <w:rFonts w:cstheme="majorHAnsi"/>
          <w:sz w:val="22"/>
          <w:szCs w:val="28"/>
        </w:rPr>
      </w:sdtEndPr>
      <w:sdtContent>
        <w:p w14:paraId="63EF3576" w14:textId="77777777" w:rsidR="0075447E" w:rsidRDefault="00B42866" w:rsidP="008129B5">
          <w:pPr>
            <w:pStyle w:val="TOCHeading"/>
          </w:pPr>
          <w:r w:rsidRPr="00186831">
            <w:t xml:space="preserve">Table of </w:t>
          </w:r>
          <w:r w:rsidRPr="008129B5">
            <w:t>Contents</w:t>
          </w:r>
        </w:p>
        <w:p w14:paraId="3AFB7A1A" w14:textId="4D87426D" w:rsidR="009708D4" w:rsidRDefault="008129B5">
          <w:pPr>
            <w:pStyle w:val="TOC1"/>
          </w:pPr>
          <w:r>
            <w:fldChar w:fldCharType="begin"/>
          </w:r>
          <w:r>
            <w:instrText xml:space="preserve"> TOC \h \z \t "Heading 1,1,Heading 2,2,Appendix H1,1,Heading 1 (numbered),1,Heading 2 (numbered),2" </w:instrText>
          </w:r>
          <w:r>
            <w:fldChar w:fldCharType="separate"/>
          </w:r>
          <w:hyperlink w:anchor="_Toc121397380" w:history="1">
            <w:r w:rsidR="009708D4" w:rsidRPr="00CB4274">
              <w:rPr>
                <w:rStyle w:val="Hyperlink"/>
              </w:rPr>
              <w:t>I.</w:t>
            </w:r>
            <w:r w:rsidR="009708D4">
              <w:tab/>
            </w:r>
            <w:r w:rsidR="009708D4" w:rsidRPr="00CB4274">
              <w:rPr>
                <w:rStyle w:val="Hyperlink"/>
              </w:rPr>
              <w:t>Executive summary</w:t>
            </w:r>
            <w:r w:rsidR="009708D4">
              <w:rPr>
                <w:webHidden/>
              </w:rPr>
              <w:tab/>
            </w:r>
            <w:r w:rsidR="009708D4">
              <w:rPr>
                <w:webHidden/>
              </w:rPr>
              <w:fldChar w:fldCharType="begin"/>
            </w:r>
            <w:r w:rsidR="009708D4">
              <w:rPr>
                <w:webHidden/>
              </w:rPr>
              <w:instrText xml:space="preserve"> PAGEREF _Toc121397380 \h </w:instrText>
            </w:r>
            <w:r w:rsidR="009708D4">
              <w:rPr>
                <w:webHidden/>
              </w:rPr>
            </w:r>
            <w:r w:rsidR="009708D4">
              <w:rPr>
                <w:webHidden/>
              </w:rPr>
              <w:fldChar w:fldCharType="separate"/>
            </w:r>
            <w:r w:rsidR="009708D4">
              <w:rPr>
                <w:webHidden/>
              </w:rPr>
              <w:t>5</w:t>
            </w:r>
            <w:r w:rsidR="009708D4">
              <w:rPr>
                <w:webHidden/>
              </w:rPr>
              <w:fldChar w:fldCharType="end"/>
            </w:r>
          </w:hyperlink>
        </w:p>
        <w:p w14:paraId="5C8802AC" w14:textId="2D63DAE2" w:rsidR="009708D4" w:rsidRDefault="00A11971">
          <w:pPr>
            <w:pStyle w:val="TOC1"/>
          </w:pPr>
          <w:hyperlink w:anchor="_Toc121397381" w:history="1">
            <w:r w:rsidR="009708D4" w:rsidRPr="00CB4274">
              <w:rPr>
                <w:rStyle w:val="Hyperlink"/>
              </w:rPr>
              <w:t>II.</w:t>
            </w:r>
            <w:r w:rsidR="009708D4">
              <w:tab/>
            </w:r>
            <w:r w:rsidR="009708D4" w:rsidRPr="00CB4274">
              <w:rPr>
                <w:rStyle w:val="Hyperlink"/>
              </w:rPr>
              <w:t>Introduction</w:t>
            </w:r>
            <w:r w:rsidR="009708D4">
              <w:rPr>
                <w:webHidden/>
              </w:rPr>
              <w:tab/>
            </w:r>
            <w:r w:rsidR="009708D4">
              <w:rPr>
                <w:webHidden/>
              </w:rPr>
              <w:fldChar w:fldCharType="begin"/>
            </w:r>
            <w:r w:rsidR="009708D4">
              <w:rPr>
                <w:webHidden/>
              </w:rPr>
              <w:instrText xml:space="preserve"> PAGEREF _Toc121397381 \h </w:instrText>
            </w:r>
            <w:r w:rsidR="009708D4">
              <w:rPr>
                <w:webHidden/>
              </w:rPr>
            </w:r>
            <w:r w:rsidR="009708D4">
              <w:rPr>
                <w:webHidden/>
              </w:rPr>
              <w:fldChar w:fldCharType="separate"/>
            </w:r>
            <w:r w:rsidR="009708D4">
              <w:rPr>
                <w:webHidden/>
              </w:rPr>
              <w:t>11</w:t>
            </w:r>
            <w:r w:rsidR="009708D4">
              <w:rPr>
                <w:webHidden/>
              </w:rPr>
              <w:fldChar w:fldCharType="end"/>
            </w:r>
          </w:hyperlink>
        </w:p>
        <w:p w14:paraId="68DB6868" w14:textId="0274B514" w:rsidR="009708D4" w:rsidRDefault="00A11971">
          <w:pPr>
            <w:pStyle w:val="TOC2"/>
            <w:rPr>
              <w:rFonts w:eastAsiaTheme="minorEastAsia"/>
              <w:lang w:eastAsia="en-AU"/>
            </w:rPr>
          </w:pPr>
          <w:hyperlink w:anchor="_Toc121397382" w:history="1">
            <w:r w:rsidR="009708D4" w:rsidRPr="00CB4274">
              <w:rPr>
                <w:rStyle w:val="Hyperlink"/>
              </w:rPr>
              <w:t>A.</w:t>
            </w:r>
            <w:r w:rsidR="009708D4">
              <w:rPr>
                <w:rFonts w:eastAsiaTheme="minorEastAsia"/>
                <w:lang w:eastAsia="en-AU"/>
              </w:rPr>
              <w:tab/>
            </w:r>
            <w:r w:rsidR="009708D4" w:rsidRPr="00CB4274">
              <w:rPr>
                <w:rStyle w:val="Hyperlink"/>
              </w:rPr>
              <w:t>Purpose of this document</w:t>
            </w:r>
            <w:r w:rsidR="009708D4">
              <w:rPr>
                <w:webHidden/>
              </w:rPr>
              <w:tab/>
            </w:r>
            <w:r w:rsidR="009708D4">
              <w:rPr>
                <w:webHidden/>
              </w:rPr>
              <w:fldChar w:fldCharType="begin"/>
            </w:r>
            <w:r w:rsidR="009708D4">
              <w:rPr>
                <w:webHidden/>
              </w:rPr>
              <w:instrText xml:space="preserve"> PAGEREF _Toc121397382 \h </w:instrText>
            </w:r>
            <w:r w:rsidR="009708D4">
              <w:rPr>
                <w:webHidden/>
              </w:rPr>
            </w:r>
            <w:r w:rsidR="009708D4">
              <w:rPr>
                <w:webHidden/>
              </w:rPr>
              <w:fldChar w:fldCharType="separate"/>
            </w:r>
            <w:r w:rsidR="009708D4">
              <w:rPr>
                <w:webHidden/>
              </w:rPr>
              <w:t>11</w:t>
            </w:r>
            <w:r w:rsidR="009708D4">
              <w:rPr>
                <w:webHidden/>
              </w:rPr>
              <w:fldChar w:fldCharType="end"/>
            </w:r>
          </w:hyperlink>
        </w:p>
        <w:p w14:paraId="44415B83" w14:textId="768C7C0F" w:rsidR="009708D4" w:rsidRDefault="00A11971">
          <w:pPr>
            <w:pStyle w:val="TOC2"/>
            <w:rPr>
              <w:rFonts w:eastAsiaTheme="minorEastAsia"/>
              <w:lang w:eastAsia="en-AU"/>
            </w:rPr>
          </w:pPr>
          <w:hyperlink w:anchor="_Toc121397383" w:history="1">
            <w:r w:rsidR="009708D4" w:rsidRPr="00CB4274">
              <w:rPr>
                <w:rStyle w:val="Hyperlink"/>
              </w:rPr>
              <w:t>B.</w:t>
            </w:r>
            <w:r w:rsidR="009708D4">
              <w:rPr>
                <w:rFonts w:eastAsiaTheme="minorEastAsia"/>
                <w:lang w:eastAsia="en-AU"/>
              </w:rPr>
              <w:tab/>
            </w:r>
            <w:r w:rsidR="009708D4" w:rsidRPr="00CB4274">
              <w:rPr>
                <w:rStyle w:val="Hyperlink"/>
              </w:rPr>
              <w:t>What is ‘critical infrastructure’?</w:t>
            </w:r>
            <w:r w:rsidR="009708D4">
              <w:rPr>
                <w:webHidden/>
              </w:rPr>
              <w:tab/>
            </w:r>
            <w:r w:rsidR="009708D4">
              <w:rPr>
                <w:webHidden/>
              </w:rPr>
              <w:fldChar w:fldCharType="begin"/>
            </w:r>
            <w:r w:rsidR="009708D4">
              <w:rPr>
                <w:webHidden/>
              </w:rPr>
              <w:instrText xml:space="preserve"> PAGEREF _Toc121397383 \h </w:instrText>
            </w:r>
            <w:r w:rsidR="009708D4">
              <w:rPr>
                <w:webHidden/>
              </w:rPr>
            </w:r>
            <w:r w:rsidR="009708D4">
              <w:rPr>
                <w:webHidden/>
              </w:rPr>
              <w:fldChar w:fldCharType="separate"/>
            </w:r>
            <w:r w:rsidR="009708D4">
              <w:rPr>
                <w:webHidden/>
              </w:rPr>
              <w:t>13</w:t>
            </w:r>
            <w:r w:rsidR="009708D4">
              <w:rPr>
                <w:webHidden/>
              </w:rPr>
              <w:fldChar w:fldCharType="end"/>
            </w:r>
          </w:hyperlink>
        </w:p>
        <w:p w14:paraId="1A60827D" w14:textId="41B3DDB6" w:rsidR="009708D4" w:rsidRDefault="00A11971">
          <w:pPr>
            <w:pStyle w:val="TOC2"/>
            <w:rPr>
              <w:rFonts w:eastAsiaTheme="minorEastAsia"/>
              <w:lang w:eastAsia="en-AU"/>
            </w:rPr>
          </w:pPr>
          <w:hyperlink w:anchor="_Toc121397384" w:history="1">
            <w:r w:rsidR="009708D4" w:rsidRPr="00CB4274">
              <w:rPr>
                <w:rStyle w:val="Hyperlink"/>
              </w:rPr>
              <w:t>C.</w:t>
            </w:r>
            <w:r w:rsidR="009708D4">
              <w:rPr>
                <w:rFonts w:eastAsiaTheme="minorEastAsia"/>
                <w:lang w:eastAsia="en-AU"/>
              </w:rPr>
              <w:tab/>
            </w:r>
            <w:r w:rsidR="009708D4" w:rsidRPr="00CB4274">
              <w:rPr>
                <w:rStyle w:val="Hyperlink"/>
              </w:rPr>
              <w:t>Role of the SLACIP Act</w:t>
            </w:r>
            <w:r w:rsidR="009708D4">
              <w:rPr>
                <w:webHidden/>
              </w:rPr>
              <w:tab/>
            </w:r>
            <w:r w:rsidR="009708D4">
              <w:rPr>
                <w:webHidden/>
              </w:rPr>
              <w:fldChar w:fldCharType="begin"/>
            </w:r>
            <w:r w:rsidR="009708D4">
              <w:rPr>
                <w:webHidden/>
              </w:rPr>
              <w:instrText xml:space="preserve"> PAGEREF _Toc121397384 \h </w:instrText>
            </w:r>
            <w:r w:rsidR="009708D4">
              <w:rPr>
                <w:webHidden/>
              </w:rPr>
            </w:r>
            <w:r w:rsidR="009708D4">
              <w:rPr>
                <w:webHidden/>
              </w:rPr>
              <w:fldChar w:fldCharType="separate"/>
            </w:r>
            <w:r w:rsidR="009708D4">
              <w:rPr>
                <w:webHidden/>
              </w:rPr>
              <w:t>14</w:t>
            </w:r>
            <w:r w:rsidR="009708D4">
              <w:rPr>
                <w:webHidden/>
              </w:rPr>
              <w:fldChar w:fldCharType="end"/>
            </w:r>
          </w:hyperlink>
        </w:p>
        <w:p w14:paraId="037ABD58" w14:textId="0DD0DE41" w:rsidR="009708D4" w:rsidRDefault="00A11971">
          <w:pPr>
            <w:pStyle w:val="TOC2"/>
            <w:rPr>
              <w:rFonts w:eastAsiaTheme="minorEastAsia"/>
              <w:lang w:eastAsia="en-AU"/>
            </w:rPr>
          </w:pPr>
          <w:hyperlink w:anchor="_Toc121397385" w:history="1">
            <w:r w:rsidR="009708D4" w:rsidRPr="00CB4274">
              <w:rPr>
                <w:rStyle w:val="Hyperlink"/>
              </w:rPr>
              <w:t>D.</w:t>
            </w:r>
            <w:r w:rsidR="009708D4">
              <w:rPr>
                <w:rFonts w:eastAsiaTheme="minorEastAsia"/>
                <w:lang w:eastAsia="en-AU"/>
              </w:rPr>
              <w:tab/>
            </w:r>
            <w:r w:rsidR="009708D4" w:rsidRPr="00CB4274">
              <w:rPr>
                <w:rStyle w:val="Hyperlink"/>
              </w:rPr>
              <w:t>Overview of the role of critical infrastructure assets in Australia</w:t>
            </w:r>
            <w:r w:rsidR="009708D4">
              <w:rPr>
                <w:webHidden/>
              </w:rPr>
              <w:tab/>
            </w:r>
            <w:r w:rsidR="009708D4">
              <w:rPr>
                <w:webHidden/>
              </w:rPr>
              <w:fldChar w:fldCharType="begin"/>
            </w:r>
            <w:r w:rsidR="009708D4">
              <w:rPr>
                <w:webHidden/>
              </w:rPr>
              <w:instrText xml:space="preserve"> PAGEREF _Toc121397385 \h </w:instrText>
            </w:r>
            <w:r w:rsidR="009708D4">
              <w:rPr>
                <w:webHidden/>
              </w:rPr>
            </w:r>
            <w:r w:rsidR="009708D4">
              <w:rPr>
                <w:webHidden/>
              </w:rPr>
              <w:fldChar w:fldCharType="separate"/>
            </w:r>
            <w:r w:rsidR="009708D4">
              <w:rPr>
                <w:webHidden/>
              </w:rPr>
              <w:t>15</w:t>
            </w:r>
            <w:r w:rsidR="009708D4">
              <w:rPr>
                <w:webHidden/>
              </w:rPr>
              <w:fldChar w:fldCharType="end"/>
            </w:r>
          </w:hyperlink>
        </w:p>
        <w:p w14:paraId="16BE9AD5" w14:textId="7C7961C5" w:rsidR="009708D4" w:rsidRDefault="00A11971">
          <w:pPr>
            <w:pStyle w:val="TOC1"/>
          </w:pPr>
          <w:hyperlink w:anchor="_Toc121397386" w:history="1">
            <w:r w:rsidR="009708D4" w:rsidRPr="00CB4274">
              <w:rPr>
                <w:rStyle w:val="Hyperlink"/>
              </w:rPr>
              <w:t>1.</w:t>
            </w:r>
            <w:r w:rsidR="009708D4">
              <w:tab/>
            </w:r>
            <w:r w:rsidR="009708D4" w:rsidRPr="00CB4274">
              <w:rPr>
                <w:rStyle w:val="Hyperlink"/>
              </w:rPr>
              <w:t>What is the problem?</w:t>
            </w:r>
            <w:r w:rsidR="009708D4">
              <w:rPr>
                <w:webHidden/>
              </w:rPr>
              <w:tab/>
            </w:r>
            <w:r w:rsidR="009708D4">
              <w:rPr>
                <w:webHidden/>
              </w:rPr>
              <w:fldChar w:fldCharType="begin"/>
            </w:r>
            <w:r w:rsidR="009708D4">
              <w:rPr>
                <w:webHidden/>
              </w:rPr>
              <w:instrText xml:space="preserve"> PAGEREF _Toc121397386 \h </w:instrText>
            </w:r>
            <w:r w:rsidR="009708D4">
              <w:rPr>
                <w:webHidden/>
              </w:rPr>
            </w:r>
            <w:r w:rsidR="009708D4">
              <w:rPr>
                <w:webHidden/>
              </w:rPr>
              <w:fldChar w:fldCharType="separate"/>
            </w:r>
            <w:r w:rsidR="009708D4">
              <w:rPr>
                <w:webHidden/>
              </w:rPr>
              <w:t>18</w:t>
            </w:r>
            <w:r w:rsidR="009708D4">
              <w:rPr>
                <w:webHidden/>
              </w:rPr>
              <w:fldChar w:fldCharType="end"/>
            </w:r>
          </w:hyperlink>
        </w:p>
        <w:p w14:paraId="2946AA42" w14:textId="7189F46E" w:rsidR="009708D4" w:rsidRDefault="00A11971">
          <w:pPr>
            <w:pStyle w:val="TOC2"/>
            <w:rPr>
              <w:rFonts w:eastAsiaTheme="minorEastAsia"/>
              <w:lang w:eastAsia="en-AU"/>
            </w:rPr>
          </w:pPr>
          <w:hyperlink w:anchor="_Toc121397387" w:history="1">
            <w:r w:rsidR="009708D4" w:rsidRPr="00CB4274">
              <w:rPr>
                <w:rStyle w:val="Hyperlink"/>
              </w:rPr>
              <w:t>1.1.</w:t>
            </w:r>
            <w:r w:rsidR="009708D4">
              <w:rPr>
                <w:rFonts w:eastAsiaTheme="minorEastAsia"/>
                <w:lang w:eastAsia="en-AU"/>
              </w:rPr>
              <w:tab/>
            </w:r>
            <w:r w:rsidR="009708D4" w:rsidRPr="00CB4274">
              <w:rPr>
                <w:rStyle w:val="Hyperlink"/>
              </w:rPr>
              <w:t>Increasing threats, connectivity, and complexity of critical infrastructure</w:t>
            </w:r>
            <w:r w:rsidR="009708D4">
              <w:rPr>
                <w:webHidden/>
              </w:rPr>
              <w:tab/>
            </w:r>
            <w:r w:rsidR="009708D4">
              <w:rPr>
                <w:webHidden/>
              </w:rPr>
              <w:fldChar w:fldCharType="begin"/>
            </w:r>
            <w:r w:rsidR="009708D4">
              <w:rPr>
                <w:webHidden/>
              </w:rPr>
              <w:instrText xml:space="preserve"> PAGEREF _Toc121397387 \h </w:instrText>
            </w:r>
            <w:r w:rsidR="009708D4">
              <w:rPr>
                <w:webHidden/>
              </w:rPr>
            </w:r>
            <w:r w:rsidR="009708D4">
              <w:rPr>
                <w:webHidden/>
              </w:rPr>
              <w:fldChar w:fldCharType="separate"/>
            </w:r>
            <w:r w:rsidR="009708D4">
              <w:rPr>
                <w:webHidden/>
              </w:rPr>
              <w:t>20</w:t>
            </w:r>
            <w:r w:rsidR="009708D4">
              <w:rPr>
                <w:webHidden/>
              </w:rPr>
              <w:fldChar w:fldCharType="end"/>
            </w:r>
          </w:hyperlink>
        </w:p>
        <w:p w14:paraId="16FE6764" w14:textId="05A36E46" w:rsidR="009708D4" w:rsidRDefault="00A11971">
          <w:pPr>
            <w:pStyle w:val="TOC2"/>
            <w:rPr>
              <w:rFonts w:eastAsiaTheme="minorEastAsia"/>
              <w:lang w:eastAsia="en-AU"/>
            </w:rPr>
          </w:pPr>
          <w:hyperlink w:anchor="_Toc121397388" w:history="1">
            <w:r w:rsidR="009708D4" w:rsidRPr="00CB4274">
              <w:rPr>
                <w:rStyle w:val="Hyperlink"/>
              </w:rPr>
              <w:t>1.2.</w:t>
            </w:r>
            <w:r w:rsidR="009708D4">
              <w:rPr>
                <w:rFonts w:eastAsiaTheme="minorEastAsia"/>
                <w:lang w:eastAsia="en-AU"/>
              </w:rPr>
              <w:tab/>
            </w:r>
            <w:r w:rsidR="009708D4" w:rsidRPr="00CB4274">
              <w:rPr>
                <w:rStyle w:val="Hyperlink"/>
              </w:rPr>
              <w:t>The problem for critical infrastructure assets</w:t>
            </w:r>
            <w:r w:rsidR="009708D4">
              <w:rPr>
                <w:webHidden/>
              </w:rPr>
              <w:tab/>
            </w:r>
            <w:r w:rsidR="009708D4">
              <w:rPr>
                <w:webHidden/>
              </w:rPr>
              <w:fldChar w:fldCharType="begin"/>
            </w:r>
            <w:r w:rsidR="009708D4">
              <w:rPr>
                <w:webHidden/>
              </w:rPr>
              <w:instrText xml:space="preserve"> PAGEREF _Toc121397388 \h </w:instrText>
            </w:r>
            <w:r w:rsidR="009708D4">
              <w:rPr>
                <w:webHidden/>
              </w:rPr>
            </w:r>
            <w:r w:rsidR="009708D4">
              <w:rPr>
                <w:webHidden/>
              </w:rPr>
              <w:fldChar w:fldCharType="separate"/>
            </w:r>
            <w:r w:rsidR="009708D4">
              <w:rPr>
                <w:webHidden/>
              </w:rPr>
              <w:t>24</w:t>
            </w:r>
            <w:r w:rsidR="009708D4">
              <w:rPr>
                <w:webHidden/>
              </w:rPr>
              <w:fldChar w:fldCharType="end"/>
            </w:r>
          </w:hyperlink>
        </w:p>
        <w:p w14:paraId="38D130C2" w14:textId="7A165D65" w:rsidR="009708D4" w:rsidRDefault="00A11971">
          <w:pPr>
            <w:pStyle w:val="TOC1"/>
          </w:pPr>
          <w:hyperlink w:anchor="_Toc121397389" w:history="1">
            <w:r w:rsidR="009708D4" w:rsidRPr="00CB4274">
              <w:rPr>
                <w:rStyle w:val="Hyperlink"/>
              </w:rPr>
              <w:t>2.</w:t>
            </w:r>
            <w:r w:rsidR="009708D4">
              <w:tab/>
            </w:r>
            <w:r w:rsidR="009708D4" w:rsidRPr="00CB4274">
              <w:rPr>
                <w:rStyle w:val="Hyperlink"/>
              </w:rPr>
              <w:t>Requirement for Government Action</w:t>
            </w:r>
            <w:r w:rsidR="009708D4">
              <w:rPr>
                <w:webHidden/>
              </w:rPr>
              <w:tab/>
            </w:r>
            <w:r w:rsidR="009708D4">
              <w:rPr>
                <w:webHidden/>
              </w:rPr>
              <w:fldChar w:fldCharType="begin"/>
            </w:r>
            <w:r w:rsidR="009708D4">
              <w:rPr>
                <w:webHidden/>
              </w:rPr>
              <w:instrText xml:space="preserve"> PAGEREF _Toc121397389 \h </w:instrText>
            </w:r>
            <w:r w:rsidR="009708D4">
              <w:rPr>
                <w:webHidden/>
              </w:rPr>
            </w:r>
            <w:r w:rsidR="009708D4">
              <w:rPr>
                <w:webHidden/>
              </w:rPr>
              <w:fldChar w:fldCharType="separate"/>
            </w:r>
            <w:r w:rsidR="009708D4">
              <w:rPr>
                <w:webHidden/>
              </w:rPr>
              <w:t>30</w:t>
            </w:r>
            <w:r w:rsidR="009708D4">
              <w:rPr>
                <w:webHidden/>
              </w:rPr>
              <w:fldChar w:fldCharType="end"/>
            </w:r>
          </w:hyperlink>
        </w:p>
        <w:p w14:paraId="4C485C9D" w14:textId="6828459B" w:rsidR="009708D4" w:rsidRDefault="00A11971">
          <w:pPr>
            <w:pStyle w:val="TOC2"/>
            <w:rPr>
              <w:rFonts w:eastAsiaTheme="minorEastAsia"/>
              <w:lang w:eastAsia="en-AU"/>
            </w:rPr>
          </w:pPr>
          <w:hyperlink w:anchor="_Toc121397390" w:history="1">
            <w:r w:rsidR="009708D4" w:rsidRPr="00CB4274">
              <w:rPr>
                <w:rStyle w:val="Hyperlink"/>
              </w:rPr>
              <w:t>2.1.</w:t>
            </w:r>
            <w:r w:rsidR="009708D4">
              <w:rPr>
                <w:rFonts w:eastAsiaTheme="minorEastAsia"/>
                <w:lang w:eastAsia="en-AU"/>
              </w:rPr>
              <w:tab/>
            </w:r>
            <w:r w:rsidR="009708D4" w:rsidRPr="00CB4274">
              <w:rPr>
                <w:rStyle w:val="Hyperlink"/>
              </w:rPr>
              <w:t>Why should Government intervene?</w:t>
            </w:r>
            <w:r w:rsidR="009708D4">
              <w:rPr>
                <w:webHidden/>
              </w:rPr>
              <w:tab/>
            </w:r>
            <w:r w:rsidR="009708D4">
              <w:rPr>
                <w:webHidden/>
              </w:rPr>
              <w:fldChar w:fldCharType="begin"/>
            </w:r>
            <w:r w:rsidR="009708D4">
              <w:rPr>
                <w:webHidden/>
              </w:rPr>
              <w:instrText xml:space="preserve"> PAGEREF _Toc121397390 \h </w:instrText>
            </w:r>
            <w:r w:rsidR="009708D4">
              <w:rPr>
                <w:webHidden/>
              </w:rPr>
            </w:r>
            <w:r w:rsidR="009708D4">
              <w:rPr>
                <w:webHidden/>
              </w:rPr>
              <w:fldChar w:fldCharType="separate"/>
            </w:r>
            <w:r w:rsidR="009708D4">
              <w:rPr>
                <w:webHidden/>
              </w:rPr>
              <w:t>30</w:t>
            </w:r>
            <w:r w:rsidR="009708D4">
              <w:rPr>
                <w:webHidden/>
              </w:rPr>
              <w:fldChar w:fldCharType="end"/>
            </w:r>
          </w:hyperlink>
        </w:p>
        <w:p w14:paraId="0F15E095" w14:textId="2867CE33" w:rsidR="009708D4" w:rsidRDefault="00A11971">
          <w:pPr>
            <w:pStyle w:val="TOC2"/>
            <w:rPr>
              <w:rFonts w:eastAsiaTheme="minorEastAsia"/>
              <w:lang w:eastAsia="en-AU"/>
            </w:rPr>
          </w:pPr>
          <w:hyperlink w:anchor="_Toc121397391" w:history="1">
            <w:r w:rsidR="009708D4" w:rsidRPr="00CB4274">
              <w:rPr>
                <w:rStyle w:val="Hyperlink"/>
              </w:rPr>
              <w:t>2.2.</w:t>
            </w:r>
            <w:r w:rsidR="009708D4">
              <w:rPr>
                <w:rFonts w:eastAsiaTheme="minorEastAsia"/>
                <w:lang w:eastAsia="en-AU"/>
              </w:rPr>
              <w:tab/>
            </w:r>
            <w:r w:rsidR="009708D4" w:rsidRPr="00CB4274">
              <w:rPr>
                <w:rStyle w:val="Hyperlink"/>
              </w:rPr>
              <w:t>Government’s objectives</w:t>
            </w:r>
            <w:r w:rsidR="009708D4">
              <w:rPr>
                <w:webHidden/>
              </w:rPr>
              <w:tab/>
            </w:r>
            <w:r w:rsidR="009708D4">
              <w:rPr>
                <w:webHidden/>
              </w:rPr>
              <w:fldChar w:fldCharType="begin"/>
            </w:r>
            <w:r w:rsidR="009708D4">
              <w:rPr>
                <w:webHidden/>
              </w:rPr>
              <w:instrText xml:space="preserve"> PAGEREF _Toc121397391 \h </w:instrText>
            </w:r>
            <w:r w:rsidR="009708D4">
              <w:rPr>
                <w:webHidden/>
              </w:rPr>
            </w:r>
            <w:r w:rsidR="009708D4">
              <w:rPr>
                <w:webHidden/>
              </w:rPr>
              <w:fldChar w:fldCharType="separate"/>
            </w:r>
            <w:r w:rsidR="009708D4">
              <w:rPr>
                <w:webHidden/>
              </w:rPr>
              <w:t>31</w:t>
            </w:r>
            <w:r w:rsidR="009708D4">
              <w:rPr>
                <w:webHidden/>
              </w:rPr>
              <w:fldChar w:fldCharType="end"/>
            </w:r>
          </w:hyperlink>
        </w:p>
        <w:p w14:paraId="55557D08" w14:textId="14AA18B6" w:rsidR="009708D4" w:rsidRDefault="00A11971">
          <w:pPr>
            <w:pStyle w:val="TOC1"/>
          </w:pPr>
          <w:hyperlink w:anchor="_Toc121397392" w:history="1">
            <w:r w:rsidR="009708D4" w:rsidRPr="00CB4274">
              <w:rPr>
                <w:rStyle w:val="Hyperlink"/>
              </w:rPr>
              <w:t>3.</w:t>
            </w:r>
            <w:r w:rsidR="009708D4">
              <w:tab/>
            </w:r>
            <w:r w:rsidR="009708D4" w:rsidRPr="00CB4274">
              <w:rPr>
                <w:rStyle w:val="Hyperlink"/>
              </w:rPr>
              <w:t>Policy Options</w:t>
            </w:r>
            <w:r w:rsidR="009708D4">
              <w:rPr>
                <w:webHidden/>
              </w:rPr>
              <w:tab/>
            </w:r>
            <w:r w:rsidR="009708D4">
              <w:rPr>
                <w:webHidden/>
              </w:rPr>
              <w:fldChar w:fldCharType="begin"/>
            </w:r>
            <w:r w:rsidR="009708D4">
              <w:rPr>
                <w:webHidden/>
              </w:rPr>
              <w:instrText xml:space="preserve"> PAGEREF _Toc121397392 \h </w:instrText>
            </w:r>
            <w:r w:rsidR="009708D4">
              <w:rPr>
                <w:webHidden/>
              </w:rPr>
            </w:r>
            <w:r w:rsidR="009708D4">
              <w:rPr>
                <w:webHidden/>
              </w:rPr>
              <w:fldChar w:fldCharType="separate"/>
            </w:r>
            <w:r w:rsidR="009708D4">
              <w:rPr>
                <w:webHidden/>
              </w:rPr>
              <w:t>33</w:t>
            </w:r>
            <w:r w:rsidR="009708D4">
              <w:rPr>
                <w:webHidden/>
              </w:rPr>
              <w:fldChar w:fldCharType="end"/>
            </w:r>
          </w:hyperlink>
        </w:p>
        <w:p w14:paraId="4BAA91FE" w14:textId="770E9581" w:rsidR="009708D4" w:rsidRDefault="00A11971">
          <w:pPr>
            <w:pStyle w:val="TOC2"/>
            <w:rPr>
              <w:rFonts w:eastAsiaTheme="minorEastAsia"/>
              <w:lang w:eastAsia="en-AU"/>
            </w:rPr>
          </w:pPr>
          <w:hyperlink w:anchor="_Toc121397393" w:history="1">
            <w:r w:rsidR="009708D4" w:rsidRPr="00CB4274">
              <w:rPr>
                <w:rStyle w:val="Hyperlink"/>
              </w:rPr>
              <w:t>3.1.</w:t>
            </w:r>
            <w:r w:rsidR="009708D4">
              <w:rPr>
                <w:rFonts w:eastAsiaTheme="minorEastAsia"/>
                <w:lang w:eastAsia="en-AU"/>
              </w:rPr>
              <w:tab/>
            </w:r>
            <w:r w:rsidR="009708D4" w:rsidRPr="00CB4274">
              <w:rPr>
                <w:rStyle w:val="Hyperlink"/>
              </w:rPr>
              <w:t>Option 1: Maintain the status quo</w:t>
            </w:r>
            <w:r w:rsidR="009708D4">
              <w:rPr>
                <w:webHidden/>
              </w:rPr>
              <w:tab/>
            </w:r>
            <w:r w:rsidR="009708D4">
              <w:rPr>
                <w:webHidden/>
              </w:rPr>
              <w:fldChar w:fldCharType="begin"/>
            </w:r>
            <w:r w:rsidR="009708D4">
              <w:rPr>
                <w:webHidden/>
              </w:rPr>
              <w:instrText xml:space="preserve"> PAGEREF _Toc121397393 \h </w:instrText>
            </w:r>
            <w:r w:rsidR="009708D4">
              <w:rPr>
                <w:webHidden/>
              </w:rPr>
            </w:r>
            <w:r w:rsidR="009708D4">
              <w:rPr>
                <w:webHidden/>
              </w:rPr>
              <w:fldChar w:fldCharType="separate"/>
            </w:r>
            <w:r w:rsidR="009708D4">
              <w:rPr>
                <w:webHidden/>
              </w:rPr>
              <w:t>33</w:t>
            </w:r>
            <w:r w:rsidR="009708D4">
              <w:rPr>
                <w:webHidden/>
              </w:rPr>
              <w:fldChar w:fldCharType="end"/>
            </w:r>
          </w:hyperlink>
        </w:p>
        <w:p w14:paraId="69AFA14D" w14:textId="6C5E8BC4" w:rsidR="009708D4" w:rsidRDefault="00A11971">
          <w:pPr>
            <w:pStyle w:val="TOC2"/>
            <w:rPr>
              <w:rFonts w:eastAsiaTheme="minorEastAsia"/>
              <w:lang w:eastAsia="en-AU"/>
            </w:rPr>
          </w:pPr>
          <w:hyperlink w:anchor="_Toc121397394" w:history="1">
            <w:r w:rsidR="009708D4" w:rsidRPr="00CB4274">
              <w:rPr>
                <w:rStyle w:val="Hyperlink"/>
              </w:rPr>
              <w:t>3.2.</w:t>
            </w:r>
            <w:r w:rsidR="009708D4">
              <w:rPr>
                <w:rFonts w:eastAsiaTheme="minorEastAsia"/>
                <w:lang w:eastAsia="en-AU"/>
              </w:rPr>
              <w:tab/>
            </w:r>
            <w:r w:rsidR="009708D4" w:rsidRPr="00CB4274">
              <w:rPr>
                <w:rStyle w:val="Hyperlink"/>
              </w:rPr>
              <w:t>Option 2: Mandatory RMP framework</w:t>
            </w:r>
            <w:r w:rsidR="009708D4">
              <w:rPr>
                <w:webHidden/>
              </w:rPr>
              <w:tab/>
            </w:r>
            <w:r w:rsidR="009708D4">
              <w:rPr>
                <w:webHidden/>
              </w:rPr>
              <w:fldChar w:fldCharType="begin"/>
            </w:r>
            <w:r w:rsidR="009708D4">
              <w:rPr>
                <w:webHidden/>
              </w:rPr>
              <w:instrText xml:space="preserve"> PAGEREF _Toc121397394 \h </w:instrText>
            </w:r>
            <w:r w:rsidR="009708D4">
              <w:rPr>
                <w:webHidden/>
              </w:rPr>
            </w:r>
            <w:r w:rsidR="009708D4">
              <w:rPr>
                <w:webHidden/>
              </w:rPr>
              <w:fldChar w:fldCharType="separate"/>
            </w:r>
            <w:r w:rsidR="009708D4">
              <w:rPr>
                <w:webHidden/>
              </w:rPr>
              <w:t>33</w:t>
            </w:r>
            <w:r w:rsidR="009708D4">
              <w:rPr>
                <w:webHidden/>
              </w:rPr>
              <w:fldChar w:fldCharType="end"/>
            </w:r>
          </w:hyperlink>
        </w:p>
        <w:p w14:paraId="11CBF39F" w14:textId="41747691" w:rsidR="009708D4" w:rsidRDefault="00A11971">
          <w:pPr>
            <w:pStyle w:val="TOC2"/>
            <w:rPr>
              <w:rFonts w:eastAsiaTheme="minorEastAsia"/>
              <w:lang w:eastAsia="en-AU"/>
            </w:rPr>
          </w:pPr>
          <w:hyperlink w:anchor="_Toc121397395" w:history="1">
            <w:r w:rsidR="009708D4" w:rsidRPr="00CB4274">
              <w:rPr>
                <w:rStyle w:val="Hyperlink"/>
              </w:rPr>
              <w:t>3.3.</w:t>
            </w:r>
            <w:r w:rsidR="009708D4">
              <w:rPr>
                <w:rFonts w:eastAsiaTheme="minorEastAsia"/>
                <w:lang w:eastAsia="en-AU"/>
              </w:rPr>
              <w:tab/>
            </w:r>
            <w:r w:rsidR="009708D4" w:rsidRPr="00CB4274">
              <w:rPr>
                <w:rStyle w:val="Hyperlink"/>
              </w:rPr>
              <w:t>Option 3: Voluntary RMP and guidance</w:t>
            </w:r>
            <w:r w:rsidR="009708D4">
              <w:rPr>
                <w:webHidden/>
              </w:rPr>
              <w:tab/>
            </w:r>
            <w:r w:rsidR="009708D4">
              <w:rPr>
                <w:webHidden/>
              </w:rPr>
              <w:fldChar w:fldCharType="begin"/>
            </w:r>
            <w:r w:rsidR="009708D4">
              <w:rPr>
                <w:webHidden/>
              </w:rPr>
              <w:instrText xml:space="preserve"> PAGEREF _Toc121397395 \h </w:instrText>
            </w:r>
            <w:r w:rsidR="009708D4">
              <w:rPr>
                <w:webHidden/>
              </w:rPr>
            </w:r>
            <w:r w:rsidR="009708D4">
              <w:rPr>
                <w:webHidden/>
              </w:rPr>
              <w:fldChar w:fldCharType="separate"/>
            </w:r>
            <w:r w:rsidR="009708D4">
              <w:rPr>
                <w:webHidden/>
              </w:rPr>
              <w:t>36</w:t>
            </w:r>
            <w:r w:rsidR="009708D4">
              <w:rPr>
                <w:webHidden/>
              </w:rPr>
              <w:fldChar w:fldCharType="end"/>
            </w:r>
          </w:hyperlink>
        </w:p>
        <w:p w14:paraId="584DDCC6" w14:textId="7F519E2E" w:rsidR="009708D4" w:rsidRDefault="00A11971">
          <w:pPr>
            <w:pStyle w:val="TOC1"/>
          </w:pPr>
          <w:hyperlink w:anchor="_Toc121397396" w:history="1">
            <w:r w:rsidR="009708D4" w:rsidRPr="00CB4274">
              <w:rPr>
                <w:rStyle w:val="Hyperlink"/>
              </w:rPr>
              <w:t>4.</w:t>
            </w:r>
            <w:r w:rsidR="009708D4">
              <w:tab/>
            </w:r>
            <w:r w:rsidR="009708D4" w:rsidRPr="00CB4274">
              <w:rPr>
                <w:rStyle w:val="Hyperlink"/>
              </w:rPr>
              <w:t>Likely net benefit of each option</w:t>
            </w:r>
            <w:r w:rsidR="009708D4">
              <w:rPr>
                <w:webHidden/>
              </w:rPr>
              <w:tab/>
            </w:r>
            <w:r w:rsidR="009708D4">
              <w:rPr>
                <w:webHidden/>
              </w:rPr>
              <w:fldChar w:fldCharType="begin"/>
            </w:r>
            <w:r w:rsidR="009708D4">
              <w:rPr>
                <w:webHidden/>
              </w:rPr>
              <w:instrText xml:space="preserve"> PAGEREF _Toc121397396 \h </w:instrText>
            </w:r>
            <w:r w:rsidR="009708D4">
              <w:rPr>
                <w:webHidden/>
              </w:rPr>
            </w:r>
            <w:r w:rsidR="009708D4">
              <w:rPr>
                <w:webHidden/>
              </w:rPr>
              <w:fldChar w:fldCharType="separate"/>
            </w:r>
            <w:r w:rsidR="009708D4">
              <w:rPr>
                <w:webHidden/>
              </w:rPr>
              <w:t>38</w:t>
            </w:r>
            <w:r w:rsidR="009708D4">
              <w:rPr>
                <w:webHidden/>
              </w:rPr>
              <w:fldChar w:fldCharType="end"/>
            </w:r>
          </w:hyperlink>
        </w:p>
        <w:p w14:paraId="3E1B72BE" w14:textId="187AA811" w:rsidR="009708D4" w:rsidRDefault="00A11971">
          <w:pPr>
            <w:pStyle w:val="TOC2"/>
            <w:rPr>
              <w:rFonts w:eastAsiaTheme="minorEastAsia"/>
              <w:lang w:eastAsia="en-AU"/>
            </w:rPr>
          </w:pPr>
          <w:hyperlink w:anchor="_Toc121397397" w:history="1">
            <w:r w:rsidR="009708D4" w:rsidRPr="00CB4274">
              <w:rPr>
                <w:rStyle w:val="Hyperlink"/>
              </w:rPr>
              <w:t>4.1.</w:t>
            </w:r>
            <w:r w:rsidR="009708D4">
              <w:rPr>
                <w:rFonts w:eastAsiaTheme="minorEastAsia"/>
                <w:lang w:eastAsia="en-AU"/>
              </w:rPr>
              <w:tab/>
            </w:r>
            <w:r w:rsidR="009708D4" w:rsidRPr="00CB4274">
              <w:rPr>
                <w:rStyle w:val="Hyperlink"/>
              </w:rPr>
              <w:t>Net benefit methodology: Option 2</w:t>
            </w:r>
            <w:r w:rsidR="009708D4">
              <w:rPr>
                <w:webHidden/>
              </w:rPr>
              <w:tab/>
            </w:r>
            <w:r w:rsidR="009708D4">
              <w:rPr>
                <w:webHidden/>
              </w:rPr>
              <w:fldChar w:fldCharType="begin"/>
            </w:r>
            <w:r w:rsidR="009708D4">
              <w:rPr>
                <w:webHidden/>
              </w:rPr>
              <w:instrText xml:space="preserve"> PAGEREF _Toc121397397 \h </w:instrText>
            </w:r>
            <w:r w:rsidR="009708D4">
              <w:rPr>
                <w:webHidden/>
              </w:rPr>
            </w:r>
            <w:r w:rsidR="009708D4">
              <w:rPr>
                <w:webHidden/>
              </w:rPr>
              <w:fldChar w:fldCharType="separate"/>
            </w:r>
            <w:r w:rsidR="009708D4">
              <w:rPr>
                <w:webHidden/>
              </w:rPr>
              <w:t>38</w:t>
            </w:r>
            <w:r w:rsidR="009708D4">
              <w:rPr>
                <w:webHidden/>
              </w:rPr>
              <w:fldChar w:fldCharType="end"/>
            </w:r>
          </w:hyperlink>
        </w:p>
        <w:p w14:paraId="3E0DC28F" w14:textId="5735FB4B" w:rsidR="009708D4" w:rsidRDefault="00A11971">
          <w:pPr>
            <w:pStyle w:val="TOC2"/>
            <w:rPr>
              <w:rFonts w:eastAsiaTheme="minorEastAsia"/>
              <w:lang w:eastAsia="en-AU"/>
            </w:rPr>
          </w:pPr>
          <w:hyperlink w:anchor="_Toc121397398" w:history="1">
            <w:r w:rsidR="009708D4" w:rsidRPr="00CB4274">
              <w:rPr>
                <w:rStyle w:val="Hyperlink"/>
              </w:rPr>
              <w:t>4.2.</w:t>
            </w:r>
            <w:r w:rsidR="009708D4">
              <w:rPr>
                <w:rFonts w:eastAsiaTheme="minorEastAsia"/>
                <w:lang w:eastAsia="en-AU"/>
              </w:rPr>
              <w:tab/>
            </w:r>
            <w:r w:rsidR="009708D4" w:rsidRPr="00CB4274">
              <w:rPr>
                <w:rStyle w:val="Hyperlink"/>
              </w:rPr>
              <w:t>Likely net benefit of each option</w:t>
            </w:r>
            <w:r w:rsidR="009708D4">
              <w:rPr>
                <w:webHidden/>
              </w:rPr>
              <w:tab/>
            </w:r>
            <w:r w:rsidR="009708D4">
              <w:rPr>
                <w:webHidden/>
              </w:rPr>
              <w:fldChar w:fldCharType="begin"/>
            </w:r>
            <w:r w:rsidR="009708D4">
              <w:rPr>
                <w:webHidden/>
              </w:rPr>
              <w:instrText xml:space="preserve"> PAGEREF _Toc121397398 \h </w:instrText>
            </w:r>
            <w:r w:rsidR="009708D4">
              <w:rPr>
                <w:webHidden/>
              </w:rPr>
            </w:r>
            <w:r w:rsidR="009708D4">
              <w:rPr>
                <w:webHidden/>
              </w:rPr>
              <w:fldChar w:fldCharType="separate"/>
            </w:r>
            <w:r w:rsidR="009708D4">
              <w:rPr>
                <w:webHidden/>
              </w:rPr>
              <w:t>43</w:t>
            </w:r>
            <w:r w:rsidR="009708D4">
              <w:rPr>
                <w:webHidden/>
              </w:rPr>
              <w:fldChar w:fldCharType="end"/>
            </w:r>
          </w:hyperlink>
        </w:p>
        <w:p w14:paraId="30EDB221" w14:textId="5597CF92" w:rsidR="009708D4" w:rsidRDefault="00A11971">
          <w:pPr>
            <w:pStyle w:val="TOC1"/>
          </w:pPr>
          <w:hyperlink w:anchor="_Toc121397399" w:history="1">
            <w:r w:rsidR="009708D4" w:rsidRPr="00CB4274">
              <w:rPr>
                <w:rStyle w:val="Hyperlink"/>
              </w:rPr>
              <w:t>5.</w:t>
            </w:r>
            <w:r w:rsidR="009708D4">
              <w:tab/>
            </w:r>
            <w:r w:rsidR="009708D4" w:rsidRPr="00CB4274">
              <w:rPr>
                <w:rStyle w:val="Hyperlink"/>
              </w:rPr>
              <w:t>Consultation and feedback</w:t>
            </w:r>
            <w:r w:rsidR="009708D4">
              <w:rPr>
                <w:webHidden/>
              </w:rPr>
              <w:tab/>
            </w:r>
            <w:r w:rsidR="009708D4">
              <w:rPr>
                <w:webHidden/>
              </w:rPr>
              <w:fldChar w:fldCharType="begin"/>
            </w:r>
            <w:r w:rsidR="009708D4">
              <w:rPr>
                <w:webHidden/>
              </w:rPr>
              <w:instrText xml:space="preserve"> PAGEREF _Toc121397399 \h </w:instrText>
            </w:r>
            <w:r w:rsidR="009708D4">
              <w:rPr>
                <w:webHidden/>
              </w:rPr>
            </w:r>
            <w:r w:rsidR="009708D4">
              <w:rPr>
                <w:webHidden/>
              </w:rPr>
              <w:fldChar w:fldCharType="separate"/>
            </w:r>
            <w:r w:rsidR="009708D4">
              <w:rPr>
                <w:webHidden/>
              </w:rPr>
              <w:t>60</w:t>
            </w:r>
            <w:r w:rsidR="009708D4">
              <w:rPr>
                <w:webHidden/>
              </w:rPr>
              <w:fldChar w:fldCharType="end"/>
            </w:r>
          </w:hyperlink>
        </w:p>
        <w:p w14:paraId="29D76F16" w14:textId="58C8DE43" w:rsidR="009708D4" w:rsidRDefault="00A11971">
          <w:pPr>
            <w:pStyle w:val="TOC2"/>
            <w:rPr>
              <w:rFonts w:eastAsiaTheme="minorEastAsia"/>
              <w:lang w:eastAsia="en-AU"/>
            </w:rPr>
          </w:pPr>
          <w:hyperlink w:anchor="_Toc121397400" w:history="1">
            <w:r w:rsidR="009708D4" w:rsidRPr="00CB4274">
              <w:rPr>
                <w:rStyle w:val="Hyperlink"/>
              </w:rPr>
              <w:t>5.1.</w:t>
            </w:r>
            <w:r w:rsidR="009708D4">
              <w:rPr>
                <w:rFonts w:eastAsiaTheme="minorEastAsia"/>
                <w:lang w:eastAsia="en-AU"/>
              </w:rPr>
              <w:tab/>
            </w:r>
            <w:r w:rsidR="009708D4" w:rsidRPr="00CB4274">
              <w:rPr>
                <w:rStyle w:val="Hyperlink"/>
              </w:rPr>
              <w:t>Purpose and objectives of consultation</w:t>
            </w:r>
            <w:r w:rsidR="009708D4">
              <w:rPr>
                <w:webHidden/>
              </w:rPr>
              <w:tab/>
            </w:r>
            <w:r w:rsidR="009708D4">
              <w:rPr>
                <w:webHidden/>
              </w:rPr>
              <w:fldChar w:fldCharType="begin"/>
            </w:r>
            <w:r w:rsidR="009708D4">
              <w:rPr>
                <w:webHidden/>
              </w:rPr>
              <w:instrText xml:space="preserve"> PAGEREF _Toc121397400 \h </w:instrText>
            </w:r>
            <w:r w:rsidR="009708D4">
              <w:rPr>
                <w:webHidden/>
              </w:rPr>
            </w:r>
            <w:r w:rsidR="009708D4">
              <w:rPr>
                <w:webHidden/>
              </w:rPr>
              <w:fldChar w:fldCharType="separate"/>
            </w:r>
            <w:r w:rsidR="009708D4">
              <w:rPr>
                <w:webHidden/>
              </w:rPr>
              <w:t>60</w:t>
            </w:r>
            <w:r w:rsidR="009708D4">
              <w:rPr>
                <w:webHidden/>
              </w:rPr>
              <w:fldChar w:fldCharType="end"/>
            </w:r>
          </w:hyperlink>
        </w:p>
        <w:p w14:paraId="48CD6354" w14:textId="669570C3" w:rsidR="009708D4" w:rsidRDefault="00A11971">
          <w:pPr>
            <w:pStyle w:val="TOC2"/>
            <w:rPr>
              <w:rFonts w:eastAsiaTheme="minorEastAsia"/>
              <w:lang w:eastAsia="en-AU"/>
            </w:rPr>
          </w:pPr>
          <w:hyperlink w:anchor="_Toc121397401" w:history="1">
            <w:r w:rsidR="009708D4" w:rsidRPr="00CB4274">
              <w:rPr>
                <w:rStyle w:val="Hyperlink"/>
              </w:rPr>
              <w:t>5.2.</w:t>
            </w:r>
            <w:r w:rsidR="009708D4">
              <w:rPr>
                <w:rFonts w:eastAsiaTheme="minorEastAsia"/>
                <w:lang w:eastAsia="en-AU"/>
              </w:rPr>
              <w:tab/>
            </w:r>
            <w:r w:rsidR="009708D4" w:rsidRPr="00CB4274">
              <w:rPr>
                <w:rStyle w:val="Hyperlink"/>
              </w:rPr>
              <w:t>Consultation process</w:t>
            </w:r>
            <w:r w:rsidR="009708D4">
              <w:rPr>
                <w:webHidden/>
              </w:rPr>
              <w:tab/>
            </w:r>
            <w:r w:rsidR="009708D4">
              <w:rPr>
                <w:webHidden/>
              </w:rPr>
              <w:fldChar w:fldCharType="begin"/>
            </w:r>
            <w:r w:rsidR="009708D4">
              <w:rPr>
                <w:webHidden/>
              </w:rPr>
              <w:instrText xml:space="preserve"> PAGEREF _Toc121397401 \h </w:instrText>
            </w:r>
            <w:r w:rsidR="009708D4">
              <w:rPr>
                <w:webHidden/>
              </w:rPr>
            </w:r>
            <w:r w:rsidR="009708D4">
              <w:rPr>
                <w:webHidden/>
              </w:rPr>
              <w:fldChar w:fldCharType="separate"/>
            </w:r>
            <w:r w:rsidR="009708D4">
              <w:rPr>
                <w:webHidden/>
              </w:rPr>
              <w:t>62</w:t>
            </w:r>
            <w:r w:rsidR="009708D4">
              <w:rPr>
                <w:webHidden/>
              </w:rPr>
              <w:fldChar w:fldCharType="end"/>
            </w:r>
          </w:hyperlink>
        </w:p>
        <w:p w14:paraId="0A685A2C" w14:textId="2C93F972" w:rsidR="009708D4" w:rsidRDefault="00A11971">
          <w:pPr>
            <w:pStyle w:val="TOC1"/>
          </w:pPr>
          <w:hyperlink w:anchor="_Toc121397402" w:history="1">
            <w:r w:rsidR="009708D4" w:rsidRPr="00CB4274">
              <w:rPr>
                <w:rStyle w:val="Hyperlink"/>
              </w:rPr>
              <w:t>6.</w:t>
            </w:r>
            <w:r w:rsidR="009708D4">
              <w:tab/>
            </w:r>
            <w:r w:rsidR="009708D4" w:rsidRPr="00CB4274">
              <w:rPr>
                <w:rStyle w:val="Hyperlink"/>
              </w:rPr>
              <w:t>Best option from those considered</w:t>
            </w:r>
            <w:r w:rsidR="009708D4">
              <w:rPr>
                <w:webHidden/>
              </w:rPr>
              <w:tab/>
            </w:r>
            <w:r w:rsidR="009708D4">
              <w:rPr>
                <w:webHidden/>
              </w:rPr>
              <w:fldChar w:fldCharType="begin"/>
            </w:r>
            <w:r w:rsidR="009708D4">
              <w:rPr>
                <w:webHidden/>
              </w:rPr>
              <w:instrText xml:space="preserve"> PAGEREF _Toc121397402 \h </w:instrText>
            </w:r>
            <w:r w:rsidR="009708D4">
              <w:rPr>
                <w:webHidden/>
              </w:rPr>
            </w:r>
            <w:r w:rsidR="009708D4">
              <w:rPr>
                <w:webHidden/>
              </w:rPr>
              <w:fldChar w:fldCharType="separate"/>
            </w:r>
            <w:r w:rsidR="009708D4">
              <w:rPr>
                <w:webHidden/>
              </w:rPr>
              <w:t>72</w:t>
            </w:r>
            <w:r w:rsidR="009708D4">
              <w:rPr>
                <w:webHidden/>
              </w:rPr>
              <w:fldChar w:fldCharType="end"/>
            </w:r>
          </w:hyperlink>
        </w:p>
        <w:p w14:paraId="6057F67D" w14:textId="75278220" w:rsidR="009708D4" w:rsidRDefault="00A11971">
          <w:pPr>
            <w:pStyle w:val="TOC1"/>
          </w:pPr>
          <w:hyperlink w:anchor="_Toc121397403" w:history="1">
            <w:r w:rsidR="009708D4" w:rsidRPr="00CB4274">
              <w:rPr>
                <w:rStyle w:val="Hyperlink"/>
              </w:rPr>
              <w:t>7.</w:t>
            </w:r>
            <w:r w:rsidR="009708D4">
              <w:tab/>
            </w:r>
            <w:r w:rsidR="009708D4" w:rsidRPr="00CB4274">
              <w:rPr>
                <w:rStyle w:val="Hyperlink"/>
              </w:rPr>
              <w:t>Implementation and evaluation</w:t>
            </w:r>
            <w:r w:rsidR="009708D4">
              <w:rPr>
                <w:webHidden/>
              </w:rPr>
              <w:tab/>
            </w:r>
            <w:r w:rsidR="009708D4">
              <w:rPr>
                <w:webHidden/>
              </w:rPr>
              <w:fldChar w:fldCharType="begin"/>
            </w:r>
            <w:r w:rsidR="009708D4">
              <w:rPr>
                <w:webHidden/>
              </w:rPr>
              <w:instrText xml:space="preserve"> PAGEREF _Toc121397403 \h </w:instrText>
            </w:r>
            <w:r w:rsidR="009708D4">
              <w:rPr>
                <w:webHidden/>
              </w:rPr>
            </w:r>
            <w:r w:rsidR="009708D4">
              <w:rPr>
                <w:webHidden/>
              </w:rPr>
              <w:fldChar w:fldCharType="separate"/>
            </w:r>
            <w:r w:rsidR="009708D4">
              <w:rPr>
                <w:webHidden/>
              </w:rPr>
              <w:t>79</w:t>
            </w:r>
            <w:r w:rsidR="009708D4">
              <w:rPr>
                <w:webHidden/>
              </w:rPr>
              <w:fldChar w:fldCharType="end"/>
            </w:r>
          </w:hyperlink>
        </w:p>
        <w:p w14:paraId="29981591" w14:textId="3D6D435D" w:rsidR="009708D4" w:rsidRDefault="00A11971">
          <w:pPr>
            <w:pStyle w:val="TOC2"/>
            <w:rPr>
              <w:rFonts w:eastAsiaTheme="minorEastAsia"/>
              <w:lang w:eastAsia="en-AU"/>
            </w:rPr>
          </w:pPr>
          <w:hyperlink w:anchor="_Toc121397404" w:history="1">
            <w:r w:rsidR="009708D4" w:rsidRPr="00CB4274">
              <w:rPr>
                <w:rStyle w:val="Hyperlink"/>
              </w:rPr>
              <w:t>7.1.</w:t>
            </w:r>
            <w:r w:rsidR="009708D4">
              <w:rPr>
                <w:rFonts w:eastAsiaTheme="minorEastAsia"/>
                <w:lang w:eastAsia="en-AU"/>
              </w:rPr>
              <w:tab/>
            </w:r>
            <w:r w:rsidR="009708D4" w:rsidRPr="00CB4274">
              <w:rPr>
                <w:rStyle w:val="Hyperlink"/>
              </w:rPr>
              <w:t>Implementation overview</w:t>
            </w:r>
            <w:r w:rsidR="009708D4">
              <w:rPr>
                <w:webHidden/>
              </w:rPr>
              <w:tab/>
            </w:r>
            <w:r w:rsidR="009708D4">
              <w:rPr>
                <w:webHidden/>
              </w:rPr>
              <w:fldChar w:fldCharType="begin"/>
            </w:r>
            <w:r w:rsidR="009708D4">
              <w:rPr>
                <w:webHidden/>
              </w:rPr>
              <w:instrText xml:space="preserve"> PAGEREF _Toc121397404 \h </w:instrText>
            </w:r>
            <w:r w:rsidR="009708D4">
              <w:rPr>
                <w:webHidden/>
              </w:rPr>
            </w:r>
            <w:r w:rsidR="009708D4">
              <w:rPr>
                <w:webHidden/>
              </w:rPr>
              <w:fldChar w:fldCharType="separate"/>
            </w:r>
            <w:r w:rsidR="009708D4">
              <w:rPr>
                <w:webHidden/>
              </w:rPr>
              <w:t>79</w:t>
            </w:r>
            <w:r w:rsidR="009708D4">
              <w:rPr>
                <w:webHidden/>
              </w:rPr>
              <w:fldChar w:fldCharType="end"/>
            </w:r>
          </w:hyperlink>
        </w:p>
        <w:p w14:paraId="4A8034B1" w14:textId="03B83925" w:rsidR="009708D4" w:rsidRDefault="00A11971">
          <w:pPr>
            <w:pStyle w:val="TOC2"/>
            <w:rPr>
              <w:rFonts w:eastAsiaTheme="minorEastAsia"/>
              <w:lang w:eastAsia="en-AU"/>
            </w:rPr>
          </w:pPr>
          <w:hyperlink w:anchor="_Toc121397405" w:history="1">
            <w:r w:rsidR="009708D4" w:rsidRPr="00CB4274">
              <w:rPr>
                <w:rStyle w:val="Hyperlink"/>
              </w:rPr>
              <w:t>7.2.</w:t>
            </w:r>
            <w:r w:rsidR="009708D4">
              <w:rPr>
                <w:rFonts w:eastAsiaTheme="minorEastAsia"/>
                <w:lang w:eastAsia="en-AU"/>
              </w:rPr>
              <w:tab/>
            </w:r>
            <w:r w:rsidR="009708D4" w:rsidRPr="00CB4274">
              <w:rPr>
                <w:rStyle w:val="Hyperlink"/>
              </w:rPr>
              <w:t>Challenges and risks to implementation</w:t>
            </w:r>
            <w:r w:rsidR="009708D4">
              <w:rPr>
                <w:webHidden/>
              </w:rPr>
              <w:tab/>
            </w:r>
            <w:r w:rsidR="009708D4">
              <w:rPr>
                <w:webHidden/>
              </w:rPr>
              <w:fldChar w:fldCharType="begin"/>
            </w:r>
            <w:r w:rsidR="009708D4">
              <w:rPr>
                <w:webHidden/>
              </w:rPr>
              <w:instrText xml:space="preserve"> PAGEREF _Toc121397405 \h </w:instrText>
            </w:r>
            <w:r w:rsidR="009708D4">
              <w:rPr>
                <w:webHidden/>
              </w:rPr>
            </w:r>
            <w:r w:rsidR="009708D4">
              <w:rPr>
                <w:webHidden/>
              </w:rPr>
              <w:fldChar w:fldCharType="separate"/>
            </w:r>
            <w:r w:rsidR="009708D4">
              <w:rPr>
                <w:webHidden/>
              </w:rPr>
              <w:t>84</w:t>
            </w:r>
            <w:r w:rsidR="009708D4">
              <w:rPr>
                <w:webHidden/>
              </w:rPr>
              <w:fldChar w:fldCharType="end"/>
            </w:r>
          </w:hyperlink>
        </w:p>
        <w:p w14:paraId="33723C0C" w14:textId="28FCFF0C" w:rsidR="009708D4" w:rsidRDefault="00A11971">
          <w:pPr>
            <w:pStyle w:val="TOC2"/>
            <w:rPr>
              <w:rFonts w:eastAsiaTheme="minorEastAsia"/>
              <w:lang w:eastAsia="en-AU"/>
            </w:rPr>
          </w:pPr>
          <w:hyperlink w:anchor="_Toc121397406" w:history="1">
            <w:r w:rsidR="009708D4" w:rsidRPr="00CB4274">
              <w:rPr>
                <w:rStyle w:val="Hyperlink"/>
              </w:rPr>
              <w:t>7.3.</w:t>
            </w:r>
            <w:r w:rsidR="009708D4">
              <w:rPr>
                <w:rFonts w:eastAsiaTheme="minorEastAsia"/>
                <w:lang w:eastAsia="en-AU"/>
              </w:rPr>
              <w:tab/>
            </w:r>
            <w:r w:rsidR="009708D4" w:rsidRPr="00CB4274">
              <w:rPr>
                <w:rStyle w:val="Hyperlink"/>
              </w:rPr>
              <w:t>Monitoring and evaluation plan</w:t>
            </w:r>
            <w:r w:rsidR="009708D4">
              <w:rPr>
                <w:webHidden/>
              </w:rPr>
              <w:tab/>
            </w:r>
            <w:r w:rsidR="009708D4">
              <w:rPr>
                <w:webHidden/>
              </w:rPr>
              <w:fldChar w:fldCharType="begin"/>
            </w:r>
            <w:r w:rsidR="009708D4">
              <w:rPr>
                <w:webHidden/>
              </w:rPr>
              <w:instrText xml:space="preserve"> PAGEREF _Toc121397406 \h </w:instrText>
            </w:r>
            <w:r w:rsidR="009708D4">
              <w:rPr>
                <w:webHidden/>
              </w:rPr>
            </w:r>
            <w:r w:rsidR="009708D4">
              <w:rPr>
                <w:webHidden/>
              </w:rPr>
              <w:fldChar w:fldCharType="separate"/>
            </w:r>
            <w:r w:rsidR="009708D4">
              <w:rPr>
                <w:webHidden/>
              </w:rPr>
              <w:t>87</w:t>
            </w:r>
            <w:r w:rsidR="009708D4">
              <w:rPr>
                <w:webHidden/>
              </w:rPr>
              <w:fldChar w:fldCharType="end"/>
            </w:r>
          </w:hyperlink>
        </w:p>
        <w:p w14:paraId="407678B8" w14:textId="55949A53" w:rsidR="009708D4" w:rsidRDefault="00A11971">
          <w:pPr>
            <w:pStyle w:val="TOC1"/>
          </w:pPr>
          <w:hyperlink w:anchor="_Toc121397407" w:history="1">
            <w:r w:rsidR="009708D4" w:rsidRPr="00CB4274">
              <w:rPr>
                <w:rStyle w:val="Hyperlink"/>
              </w:rPr>
              <w:t>Appendix A:</w:t>
            </w:r>
            <w:r w:rsidR="009708D4">
              <w:tab/>
            </w:r>
            <w:r w:rsidR="009708D4" w:rsidRPr="00CB4274">
              <w:rPr>
                <w:rStyle w:val="Hyperlink"/>
              </w:rPr>
              <w:t>List of References</w:t>
            </w:r>
            <w:r w:rsidR="009708D4">
              <w:rPr>
                <w:webHidden/>
              </w:rPr>
              <w:tab/>
            </w:r>
            <w:r w:rsidR="009708D4">
              <w:rPr>
                <w:webHidden/>
              </w:rPr>
              <w:fldChar w:fldCharType="begin"/>
            </w:r>
            <w:r w:rsidR="009708D4">
              <w:rPr>
                <w:webHidden/>
              </w:rPr>
              <w:instrText xml:space="preserve"> PAGEREF _Toc121397407 \h </w:instrText>
            </w:r>
            <w:r w:rsidR="009708D4">
              <w:rPr>
                <w:webHidden/>
              </w:rPr>
            </w:r>
            <w:r w:rsidR="009708D4">
              <w:rPr>
                <w:webHidden/>
              </w:rPr>
              <w:fldChar w:fldCharType="separate"/>
            </w:r>
            <w:r w:rsidR="009708D4">
              <w:rPr>
                <w:webHidden/>
              </w:rPr>
              <w:t>90</w:t>
            </w:r>
            <w:r w:rsidR="009708D4">
              <w:rPr>
                <w:webHidden/>
              </w:rPr>
              <w:fldChar w:fldCharType="end"/>
            </w:r>
          </w:hyperlink>
        </w:p>
        <w:p w14:paraId="1C01F4F3" w14:textId="70E6390B" w:rsidR="009708D4" w:rsidRDefault="00A11971">
          <w:pPr>
            <w:pStyle w:val="TOC1"/>
          </w:pPr>
          <w:hyperlink w:anchor="_Toc121397408" w:history="1">
            <w:r w:rsidR="009708D4" w:rsidRPr="00CB4274">
              <w:rPr>
                <w:rStyle w:val="Hyperlink"/>
              </w:rPr>
              <w:t>Appendix B:</w:t>
            </w:r>
            <w:r w:rsidR="009708D4">
              <w:tab/>
            </w:r>
            <w:r w:rsidR="009708D4" w:rsidRPr="00CB4274">
              <w:rPr>
                <w:rStyle w:val="Hyperlink"/>
              </w:rPr>
              <w:t>List of Acronyms</w:t>
            </w:r>
            <w:r w:rsidR="009708D4">
              <w:rPr>
                <w:webHidden/>
              </w:rPr>
              <w:tab/>
            </w:r>
            <w:r w:rsidR="009708D4">
              <w:rPr>
                <w:webHidden/>
              </w:rPr>
              <w:fldChar w:fldCharType="begin"/>
            </w:r>
            <w:r w:rsidR="009708D4">
              <w:rPr>
                <w:webHidden/>
              </w:rPr>
              <w:instrText xml:space="preserve"> PAGEREF _Toc121397408 \h </w:instrText>
            </w:r>
            <w:r w:rsidR="009708D4">
              <w:rPr>
                <w:webHidden/>
              </w:rPr>
            </w:r>
            <w:r w:rsidR="009708D4">
              <w:rPr>
                <w:webHidden/>
              </w:rPr>
              <w:fldChar w:fldCharType="separate"/>
            </w:r>
            <w:r w:rsidR="009708D4">
              <w:rPr>
                <w:webHidden/>
              </w:rPr>
              <w:t>101</w:t>
            </w:r>
            <w:r w:rsidR="009708D4">
              <w:rPr>
                <w:webHidden/>
              </w:rPr>
              <w:fldChar w:fldCharType="end"/>
            </w:r>
          </w:hyperlink>
        </w:p>
        <w:p w14:paraId="121EDA68" w14:textId="7E7BB3E4" w:rsidR="009708D4" w:rsidRDefault="00A11971">
          <w:pPr>
            <w:pStyle w:val="TOC1"/>
          </w:pPr>
          <w:hyperlink w:anchor="_Toc121397409" w:history="1">
            <w:r w:rsidR="009708D4" w:rsidRPr="00CB4274">
              <w:rPr>
                <w:rStyle w:val="Hyperlink"/>
              </w:rPr>
              <w:t>Appendix C:</w:t>
            </w:r>
            <w:r w:rsidR="009708D4">
              <w:tab/>
            </w:r>
            <w:r w:rsidR="009708D4" w:rsidRPr="00CB4274">
              <w:rPr>
                <w:rStyle w:val="Hyperlink"/>
              </w:rPr>
              <w:t>List of Tables and Figures</w:t>
            </w:r>
            <w:r w:rsidR="009708D4">
              <w:rPr>
                <w:webHidden/>
              </w:rPr>
              <w:tab/>
            </w:r>
            <w:r w:rsidR="009708D4">
              <w:rPr>
                <w:webHidden/>
              </w:rPr>
              <w:fldChar w:fldCharType="begin"/>
            </w:r>
            <w:r w:rsidR="009708D4">
              <w:rPr>
                <w:webHidden/>
              </w:rPr>
              <w:instrText xml:space="preserve"> PAGEREF _Toc121397409 \h </w:instrText>
            </w:r>
            <w:r w:rsidR="009708D4">
              <w:rPr>
                <w:webHidden/>
              </w:rPr>
            </w:r>
            <w:r w:rsidR="009708D4">
              <w:rPr>
                <w:webHidden/>
              </w:rPr>
              <w:fldChar w:fldCharType="separate"/>
            </w:r>
            <w:r w:rsidR="009708D4">
              <w:rPr>
                <w:webHidden/>
              </w:rPr>
              <w:t>102</w:t>
            </w:r>
            <w:r w:rsidR="009708D4">
              <w:rPr>
                <w:webHidden/>
              </w:rPr>
              <w:fldChar w:fldCharType="end"/>
            </w:r>
          </w:hyperlink>
        </w:p>
        <w:p w14:paraId="44AD903D" w14:textId="6BA84212" w:rsidR="009708D4" w:rsidRDefault="00A11971">
          <w:pPr>
            <w:pStyle w:val="TOC1"/>
          </w:pPr>
          <w:hyperlink w:anchor="_Toc121397410" w:history="1">
            <w:r w:rsidR="009708D4" w:rsidRPr="00CB4274">
              <w:rPr>
                <w:rStyle w:val="Hyperlink"/>
              </w:rPr>
              <w:t>Appendix D:</w:t>
            </w:r>
            <w:r w:rsidR="009708D4">
              <w:tab/>
            </w:r>
            <w:r w:rsidR="009708D4" w:rsidRPr="00CB4274">
              <w:rPr>
                <w:rStyle w:val="Hyperlink"/>
              </w:rPr>
              <w:t>Draft General Rules</w:t>
            </w:r>
            <w:r w:rsidR="009708D4">
              <w:rPr>
                <w:webHidden/>
              </w:rPr>
              <w:tab/>
            </w:r>
            <w:r w:rsidR="009708D4">
              <w:rPr>
                <w:webHidden/>
              </w:rPr>
              <w:fldChar w:fldCharType="begin"/>
            </w:r>
            <w:r w:rsidR="009708D4">
              <w:rPr>
                <w:webHidden/>
              </w:rPr>
              <w:instrText xml:space="preserve"> PAGEREF _Toc121397410 \h </w:instrText>
            </w:r>
            <w:r w:rsidR="009708D4">
              <w:rPr>
                <w:webHidden/>
              </w:rPr>
            </w:r>
            <w:r w:rsidR="009708D4">
              <w:rPr>
                <w:webHidden/>
              </w:rPr>
              <w:fldChar w:fldCharType="separate"/>
            </w:r>
            <w:r w:rsidR="009708D4">
              <w:rPr>
                <w:webHidden/>
              </w:rPr>
              <w:t>104</w:t>
            </w:r>
            <w:r w:rsidR="009708D4">
              <w:rPr>
                <w:webHidden/>
              </w:rPr>
              <w:fldChar w:fldCharType="end"/>
            </w:r>
          </w:hyperlink>
        </w:p>
        <w:p w14:paraId="51834070" w14:textId="67452D84" w:rsidR="009708D4" w:rsidRDefault="00A11971">
          <w:pPr>
            <w:pStyle w:val="TOC1"/>
          </w:pPr>
          <w:hyperlink w:anchor="_Toc121397411" w:history="1">
            <w:r w:rsidR="009708D4" w:rsidRPr="00CB4274">
              <w:rPr>
                <w:rStyle w:val="Hyperlink"/>
              </w:rPr>
              <w:t>Appendix E:</w:t>
            </w:r>
            <w:r w:rsidR="009708D4">
              <w:tab/>
            </w:r>
            <w:r w:rsidR="009708D4" w:rsidRPr="00CB4274">
              <w:rPr>
                <w:rStyle w:val="Hyperlink"/>
              </w:rPr>
              <w:t>Draft RMP Rules</w:t>
            </w:r>
            <w:r w:rsidR="009708D4">
              <w:rPr>
                <w:webHidden/>
              </w:rPr>
              <w:tab/>
            </w:r>
            <w:r w:rsidR="009708D4">
              <w:rPr>
                <w:webHidden/>
              </w:rPr>
              <w:fldChar w:fldCharType="begin"/>
            </w:r>
            <w:r w:rsidR="009708D4">
              <w:rPr>
                <w:webHidden/>
              </w:rPr>
              <w:instrText xml:space="preserve"> PAGEREF _Toc121397411 \h </w:instrText>
            </w:r>
            <w:r w:rsidR="009708D4">
              <w:rPr>
                <w:webHidden/>
              </w:rPr>
            </w:r>
            <w:r w:rsidR="009708D4">
              <w:rPr>
                <w:webHidden/>
              </w:rPr>
              <w:fldChar w:fldCharType="separate"/>
            </w:r>
            <w:r w:rsidR="009708D4">
              <w:rPr>
                <w:webHidden/>
              </w:rPr>
              <w:t>105</w:t>
            </w:r>
            <w:r w:rsidR="009708D4">
              <w:rPr>
                <w:webHidden/>
              </w:rPr>
              <w:fldChar w:fldCharType="end"/>
            </w:r>
          </w:hyperlink>
        </w:p>
        <w:p w14:paraId="334BDF15" w14:textId="6022A73C" w:rsidR="009708D4" w:rsidRDefault="00A11971">
          <w:pPr>
            <w:pStyle w:val="TOC1"/>
          </w:pPr>
          <w:hyperlink w:anchor="_Toc121397412" w:history="1">
            <w:r w:rsidR="009708D4" w:rsidRPr="00CB4274">
              <w:rPr>
                <w:rStyle w:val="Hyperlink"/>
              </w:rPr>
              <w:t>Appendix F:</w:t>
            </w:r>
            <w:r w:rsidR="009708D4">
              <w:tab/>
            </w:r>
            <w:r w:rsidR="009708D4" w:rsidRPr="00CB4274">
              <w:rPr>
                <w:rStyle w:val="Hyperlink"/>
              </w:rPr>
              <w:t>List of consultation questions</w:t>
            </w:r>
            <w:r w:rsidR="009708D4">
              <w:rPr>
                <w:webHidden/>
              </w:rPr>
              <w:tab/>
            </w:r>
            <w:r w:rsidR="009708D4">
              <w:rPr>
                <w:webHidden/>
              </w:rPr>
              <w:fldChar w:fldCharType="begin"/>
            </w:r>
            <w:r w:rsidR="009708D4">
              <w:rPr>
                <w:webHidden/>
              </w:rPr>
              <w:instrText xml:space="preserve"> PAGEREF _Toc121397412 \h </w:instrText>
            </w:r>
            <w:r w:rsidR="009708D4">
              <w:rPr>
                <w:webHidden/>
              </w:rPr>
            </w:r>
            <w:r w:rsidR="009708D4">
              <w:rPr>
                <w:webHidden/>
              </w:rPr>
              <w:fldChar w:fldCharType="separate"/>
            </w:r>
            <w:r w:rsidR="009708D4">
              <w:rPr>
                <w:webHidden/>
              </w:rPr>
              <w:t>109</w:t>
            </w:r>
            <w:r w:rsidR="009708D4">
              <w:rPr>
                <w:webHidden/>
              </w:rPr>
              <w:fldChar w:fldCharType="end"/>
            </w:r>
          </w:hyperlink>
        </w:p>
        <w:p w14:paraId="00B9ECAB" w14:textId="04A6E104" w:rsidR="009708D4" w:rsidRDefault="00A11971">
          <w:pPr>
            <w:pStyle w:val="TOC1"/>
          </w:pPr>
          <w:hyperlink w:anchor="_Toc121397413" w:history="1">
            <w:r w:rsidR="009708D4" w:rsidRPr="00CB4274">
              <w:rPr>
                <w:rStyle w:val="Hyperlink"/>
              </w:rPr>
              <w:t>Appendix G:</w:t>
            </w:r>
            <w:r w:rsidR="009708D4">
              <w:tab/>
            </w:r>
            <w:r w:rsidR="009708D4" w:rsidRPr="00CB4274">
              <w:rPr>
                <w:rStyle w:val="Hyperlink"/>
              </w:rPr>
              <w:t>Supplementary information for critical electricity assets</w:t>
            </w:r>
            <w:r w:rsidR="009708D4">
              <w:rPr>
                <w:webHidden/>
              </w:rPr>
              <w:tab/>
            </w:r>
            <w:r w:rsidR="009708D4">
              <w:rPr>
                <w:webHidden/>
              </w:rPr>
              <w:fldChar w:fldCharType="begin"/>
            </w:r>
            <w:r w:rsidR="009708D4">
              <w:rPr>
                <w:webHidden/>
              </w:rPr>
              <w:instrText xml:space="preserve"> PAGEREF _Toc121397413 \h </w:instrText>
            </w:r>
            <w:r w:rsidR="009708D4">
              <w:rPr>
                <w:webHidden/>
              </w:rPr>
            </w:r>
            <w:r w:rsidR="009708D4">
              <w:rPr>
                <w:webHidden/>
              </w:rPr>
              <w:fldChar w:fldCharType="separate"/>
            </w:r>
            <w:r w:rsidR="009708D4">
              <w:rPr>
                <w:webHidden/>
              </w:rPr>
              <w:t>111</w:t>
            </w:r>
            <w:r w:rsidR="009708D4">
              <w:rPr>
                <w:webHidden/>
              </w:rPr>
              <w:fldChar w:fldCharType="end"/>
            </w:r>
          </w:hyperlink>
        </w:p>
        <w:p w14:paraId="77B90CE5" w14:textId="7F236815" w:rsidR="009708D4" w:rsidRDefault="00A11971">
          <w:pPr>
            <w:pStyle w:val="TOC1"/>
          </w:pPr>
          <w:hyperlink w:anchor="_Toc121397414" w:history="1">
            <w:r w:rsidR="009708D4" w:rsidRPr="00CB4274">
              <w:rPr>
                <w:rStyle w:val="Hyperlink"/>
              </w:rPr>
              <w:t>Appendix H:</w:t>
            </w:r>
            <w:r w:rsidR="009708D4">
              <w:tab/>
            </w:r>
            <w:r w:rsidR="009708D4" w:rsidRPr="00CB4274">
              <w:rPr>
                <w:rStyle w:val="Hyperlink"/>
              </w:rPr>
              <w:t>Supplementary information for critical gas assets</w:t>
            </w:r>
            <w:r w:rsidR="009708D4">
              <w:rPr>
                <w:webHidden/>
              </w:rPr>
              <w:tab/>
            </w:r>
            <w:r w:rsidR="009708D4">
              <w:rPr>
                <w:webHidden/>
              </w:rPr>
              <w:fldChar w:fldCharType="begin"/>
            </w:r>
            <w:r w:rsidR="009708D4">
              <w:rPr>
                <w:webHidden/>
              </w:rPr>
              <w:instrText xml:space="preserve"> PAGEREF _Toc121397414 \h </w:instrText>
            </w:r>
            <w:r w:rsidR="009708D4">
              <w:rPr>
                <w:webHidden/>
              </w:rPr>
            </w:r>
            <w:r w:rsidR="009708D4">
              <w:rPr>
                <w:webHidden/>
              </w:rPr>
              <w:fldChar w:fldCharType="separate"/>
            </w:r>
            <w:r w:rsidR="009708D4">
              <w:rPr>
                <w:webHidden/>
              </w:rPr>
              <w:t>126</w:t>
            </w:r>
            <w:r w:rsidR="009708D4">
              <w:rPr>
                <w:webHidden/>
              </w:rPr>
              <w:fldChar w:fldCharType="end"/>
            </w:r>
          </w:hyperlink>
        </w:p>
        <w:p w14:paraId="1130B6EA" w14:textId="176E2C59" w:rsidR="009708D4" w:rsidRDefault="00A11971">
          <w:pPr>
            <w:pStyle w:val="TOC1"/>
          </w:pPr>
          <w:hyperlink w:anchor="_Toc121397415" w:history="1">
            <w:r w:rsidR="009708D4" w:rsidRPr="00CB4274">
              <w:rPr>
                <w:rStyle w:val="Hyperlink"/>
              </w:rPr>
              <w:t>Appendix I:</w:t>
            </w:r>
            <w:r w:rsidR="009708D4">
              <w:tab/>
            </w:r>
            <w:r w:rsidR="009708D4" w:rsidRPr="00CB4274">
              <w:rPr>
                <w:rStyle w:val="Hyperlink"/>
              </w:rPr>
              <w:t>Supplementary information for critical water assets</w:t>
            </w:r>
            <w:r w:rsidR="009708D4">
              <w:rPr>
                <w:webHidden/>
              </w:rPr>
              <w:tab/>
            </w:r>
            <w:r w:rsidR="009708D4">
              <w:rPr>
                <w:webHidden/>
              </w:rPr>
              <w:fldChar w:fldCharType="begin"/>
            </w:r>
            <w:r w:rsidR="009708D4">
              <w:rPr>
                <w:webHidden/>
              </w:rPr>
              <w:instrText xml:space="preserve"> PAGEREF _Toc121397415 \h </w:instrText>
            </w:r>
            <w:r w:rsidR="009708D4">
              <w:rPr>
                <w:webHidden/>
              </w:rPr>
            </w:r>
            <w:r w:rsidR="009708D4">
              <w:rPr>
                <w:webHidden/>
              </w:rPr>
              <w:fldChar w:fldCharType="separate"/>
            </w:r>
            <w:r w:rsidR="009708D4">
              <w:rPr>
                <w:webHidden/>
              </w:rPr>
              <w:t>140</w:t>
            </w:r>
            <w:r w:rsidR="009708D4">
              <w:rPr>
                <w:webHidden/>
              </w:rPr>
              <w:fldChar w:fldCharType="end"/>
            </w:r>
          </w:hyperlink>
        </w:p>
        <w:p w14:paraId="14E5E87B" w14:textId="73116F82" w:rsidR="009708D4" w:rsidRDefault="00A11971">
          <w:pPr>
            <w:pStyle w:val="TOC1"/>
          </w:pPr>
          <w:hyperlink w:anchor="_Toc121397416" w:history="1">
            <w:r w:rsidR="009708D4" w:rsidRPr="00CB4274">
              <w:rPr>
                <w:rStyle w:val="Hyperlink"/>
              </w:rPr>
              <w:t>Appendix J:</w:t>
            </w:r>
            <w:r w:rsidR="009708D4">
              <w:tab/>
            </w:r>
            <w:r w:rsidR="009708D4" w:rsidRPr="00CB4274">
              <w:rPr>
                <w:rStyle w:val="Hyperlink"/>
              </w:rPr>
              <w:t>Supplementary information for critical data processing or storage assets</w:t>
            </w:r>
            <w:r w:rsidR="009708D4">
              <w:rPr>
                <w:webHidden/>
              </w:rPr>
              <w:tab/>
            </w:r>
            <w:r w:rsidR="009708D4">
              <w:rPr>
                <w:webHidden/>
              </w:rPr>
              <w:fldChar w:fldCharType="begin"/>
            </w:r>
            <w:r w:rsidR="009708D4">
              <w:rPr>
                <w:webHidden/>
              </w:rPr>
              <w:instrText xml:space="preserve"> PAGEREF _Toc121397416 \h </w:instrText>
            </w:r>
            <w:r w:rsidR="009708D4">
              <w:rPr>
                <w:webHidden/>
              </w:rPr>
            </w:r>
            <w:r w:rsidR="009708D4">
              <w:rPr>
                <w:webHidden/>
              </w:rPr>
              <w:fldChar w:fldCharType="separate"/>
            </w:r>
            <w:r w:rsidR="009708D4">
              <w:rPr>
                <w:webHidden/>
              </w:rPr>
              <w:t>156</w:t>
            </w:r>
            <w:r w:rsidR="009708D4">
              <w:rPr>
                <w:webHidden/>
              </w:rPr>
              <w:fldChar w:fldCharType="end"/>
            </w:r>
          </w:hyperlink>
        </w:p>
        <w:p w14:paraId="5314765F" w14:textId="3FA5BA7D" w:rsidR="009708D4" w:rsidRDefault="00A11971">
          <w:pPr>
            <w:pStyle w:val="TOC1"/>
          </w:pPr>
          <w:hyperlink w:anchor="_Toc121397417" w:history="1">
            <w:r w:rsidR="009708D4" w:rsidRPr="00CB4274">
              <w:rPr>
                <w:rStyle w:val="Hyperlink"/>
              </w:rPr>
              <w:t>Appendix K:</w:t>
            </w:r>
            <w:r w:rsidR="009708D4">
              <w:tab/>
            </w:r>
            <w:r w:rsidR="009708D4" w:rsidRPr="00CB4274">
              <w:rPr>
                <w:rStyle w:val="Hyperlink"/>
              </w:rPr>
              <w:t>Supplementary information for critical broadcasting assets</w:t>
            </w:r>
            <w:r w:rsidR="009708D4">
              <w:rPr>
                <w:webHidden/>
              </w:rPr>
              <w:tab/>
            </w:r>
            <w:r w:rsidR="009708D4">
              <w:rPr>
                <w:webHidden/>
              </w:rPr>
              <w:fldChar w:fldCharType="begin"/>
            </w:r>
            <w:r w:rsidR="009708D4">
              <w:rPr>
                <w:webHidden/>
              </w:rPr>
              <w:instrText xml:space="preserve"> PAGEREF _Toc121397417 \h </w:instrText>
            </w:r>
            <w:r w:rsidR="009708D4">
              <w:rPr>
                <w:webHidden/>
              </w:rPr>
            </w:r>
            <w:r w:rsidR="009708D4">
              <w:rPr>
                <w:webHidden/>
              </w:rPr>
              <w:fldChar w:fldCharType="separate"/>
            </w:r>
            <w:r w:rsidR="009708D4">
              <w:rPr>
                <w:webHidden/>
              </w:rPr>
              <w:t>169</w:t>
            </w:r>
            <w:r w:rsidR="009708D4">
              <w:rPr>
                <w:webHidden/>
              </w:rPr>
              <w:fldChar w:fldCharType="end"/>
            </w:r>
          </w:hyperlink>
        </w:p>
        <w:p w14:paraId="530E037C" w14:textId="16C5F8CE" w:rsidR="009708D4" w:rsidRDefault="00A11971">
          <w:pPr>
            <w:pStyle w:val="TOC1"/>
          </w:pPr>
          <w:hyperlink w:anchor="_Toc121397418" w:history="1">
            <w:r w:rsidR="009708D4" w:rsidRPr="00CB4274">
              <w:rPr>
                <w:rStyle w:val="Hyperlink"/>
                <w:spacing w:val="-4"/>
                <w:lang w:eastAsia="en-US"/>
              </w:rPr>
              <w:t>Appendix L:</w:t>
            </w:r>
            <w:r w:rsidR="009708D4">
              <w:tab/>
            </w:r>
            <w:r w:rsidR="009708D4" w:rsidRPr="00CB4274">
              <w:rPr>
                <w:rStyle w:val="Hyperlink"/>
                <w:spacing w:val="-4"/>
              </w:rPr>
              <w:t>Supplementary information for critical financial market infrastructure assets (payment systems)</w:t>
            </w:r>
            <w:r w:rsidR="009708D4">
              <w:rPr>
                <w:webHidden/>
              </w:rPr>
              <w:tab/>
            </w:r>
            <w:r w:rsidR="009708D4">
              <w:rPr>
                <w:webHidden/>
              </w:rPr>
              <w:fldChar w:fldCharType="begin"/>
            </w:r>
            <w:r w:rsidR="009708D4">
              <w:rPr>
                <w:webHidden/>
              </w:rPr>
              <w:instrText xml:space="preserve"> PAGEREF _Toc121397418 \h </w:instrText>
            </w:r>
            <w:r w:rsidR="009708D4">
              <w:rPr>
                <w:webHidden/>
              </w:rPr>
            </w:r>
            <w:r w:rsidR="009708D4">
              <w:rPr>
                <w:webHidden/>
              </w:rPr>
              <w:fldChar w:fldCharType="separate"/>
            </w:r>
            <w:r w:rsidR="009708D4">
              <w:rPr>
                <w:webHidden/>
              </w:rPr>
              <w:t>179</w:t>
            </w:r>
            <w:r w:rsidR="009708D4">
              <w:rPr>
                <w:webHidden/>
              </w:rPr>
              <w:fldChar w:fldCharType="end"/>
            </w:r>
          </w:hyperlink>
        </w:p>
        <w:p w14:paraId="5BA8983E" w14:textId="4C7C4D6F" w:rsidR="009708D4" w:rsidRDefault="00A11971">
          <w:pPr>
            <w:pStyle w:val="TOC1"/>
          </w:pPr>
          <w:hyperlink w:anchor="_Toc121397419" w:history="1">
            <w:r w:rsidR="009708D4" w:rsidRPr="00CB4274">
              <w:rPr>
                <w:rStyle w:val="Hyperlink"/>
              </w:rPr>
              <w:t>Appendix M:</w:t>
            </w:r>
            <w:r w:rsidR="009708D4">
              <w:tab/>
            </w:r>
            <w:r w:rsidR="009708D4" w:rsidRPr="00CB4274">
              <w:rPr>
                <w:rStyle w:val="Hyperlink"/>
              </w:rPr>
              <w:t>Supplementary information for critical domain name systems assets</w:t>
            </w:r>
            <w:r w:rsidR="009708D4">
              <w:rPr>
                <w:webHidden/>
              </w:rPr>
              <w:tab/>
            </w:r>
            <w:r w:rsidR="009708D4">
              <w:rPr>
                <w:webHidden/>
              </w:rPr>
              <w:fldChar w:fldCharType="begin"/>
            </w:r>
            <w:r w:rsidR="009708D4">
              <w:rPr>
                <w:webHidden/>
              </w:rPr>
              <w:instrText xml:space="preserve"> PAGEREF _Toc121397419 \h </w:instrText>
            </w:r>
            <w:r w:rsidR="009708D4">
              <w:rPr>
                <w:webHidden/>
              </w:rPr>
            </w:r>
            <w:r w:rsidR="009708D4">
              <w:rPr>
                <w:webHidden/>
              </w:rPr>
              <w:fldChar w:fldCharType="separate"/>
            </w:r>
            <w:r w:rsidR="009708D4">
              <w:rPr>
                <w:webHidden/>
              </w:rPr>
              <w:t>190</w:t>
            </w:r>
            <w:r w:rsidR="009708D4">
              <w:rPr>
                <w:webHidden/>
              </w:rPr>
              <w:fldChar w:fldCharType="end"/>
            </w:r>
          </w:hyperlink>
        </w:p>
        <w:p w14:paraId="6DE56773" w14:textId="1ABBAB61" w:rsidR="009708D4" w:rsidRDefault="00A11971">
          <w:pPr>
            <w:pStyle w:val="TOC1"/>
          </w:pPr>
          <w:hyperlink w:anchor="_Toc121397420" w:history="1">
            <w:r w:rsidR="009708D4" w:rsidRPr="00CB4274">
              <w:rPr>
                <w:rStyle w:val="Hyperlink"/>
              </w:rPr>
              <w:t>Appendix N:</w:t>
            </w:r>
            <w:r w:rsidR="009708D4">
              <w:tab/>
            </w:r>
            <w:r w:rsidR="009708D4" w:rsidRPr="00CB4274">
              <w:rPr>
                <w:rStyle w:val="Hyperlink"/>
              </w:rPr>
              <w:t>Supplementary information for critical liquid fuels assets</w:t>
            </w:r>
            <w:r w:rsidR="009708D4">
              <w:rPr>
                <w:webHidden/>
              </w:rPr>
              <w:tab/>
            </w:r>
            <w:r w:rsidR="009708D4">
              <w:rPr>
                <w:webHidden/>
              </w:rPr>
              <w:fldChar w:fldCharType="begin"/>
            </w:r>
            <w:r w:rsidR="009708D4">
              <w:rPr>
                <w:webHidden/>
              </w:rPr>
              <w:instrText xml:space="preserve"> PAGEREF _Toc121397420 \h </w:instrText>
            </w:r>
            <w:r w:rsidR="009708D4">
              <w:rPr>
                <w:webHidden/>
              </w:rPr>
            </w:r>
            <w:r w:rsidR="009708D4">
              <w:rPr>
                <w:webHidden/>
              </w:rPr>
              <w:fldChar w:fldCharType="separate"/>
            </w:r>
            <w:r w:rsidR="009708D4">
              <w:rPr>
                <w:webHidden/>
              </w:rPr>
              <w:t>198</w:t>
            </w:r>
            <w:r w:rsidR="009708D4">
              <w:rPr>
                <w:webHidden/>
              </w:rPr>
              <w:fldChar w:fldCharType="end"/>
            </w:r>
          </w:hyperlink>
        </w:p>
        <w:p w14:paraId="14BE9A52" w14:textId="4719A0B9" w:rsidR="009708D4" w:rsidRDefault="00A11971">
          <w:pPr>
            <w:pStyle w:val="TOC1"/>
          </w:pPr>
          <w:hyperlink w:anchor="_Toc121397421" w:history="1">
            <w:r w:rsidR="009708D4" w:rsidRPr="00CB4274">
              <w:rPr>
                <w:rStyle w:val="Hyperlink"/>
              </w:rPr>
              <w:t>Appendix O:</w:t>
            </w:r>
            <w:r w:rsidR="009708D4">
              <w:tab/>
            </w:r>
            <w:r w:rsidR="009708D4" w:rsidRPr="00CB4274">
              <w:rPr>
                <w:rStyle w:val="Hyperlink"/>
              </w:rPr>
              <w:t>Supplementary information for critical hospital assets</w:t>
            </w:r>
            <w:r w:rsidR="009708D4">
              <w:rPr>
                <w:webHidden/>
              </w:rPr>
              <w:tab/>
            </w:r>
            <w:r w:rsidR="009708D4">
              <w:rPr>
                <w:webHidden/>
              </w:rPr>
              <w:fldChar w:fldCharType="begin"/>
            </w:r>
            <w:r w:rsidR="009708D4">
              <w:rPr>
                <w:webHidden/>
              </w:rPr>
              <w:instrText xml:space="preserve"> PAGEREF _Toc121397421 \h </w:instrText>
            </w:r>
            <w:r w:rsidR="009708D4">
              <w:rPr>
                <w:webHidden/>
              </w:rPr>
            </w:r>
            <w:r w:rsidR="009708D4">
              <w:rPr>
                <w:webHidden/>
              </w:rPr>
              <w:fldChar w:fldCharType="separate"/>
            </w:r>
            <w:r w:rsidR="009708D4">
              <w:rPr>
                <w:webHidden/>
              </w:rPr>
              <w:t>208</w:t>
            </w:r>
            <w:r w:rsidR="009708D4">
              <w:rPr>
                <w:webHidden/>
              </w:rPr>
              <w:fldChar w:fldCharType="end"/>
            </w:r>
          </w:hyperlink>
        </w:p>
        <w:p w14:paraId="6F32F2DC" w14:textId="32CF8554" w:rsidR="009708D4" w:rsidRDefault="00A11971">
          <w:pPr>
            <w:pStyle w:val="TOC1"/>
          </w:pPr>
          <w:hyperlink w:anchor="_Toc121397422" w:history="1">
            <w:r w:rsidR="009708D4" w:rsidRPr="00CB4274">
              <w:rPr>
                <w:rStyle w:val="Hyperlink"/>
              </w:rPr>
              <w:t>Appendix P:</w:t>
            </w:r>
            <w:r w:rsidR="009708D4">
              <w:tab/>
            </w:r>
            <w:r w:rsidR="009708D4" w:rsidRPr="00CB4274">
              <w:rPr>
                <w:rStyle w:val="Hyperlink"/>
              </w:rPr>
              <w:t>Supplementary information for critical energy market operator assets</w:t>
            </w:r>
            <w:r w:rsidR="009708D4">
              <w:rPr>
                <w:webHidden/>
              </w:rPr>
              <w:tab/>
            </w:r>
            <w:r w:rsidR="009708D4">
              <w:rPr>
                <w:webHidden/>
              </w:rPr>
              <w:fldChar w:fldCharType="begin"/>
            </w:r>
            <w:r w:rsidR="009708D4">
              <w:rPr>
                <w:webHidden/>
              </w:rPr>
              <w:instrText xml:space="preserve"> PAGEREF _Toc121397422 \h </w:instrText>
            </w:r>
            <w:r w:rsidR="009708D4">
              <w:rPr>
                <w:webHidden/>
              </w:rPr>
            </w:r>
            <w:r w:rsidR="009708D4">
              <w:rPr>
                <w:webHidden/>
              </w:rPr>
              <w:fldChar w:fldCharType="separate"/>
            </w:r>
            <w:r w:rsidR="009708D4">
              <w:rPr>
                <w:webHidden/>
              </w:rPr>
              <w:t>220</w:t>
            </w:r>
            <w:r w:rsidR="009708D4">
              <w:rPr>
                <w:webHidden/>
              </w:rPr>
              <w:fldChar w:fldCharType="end"/>
            </w:r>
          </w:hyperlink>
        </w:p>
        <w:p w14:paraId="109BCF2C" w14:textId="4ACC27B7" w:rsidR="009708D4" w:rsidRDefault="00A11971">
          <w:pPr>
            <w:pStyle w:val="TOC1"/>
          </w:pPr>
          <w:hyperlink w:anchor="_Toc121397423" w:history="1">
            <w:r w:rsidR="009708D4" w:rsidRPr="00CB4274">
              <w:rPr>
                <w:rStyle w:val="Hyperlink"/>
              </w:rPr>
              <w:t>Appendix Q:</w:t>
            </w:r>
            <w:r w:rsidR="009708D4">
              <w:tab/>
            </w:r>
            <w:r w:rsidR="009708D4" w:rsidRPr="00CB4274">
              <w:rPr>
                <w:rStyle w:val="Hyperlink"/>
              </w:rPr>
              <w:t>Supplementary information for critical freight infrastructure and critical freight services assets</w:t>
            </w:r>
            <w:r w:rsidR="009708D4">
              <w:rPr>
                <w:webHidden/>
              </w:rPr>
              <w:tab/>
            </w:r>
            <w:r w:rsidR="009708D4">
              <w:rPr>
                <w:webHidden/>
              </w:rPr>
              <w:fldChar w:fldCharType="begin"/>
            </w:r>
            <w:r w:rsidR="009708D4">
              <w:rPr>
                <w:webHidden/>
              </w:rPr>
              <w:instrText xml:space="preserve"> PAGEREF _Toc121397423 \h </w:instrText>
            </w:r>
            <w:r w:rsidR="009708D4">
              <w:rPr>
                <w:webHidden/>
              </w:rPr>
            </w:r>
            <w:r w:rsidR="009708D4">
              <w:rPr>
                <w:webHidden/>
              </w:rPr>
              <w:fldChar w:fldCharType="separate"/>
            </w:r>
            <w:r w:rsidR="009708D4">
              <w:rPr>
                <w:webHidden/>
              </w:rPr>
              <w:t>231</w:t>
            </w:r>
            <w:r w:rsidR="009708D4">
              <w:rPr>
                <w:webHidden/>
              </w:rPr>
              <w:fldChar w:fldCharType="end"/>
            </w:r>
          </w:hyperlink>
        </w:p>
        <w:p w14:paraId="4467782B" w14:textId="169EE384" w:rsidR="009708D4" w:rsidRDefault="00A11971">
          <w:pPr>
            <w:pStyle w:val="TOC1"/>
          </w:pPr>
          <w:hyperlink w:anchor="_Toc121397424" w:history="1">
            <w:r w:rsidR="009708D4" w:rsidRPr="00CB4274">
              <w:rPr>
                <w:rStyle w:val="Hyperlink"/>
              </w:rPr>
              <w:t>Appendix R:</w:t>
            </w:r>
            <w:r w:rsidR="009708D4">
              <w:tab/>
            </w:r>
            <w:r w:rsidR="009708D4" w:rsidRPr="00CB4274">
              <w:rPr>
                <w:rStyle w:val="Hyperlink"/>
              </w:rPr>
              <w:t>Supplementary information for critical food and grocery assets</w:t>
            </w:r>
            <w:r w:rsidR="009708D4">
              <w:rPr>
                <w:webHidden/>
              </w:rPr>
              <w:tab/>
            </w:r>
            <w:r w:rsidR="009708D4">
              <w:rPr>
                <w:webHidden/>
              </w:rPr>
              <w:fldChar w:fldCharType="begin"/>
            </w:r>
            <w:r w:rsidR="009708D4">
              <w:rPr>
                <w:webHidden/>
              </w:rPr>
              <w:instrText xml:space="preserve"> PAGEREF _Toc121397424 \h </w:instrText>
            </w:r>
            <w:r w:rsidR="009708D4">
              <w:rPr>
                <w:webHidden/>
              </w:rPr>
            </w:r>
            <w:r w:rsidR="009708D4">
              <w:rPr>
                <w:webHidden/>
              </w:rPr>
              <w:fldChar w:fldCharType="separate"/>
            </w:r>
            <w:r w:rsidR="009708D4">
              <w:rPr>
                <w:webHidden/>
              </w:rPr>
              <w:t>244</w:t>
            </w:r>
            <w:r w:rsidR="009708D4">
              <w:rPr>
                <w:webHidden/>
              </w:rPr>
              <w:fldChar w:fldCharType="end"/>
            </w:r>
          </w:hyperlink>
        </w:p>
        <w:p w14:paraId="5079D167" w14:textId="47E0FE9F" w:rsidR="009708D4" w:rsidRDefault="00A11971">
          <w:pPr>
            <w:pStyle w:val="TOC1"/>
          </w:pPr>
          <w:hyperlink w:anchor="_Toc121397425" w:history="1">
            <w:r w:rsidR="009708D4" w:rsidRPr="00CB4274">
              <w:rPr>
                <w:rStyle w:val="Hyperlink"/>
              </w:rPr>
              <w:t>Appendix S:</w:t>
            </w:r>
            <w:r w:rsidR="009708D4">
              <w:tab/>
            </w:r>
            <w:r w:rsidR="009708D4" w:rsidRPr="00CB4274">
              <w:rPr>
                <w:rStyle w:val="Hyperlink"/>
              </w:rPr>
              <w:t>Detailed costing information for critical electricity assets</w:t>
            </w:r>
            <w:r w:rsidR="009708D4">
              <w:rPr>
                <w:webHidden/>
              </w:rPr>
              <w:tab/>
            </w:r>
            <w:r w:rsidR="009708D4">
              <w:rPr>
                <w:webHidden/>
              </w:rPr>
              <w:fldChar w:fldCharType="begin"/>
            </w:r>
            <w:r w:rsidR="009708D4">
              <w:rPr>
                <w:webHidden/>
              </w:rPr>
              <w:instrText xml:space="preserve"> PAGEREF _Toc121397425 \h </w:instrText>
            </w:r>
            <w:r w:rsidR="009708D4">
              <w:rPr>
                <w:webHidden/>
              </w:rPr>
            </w:r>
            <w:r w:rsidR="009708D4">
              <w:rPr>
                <w:webHidden/>
              </w:rPr>
              <w:fldChar w:fldCharType="separate"/>
            </w:r>
            <w:r w:rsidR="009708D4">
              <w:rPr>
                <w:webHidden/>
              </w:rPr>
              <w:t>256</w:t>
            </w:r>
            <w:r w:rsidR="009708D4">
              <w:rPr>
                <w:webHidden/>
              </w:rPr>
              <w:fldChar w:fldCharType="end"/>
            </w:r>
          </w:hyperlink>
        </w:p>
        <w:p w14:paraId="6C6336B4" w14:textId="405EB414" w:rsidR="009708D4" w:rsidRDefault="00A11971">
          <w:pPr>
            <w:pStyle w:val="TOC1"/>
          </w:pPr>
          <w:hyperlink w:anchor="_Toc121397426" w:history="1">
            <w:r w:rsidR="009708D4" w:rsidRPr="00CB4274">
              <w:rPr>
                <w:rStyle w:val="Hyperlink"/>
              </w:rPr>
              <w:t>Appendix T:</w:t>
            </w:r>
            <w:r w:rsidR="009708D4">
              <w:tab/>
            </w:r>
            <w:r w:rsidR="009708D4" w:rsidRPr="00CB4274">
              <w:rPr>
                <w:rStyle w:val="Hyperlink"/>
              </w:rPr>
              <w:t>Detailed costing information for critical gas assets</w:t>
            </w:r>
            <w:r w:rsidR="009708D4">
              <w:rPr>
                <w:webHidden/>
              </w:rPr>
              <w:tab/>
            </w:r>
            <w:r w:rsidR="009708D4">
              <w:rPr>
                <w:webHidden/>
              </w:rPr>
              <w:fldChar w:fldCharType="begin"/>
            </w:r>
            <w:r w:rsidR="009708D4">
              <w:rPr>
                <w:webHidden/>
              </w:rPr>
              <w:instrText xml:space="preserve"> PAGEREF _Toc121397426 \h </w:instrText>
            </w:r>
            <w:r w:rsidR="009708D4">
              <w:rPr>
                <w:webHidden/>
              </w:rPr>
            </w:r>
            <w:r w:rsidR="009708D4">
              <w:rPr>
                <w:webHidden/>
              </w:rPr>
              <w:fldChar w:fldCharType="separate"/>
            </w:r>
            <w:r w:rsidR="009708D4">
              <w:rPr>
                <w:webHidden/>
              </w:rPr>
              <w:t>266</w:t>
            </w:r>
            <w:r w:rsidR="009708D4">
              <w:rPr>
                <w:webHidden/>
              </w:rPr>
              <w:fldChar w:fldCharType="end"/>
            </w:r>
          </w:hyperlink>
        </w:p>
        <w:p w14:paraId="353692E0" w14:textId="13C38069" w:rsidR="009708D4" w:rsidRDefault="00A11971">
          <w:pPr>
            <w:pStyle w:val="TOC1"/>
          </w:pPr>
          <w:hyperlink w:anchor="_Toc121397427" w:history="1">
            <w:r w:rsidR="009708D4" w:rsidRPr="00CB4274">
              <w:rPr>
                <w:rStyle w:val="Hyperlink"/>
              </w:rPr>
              <w:t>Appendix U:</w:t>
            </w:r>
            <w:r w:rsidR="009708D4">
              <w:tab/>
            </w:r>
            <w:r w:rsidR="009708D4" w:rsidRPr="00CB4274">
              <w:rPr>
                <w:rStyle w:val="Hyperlink"/>
              </w:rPr>
              <w:t>Detailed costing information for critical water assets</w:t>
            </w:r>
            <w:r w:rsidR="009708D4">
              <w:rPr>
                <w:webHidden/>
              </w:rPr>
              <w:tab/>
            </w:r>
            <w:r w:rsidR="009708D4">
              <w:rPr>
                <w:webHidden/>
              </w:rPr>
              <w:fldChar w:fldCharType="begin"/>
            </w:r>
            <w:r w:rsidR="009708D4">
              <w:rPr>
                <w:webHidden/>
              </w:rPr>
              <w:instrText xml:space="preserve"> PAGEREF _Toc121397427 \h </w:instrText>
            </w:r>
            <w:r w:rsidR="009708D4">
              <w:rPr>
                <w:webHidden/>
              </w:rPr>
            </w:r>
            <w:r w:rsidR="009708D4">
              <w:rPr>
                <w:webHidden/>
              </w:rPr>
              <w:fldChar w:fldCharType="separate"/>
            </w:r>
            <w:r w:rsidR="009708D4">
              <w:rPr>
                <w:webHidden/>
              </w:rPr>
              <w:t>275</w:t>
            </w:r>
            <w:r w:rsidR="009708D4">
              <w:rPr>
                <w:webHidden/>
              </w:rPr>
              <w:fldChar w:fldCharType="end"/>
            </w:r>
          </w:hyperlink>
        </w:p>
        <w:p w14:paraId="09AD5C0B" w14:textId="38D5D58C" w:rsidR="009708D4" w:rsidRDefault="00A11971">
          <w:pPr>
            <w:pStyle w:val="TOC1"/>
          </w:pPr>
          <w:hyperlink w:anchor="_Toc121397428" w:history="1">
            <w:r w:rsidR="009708D4" w:rsidRPr="00CB4274">
              <w:rPr>
                <w:rStyle w:val="Hyperlink"/>
              </w:rPr>
              <w:t>Appendix T:</w:t>
            </w:r>
            <w:r w:rsidR="009708D4">
              <w:tab/>
            </w:r>
            <w:r w:rsidR="009708D4" w:rsidRPr="00CB4274">
              <w:rPr>
                <w:rStyle w:val="Hyperlink"/>
              </w:rPr>
              <w:t>Detailed costing information for critical data storage or processing assets</w:t>
            </w:r>
            <w:r w:rsidR="009708D4">
              <w:rPr>
                <w:webHidden/>
              </w:rPr>
              <w:tab/>
            </w:r>
            <w:r w:rsidR="009708D4">
              <w:rPr>
                <w:webHidden/>
              </w:rPr>
              <w:fldChar w:fldCharType="begin"/>
            </w:r>
            <w:r w:rsidR="009708D4">
              <w:rPr>
                <w:webHidden/>
              </w:rPr>
              <w:instrText xml:space="preserve"> PAGEREF _Toc121397428 \h </w:instrText>
            </w:r>
            <w:r w:rsidR="009708D4">
              <w:rPr>
                <w:webHidden/>
              </w:rPr>
            </w:r>
            <w:r w:rsidR="009708D4">
              <w:rPr>
                <w:webHidden/>
              </w:rPr>
              <w:fldChar w:fldCharType="separate"/>
            </w:r>
            <w:r w:rsidR="009708D4">
              <w:rPr>
                <w:webHidden/>
              </w:rPr>
              <w:t>284</w:t>
            </w:r>
            <w:r w:rsidR="009708D4">
              <w:rPr>
                <w:webHidden/>
              </w:rPr>
              <w:fldChar w:fldCharType="end"/>
            </w:r>
          </w:hyperlink>
        </w:p>
        <w:p w14:paraId="5AB0BC1B" w14:textId="7FF9E647" w:rsidR="009708D4" w:rsidRDefault="00A11971">
          <w:pPr>
            <w:pStyle w:val="TOC1"/>
          </w:pPr>
          <w:hyperlink w:anchor="_Toc121397429" w:history="1">
            <w:r w:rsidR="009708D4" w:rsidRPr="00CB4274">
              <w:rPr>
                <w:rStyle w:val="Hyperlink"/>
              </w:rPr>
              <w:t>Appendix U:</w:t>
            </w:r>
            <w:r w:rsidR="009708D4">
              <w:tab/>
            </w:r>
            <w:r w:rsidR="009708D4" w:rsidRPr="00CB4274">
              <w:rPr>
                <w:rStyle w:val="Hyperlink"/>
              </w:rPr>
              <w:t>Detailed costing information for critical broadcasting assets and critical domain name systems</w:t>
            </w:r>
            <w:r w:rsidR="009708D4">
              <w:rPr>
                <w:webHidden/>
              </w:rPr>
              <w:tab/>
            </w:r>
            <w:r w:rsidR="009708D4">
              <w:rPr>
                <w:webHidden/>
              </w:rPr>
              <w:fldChar w:fldCharType="begin"/>
            </w:r>
            <w:r w:rsidR="009708D4">
              <w:rPr>
                <w:webHidden/>
              </w:rPr>
              <w:instrText xml:space="preserve"> PAGEREF _Toc121397429 \h </w:instrText>
            </w:r>
            <w:r w:rsidR="009708D4">
              <w:rPr>
                <w:webHidden/>
              </w:rPr>
            </w:r>
            <w:r w:rsidR="009708D4">
              <w:rPr>
                <w:webHidden/>
              </w:rPr>
              <w:fldChar w:fldCharType="separate"/>
            </w:r>
            <w:r w:rsidR="009708D4">
              <w:rPr>
                <w:webHidden/>
              </w:rPr>
              <w:t>291</w:t>
            </w:r>
            <w:r w:rsidR="009708D4">
              <w:rPr>
                <w:webHidden/>
              </w:rPr>
              <w:fldChar w:fldCharType="end"/>
            </w:r>
          </w:hyperlink>
        </w:p>
        <w:p w14:paraId="492D34CB" w14:textId="0ECEDCC9" w:rsidR="009708D4" w:rsidRDefault="00A11971">
          <w:pPr>
            <w:pStyle w:val="TOC1"/>
          </w:pPr>
          <w:hyperlink w:anchor="_Toc121397430" w:history="1">
            <w:r w:rsidR="009708D4" w:rsidRPr="00CB4274">
              <w:rPr>
                <w:rStyle w:val="Hyperlink"/>
              </w:rPr>
              <w:t>Appendix V:</w:t>
            </w:r>
            <w:r w:rsidR="009708D4">
              <w:tab/>
            </w:r>
            <w:r w:rsidR="009708D4" w:rsidRPr="00CB4274">
              <w:rPr>
                <w:rStyle w:val="Hyperlink"/>
              </w:rPr>
              <w:t>Detailed costing information for critical payment system assets</w:t>
            </w:r>
            <w:r w:rsidR="009708D4">
              <w:rPr>
                <w:webHidden/>
              </w:rPr>
              <w:tab/>
            </w:r>
            <w:r w:rsidR="009708D4">
              <w:rPr>
                <w:webHidden/>
              </w:rPr>
              <w:fldChar w:fldCharType="begin"/>
            </w:r>
            <w:r w:rsidR="009708D4">
              <w:rPr>
                <w:webHidden/>
              </w:rPr>
              <w:instrText xml:space="preserve"> PAGEREF _Toc121397430 \h </w:instrText>
            </w:r>
            <w:r w:rsidR="009708D4">
              <w:rPr>
                <w:webHidden/>
              </w:rPr>
            </w:r>
            <w:r w:rsidR="009708D4">
              <w:rPr>
                <w:webHidden/>
              </w:rPr>
              <w:fldChar w:fldCharType="separate"/>
            </w:r>
            <w:r w:rsidR="009708D4">
              <w:rPr>
                <w:webHidden/>
              </w:rPr>
              <w:t>299</w:t>
            </w:r>
            <w:r w:rsidR="009708D4">
              <w:rPr>
                <w:webHidden/>
              </w:rPr>
              <w:fldChar w:fldCharType="end"/>
            </w:r>
          </w:hyperlink>
        </w:p>
        <w:p w14:paraId="664F398B" w14:textId="133D90E5" w:rsidR="009708D4" w:rsidRDefault="00A11971">
          <w:pPr>
            <w:pStyle w:val="TOC1"/>
          </w:pPr>
          <w:hyperlink w:anchor="_Toc121397431" w:history="1">
            <w:r w:rsidR="009708D4" w:rsidRPr="00CB4274">
              <w:rPr>
                <w:rStyle w:val="Hyperlink"/>
              </w:rPr>
              <w:t>Appendix Y:</w:t>
            </w:r>
            <w:r w:rsidR="009708D4">
              <w:tab/>
            </w:r>
            <w:r w:rsidR="009708D4" w:rsidRPr="00CB4274">
              <w:rPr>
                <w:rStyle w:val="Hyperlink"/>
              </w:rPr>
              <w:t>Detailed costing information for critical liquid fuel assets</w:t>
            </w:r>
            <w:r w:rsidR="009708D4">
              <w:rPr>
                <w:webHidden/>
              </w:rPr>
              <w:tab/>
            </w:r>
            <w:r w:rsidR="009708D4">
              <w:rPr>
                <w:webHidden/>
              </w:rPr>
              <w:fldChar w:fldCharType="begin"/>
            </w:r>
            <w:r w:rsidR="009708D4">
              <w:rPr>
                <w:webHidden/>
              </w:rPr>
              <w:instrText xml:space="preserve"> PAGEREF _Toc121397431 \h </w:instrText>
            </w:r>
            <w:r w:rsidR="009708D4">
              <w:rPr>
                <w:webHidden/>
              </w:rPr>
            </w:r>
            <w:r w:rsidR="009708D4">
              <w:rPr>
                <w:webHidden/>
              </w:rPr>
              <w:fldChar w:fldCharType="separate"/>
            </w:r>
            <w:r w:rsidR="009708D4">
              <w:rPr>
                <w:webHidden/>
              </w:rPr>
              <w:t>306</w:t>
            </w:r>
            <w:r w:rsidR="009708D4">
              <w:rPr>
                <w:webHidden/>
              </w:rPr>
              <w:fldChar w:fldCharType="end"/>
            </w:r>
          </w:hyperlink>
        </w:p>
        <w:p w14:paraId="085F759F" w14:textId="5B51D6AA" w:rsidR="009708D4" w:rsidRDefault="00A11971">
          <w:pPr>
            <w:pStyle w:val="TOC1"/>
          </w:pPr>
          <w:hyperlink w:anchor="_Toc121397432" w:history="1">
            <w:r w:rsidR="009708D4" w:rsidRPr="00CB4274">
              <w:rPr>
                <w:rStyle w:val="Hyperlink"/>
              </w:rPr>
              <w:t>Appendix Z:</w:t>
            </w:r>
            <w:r w:rsidR="009708D4">
              <w:tab/>
            </w:r>
            <w:r w:rsidR="009708D4" w:rsidRPr="00CB4274">
              <w:rPr>
                <w:rStyle w:val="Hyperlink"/>
              </w:rPr>
              <w:t>Detailed costing information for critical hospital assets</w:t>
            </w:r>
            <w:r w:rsidR="009708D4">
              <w:rPr>
                <w:webHidden/>
              </w:rPr>
              <w:tab/>
            </w:r>
            <w:r w:rsidR="009708D4">
              <w:rPr>
                <w:webHidden/>
              </w:rPr>
              <w:fldChar w:fldCharType="begin"/>
            </w:r>
            <w:r w:rsidR="009708D4">
              <w:rPr>
                <w:webHidden/>
              </w:rPr>
              <w:instrText xml:space="preserve"> PAGEREF _Toc121397432 \h </w:instrText>
            </w:r>
            <w:r w:rsidR="009708D4">
              <w:rPr>
                <w:webHidden/>
              </w:rPr>
            </w:r>
            <w:r w:rsidR="009708D4">
              <w:rPr>
                <w:webHidden/>
              </w:rPr>
              <w:fldChar w:fldCharType="separate"/>
            </w:r>
            <w:r w:rsidR="009708D4">
              <w:rPr>
                <w:webHidden/>
              </w:rPr>
              <w:t>312</w:t>
            </w:r>
            <w:r w:rsidR="009708D4">
              <w:rPr>
                <w:webHidden/>
              </w:rPr>
              <w:fldChar w:fldCharType="end"/>
            </w:r>
          </w:hyperlink>
        </w:p>
        <w:p w14:paraId="51300C5C" w14:textId="6C88DEDB" w:rsidR="009708D4" w:rsidRDefault="00A11971">
          <w:pPr>
            <w:pStyle w:val="TOC1"/>
          </w:pPr>
          <w:hyperlink w:anchor="_Toc121397433" w:history="1">
            <w:r w:rsidR="009708D4" w:rsidRPr="00CB4274">
              <w:rPr>
                <w:rStyle w:val="Hyperlink"/>
              </w:rPr>
              <w:t>Appendix AA:</w:t>
            </w:r>
            <w:r w:rsidR="009708D4">
              <w:tab/>
            </w:r>
            <w:r w:rsidR="009708D4" w:rsidRPr="00CB4274">
              <w:rPr>
                <w:rStyle w:val="Hyperlink"/>
              </w:rPr>
              <w:t>Detailed costing information for critical energy market operator assets</w:t>
            </w:r>
            <w:r w:rsidR="009708D4">
              <w:rPr>
                <w:webHidden/>
              </w:rPr>
              <w:tab/>
            </w:r>
            <w:r w:rsidR="009708D4">
              <w:rPr>
                <w:webHidden/>
              </w:rPr>
              <w:fldChar w:fldCharType="begin"/>
            </w:r>
            <w:r w:rsidR="009708D4">
              <w:rPr>
                <w:webHidden/>
              </w:rPr>
              <w:instrText xml:space="preserve"> PAGEREF _Toc121397433 \h </w:instrText>
            </w:r>
            <w:r w:rsidR="009708D4">
              <w:rPr>
                <w:webHidden/>
              </w:rPr>
            </w:r>
            <w:r w:rsidR="009708D4">
              <w:rPr>
                <w:webHidden/>
              </w:rPr>
              <w:fldChar w:fldCharType="separate"/>
            </w:r>
            <w:r w:rsidR="009708D4">
              <w:rPr>
                <w:webHidden/>
              </w:rPr>
              <w:t>319</w:t>
            </w:r>
            <w:r w:rsidR="009708D4">
              <w:rPr>
                <w:webHidden/>
              </w:rPr>
              <w:fldChar w:fldCharType="end"/>
            </w:r>
          </w:hyperlink>
        </w:p>
        <w:p w14:paraId="3B56F6B8" w14:textId="41ADE099" w:rsidR="009708D4" w:rsidRDefault="00A11971">
          <w:pPr>
            <w:pStyle w:val="TOC1"/>
          </w:pPr>
          <w:hyperlink w:anchor="_Toc121397434" w:history="1">
            <w:r w:rsidR="009708D4" w:rsidRPr="00CB4274">
              <w:rPr>
                <w:rStyle w:val="Hyperlink"/>
              </w:rPr>
              <w:t>Appendix BB:</w:t>
            </w:r>
            <w:r w:rsidR="009708D4">
              <w:tab/>
            </w:r>
            <w:r w:rsidR="009708D4" w:rsidRPr="00CB4274">
              <w:rPr>
                <w:rStyle w:val="Hyperlink"/>
              </w:rPr>
              <w:t>Detailed costing information for critical freight infrastructure and critical freight services assets</w:t>
            </w:r>
            <w:r w:rsidR="009708D4">
              <w:rPr>
                <w:webHidden/>
              </w:rPr>
              <w:tab/>
            </w:r>
            <w:r w:rsidR="009708D4">
              <w:rPr>
                <w:webHidden/>
              </w:rPr>
              <w:fldChar w:fldCharType="begin"/>
            </w:r>
            <w:r w:rsidR="009708D4">
              <w:rPr>
                <w:webHidden/>
              </w:rPr>
              <w:instrText xml:space="preserve"> PAGEREF _Toc121397434 \h </w:instrText>
            </w:r>
            <w:r w:rsidR="009708D4">
              <w:rPr>
                <w:webHidden/>
              </w:rPr>
            </w:r>
            <w:r w:rsidR="009708D4">
              <w:rPr>
                <w:webHidden/>
              </w:rPr>
              <w:fldChar w:fldCharType="separate"/>
            </w:r>
            <w:r w:rsidR="009708D4">
              <w:rPr>
                <w:webHidden/>
              </w:rPr>
              <w:t>327</w:t>
            </w:r>
            <w:r w:rsidR="009708D4">
              <w:rPr>
                <w:webHidden/>
              </w:rPr>
              <w:fldChar w:fldCharType="end"/>
            </w:r>
          </w:hyperlink>
        </w:p>
        <w:p w14:paraId="1243CDC2" w14:textId="7AB836EA" w:rsidR="009708D4" w:rsidRDefault="00A11971">
          <w:pPr>
            <w:pStyle w:val="TOC1"/>
          </w:pPr>
          <w:hyperlink w:anchor="_Toc121397435" w:history="1">
            <w:r w:rsidR="009708D4" w:rsidRPr="00CB4274">
              <w:rPr>
                <w:rStyle w:val="Hyperlink"/>
              </w:rPr>
              <w:t>Appendix CC:</w:t>
            </w:r>
            <w:r w:rsidR="009708D4">
              <w:tab/>
            </w:r>
            <w:r w:rsidR="009708D4" w:rsidRPr="00CB4274">
              <w:rPr>
                <w:rStyle w:val="Hyperlink"/>
              </w:rPr>
              <w:t>Detailed costing information for critical food and grocery assets</w:t>
            </w:r>
            <w:r w:rsidR="009708D4">
              <w:rPr>
                <w:webHidden/>
              </w:rPr>
              <w:tab/>
            </w:r>
            <w:r w:rsidR="009708D4">
              <w:rPr>
                <w:webHidden/>
              </w:rPr>
              <w:fldChar w:fldCharType="begin"/>
            </w:r>
            <w:r w:rsidR="009708D4">
              <w:rPr>
                <w:webHidden/>
              </w:rPr>
              <w:instrText xml:space="preserve"> PAGEREF _Toc121397435 \h </w:instrText>
            </w:r>
            <w:r w:rsidR="009708D4">
              <w:rPr>
                <w:webHidden/>
              </w:rPr>
            </w:r>
            <w:r w:rsidR="009708D4">
              <w:rPr>
                <w:webHidden/>
              </w:rPr>
              <w:fldChar w:fldCharType="separate"/>
            </w:r>
            <w:r w:rsidR="009708D4">
              <w:rPr>
                <w:webHidden/>
              </w:rPr>
              <w:t>335</w:t>
            </w:r>
            <w:r w:rsidR="009708D4">
              <w:rPr>
                <w:webHidden/>
              </w:rPr>
              <w:fldChar w:fldCharType="end"/>
            </w:r>
          </w:hyperlink>
        </w:p>
        <w:p w14:paraId="16754E8A" w14:textId="538546D7" w:rsidR="00B42866" w:rsidRPr="006B0706" w:rsidRDefault="008129B5" w:rsidP="00D26871">
          <w:pPr>
            <w:pStyle w:val="BodyText"/>
          </w:pPr>
          <w:r>
            <w:rPr>
              <w:rFonts w:eastAsiaTheme="minorEastAsia" w:cstheme="minorBidi"/>
              <w:noProof/>
              <w:sz w:val="23"/>
              <w:szCs w:val="22"/>
              <w:lang w:eastAsia="en-AU"/>
            </w:rPr>
            <w:fldChar w:fldCharType="end"/>
          </w:r>
        </w:p>
      </w:sdtContent>
    </w:sdt>
    <w:p w14:paraId="2A9F889E" w14:textId="77777777" w:rsidR="008A2C50" w:rsidRDefault="008A2C50">
      <w:pPr>
        <w:spacing w:before="80" w:after="80"/>
        <w:rPr>
          <w:rFonts w:cstheme="majorHAnsi"/>
          <w:sz w:val="22"/>
          <w:szCs w:val="28"/>
        </w:rPr>
      </w:pPr>
      <w:r>
        <w:br w:type="page"/>
      </w:r>
    </w:p>
    <w:p w14:paraId="2C77D8C8" w14:textId="77777777" w:rsidR="00E73273" w:rsidRDefault="00E73273" w:rsidP="00E73273">
      <w:pPr>
        <w:pStyle w:val="BodyText"/>
      </w:pPr>
    </w:p>
    <w:p w14:paraId="2D52CC4A" w14:textId="4FD4D2FA" w:rsidR="00B42866" w:rsidRPr="00E73273" w:rsidRDefault="008A2C50" w:rsidP="00E73273">
      <w:pPr>
        <w:pStyle w:val="Divider"/>
      </w:pPr>
      <w:r w:rsidRPr="00E73273">
        <w:rPr>
          <w:noProof/>
          <w:lang w:eastAsia="en-AU"/>
        </w:rPr>
        <mc:AlternateContent>
          <mc:Choice Requires="wps">
            <w:drawing>
              <wp:anchor distT="0" distB="0" distL="114300" distR="114300" simplePos="0" relativeHeight="251638784" behindDoc="1" locked="0" layoutInCell="1" allowOverlap="1" wp14:anchorId="333C854D" wp14:editId="19083C0B">
                <wp:simplePos x="0" y="0"/>
                <wp:positionH relativeFrom="page">
                  <wp:posOffset>0</wp:posOffset>
                </wp:positionH>
                <wp:positionV relativeFrom="page">
                  <wp:posOffset>939114</wp:posOffset>
                </wp:positionV>
                <wp:extent cx="7560000" cy="9000000"/>
                <wp:effectExtent l="0" t="0" r="3175" b="0"/>
                <wp:wrapNone/>
                <wp:docPr id="43" name="Rectangle 43"/>
                <wp:cNvGraphicFramePr/>
                <a:graphic xmlns:a="http://schemas.openxmlformats.org/drawingml/2006/main">
                  <a:graphicData uri="http://schemas.microsoft.com/office/word/2010/wordprocessingShape">
                    <wps:wsp>
                      <wps:cNvSpPr/>
                      <wps:spPr>
                        <a:xfrm>
                          <a:off x="0" y="0"/>
                          <a:ext cx="7560000" cy="9000000"/>
                        </a:xfrm>
                        <a:prstGeom prst="rect">
                          <a:avLst/>
                        </a:prstGeom>
                        <a:gradFill flip="none" rotWithShape="1">
                          <a:gsLst>
                            <a:gs pos="0">
                              <a:schemeClr val="accent1"/>
                            </a:gs>
                            <a:gs pos="100000">
                              <a:schemeClr val="accent2"/>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D6B225" id="Rectangle 43" o:spid="_x0000_s1026" style="position:absolute;margin-left:0;margin-top:73.95pt;width:595.3pt;height:708.6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" fillcolor="#034ea2 [3204]" stroked="f" strokeweight="2pt">
                <v:fill color2="#007bc3 [3205]" rotate="t" angle="45" focus="100%" type="gradient"/>
                <w10:wrap anchorx="page" anchory="page"/>
              </v:rect>
            </w:pict>
          </mc:Fallback>
        </mc:AlternateContent>
      </w:r>
      <w:r w:rsidR="00E73273" w:rsidRPr="00E73273">
        <w:t>I.</w:t>
      </w:r>
      <w:r w:rsidR="00E73273">
        <w:t xml:space="preserve"> </w:t>
      </w:r>
      <w:r w:rsidR="00E73273" w:rsidRPr="00E73273">
        <w:t>Executive Summary</w:t>
      </w:r>
      <w:r w:rsidR="00B42866" w:rsidRPr="00E73273">
        <w:br w:type="page"/>
      </w:r>
    </w:p>
    <w:p w14:paraId="5C7409A6" w14:textId="4CD8DC7B" w:rsidR="00543796" w:rsidRDefault="00374A1D" w:rsidP="00D2292C">
      <w:pPr>
        <w:pStyle w:val="Heading1"/>
        <w:numPr>
          <w:ilvl w:val="0"/>
          <w:numId w:val="155"/>
        </w:numPr>
        <w:ind w:left="851" w:hanging="851"/>
      </w:pPr>
      <w:bookmarkStart w:id="4" w:name="_Toc121397380"/>
      <w:r w:rsidRPr="00374A1D">
        <w:lastRenderedPageBreak/>
        <w:t xml:space="preserve">Executive </w:t>
      </w:r>
      <w:r w:rsidRPr="00D2292C">
        <w:t>summary</w:t>
      </w:r>
      <w:bookmarkEnd w:id="4"/>
    </w:p>
    <w:p w14:paraId="3F6C69D8" w14:textId="6D86AE07" w:rsidR="009E4AD1" w:rsidRDefault="009E4AD1" w:rsidP="009E4AD1">
      <w:pPr>
        <w:pStyle w:val="Introtext"/>
      </w:pPr>
      <w:r w:rsidRPr="009E4AD1">
        <w:t>Critical infrastructure is essential for Australia’s social and economic prosperity, national security, and national defence, and facilitating the provision of essential services across Australia.</w:t>
      </w:r>
      <w:r w:rsidRPr="009E4AD1">
        <w:rPr>
          <w:rStyle w:val="FootnoteReference"/>
          <w:rFonts w:ascii="Arial" w:hAnsi="Arial" w:cs="Arial"/>
        </w:rPr>
        <w:footnoteReference w:id="2"/>
      </w:r>
      <w:r w:rsidRPr="009E4AD1">
        <w:t xml:space="preserve"> However, risks to Australia’s critical infrastructure have evolved in recent years. These risks are inherently complex, and reflect factors including increased cyber connectivity and greater participation in, and reliance on, global supply chains to support the provision of essential services. As such, it is urgent and imperative that the Australian Government take steps to prevent or mitigate risks to public safety and confidence; threats to our economic security or Australia’s international competitiveness; as well as provide for the continuity of Government and its services, all of which are vulnerable to critical infrastructure disruptions.</w:t>
      </w:r>
      <w:r w:rsidRPr="009E4AD1">
        <w:rPr>
          <w:rStyle w:val="FootnoteReference"/>
          <w:rFonts w:ascii="Arial" w:hAnsi="Arial" w:cs="Arial"/>
        </w:rPr>
        <w:footnoteReference w:id="3"/>
      </w:r>
    </w:p>
    <w:p w14:paraId="0C17299D" w14:textId="0FC25F4B" w:rsidR="0036702E" w:rsidRPr="00374A1D" w:rsidRDefault="0036702E" w:rsidP="00356D09">
      <w:pPr>
        <w:pStyle w:val="BodyText"/>
      </w:pPr>
      <w:r w:rsidRPr="00374A1D">
        <w:t>The Department of Home Affairs (the Department) is focussed on driving an uplift in the security and resilience of Australia’s critical infrastructure</w:t>
      </w:r>
      <w:r w:rsidR="00023423">
        <w:t>,</w:t>
      </w:r>
      <w:r w:rsidRPr="00374A1D">
        <w:t xml:space="preserve"> and providing assurance to Government that Australia’s critical </w:t>
      </w:r>
      <w:r>
        <w:t>infrastructure is</w:t>
      </w:r>
      <w:r w:rsidRPr="00374A1D">
        <w:t xml:space="preserve"> being managed in a secure and resilient manner. This focus was initially reflected in the passage of the </w:t>
      </w:r>
      <w:r w:rsidRPr="00374A1D">
        <w:rPr>
          <w:i/>
          <w:iCs/>
        </w:rPr>
        <w:t>Security of Critical Infrastructure Act 2018</w:t>
      </w:r>
      <w:r w:rsidRPr="00374A1D">
        <w:t xml:space="preserve"> (Cth) (</w:t>
      </w:r>
      <w:r w:rsidR="00384419">
        <w:t>SOCI Act</w:t>
      </w:r>
      <w:r w:rsidRPr="00374A1D">
        <w:t>), which sought to manage national security risks arising from foreign involvement in Australia’s critical infrastructure assets.</w:t>
      </w:r>
      <w:r w:rsidR="00951613">
        <w:t xml:space="preserve"> </w:t>
      </w:r>
    </w:p>
    <w:p w14:paraId="0A62B530" w14:textId="1E26113E" w:rsidR="00196FFB" w:rsidRDefault="0036702E" w:rsidP="00356D09">
      <w:pPr>
        <w:pStyle w:val="BodyText"/>
      </w:pPr>
      <w:r w:rsidRPr="00A64DB7">
        <w:t xml:space="preserve">The </w:t>
      </w:r>
      <w:r w:rsidRPr="00D4692D">
        <w:t xml:space="preserve">Security </w:t>
      </w:r>
      <w:r w:rsidRPr="00CC0AC3">
        <w:t xml:space="preserve">Legislation Amendment (Critical Infrastructure) Bill 2020 </w:t>
      </w:r>
      <w:r w:rsidRPr="00A64DB7">
        <w:t>(SLAC</w:t>
      </w:r>
      <w:r w:rsidR="00054432">
        <w:t xml:space="preserve">I </w:t>
      </w:r>
      <w:r w:rsidR="006F1E68">
        <w:t>Bill</w:t>
      </w:r>
      <w:r w:rsidRPr="00A64DB7">
        <w:t xml:space="preserve">) was </w:t>
      </w:r>
      <w:r w:rsidRPr="00531F25">
        <w:t>first</w:t>
      </w:r>
      <w:r w:rsidRPr="00A64DB7">
        <w:t xml:space="preserve"> introduced to Parliament in </w:t>
      </w:r>
      <w:r w:rsidRPr="00356D09">
        <w:t>December</w:t>
      </w:r>
      <w:r w:rsidRPr="00A64DB7">
        <w:t xml:space="preserve"> 2020</w:t>
      </w:r>
      <w:r w:rsidR="00054432">
        <w:t xml:space="preserve"> and</w:t>
      </w:r>
      <w:r w:rsidRPr="00A64DB7">
        <w:t xml:space="preserve"> s</w:t>
      </w:r>
      <w:r w:rsidR="00054432">
        <w:t>ought</w:t>
      </w:r>
      <w:r w:rsidRPr="00A64DB7">
        <w:t xml:space="preserve"> to amend the </w:t>
      </w:r>
      <w:r w:rsidR="00384419">
        <w:t>SOCI Act</w:t>
      </w:r>
      <w:r w:rsidRPr="00A64DB7">
        <w:t xml:space="preserve"> to include more sectors with increased obligations</w:t>
      </w:r>
      <w:r w:rsidR="00B52AF2">
        <w:t>.</w:t>
      </w:r>
      <w:r w:rsidR="00693416">
        <w:t xml:space="preserve"> It sought to expand coverage </w:t>
      </w:r>
      <w:r w:rsidR="0045502B">
        <w:t xml:space="preserve">of the Act </w:t>
      </w:r>
      <w:r w:rsidR="0066224D">
        <w:t xml:space="preserve">from four sectors (electricity, gas, water and ports) </w:t>
      </w:r>
      <w:r w:rsidR="001D4BEF">
        <w:t>to eleven sectors (communications, financial services and markets, data storage and processing, defence industry, higher education and research, energy, food and grocery, health care and medical, space technology, transport</w:t>
      </w:r>
      <w:r w:rsidR="00AF0A9F">
        <w:t xml:space="preserve"> </w:t>
      </w:r>
      <w:r w:rsidR="001D4BEF">
        <w:t>and water and sewerage)</w:t>
      </w:r>
      <w:r w:rsidR="00934974">
        <w:t>.</w:t>
      </w:r>
      <w:r w:rsidR="00D5067D">
        <w:t xml:space="preserve"> </w:t>
      </w:r>
      <w:r w:rsidR="003E3755">
        <w:t>It also sought t</w:t>
      </w:r>
      <w:r w:rsidR="00934974">
        <w:t>o</w:t>
      </w:r>
      <w:r w:rsidR="003E3755">
        <w:t xml:space="preserve"> introduce </w:t>
      </w:r>
      <w:r w:rsidR="004778F2">
        <w:t xml:space="preserve">positive security obligations for owners and </w:t>
      </w:r>
      <w:r w:rsidR="004778F2" w:rsidRPr="00356D09">
        <w:t>operators</w:t>
      </w:r>
      <w:r w:rsidR="004778F2">
        <w:t xml:space="preserve"> of critical infrastructure, such as a</w:t>
      </w:r>
      <w:r w:rsidR="003E3755">
        <w:t xml:space="preserve"> </w:t>
      </w:r>
      <w:r w:rsidR="009135D0">
        <w:t>r</w:t>
      </w:r>
      <w:r w:rsidR="003E3755">
        <w:t xml:space="preserve">egister of </w:t>
      </w:r>
      <w:r w:rsidR="009135D0">
        <w:t>cr</w:t>
      </w:r>
      <w:r w:rsidR="003E3755">
        <w:t xml:space="preserve">itical </w:t>
      </w:r>
      <w:r w:rsidR="009135D0">
        <w:t>i</w:t>
      </w:r>
      <w:r w:rsidR="003E3755">
        <w:t>nfrastructure asset</w:t>
      </w:r>
      <w:r w:rsidR="004778F2">
        <w:t>s and</w:t>
      </w:r>
      <w:r w:rsidR="00934974">
        <w:t xml:space="preserve"> </w:t>
      </w:r>
      <w:r w:rsidR="009135D0">
        <w:t>mandatory cyber security incident reporting</w:t>
      </w:r>
      <w:r w:rsidR="00E93840">
        <w:t xml:space="preserve">, </w:t>
      </w:r>
      <w:r w:rsidR="004778F2">
        <w:t xml:space="preserve">as well as </w:t>
      </w:r>
      <w:r w:rsidR="00E93840">
        <w:t>last-resort government assistance powers</w:t>
      </w:r>
      <w:r w:rsidR="004778F2">
        <w:t>,</w:t>
      </w:r>
      <w:r w:rsidR="00934974">
        <w:t xml:space="preserve"> </w:t>
      </w:r>
      <w:r w:rsidR="004778F2">
        <w:t xml:space="preserve">and </w:t>
      </w:r>
      <w:r w:rsidR="00934974">
        <w:t>information gather</w:t>
      </w:r>
      <w:r w:rsidR="009B078C">
        <w:t>ing</w:t>
      </w:r>
      <w:r w:rsidR="004778F2">
        <w:t xml:space="preserve"> </w:t>
      </w:r>
      <w:r w:rsidR="009B078C">
        <w:t>and directions powers for the Department of Home Affairs</w:t>
      </w:r>
      <w:r w:rsidR="004F09E4">
        <w:t xml:space="preserve">. </w:t>
      </w:r>
      <w:r w:rsidR="00092395">
        <w:t xml:space="preserve">These aimed to provide the government with a clearer picture of critical infrastructure ownership and control, as well as enhanced opportunities to assist industry with </w:t>
      </w:r>
      <w:r w:rsidR="0013748C">
        <w:t xml:space="preserve">its cybersecurity resilience and incident response. </w:t>
      </w:r>
    </w:p>
    <w:p w14:paraId="0B000A46" w14:textId="072DA480" w:rsidR="004778F2" w:rsidRDefault="004F09E4" w:rsidP="00356D09">
      <w:pPr>
        <w:pStyle w:val="BodyText"/>
      </w:pPr>
      <w:r w:rsidRPr="00B518B4">
        <w:t>As part of the positive security obligations,</w:t>
      </w:r>
      <w:r w:rsidR="00C341B0" w:rsidRPr="00B518B4">
        <w:t xml:space="preserve"> </w:t>
      </w:r>
      <w:r w:rsidR="00C341B0" w:rsidRPr="00232B6B">
        <w:t>t</w:t>
      </w:r>
      <w:r w:rsidR="006F1E68" w:rsidRPr="00232B6B">
        <w:t>he</w:t>
      </w:r>
      <w:r w:rsidR="0036702E" w:rsidRPr="00232B6B">
        <w:t xml:space="preserve"> SLACI</w:t>
      </w:r>
      <w:r w:rsidR="006F1E68" w:rsidRPr="00232B6B">
        <w:t xml:space="preserve"> </w:t>
      </w:r>
      <w:r w:rsidR="00B52AF2" w:rsidRPr="00232B6B">
        <w:t xml:space="preserve">Bill </w:t>
      </w:r>
      <w:r w:rsidRPr="00232B6B">
        <w:t xml:space="preserve">also </w:t>
      </w:r>
      <w:r w:rsidR="00D728B6" w:rsidRPr="00232B6B">
        <w:t xml:space="preserve">sought </w:t>
      </w:r>
      <w:r w:rsidR="00C341B0" w:rsidRPr="00232B6B">
        <w:t xml:space="preserve">to introduce compliance with an all-hazards </w:t>
      </w:r>
      <w:r w:rsidR="00BB0179" w:rsidRPr="00232B6B">
        <w:t>R</w:t>
      </w:r>
      <w:r w:rsidR="00054432" w:rsidRPr="00232B6B">
        <w:t xml:space="preserve">isk </w:t>
      </w:r>
      <w:r w:rsidR="00BB0179" w:rsidRPr="00232B6B">
        <w:t>M</w:t>
      </w:r>
      <w:r w:rsidR="00054432" w:rsidRPr="00232B6B">
        <w:t xml:space="preserve">anagement </w:t>
      </w:r>
      <w:r w:rsidR="00D728B6" w:rsidRPr="00232B6B">
        <w:t>Program</w:t>
      </w:r>
      <w:r w:rsidR="00FE6BFD" w:rsidRPr="00232B6B">
        <w:t xml:space="preserve"> </w:t>
      </w:r>
      <w:r w:rsidR="00054432" w:rsidRPr="00232B6B">
        <w:t>(RMP)</w:t>
      </w:r>
      <w:r w:rsidR="0036702E" w:rsidRPr="00232B6B">
        <w:t xml:space="preserve"> </w:t>
      </w:r>
      <w:r w:rsidR="00C341B0" w:rsidRPr="00232B6B">
        <w:t>for particular critical infrastructure as</w:t>
      </w:r>
      <w:r w:rsidR="00196FFB" w:rsidRPr="00232B6B">
        <w:t>sets.</w:t>
      </w:r>
      <w:r w:rsidR="0013748C" w:rsidRPr="00232B6B">
        <w:t xml:space="preserve"> </w:t>
      </w:r>
      <w:r w:rsidR="00232B6B" w:rsidRPr="00C57B69">
        <w:t>This would require responsible entities for critical infrastructure assets to have and comply with a</w:t>
      </w:r>
      <w:r w:rsidR="00A35D89">
        <w:t xml:space="preserve">n RMP </w:t>
      </w:r>
      <w:r w:rsidR="00232B6B" w:rsidRPr="00C57B69">
        <w:t xml:space="preserve">that identifies each hazard where there is a material risk that the occurrence of the hazard could have a relevant impact on the asset, minimises the material risk of the hazard and mitigates the relevant impact of the hazard on the asset. </w:t>
      </w:r>
    </w:p>
    <w:p w14:paraId="6FA42AE6" w14:textId="0E87A0E4" w:rsidR="0036702E" w:rsidRPr="009B5482" w:rsidRDefault="00C341B0" w:rsidP="00356D09">
      <w:pPr>
        <w:pStyle w:val="BodyText"/>
      </w:pPr>
      <w:r>
        <w:t>T</w:t>
      </w:r>
      <w:r w:rsidR="0036702E" w:rsidRPr="00374A1D">
        <w:t xml:space="preserve">he regulatory impact </w:t>
      </w:r>
      <w:r w:rsidR="0036702E" w:rsidRPr="009B5482">
        <w:t xml:space="preserve">of </w:t>
      </w:r>
      <w:r w:rsidR="00612D93">
        <w:t xml:space="preserve">the </w:t>
      </w:r>
      <w:r w:rsidR="0036702E" w:rsidRPr="00531F25">
        <w:t>SLACI</w:t>
      </w:r>
      <w:r w:rsidR="006F1E68">
        <w:t xml:space="preserve"> Bill</w:t>
      </w:r>
      <w:r w:rsidR="0036702E" w:rsidRPr="00531F25">
        <w:t>’s</w:t>
      </w:r>
      <w:r w:rsidR="0036702E" w:rsidRPr="009B5482">
        <w:t xml:space="preserve"> positive security obligations (excluding the </w:t>
      </w:r>
      <w:r w:rsidR="00BB0179">
        <w:t>RMP</w:t>
      </w:r>
      <w:r w:rsidR="0036702E" w:rsidRPr="009B5482">
        <w:t xml:space="preserve"> obligations), Enhanced Cyber Security Obligations</w:t>
      </w:r>
      <w:r w:rsidR="00023423">
        <w:t>,</w:t>
      </w:r>
      <w:r w:rsidR="0036702E" w:rsidRPr="009B5482">
        <w:t xml:space="preserve"> and enhanced </w:t>
      </w:r>
      <w:r w:rsidR="00023423">
        <w:t>M</w:t>
      </w:r>
      <w:r w:rsidR="0036702E" w:rsidRPr="009B5482">
        <w:t xml:space="preserve">inisterial </w:t>
      </w:r>
      <w:r w:rsidR="00023423">
        <w:t>D</w:t>
      </w:r>
      <w:r w:rsidR="0036702E" w:rsidRPr="009B5482">
        <w:t>irections were considered in a 2020 Regulation Impact Statement (RIS) titled ‘Critical Infrastructure, Systems of National Significance’ (‘the 2020 RIS’) (Office of Best Practice Regulation (OBPR) ID: 25902).</w:t>
      </w:r>
    </w:p>
    <w:p w14:paraId="080EA29C" w14:textId="35703C3C" w:rsidR="001C73CB" w:rsidRPr="009B5482" w:rsidRDefault="001C73CB" w:rsidP="00356D09">
      <w:pPr>
        <w:pStyle w:val="BodyText"/>
      </w:pPr>
      <w:r w:rsidRPr="00531F25">
        <w:t xml:space="preserve">Following a review </w:t>
      </w:r>
      <w:r w:rsidR="00131310">
        <w:t xml:space="preserve">of the SLACI Bill </w:t>
      </w:r>
      <w:r w:rsidRPr="00531F25">
        <w:t>by the Parliamentary Joint Committee</w:t>
      </w:r>
      <w:r w:rsidR="000B4180">
        <w:t xml:space="preserve"> </w:t>
      </w:r>
      <w:r w:rsidRPr="00531F25">
        <w:t>on Intelligence and Security</w:t>
      </w:r>
      <w:r w:rsidR="001C034B">
        <w:t xml:space="preserve"> of the 46</w:t>
      </w:r>
      <w:r w:rsidR="001C034B" w:rsidRPr="009B4B57">
        <w:rPr>
          <w:vertAlign w:val="superscript"/>
        </w:rPr>
        <w:t>th</w:t>
      </w:r>
      <w:r w:rsidR="001C034B">
        <w:t xml:space="preserve"> Parliament</w:t>
      </w:r>
      <w:r w:rsidRPr="00531F25">
        <w:t xml:space="preserve"> (</w:t>
      </w:r>
      <w:r w:rsidR="000B4180">
        <w:t xml:space="preserve">hereafter </w:t>
      </w:r>
      <w:r w:rsidRPr="00531F25">
        <w:t xml:space="preserve">PJCIS), </w:t>
      </w:r>
      <w:r w:rsidR="007C503A">
        <w:t xml:space="preserve">the </w:t>
      </w:r>
      <w:r w:rsidR="00054432">
        <w:t xml:space="preserve">SLACI </w:t>
      </w:r>
      <w:r w:rsidR="0022598E">
        <w:t>Bill</w:t>
      </w:r>
      <w:r w:rsidRPr="00531F25">
        <w:t xml:space="preserve"> was split into two</w:t>
      </w:r>
      <w:r w:rsidR="00131310">
        <w:t xml:space="preserve"> Bills as recommended by the PJCIS</w:t>
      </w:r>
      <w:r w:rsidRPr="00531F25">
        <w:t xml:space="preserve">; the </w:t>
      </w:r>
      <w:r w:rsidRPr="00531F25">
        <w:rPr>
          <w:i/>
        </w:rPr>
        <w:t>Security Legislation Amendment (Critical Infrastructure) Act 2021</w:t>
      </w:r>
      <w:r w:rsidRPr="00531F25">
        <w:t xml:space="preserve"> (SLACI Act), which received Royal Assent on 2 December 2021</w:t>
      </w:r>
      <w:r w:rsidR="00023423">
        <w:t>,</w:t>
      </w:r>
      <w:r w:rsidRPr="00531F25">
        <w:t xml:space="preserve"> and the </w:t>
      </w:r>
      <w:r w:rsidRPr="00AD5DC0">
        <w:rPr>
          <w:i/>
        </w:rPr>
        <w:t xml:space="preserve">Security Legislation </w:t>
      </w:r>
      <w:r w:rsidRPr="00AD5DC0">
        <w:rPr>
          <w:i/>
        </w:rPr>
        <w:lastRenderedPageBreak/>
        <w:t xml:space="preserve">Amendment (Critical Infrastructure Protection) </w:t>
      </w:r>
      <w:r w:rsidR="00C705BE">
        <w:rPr>
          <w:i/>
        </w:rPr>
        <w:t xml:space="preserve">Act 2022 </w:t>
      </w:r>
      <w:r w:rsidRPr="00531F25">
        <w:t xml:space="preserve">(SLACIP </w:t>
      </w:r>
      <w:r w:rsidR="00C705BE">
        <w:t>Act</w:t>
      </w:r>
      <w:r w:rsidRPr="00531F25">
        <w:t>)</w:t>
      </w:r>
      <w:r w:rsidR="00C705BE">
        <w:t>, which received Royal Assent on 1 April 2022</w:t>
      </w:r>
      <w:r w:rsidRPr="00531F25">
        <w:t xml:space="preserve">. The SLACIP </w:t>
      </w:r>
      <w:r w:rsidR="00C705BE">
        <w:t>Act</w:t>
      </w:r>
      <w:r w:rsidR="00C705BE" w:rsidRPr="00531F25">
        <w:t xml:space="preserve"> </w:t>
      </w:r>
      <w:r w:rsidRPr="00531F25">
        <w:t xml:space="preserve">includes </w:t>
      </w:r>
      <w:r w:rsidR="00D728B6">
        <w:t xml:space="preserve">the </w:t>
      </w:r>
      <w:r w:rsidRPr="00531F25">
        <w:t xml:space="preserve">positive security obligation requiring critical infrastructure assets to develop and maintain a </w:t>
      </w:r>
      <w:r w:rsidR="00023423">
        <w:t>RMP</w:t>
      </w:r>
      <w:r w:rsidRPr="00531F25">
        <w:t>.</w:t>
      </w:r>
    </w:p>
    <w:p w14:paraId="3480E143" w14:textId="4EC45F6A" w:rsidR="0036702E" w:rsidRPr="009B5482" w:rsidRDefault="0036702E" w:rsidP="00356D09">
      <w:pPr>
        <w:pStyle w:val="BodyText"/>
      </w:pPr>
      <w:r w:rsidRPr="009B5482">
        <w:t xml:space="preserve">While </w:t>
      </w:r>
      <w:r w:rsidR="002A7EF7" w:rsidRPr="009B5482">
        <w:t xml:space="preserve">the </w:t>
      </w:r>
      <w:r w:rsidRPr="00531F25">
        <w:t>SLACI</w:t>
      </w:r>
      <w:r w:rsidR="002A7EF7" w:rsidRPr="009B5482">
        <w:t>P</w:t>
      </w:r>
      <w:r w:rsidRPr="009B5482">
        <w:t xml:space="preserve"> </w:t>
      </w:r>
      <w:r w:rsidR="00C705BE">
        <w:t>Act</w:t>
      </w:r>
      <w:r w:rsidR="00C705BE" w:rsidRPr="009B5482">
        <w:t xml:space="preserve"> </w:t>
      </w:r>
      <w:r w:rsidRPr="009B5482">
        <w:t>outline</w:t>
      </w:r>
      <w:r w:rsidR="002A7EF7" w:rsidRPr="009B5482">
        <w:t>s</w:t>
      </w:r>
      <w:r w:rsidRPr="009B5482">
        <w:t xml:space="preserve"> the broad requirements for the proposed </w:t>
      </w:r>
      <w:r w:rsidR="00BB0179">
        <w:t>RMP</w:t>
      </w:r>
      <w:r w:rsidR="00662A00">
        <w:t xml:space="preserve"> (outlined above)</w:t>
      </w:r>
      <w:r w:rsidRPr="009B5482">
        <w:t>, it also provide</w:t>
      </w:r>
      <w:r w:rsidR="002A7EF7" w:rsidRPr="009B5482">
        <w:t>s</w:t>
      </w:r>
      <w:r w:rsidRPr="009B5482">
        <w:t xml:space="preserve"> for the Minister for Home Affairs (the Minister) to make rules which outline </w:t>
      </w:r>
      <w:r w:rsidR="00662A00">
        <w:t xml:space="preserve">more specific </w:t>
      </w:r>
      <w:r w:rsidRPr="009B5482">
        <w:t xml:space="preserve">requirements for an organisation’s </w:t>
      </w:r>
      <w:r w:rsidR="00BB0179">
        <w:t>RMP</w:t>
      </w:r>
      <w:r w:rsidRPr="009B5482">
        <w:t xml:space="preserve">. The Department has committed to develop these rules through a process of </w:t>
      </w:r>
      <w:r w:rsidRPr="00531F25">
        <w:t>consultation</w:t>
      </w:r>
      <w:r w:rsidRPr="009B5482">
        <w:t xml:space="preserve"> with key industry stakeholders, </w:t>
      </w:r>
      <w:r w:rsidR="00CC6573" w:rsidRPr="009B5482">
        <w:t>to</w:t>
      </w:r>
      <w:r w:rsidRPr="009B5482">
        <w:t>:</w:t>
      </w:r>
    </w:p>
    <w:p w14:paraId="4F4E8FB8" w14:textId="77777777" w:rsidR="0036702E" w:rsidRPr="009B5482" w:rsidRDefault="0036702E" w:rsidP="001E683F">
      <w:pPr>
        <w:pStyle w:val="Bullet1stlevel"/>
      </w:pPr>
      <w:r w:rsidRPr="009B5482">
        <w:t xml:space="preserve">ensure that there are rules in place for each sector that will drive an uplift in the security and resilience of critical infrastructure assets; and </w:t>
      </w:r>
    </w:p>
    <w:p w14:paraId="13EC7185" w14:textId="77777777" w:rsidR="0036702E" w:rsidRPr="00CC6573" w:rsidRDefault="0036702E" w:rsidP="00356D09">
      <w:pPr>
        <w:pStyle w:val="Bullet1stlevel"/>
      </w:pPr>
      <w:r w:rsidRPr="00CC6573">
        <w:t xml:space="preserve">assess whether there are existing regulations that meet the objectives of the </w:t>
      </w:r>
      <w:r w:rsidR="00BB0179" w:rsidRPr="00CC6573">
        <w:t>RMP</w:t>
      </w:r>
      <w:r w:rsidR="00023423">
        <w:t>,</w:t>
      </w:r>
      <w:r w:rsidRPr="00CC6573">
        <w:t xml:space="preserve"> to reduce regulatory </w:t>
      </w:r>
      <w:r w:rsidRPr="00356D09">
        <w:t>burden</w:t>
      </w:r>
      <w:r w:rsidRPr="00CC6573">
        <w:t xml:space="preserve"> where possible.</w:t>
      </w:r>
    </w:p>
    <w:p w14:paraId="70CBAF77" w14:textId="5F7BE77F" w:rsidR="0036702E" w:rsidRDefault="005E015D" w:rsidP="00356D09">
      <w:pPr>
        <w:pStyle w:val="BodyText"/>
      </w:pPr>
      <w:r w:rsidRPr="009B5482">
        <w:t xml:space="preserve">This RIS is focussed on the potential costs for the implementation of the </w:t>
      </w:r>
      <w:r w:rsidR="00BB0179">
        <w:t>RMP</w:t>
      </w:r>
      <w:r w:rsidR="00F67243">
        <w:t xml:space="preserve"> </w:t>
      </w:r>
      <w:r w:rsidR="0067650D">
        <w:t xml:space="preserve">obligations </w:t>
      </w:r>
      <w:r w:rsidR="00F67243">
        <w:t xml:space="preserve">that are set out in the </w:t>
      </w:r>
      <w:r w:rsidR="00F67243" w:rsidRPr="00356D09">
        <w:t>SLACIP</w:t>
      </w:r>
      <w:r w:rsidR="00F67243">
        <w:t xml:space="preserve"> </w:t>
      </w:r>
      <w:r w:rsidR="00C705BE">
        <w:t>Act</w:t>
      </w:r>
      <w:r w:rsidR="00F67243">
        <w:t>.</w:t>
      </w:r>
      <w:r w:rsidRPr="009B5482">
        <w:t xml:space="preserve"> </w:t>
      </w:r>
      <w:r w:rsidR="007D60D0">
        <w:t xml:space="preserve">These RMP obligations are </w:t>
      </w:r>
      <w:r w:rsidRPr="009B5482">
        <w:t xml:space="preserve">underpinned by sector-agnostic </w:t>
      </w:r>
      <w:r w:rsidR="00BB0179">
        <w:t>RMP</w:t>
      </w:r>
      <w:r w:rsidR="0016603A" w:rsidRPr="00531F25">
        <w:t xml:space="preserve"> rules</w:t>
      </w:r>
      <w:r w:rsidRPr="009B5482">
        <w:t xml:space="preserve">, for owners and operators of </w:t>
      </w:r>
      <w:r w:rsidR="00023423">
        <w:t>1</w:t>
      </w:r>
      <w:r w:rsidR="00F709C0">
        <w:t>3</w:t>
      </w:r>
      <w:r w:rsidR="00EF47F5">
        <w:t xml:space="preserve"> </w:t>
      </w:r>
      <w:r w:rsidR="00CC6573">
        <w:t>critical infrastructure asset classes</w:t>
      </w:r>
      <w:r w:rsidR="00337546">
        <w:t xml:space="preserve"> </w:t>
      </w:r>
      <w:r w:rsidR="00D728B6">
        <w:t>defined in the SLACI Act</w:t>
      </w:r>
      <w:r w:rsidR="00337546">
        <w:t xml:space="preserve"> (referred to for the purposes of this RIS as ‘relevant critical infrastructure asset</w:t>
      </w:r>
      <w:r w:rsidR="00930DEB">
        <w:t>(s))</w:t>
      </w:r>
      <w:r w:rsidR="00CC6573">
        <w:t>:</w:t>
      </w:r>
    </w:p>
    <w:p w14:paraId="51175241" w14:textId="77777777" w:rsidR="00CC6573" w:rsidRDefault="00CC6573" w:rsidP="00356D09">
      <w:pPr>
        <w:pStyle w:val="Bullet1stlevel"/>
      </w:pPr>
      <w:r>
        <w:t>critical electricity assets</w:t>
      </w:r>
      <w:r w:rsidR="00E44D8A">
        <w:t>;</w:t>
      </w:r>
    </w:p>
    <w:p w14:paraId="06BB625B" w14:textId="77777777" w:rsidR="00CC6573" w:rsidRDefault="00CC6573" w:rsidP="00356D09">
      <w:pPr>
        <w:pStyle w:val="Bullet1stlevel"/>
      </w:pPr>
      <w:r>
        <w:t>critical gas assets</w:t>
      </w:r>
      <w:r w:rsidR="00E44D8A">
        <w:t>;</w:t>
      </w:r>
    </w:p>
    <w:p w14:paraId="5DB8EF42" w14:textId="77777777" w:rsidR="00CC6573" w:rsidRDefault="00CC6573" w:rsidP="00356D09">
      <w:pPr>
        <w:pStyle w:val="Bullet1stlevel"/>
      </w:pPr>
      <w:r>
        <w:t>critical water assets</w:t>
      </w:r>
      <w:r w:rsidR="00E44D8A">
        <w:t>;</w:t>
      </w:r>
    </w:p>
    <w:p w14:paraId="1ABFABA4" w14:textId="77777777" w:rsidR="00CC6573" w:rsidRDefault="00CC6573" w:rsidP="00356D09">
      <w:pPr>
        <w:pStyle w:val="Bullet1stlevel"/>
      </w:pPr>
      <w:r>
        <w:t>critical data processing or stor</w:t>
      </w:r>
      <w:r w:rsidR="00AF4FF1">
        <w:t>a</w:t>
      </w:r>
      <w:r>
        <w:t>ge assets</w:t>
      </w:r>
      <w:r w:rsidR="00E44D8A">
        <w:t>;</w:t>
      </w:r>
    </w:p>
    <w:p w14:paraId="4628854D" w14:textId="77777777" w:rsidR="00CC6573" w:rsidRDefault="00CC6573" w:rsidP="00356D09">
      <w:pPr>
        <w:pStyle w:val="Bullet1stlevel"/>
      </w:pPr>
      <w:r>
        <w:t>critical broadcasting assets</w:t>
      </w:r>
      <w:r w:rsidR="00E44D8A">
        <w:t>;</w:t>
      </w:r>
    </w:p>
    <w:p w14:paraId="1B8EA2D5" w14:textId="77777777" w:rsidR="00CC6573" w:rsidRDefault="00CC6573" w:rsidP="00356D09">
      <w:pPr>
        <w:pStyle w:val="Bullet1stlevel"/>
      </w:pPr>
      <w:r>
        <w:t>critical financial market infrastructure assets (specifically payment systems)</w:t>
      </w:r>
      <w:r w:rsidR="00E44D8A">
        <w:t>;</w:t>
      </w:r>
    </w:p>
    <w:p w14:paraId="698ACE6D" w14:textId="77777777" w:rsidR="00C85133" w:rsidRDefault="00BC3EA6" w:rsidP="00356D09">
      <w:pPr>
        <w:pStyle w:val="Bullet1stlevel"/>
      </w:pPr>
      <w:r>
        <w:t>critical domain name systems</w:t>
      </w:r>
      <w:r w:rsidR="00E44D8A">
        <w:t>;</w:t>
      </w:r>
    </w:p>
    <w:p w14:paraId="0D1E1301" w14:textId="77777777" w:rsidR="00BC3EA6" w:rsidRDefault="00BC3EA6" w:rsidP="00356D09">
      <w:pPr>
        <w:pStyle w:val="Bullet1stlevel"/>
      </w:pPr>
      <w:r>
        <w:t>critical liquid fuels assets</w:t>
      </w:r>
      <w:r w:rsidR="00E44D8A">
        <w:t>;</w:t>
      </w:r>
    </w:p>
    <w:p w14:paraId="55CBB3F3" w14:textId="42E872BA" w:rsidR="00BC3EA6" w:rsidRDefault="00BC3EA6" w:rsidP="00356D09">
      <w:pPr>
        <w:pStyle w:val="Bullet1stlevel"/>
      </w:pPr>
      <w:r>
        <w:t>critical hospital</w:t>
      </w:r>
      <w:r w:rsidR="00AF4FF1">
        <w:t xml:space="preserve"> assets</w:t>
      </w:r>
      <w:r w:rsidR="00E44D8A">
        <w:t xml:space="preserve">; </w:t>
      </w:r>
    </w:p>
    <w:p w14:paraId="02C36007" w14:textId="7BA7E07C" w:rsidR="00BC3EA6" w:rsidRDefault="00BC3EA6" w:rsidP="00356D09">
      <w:pPr>
        <w:pStyle w:val="Bullet1stlevel"/>
      </w:pPr>
      <w:r>
        <w:t>critical energy market operator asset</w:t>
      </w:r>
      <w:r w:rsidR="0061391E">
        <w:t>s;</w:t>
      </w:r>
    </w:p>
    <w:p w14:paraId="1121FD56" w14:textId="2F6CC9AE" w:rsidR="00E41F99" w:rsidRDefault="0061391E" w:rsidP="00356D09">
      <w:pPr>
        <w:pStyle w:val="Bullet1stlevel"/>
      </w:pPr>
      <w:r>
        <w:t>critical freight infrastructure</w:t>
      </w:r>
      <w:r w:rsidR="00E41F99">
        <w:t>;</w:t>
      </w:r>
      <w:r>
        <w:t xml:space="preserve"> </w:t>
      </w:r>
    </w:p>
    <w:p w14:paraId="78C2E3A3" w14:textId="7B81EA2E" w:rsidR="0061391E" w:rsidRDefault="0061391E" w:rsidP="00356D09">
      <w:pPr>
        <w:pStyle w:val="Bullet1stlevel"/>
      </w:pPr>
      <w:r>
        <w:t>critical freight services assets</w:t>
      </w:r>
      <w:r w:rsidR="00744074">
        <w:t>; and</w:t>
      </w:r>
    </w:p>
    <w:p w14:paraId="071B2CF5" w14:textId="7E6C7E81" w:rsidR="00744074" w:rsidRDefault="007D2C33" w:rsidP="00356D09">
      <w:pPr>
        <w:pStyle w:val="Bullet1stlevel"/>
      </w:pPr>
      <w:r>
        <w:t>critical food and grocery assets.</w:t>
      </w:r>
    </w:p>
    <w:p w14:paraId="1C478B7E" w14:textId="4201DBF9" w:rsidR="00E44D8A" w:rsidRPr="00326582" w:rsidRDefault="00E44D8A" w:rsidP="00356D09">
      <w:pPr>
        <w:pStyle w:val="BodyText"/>
      </w:pPr>
      <w:r>
        <w:t xml:space="preserve">The </w:t>
      </w:r>
      <w:r w:rsidR="00930DEB">
        <w:t>leg</w:t>
      </w:r>
      <w:r w:rsidR="00A105A2">
        <w:t>al</w:t>
      </w:r>
      <w:r w:rsidR="00930DEB">
        <w:t xml:space="preserve"> </w:t>
      </w:r>
      <w:r w:rsidRPr="00326582">
        <w:t xml:space="preserve">definition of each </w:t>
      </w:r>
      <w:r w:rsidR="00337546" w:rsidRPr="00326582">
        <w:t xml:space="preserve">relevant </w:t>
      </w:r>
      <w:r w:rsidR="00930DEB" w:rsidRPr="00326582">
        <w:t>critical infrastructure asset</w:t>
      </w:r>
      <w:r w:rsidRPr="00326582">
        <w:t xml:space="preserve"> </w:t>
      </w:r>
      <w:r w:rsidR="00655BB3" w:rsidRPr="00326582">
        <w:t>is contained in Appendi</w:t>
      </w:r>
      <w:r w:rsidR="00195AC5" w:rsidRPr="00326582">
        <w:t xml:space="preserve">ces </w:t>
      </w:r>
      <w:r w:rsidR="00D57A98" w:rsidRPr="00326582">
        <w:t>G</w:t>
      </w:r>
      <w:r w:rsidR="00195AC5" w:rsidRPr="00326582">
        <w:t xml:space="preserve"> – </w:t>
      </w:r>
      <w:r w:rsidR="00355B19">
        <w:t>R</w:t>
      </w:r>
      <w:r w:rsidR="00655BB3" w:rsidRPr="00326582">
        <w:t xml:space="preserve">. </w:t>
      </w:r>
    </w:p>
    <w:p w14:paraId="7FBF14EC" w14:textId="520B49EA" w:rsidR="0036702E" w:rsidRPr="00374A1D" w:rsidRDefault="0036702E" w:rsidP="00356D09">
      <w:pPr>
        <w:pStyle w:val="BodyText"/>
      </w:pPr>
      <w:r w:rsidRPr="00374A1D">
        <w:t>The diagram below provides an overview of the proposed regulatory framework considered throughout this RIS</w:t>
      </w:r>
      <w:r w:rsidR="00023423">
        <w:t>,</w:t>
      </w:r>
      <w:r w:rsidRPr="00374A1D">
        <w:t xml:space="preserve"> and the existing regulatory environment in which the</w:t>
      </w:r>
      <w:r w:rsidR="007D60D0">
        <w:t xml:space="preserve"> SLACIP</w:t>
      </w:r>
      <w:r w:rsidRPr="00374A1D">
        <w:t xml:space="preserve"> </w:t>
      </w:r>
      <w:r w:rsidR="00D721DC">
        <w:t>Act</w:t>
      </w:r>
      <w:r w:rsidR="00D721DC" w:rsidRPr="00374A1D">
        <w:t xml:space="preserve">’s </w:t>
      </w:r>
      <w:r w:rsidR="007D60D0">
        <w:t>RMP</w:t>
      </w:r>
      <w:r w:rsidR="007E6864">
        <w:t xml:space="preserve"> </w:t>
      </w:r>
      <w:r w:rsidRPr="00374A1D">
        <w:t>obligations, and proposed rules, would operate.</w:t>
      </w:r>
      <w:r>
        <w:t xml:space="preserve"> </w:t>
      </w:r>
      <w:r w:rsidRPr="00F11381">
        <w:t>F</w:t>
      </w:r>
      <w:r>
        <w:t>or the purposes of this RIS</w:t>
      </w:r>
      <w:r w:rsidRPr="00F11381">
        <w:t xml:space="preserve">, a reference to the </w:t>
      </w:r>
      <w:r w:rsidR="00BB0179">
        <w:t>RMP</w:t>
      </w:r>
      <w:r w:rsidRPr="00F11381">
        <w:t xml:space="preserve"> framework is a reference to the </w:t>
      </w:r>
      <w:r w:rsidR="00BB0179">
        <w:t>RMP</w:t>
      </w:r>
      <w:r w:rsidRPr="00F11381">
        <w:t xml:space="preserve"> obligations contained in the </w:t>
      </w:r>
      <w:r w:rsidR="00DC698D">
        <w:t>SLACIP Act</w:t>
      </w:r>
      <w:r w:rsidRPr="00F11381">
        <w:t xml:space="preserve">, as well as sector-agnostic </w:t>
      </w:r>
      <w:r w:rsidR="0016603A" w:rsidRPr="00531F25">
        <w:t>RMP rules</w:t>
      </w:r>
      <w:r w:rsidRPr="00D01BB4">
        <w:t>,</w:t>
      </w:r>
      <w:r w:rsidRPr="00F11381">
        <w:t xml:space="preserve"> as indic</w:t>
      </w:r>
      <w:r>
        <w:t>ated by the black box</w:t>
      </w:r>
      <w:r w:rsidRPr="00F11381">
        <w:t xml:space="preserve"> in Figure</w:t>
      </w:r>
      <w:r w:rsidR="00023423">
        <w:t> </w:t>
      </w:r>
      <w:r w:rsidRPr="00F11381">
        <w:t>1</w:t>
      </w:r>
      <w:r>
        <w:t xml:space="preserve"> below</w:t>
      </w:r>
      <w:r w:rsidR="00023423">
        <w:t>:</w:t>
      </w:r>
    </w:p>
    <w:p w14:paraId="6092A2C2" w14:textId="49272466" w:rsidR="0036702E" w:rsidRPr="00374A1D" w:rsidRDefault="0036702E" w:rsidP="00166AD0">
      <w:pPr>
        <w:pStyle w:val="Caption"/>
        <w:spacing w:after="240"/>
        <w:rPr>
          <w:b/>
        </w:rPr>
      </w:pPr>
      <w:bookmarkStart w:id="5" w:name="_Toc94519462"/>
      <w:r w:rsidRPr="00166AD0">
        <w:rPr>
          <w:b/>
          <w:bCs/>
        </w:rPr>
        <w:lastRenderedPageBreak/>
        <w:t xml:space="preserve">Figure </w:t>
      </w:r>
      <w:r w:rsidRPr="00166AD0">
        <w:rPr>
          <w:b/>
          <w:bCs/>
        </w:rPr>
        <w:fldChar w:fldCharType="begin"/>
      </w:r>
      <w:r w:rsidRPr="00166AD0">
        <w:rPr>
          <w:b/>
          <w:bCs/>
        </w:rPr>
        <w:instrText xml:space="preserve"> SEQ Figure \* ARABIC </w:instrText>
      </w:r>
      <w:r w:rsidRPr="00166AD0">
        <w:rPr>
          <w:b/>
          <w:bCs/>
        </w:rPr>
        <w:fldChar w:fldCharType="separate"/>
      </w:r>
      <w:r w:rsidR="009708D4">
        <w:rPr>
          <w:b/>
          <w:bCs/>
          <w:noProof/>
        </w:rPr>
        <w:t>1</w:t>
      </w:r>
      <w:r w:rsidRPr="00166AD0">
        <w:rPr>
          <w:b/>
          <w:bCs/>
        </w:rPr>
        <w:fldChar w:fldCharType="end"/>
      </w:r>
      <w:r w:rsidR="007D5C6E">
        <w:rPr>
          <w:b/>
          <w:bCs/>
        </w:rPr>
        <w:t>:</w:t>
      </w:r>
      <w:r w:rsidRPr="00374A1D">
        <w:t xml:space="preserve"> Overview of proposed </w:t>
      </w:r>
      <w:r w:rsidRPr="00166AD0">
        <w:t>regulatory</w:t>
      </w:r>
      <w:r w:rsidRPr="00374A1D">
        <w:t xml:space="preserve"> framework</w:t>
      </w:r>
      <w:bookmarkEnd w:id="5"/>
    </w:p>
    <w:p w14:paraId="747AE495" w14:textId="6564F308" w:rsidR="0036702E" w:rsidRDefault="005129C8" w:rsidP="00166AD0">
      <w:pPr>
        <w:pStyle w:val="BodyText"/>
      </w:pPr>
      <w:r>
        <w:rPr>
          <w:noProof/>
          <w:lang w:eastAsia="en-AU"/>
        </w:rPr>
        <w:drawing>
          <wp:inline distT="0" distB="0" distL="0" distR="0" wp14:anchorId="68FE0982" wp14:editId="71144451">
            <wp:extent cx="6042991" cy="4645641"/>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0371" cy="4651315"/>
                    </a:xfrm>
                    <a:prstGeom prst="rect">
                      <a:avLst/>
                    </a:prstGeom>
                    <a:noFill/>
                  </pic:spPr>
                </pic:pic>
              </a:graphicData>
            </a:graphic>
          </wp:inline>
        </w:drawing>
      </w:r>
    </w:p>
    <w:p w14:paraId="01322B74" w14:textId="6A4CCD78" w:rsidR="00374A1D" w:rsidRPr="00374A1D" w:rsidRDefault="00374A1D" w:rsidP="001C5E54">
      <w:pPr>
        <w:pStyle w:val="Note"/>
      </w:pPr>
      <w:r w:rsidRPr="00374A1D">
        <w:rPr>
          <w:b/>
        </w:rPr>
        <w:t>Terminology note:</w:t>
      </w:r>
      <w:r w:rsidRPr="00374A1D">
        <w:t xml:space="preserve"> For the purposes of this RIS only, a reference to the </w:t>
      </w:r>
      <w:r w:rsidR="00BB0179">
        <w:t>RMP</w:t>
      </w:r>
      <w:r w:rsidRPr="00374A1D">
        <w:t xml:space="preserve"> framework is a reference to the </w:t>
      </w:r>
      <w:r w:rsidR="00BB0179">
        <w:t>RMP</w:t>
      </w:r>
      <w:r w:rsidRPr="00374A1D">
        <w:t xml:space="preserve"> obligations contained in the </w:t>
      </w:r>
      <w:r w:rsidR="00DC698D">
        <w:t>SLACIP Act</w:t>
      </w:r>
      <w:r w:rsidRPr="00374A1D">
        <w:t xml:space="preserve">, as well as sector-agnostic </w:t>
      </w:r>
      <w:r w:rsidR="0016603A">
        <w:t>RMP rules</w:t>
      </w:r>
      <w:r w:rsidRPr="00374A1D">
        <w:t>, as indicated above in Figure 1.</w:t>
      </w:r>
    </w:p>
    <w:p w14:paraId="7CB9B4D6" w14:textId="422F94F3" w:rsidR="000D5D78" w:rsidRPr="00531F25" w:rsidRDefault="00374A1D" w:rsidP="00356D09">
      <w:pPr>
        <w:pStyle w:val="BodyText"/>
      </w:pPr>
      <w:r w:rsidRPr="00374A1D">
        <w:t>In March 2021</w:t>
      </w:r>
      <w:r w:rsidR="00023423">
        <w:t>,</w:t>
      </w:r>
      <w:r w:rsidRPr="00374A1D">
        <w:t xml:space="preserve"> the Department completed a </w:t>
      </w:r>
      <w:r w:rsidR="00EA321B">
        <w:t>consultation</w:t>
      </w:r>
      <w:r w:rsidRPr="00374A1D">
        <w:t xml:space="preserve"> series with industry representatives from across the 1</w:t>
      </w:r>
      <w:r w:rsidR="00472DF9">
        <w:t>3</w:t>
      </w:r>
      <w:r w:rsidRPr="00374A1D">
        <w:t xml:space="preserve"> critical infrastructure </w:t>
      </w:r>
      <w:r w:rsidR="004B1433">
        <w:t>asset classes</w:t>
      </w:r>
      <w:r w:rsidR="004B1433" w:rsidRPr="00374A1D">
        <w:t xml:space="preserve"> </w:t>
      </w:r>
      <w:r w:rsidR="008B1193">
        <w:t>(</w:t>
      </w:r>
      <w:r w:rsidRPr="00374A1D">
        <w:t xml:space="preserve">outlined in </w:t>
      </w:r>
      <w:r w:rsidR="00402F59">
        <w:t xml:space="preserve">the </w:t>
      </w:r>
      <w:r w:rsidR="008B1193">
        <w:t>SLACI</w:t>
      </w:r>
      <w:r w:rsidR="00AF0553">
        <w:t xml:space="preserve"> Act</w:t>
      </w:r>
      <w:r w:rsidR="00051944">
        <w:t>)</w:t>
      </w:r>
      <w:r w:rsidR="008F4601">
        <w:t xml:space="preserve"> </w:t>
      </w:r>
      <w:r w:rsidRPr="00374A1D">
        <w:t xml:space="preserve">and Government stakeholders to develop </w:t>
      </w:r>
      <w:r w:rsidR="008E0A18">
        <w:t xml:space="preserve">what were then referred to as </w:t>
      </w:r>
      <w:r w:rsidRPr="00374A1D">
        <w:t xml:space="preserve">sector-agnostic </w:t>
      </w:r>
      <w:r w:rsidRPr="00D01BB4">
        <w:t xml:space="preserve">governance rules, which provide further specificity to the </w:t>
      </w:r>
      <w:r w:rsidR="00BB0179">
        <w:t>RMP</w:t>
      </w:r>
      <w:r w:rsidRPr="00D01BB4">
        <w:t xml:space="preserve"> requirements in the </w:t>
      </w:r>
      <w:r w:rsidR="00DC698D">
        <w:t>SLACIP Act</w:t>
      </w:r>
      <w:r w:rsidRPr="00D01BB4">
        <w:t>.</w:t>
      </w:r>
      <w:r w:rsidR="0041059C">
        <w:t xml:space="preserve"> </w:t>
      </w:r>
      <w:r w:rsidR="008E0A18">
        <w:t xml:space="preserve">These are now </w:t>
      </w:r>
      <w:r w:rsidR="00666978">
        <w:t xml:space="preserve">captured </w:t>
      </w:r>
      <w:r w:rsidR="00911C6B">
        <w:t xml:space="preserve">in section 7 of the proposed RMP Rules </w:t>
      </w:r>
      <w:r w:rsidR="00666978">
        <w:t xml:space="preserve">as </w:t>
      </w:r>
      <w:r w:rsidR="00461511">
        <w:t>g</w:t>
      </w:r>
      <w:r w:rsidR="00666978">
        <w:t xml:space="preserve">eneral </w:t>
      </w:r>
      <w:r w:rsidR="005654FB">
        <w:t>rules</w:t>
      </w:r>
      <w:r w:rsidR="00031101">
        <w:rPr>
          <w:rStyle w:val="FootnoteReference"/>
        </w:rPr>
        <w:footnoteReference w:id="4"/>
      </w:r>
      <w:r w:rsidR="00911C6B">
        <w:t xml:space="preserve">. </w:t>
      </w:r>
      <w:r w:rsidR="0041059C">
        <w:t xml:space="preserve">For example, the </w:t>
      </w:r>
      <w:r w:rsidR="00461511">
        <w:t>g</w:t>
      </w:r>
      <w:r w:rsidR="005654FB">
        <w:t>eneral</w:t>
      </w:r>
      <w:r w:rsidR="0041059C">
        <w:t xml:space="preserve"> rules </w:t>
      </w:r>
      <w:r w:rsidR="00F27C21">
        <w:t xml:space="preserve">mandate how entities should identify hazards and risks for their RMPs and document activities for </w:t>
      </w:r>
      <w:r w:rsidR="00574F87">
        <w:t xml:space="preserve">good risk practice within their organisation. </w:t>
      </w:r>
      <w:r w:rsidR="000D5D78" w:rsidRPr="00531F25">
        <w:t xml:space="preserve">Consultation for the </w:t>
      </w:r>
      <w:r w:rsidR="0016603A" w:rsidRPr="00531F25">
        <w:t>RMP rules</w:t>
      </w:r>
      <w:r w:rsidR="000D5D78" w:rsidRPr="00D01BB4">
        <w:t xml:space="preserve"> commenced with the electricity </w:t>
      </w:r>
      <w:r w:rsidR="00620425">
        <w:t>asset class</w:t>
      </w:r>
      <w:r w:rsidR="00620425" w:rsidRPr="00D01BB4">
        <w:t xml:space="preserve"> </w:t>
      </w:r>
      <w:r w:rsidR="000D5D78" w:rsidRPr="00D01BB4">
        <w:t xml:space="preserve">in April 2021. </w:t>
      </w:r>
      <w:r w:rsidR="00E05FED" w:rsidRPr="00531F25">
        <w:t>This was followed by consultation with the Gas, Water and Sewerage, Data Storage or Processing</w:t>
      </w:r>
      <w:r w:rsidR="00192C7C">
        <w:t>,</w:t>
      </w:r>
      <w:r w:rsidR="00E05FED" w:rsidRPr="00531F25">
        <w:t xml:space="preserve"> and Payment Systems </w:t>
      </w:r>
      <w:r w:rsidR="00620425">
        <w:t>asset classes</w:t>
      </w:r>
      <w:r w:rsidR="00620425" w:rsidRPr="00531F25">
        <w:t xml:space="preserve"> </w:t>
      </w:r>
      <w:r w:rsidR="00E05FED" w:rsidRPr="00531F25">
        <w:t xml:space="preserve">between April and September 2021. The engagements with these </w:t>
      </w:r>
      <w:r w:rsidR="00620425">
        <w:t>asset classes</w:t>
      </w:r>
      <w:r w:rsidR="00E05FED" w:rsidRPr="00531F25">
        <w:t>, and the clear commonalities of approach to risk management identified during that engagement</w:t>
      </w:r>
      <w:r w:rsidR="00192C7C">
        <w:t>,</w:t>
      </w:r>
      <w:r w:rsidR="00E05FED" w:rsidRPr="00531F25">
        <w:t xml:space="preserve"> directly informed the drafting of the</w:t>
      </w:r>
      <w:r w:rsidR="00E05FED" w:rsidRPr="00D01BB4">
        <w:t xml:space="preserve"> </w:t>
      </w:r>
      <w:r w:rsidR="009B66DD" w:rsidRPr="00D01BB4">
        <w:t>RMP rules.</w:t>
      </w:r>
      <w:r w:rsidR="00E05FED" w:rsidRPr="00531F25">
        <w:t xml:space="preserve"> </w:t>
      </w:r>
    </w:p>
    <w:p w14:paraId="7B5B82AE" w14:textId="367210A9" w:rsidR="009D69AA" w:rsidRPr="00221E0B" w:rsidRDefault="009D69AA" w:rsidP="00A6746C">
      <w:pPr>
        <w:pStyle w:val="BodyText"/>
      </w:pPr>
      <w:r w:rsidRPr="00221E0B">
        <w:t xml:space="preserve">During a series of sector-agnostic town halls and sector-specific consultation sessions </w:t>
      </w:r>
      <w:r w:rsidR="00D01391" w:rsidRPr="00221E0B">
        <w:t>in</w:t>
      </w:r>
      <w:r w:rsidR="00D724FE" w:rsidRPr="00221E0B">
        <w:t xml:space="preserve"> October</w:t>
      </w:r>
      <w:r w:rsidRPr="00221E0B">
        <w:t xml:space="preserve"> and November 2021, the Department consulted on the RMP rules with all critical </w:t>
      </w:r>
      <w:r w:rsidRPr="00A6746C">
        <w:t>infrastructure</w:t>
      </w:r>
      <w:r w:rsidRPr="00221E0B">
        <w:t xml:space="preserve"> sectors </w:t>
      </w:r>
      <w:r w:rsidR="00620425" w:rsidRPr="00221E0B">
        <w:t xml:space="preserve">for which </w:t>
      </w:r>
      <w:r w:rsidRPr="00221E0B">
        <w:t xml:space="preserve">the Department intends to propose to the Minister for Home Affairs to ‘switch on’ the </w:t>
      </w:r>
      <w:r w:rsidR="00BB0179" w:rsidRPr="00221E0B">
        <w:t>RMP</w:t>
      </w:r>
      <w:r w:rsidR="00704C2F" w:rsidRPr="00221E0B">
        <w:rPr>
          <w:rStyle w:val="FootnoteReference"/>
          <w:rFonts w:eastAsia="Calibri" w:cs="Arial"/>
          <w:spacing w:val="-6"/>
        </w:rPr>
        <w:footnoteReference w:id="5"/>
      </w:r>
      <w:r w:rsidR="0016640A">
        <w:t>. The Mini</w:t>
      </w:r>
      <w:r w:rsidR="003D56EA">
        <w:t xml:space="preserve">ster for Home Affairs commenced formal consultation on the Rules on </w:t>
      </w:r>
      <w:r w:rsidR="000D213D">
        <w:t>5</w:t>
      </w:r>
      <w:r w:rsidR="003D56EA">
        <w:t xml:space="preserve"> October 2022, with </w:t>
      </w:r>
      <w:r w:rsidR="000A770E">
        <w:t xml:space="preserve">consultation open for 45 days to 18 November 2022. This consultation included </w:t>
      </w:r>
      <w:r w:rsidR="00B2209A">
        <w:lastRenderedPageBreak/>
        <w:t xml:space="preserve">two town-halls, four question and answer sessions, as well as </w:t>
      </w:r>
      <w:r w:rsidR="00FC58A2">
        <w:t>specific engagement with the food and grocery asset class</w:t>
      </w:r>
      <w:r w:rsidR="00A05127">
        <w:t>, following the decision to include them in the</w:t>
      </w:r>
      <w:r w:rsidR="00227473">
        <w:t xml:space="preserve"> draft rules</w:t>
      </w:r>
      <w:r w:rsidR="00FC58A2">
        <w:t>.</w:t>
      </w:r>
    </w:p>
    <w:p w14:paraId="00B14C38" w14:textId="1306F9BA" w:rsidR="009D69AA" w:rsidRPr="00531F25" w:rsidRDefault="009D69AA" w:rsidP="00356D09">
      <w:pPr>
        <w:pStyle w:val="BodyText"/>
      </w:pPr>
      <w:r w:rsidRPr="00531F25">
        <w:t>During these engagements the Department worked with sectors to refine the RMP rules, ensuring they are fit</w:t>
      </w:r>
      <w:r w:rsidR="00FC0565">
        <w:t>-</w:t>
      </w:r>
      <w:r w:rsidRPr="00531F25">
        <w:t>for</w:t>
      </w:r>
      <w:r w:rsidR="00FC0565">
        <w:t>-</w:t>
      </w:r>
      <w:r w:rsidRPr="00531F25">
        <w:t xml:space="preserve">purpose and achieve a baseline uplift in security. </w:t>
      </w:r>
      <w:r w:rsidR="00606817">
        <w:t xml:space="preserve">This RIS has been prepared </w:t>
      </w:r>
      <w:r w:rsidR="001A2510">
        <w:t xml:space="preserve">to incorporate each </w:t>
      </w:r>
      <w:r w:rsidR="00901693">
        <w:t>asset class</w:t>
      </w:r>
      <w:r w:rsidR="001A2510">
        <w:t xml:space="preserve"> </w:t>
      </w:r>
      <w:r w:rsidR="007852BA">
        <w:t xml:space="preserve">needing to adopt </w:t>
      </w:r>
      <w:r w:rsidRPr="00531F25">
        <w:t xml:space="preserve">the RMP rules. </w:t>
      </w:r>
      <w:r w:rsidR="00142FD6">
        <w:t>Asset classes sit within critical infrastructure s</w:t>
      </w:r>
      <w:r w:rsidR="00161C5C">
        <w:t>ecto</w:t>
      </w:r>
      <w:r w:rsidR="00DB2938">
        <w:t>rs</w:t>
      </w:r>
      <w:r w:rsidR="00F325EF">
        <w:t xml:space="preserve"> and are defined according to the particular type of asset owned and operated</w:t>
      </w:r>
      <w:r w:rsidR="005F05FA">
        <w:t>,</w:t>
      </w:r>
      <w:r w:rsidR="00F325EF">
        <w:t xml:space="preserve"> as </w:t>
      </w:r>
      <w:r w:rsidR="005F05FA">
        <w:t xml:space="preserve">defined in the SLACI Act. </w:t>
      </w:r>
    </w:p>
    <w:p w14:paraId="2CC5AF53" w14:textId="38A70589" w:rsidR="00374A1D" w:rsidRPr="00374A1D" w:rsidRDefault="00374A1D" w:rsidP="00356D09">
      <w:pPr>
        <w:pStyle w:val="BodyText"/>
      </w:pPr>
      <w:r w:rsidRPr="00374A1D">
        <w:t>This RIS argues that</w:t>
      </w:r>
      <w:r w:rsidR="009E46A3">
        <w:t xml:space="preserve"> </w:t>
      </w:r>
      <w:r w:rsidRPr="00374A1D">
        <w:t>four problem</w:t>
      </w:r>
      <w:r w:rsidR="00483648">
        <w:t xml:space="preserve"> </w:t>
      </w:r>
      <w:r w:rsidR="00546867" w:rsidRPr="00374A1D">
        <w:t>elements</w:t>
      </w:r>
      <w:r w:rsidR="00546867">
        <w:t xml:space="preserve"> </w:t>
      </w:r>
      <w:r w:rsidR="009E46A3">
        <w:t xml:space="preserve">exist </w:t>
      </w:r>
      <w:r w:rsidR="009E46A3" w:rsidRPr="00374A1D">
        <w:t xml:space="preserve">in relation to </w:t>
      </w:r>
      <w:r w:rsidR="009E46A3">
        <w:t>critical infrastructure assets, which can be addressed through</w:t>
      </w:r>
      <w:r w:rsidRPr="00374A1D">
        <w:t xml:space="preserve"> corresponding Government intervention</w:t>
      </w:r>
      <w:r w:rsidR="009E46A3">
        <w:t>s</w:t>
      </w:r>
      <w:r w:rsidRPr="00374A1D">
        <w:t>, as outlined in Table 1 below</w:t>
      </w:r>
      <w:r w:rsidR="00192C7C">
        <w:t>:</w:t>
      </w:r>
    </w:p>
    <w:p w14:paraId="36E3D8B9" w14:textId="195E3251" w:rsidR="00374A1D" w:rsidRDefault="00374A1D" w:rsidP="00166AD0">
      <w:pPr>
        <w:pStyle w:val="Caption"/>
        <w:rPr>
          <w:b/>
        </w:rPr>
      </w:pPr>
      <w:bookmarkStart w:id="6" w:name="_Ref79154548"/>
      <w:bookmarkStart w:id="7" w:name="_Toc79156681"/>
      <w:bookmarkStart w:id="8" w:name="_Toc120115086"/>
      <w:r w:rsidRPr="00166AD0">
        <w:rPr>
          <w:b/>
          <w:bCs/>
        </w:rPr>
        <w:t xml:space="preserve">Table </w:t>
      </w:r>
      <w:r w:rsidRPr="00166AD0">
        <w:rPr>
          <w:b/>
          <w:bCs/>
        </w:rPr>
        <w:fldChar w:fldCharType="begin"/>
      </w:r>
      <w:r w:rsidRPr="00166AD0">
        <w:rPr>
          <w:b/>
          <w:bCs/>
        </w:rPr>
        <w:instrText>SEQ Table \* ARABIC</w:instrText>
      </w:r>
      <w:r w:rsidRPr="00166AD0">
        <w:rPr>
          <w:b/>
          <w:bCs/>
        </w:rPr>
        <w:fldChar w:fldCharType="separate"/>
      </w:r>
      <w:r w:rsidR="009708D4">
        <w:rPr>
          <w:b/>
          <w:bCs/>
          <w:noProof/>
        </w:rPr>
        <w:t>1</w:t>
      </w:r>
      <w:r w:rsidRPr="00166AD0">
        <w:rPr>
          <w:b/>
          <w:bCs/>
        </w:rPr>
        <w:fldChar w:fldCharType="end"/>
      </w:r>
      <w:bookmarkEnd w:id="6"/>
      <w:r w:rsidRPr="00901693">
        <w:t xml:space="preserve"> </w:t>
      </w:r>
      <w:r w:rsidRPr="00166AD0">
        <w:t xml:space="preserve">Problems for </w:t>
      </w:r>
      <w:r w:rsidR="008056F4" w:rsidRPr="00166AD0">
        <w:t>critical infrastructure assets</w:t>
      </w:r>
      <w:r w:rsidRPr="00166AD0">
        <w:t xml:space="preserve"> and Government objectives</w:t>
      </w:r>
      <w:bookmarkEnd w:id="7"/>
      <w:bookmarkEnd w:id="8"/>
    </w:p>
    <w:tbl>
      <w:tblPr>
        <w:tblStyle w:val="TableGrid3"/>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5669"/>
        <w:gridCol w:w="3969"/>
      </w:tblGrid>
      <w:tr w:rsidR="00374A1D" w:rsidRPr="00374A1D" w14:paraId="5DDD0F27" w14:textId="77777777" w:rsidTr="00915934">
        <w:trPr>
          <w:cantSplit/>
        </w:trPr>
        <w:tc>
          <w:tcPr>
            <w:tcW w:w="2941" w:type="pct"/>
            <w:shd w:val="clear" w:color="auto" w:fill="034EA2" w:themeFill="accent1"/>
          </w:tcPr>
          <w:p w14:paraId="5DFE00D1" w14:textId="77777777" w:rsidR="00374A1D" w:rsidRPr="00374A1D" w:rsidRDefault="00374A1D" w:rsidP="00166AD0">
            <w:pPr>
              <w:pStyle w:val="TableHeading"/>
              <w:rPr>
                <w:b w:val="0"/>
              </w:rPr>
            </w:pPr>
            <w:r w:rsidRPr="00374A1D">
              <w:t xml:space="preserve">What is the problem for </w:t>
            </w:r>
            <w:r w:rsidR="008056F4">
              <w:t>critical infrastructure assets</w:t>
            </w:r>
            <w:r w:rsidRPr="00374A1D">
              <w:t>?</w:t>
            </w:r>
          </w:p>
        </w:tc>
        <w:tc>
          <w:tcPr>
            <w:tcW w:w="2059" w:type="pct"/>
            <w:shd w:val="clear" w:color="auto" w:fill="034EA2" w:themeFill="accent1"/>
          </w:tcPr>
          <w:p w14:paraId="74723EB8" w14:textId="77777777" w:rsidR="00374A1D" w:rsidRPr="00374A1D" w:rsidRDefault="00374A1D" w:rsidP="00166AD0">
            <w:pPr>
              <w:pStyle w:val="TableHeading"/>
              <w:rPr>
                <w:b w:val="0"/>
              </w:rPr>
            </w:pPr>
            <w:r w:rsidRPr="00374A1D">
              <w:t>What are Government’s objectives?</w:t>
            </w:r>
          </w:p>
        </w:tc>
      </w:tr>
      <w:tr w:rsidR="00374A1D" w:rsidRPr="00374A1D" w14:paraId="16C6D8FE" w14:textId="77777777" w:rsidTr="00915934">
        <w:trPr>
          <w:cantSplit/>
        </w:trPr>
        <w:tc>
          <w:tcPr>
            <w:tcW w:w="2941" w:type="pct"/>
          </w:tcPr>
          <w:p w14:paraId="049B442E" w14:textId="77777777" w:rsidR="00374A1D" w:rsidRPr="00374A1D" w:rsidRDefault="00374A1D" w:rsidP="00166AD0">
            <w:pPr>
              <w:pStyle w:val="TableBody"/>
              <w:rPr>
                <w:b/>
                <w:bCs/>
              </w:rPr>
            </w:pPr>
            <w:r w:rsidRPr="00374A1D">
              <w:rPr>
                <w:b/>
                <w:bCs/>
              </w:rPr>
              <w:t xml:space="preserve">There are growing risks to </w:t>
            </w:r>
            <w:r w:rsidR="008056F4">
              <w:rPr>
                <w:b/>
                <w:bCs/>
              </w:rPr>
              <w:t>critical infrastructure assets</w:t>
            </w:r>
            <w:r w:rsidRPr="00374A1D">
              <w:rPr>
                <w:b/>
                <w:bCs/>
              </w:rPr>
              <w:t xml:space="preserve">. </w:t>
            </w:r>
            <w:r w:rsidRPr="00374A1D">
              <w:t xml:space="preserve">The </w:t>
            </w:r>
            <w:r w:rsidR="00BB0179">
              <w:t>RMP</w:t>
            </w:r>
            <w:r w:rsidRPr="00374A1D">
              <w:t xml:space="preserve"> framework is required to ensure these growing risks are being considered and</w:t>
            </w:r>
            <w:r w:rsidR="00192C7C">
              <w:t>,</w:t>
            </w:r>
            <w:r w:rsidRPr="00374A1D">
              <w:t xml:space="preserve"> where appropriate, addressed. This will enable the adoption of an </w:t>
            </w:r>
            <w:r w:rsidR="00DC085B" w:rsidRPr="00374A1D">
              <w:t>all-hazards</w:t>
            </w:r>
            <w:r w:rsidRPr="00374A1D">
              <w:t xml:space="preserve"> approach to risk management for </w:t>
            </w:r>
            <w:r w:rsidR="008056F4">
              <w:t>critical infrastructure assets</w:t>
            </w:r>
            <w:r w:rsidRPr="00374A1D">
              <w:t xml:space="preserve">, increasing the resilience of </w:t>
            </w:r>
            <w:r w:rsidR="005338A9">
              <w:t xml:space="preserve">these assets. </w:t>
            </w:r>
            <w:r w:rsidRPr="00374A1D">
              <w:t xml:space="preserve"> </w:t>
            </w:r>
          </w:p>
        </w:tc>
        <w:tc>
          <w:tcPr>
            <w:tcW w:w="2059" w:type="pct"/>
            <w:shd w:val="clear" w:color="auto" w:fill="F2F2F2" w:themeFill="background1" w:themeFillShade="F2"/>
          </w:tcPr>
          <w:p w14:paraId="53935999" w14:textId="77777777" w:rsidR="00374A1D" w:rsidRPr="00374A1D" w:rsidRDefault="00374A1D" w:rsidP="00446519">
            <w:pPr>
              <w:pStyle w:val="TableBullet"/>
              <w:rPr>
                <w:rFonts w:eastAsia="Calibri"/>
              </w:rPr>
            </w:pPr>
            <w:r w:rsidRPr="00374A1D">
              <w:rPr>
                <w:rFonts w:eastAsia="Calibri"/>
                <w:b/>
                <w:bCs/>
              </w:rPr>
              <w:t>Lower the material risk</w:t>
            </w:r>
            <w:r w:rsidRPr="00374A1D">
              <w:rPr>
                <w:rFonts w:eastAsia="Calibri"/>
              </w:rPr>
              <w:t xml:space="preserve"> of hazards and </w:t>
            </w:r>
            <w:r w:rsidR="00192C7C">
              <w:rPr>
                <w:rFonts w:eastAsia="Calibri"/>
              </w:rPr>
              <w:t>the</w:t>
            </w:r>
            <w:r w:rsidRPr="00374A1D">
              <w:rPr>
                <w:rFonts w:eastAsia="Calibri"/>
              </w:rPr>
              <w:t xml:space="preserve"> impacts of those hazards, as they manifest for </w:t>
            </w:r>
            <w:r w:rsidR="008056F4">
              <w:rPr>
                <w:rFonts w:eastAsia="Calibri"/>
              </w:rPr>
              <w:t>critical infrastructure assets</w:t>
            </w:r>
            <w:r w:rsidRPr="00374A1D">
              <w:rPr>
                <w:rFonts w:eastAsia="Calibri"/>
              </w:rPr>
              <w:t>.</w:t>
            </w:r>
          </w:p>
          <w:p w14:paraId="56E127F5" w14:textId="77777777" w:rsidR="00374A1D" w:rsidRPr="00374A1D" w:rsidRDefault="00374A1D" w:rsidP="00446519">
            <w:pPr>
              <w:pStyle w:val="TableBullet"/>
              <w:rPr>
                <w:rFonts w:eastAsia="Calibri"/>
              </w:rPr>
            </w:pPr>
            <w:r w:rsidRPr="00374A1D">
              <w:rPr>
                <w:rFonts w:eastAsia="Calibri"/>
              </w:rPr>
              <w:t xml:space="preserve">Ensure that adoption of the </w:t>
            </w:r>
            <w:r w:rsidR="00BB0179">
              <w:rPr>
                <w:rFonts w:eastAsia="Calibri"/>
              </w:rPr>
              <w:t>RMP</w:t>
            </w:r>
            <w:r w:rsidRPr="00374A1D">
              <w:rPr>
                <w:rFonts w:eastAsia="Calibri"/>
              </w:rPr>
              <w:t xml:space="preserve"> for </w:t>
            </w:r>
            <w:r w:rsidR="008056F4">
              <w:rPr>
                <w:rFonts w:eastAsia="Calibri"/>
              </w:rPr>
              <w:t>critical infrastructure assets</w:t>
            </w:r>
            <w:r w:rsidRPr="00374A1D">
              <w:rPr>
                <w:rFonts w:eastAsia="Calibri"/>
              </w:rPr>
              <w:t xml:space="preserve"> is </w:t>
            </w:r>
            <w:r w:rsidRPr="00374A1D">
              <w:rPr>
                <w:rFonts w:eastAsia="Calibri"/>
                <w:b/>
                <w:bCs/>
              </w:rPr>
              <w:t>reasonable and proportionate</w:t>
            </w:r>
            <w:r w:rsidRPr="00374A1D">
              <w:rPr>
                <w:rFonts w:eastAsia="Calibri"/>
              </w:rPr>
              <w:t xml:space="preserve"> to the purpose of the program.  </w:t>
            </w:r>
          </w:p>
        </w:tc>
      </w:tr>
      <w:tr w:rsidR="00374A1D" w:rsidRPr="00374A1D" w14:paraId="678ED494" w14:textId="77777777" w:rsidTr="00915934">
        <w:trPr>
          <w:cantSplit/>
        </w:trPr>
        <w:tc>
          <w:tcPr>
            <w:tcW w:w="2941" w:type="pct"/>
          </w:tcPr>
          <w:p w14:paraId="657F4CD5" w14:textId="0E811ED2" w:rsidR="00374A1D" w:rsidRPr="00374A1D" w:rsidRDefault="00374A1D" w:rsidP="00BD51D4">
            <w:pPr>
              <w:pStyle w:val="TableBody"/>
              <w:rPr>
                <w:b/>
                <w:bCs/>
              </w:rPr>
            </w:pPr>
            <w:r w:rsidRPr="00374A1D">
              <w:rPr>
                <w:b/>
                <w:bCs/>
              </w:rPr>
              <w:t xml:space="preserve">Existing legislative arrangements are insufficient for the current threat environment. </w:t>
            </w:r>
            <w:r w:rsidRPr="00374A1D">
              <w:t xml:space="preserve">The </w:t>
            </w:r>
            <w:r w:rsidR="00BB0179">
              <w:t>RMP</w:t>
            </w:r>
            <w:r w:rsidRPr="00374A1D">
              <w:t xml:space="preserve"> framework is required to provide specificity to the </w:t>
            </w:r>
            <w:r w:rsidR="00BB0179">
              <w:t>RMP</w:t>
            </w:r>
            <w:r w:rsidRPr="00374A1D">
              <w:t xml:space="preserve"> proposed by the </w:t>
            </w:r>
            <w:r w:rsidR="00DC698D">
              <w:t>SLACIP Act</w:t>
            </w:r>
            <w:r w:rsidRPr="00374A1D">
              <w:t xml:space="preserve"> and create a regulatory environment which seeks to address all hazard risks. Currently</w:t>
            </w:r>
            <w:r w:rsidR="00192C7C">
              <w:t>,</w:t>
            </w:r>
            <w:r w:rsidRPr="00374A1D">
              <w:t xml:space="preserve"> there is no </w:t>
            </w:r>
            <w:r w:rsidRPr="009D69AA">
              <w:t xml:space="preserve">requirement for </w:t>
            </w:r>
            <w:r w:rsidR="00C91A23">
              <w:t>critical infrastructure</w:t>
            </w:r>
            <w:r w:rsidRPr="009D69AA">
              <w:t xml:space="preserve"> entities </w:t>
            </w:r>
            <w:r w:rsidRPr="00374A1D">
              <w:t>to meet positive security obligations. Existing standards should be leveraged to minimise regulatory burden and duplication</w:t>
            </w:r>
            <w:r w:rsidR="00192C7C">
              <w:t>,</w:t>
            </w:r>
            <w:r w:rsidRPr="00374A1D">
              <w:t xml:space="preserve"> and </w:t>
            </w:r>
            <w:r w:rsidR="00192C7C">
              <w:t xml:space="preserve">be </w:t>
            </w:r>
            <w:r w:rsidRPr="00374A1D">
              <w:t>enforced on a sector-wide basis.</w:t>
            </w:r>
          </w:p>
        </w:tc>
        <w:tc>
          <w:tcPr>
            <w:tcW w:w="2059" w:type="pct"/>
            <w:shd w:val="clear" w:color="auto" w:fill="F2F2F2" w:themeFill="background1" w:themeFillShade="F2"/>
          </w:tcPr>
          <w:p w14:paraId="5FB368EF" w14:textId="77777777" w:rsidR="00374A1D" w:rsidRPr="00374A1D" w:rsidRDefault="00374A1D" w:rsidP="00446519">
            <w:pPr>
              <w:pStyle w:val="TableBullet"/>
              <w:rPr>
                <w:rFonts w:eastAsia="Calibri"/>
              </w:rPr>
            </w:pPr>
            <w:r w:rsidRPr="00374A1D">
              <w:rPr>
                <w:rFonts w:eastAsia="Calibri"/>
                <w:b/>
                <w:bCs/>
              </w:rPr>
              <w:t>Lower the material risk</w:t>
            </w:r>
            <w:r w:rsidRPr="00374A1D">
              <w:rPr>
                <w:rFonts w:eastAsia="Calibri"/>
              </w:rPr>
              <w:t xml:space="preserve"> of hazards and impacts of those hazards, as they manifest for </w:t>
            </w:r>
            <w:r w:rsidR="008056F4">
              <w:rPr>
                <w:rFonts w:eastAsia="Calibri"/>
              </w:rPr>
              <w:t>critical infrastructure assets</w:t>
            </w:r>
            <w:r w:rsidRPr="00374A1D">
              <w:rPr>
                <w:rFonts w:eastAsia="Calibri"/>
              </w:rPr>
              <w:t>.</w:t>
            </w:r>
          </w:p>
          <w:p w14:paraId="00CD85B3" w14:textId="77777777" w:rsidR="00374A1D" w:rsidRPr="00374A1D" w:rsidRDefault="00374A1D" w:rsidP="00446519">
            <w:pPr>
              <w:pStyle w:val="TableBullet"/>
              <w:rPr>
                <w:rFonts w:eastAsia="Calibri"/>
              </w:rPr>
            </w:pPr>
            <w:r w:rsidRPr="00374A1D">
              <w:rPr>
                <w:rFonts w:eastAsia="Calibri"/>
                <w:b/>
                <w:bCs/>
              </w:rPr>
              <w:t>Avoid regulatory duplication</w:t>
            </w:r>
            <w:r w:rsidRPr="00374A1D">
              <w:rPr>
                <w:rFonts w:eastAsia="Calibri"/>
              </w:rPr>
              <w:t xml:space="preserve"> and facilitate a </w:t>
            </w:r>
            <w:r w:rsidRPr="00374A1D">
              <w:rPr>
                <w:rFonts w:eastAsia="Calibri"/>
                <w:b/>
                <w:bCs/>
              </w:rPr>
              <w:t>coordinated</w:t>
            </w:r>
            <w:r w:rsidRPr="00374A1D">
              <w:rPr>
                <w:rFonts w:eastAsia="Calibri"/>
              </w:rPr>
              <w:t xml:space="preserve"> </w:t>
            </w:r>
            <w:r w:rsidRPr="00374A1D">
              <w:rPr>
                <w:rFonts w:eastAsia="Calibri"/>
                <w:b/>
                <w:bCs/>
              </w:rPr>
              <w:t>uplift</w:t>
            </w:r>
            <w:r w:rsidRPr="00374A1D">
              <w:rPr>
                <w:rFonts w:eastAsia="Calibri"/>
              </w:rPr>
              <w:t xml:space="preserve"> in responsible entities’ compliance with relevant standards. </w:t>
            </w:r>
          </w:p>
        </w:tc>
      </w:tr>
      <w:tr w:rsidR="00374A1D" w:rsidRPr="00374A1D" w14:paraId="52DE7FC4" w14:textId="77777777" w:rsidTr="00915934">
        <w:trPr>
          <w:cantSplit/>
        </w:trPr>
        <w:tc>
          <w:tcPr>
            <w:tcW w:w="2941" w:type="pct"/>
          </w:tcPr>
          <w:p w14:paraId="6D7E2694" w14:textId="77777777" w:rsidR="00374A1D" w:rsidRPr="00374A1D" w:rsidRDefault="00374A1D" w:rsidP="00BD51D4">
            <w:pPr>
              <w:pStyle w:val="TableBody"/>
            </w:pPr>
            <w:r w:rsidRPr="00374A1D">
              <w:t xml:space="preserve">The Government has limited visibility of current risk management practices, and limited ability to ensure that risks are appropriately managed across sectors. The </w:t>
            </w:r>
            <w:r w:rsidR="00BB0179">
              <w:t>RMP</w:t>
            </w:r>
            <w:r w:rsidRPr="00374A1D">
              <w:t xml:space="preserve"> framework will ensure risk management considerations are appropriately prioritised by responsible entities. </w:t>
            </w:r>
          </w:p>
        </w:tc>
        <w:tc>
          <w:tcPr>
            <w:tcW w:w="2059" w:type="pct"/>
            <w:shd w:val="clear" w:color="auto" w:fill="F2F2F2" w:themeFill="background1" w:themeFillShade="F2"/>
          </w:tcPr>
          <w:p w14:paraId="1B9AE7E4" w14:textId="77777777" w:rsidR="00374A1D" w:rsidRPr="00374A1D" w:rsidRDefault="00374A1D" w:rsidP="00446519">
            <w:pPr>
              <w:pStyle w:val="TableBullet"/>
              <w:rPr>
                <w:rFonts w:eastAsia="Calibri"/>
              </w:rPr>
            </w:pPr>
            <w:r w:rsidRPr="00901693">
              <w:rPr>
                <w:rFonts w:eastAsia="Calibri"/>
                <w:b/>
              </w:rPr>
              <w:t>Improve Government’s</w:t>
            </w:r>
            <w:r w:rsidRPr="00374A1D">
              <w:rPr>
                <w:rFonts w:eastAsia="Calibri"/>
              </w:rPr>
              <w:t xml:space="preserve"> </w:t>
            </w:r>
            <w:r w:rsidRPr="00374A1D">
              <w:rPr>
                <w:rFonts w:eastAsia="Calibri"/>
                <w:b/>
                <w:bCs/>
              </w:rPr>
              <w:t>visibility</w:t>
            </w:r>
            <w:r w:rsidRPr="00374A1D">
              <w:rPr>
                <w:rFonts w:eastAsia="Calibri"/>
              </w:rPr>
              <w:t xml:space="preserve"> over the security and resilience of </w:t>
            </w:r>
            <w:r w:rsidR="008056F4">
              <w:rPr>
                <w:rFonts w:eastAsia="Calibri"/>
              </w:rPr>
              <w:t>critical infrastructure assets</w:t>
            </w:r>
            <w:r w:rsidRPr="00374A1D">
              <w:rPr>
                <w:rFonts w:eastAsia="Calibri"/>
              </w:rPr>
              <w:t xml:space="preserve">. </w:t>
            </w:r>
          </w:p>
          <w:p w14:paraId="20BECD81" w14:textId="77777777" w:rsidR="00374A1D" w:rsidRPr="00374A1D" w:rsidRDefault="00374A1D" w:rsidP="00446519">
            <w:pPr>
              <w:pStyle w:val="TableBullet"/>
              <w:rPr>
                <w:rFonts w:eastAsia="Calibri"/>
              </w:rPr>
            </w:pPr>
            <w:r w:rsidRPr="00374A1D">
              <w:rPr>
                <w:rFonts w:eastAsia="Calibri"/>
              </w:rPr>
              <w:t xml:space="preserve">Government will also have a range of graduated powers to </w:t>
            </w:r>
            <w:r w:rsidRPr="00901693">
              <w:rPr>
                <w:rFonts w:eastAsia="Calibri"/>
                <w:b/>
              </w:rPr>
              <w:t>support an uplift</w:t>
            </w:r>
            <w:r w:rsidRPr="00374A1D">
              <w:rPr>
                <w:rFonts w:eastAsia="Calibri"/>
              </w:rPr>
              <w:t xml:space="preserve"> in resilience and security.</w:t>
            </w:r>
          </w:p>
        </w:tc>
      </w:tr>
      <w:tr w:rsidR="00374A1D" w:rsidRPr="00374A1D" w14:paraId="41343CFA" w14:textId="77777777" w:rsidTr="00915934">
        <w:trPr>
          <w:cantSplit/>
        </w:trPr>
        <w:tc>
          <w:tcPr>
            <w:tcW w:w="2941" w:type="pct"/>
          </w:tcPr>
          <w:p w14:paraId="3CD85AFE" w14:textId="77777777" w:rsidR="00374A1D" w:rsidRPr="00374A1D" w:rsidRDefault="00374A1D" w:rsidP="00166AD0">
            <w:pPr>
              <w:rPr>
                <w:rFonts w:ascii="Arial" w:eastAsia="Calibri" w:hAnsi="Arial" w:cs="Arial"/>
                <w:b/>
              </w:rPr>
            </w:pPr>
            <w:r w:rsidRPr="00374A1D">
              <w:rPr>
                <w:rFonts w:ascii="Arial" w:eastAsia="Calibri" w:hAnsi="Arial" w:cs="Arial"/>
                <w:b/>
              </w:rPr>
              <w:t>A stronger partnership between Government and industry is needed to drive a wholesale uplift in security and resilience.</w:t>
            </w:r>
          </w:p>
          <w:p w14:paraId="5327A57A" w14:textId="77777777" w:rsidR="00374A1D" w:rsidRPr="00374A1D" w:rsidRDefault="00374A1D" w:rsidP="00BD51D4">
            <w:pPr>
              <w:pStyle w:val="TableBody"/>
              <w:rPr>
                <w:b/>
                <w:bCs/>
              </w:rPr>
            </w:pPr>
            <w:r w:rsidRPr="00374A1D">
              <w:t xml:space="preserve">A strong and effective partnership between industry and Government is pivotal for ensuring the security and resilience of critical infrastructure is prioritised across all responsible entities. Consultation has drawn robust engagement from industry and recognition of Government’s ability to regulate on matters of critical infrastructure in a meaningful manner. </w:t>
            </w:r>
          </w:p>
        </w:tc>
        <w:tc>
          <w:tcPr>
            <w:tcW w:w="2059" w:type="pct"/>
            <w:shd w:val="clear" w:color="auto" w:fill="F2F2F2" w:themeFill="background1" w:themeFillShade="F2"/>
          </w:tcPr>
          <w:p w14:paraId="3304260B" w14:textId="77777777" w:rsidR="00374A1D" w:rsidRPr="00374A1D" w:rsidRDefault="00374A1D" w:rsidP="00446519">
            <w:pPr>
              <w:pStyle w:val="TableBullet"/>
              <w:rPr>
                <w:rFonts w:eastAsia="Calibri"/>
              </w:rPr>
            </w:pPr>
            <w:r w:rsidRPr="00374A1D">
              <w:rPr>
                <w:rFonts w:eastAsia="Calibri"/>
                <w:b/>
                <w:bCs/>
              </w:rPr>
              <w:t>Avoid regulatory duplication</w:t>
            </w:r>
            <w:r w:rsidRPr="00374A1D">
              <w:rPr>
                <w:rFonts w:eastAsia="Calibri"/>
              </w:rPr>
              <w:t xml:space="preserve"> and facilitate a </w:t>
            </w:r>
            <w:r w:rsidRPr="00374A1D">
              <w:rPr>
                <w:rFonts w:eastAsia="Calibri"/>
                <w:b/>
                <w:bCs/>
              </w:rPr>
              <w:t>coordinated</w:t>
            </w:r>
            <w:r w:rsidRPr="00374A1D">
              <w:rPr>
                <w:rFonts w:eastAsia="Calibri"/>
              </w:rPr>
              <w:t xml:space="preserve"> </w:t>
            </w:r>
            <w:r w:rsidRPr="00374A1D">
              <w:rPr>
                <w:rFonts w:eastAsia="Calibri"/>
                <w:b/>
                <w:bCs/>
              </w:rPr>
              <w:t>uplift</w:t>
            </w:r>
            <w:r w:rsidRPr="00374A1D">
              <w:rPr>
                <w:rFonts w:eastAsia="Calibri"/>
              </w:rPr>
              <w:t xml:space="preserve"> in responsible entities’ compliance with relevant standards.</w:t>
            </w:r>
          </w:p>
        </w:tc>
      </w:tr>
    </w:tbl>
    <w:p w14:paraId="7A23967F" w14:textId="051839F8" w:rsidR="00374A1D" w:rsidRPr="00374A1D" w:rsidRDefault="00374A1D" w:rsidP="00221E0B">
      <w:pPr>
        <w:pStyle w:val="BodyText"/>
        <w:spacing w:before="240"/>
      </w:pPr>
      <w:r w:rsidRPr="00374A1D">
        <w:t xml:space="preserve">This RIS considers three options for addressing the above </w:t>
      </w:r>
      <w:r w:rsidR="00483648">
        <w:t xml:space="preserve">four </w:t>
      </w:r>
      <w:r w:rsidRPr="00374A1D">
        <w:t xml:space="preserve">problem </w:t>
      </w:r>
      <w:r w:rsidR="000F4AE3">
        <w:t>elements</w:t>
      </w:r>
      <w:r w:rsidR="000F4AE3" w:rsidRPr="00374A1D">
        <w:t xml:space="preserve"> </w:t>
      </w:r>
      <w:r w:rsidRPr="00374A1D">
        <w:t xml:space="preserve">– </w:t>
      </w:r>
      <w:r w:rsidRPr="00374A1D">
        <w:rPr>
          <w:b/>
          <w:bCs/>
        </w:rPr>
        <w:t xml:space="preserve">option 1 </w:t>
      </w:r>
      <w:r w:rsidRPr="00374A1D">
        <w:t xml:space="preserve">involves maintaining the status quo (no </w:t>
      </w:r>
      <w:r w:rsidRPr="001E683F">
        <w:t>regulatory</w:t>
      </w:r>
      <w:r w:rsidRPr="00374A1D">
        <w:t xml:space="preserve"> change); </w:t>
      </w:r>
      <w:r w:rsidRPr="00374A1D">
        <w:rPr>
          <w:b/>
          <w:bCs/>
        </w:rPr>
        <w:t>option 2</w:t>
      </w:r>
      <w:r w:rsidRPr="00374A1D">
        <w:t xml:space="preserve"> involves the implementation of, on a mandatory basis, a </w:t>
      </w:r>
      <w:r w:rsidR="00BB0179">
        <w:t>RMP</w:t>
      </w:r>
      <w:r w:rsidRPr="00374A1D">
        <w:t xml:space="preserve"> framework for </w:t>
      </w:r>
      <w:r w:rsidR="008056F4">
        <w:t>critical infrastructure assets</w:t>
      </w:r>
      <w:r w:rsidRPr="00374A1D">
        <w:t xml:space="preserve">, including supporting </w:t>
      </w:r>
      <w:r w:rsidR="0016603A">
        <w:t>RMP rules</w:t>
      </w:r>
      <w:r w:rsidRPr="00374A1D">
        <w:t xml:space="preserve">; </w:t>
      </w:r>
      <w:r w:rsidR="00DC085B" w:rsidRPr="00374A1D">
        <w:t>and</w:t>
      </w:r>
      <w:r w:rsidRPr="00374A1D">
        <w:t xml:space="preserve"> </w:t>
      </w:r>
      <w:r w:rsidRPr="00374A1D">
        <w:rPr>
          <w:b/>
          <w:bCs/>
        </w:rPr>
        <w:t>option 3</w:t>
      </w:r>
      <w:r w:rsidRPr="00374A1D">
        <w:t xml:space="preserve"> involves voluntarily implementing the </w:t>
      </w:r>
      <w:r w:rsidR="00BB0179">
        <w:t>RMP</w:t>
      </w:r>
      <w:r w:rsidRPr="00374A1D">
        <w:t xml:space="preserve"> obligations contained in the </w:t>
      </w:r>
      <w:r w:rsidR="00DC698D">
        <w:t>SLACIP Act</w:t>
      </w:r>
      <w:r w:rsidRPr="00374A1D">
        <w:t xml:space="preserve">, as the obligation will </w:t>
      </w:r>
      <w:r w:rsidRPr="00374A1D">
        <w:rPr>
          <w:u w:val="single"/>
        </w:rPr>
        <w:t>not be</w:t>
      </w:r>
      <w:r w:rsidRPr="00374A1D">
        <w:t xml:space="preserve"> ‘switched on’ for </w:t>
      </w:r>
      <w:r w:rsidR="008056F4">
        <w:t>critical infrastructure assets</w:t>
      </w:r>
      <w:r w:rsidRPr="00374A1D">
        <w:t xml:space="preserve">. Additionally, this would include an option for industry to voluntarily comply with the </w:t>
      </w:r>
      <w:r w:rsidR="0016603A">
        <w:t>RMP rules</w:t>
      </w:r>
      <w:r w:rsidRPr="00374A1D">
        <w:t xml:space="preserve">. </w:t>
      </w:r>
    </w:p>
    <w:p w14:paraId="1477C5B2" w14:textId="77777777" w:rsidR="00E73273" w:rsidRDefault="00374A1D" w:rsidP="00E73273">
      <w:pPr>
        <w:pStyle w:val="BodyText"/>
      </w:pPr>
      <w:r w:rsidRPr="00374A1D">
        <w:lastRenderedPageBreak/>
        <w:t xml:space="preserve">The analysis presented in this document clearly identifies that </w:t>
      </w:r>
      <w:r w:rsidRPr="00374A1D">
        <w:rPr>
          <w:b/>
          <w:bCs/>
        </w:rPr>
        <w:t xml:space="preserve">option 2: mandatory </w:t>
      </w:r>
      <w:r w:rsidR="00BB0179">
        <w:rPr>
          <w:b/>
          <w:bCs/>
        </w:rPr>
        <w:t>RMP</w:t>
      </w:r>
      <w:r w:rsidRPr="00374A1D">
        <w:rPr>
          <w:b/>
          <w:bCs/>
        </w:rPr>
        <w:t xml:space="preserve"> framework</w:t>
      </w:r>
      <w:r w:rsidRPr="00374A1D">
        <w:t xml:space="preserve"> most effectively addresses the identified problem areas, aligns with Government’s objectives of protecting the essential services all Australians rely upon</w:t>
      </w:r>
      <w:r w:rsidR="00192C7C">
        <w:t>,</w:t>
      </w:r>
      <w:r w:rsidRPr="00374A1D">
        <w:t xml:space="preserve"> and offers the greatest overall net benefit. For these reasons, the implementation of a mandatory </w:t>
      </w:r>
      <w:r w:rsidR="00BB0179">
        <w:t>RMP</w:t>
      </w:r>
      <w:r w:rsidRPr="00374A1D">
        <w:t xml:space="preserve"> framework is the recommended course of action. However, this RIS seeks to analyse the three options, and their associated costs and benefits, two of which demonstrate the potential to achieve some or </w:t>
      </w:r>
      <w:r w:rsidR="00DC085B" w:rsidRPr="00374A1D">
        <w:t>all</w:t>
      </w:r>
      <w:r w:rsidRPr="00374A1D">
        <w:t xml:space="preserve"> the stated policy objectives, and one which maintains the status quo and therefore does not meet the stated policy objectives. </w:t>
      </w:r>
      <w:r>
        <w:br w:type="page"/>
      </w:r>
    </w:p>
    <w:p w14:paraId="25ABCBEE" w14:textId="77777777" w:rsidR="00E73273" w:rsidRDefault="00E73273" w:rsidP="00E73273">
      <w:pPr>
        <w:pStyle w:val="BodyText"/>
      </w:pPr>
    </w:p>
    <w:p w14:paraId="51E7F51C" w14:textId="48BA8FBA" w:rsidR="00E73273" w:rsidRPr="00E73273" w:rsidRDefault="00E73273" w:rsidP="00E73273">
      <w:pPr>
        <w:pStyle w:val="Divider"/>
      </w:pPr>
      <w:r w:rsidRPr="00E73273">
        <w:rPr>
          <w:noProof/>
          <w:lang w:eastAsia="en-AU"/>
        </w:rPr>
        <mc:AlternateContent>
          <mc:Choice Requires="wps">
            <w:drawing>
              <wp:anchor distT="0" distB="0" distL="114300" distR="114300" simplePos="0" relativeHeight="251641856" behindDoc="1" locked="0" layoutInCell="1" allowOverlap="1" wp14:anchorId="54686258" wp14:editId="4391AC0D">
                <wp:simplePos x="0" y="0"/>
                <wp:positionH relativeFrom="page">
                  <wp:posOffset>0</wp:posOffset>
                </wp:positionH>
                <wp:positionV relativeFrom="page">
                  <wp:posOffset>939114</wp:posOffset>
                </wp:positionV>
                <wp:extent cx="7560000" cy="9000000"/>
                <wp:effectExtent l="0" t="0" r="3175" b="0"/>
                <wp:wrapNone/>
                <wp:docPr id="44" name="Rectangle 44"/>
                <wp:cNvGraphicFramePr/>
                <a:graphic xmlns:a="http://schemas.openxmlformats.org/drawingml/2006/main">
                  <a:graphicData uri="http://schemas.microsoft.com/office/word/2010/wordprocessingShape">
                    <wps:wsp>
                      <wps:cNvSpPr/>
                      <wps:spPr>
                        <a:xfrm>
                          <a:off x="0" y="0"/>
                          <a:ext cx="7560000" cy="9000000"/>
                        </a:xfrm>
                        <a:prstGeom prst="rect">
                          <a:avLst/>
                        </a:prstGeom>
                        <a:gradFill flip="none" rotWithShape="1">
                          <a:gsLst>
                            <a:gs pos="0">
                              <a:schemeClr val="accent1"/>
                            </a:gs>
                            <a:gs pos="100000">
                              <a:schemeClr val="accent2"/>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DA700B" id="Rectangle 44" o:spid="_x0000_s1026" style="position:absolute;margin-left:0;margin-top:73.95pt;width:595.3pt;height:708.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" fillcolor="#034ea2 [3204]" stroked="f" strokeweight="2pt">
                <v:fill color2="#007bc3 [3205]" rotate="t" angle="45" focus="100%" type="gradient"/>
                <w10:wrap anchorx="page" anchory="page"/>
              </v:rect>
            </w:pict>
          </mc:Fallback>
        </mc:AlternateContent>
      </w:r>
      <w:r>
        <w:t>I</w:t>
      </w:r>
      <w:r w:rsidRPr="00E73273">
        <w:t>I.</w:t>
      </w:r>
      <w:r>
        <w:t xml:space="preserve"> Introduction</w:t>
      </w:r>
      <w:r w:rsidRPr="00E73273">
        <w:br w:type="page"/>
      </w:r>
    </w:p>
    <w:p w14:paraId="49BBAA76" w14:textId="08F7071F" w:rsidR="00374A1D" w:rsidRDefault="00374A1D" w:rsidP="00915934">
      <w:pPr>
        <w:pStyle w:val="Heading1"/>
        <w:numPr>
          <w:ilvl w:val="0"/>
          <w:numId w:val="155"/>
        </w:numPr>
        <w:ind w:left="851" w:hanging="797"/>
      </w:pPr>
      <w:bookmarkStart w:id="9" w:name="_Toc121397381"/>
      <w:r w:rsidRPr="00915934">
        <w:lastRenderedPageBreak/>
        <w:t>Introduction</w:t>
      </w:r>
      <w:bookmarkEnd w:id="9"/>
    </w:p>
    <w:p w14:paraId="3F873E0B" w14:textId="77777777" w:rsidR="00374A1D" w:rsidRPr="004C0EFC" w:rsidRDefault="00374A1D" w:rsidP="004C0EFC">
      <w:pPr>
        <w:pStyle w:val="Heading2"/>
      </w:pPr>
      <w:bookmarkStart w:id="10" w:name="_Toc79149625"/>
      <w:bookmarkStart w:id="11" w:name="_Toc121397382"/>
      <w:r w:rsidRPr="004C0EFC">
        <w:t>Purpose of this document</w:t>
      </w:r>
      <w:bookmarkEnd w:id="10"/>
      <w:bookmarkEnd w:id="11"/>
    </w:p>
    <w:p w14:paraId="42640948" w14:textId="0D748B4E" w:rsidR="00374A1D" w:rsidRPr="00374A1D" w:rsidRDefault="00374A1D" w:rsidP="00915934">
      <w:pPr>
        <w:pStyle w:val="BodyText"/>
      </w:pPr>
      <w:r w:rsidRPr="00374A1D">
        <w:t xml:space="preserve">This RIS builds upon the regulatory impact analysis conducted in 2020 </w:t>
      </w:r>
      <w:r w:rsidRPr="00374A1D" w:rsidDel="00A53918">
        <w:t xml:space="preserve">for </w:t>
      </w:r>
      <w:r w:rsidR="00402F59">
        <w:t xml:space="preserve">the </w:t>
      </w:r>
      <w:r w:rsidR="00A53918">
        <w:t>SLACI</w:t>
      </w:r>
      <w:r w:rsidR="00D12950">
        <w:t xml:space="preserve"> Bill</w:t>
      </w:r>
      <w:r w:rsidRPr="00374A1D">
        <w:t xml:space="preserve">. </w:t>
      </w:r>
      <w:r w:rsidR="00402F59">
        <w:t>The</w:t>
      </w:r>
      <w:r w:rsidRPr="00374A1D">
        <w:t xml:space="preserve"> </w:t>
      </w:r>
      <w:r w:rsidR="00F82819">
        <w:t>SLACI</w:t>
      </w:r>
      <w:r w:rsidRPr="00374A1D" w:rsidDel="00A53918">
        <w:t xml:space="preserve"> </w:t>
      </w:r>
      <w:r w:rsidR="00D12950">
        <w:t xml:space="preserve">Bill </w:t>
      </w:r>
      <w:r w:rsidRPr="00374A1D">
        <w:t>establish</w:t>
      </w:r>
      <w:r w:rsidR="00A53918">
        <w:t>ed</w:t>
      </w:r>
      <w:r w:rsidRPr="00374A1D">
        <w:t xml:space="preserve"> the </w:t>
      </w:r>
      <w:r w:rsidRPr="00D01BB4">
        <w:t>rationale for an uplift in risk management practices across identified critical infrastructure sectors</w:t>
      </w:r>
      <w:r w:rsidR="00AC1186">
        <w:t>;</w:t>
      </w:r>
      <w:r w:rsidR="00A53918" w:rsidRPr="00D01BB4">
        <w:t xml:space="preserve"> </w:t>
      </w:r>
      <w:r w:rsidR="00A53918" w:rsidRPr="00531F25">
        <w:t>however</w:t>
      </w:r>
      <w:r w:rsidR="00AC1186">
        <w:t>,</w:t>
      </w:r>
      <w:r w:rsidR="00A53918" w:rsidRPr="00531F25">
        <w:t xml:space="preserve"> following the</w:t>
      </w:r>
      <w:r w:rsidR="00D12950">
        <w:t xml:space="preserve"> key</w:t>
      </w:r>
      <w:r w:rsidR="00A53918" w:rsidRPr="00531F25">
        <w:t xml:space="preserve"> recommendation of the PJCIS to split </w:t>
      </w:r>
      <w:r w:rsidR="000D02B0">
        <w:t xml:space="preserve">the </w:t>
      </w:r>
      <w:r w:rsidR="00804558" w:rsidRPr="00531F25">
        <w:t>SLACI</w:t>
      </w:r>
      <w:r w:rsidR="000D02B0">
        <w:t xml:space="preserve"> Bill</w:t>
      </w:r>
      <w:r w:rsidR="00A53918" w:rsidRPr="00531F25">
        <w:t xml:space="preserve">, this rationale will </w:t>
      </w:r>
      <w:r w:rsidR="00D12950">
        <w:t xml:space="preserve">be applied to </w:t>
      </w:r>
      <w:r w:rsidR="00A53918" w:rsidRPr="00531F25">
        <w:t xml:space="preserve">the </w:t>
      </w:r>
      <w:r w:rsidR="00DC698D">
        <w:t>SLACIP Act</w:t>
      </w:r>
      <w:r w:rsidRPr="00D01BB4" w:rsidDel="00A53918">
        <w:t>.</w:t>
      </w:r>
      <w:r w:rsidRPr="00D01BB4">
        <w:t xml:space="preserve"> This RIS examines the costs and benefits of implementing a </w:t>
      </w:r>
      <w:r w:rsidR="00BB0179">
        <w:t>RMP</w:t>
      </w:r>
      <w:r w:rsidRPr="00D01BB4">
        <w:t xml:space="preserve"> framework in accordance with requirements under part 2A of the </w:t>
      </w:r>
      <w:r w:rsidR="00DC698D">
        <w:t>SLACIP Act</w:t>
      </w:r>
      <w:r w:rsidRPr="00D01BB4">
        <w:t xml:space="preserve">, and the </w:t>
      </w:r>
      <w:r w:rsidR="0016603A" w:rsidRPr="00D01BB4">
        <w:t>RMP rules</w:t>
      </w:r>
      <w:r w:rsidRPr="00D01BB4">
        <w:t>. The costs</w:t>
      </w:r>
      <w:r w:rsidRPr="00374A1D">
        <w:t xml:space="preserve"> and benefits </w:t>
      </w:r>
      <w:r w:rsidR="00AC1186">
        <w:t>analysis</w:t>
      </w:r>
      <w:r w:rsidR="00AC1186" w:rsidRPr="00374A1D">
        <w:t xml:space="preserve"> </w:t>
      </w:r>
      <w:r w:rsidRPr="00374A1D">
        <w:t xml:space="preserve">also </w:t>
      </w:r>
      <w:r w:rsidR="00F332A6" w:rsidRPr="00374A1D">
        <w:t>consider</w:t>
      </w:r>
      <w:r w:rsidRPr="00374A1D">
        <w:t xml:space="preserve"> the uplift in risk management practices across Australia’s </w:t>
      </w:r>
      <w:r w:rsidR="008056F4">
        <w:t>critical infrastructure assets</w:t>
      </w:r>
      <w:r w:rsidRPr="00374A1D">
        <w:t xml:space="preserve">, and resultant cascading improvement in the security and resilience of interconnected critical infrastructure across Australia. </w:t>
      </w:r>
    </w:p>
    <w:p w14:paraId="12C4EE78" w14:textId="27CABBD8" w:rsidR="00374A1D" w:rsidRPr="00374A1D" w:rsidRDefault="00374A1D" w:rsidP="00915934">
      <w:pPr>
        <w:pStyle w:val="BodyText"/>
      </w:pPr>
      <w:r w:rsidRPr="00374A1D">
        <w:t xml:space="preserve">The analysis and discussion in this RIS </w:t>
      </w:r>
      <w:r w:rsidR="00F332A6" w:rsidRPr="00374A1D">
        <w:t>have</w:t>
      </w:r>
      <w:r w:rsidRPr="00374A1D">
        <w:t xml:space="preserve"> been informed by the information and draft rules available </w:t>
      </w:r>
      <w:r w:rsidRPr="00804558">
        <w:t xml:space="preserve">as </w:t>
      </w:r>
      <w:r w:rsidR="00F332A6" w:rsidRPr="00804558">
        <w:t>of</w:t>
      </w:r>
      <w:r w:rsidRPr="00804558">
        <w:t xml:space="preserve"> </w:t>
      </w:r>
      <w:r w:rsidR="002B01C9" w:rsidRPr="00531F25">
        <w:t>13 December 2021</w:t>
      </w:r>
      <w:r w:rsidR="00E450AE">
        <w:t>,</w:t>
      </w:r>
      <w:r w:rsidR="00B12B89">
        <w:t xml:space="preserve"> and </w:t>
      </w:r>
      <w:r w:rsidR="005F733E" w:rsidRPr="00CF19FF">
        <w:rPr>
          <w:i/>
          <w:iCs/>
        </w:rPr>
        <w:t>the Security of Critical Infrastructure (Critical infrastructure risk management program) Rules (LIN 22/018) 2022</w:t>
      </w:r>
      <w:r w:rsidR="00E450AE">
        <w:t xml:space="preserve">, issued </w:t>
      </w:r>
      <w:r w:rsidR="009D2A02">
        <w:t>5 October 2022</w:t>
      </w:r>
      <w:r w:rsidR="002B01C9" w:rsidRPr="00531F25">
        <w:t>.</w:t>
      </w:r>
      <w:r w:rsidR="009D2A02">
        <w:t xml:space="preserve"> Note: </w:t>
      </w:r>
      <w:r w:rsidR="00362D79">
        <w:t xml:space="preserve">The two sets of </w:t>
      </w:r>
      <w:r w:rsidR="009D2A02">
        <w:t xml:space="preserve">rules are substantively </w:t>
      </w:r>
      <w:r w:rsidR="00362D79">
        <w:t>unchanged.</w:t>
      </w:r>
      <w:r w:rsidR="002B01C9" w:rsidRPr="00531F25">
        <w:t xml:space="preserve"> </w:t>
      </w:r>
    </w:p>
    <w:p w14:paraId="0CB1008F" w14:textId="77777777" w:rsidR="0006159F" w:rsidRDefault="0006159F" w:rsidP="004C0EFC">
      <w:pPr>
        <w:pStyle w:val="Heading3"/>
      </w:pPr>
      <w:bookmarkStart w:id="12" w:name="_Toc76050800"/>
      <w:bookmarkStart w:id="13" w:name="_Toc77755092"/>
      <w:r>
        <w:br w:type="page"/>
      </w:r>
    </w:p>
    <w:p w14:paraId="27FD26DF" w14:textId="54CE62CC" w:rsidR="00374A1D" w:rsidRPr="004C0EFC" w:rsidRDefault="00374A1D" w:rsidP="004C0EFC">
      <w:pPr>
        <w:pStyle w:val="Heading3"/>
      </w:pPr>
      <w:r w:rsidRPr="004C0EFC">
        <w:lastRenderedPageBreak/>
        <w:t>Overview of the 2020 RIS</w:t>
      </w:r>
      <w:bookmarkEnd w:id="12"/>
      <w:bookmarkEnd w:id="13"/>
      <w:r w:rsidRPr="004C0EFC">
        <w:t xml:space="preserve"> </w:t>
      </w:r>
    </w:p>
    <w:p w14:paraId="35C8F21C" w14:textId="7F8CB858" w:rsidR="00374A1D" w:rsidRPr="00374A1D" w:rsidRDefault="00374A1D" w:rsidP="00915934">
      <w:pPr>
        <w:pStyle w:val="BodyText"/>
      </w:pPr>
      <w:r w:rsidRPr="00374A1D">
        <w:t xml:space="preserve">This RIS builds on the regulatory impact analysis conducted for the 2020 RIS. </w:t>
      </w:r>
      <w:r w:rsidRPr="00374A1D">
        <w:fldChar w:fldCharType="begin"/>
      </w:r>
      <w:r w:rsidRPr="00374A1D">
        <w:instrText xml:space="preserve"> REF _Ref78459014 \h  \* MERGEFORMAT </w:instrText>
      </w:r>
      <w:r w:rsidRPr="00374A1D">
        <w:fldChar w:fldCharType="separate"/>
      </w:r>
      <w:r w:rsidR="009708D4" w:rsidRPr="009708D4">
        <w:rPr>
          <w:bCs/>
        </w:rPr>
        <w:t xml:space="preserve">Table </w:t>
      </w:r>
      <w:r w:rsidR="009708D4" w:rsidRPr="009708D4">
        <w:rPr>
          <w:bCs/>
          <w:noProof/>
        </w:rPr>
        <w:t>2</w:t>
      </w:r>
      <w:r w:rsidR="009708D4" w:rsidRPr="00374A1D">
        <w:t xml:space="preserve"> Summary of 2020 RIS</w:t>
      </w:r>
      <w:r w:rsidRPr="00374A1D">
        <w:fldChar w:fldCharType="end"/>
      </w:r>
      <w:r w:rsidR="00AC1186">
        <w:t>, in Table 2</w:t>
      </w:r>
      <w:r w:rsidRPr="00374A1D">
        <w:t xml:space="preserve"> below</w:t>
      </w:r>
      <w:r w:rsidR="00AC1186">
        <w:t>,</w:t>
      </w:r>
      <w:r w:rsidRPr="00374A1D">
        <w:t xml:space="preserve"> indicates that the 2020 RIS assessed the regulatory impact of four measures and their burden on applicable critical infrastructure stakeholders</w:t>
      </w:r>
      <w:r w:rsidR="00AC1186">
        <w:t>:</w:t>
      </w:r>
      <w:r w:rsidRPr="00374A1D">
        <w:t xml:space="preserve"> </w:t>
      </w:r>
    </w:p>
    <w:p w14:paraId="78FCDF61" w14:textId="18A3D069" w:rsidR="00374A1D" w:rsidRPr="00374A1D" w:rsidRDefault="00374A1D" w:rsidP="00915934">
      <w:pPr>
        <w:pStyle w:val="Caption"/>
      </w:pPr>
      <w:bookmarkStart w:id="14" w:name="_Ref78459014"/>
      <w:bookmarkStart w:id="15" w:name="_Toc78878006"/>
      <w:bookmarkStart w:id="16" w:name="_Toc79156682"/>
      <w:bookmarkStart w:id="17" w:name="_Toc120115087"/>
      <w:r w:rsidRPr="00915934">
        <w:rPr>
          <w:b/>
          <w:bCs/>
        </w:rPr>
        <w:t xml:space="preserve">Table </w:t>
      </w:r>
      <w:r w:rsidRPr="00915934">
        <w:rPr>
          <w:b/>
          <w:bCs/>
        </w:rPr>
        <w:fldChar w:fldCharType="begin"/>
      </w:r>
      <w:r w:rsidRPr="00915934">
        <w:rPr>
          <w:b/>
          <w:bCs/>
        </w:rPr>
        <w:instrText xml:space="preserve"> SEQ Table \* ARABIC </w:instrText>
      </w:r>
      <w:r w:rsidRPr="00915934">
        <w:rPr>
          <w:b/>
          <w:bCs/>
        </w:rPr>
        <w:fldChar w:fldCharType="separate"/>
      </w:r>
      <w:r w:rsidR="009708D4">
        <w:rPr>
          <w:b/>
          <w:bCs/>
          <w:noProof/>
        </w:rPr>
        <w:t>2</w:t>
      </w:r>
      <w:r w:rsidRPr="00915934">
        <w:rPr>
          <w:b/>
          <w:bCs/>
        </w:rPr>
        <w:fldChar w:fldCharType="end"/>
      </w:r>
      <w:r w:rsidRPr="00374A1D">
        <w:t xml:space="preserve"> Summary of 2020 RIS</w:t>
      </w:r>
      <w:bookmarkEnd w:id="14"/>
      <w:bookmarkEnd w:id="15"/>
      <w:bookmarkEnd w:id="16"/>
      <w:bookmarkEnd w:id="17"/>
      <w:r w:rsidRPr="00374A1D">
        <w:t xml:space="preserve"> </w:t>
      </w:r>
    </w:p>
    <w:tbl>
      <w:tblPr>
        <w:tblStyle w:val="TableGrid1"/>
        <w:tblW w:w="9493" w:type="dxa"/>
        <w:jc w:val="center"/>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700"/>
        <w:gridCol w:w="3548"/>
        <w:gridCol w:w="1748"/>
        <w:gridCol w:w="1748"/>
        <w:gridCol w:w="1749"/>
      </w:tblGrid>
      <w:tr w:rsidR="00374A1D" w:rsidRPr="00374A1D" w14:paraId="57C2C46C" w14:textId="77777777" w:rsidTr="007E2E6F">
        <w:trPr>
          <w:jc w:val="center"/>
        </w:trPr>
        <w:tc>
          <w:tcPr>
            <w:tcW w:w="4248" w:type="dxa"/>
            <w:gridSpan w:val="2"/>
            <w:vMerge w:val="restart"/>
            <w:tcBorders>
              <w:top w:val="nil"/>
              <w:bottom w:val="nil"/>
            </w:tcBorders>
          </w:tcPr>
          <w:p w14:paraId="181289D2" w14:textId="77777777" w:rsidR="00374A1D" w:rsidRPr="00374A1D" w:rsidRDefault="00374A1D" w:rsidP="00374A1D">
            <w:pPr>
              <w:spacing w:after="160" w:line="259" w:lineRule="auto"/>
              <w:rPr>
                <w:rFonts w:ascii="Arial" w:eastAsia="Calibri" w:hAnsi="Arial" w:cs="Arial"/>
                <w:sz w:val="22"/>
              </w:rPr>
            </w:pPr>
          </w:p>
        </w:tc>
        <w:tc>
          <w:tcPr>
            <w:tcW w:w="5245" w:type="dxa"/>
            <w:gridSpan w:val="3"/>
            <w:tcBorders>
              <w:top w:val="nil"/>
              <w:bottom w:val="nil"/>
            </w:tcBorders>
            <w:shd w:val="clear" w:color="auto" w:fill="034EA2" w:themeFill="accent1"/>
            <w:vAlign w:val="center"/>
          </w:tcPr>
          <w:p w14:paraId="1A3E0140" w14:textId="77777777" w:rsidR="00374A1D" w:rsidRPr="00374A1D" w:rsidRDefault="00374A1D" w:rsidP="0006159F">
            <w:pPr>
              <w:pStyle w:val="TableHeading"/>
              <w:jc w:val="center"/>
            </w:pPr>
            <w:r w:rsidRPr="00374A1D">
              <w:t>2020 RIS: proposed regulatory measures</w:t>
            </w:r>
          </w:p>
        </w:tc>
      </w:tr>
      <w:tr w:rsidR="00374A1D" w:rsidRPr="00374A1D" w14:paraId="1B27ED5F" w14:textId="77777777" w:rsidTr="007E2E6F">
        <w:trPr>
          <w:jc w:val="center"/>
        </w:trPr>
        <w:tc>
          <w:tcPr>
            <w:tcW w:w="4248" w:type="dxa"/>
            <w:gridSpan w:val="2"/>
            <w:vMerge/>
            <w:tcBorders>
              <w:top w:val="single" w:sz="4" w:space="0" w:color="BFBFBF" w:themeColor="background1" w:themeShade="BF"/>
              <w:bottom w:val="nil"/>
            </w:tcBorders>
          </w:tcPr>
          <w:p w14:paraId="65F64AB5" w14:textId="77777777" w:rsidR="00374A1D" w:rsidRPr="00374A1D" w:rsidRDefault="00374A1D" w:rsidP="00374A1D">
            <w:pPr>
              <w:spacing w:after="160" w:line="259" w:lineRule="auto"/>
              <w:rPr>
                <w:rFonts w:ascii="Arial" w:eastAsia="Calibri" w:hAnsi="Arial" w:cs="Arial"/>
                <w:sz w:val="22"/>
              </w:rPr>
            </w:pPr>
          </w:p>
        </w:tc>
        <w:tc>
          <w:tcPr>
            <w:tcW w:w="1748" w:type="dxa"/>
            <w:tcBorders>
              <w:bottom w:val="nil"/>
            </w:tcBorders>
            <w:shd w:val="clear" w:color="auto" w:fill="BBDAFD" w:themeFill="accent1" w:themeFillTint="33"/>
            <w:vAlign w:val="center"/>
          </w:tcPr>
          <w:p w14:paraId="349CFC0A" w14:textId="77777777" w:rsidR="00374A1D" w:rsidRPr="004A2C5B" w:rsidRDefault="00374A1D" w:rsidP="0006159F">
            <w:pPr>
              <w:pStyle w:val="TableHeading"/>
              <w:jc w:val="center"/>
              <w:rPr>
                <w:color w:val="034EA2" w:themeColor="accent1"/>
              </w:rPr>
            </w:pPr>
            <w:r w:rsidRPr="004A2C5B">
              <w:rPr>
                <w:color w:val="034EA2" w:themeColor="accent1"/>
              </w:rPr>
              <w:t>Positive Security Obligations*</w:t>
            </w:r>
          </w:p>
        </w:tc>
        <w:tc>
          <w:tcPr>
            <w:tcW w:w="1748" w:type="dxa"/>
            <w:tcBorders>
              <w:top w:val="nil"/>
              <w:bottom w:val="nil"/>
            </w:tcBorders>
            <w:shd w:val="clear" w:color="auto" w:fill="BBDAFD" w:themeFill="accent1" w:themeFillTint="33"/>
            <w:vAlign w:val="center"/>
          </w:tcPr>
          <w:p w14:paraId="057DCFE5" w14:textId="77777777" w:rsidR="00374A1D" w:rsidRPr="004A2C5B" w:rsidRDefault="00374A1D" w:rsidP="0006159F">
            <w:pPr>
              <w:pStyle w:val="TableHeading"/>
              <w:jc w:val="center"/>
              <w:rPr>
                <w:color w:val="034EA2" w:themeColor="accent1"/>
              </w:rPr>
            </w:pPr>
            <w:r w:rsidRPr="004A2C5B">
              <w:rPr>
                <w:color w:val="034EA2" w:themeColor="accent1"/>
              </w:rPr>
              <w:t>Enhanced Cyber Security Obligations</w:t>
            </w:r>
          </w:p>
        </w:tc>
        <w:tc>
          <w:tcPr>
            <w:tcW w:w="1749" w:type="dxa"/>
            <w:tcBorders>
              <w:top w:val="nil"/>
              <w:bottom w:val="nil"/>
            </w:tcBorders>
            <w:shd w:val="clear" w:color="auto" w:fill="BBDAFD" w:themeFill="accent1" w:themeFillTint="33"/>
            <w:vAlign w:val="center"/>
          </w:tcPr>
          <w:p w14:paraId="469D49E0" w14:textId="1A5077BB" w:rsidR="00374A1D" w:rsidRPr="004A2C5B" w:rsidRDefault="00374A1D" w:rsidP="0006159F">
            <w:pPr>
              <w:pStyle w:val="TableHeading"/>
              <w:jc w:val="center"/>
              <w:rPr>
                <w:color w:val="034EA2" w:themeColor="accent1"/>
              </w:rPr>
            </w:pPr>
            <w:r w:rsidRPr="004A2C5B">
              <w:rPr>
                <w:color w:val="034EA2" w:themeColor="accent1"/>
              </w:rPr>
              <w:t>Ministerial Directions</w:t>
            </w:r>
          </w:p>
        </w:tc>
      </w:tr>
      <w:tr w:rsidR="007E2E6F" w:rsidRPr="00374A1D" w14:paraId="2D842FD7" w14:textId="77777777" w:rsidTr="00CD629D">
        <w:trPr>
          <w:jc w:val="center"/>
        </w:trPr>
        <w:tc>
          <w:tcPr>
            <w:tcW w:w="700" w:type="dxa"/>
            <w:vMerge w:val="restart"/>
            <w:tcBorders>
              <w:top w:val="nil"/>
              <w:bottom w:val="nil"/>
            </w:tcBorders>
            <w:shd w:val="clear" w:color="auto" w:fill="034EA2"/>
            <w:textDirection w:val="btLr"/>
            <w:vAlign w:val="bottom"/>
          </w:tcPr>
          <w:p w14:paraId="65CA0491" w14:textId="77777777" w:rsidR="00374A1D" w:rsidRPr="00374A1D" w:rsidRDefault="00374A1D" w:rsidP="0006159F">
            <w:pPr>
              <w:pStyle w:val="TableHeading"/>
              <w:jc w:val="center"/>
              <w:rPr>
                <w:sz w:val="22"/>
              </w:rPr>
            </w:pPr>
            <w:r w:rsidRPr="00374A1D">
              <w:t>Affected Stakeholders</w:t>
            </w:r>
          </w:p>
        </w:tc>
        <w:tc>
          <w:tcPr>
            <w:tcW w:w="3548" w:type="dxa"/>
            <w:tcBorders>
              <w:top w:val="single" w:sz="4" w:space="0" w:color="BFBFBF" w:themeColor="background1" w:themeShade="BF"/>
              <w:bottom w:val="single" w:sz="4" w:space="0" w:color="BFBFBF" w:themeColor="background1" w:themeShade="BF"/>
            </w:tcBorders>
            <w:shd w:val="clear" w:color="auto" w:fill="BBDAFD" w:themeFill="accent1" w:themeFillTint="33"/>
          </w:tcPr>
          <w:p w14:paraId="121E0B37" w14:textId="77777777" w:rsidR="00374A1D" w:rsidRPr="0006159F" w:rsidRDefault="00374A1D" w:rsidP="00F96AF0">
            <w:pPr>
              <w:pStyle w:val="TableHeading"/>
              <w:rPr>
                <w:color w:val="034EA2" w:themeColor="accent1"/>
              </w:rPr>
            </w:pPr>
            <w:r w:rsidRPr="0006159F">
              <w:rPr>
                <w:color w:val="034EA2" w:themeColor="accent1"/>
              </w:rPr>
              <w:t>Entities within ‘Critical Infrastructure Sectors’</w:t>
            </w:r>
          </w:p>
        </w:tc>
        <w:tc>
          <w:tcPr>
            <w:tcW w:w="1748" w:type="dxa"/>
            <w:vMerge w:val="restart"/>
            <w:tcBorders>
              <w:top w:val="nil"/>
              <w:bottom w:val="single" w:sz="4" w:space="0" w:color="BFBFBF" w:themeColor="background1" w:themeShade="BF"/>
              <w:right w:val="single" w:sz="4" w:space="0" w:color="BFBFBF" w:themeColor="background1" w:themeShade="BF"/>
            </w:tcBorders>
            <w:shd w:val="clear" w:color="auto" w:fill="EDEDED"/>
            <w:vAlign w:val="center"/>
          </w:tcPr>
          <w:p w14:paraId="25A0FCF9" w14:textId="77777777" w:rsidR="00374A1D" w:rsidRPr="00374A1D" w:rsidRDefault="00374A1D" w:rsidP="004A2C5B">
            <w:pPr>
              <w:spacing w:after="160" w:line="259" w:lineRule="auto"/>
              <w:jc w:val="center"/>
              <w:rPr>
                <w:rFonts w:ascii="Arial" w:eastAsia="Calibri" w:hAnsi="Arial" w:cs="Arial"/>
                <w:sz w:val="22"/>
              </w:rPr>
            </w:pPr>
          </w:p>
        </w:tc>
        <w:tc>
          <w:tcPr>
            <w:tcW w:w="1748" w:type="dxa"/>
            <w:vMerge w:val="restar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EDED"/>
            <w:vAlign w:val="center"/>
          </w:tcPr>
          <w:p w14:paraId="2C159494" w14:textId="77777777" w:rsidR="00374A1D" w:rsidRPr="00374A1D" w:rsidRDefault="00374A1D" w:rsidP="004A2C5B">
            <w:pPr>
              <w:spacing w:after="160" w:line="259" w:lineRule="auto"/>
              <w:jc w:val="center"/>
              <w:rPr>
                <w:rFonts w:ascii="Arial" w:eastAsia="Calibri" w:hAnsi="Arial" w:cs="Arial"/>
                <w:sz w:val="22"/>
              </w:rPr>
            </w:pPr>
          </w:p>
        </w:tc>
        <w:tc>
          <w:tcPr>
            <w:tcW w:w="1749" w:type="dxa"/>
            <w:vMerge w:val="restart"/>
            <w:tcBorders>
              <w:top w:val="nil"/>
              <w:left w:val="single" w:sz="4" w:space="0" w:color="BFBFBF" w:themeColor="background1" w:themeShade="BF"/>
              <w:bottom w:val="single" w:sz="4" w:space="0" w:color="BFBFBF" w:themeColor="background1" w:themeShade="BF"/>
            </w:tcBorders>
            <w:shd w:val="clear" w:color="auto" w:fill="E2EFD9"/>
            <w:vAlign w:val="center"/>
          </w:tcPr>
          <w:p w14:paraId="2164A7C0" w14:textId="67D585D2" w:rsidR="00374A1D" w:rsidRPr="00374A1D" w:rsidRDefault="004A2C5B" w:rsidP="004A2C5B">
            <w:pPr>
              <w:spacing w:after="160" w:line="259" w:lineRule="auto"/>
              <w:jc w:val="center"/>
              <w:rPr>
                <w:rFonts w:ascii="Arial" w:eastAsia="Calibri" w:hAnsi="Arial" w:cs="Arial"/>
                <w:sz w:val="22"/>
              </w:rPr>
            </w:pPr>
            <w:r w:rsidRPr="00374A1D">
              <w:rPr>
                <w:rFonts w:ascii="Arial" w:eastAsia="Calibri" w:hAnsi="Arial" w:cs="Arial"/>
                <w:noProof/>
                <w:sz w:val="22"/>
                <w:lang w:eastAsia="en-AU"/>
              </w:rPr>
              <w:drawing>
                <wp:inline distT="0" distB="0" distL="0" distR="0" wp14:anchorId="057BA934" wp14:editId="1B26037F">
                  <wp:extent cx="281940" cy="281940"/>
                  <wp:effectExtent l="0" t="0" r="3810" b="3810"/>
                  <wp:docPr id="20" name="Graphic 4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heckmark.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281940" cy="281940"/>
                          </a:xfrm>
                          <a:prstGeom prst="rect">
                            <a:avLst/>
                          </a:prstGeom>
                        </pic:spPr>
                      </pic:pic>
                    </a:graphicData>
                  </a:graphic>
                </wp:inline>
              </w:drawing>
            </w:r>
          </w:p>
        </w:tc>
      </w:tr>
      <w:tr w:rsidR="00374A1D" w:rsidRPr="00374A1D" w14:paraId="0ADC09DB" w14:textId="77777777" w:rsidTr="00CD629D">
        <w:trPr>
          <w:jc w:val="center"/>
        </w:trPr>
        <w:tc>
          <w:tcPr>
            <w:tcW w:w="700" w:type="dxa"/>
            <w:vMerge/>
            <w:tcBorders>
              <w:top w:val="single" w:sz="4" w:space="0" w:color="BFBFBF" w:themeColor="background1" w:themeShade="BF"/>
              <w:bottom w:val="nil"/>
            </w:tcBorders>
            <w:shd w:val="clear" w:color="auto" w:fill="034EA2"/>
          </w:tcPr>
          <w:p w14:paraId="432C22B2" w14:textId="77777777" w:rsidR="00374A1D" w:rsidRPr="00374A1D" w:rsidRDefault="00374A1D" w:rsidP="00374A1D">
            <w:pPr>
              <w:spacing w:after="160" w:line="259" w:lineRule="auto"/>
              <w:rPr>
                <w:rFonts w:ascii="Arial" w:eastAsia="Calibri" w:hAnsi="Arial" w:cs="Arial"/>
                <w:szCs w:val="20"/>
              </w:rPr>
            </w:pPr>
          </w:p>
        </w:tc>
        <w:tc>
          <w:tcPr>
            <w:tcW w:w="3548" w:type="dxa"/>
            <w:tcBorders>
              <w:top w:val="single" w:sz="4" w:space="0" w:color="BFBFBF" w:themeColor="background1" w:themeShade="BF"/>
            </w:tcBorders>
            <w:shd w:val="clear" w:color="auto" w:fill="auto"/>
          </w:tcPr>
          <w:p w14:paraId="0F3BED78" w14:textId="77777777" w:rsidR="00374A1D" w:rsidRPr="00374A1D" w:rsidRDefault="00374A1D" w:rsidP="00BD51D4">
            <w:pPr>
              <w:pStyle w:val="TableBody"/>
            </w:pPr>
            <w:r w:rsidRPr="00374A1D">
              <w:t>As defined in Section 1.2 of the 2020 RIS and include, for example, the energy sector.</w:t>
            </w:r>
          </w:p>
        </w:tc>
        <w:tc>
          <w:tcPr>
            <w:tcW w:w="1748" w:type="dxa"/>
            <w:vMerge/>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EDED"/>
            <w:vAlign w:val="center"/>
          </w:tcPr>
          <w:p w14:paraId="0911D02A" w14:textId="77777777" w:rsidR="00374A1D" w:rsidRPr="00374A1D" w:rsidRDefault="00374A1D" w:rsidP="004A2C5B">
            <w:pPr>
              <w:spacing w:after="160" w:line="259" w:lineRule="auto"/>
              <w:jc w:val="center"/>
              <w:rPr>
                <w:rFonts w:ascii="Arial" w:eastAsia="Calibri" w:hAnsi="Arial" w:cs="Arial"/>
                <w:sz w:val="22"/>
              </w:rPr>
            </w:pPr>
          </w:p>
        </w:tc>
        <w:tc>
          <w:tcPr>
            <w:tcW w:w="174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EDED"/>
            <w:vAlign w:val="center"/>
          </w:tcPr>
          <w:p w14:paraId="0B6B9E3F" w14:textId="77777777" w:rsidR="00374A1D" w:rsidRPr="00374A1D" w:rsidRDefault="00374A1D" w:rsidP="004A2C5B">
            <w:pPr>
              <w:spacing w:after="160" w:line="259" w:lineRule="auto"/>
              <w:jc w:val="center"/>
              <w:rPr>
                <w:rFonts w:ascii="Arial" w:eastAsia="Calibri" w:hAnsi="Arial" w:cs="Arial"/>
                <w:sz w:val="22"/>
              </w:rPr>
            </w:pPr>
          </w:p>
        </w:tc>
        <w:tc>
          <w:tcPr>
            <w:tcW w:w="1749" w:type="dxa"/>
            <w:vMerge/>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E2EFD9"/>
            <w:vAlign w:val="center"/>
          </w:tcPr>
          <w:p w14:paraId="3AA29933" w14:textId="77777777" w:rsidR="00374A1D" w:rsidRPr="00374A1D" w:rsidRDefault="00374A1D" w:rsidP="004A2C5B">
            <w:pPr>
              <w:spacing w:after="160" w:line="259" w:lineRule="auto"/>
              <w:jc w:val="center"/>
              <w:rPr>
                <w:rFonts w:ascii="Arial" w:eastAsia="Calibri" w:hAnsi="Arial" w:cs="Arial"/>
                <w:sz w:val="22"/>
              </w:rPr>
            </w:pPr>
          </w:p>
        </w:tc>
      </w:tr>
      <w:tr w:rsidR="00374A1D" w:rsidRPr="00374A1D" w14:paraId="2B7D4D16" w14:textId="77777777" w:rsidTr="007E2E6F">
        <w:trPr>
          <w:jc w:val="center"/>
        </w:trPr>
        <w:tc>
          <w:tcPr>
            <w:tcW w:w="700" w:type="dxa"/>
            <w:vMerge/>
            <w:tcBorders>
              <w:top w:val="single" w:sz="4" w:space="0" w:color="BFBFBF" w:themeColor="background1" w:themeShade="BF"/>
              <w:bottom w:val="nil"/>
            </w:tcBorders>
            <w:shd w:val="clear" w:color="auto" w:fill="034EA2"/>
          </w:tcPr>
          <w:p w14:paraId="3672BF3F" w14:textId="77777777" w:rsidR="00374A1D" w:rsidRPr="00374A1D" w:rsidRDefault="00374A1D" w:rsidP="00374A1D">
            <w:pPr>
              <w:spacing w:after="160" w:line="259" w:lineRule="auto"/>
              <w:rPr>
                <w:rFonts w:ascii="Arial" w:eastAsia="Calibri" w:hAnsi="Arial" w:cs="Arial"/>
                <w:sz w:val="22"/>
              </w:rPr>
            </w:pPr>
          </w:p>
        </w:tc>
        <w:tc>
          <w:tcPr>
            <w:tcW w:w="3548" w:type="dxa"/>
            <w:shd w:val="clear" w:color="auto" w:fill="BBDAFD" w:themeFill="accent1" w:themeFillTint="33"/>
          </w:tcPr>
          <w:p w14:paraId="6B1F9F90" w14:textId="77777777" w:rsidR="00374A1D" w:rsidRPr="00BD51D4" w:rsidRDefault="00374A1D" w:rsidP="00F96AF0">
            <w:pPr>
              <w:pStyle w:val="TableHeading"/>
              <w:rPr>
                <w:color w:val="034EA2" w:themeColor="accent1"/>
              </w:rPr>
            </w:pPr>
            <w:r w:rsidRPr="00BD51D4">
              <w:rPr>
                <w:color w:val="034EA2" w:themeColor="accent1"/>
              </w:rPr>
              <w:t>‘Critical Infrastructure Assets’</w:t>
            </w:r>
          </w:p>
        </w:tc>
        <w:tc>
          <w:tcPr>
            <w:tcW w:w="1748" w:type="dxa"/>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vAlign w:val="center"/>
          </w:tcPr>
          <w:p w14:paraId="2AC018A7" w14:textId="453599B3" w:rsidR="00374A1D" w:rsidRPr="00374A1D" w:rsidRDefault="004A2C5B" w:rsidP="004A2C5B">
            <w:pPr>
              <w:spacing w:after="160" w:line="259" w:lineRule="auto"/>
              <w:jc w:val="center"/>
              <w:rPr>
                <w:rFonts w:ascii="Arial" w:eastAsia="Calibri" w:hAnsi="Arial" w:cs="Arial"/>
                <w:sz w:val="22"/>
              </w:rPr>
            </w:pPr>
            <w:r w:rsidRPr="00374A1D">
              <w:rPr>
                <w:rFonts w:ascii="Arial" w:eastAsia="Calibri" w:hAnsi="Arial" w:cs="Arial"/>
                <w:noProof/>
                <w:sz w:val="22"/>
                <w:lang w:eastAsia="en-AU"/>
              </w:rPr>
              <w:drawing>
                <wp:inline distT="0" distB="0" distL="0" distR="0" wp14:anchorId="34565473" wp14:editId="6EF2933F">
                  <wp:extent cx="281940" cy="281940"/>
                  <wp:effectExtent l="0" t="0" r="3810" b="3810"/>
                  <wp:docPr id="63" name="Graphic 4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heckmark.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281940" cy="281940"/>
                          </a:xfrm>
                          <a:prstGeom prst="rect">
                            <a:avLst/>
                          </a:prstGeom>
                        </pic:spPr>
                      </pic:pic>
                    </a:graphicData>
                  </a:graphic>
                </wp:inline>
              </w:drawing>
            </w:r>
          </w:p>
        </w:tc>
        <w:tc>
          <w:tcPr>
            <w:tcW w:w="174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EDED"/>
            <w:vAlign w:val="center"/>
          </w:tcPr>
          <w:p w14:paraId="267E99C8" w14:textId="77777777" w:rsidR="00374A1D" w:rsidRPr="00374A1D" w:rsidRDefault="00374A1D" w:rsidP="004A2C5B">
            <w:pPr>
              <w:spacing w:after="160" w:line="259" w:lineRule="auto"/>
              <w:jc w:val="center"/>
              <w:rPr>
                <w:rFonts w:ascii="Arial" w:eastAsia="Calibri" w:hAnsi="Arial" w:cs="Arial"/>
                <w:sz w:val="22"/>
              </w:rPr>
            </w:pPr>
          </w:p>
        </w:tc>
        <w:tc>
          <w:tcPr>
            <w:tcW w:w="1749"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E2EFD9"/>
            <w:vAlign w:val="center"/>
          </w:tcPr>
          <w:p w14:paraId="61DE62B3" w14:textId="799402A0" w:rsidR="00374A1D" w:rsidRPr="00374A1D" w:rsidRDefault="004A2C5B" w:rsidP="004A2C5B">
            <w:pPr>
              <w:spacing w:after="160" w:line="259" w:lineRule="auto"/>
              <w:jc w:val="center"/>
              <w:rPr>
                <w:rFonts w:ascii="Arial" w:eastAsia="Calibri" w:hAnsi="Arial" w:cs="Arial"/>
                <w:sz w:val="22"/>
              </w:rPr>
            </w:pPr>
            <w:r w:rsidRPr="00374A1D">
              <w:rPr>
                <w:rFonts w:ascii="Arial" w:eastAsia="Calibri" w:hAnsi="Arial" w:cs="Arial"/>
                <w:noProof/>
                <w:sz w:val="22"/>
                <w:lang w:eastAsia="en-AU"/>
              </w:rPr>
              <w:drawing>
                <wp:inline distT="0" distB="0" distL="0" distR="0" wp14:anchorId="016F6B84" wp14:editId="2A7C68BE">
                  <wp:extent cx="281940" cy="281940"/>
                  <wp:effectExtent l="0" t="0" r="3810" b="3810"/>
                  <wp:docPr id="62" name="Graphic 4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heckmark.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281940" cy="281940"/>
                          </a:xfrm>
                          <a:prstGeom prst="rect">
                            <a:avLst/>
                          </a:prstGeom>
                        </pic:spPr>
                      </pic:pic>
                    </a:graphicData>
                  </a:graphic>
                </wp:inline>
              </w:drawing>
            </w:r>
          </w:p>
        </w:tc>
      </w:tr>
      <w:tr w:rsidR="00374A1D" w:rsidRPr="00374A1D" w14:paraId="1A589DAC" w14:textId="77777777" w:rsidTr="00CD629D">
        <w:trPr>
          <w:jc w:val="center"/>
        </w:trPr>
        <w:tc>
          <w:tcPr>
            <w:tcW w:w="700" w:type="dxa"/>
            <w:vMerge/>
            <w:tcBorders>
              <w:top w:val="single" w:sz="4" w:space="0" w:color="BFBFBF" w:themeColor="background1" w:themeShade="BF"/>
              <w:bottom w:val="nil"/>
            </w:tcBorders>
            <w:shd w:val="clear" w:color="auto" w:fill="034EA2"/>
          </w:tcPr>
          <w:p w14:paraId="01031997" w14:textId="77777777" w:rsidR="00374A1D" w:rsidRPr="00374A1D" w:rsidRDefault="00374A1D" w:rsidP="00374A1D">
            <w:pPr>
              <w:spacing w:after="160" w:line="259" w:lineRule="auto"/>
              <w:rPr>
                <w:rFonts w:ascii="Arial" w:eastAsia="Calibri" w:hAnsi="Arial" w:cs="Arial"/>
                <w:szCs w:val="20"/>
              </w:rPr>
            </w:pPr>
          </w:p>
        </w:tc>
        <w:tc>
          <w:tcPr>
            <w:tcW w:w="3548" w:type="dxa"/>
            <w:shd w:val="clear" w:color="auto" w:fill="auto"/>
            <w:vAlign w:val="center"/>
          </w:tcPr>
          <w:p w14:paraId="6EF96C1A" w14:textId="682FC0E4" w:rsidR="00374A1D" w:rsidRPr="00374A1D" w:rsidRDefault="00374A1D" w:rsidP="00BD51D4">
            <w:pPr>
              <w:pStyle w:val="TableBody"/>
            </w:pPr>
            <w:r w:rsidRPr="00374A1D">
              <w:t xml:space="preserve">Specific assets within critical infrastructure sectors, defined in the </w:t>
            </w:r>
            <w:r w:rsidR="00384419">
              <w:t>SOCI Act</w:t>
            </w:r>
            <w:r w:rsidRPr="00374A1D">
              <w:t xml:space="preserve">. For example, </w:t>
            </w:r>
            <w:r w:rsidR="008056F4">
              <w:t>critica</w:t>
            </w:r>
            <w:r w:rsidR="008A6AED">
              <w:t>l</w:t>
            </w:r>
            <w:r w:rsidR="004627A8">
              <w:t xml:space="preserve"> </w:t>
            </w:r>
            <w:r w:rsidR="008056F4">
              <w:t>infrastructure assets</w:t>
            </w:r>
            <w:r w:rsidRPr="00374A1D">
              <w:t>.</w:t>
            </w:r>
          </w:p>
        </w:tc>
        <w:tc>
          <w:tcPr>
            <w:tcW w:w="1748" w:type="dxa"/>
            <w:vMerge/>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vAlign w:val="center"/>
          </w:tcPr>
          <w:p w14:paraId="71B50EC4" w14:textId="77777777" w:rsidR="00374A1D" w:rsidRPr="00374A1D" w:rsidRDefault="00374A1D" w:rsidP="004A2C5B">
            <w:pPr>
              <w:spacing w:after="160" w:line="259" w:lineRule="auto"/>
              <w:jc w:val="center"/>
              <w:rPr>
                <w:rFonts w:ascii="Arial" w:eastAsia="Calibri" w:hAnsi="Arial" w:cs="Arial"/>
                <w:sz w:val="22"/>
              </w:rPr>
            </w:pPr>
          </w:p>
        </w:tc>
        <w:tc>
          <w:tcPr>
            <w:tcW w:w="174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EDED"/>
            <w:vAlign w:val="center"/>
          </w:tcPr>
          <w:p w14:paraId="4A045B2E" w14:textId="77777777" w:rsidR="00374A1D" w:rsidRPr="00374A1D" w:rsidRDefault="00374A1D" w:rsidP="004A2C5B">
            <w:pPr>
              <w:spacing w:after="160" w:line="259" w:lineRule="auto"/>
              <w:jc w:val="center"/>
              <w:rPr>
                <w:rFonts w:ascii="Arial" w:eastAsia="Calibri" w:hAnsi="Arial" w:cs="Arial"/>
                <w:sz w:val="22"/>
              </w:rPr>
            </w:pPr>
          </w:p>
        </w:tc>
        <w:tc>
          <w:tcPr>
            <w:tcW w:w="1749" w:type="dxa"/>
            <w:vMerge/>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E2EFD9"/>
            <w:vAlign w:val="center"/>
          </w:tcPr>
          <w:p w14:paraId="242AD5CB" w14:textId="77777777" w:rsidR="00374A1D" w:rsidRPr="00374A1D" w:rsidRDefault="00374A1D" w:rsidP="004A2C5B">
            <w:pPr>
              <w:spacing w:after="160" w:line="259" w:lineRule="auto"/>
              <w:jc w:val="center"/>
              <w:rPr>
                <w:rFonts w:ascii="Arial" w:eastAsia="Calibri" w:hAnsi="Arial" w:cs="Arial"/>
                <w:sz w:val="22"/>
              </w:rPr>
            </w:pPr>
          </w:p>
        </w:tc>
      </w:tr>
      <w:tr w:rsidR="00374A1D" w:rsidRPr="00374A1D" w14:paraId="11644468" w14:textId="77777777" w:rsidTr="00CD629D">
        <w:trPr>
          <w:jc w:val="center"/>
        </w:trPr>
        <w:tc>
          <w:tcPr>
            <w:tcW w:w="700" w:type="dxa"/>
            <w:vMerge/>
            <w:tcBorders>
              <w:top w:val="single" w:sz="4" w:space="0" w:color="BFBFBF" w:themeColor="background1" w:themeShade="BF"/>
              <w:bottom w:val="nil"/>
            </w:tcBorders>
            <w:shd w:val="clear" w:color="auto" w:fill="034EA2"/>
          </w:tcPr>
          <w:p w14:paraId="54A5898E" w14:textId="77777777" w:rsidR="00374A1D" w:rsidRPr="00374A1D" w:rsidRDefault="00374A1D" w:rsidP="00374A1D">
            <w:pPr>
              <w:spacing w:after="160" w:line="259" w:lineRule="auto"/>
              <w:rPr>
                <w:rFonts w:ascii="Arial" w:eastAsia="Calibri" w:hAnsi="Arial" w:cs="Arial"/>
                <w:sz w:val="22"/>
              </w:rPr>
            </w:pPr>
          </w:p>
        </w:tc>
        <w:tc>
          <w:tcPr>
            <w:tcW w:w="3548" w:type="dxa"/>
            <w:tcBorders>
              <w:bottom w:val="single" w:sz="4" w:space="0" w:color="BFBFBF" w:themeColor="background1" w:themeShade="BF"/>
            </w:tcBorders>
            <w:shd w:val="clear" w:color="auto" w:fill="BBDAFD" w:themeFill="accent1" w:themeFillTint="33"/>
            <w:vAlign w:val="center"/>
          </w:tcPr>
          <w:p w14:paraId="6D9ADDA8" w14:textId="77777777" w:rsidR="00374A1D" w:rsidRPr="00BD51D4" w:rsidRDefault="00374A1D" w:rsidP="00F96AF0">
            <w:pPr>
              <w:pStyle w:val="TableHeading"/>
              <w:rPr>
                <w:color w:val="034EA2" w:themeColor="accent1"/>
              </w:rPr>
            </w:pPr>
            <w:r w:rsidRPr="00BD51D4">
              <w:rPr>
                <w:color w:val="034EA2" w:themeColor="accent1"/>
              </w:rPr>
              <w:t>‘Systems of National Significance’</w:t>
            </w:r>
          </w:p>
        </w:tc>
        <w:tc>
          <w:tcPr>
            <w:tcW w:w="1748" w:type="dxa"/>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vAlign w:val="center"/>
          </w:tcPr>
          <w:p w14:paraId="69366466" w14:textId="75D3EA65" w:rsidR="00374A1D" w:rsidRPr="00374A1D" w:rsidRDefault="004A2C5B" w:rsidP="004A2C5B">
            <w:pPr>
              <w:spacing w:after="160" w:line="259" w:lineRule="auto"/>
              <w:jc w:val="center"/>
              <w:rPr>
                <w:rFonts w:ascii="Arial" w:eastAsia="Calibri" w:hAnsi="Arial" w:cs="Arial"/>
                <w:sz w:val="22"/>
              </w:rPr>
            </w:pPr>
            <w:r w:rsidRPr="00374A1D">
              <w:rPr>
                <w:rFonts w:ascii="Arial" w:eastAsia="Calibri" w:hAnsi="Arial" w:cs="Arial"/>
                <w:noProof/>
                <w:sz w:val="22"/>
                <w:lang w:eastAsia="en-AU"/>
              </w:rPr>
              <w:drawing>
                <wp:inline distT="0" distB="0" distL="0" distR="0" wp14:anchorId="5DD41216" wp14:editId="2BC6B753">
                  <wp:extent cx="281940" cy="281940"/>
                  <wp:effectExtent l="0" t="0" r="3810" b="3810"/>
                  <wp:docPr id="192" name="Graphic 4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heckmark.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281940" cy="281940"/>
                          </a:xfrm>
                          <a:prstGeom prst="rect">
                            <a:avLst/>
                          </a:prstGeom>
                        </pic:spPr>
                      </pic:pic>
                    </a:graphicData>
                  </a:graphic>
                </wp:inline>
              </w:drawing>
            </w:r>
          </w:p>
        </w:tc>
        <w:tc>
          <w:tcPr>
            <w:tcW w:w="174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vAlign w:val="center"/>
          </w:tcPr>
          <w:p w14:paraId="66B68C52" w14:textId="1CCB670A" w:rsidR="00374A1D" w:rsidRPr="00374A1D" w:rsidRDefault="004A2C5B" w:rsidP="004A2C5B">
            <w:pPr>
              <w:spacing w:after="160" w:line="259" w:lineRule="auto"/>
              <w:jc w:val="center"/>
              <w:rPr>
                <w:rFonts w:ascii="Arial" w:eastAsia="Calibri" w:hAnsi="Arial" w:cs="Arial"/>
                <w:sz w:val="22"/>
              </w:rPr>
            </w:pPr>
            <w:r w:rsidRPr="00374A1D">
              <w:rPr>
                <w:rFonts w:ascii="Arial" w:eastAsia="Calibri" w:hAnsi="Arial" w:cs="Arial"/>
                <w:noProof/>
                <w:sz w:val="22"/>
                <w:lang w:eastAsia="en-AU"/>
              </w:rPr>
              <w:drawing>
                <wp:inline distT="0" distB="0" distL="0" distR="0" wp14:anchorId="423CBAF5" wp14:editId="2EDD180E">
                  <wp:extent cx="281940" cy="281940"/>
                  <wp:effectExtent l="0" t="0" r="3810" b="3810"/>
                  <wp:docPr id="193" name="Graphic 4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heckmark.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281940" cy="281940"/>
                          </a:xfrm>
                          <a:prstGeom prst="rect">
                            <a:avLst/>
                          </a:prstGeom>
                        </pic:spPr>
                      </pic:pic>
                    </a:graphicData>
                  </a:graphic>
                </wp:inline>
              </w:drawing>
            </w:r>
          </w:p>
        </w:tc>
        <w:tc>
          <w:tcPr>
            <w:tcW w:w="1749"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E2EFD9"/>
            <w:vAlign w:val="center"/>
          </w:tcPr>
          <w:p w14:paraId="04321BE1" w14:textId="00D28CB3" w:rsidR="00374A1D" w:rsidRPr="00374A1D" w:rsidRDefault="004A2C5B" w:rsidP="004A2C5B">
            <w:pPr>
              <w:spacing w:after="160" w:line="259" w:lineRule="auto"/>
              <w:jc w:val="center"/>
              <w:rPr>
                <w:rFonts w:ascii="Arial" w:eastAsia="Calibri" w:hAnsi="Arial" w:cs="Arial"/>
                <w:sz w:val="22"/>
              </w:rPr>
            </w:pPr>
            <w:r w:rsidRPr="00374A1D">
              <w:rPr>
                <w:rFonts w:ascii="Arial" w:eastAsia="Calibri" w:hAnsi="Arial" w:cs="Arial"/>
                <w:noProof/>
                <w:sz w:val="22"/>
                <w:lang w:eastAsia="en-AU"/>
              </w:rPr>
              <w:drawing>
                <wp:inline distT="0" distB="0" distL="0" distR="0" wp14:anchorId="286C63C7" wp14:editId="613C9E56">
                  <wp:extent cx="281940" cy="281940"/>
                  <wp:effectExtent l="0" t="0" r="3810" b="3810"/>
                  <wp:docPr id="194" name="Graphic 4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heckmark.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281940" cy="281940"/>
                          </a:xfrm>
                          <a:prstGeom prst="rect">
                            <a:avLst/>
                          </a:prstGeom>
                        </pic:spPr>
                      </pic:pic>
                    </a:graphicData>
                  </a:graphic>
                </wp:inline>
              </w:drawing>
            </w:r>
          </w:p>
        </w:tc>
      </w:tr>
      <w:tr w:rsidR="00374A1D" w:rsidRPr="00374A1D" w14:paraId="43827C9F" w14:textId="77777777" w:rsidTr="00CD629D">
        <w:trPr>
          <w:jc w:val="center"/>
        </w:trPr>
        <w:tc>
          <w:tcPr>
            <w:tcW w:w="700" w:type="dxa"/>
            <w:vMerge/>
            <w:tcBorders>
              <w:top w:val="single" w:sz="4" w:space="0" w:color="BFBFBF" w:themeColor="background1" w:themeShade="BF"/>
              <w:bottom w:val="nil"/>
            </w:tcBorders>
            <w:shd w:val="clear" w:color="auto" w:fill="034EA2"/>
          </w:tcPr>
          <w:p w14:paraId="4EA11010" w14:textId="77777777" w:rsidR="00374A1D" w:rsidRPr="00374A1D" w:rsidRDefault="00374A1D" w:rsidP="00374A1D">
            <w:pPr>
              <w:spacing w:after="160" w:line="259" w:lineRule="auto"/>
              <w:rPr>
                <w:rFonts w:ascii="Arial" w:eastAsia="Calibri" w:hAnsi="Arial" w:cs="Arial"/>
                <w:szCs w:val="20"/>
              </w:rPr>
            </w:pPr>
          </w:p>
        </w:tc>
        <w:tc>
          <w:tcPr>
            <w:tcW w:w="3548" w:type="dxa"/>
            <w:tcBorders>
              <w:top w:val="single" w:sz="4" w:space="0" w:color="BFBFBF" w:themeColor="background1" w:themeShade="BF"/>
              <w:bottom w:val="single" w:sz="4" w:space="0" w:color="BFBFBF" w:themeColor="background1" w:themeShade="BF"/>
            </w:tcBorders>
            <w:shd w:val="clear" w:color="auto" w:fill="auto"/>
            <w:vAlign w:val="center"/>
          </w:tcPr>
          <w:p w14:paraId="13F21E31" w14:textId="77777777" w:rsidR="00374A1D" w:rsidRPr="00374A1D" w:rsidRDefault="00374A1D" w:rsidP="00BD51D4">
            <w:pPr>
              <w:pStyle w:val="TableBody"/>
            </w:pPr>
            <w:r w:rsidRPr="00374A1D">
              <w:t xml:space="preserve">Those systems declared by the Minister as most critical to Australia’s social and economic stability, </w:t>
            </w:r>
            <w:r w:rsidR="00F332A6" w:rsidRPr="00374A1D">
              <w:t>defence,</w:t>
            </w:r>
            <w:r w:rsidRPr="00374A1D">
              <w:t xml:space="preserve"> and national security.</w:t>
            </w:r>
          </w:p>
        </w:tc>
        <w:tc>
          <w:tcPr>
            <w:tcW w:w="1748" w:type="dxa"/>
            <w:vMerge/>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tcPr>
          <w:p w14:paraId="4A7CF240" w14:textId="77777777" w:rsidR="00374A1D" w:rsidRPr="00374A1D" w:rsidRDefault="00374A1D" w:rsidP="00374A1D">
            <w:pPr>
              <w:spacing w:after="160" w:line="259" w:lineRule="auto"/>
              <w:jc w:val="center"/>
              <w:rPr>
                <w:rFonts w:ascii="Arial" w:eastAsia="Calibri" w:hAnsi="Arial" w:cs="Arial"/>
                <w:sz w:val="22"/>
              </w:rPr>
            </w:pPr>
          </w:p>
        </w:tc>
        <w:tc>
          <w:tcPr>
            <w:tcW w:w="174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tcPr>
          <w:p w14:paraId="366660C9" w14:textId="77777777" w:rsidR="00374A1D" w:rsidRPr="00374A1D" w:rsidRDefault="00374A1D" w:rsidP="00374A1D">
            <w:pPr>
              <w:spacing w:after="160" w:line="259" w:lineRule="auto"/>
              <w:jc w:val="center"/>
              <w:rPr>
                <w:rFonts w:ascii="Arial" w:eastAsia="Calibri" w:hAnsi="Arial" w:cs="Arial"/>
                <w:sz w:val="22"/>
              </w:rPr>
            </w:pPr>
          </w:p>
        </w:tc>
        <w:tc>
          <w:tcPr>
            <w:tcW w:w="1749" w:type="dxa"/>
            <w:vMerge/>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E2EFD9"/>
          </w:tcPr>
          <w:p w14:paraId="109BC934" w14:textId="77777777" w:rsidR="00374A1D" w:rsidRPr="00374A1D" w:rsidRDefault="00374A1D" w:rsidP="00374A1D">
            <w:pPr>
              <w:spacing w:after="160" w:line="259" w:lineRule="auto"/>
              <w:jc w:val="center"/>
              <w:rPr>
                <w:rFonts w:ascii="Arial" w:eastAsia="Calibri" w:hAnsi="Arial" w:cs="Arial"/>
                <w:sz w:val="22"/>
              </w:rPr>
            </w:pPr>
          </w:p>
        </w:tc>
      </w:tr>
    </w:tbl>
    <w:p w14:paraId="7FF3CA75" w14:textId="77777777" w:rsidR="00374A1D" w:rsidRPr="00374A1D" w:rsidRDefault="00374A1D" w:rsidP="0050628D">
      <w:pPr>
        <w:pStyle w:val="Note"/>
      </w:pPr>
      <w:r w:rsidRPr="0050628D">
        <w:rPr>
          <w:b/>
          <w:bCs w:val="0"/>
        </w:rPr>
        <w:t>Notes</w:t>
      </w:r>
      <w:r w:rsidRPr="00374A1D">
        <w:t xml:space="preserve">: *the 2020 RIS assessed the costs of complying with the Register of Critical Infrastructure Assets and cyber reporting obligation elements of the positive security obligations. It </w:t>
      </w:r>
      <w:r w:rsidRPr="00374A1D">
        <w:rPr>
          <w:b/>
        </w:rPr>
        <w:t>did not</w:t>
      </w:r>
      <w:r w:rsidRPr="00374A1D">
        <w:t xml:space="preserve"> consider the costs of the </w:t>
      </w:r>
      <w:r w:rsidR="00BB0179">
        <w:t>RMP</w:t>
      </w:r>
      <w:r w:rsidRPr="00374A1D">
        <w:t xml:space="preserve"> obligation element of the positive security obligations, which is addressed in this RIS.</w:t>
      </w:r>
    </w:p>
    <w:p w14:paraId="46AADD85" w14:textId="77777777" w:rsidR="00374A1D" w:rsidRPr="00374A1D" w:rsidRDefault="00374A1D" w:rsidP="00915934">
      <w:pPr>
        <w:pStyle w:val="BodyText"/>
      </w:pPr>
      <w:r w:rsidRPr="00374A1D">
        <w:t xml:space="preserve">The green shading above highlights the regulatory changes and subsequent regulatory burden analysed as part of the 2020 RIS. The grey shading indicates no regulatory change. </w:t>
      </w:r>
    </w:p>
    <w:p w14:paraId="24010A44" w14:textId="26B287C3" w:rsidR="00374A1D" w:rsidRPr="00374A1D" w:rsidRDefault="00374A1D" w:rsidP="00915934">
      <w:pPr>
        <w:pStyle w:val="BodyText"/>
      </w:pPr>
      <w:r w:rsidRPr="00374A1D">
        <w:t>The 2020 RIS found that the implementation of legislative change was likely to have an annual aggregated cost to industry of $2.19 million</w:t>
      </w:r>
      <w:r w:rsidR="00F77B97">
        <w:t>,</w:t>
      </w:r>
      <w:r w:rsidRPr="00374A1D">
        <w:t xml:space="preserve"> </w:t>
      </w:r>
      <w:r w:rsidR="00F77B97">
        <w:t>attributed to</w:t>
      </w:r>
      <w:r w:rsidRPr="00374A1D">
        <w:t xml:space="preserve"> the Register of Critical Infrastructure Assets and the mandatory cyber </w:t>
      </w:r>
      <w:r w:rsidR="007E6864">
        <w:t xml:space="preserve">incident </w:t>
      </w:r>
      <w:r w:rsidRPr="00374A1D">
        <w:t xml:space="preserve">reporting obligations in </w:t>
      </w:r>
      <w:r w:rsidR="00402F59">
        <w:t xml:space="preserve">the </w:t>
      </w:r>
      <w:r w:rsidR="00762F36">
        <w:t>SLACI</w:t>
      </w:r>
      <w:r w:rsidR="007E6864">
        <w:t xml:space="preserve"> Bill</w:t>
      </w:r>
      <w:r w:rsidRPr="00374A1D">
        <w:t xml:space="preserve">. </w:t>
      </w:r>
    </w:p>
    <w:p w14:paraId="56F3891A" w14:textId="4BE8801F" w:rsidR="00374A1D" w:rsidRPr="00374A1D" w:rsidRDefault="00374A1D" w:rsidP="00915934">
      <w:pPr>
        <w:pStyle w:val="BodyText"/>
      </w:pPr>
      <w:r w:rsidRPr="00374A1D">
        <w:t>The costs associated with the Enhanced Cyber Security Obligations and the Ministerial Directions obligations do not require ongoing industry obligations and are upon request. Therefore</w:t>
      </w:r>
      <w:r w:rsidR="002B01C9">
        <w:t>,</w:t>
      </w:r>
      <w:r w:rsidRPr="00374A1D">
        <w:t xml:space="preserve"> estimates were provided for the costs to individual entities if directed by Government to comply with a particular Enhanced Cyber Security Obligation or </w:t>
      </w:r>
      <w:r w:rsidR="00F77B97">
        <w:t>M</w:t>
      </w:r>
      <w:r w:rsidRPr="00374A1D">
        <w:t xml:space="preserve">inisterial </w:t>
      </w:r>
      <w:r w:rsidR="00F77B97">
        <w:t>D</w:t>
      </w:r>
      <w:r w:rsidRPr="00374A1D">
        <w:t>irection</w:t>
      </w:r>
      <w:r w:rsidR="006E2907">
        <w:t xml:space="preserve">. These costs </w:t>
      </w:r>
      <w:r w:rsidRPr="00374A1D">
        <w:t>ran</w:t>
      </w:r>
      <w:r w:rsidR="006E2907">
        <w:t>ged</w:t>
      </w:r>
      <w:r w:rsidRPr="00374A1D">
        <w:t xml:space="preserve"> from a $4,999 annual cost for compliance with a particular </w:t>
      </w:r>
      <w:r w:rsidR="00F77B97">
        <w:t>M</w:t>
      </w:r>
      <w:r w:rsidRPr="00374A1D">
        <w:t xml:space="preserve">inisterial </w:t>
      </w:r>
      <w:r w:rsidR="00F77B97">
        <w:t>D</w:t>
      </w:r>
      <w:r w:rsidRPr="00374A1D">
        <w:t xml:space="preserve">irection to a maximum annual compliance burden of $361,250 for a large system of national significance to comply with a telemetry enhanced cyber security obligation. </w:t>
      </w:r>
    </w:p>
    <w:p w14:paraId="57DF7F57" w14:textId="47D6EB30" w:rsidR="00374A1D" w:rsidRPr="00374A1D" w:rsidRDefault="00374A1D" w:rsidP="00915934">
      <w:pPr>
        <w:pStyle w:val="BodyText"/>
      </w:pPr>
      <w:r w:rsidRPr="00374A1D">
        <w:t>The 2020 RIS concluded the costs associated with the proposed regulatory changes were justified, as they would offer a substantial benefit in the form of increased security and resilience for Australia’s critical infrastructure. It found that likely benefits of the legislative change included increases in resilienc</w:t>
      </w:r>
      <w:r w:rsidR="00B347CD">
        <w:t>y</w:t>
      </w:r>
      <w:r w:rsidRPr="00374A1D">
        <w:t xml:space="preserve">, job creation, and a higher continuity in the provision of services to </w:t>
      </w:r>
      <w:r w:rsidR="00E4302C">
        <w:t>industry, business</w:t>
      </w:r>
      <w:r w:rsidR="005E3FE2">
        <w:t>es,</w:t>
      </w:r>
      <w:r w:rsidR="00E4302C">
        <w:t xml:space="preserve"> and </w:t>
      </w:r>
      <w:r w:rsidRPr="00374A1D">
        <w:t>households.</w:t>
      </w:r>
    </w:p>
    <w:p w14:paraId="3424FEBA" w14:textId="19F5123B" w:rsidR="00374A1D" w:rsidRDefault="00374A1D" w:rsidP="00915934">
      <w:pPr>
        <w:pStyle w:val="BodyText"/>
      </w:pPr>
      <w:r w:rsidRPr="00374A1D">
        <w:t>The 2020 RIS considered the overarching costs and benefits of two elements of the positive security obligations</w:t>
      </w:r>
      <w:r w:rsidR="00D570D6">
        <w:t xml:space="preserve">: </w:t>
      </w:r>
      <w:r w:rsidRPr="00374A1D">
        <w:t xml:space="preserve">the </w:t>
      </w:r>
      <w:r w:rsidR="00E373DE">
        <w:t xml:space="preserve">reporting obligations </w:t>
      </w:r>
      <w:r w:rsidR="007E6864">
        <w:t>to the Register of Critical Infrastructure Assets</w:t>
      </w:r>
      <w:r w:rsidRPr="00374A1D">
        <w:t xml:space="preserve"> and </w:t>
      </w:r>
      <w:r w:rsidRPr="00374A1D">
        <w:lastRenderedPageBreak/>
        <w:t xml:space="preserve">the mandatory cyber </w:t>
      </w:r>
      <w:r w:rsidR="007E6864" w:rsidRPr="00374A1D">
        <w:t xml:space="preserve">incident </w:t>
      </w:r>
      <w:r w:rsidRPr="00374A1D">
        <w:t xml:space="preserve">reporting obligation. This RIS analyses the regulatory impact of the </w:t>
      </w:r>
      <w:r w:rsidR="00BB0179">
        <w:t>RMP</w:t>
      </w:r>
      <w:r w:rsidRPr="00374A1D">
        <w:t xml:space="preserve"> obligations (a subset of positive security obligations), and accompanying </w:t>
      </w:r>
      <w:r w:rsidR="0016603A">
        <w:t>RMP rules</w:t>
      </w:r>
      <w:r w:rsidR="00870F80">
        <w:t xml:space="preserve"> for critical </w:t>
      </w:r>
      <w:r w:rsidR="00CC6573">
        <w:t>infrastructure assets</w:t>
      </w:r>
      <w:r w:rsidRPr="00374A1D">
        <w:t xml:space="preserve">.  </w:t>
      </w:r>
    </w:p>
    <w:p w14:paraId="711C2BE5" w14:textId="6304E2BD" w:rsidR="005D78C9" w:rsidRPr="004C0EFC" w:rsidRDefault="005D78C9" w:rsidP="005D78C9">
      <w:pPr>
        <w:pStyle w:val="Heading3"/>
      </w:pPr>
      <w:r>
        <w:t>Deve</w:t>
      </w:r>
      <w:r w:rsidR="00B147C1">
        <w:t>lopment of this</w:t>
      </w:r>
      <w:r w:rsidRPr="004C0EFC">
        <w:t xml:space="preserve"> RIS </w:t>
      </w:r>
    </w:p>
    <w:p w14:paraId="1363E659" w14:textId="77777777" w:rsidR="00376631" w:rsidRDefault="00376631" w:rsidP="00376631">
      <w:pPr>
        <w:pStyle w:val="BodyText"/>
      </w:pPr>
      <w:r>
        <w:t>The Department engaged with the Office of Impact Analysis (previously Office of Best Practice Regulation) throughout the policy development process. The regulatory impact statement was at the following stages of development at key decision points:</w:t>
      </w:r>
    </w:p>
    <w:p w14:paraId="7A88A1D9" w14:textId="77777777" w:rsidR="00376631" w:rsidRDefault="00376631" w:rsidP="00376631">
      <w:pPr>
        <w:pStyle w:val="BodyText"/>
        <w:numPr>
          <w:ilvl w:val="0"/>
          <w:numId w:val="181"/>
        </w:numPr>
        <w:spacing w:before="0" w:line="264" w:lineRule="auto"/>
      </w:pPr>
      <w:r>
        <w:t>Government approval – Draft</w:t>
      </w:r>
    </w:p>
    <w:p w14:paraId="66B5F78B" w14:textId="36B0279A" w:rsidR="00376631" w:rsidRDefault="00376631" w:rsidP="00376631">
      <w:pPr>
        <w:pStyle w:val="BodyText"/>
        <w:numPr>
          <w:ilvl w:val="0"/>
          <w:numId w:val="181"/>
        </w:numPr>
        <w:spacing w:before="0" w:line="264" w:lineRule="auto"/>
      </w:pPr>
      <w:r>
        <w:t xml:space="preserve">Draft </w:t>
      </w:r>
      <w:r w:rsidR="00DE195E">
        <w:t xml:space="preserve">SLACIP </w:t>
      </w:r>
      <w:r>
        <w:t xml:space="preserve">bill exposure to Senior Officials and </w:t>
      </w:r>
      <w:r w:rsidR="0079355C">
        <w:t>to the PJCIS</w:t>
      </w:r>
      <w:r w:rsidR="00854EB4">
        <w:t xml:space="preserve"> </w:t>
      </w:r>
      <w:r>
        <w:t>– First pass</w:t>
      </w:r>
    </w:p>
    <w:p w14:paraId="6DE6771F" w14:textId="7CB2FDCB" w:rsidR="00376631" w:rsidRDefault="00376631" w:rsidP="00376631">
      <w:pPr>
        <w:pStyle w:val="BodyText"/>
        <w:numPr>
          <w:ilvl w:val="0"/>
          <w:numId w:val="181"/>
        </w:numPr>
        <w:spacing w:before="0" w:line="264" w:lineRule="auto"/>
      </w:pPr>
      <w:r>
        <w:t xml:space="preserve">Decision of Government </w:t>
      </w:r>
      <w:r w:rsidR="000D3E62">
        <w:t>on the</w:t>
      </w:r>
      <w:r w:rsidR="009C76B2">
        <w:t xml:space="preserve"> Risk Management Program Rules</w:t>
      </w:r>
      <w:r w:rsidR="000D3E62">
        <w:t xml:space="preserve"> </w:t>
      </w:r>
      <w:r>
        <w:t>– Second pass</w:t>
      </w:r>
    </w:p>
    <w:p w14:paraId="0A4D0269" w14:textId="77777777" w:rsidR="00374A1D" w:rsidRPr="00374A1D" w:rsidRDefault="00374A1D" w:rsidP="004C0EFC">
      <w:pPr>
        <w:pStyle w:val="Heading2"/>
      </w:pPr>
      <w:bookmarkStart w:id="18" w:name="_Toc120115229"/>
      <w:bookmarkStart w:id="19" w:name="_Toc120115286"/>
      <w:bookmarkStart w:id="20" w:name="_Toc70606777"/>
      <w:bookmarkStart w:id="21" w:name="_Toc79149626"/>
      <w:bookmarkStart w:id="22" w:name="_Toc121397383"/>
      <w:bookmarkEnd w:id="18"/>
      <w:bookmarkEnd w:id="19"/>
      <w:r w:rsidRPr="00374A1D">
        <w:t>What is ‘</w:t>
      </w:r>
      <w:r w:rsidRPr="004C0EFC">
        <w:t>critical</w:t>
      </w:r>
      <w:r w:rsidRPr="00374A1D">
        <w:t xml:space="preserve"> infrastructure’?</w:t>
      </w:r>
      <w:bookmarkEnd w:id="20"/>
      <w:bookmarkEnd w:id="21"/>
      <w:bookmarkEnd w:id="22"/>
      <w:r w:rsidRPr="00374A1D">
        <w:t xml:space="preserve"> </w:t>
      </w:r>
    </w:p>
    <w:p w14:paraId="47622BA5" w14:textId="77777777" w:rsidR="00374A1D" w:rsidRPr="00374A1D" w:rsidRDefault="00374A1D" w:rsidP="00915934">
      <w:pPr>
        <w:pStyle w:val="BodyText"/>
      </w:pPr>
      <w:r w:rsidRPr="00374A1D">
        <w:t>The Commonwealth Government’s Critical Infrastructure Resilience Strategy 2016 defines critical infrastructure as:</w:t>
      </w:r>
    </w:p>
    <w:p w14:paraId="1C3126F2" w14:textId="77777777" w:rsidR="00374A1D" w:rsidRPr="00915934" w:rsidRDefault="00374A1D" w:rsidP="00915934">
      <w:pPr>
        <w:pStyle w:val="Quote"/>
      </w:pPr>
      <w:r w:rsidRPr="00915934">
        <w:t>“…Those physical facilities, supply chains, information technologies and communication networks which, if destroyed, degraded or rendered unavailable for an extended period, would significantly impact the social or economic wellbeing of the nation or affect Australia’s ability to conduct national defence and ensure national security.”</w:t>
      </w:r>
      <w:r w:rsidRPr="00F64860">
        <w:rPr>
          <w:vertAlign w:val="superscript"/>
        </w:rPr>
        <w:footnoteReference w:id="6"/>
      </w:r>
    </w:p>
    <w:p w14:paraId="24AFC8C3" w14:textId="40DB1B03" w:rsidR="00374A1D" w:rsidRPr="00374A1D" w:rsidRDefault="00374A1D" w:rsidP="00915934">
      <w:pPr>
        <w:pStyle w:val="BodyText"/>
      </w:pPr>
      <w:r w:rsidRPr="00374A1D">
        <w:t xml:space="preserve">The </w:t>
      </w:r>
      <w:r w:rsidR="007E6864">
        <w:t xml:space="preserve">introduction and </w:t>
      </w:r>
      <w:r w:rsidR="00F82819">
        <w:t>passage</w:t>
      </w:r>
      <w:r w:rsidRPr="00374A1D">
        <w:t xml:space="preserve"> of </w:t>
      </w:r>
      <w:r w:rsidR="00402F59">
        <w:t xml:space="preserve">the </w:t>
      </w:r>
      <w:r w:rsidR="00C35392">
        <w:t xml:space="preserve">SLACI </w:t>
      </w:r>
      <w:r w:rsidR="00402F59">
        <w:t xml:space="preserve">Act </w:t>
      </w:r>
      <w:r w:rsidRPr="00374A1D">
        <w:t xml:space="preserve">reflects </w:t>
      </w:r>
      <w:r w:rsidR="007E6864">
        <w:t xml:space="preserve">the </w:t>
      </w:r>
      <w:r w:rsidRPr="00374A1D">
        <w:t>Government’s priority to provide greater clarity on the particular sectors defined as critical infrastructure sectors</w:t>
      </w:r>
      <w:r w:rsidR="00183888">
        <w:t xml:space="preserve">. </w:t>
      </w:r>
      <w:r w:rsidR="00B13A87" w:rsidRPr="00B13A87">
        <w:rPr>
          <w:rStyle w:val="BodyTextChar"/>
        </w:rPr>
        <w:fldChar w:fldCharType="begin"/>
      </w:r>
      <w:r w:rsidR="00B13A87" w:rsidRPr="00B13A87">
        <w:rPr>
          <w:rStyle w:val="BodyTextChar"/>
        </w:rPr>
        <w:instrText xml:space="preserve"> REF _Ref78459353 \h </w:instrText>
      </w:r>
      <w:r w:rsidR="00B13A87" w:rsidRPr="00B13A87">
        <w:rPr>
          <w:rStyle w:val="BodyTextChar"/>
          <w:rFonts w:eastAsia="Calibri"/>
        </w:rPr>
        <w:instrText xml:space="preserve"> \* MERGEFORMAT </w:instrText>
      </w:r>
      <w:r w:rsidR="00B13A87" w:rsidRPr="00B13A87">
        <w:rPr>
          <w:rStyle w:val="BodyTextChar"/>
        </w:rPr>
      </w:r>
      <w:r w:rsidR="00B13A87" w:rsidRPr="00B13A87">
        <w:rPr>
          <w:rStyle w:val="BodyTextChar"/>
        </w:rPr>
        <w:fldChar w:fldCharType="separate"/>
      </w:r>
      <w:r w:rsidR="009708D4" w:rsidRPr="009708D4">
        <w:rPr>
          <w:rStyle w:val="BodyTextChar"/>
          <w:rFonts w:eastAsia="Calibri"/>
        </w:rPr>
        <w:t>Table 3</w:t>
      </w:r>
      <w:r w:rsidR="00B13A87" w:rsidRPr="00B13A87">
        <w:rPr>
          <w:rStyle w:val="BodyTextChar"/>
        </w:rPr>
        <w:fldChar w:fldCharType="end"/>
      </w:r>
      <w:r w:rsidR="00183888" w:rsidRPr="00B13A87">
        <w:rPr>
          <w:sz w:val="24"/>
        </w:rPr>
        <w:t xml:space="preserve"> </w:t>
      </w:r>
      <w:r w:rsidR="00B13A87" w:rsidRPr="00B13A87">
        <w:rPr>
          <w:szCs w:val="24"/>
        </w:rPr>
        <w:t xml:space="preserve">below </w:t>
      </w:r>
      <w:r w:rsidR="00E223FA">
        <w:rPr>
          <w:szCs w:val="24"/>
        </w:rPr>
        <w:t xml:space="preserve">lists the critical infrastructure sectors </w:t>
      </w:r>
      <w:r w:rsidR="00E223FA" w:rsidRPr="009B4B57">
        <w:rPr>
          <w:b/>
          <w:szCs w:val="24"/>
        </w:rPr>
        <w:t>relevant to this RIS</w:t>
      </w:r>
      <w:r w:rsidR="00E223FA">
        <w:rPr>
          <w:szCs w:val="24"/>
        </w:rPr>
        <w:t xml:space="preserve">, and corresponding </w:t>
      </w:r>
      <w:r w:rsidR="00930DEB">
        <w:rPr>
          <w:szCs w:val="24"/>
        </w:rPr>
        <w:t>relevant critical infrastructure assets</w:t>
      </w:r>
      <w:r w:rsidR="00E223FA">
        <w:rPr>
          <w:szCs w:val="24"/>
        </w:rPr>
        <w:t>.</w:t>
      </w:r>
      <w:r w:rsidRPr="00B13A87">
        <w:t xml:space="preserve"> </w:t>
      </w:r>
      <w:r w:rsidR="00E223FA">
        <w:t xml:space="preserve">Refer to </w:t>
      </w:r>
      <w:r w:rsidR="00E223FA" w:rsidRPr="00E849F6">
        <w:rPr>
          <w:szCs w:val="24"/>
        </w:rPr>
        <w:t>Appendi</w:t>
      </w:r>
      <w:r w:rsidR="00412577" w:rsidRPr="00E849F6">
        <w:rPr>
          <w:szCs w:val="24"/>
        </w:rPr>
        <w:t>ces</w:t>
      </w:r>
      <w:r w:rsidR="00E223FA" w:rsidRPr="00E849F6">
        <w:rPr>
          <w:szCs w:val="24"/>
        </w:rPr>
        <w:t xml:space="preserve"> </w:t>
      </w:r>
      <w:r w:rsidR="00D57A98">
        <w:rPr>
          <w:szCs w:val="24"/>
        </w:rPr>
        <w:t xml:space="preserve">G – </w:t>
      </w:r>
      <w:r w:rsidR="00381943">
        <w:rPr>
          <w:szCs w:val="24"/>
        </w:rPr>
        <w:t>R</w:t>
      </w:r>
      <w:r w:rsidR="00B347CD">
        <w:t xml:space="preserve"> </w:t>
      </w:r>
      <w:r w:rsidR="00E223FA">
        <w:t xml:space="preserve">for further detail on the relevant critical infrastructure sectors. </w:t>
      </w:r>
    </w:p>
    <w:p w14:paraId="06B5B92F" w14:textId="5EC27236" w:rsidR="00374A1D" w:rsidRPr="00374A1D" w:rsidRDefault="00374A1D" w:rsidP="00915934">
      <w:pPr>
        <w:pStyle w:val="Caption"/>
      </w:pPr>
      <w:bookmarkStart w:id="23" w:name="_Ref78459353"/>
      <w:bookmarkStart w:id="24" w:name="_Ref78459342"/>
      <w:bookmarkStart w:id="25" w:name="_Toc78878007"/>
      <w:bookmarkStart w:id="26" w:name="_Toc79156683"/>
      <w:bookmarkStart w:id="27" w:name="_Toc120115088"/>
      <w:r w:rsidRPr="00374A1D">
        <w:rPr>
          <w:b/>
          <w:bCs/>
        </w:rPr>
        <w:t xml:space="preserve">Table </w:t>
      </w:r>
      <w:r w:rsidRPr="00374A1D">
        <w:rPr>
          <w:b/>
          <w:bCs/>
        </w:rPr>
        <w:fldChar w:fldCharType="begin"/>
      </w:r>
      <w:r w:rsidRPr="00374A1D">
        <w:rPr>
          <w:b/>
          <w:bCs/>
        </w:rPr>
        <w:instrText xml:space="preserve"> SEQ Table \* ARABIC </w:instrText>
      </w:r>
      <w:r w:rsidRPr="00374A1D">
        <w:rPr>
          <w:b/>
          <w:bCs/>
        </w:rPr>
        <w:fldChar w:fldCharType="separate"/>
      </w:r>
      <w:r w:rsidR="009708D4">
        <w:rPr>
          <w:b/>
          <w:bCs/>
          <w:noProof/>
        </w:rPr>
        <w:t>3</w:t>
      </w:r>
      <w:r w:rsidRPr="00374A1D">
        <w:rPr>
          <w:b/>
          <w:bCs/>
        </w:rPr>
        <w:fldChar w:fldCharType="end"/>
      </w:r>
      <w:bookmarkEnd w:id="23"/>
      <w:r w:rsidRPr="00374A1D">
        <w:t xml:space="preserve"> Critical infrastructure sector</w:t>
      </w:r>
      <w:r w:rsidR="006A3224">
        <w:t>s</w:t>
      </w:r>
      <w:r w:rsidRPr="00374A1D">
        <w:t xml:space="preserve"> and </w:t>
      </w:r>
      <w:bookmarkEnd w:id="24"/>
      <w:bookmarkEnd w:id="25"/>
      <w:bookmarkEnd w:id="26"/>
      <w:r w:rsidR="006A3224">
        <w:t>asset classes</w:t>
      </w:r>
      <w:bookmarkEnd w:id="27"/>
    </w:p>
    <w:tbl>
      <w:tblPr>
        <w:tblStyle w:val="GridTable4-Accent11"/>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3246"/>
        <w:gridCol w:w="6362"/>
      </w:tblGrid>
      <w:tr w:rsidR="001926D2" w:rsidRPr="0050628D" w14:paraId="35058CF2" w14:textId="77777777" w:rsidTr="00C62822">
        <w:trPr>
          <w:cantSplit/>
          <w:tblHeader/>
        </w:trPr>
        <w:tc>
          <w:tcPr>
            <w:tcW w:w="3246" w:type="dxa"/>
            <w:shd w:val="clear" w:color="auto" w:fill="034EA2" w:themeFill="accent1"/>
          </w:tcPr>
          <w:p w14:paraId="048DF979" w14:textId="77777777" w:rsidR="00374A1D" w:rsidRPr="0050628D" w:rsidRDefault="00374A1D" w:rsidP="00C62822">
            <w:pPr>
              <w:pStyle w:val="TableHeading"/>
            </w:pPr>
            <w:r w:rsidRPr="0050628D">
              <w:t xml:space="preserve">Critical Infrastructure </w:t>
            </w:r>
            <w:r w:rsidR="009C5858" w:rsidRPr="0050628D">
              <w:t>Sector</w:t>
            </w:r>
          </w:p>
        </w:tc>
        <w:tc>
          <w:tcPr>
            <w:tcW w:w="6362" w:type="dxa"/>
            <w:shd w:val="clear" w:color="auto" w:fill="034EA2" w:themeFill="accent1"/>
          </w:tcPr>
          <w:p w14:paraId="55A84FAD" w14:textId="77777777" w:rsidR="00374A1D" w:rsidRPr="0050628D" w:rsidRDefault="00412577" w:rsidP="00C62822">
            <w:pPr>
              <w:pStyle w:val="TableHeading"/>
            </w:pPr>
            <w:r w:rsidRPr="0050628D">
              <w:t>Relevant critical infrastructure a</w:t>
            </w:r>
            <w:r w:rsidR="00E8513D" w:rsidRPr="0050628D">
              <w:t>sset</w:t>
            </w:r>
            <w:r w:rsidRPr="0050628D">
              <w:t>s</w:t>
            </w:r>
          </w:p>
        </w:tc>
      </w:tr>
      <w:tr w:rsidR="00340241" w:rsidRPr="00374A1D" w14:paraId="42C65306" w14:textId="77777777" w:rsidTr="00CD629D">
        <w:trPr>
          <w:cantSplit/>
        </w:trPr>
        <w:tc>
          <w:tcPr>
            <w:tcW w:w="3246" w:type="dxa"/>
            <w:shd w:val="clear" w:color="auto" w:fill="F2F2F2" w:themeFill="background1" w:themeFillShade="F2"/>
          </w:tcPr>
          <w:p w14:paraId="30FCE560" w14:textId="77777777" w:rsidR="00676A21" w:rsidRPr="00CD629D" w:rsidRDefault="00906803" w:rsidP="00CD629D">
            <w:pPr>
              <w:pStyle w:val="TableBody"/>
            </w:pPr>
            <w:r w:rsidRPr="00CD629D">
              <w:t>Energy</w:t>
            </w:r>
          </w:p>
        </w:tc>
        <w:tc>
          <w:tcPr>
            <w:tcW w:w="6362" w:type="dxa"/>
            <w:shd w:val="clear" w:color="auto" w:fill="FFFFFF"/>
          </w:tcPr>
          <w:p w14:paraId="70F855F6" w14:textId="77777777" w:rsidR="00AF4FF1" w:rsidRDefault="006A3224" w:rsidP="00C62822">
            <w:pPr>
              <w:pStyle w:val="TableBullet"/>
            </w:pPr>
            <w:r>
              <w:t>C</w:t>
            </w:r>
            <w:r w:rsidR="00AF4FF1">
              <w:t>ritical electricity assets</w:t>
            </w:r>
          </w:p>
          <w:p w14:paraId="0206A027" w14:textId="77777777" w:rsidR="00AF4FF1" w:rsidRDefault="006A3224" w:rsidP="00C62822">
            <w:pPr>
              <w:pStyle w:val="TableBullet"/>
            </w:pPr>
            <w:r>
              <w:t>C</w:t>
            </w:r>
            <w:r w:rsidR="00AF4FF1">
              <w:t>ritical gas assets</w:t>
            </w:r>
          </w:p>
          <w:p w14:paraId="533AAD4B" w14:textId="77777777" w:rsidR="00676A21" w:rsidRDefault="006A3224" w:rsidP="00C62822">
            <w:pPr>
              <w:pStyle w:val="TableBullet"/>
            </w:pPr>
            <w:r>
              <w:t>C</w:t>
            </w:r>
            <w:r w:rsidR="00676A21">
              <w:t>ritical liquid fuels assets</w:t>
            </w:r>
          </w:p>
          <w:p w14:paraId="0D16E7C6" w14:textId="77777777" w:rsidR="00AF4FF1" w:rsidRPr="00603D10" w:rsidRDefault="006A3224" w:rsidP="00C62822">
            <w:pPr>
              <w:pStyle w:val="TableBullet"/>
            </w:pPr>
            <w:r>
              <w:t>C</w:t>
            </w:r>
            <w:r w:rsidR="00AF4FF1">
              <w:t>ritical energy market operator assets</w:t>
            </w:r>
          </w:p>
        </w:tc>
      </w:tr>
      <w:tr w:rsidR="00340241" w:rsidRPr="00374A1D" w14:paraId="3D2DF6F3" w14:textId="77777777" w:rsidTr="00CD629D">
        <w:trPr>
          <w:cantSplit/>
        </w:trPr>
        <w:tc>
          <w:tcPr>
            <w:tcW w:w="3246" w:type="dxa"/>
            <w:shd w:val="clear" w:color="auto" w:fill="F2F2F2" w:themeFill="background1" w:themeFillShade="F2"/>
          </w:tcPr>
          <w:p w14:paraId="4D6BDA95" w14:textId="77777777" w:rsidR="00D56317" w:rsidRPr="00CD629D" w:rsidRDefault="00D73CD9" w:rsidP="00CD629D">
            <w:pPr>
              <w:pStyle w:val="TableBody"/>
            </w:pPr>
            <w:r w:rsidRPr="00CD629D">
              <w:t xml:space="preserve">Water and </w:t>
            </w:r>
            <w:r w:rsidR="00D87759" w:rsidRPr="00CD629D">
              <w:t>S</w:t>
            </w:r>
            <w:r w:rsidRPr="00CD629D">
              <w:t xml:space="preserve">ewerage </w:t>
            </w:r>
          </w:p>
        </w:tc>
        <w:tc>
          <w:tcPr>
            <w:tcW w:w="6362" w:type="dxa"/>
            <w:shd w:val="clear" w:color="auto" w:fill="FFFFFF"/>
          </w:tcPr>
          <w:p w14:paraId="3DAD51F5" w14:textId="77777777" w:rsidR="00236034" w:rsidRPr="00236034" w:rsidRDefault="006A3224" w:rsidP="00C62822">
            <w:pPr>
              <w:pStyle w:val="TableBullet"/>
            </w:pPr>
            <w:r>
              <w:t>C</w:t>
            </w:r>
            <w:r w:rsidR="00D73CD9">
              <w:t>ritical water assets</w:t>
            </w:r>
          </w:p>
        </w:tc>
      </w:tr>
      <w:tr w:rsidR="00340241" w:rsidRPr="00374A1D" w14:paraId="1FFF1E2B" w14:textId="77777777" w:rsidTr="00CD629D">
        <w:trPr>
          <w:cantSplit/>
        </w:trPr>
        <w:tc>
          <w:tcPr>
            <w:tcW w:w="3246" w:type="dxa"/>
            <w:shd w:val="clear" w:color="auto" w:fill="F2F2F2" w:themeFill="background1" w:themeFillShade="F2"/>
          </w:tcPr>
          <w:p w14:paraId="2767A50A" w14:textId="77777777" w:rsidR="00AF4FF1" w:rsidRPr="00CD629D" w:rsidRDefault="009A24B6" w:rsidP="00CD629D">
            <w:pPr>
              <w:pStyle w:val="TableBody"/>
            </w:pPr>
            <w:r w:rsidRPr="00CD629D">
              <w:t xml:space="preserve">Data </w:t>
            </w:r>
            <w:r w:rsidR="00F23CF1" w:rsidRPr="00CD629D">
              <w:t>Storage and Processing</w:t>
            </w:r>
          </w:p>
        </w:tc>
        <w:tc>
          <w:tcPr>
            <w:tcW w:w="6362" w:type="dxa"/>
            <w:shd w:val="clear" w:color="auto" w:fill="FFFFFF"/>
          </w:tcPr>
          <w:p w14:paraId="4E334587" w14:textId="77777777" w:rsidR="00AF4FF1" w:rsidRPr="00603D10" w:rsidRDefault="006A3224" w:rsidP="00C62822">
            <w:pPr>
              <w:pStyle w:val="TableBullet"/>
            </w:pPr>
            <w:r>
              <w:t>C</w:t>
            </w:r>
            <w:r w:rsidR="00F23CF1">
              <w:t>ritical data processing or storage assets</w:t>
            </w:r>
          </w:p>
        </w:tc>
      </w:tr>
      <w:tr w:rsidR="00340241" w:rsidRPr="00374A1D" w14:paraId="1A698334" w14:textId="77777777" w:rsidTr="00CD629D">
        <w:trPr>
          <w:cantSplit/>
        </w:trPr>
        <w:tc>
          <w:tcPr>
            <w:tcW w:w="3246" w:type="dxa"/>
            <w:shd w:val="clear" w:color="auto" w:fill="F2F2F2" w:themeFill="background1" w:themeFillShade="F2"/>
          </w:tcPr>
          <w:p w14:paraId="19350E19" w14:textId="77777777" w:rsidR="00AF4FF1" w:rsidRPr="00CD629D" w:rsidRDefault="007F2416" w:rsidP="00CD629D">
            <w:pPr>
              <w:pStyle w:val="TableBody"/>
            </w:pPr>
            <w:r w:rsidRPr="00CD629D">
              <w:t>Communications</w:t>
            </w:r>
          </w:p>
        </w:tc>
        <w:tc>
          <w:tcPr>
            <w:tcW w:w="6362" w:type="dxa"/>
            <w:shd w:val="clear" w:color="auto" w:fill="FFFFFF"/>
          </w:tcPr>
          <w:p w14:paraId="236A8A95" w14:textId="77777777" w:rsidR="00AF4FF1" w:rsidRDefault="006A3224" w:rsidP="00C62822">
            <w:pPr>
              <w:pStyle w:val="TableBullet"/>
            </w:pPr>
            <w:r>
              <w:t>C</w:t>
            </w:r>
            <w:r w:rsidR="00236034">
              <w:t>ritical broadcasting assets</w:t>
            </w:r>
          </w:p>
          <w:p w14:paraId="49534421" w14:textId="77777777" w:rsidR="00D2457C" w:rsidRPr="00603D10" w:rsidRDefault="006A3224" w:rsidP="00C62822">
            <w:pPr>
              <w:pStyle w:val="TableBullet"/>
            </w:pPr>
            <w:r>
              <w:t>C</w:t>
            </w:r>
            <w:r w:rsidR="0078091F">
              <w:t>ritical domain name systems</w:t>
            </w:r>
          </w:p>
        </w:tc>
      </w:tr>
      <w:tr w:rsidR="00340241" w:rsidRPr="00374A1D" w14:paraId="264073DE" w14:textId="77777777" w:rsidTr="00CD629D">
        <w:trPr>
          <w:cantSplit/>
        </w:trPr>
        <w:tc>
          <w:tcPr>
            <w:tcW w:w="3246" w:type="dxa"/>
            <w:shd w:val="clear" w:color="auto" w:fill="F2F2F2" w:themeFill="background1" w:themeFillShade="F2"/>
          </w:tcPr>
          <w:p w14:paraId="5CDB13DE" w14:textId="77777777" w:rsidR="00AF4FF1" w:rsidRPr="00CD629D" w:rsidRDefault="00236034" w:rsidP="00CD629D">
            <w:pPr>
              <w:pStyle w:val="TableBody"/>
            </w:pPr>
            <w:r w:rsidRPr="00CD629D">
              <w:t>Financial Services and Markets</w:t>
            </w:r>
          </w:p>
        </w:tc>
        <w:tc>
          <w:tcPr>
            <w:tcW w:w="6362" w:type="dxa"/>
            <w:shd w:val="clear" w:color="auto" w:fill="FFFFFF"/>
          </w:tcPr>
          <w:p w14:paraId="5B960B68" w14:textId="77777777" w:rsidR="00AF4FF1" w:rsidRPr="00603D10" w:rsidRDefault="006A3224" w:rsidP="00C62822">
            <w:pPr>
              <w:pStyle w:val="TableBullet"/>
            </w:pPr>
            <w:r>
              <w:t>C</w:t>
            </w:r>
            <w:r w:rsidR="00236034">
              <w:t>ritical financial market infrastructure assets (specifically payment systems)</w:t>
            </w:r>
          </w:p>
        </w:tc>
      </w:tr>
      <w:tr w:rsidR="00340241" w:rsidRPr="00374A1D" w14:paraId="1A6C03F6" w14:textId="77777777" w:rsidTr="00CD629D">
        <w:trPr>
          <w:cantSplit/>
        </w:trPr>
        <w:tc>
          <w:tcPr>
            <w:tcW w:w="3246" w:type="dxa"/>
            <w:shd w:val="clear" w:color="auto" w:fill="F2F2F2" w:themeFill="background1" w:themeFillShade="F2"/>
          </w:tcPr>
          <w:p w14:paraId="73476DBA" w14:textId="77777777" w:rsidR="00D63EB5" w:rsidRPr="00CD629D" w:rsidRDefault="00D87759" w:rsidP="00CD629D">
            <w:pPr>
              <w:pStyle w:val="TableBody"/>
            </w:pPr>
            <w:r w:rsidRPr="00CD629D">
              <w:t>Health</w:t>
            </w:r>
          </w:p>
        </w:tc>
        <w:tc>
          <w:tcPr>
            <w:tcW w:w="6362" w:type="dxa"/>
            <w:shd w:val="clear" w:color="auto" w:fill="FFFFFF"/>
          </w:tcPr>
          <w:p w14:paraId="16497075" w14:textId="77777777" w:rsidR="00D63EB5" w:rsidRDefault="006A3224" w:rsidP="00C62822">
            <w:pPr>
              <w:pStyle w:val="TableBullet"/>
            </w:pPr>
            <w:r>
              <w:t>C</w:t>
            </w:r>
            <w:r w:rsidR="00DF67F5">
              <w:t>ritical hospital</w:t>
            </w:r>
            <w:r w:rsidR="00D87759">
              <w:t>s</w:t>
            </w:r>
          </w:p>
        </w:tc>
      </w:tr>
      <w:tr w:rsidR="008D2BFB" w:rsidRPr="00374A1D" w14:paraId="027C9EE5" w14:textId="77777777" w:rsidTr="00CD629D">
        <w:trPr>
          <w:cantSplit/>
        </w:trPr>
        <w:tc>
          <w:tcPr>
            <w:tcW w:w="3246" w:type="dxa"/>
            <w:shd w:val="clear" w:color="auto" w:fill="F2F2F2" w:themeFill="background1" w:themeFillShade="F2"/>
          </w:tcPr>
          <w:p w14:paraId="1CE53E6F" w14:textId="5F5602E3" w:rsidR="008D2BFB" w:rsidRPr="00CD629D" w:rsidRDefault="008D2BFB" w:rsidP="00CD629D">
            <w:pPr>
              <w:pStyle w:val="TableBody"/>
            </w:pPr>
            <w:r>
              <w:t>Transport</w:t>
            </w:r>
          </w:p>
        </w:tc>
        <w:tc>
          <w:tcPr>
            <w:tcW w:w="6362" w:type="dxa"/>
            <w:shd w:val="clear" w:color="auto" w:fill="FFFFFF"/>
          </w:tcPr>
          <w:p w14:paraId="6DAFEF0C" w14:textId="77777777" w:rsidR="008D2BFB" w:rsidRDefault="008D2BFB" w:rsidP="00C62822">
            <w:pPr>
              <w:pStyle w:val="TableBullet"/>
            </w:pPr>
            <w:r>
              <w:t>Critical freight infrastructure assets</w:t>
            </w:r>
          </w:p>
          <w:p w14:paraId="2198EB03" w14:textId="1F1E5C5B" w:rsidR="008D2BFB" w:rsidRDefault="008D2BFB" w:rsidP="00C62822">
            <w:pPr>
              <w:pStyle w:val="TableBullet"/>
            </w:pPr>
            <w:r>
              <w:t>Critical freight services assets</w:t>
            </w:r>
          </w:p>
        </w:tc>
      </w:tr>
      <w:tr w:rsidR="002870F6" w:rsidRPr="00374A1D" w14:paraId="2684A9F0" w14:textId="77777777" w:rsidTr="00CD629D">
        <w:trPr>
          <w:cantSplit/>
        </w:trPr>
        <w:tc>
          <w:tcPr>
            <w:tcW w:w="3246" w:type="dxa"/>
            <w:shd w:val="clear" w:color="auto" w:fill="F2F2F2" w:themeFill="background1" w:themeFillShade="F2"/>
          </w:tcPr>
          <w:p w14:paraId="13449CFC" w14:textId="21EC630E" w:rsidR="002870F6" w:rsidRDefault="00163CC2" w:rsidP="00CD629D">
            <w:pPr>
              <w:pStyle w:val="TableBody"/>
            </w:pPr>
            <w:r>
              <w:t>Food</w:t>
            </w:r>
            <w:r w:rsidR="00AF734A">
              <w:t xml:space="preserve"> and Grocery</w:t>
            </w:r>
          </w:p>
        </w:tc>
        <w:tc>
          <w:tcPr>
            <w:tcW w:w="6362" w:type="dxa"/>
            <w:shd w:val="clear" w:color="auto" w:fill="FFFFFF"/>
          </w:tcPr>
          <w:p w14:paraId="4A4725DF" w14:textId="3FEA679C" w:rsidR="002870F6" w:rsidRDefault="00163CC2" w:rsidP="00C62822">
            <w:pPr>
              <w:pStyle w:val="TableBullet"/>
            </w:pPr>
            <w:r>
              <w:t>Critical food and grocery assets</w:t>
            </w:r>
          </w:p>
        </w:tc>
      </w:tr>
    </w:tbl>
    <w:p w14:paraId="111280F7" w14:textId="7109FE8F" w:rsidR="00374A1D" w:rsidRPr="00A943E7" w:rsidRDefault="00374A1D" w:rsidP="0050628D">
      <w:pPr>
        <w:pStyle w:val="BodyText"/>
        <w:spacing w:before="240"/>
      </w:pPr>
      <w:bookmarkStart w:id="28" w:name="_Toc73029714"/>
      <w:bookmarkStart w:id="29" w:name="_Toc73609392"/>
      <w:bookmarkStart w:id="30" w:name="_Toc74133848"/>
      <w:bookmarkStart w:id="31" w:name="_Toc74212020"/>
      <w:bookmarkStart w:id="32" w:name="_Toc74212295"/>
      <w:bookmarkStart w:id="33" w:name="_Toc74661404"/>
      <w:bookmarkStart w:id="34" w:name="_Toc74661569"/>
      <w:bookmarkStart w:id="35" w:name="_Toc74755212"/>
      <w:bookmarkStart w:id="36" w:name="_Toc74756803"/>
      <w:bookmarkStart w:id="37" w:name="_Toc74756926"/>
      <w:bookmarkStart w:id="38" w:name="_Toc74832163"/>
      <w:bookmarkStart w:id="39" w:name="_Toc74841090"/>
      <w:bookmarkStart w:id="40" w:name="_Toc74841168"/>
      <w:bookmarkStart w:id="41" w:name="_Toc74913948"/>
      <w:bookmarkStart w:id="42" w:name="_Toc76050802"/>
      <w:bookmarkStart w:id="43" w:name="_Toc70671179"/>
      <w:bookmarkStart w:id="44" w:name="_Toc70672641"/>
      <w:bookmarkStart w:id="45" w:name="_Toc70672811"/>
      <w:bookmarkStart w:id="46" w:name="_Toc71710843"/>
      <w:bookmarkStart w:id="47" w:name="_Toc71720797"/>
      <w:r w:rsidRPr="00374A1D">
        <w:lastRenderedPageBreak/>
        <w:t xml:space="preserve">This RIS is </w:t>
      </w:r>
      <w:r w:rsidRPr="00915934">
        <w:t>focused</w:t>
      </w:r>
      <w:r w:rsidRPr="00374A1D">
        <w:t xml:space="preserve"> on entities who own or operate </w:t>
      </w:r>
      <w:r w:rsidRPr="001C0E95">
        <w:t xml:space="preserve">a </w:t>
      </w:r>
      <w:r w:rsidR="00E223FA">
        <w:t>critical</w:t>
      </w:r>
      <w:r w:rsidR="000D0A09" w:rsidRPr="00531F25">
        <w:t xml:space="preserve"> infrastructure </w:t>
      </w:r>
      <w:r w:rsidRPr="001C0E95">
        <w:t>asset</w:t>
      </w:r>
      <w:r w:rsidR="00F66BA8" w:rsidRPr="001C0E95">
        <w:t xml:space="preserve"> </w:t>
      </w:r>
      <w:r w:rsidRPr="001C0E95">
        <w:t>(‘responsible entities’)</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00CE1F17" w:rsidRPr="001C0E95">
        <w:t xml:space="preserve">, as </w:t>
      </w:r>
      <w:r w:rsidR="006D306B" w:rsidRPr="001C0E95">
        <w:t>described</w:t>
      </w:r>
      <w:r w:rsidR="00CE1F17" w:rsidRPr="001C0E95">
        <w:t xml:space="preserve"> </w:t>
      </w:r>
      <w:r w:rsidR="00CE1F17">
        <w:t xml:space="preserve">in </w:t>
      </w:r>
      <w:r w:rsidR="00CE1F17" w:rsidDel="00000568">
        <w:t>the</w:t>
      </w:r>
      <w:r w:rsidR="00CE1F17" w:rsidRPr="00241B22" w:rsidDel="00000568">
        <w:rPr>
          <w:i/>
        </w:rPr>
        <w:t xml:space="preserve"> </w:t>
      </w:r>
      <w:r w:rsidR="00F35C86" w:rsidRPr="00241B22">
        <w:rPr>
          <w:i/>
          <w:iCs/>
        </w:rPr>
        <w:t xml:space="preserve">Critical Infrastructure (Definitions) Rules </w:t>
      </w:r>
      <w:r w:rsidR="00241B22" w:rsidRPr="00241B22">
        <w:rPr>
          <w:i/>
          <w:iCs/>
        </w:rPr>
        <w:t>(LIN 21/039) 2021</w:t>
      </w:r>
      <w:r w:rsidR="00E223FA">
        <w:rPr>
          <w:i/>
          <w:iCs/>
        </w:rPr>
        <w:t xml:space="preserve">, </w:t>
      </w:r>
      <w:r w:rsidR="00E223FA">
        <w:t xml:space="preserve">that is </w:t>
      </w:r>
      <w:r w:rsidR="00E373DE">
        <w:t xml:space="preserve">in </w:t>
      </w:r>
      <w:r w:rsidR="00E223FA">
        <w:t xml:space="preserve">one of the aforementioned asset </w:t>
      </w:r>
      <w:r w:rsidR="00E373DE">
        <w:t xml:space="preserve">classes. </w:t>
      </w:r>
    </w:p>
    <w:p w14:paraId="0DEA3064" w14:textId="77777777" w:rsidR="00374A1D" w:rsidRPr="00374A1D" w:rsidRDefault="00374A1D" w:rsidP="00630C04">
      <w:pPr>
        <w:pStyle w:val="Heading3"/>
        <w:rPr>
          <w:rFonts w:eastAsia="Calibri"/>
        </w:rPr>
      </w:pPr>
      <w:bookmarkStart w:id="48" w:name="_Toc73029715"/>
      <w:bookmarkStart w:id="49" w:name="_Toc73609393"/>
      <w:bookmarkStart w:id="50" w:name="_Toc74133849"/>
      <w:bookmarkStart w:id="51" w:name="_Toc74212021"/>
      <w:bookmarkStart w:id="52" w:name="_Toc74212296"/>
      <w:bookmarkStart w:id="53" w:name="_Toc74661405"/>
      <w:bookmarkStart w:id="54" w:name="_Toc74661570"/>
      <w:bookmarkStart w:id="55" w:name="_Toc74755213"/>
      <w:bookmarkStart w:id="56" w:name="_Toc74756804"/>
      <w:bookmarkStart w:id="57" w:name="_Toc74756927"/>
      <w:bookmarkStart w:id="58" w:name="_Toc74832164"/>
      <w:bookmarkStart w:id="59" w:name="_Toc74841091"/>
      <w:bookmarkStart w:id="60" w:name="_Toc74841169"/>
      <w:bookmarkStart w:id="61" w:name="_Toc74913949"/>
      <w:bookmarkStart w:id="62" w:name="_Toc76050803"/>
      <w:bookmarkStart w:id="63" w:name="_Toc77755094"/>
      <w:r w:rsidRPr="00374A1D">
        <w:rPr>
          <w:rFonts w:eastAsia="Calibri"/>
        </w:rPr>
        <w:t>The importance of critical infrastructure</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374A1D">
        <w:rPr>
          <w:rFonts w:eastAsia="Calibri"/>
        </w:rPr>
        <w:t xml:space="preserve"> </w:t>
      </w:r>
    </w:p>
    <w:p w14:paraId="6C4F29B1" w14:textId="77777777" w:rsidR="00374A1D" w:rsidRPr="00374A1D" w:rsidRDefault="00374A1D" w:rsidP="00915934">
      <w:pPr>
        <w:pStyle w:val="BodyText"/>
      </w:pPr>
      <w:r w:rsidRPr="00374A1D">
        <w:t>Critical infrastructure is vital to Australia’s social and economic stability, defence</w:t>
      </w:r>
      <w:r w:rsidR="00F332A6">
        <w:t>,</w:t>
      </w:r>
      <w:r w:rsidRPr="00374A1D">
        <w:t xml:space="preserve"> and national security. It enables the provision of essential services such as food, water, health services, education, energy, communications, transportation and banking. Without these services, Australia’s economic prosperity and public safety would be threatened. </w:t>
      </w:r>
    </w:p>
    <w:p w14:paraId="33FF6270" w14:textId="77777777" w:rsidR="00374A1D" w:rsidRPr="00374A1D" w:rsidRDefault="00374A1D" w:rsidP="00915934">
      <w:pPr>
        <w:pStyle w:val="BodyText"/>
      </w:pPr>
      <w:r w:rsidRPr="00374A1D">
        <w:t xml:space="preserve">Existing critical infrastructure frameworks are being outpaced by an evolving threat environment. Natural hazards are increasing in prevalence, information technology and operational systems are converging, the complexity of cyber threats is growing, and foreign intelligence activities against Australian interests are increasing in frequency and sophistication. </w:t>
      </w:r>
    </w:p>
    <w:p w14:paraId="67703555" w14:textId="77777777" w:rsidR="00374A1D" w:rsidRPr="00374A1D" w:rsidRDefault="00374A1D" w:rsidP="00915934">
      <w:pPr>
        <w:pStyle w:val="BodyText"/>
      </w:pPr>
      <w:r w:rsidRPr="00374A1D">
        <w:t xml:space="preserve">The interconnected nature of critical infrastructure means that, without proper safeguards, deliberate or inadvertent disruption of one critical infrastructure asset can result in cascading impacts for Australia’s social and economic stability, defence and national security. While owners and operators of critical infrastructure have strong incentives to ensure the resilience of their own assets to varying standards, the interconnectedness and significance of these assets warrants the application of consistent standards on a whole-of-sector basis. </w:t>
      </w:r>
    </w:p>
    <w:p w14:paraId="56BAE521" w14:textId="424F1559" w:rsidR="00374A1D" w:rsidRPr="00374A1D" w:rsidRDefault="00374A1D" w:rsidP="00C62822">
      <w:pPr>
        <w:pStyle w:val="Heading2"/>
        <w:spacing w:after="120"/>
      </w:pPr>
      <w:bookmarkStart w:id="64" w:name="_1.3_Role_of"/>
      <w:bookmarkStart w:id="65" w:name="_Toc79149627"/>
      <w:bookmarkStart w:id="66" w:name="_Toc121397384"/>
      <w:bookmarkEnd w:id="64"/>
      <w:r w:rsidRPr="00374A1D">
        <w:t xml:space="preserve">Role of the </w:t>
      </w:r>
      <w:r w:rsidR="000379B0">
        <w:t xml:space="preserve">SLACIP </w:t>
      </w:r>
      <w:bookmarkEnd w:id="65"/>
      <w:r w:rsidR="00D721DC">
        <w:t>Act</w:t>
      </w:r>
      <w:bookmarkEnd w:id="66"/>
      <w:r w:rsidR="00D721DC" w:rsidRPr="00374A1D">
        <w:t xml:space="preserve"> </w:t>
      </w:r>
    </w:p>
    <w:p w14:paraId="5AF5085D" w14:textId="5DE86733" w:rsidR="00374A1D" w:rsidRPr="00374A1D" w:rsidRDefault="00374A1D" w:rsidP="00915934">
      <w:pPr>
        <w:pStyle w:val="BodyText"/>
      </w:pPr>
      <w:r w:rsidRPr="00374A1D">
        <w:t xml:space="preserve">Building on the existing requirements contained in the </w:t>
      </w:r>
      <w:r w:rsidR="00384419">
        <w:t>SOCI Act</w:t>
      </w:r>
      <w:r w:rsidRPr="00374A1D">
        <w:t xml:space="preserve">, the </w:t>
      </w:r>
      <w:r w:rsidR="00DC698D">
        <w:t>SLACIP Act</w:t>
      </w:r>
      <w:r w:rsidRPr="00374A1D">
        <w:t xml:space="preserve"> introduce</w:t>
      </w:r>
      <w:r w:rsidR="00DC698D">
        <w:t>s</w:t>
      </w:r>
      <w:r w:rsidRPr="00374A1D">
        <w:t xml:space="preserve"> an enhanced regulatory framework for critical infrastructure sectors. This includes, most relevantly, additional positive security obligations for critical infrastructure assets, including compliance with </w:t>
      </w:r>
      <w:r w:rsidR="00BB0179">
        <w:t>RMP</w:t>
      </w:r>
      <w:r w:rsidRPr="00374A1D">
        <w:t xml:space="preserve"> obligations outlined in sections 30AC – 30AK</w:t>
      </w:r>
      <w:r w:rsidR="001362C1">
        <w:t>A</w:t>
      </w:r>
      <w:r w:rsidRPr="00374A1D">
        <w:t xml:space="preserve"> of the </w:t>
      </w:r>
      <w:r w:rsidR="005F7379">
        <w:t>SLACI</w:t>
      </w:r>
      <w:r w:rsidR="00F77B97">
        <w:t>P</w:t>
      </w:r>
      <w:r w:rsidR="005F7379">
        <w:t xml:space="preserve"> </w:t>
      </w:r>
      <w:r w:rsidR="00DC698D">
        <w:t>Act</w:t>
      </w:r>
      <w:r w:rsidRPr="00374A1D">
        <w:t>.</w:t>
      </w:r>
      <w:r w:rsidRPr="00374A1D">
        <w:rPr>
          <w:vertAlign w:val="superscript"/>
        </w:rPr>
        <w:footnoteReference w:id="7"/>
      </w:r>
      <w:r w:rsidRPr="00374A1D">
        <w:t xml:space="preserve"> The benefits of the </w:t>
      </w:r>
      <w:r w:rsidR="005F7379">
        <w:t>S</w:t>
      </w:r>
      <w:r w:rsidR="00891E5C">
        <w:t>LA</w:t>
      </w:r>
      <w:r w:rsidR="005F7379">
        <w:t xml:space="preserve">CIP </w:t>
      </w:r>
      <w:r w:rsidR="00DC698D">
        <w:t>Act</w:t>
      </w:r>
      <w:r w:rsidRPr="00374A1D">
        <w:t xml:space="preserve">, including its proposed </w:t>
      </w:r>
      <w:r w:rsidR="00BB0179">
        <w:t>RMP</w:t>
      </w:r>
      <w:r w:rsidR="00F77B97">
        <w:t xml:space="preserve"> obligation</w:t>
      </w:r>
      <w:r w:rsidRPr="00374A1D">
        <w:t xml:space="preserve">, were highlighted in the 2020 RIS. The 2020 RIS also included an analysis of the qualitative impact of the (1) </w:t>
      </w:r>
      <w:r w:rsidR="00BB0179">
        <w:t>RMP</w:t>
      </w:r>
      <w:r w:rsidRPr="00374A1D">
        <w:t xml:space="preserve">s, and the qualitative and quantitative impact of (2) </w:t>
      </w:r>
      <w:r w:rsidR="00F77B97">
        <w:t>the</w:t>
      </w:r>
      <w:r w:rsidRPr="00374A1D">
        <w:t xml:space="preserve"> register of critical infrastructure assets and (3) </w:t>
      </w:r>
      <w:r w:rsidR="00F77B97">
        <w:t>the</w:t>
      </w:r>
      <w:r w:rsidRPr="00374A1D">
        <w:t xml:space="preserve"> notification of cyber incidents obligation.</w:t>
      </w:r>
    </w:p>
    <w:p w14:paraId="054ECEC6" w14:textId="66ED7D9F" w:rsidR="00374A1D" w:rsidRPr="00374A1D" w:rsidRDefault="00374A1D" w:rsidP="00915934">
      <w:pPr>
        <w:pStyle w:val="BodyText"/>
      </w:pPr>
      <w:r w:rsidRPr="00374A1D">
        <w:t xml:space="preserve">The </w:t>
      </w:r>
      <w:r w:rsidR="008E33F7">
        <w:t xml:space="preserve">SLACIP </w:t>
      </w:r>
      <w:r w:rsidR="00DC698D">
        <w:t>Act</w:t>
      </w:r>
      <w:r w:rsidR="00DC698D" w:rsidRPr="00374A1D">
        <w:t xml:space="preserve"> </w:t>
      </w:r>
      <w:r w:rsidRPr="00374A1D">
        <w:t xml:space="preserve">acknowledges that entities are best placed to understand risks to their critical infrastructure assets and seeks to outline principle-based, rather than specific, outcomes. In relation to the proposed </w:t>
      </w:r>
      <w:r w:rsidR="00BB0179">
        <w:t>RMP</w:t>
      </w:r>
      <w:r w:rsidRPr="00374A1D">
        <w:t xml:space="preserve"> obligations, section 30AH of the </w:t>
      </w:r>
      <w:r w:rsidR="007E40C9">
        <w:t xml:space="preserve">SLACIP </w:t>
      </w:r>
      <w:r w:rsidR="00DC698D">
        <w:t>Act</w:t>
      </w:r>
      <w:r w:rsidR="00DC698D" w:rsidRPr="00374A1D">
        <w:t xml:space="preserve"> </w:t>
      </w:r>
      <w:r w:rsidRPr="00374A1D">
        <w:t xml:space="preserve">provides: </w:t>
      </w:r>
    </w:p>
    <w:p w14:paraId="3B5F467D" w14:textId="77777777" w:rsidR="00374A1D" w:rsidRPr="00374A1D" w:rsidRDefault="00374A1D" w:rsidP="00374A1D">
      <w:pPr>
        <w:autoSpaceDE w:val="0"/>
        <w:autoSpaceDN w:val="0"/>
        <w:adjustRightInd w:val="0"/>
        <w:rPr>
          <w:rFonts w:ascii="Arial" w:eastAsia="Calibri" w:hAnsi="Arial" w:cs="Arial"/>
          <w:i/>
          <w:iCs/>
          <w:color w:val="000000"/>
          <w:sz w:val="22"/>
        </w:rPr>
      </w:pPr>
      <w:r w:rsidRPr="00374A1D">
        <w:rPr>
          <w:rFonts w:ascii="Arial" w:eastAsia="Calibri" w:hAnsi="Arial" w:cs="Arial"/>
          <w:color w:val="000000"/>
          <w:sz w:val="22"/>
        </w:rPr>
        <w:t xml:space="preserve">(1) </w:t>
      </w:r>
      <w:r w:rsidRPr="00374A1D">
        <w:rPr>
          <w:rFonts w:ascii="Arial" w:eastAsia="Calibri" w:hAnsi="Arial" w:cs="Arial"/>
          <w:i/>
          <w:iCs/>
          <w:color w:val="000000"/>
          <w:sz w:val="22"/>
        </w:rPr>
        <w:t xml:space="preserve">A </w:t>
      </w:r>
      <w:r w:rsidRPr="00374A1D">
        <w:rPr>
          <w:rFonts w:ascii="Arial" w:eastAsia="Calibri" w:hAnsi="Arial" w:cs="Arial"/>
          <w:b/>
          <w:bCs/>
          <w:i/>
          <w:iCs/>
          <w:color w:val="000000"/>
          <w:sz w:val="22"/>
        </w:rPr>
        <w:t xml:space="preserve">critical infrastructure </w:t>
      </w:r>
      <w:r w:rsidR="00BB0179">
        <w:rPr>
          <w:rFonts w:ascii="Arial" w:eastAsia="Calibri" w:hAnsi="Arial" w:cs="Arial"/>
          <w:b/>
          <w:bCs/>
          <w:i/>
          <w:iCs/>
          <w:color w:val="000000"/>
          <w:sz w:val="22"/>
        </w:rPr>
        <w:t>RMP</w:t>
      </w:r>
      <w:r w:rsidRPr="00374A1D">
        <w:rPr>
          <w:rFonts w:ascii="Arial" w:eastAsia="Calibri" w:hAnsi="Arial" w:cs="Arial"/>
          <w:b/>
          <w:bCs/>
          <w:i/>
          <w:iCs/>
          <w:color w:val="000000"/>
          <w:sz w:val="22"/>
        </w:rPr>
        <w:t xml:space="preserve"> </w:t>
      </w:r>
      <w:r w:rsidRPr="00374A1D">
        <w:rPr>
          <w:rFonts w:ascii="Arial" w:eastAsia="Calibri" w:hAnsi="Arial" w:cs="Arial"/>
          <w:i/>
          <w:iCs/>
          <w:color w:val="000000"/>
          <w:sz w:val="22"/>
        </w:rPr>
        <w:t>is a written program:</w:t>
      </w:r>
    </w:p>
    <w:p w14:paraId="51200AF7" w14:textId="77777777" w:rsidR="00374A1D" w:rsidRPr="00374A1D" w:rsidRDefault="00374A1D" w:rsidP="005F1AF8">
      <w:pPr>
        <w:numPr>
          <w:ilvl w:val="0"/>
          <w:numId w:val="22"/>
        </w:numPr>
        <w:autoSpaceDE w:val="0"/>
        <w:autoSpaceDN w:val="0"/>
        <w:adjustRightInd w:val="0"/>
        <w:spacing w:after="160" w:line="259" w:lineRule="auto"/>
        <w:contextualSpacing/>
        <w:rPr>
          <w:rFonts w:ascii="Arial" w:eastAsia="Calibri" w:hAnsi="Arial" w:cs="Arial"/>
          <w:i/>
          <w:iCs/>
          <w:color w:val="000000"/>
          <w:sz w:val="22"/>
        </w:rPr>
      </w:pPr>
      <w:r w:rsidRPr="00374A1D">
        <w:rPr>
          <w:rFonts w:ascii="Arial" w:eastAsia="Calibri" w:hAnsi="Arial" w:cs="Arial"/>
          <w:i/>
          <w:iCs/>
          <w:color w:val="000000"/>
          <w:sz w:val="22"/>
        </w:rPr>
        <w:t xml:space="preserve">that applies to a particular entity that is the responsible entity for one or more critical infrastructure assets; and </w:t>
      </w:r>
    </w:p>
    <w:p w14:paraId="5551929A" w14:textId="77777777" w:rsidR="00374A1D" w:rsidRPr="00374A1D" w:rsidRDefault="00374A1D" w:rsidP="005F1AF8">
      <w:pPr>
        <w:numPr>
          <w:ilvl w:val="0"/>
          <w:numId w:val="22"/>
        </w:numPr>
        <w:autoSpaceDE w:val="0"/>
        <w:autoSpaceDN w:val="0"/>
        <w:adjustRightInd w:val="0"/>
        <w:spacing w:after="160" w:line="259" w:lineRule="auto"/>
        <w:contextualSpacing/>
        <w:rPr>
          <w:rFonts w:ascii="Arial" w:eastAsia="Calibri" w:hAnsi="Arial" w:cs="Arial"/>
          <w:i/>
          <w:iCs/>
          <w:color w:val="000000"/>
          <w:sz w:val="22"/>
        </w:rPr>
      </w:pPr>
      <w:r w:rsidRPr="00374A1D">
        <w:rPr>
          <w:rFonts w:ascii="Arial" w:eastAsia="Calibri" w:hAnsi="Arial" w:cs="Arial"/>
          <w:i/>
          <w:iCs/>
          <w:color w:val="000000"/>
          <w:sz w:val="22"/>
        </w:rPr>
        <w:t>the purpose of which is to do the following for each of those assets:</w:t>
      </w:r>
    </w:p>
    <w:p w14:paraId="3571F4DD" w14:textId="77777777" w:rsidR="00374A1D" w:rsidRPr="00374A1D" w:rsidRDefault="00374A1D" w:rsidP="005F1AF8">
      <w:pPr>
        <w:numPr>
          <w:ilvl w:val="0"/>
          <w:numId w:val="23"/>
        </w:numPr>
        <w:autoSpaceDE w:val="0"/>
        <w:autoSpaceDN w:val="0"/>
        <w:adjustRightInd w:val="0"/>
        <w:spacing w:after="160" w:line="259" w:lineRule="auto"/>
        <w:contextualSpacing/>
        <w:rPr>
          <w:rFonts w:ascii="Arial" w:eastAsia="Calibri" w:hAnsi="Arial" w:cs="Arial"/>
          <w:i/>
          <w:iCs/>
          <w:color w:val="000000"/>
          <w:sz w:val="22"/>
        </w:rPr>
      </w:pPr>
      <w:r w:rsidRPr="00374A1D">
        <w:rPr>
          <w:rFonts w:ascii="Arial" w:eastAsia="Calibri" w:hAnsi="Arial" w:cs="Arial"/>
          <w:i/>
          <w:iCs/>
          <w:color w:val="000000"/>
          <w:sz w:val="22"/>
        </w:rPr>
        <w:t>identify each hazard where there is a material risk that the occurrence of the hazard could have a relevant impact on the asset;</w:t>
      </w:r>
    </w:p>
    <w:p w14:paraId="6FCB90BC" w14:textId="6A8EFFAA" w:rsidR="00374A1D" w:rsidRPr="00374A1D" w:rsidRDefault="00374A1D" w:rsidP="005F1AF8">
      <w:pPr>
        <w:numPr>
          <w:ilvl w:val="0"/>
          <w:numId w:val="23"/>
        </w:numPr>
        <w:autoSpaceDE w:val="0"/>
        <w:autoSpaceDN w:val="0"/>
        <w:adjustRightInd w:val="0"/>
        <w:spacing w:after="160" w:line="259" w:lineRule="auto"/>
        <w:contextualSpacing/>
        <w:rPr>
          <w:rFonts w:ascii="Arial" w:eastAsia="Calibri" w:hAnsi="Arial" w:cs="Arial"/>
          <w:i/>
          <w:iCs/>
          <w:color w:val="000000"/>
          <w:sz w:val="22"/>
        </w:rPr>
      </w:pPr>
      <w:r w:rsidRPr="00374A1D">
        <w:rPr>
          <w:rFonts w:ascii="Arial" w:eastAsia="Calibri" w:hAnsi="Arial" w:cs="Arial"/>
          <w:i/>
          <w:iCs/>
          <w:color w:val="000000"/>
          <w:sz w:val="22"/>
        </w:rPr>
        <w:t>so far as it is reasonably p</w:t>
      </w:r>
      <w:r w:rsidR="00D31071">
        <w:rPr>
          <w:rFonts w:ascii="Arial" w:eastAsia="Calibri" w:hAnsi="Arial" w:cs="Arial"/>
          <w:i/>
          <w:iCs/>
          <w:color w:val="000000"/>
          <w:sz w:val="22"/>
        </w:rPr>
        <w:t>racticable</w:t>
      </w:r>
      <w:r w:rsidRPr="00374A1D">
        <w:rPr>
          <w:rFonts w:ascii="Arial" w:eastAsia="Calibri" w:hAnsi="Arial" w:cs="Arial"/>
          <w:i/>
          <w:iCs/>
          <w:color w:val="000000"/>
          <w:sz w:val="22"/>
        </w:rPr>
        <w:t xml:space="preserve"> to do so—minimise or eliminate any material risk of such a hazard occurring;</w:t>
      </w:r>
    </w:p>
    <w:p w14:paraId="6F7C5CF4" w14:textId="77777777" w:rsidR="00374A1D" w:rsidRPr="00374A1D" w:rsidRDefault="00D31071" w:rsidP="005F1AF8">
      <w:pPr>
        <w:numPr>
          <w:ilvl w:val="0"/>
          <w:numId w:val="23"/>
        </w:numPr>
        <w:autoSpaceDE w:val="0"/>
        <w:autoSpaceDN w:val="0"/>
        <w:adjustRightInd w:val="0"/>
        <w:spacing w:after="160" w:line="259" w:lineRule="auto"/>
        <w:contextualSpacing/>
        <w:rPr>
          <w:rFonts w:ascii="Arial" w:eastAsia="Calibri" w:hAnsi="Arial" w:cs="Arial"/>
          <w:i/>
          <w:iCs/>
          <w:color w:val="000000"/>
          <w:sz w:val="22"/>
        </w:rPr>
      </w:pPr>
      <w:r w:rsidRPr="00374A1D">
        <w:rPr>
          <w:rFonts w:ascii="Arial" w:eastAsia="Calibri" w:hAnsi="Arial" w:cs="Arial"/>
          <w:i/>
          <w:iCs/>
          <w:color w:val="000000"/>
          <w:sz w:val="22"/>
        </w:rPr>
        <w:t>so far as it is reasonably p</w:t>
      </w:r>
      <w:r>
        <w:rPr>
          <w:rFonts w:ascii="Arial" w:eastAsia="Calibri" w:hAnsi="Arial" w:cs="Arial"/>
          <w:i/>
          <w:iCs/>
          <w:color w:val="000000"/>
          <w:sz w:val="22"/>
        </w:rPr>
        <w:t>racticable</w:t>
      </w:r>
      <w:r w:rsidRPr="00374A1D">
        <w:rPr>
          <w:rFonts w:ascii="Arial" w:eastAsia="Calibri" w:hAnsi="Arial" w:cs="Arial"/>
          <w:i/>
          <w:iCs/>
          <w:color w:val="000000"/>
          <w:sz w:val="22"/>
        </w:rPr>
        <w:t xml:space="preserve"> to do so—</w:t>
      </w:r>
      <w:r w:rsidR="00374A1D" w:rsidRPr="00374A1D">
        <w:rPr>
          <w:rFonts w:ascii="Arial" w:eastAsia="Calibri" w:hAnsi="Arial" w:cs="Arial"/>
          <w:i/>
          <w:iCs/>
          <w:color w:val="000000"/>
          <w:sz w:val="22"/>
        </w:rPr>
        <w:t>mitigate the relevant impact of such a hazard on the asset; and</w:t>
      </w:r>
    </w:p>
    <w:p w14:paraId="1106E2C5" w14:textId="77777777" w:rsidR="00374A1D" w:rsidRPr="00374A1D" w:rsidRDefault="00374A1D" w:rsidP="005F1AF8">
      <w:pPr>
        <w:numPr>
          <w:ilvl w:val="0"/>
          <w:numId w:val="22"/>
        </w:numPr>
        <w:autoSpaceDE w:val="0"/>
        <w:autoSpaceDN w:val="0"/>
        <w:adjustRightInd w:val="0"/>
        <w:spacing w:after="160" w:line="259" w:lineRule="auto"/>
        <w:contextualSpacing/>
        <w:rPr>
          <w:rFonts w:ascii="Arial" w:eastAsia="Calibri" w:hAnsi="Arial" w:cs="Arial"/>
          <w:i/>
          <w:iCs/>
          <w:sz w:val="22"/>
        </w:rPr>
      </w:pPr>
      <w:r w:rsidRPr="00374A1D">
        <w:rPr>
          <w:rFonts w:ascii="Arial" w:eastAsia="Calibri" w:hAnsi="Arial" w:cs="Arial"/>
          <w:i/>
          <w:iCs/>
          <w:color w:val="000000"/>
          <w:sz w:val="22"/>
        </w:rPr>
        <w:t>that complies with such requirements (if any) as are specified in the rules.</w:t>
      </w:r>
    </w:p>
    <w:p w14:paraId="526F7863" w14:textId="7CCA6545" w:rsidR="00374A1D" w:rsidRPr="00374A1D" w:rsidRDefault="00374A1D" w:rsidP="00915934">
      <w:pPr>
        <w:pStyle w:val="BodyText"/>
      </w:pPr>
      <w:r w:rsidRPr="00374A1D">
        <w:t xml:space="preserve">Section 30AA of the </w:t>
      </w:r>
      <w:r w:rsidR="007E40C9">
        <w:t>SLACIP</w:t>
      </w:r>
      <w:r w:rsidR="000823B5">
        <w:t xml:space="preserve"> </w:t>
      </w:r>
      <w:r w:rsidR="00DC698D">
        <w:t>Act</w:t>
      </w:r>
      <w:r w:rsidR="00DC698D" w:rsidRPr="00374A1D">
        <w:t xml:space="preserve"> </w:t>
      </w:r>
      <w:r w:rsidRPr="00374A1D">
        <w:t xml:space="preserve">provides </w:t>
      </w:r>
      <w:r w:rsidR="000823B5">
        <w:t xml:space="preserve">that </w:t>
      </w:r>
      <w:r w:rsidR="000823B5" w:rsidRPr="009739FE">
        <w:t xml:space="preserve">the </w:t>
      </w:r>
      <w:r w:rsidR="000823B5">
        <w:t xml:space="preserve">purpose of a critical infrastructure RMP is for the </w:t>
      </w:r>
      <w:r w:rsidR="000823B5" w:rsidRPr="00374A1D">
        <w:t xml:space="preserve">responsible entity for critical infrastructure assets </w:t>
      </w:r>
      <w:r w:rsidR="000823B5">
        <w:t>to do the following for each of those assets</w:t>
      </w:r>
      <w:r w:rsidRPr="00374A1D">
        <w:t xml:space="preserve">: </w:t>
      </w:r>
    </w:p>
    <w:p w14:paraId="196A4F26" w14:textId="77777777" w:rsidR="00374A1D" w:rsidRPr="00374A1D" w:rsidRDefault="00374A1D" w:rsidP="005F1AF8">
      <w:pPr>
        <w:numPr>
          <w:ilvl w:val="0"/>
          <w:numId w:val="24"/>
        </w:numPr>
        <w:autoSpaceDE w:val="0"/>
        <w:autoSpaceDN w:val="0"/>
        <w:adjustRightInd w:val="0"/>
        <w:spacing w:after="160" w:line="259" w:lineRule="auto"/>
        <w:contextualSpacing/>
        <w:rPr>
          <w:rFonts w:ascii="Arial" w:eastAsia="Calibri" w:hAnsi="Arial" w:cs="Arial"/>
          <w:i/>
          <w:iCs/>
          <w:sz w:val="22"/>
        </w:rPr>
      </w:pPr>
      <w:r w:rsidRPr="00374A1D">
        <w:rPr>
          <w:rFonts w:ascii="Arial" w:eastAsia="Calibri" w:hAnsi="Arial" w:cs="Arial"/>
          <w:i/>
          <w:iCs/>
          <w:sz w:val="22"/>
        </w:rPr>
        <w:lastRenderedPageBreak/>
        <w:t xml:space="preserve">identify each hazard where there is a material risk that the occurrence of the hazard could have a relevant impact on the asset; </w:t>
      </w:r>
    </w:p>
    <w:p w14:paraId="1E6B2ED6" w14:textId="0625ED55" w:rsidR="00374A1D" w:rsidRPr="00374A1D" w:rsidRDefault="00374A1D" w:rsidP="005F1AF8">
      <w:pPr>
        <w:numPr>
          <w:ilvl w:val="0"/>
          <w:numId w:val="24"/>
        </w:numPr>
        <w:autoSpaceDE w:val="0"/>
        <w:autoSpaceDN w:val="0"/>
        <w:adjustRightInd w:val="0"/>
        <w:spacing w:after="160" w:line="259" w:lineRule="auto"/>
        <w:contextualSpacing/>
        <w:rPr>
          <w:rFonts w:ascii="Arial" w:eastAsia="Calibri" w:hAnsi="Arial" w:cs="Arial"/>
          <w:i/>
          <w:iCs/>
          <w:sz w:val="22"/>
        </w:rPr>
      </w:pPr>
      <w:r w:rsidRPr="00374A1D">
        <w:rPr>
          <w:rFonts w:ascii="Arial" w:eastAsia="Calibri" w:hAnsi="Arial" w:cs="Arial"/>
          <w:i/>
          <w:iCs/>
          <w:sz w:val="22"/>
        </w:rPr>
        <w:t xml:space="preserve">so far as it is reasonably </w:t>
      </w:r>
      <w:r w:rsidR="0005444D">
        <w:rPr>
          <w:rFonts w:ascii="Arial" w:eastAsia="Calibri" w:hAnsi="Arial" w:cs="Arial"/>
          <w:i/>
          <w:iCs/>
          <w:sz w:val="22"/>
        </w:rPr>
        <w:t>p</w:t>
      </w:r>
      <w:r w:rsidR="000823B5">
        <w:rPr>
          <w:rFonts w:ascii="Arial" w:eastAsia="Calibri" w:hAnsi="Arial" w:cs="Arial"/>
          <w:i/>
          <w:iCs/>
          <w:sz w:val="22"/>
        </w:rPr>
        <w:t>racticable</w:t>
      </w:r>
      <w:r w:rsidRPr="00374A1D">
        <w:rPr>
          <w:rFonts w:ascii="Arial" w:eastAsia="Calibri" w:hAnsi="Arial" w:cs="Arial"/>
          <w:i/>
          <w:iCs/>
          <w:sz w:val="22"/>
        </w:rPr>
        <w:t xml:space="preserve"> to do so</w:t>
      </w:r>
      <w:r w:rsidR="000823B5" w:rsidRPr="00374A1D">
        <w:rPr>
          <w:rFonts w:ascii="Arial" w:eastAsia="Calibri" w:hAnsi="Arial" w:cs="Arial"/>
          <w:i/>
          <w:iCs/>
          <w:color w:val="000000"/>
          <w:sz w:val="22"/>
        </w:rPr>
        <w:t>—</w:t>
      </w:r>
      <w:r w:rsidRPr="00374A1D">
        <w:rPr>
          <w:rFonts w:ascii="Arial" w:eastAsia="Calibri" w:hAnsi="Arial" w:cs="Arial"/>
          <w:i/>
          <w:iCs/>
          <w:sz w:val="22"/>
        </w:rPr>
        <w:t xml:space="preserve">minimise or eliminate any material risk of such a hazard occurring; </w:t>
      </w:r>
    </w:p>
    <w:p w14:paraId="775A467E" w14:textId="6EF2D78A" w:rsidR="006300B1" w:rsidRPr="00374A1D" w:rsidRDefault="000823B5" w:rsidP="009B4B57">
      <w:pPr>
        <w:numPr>
          <w:ilvl w:val="0"/>
          <w:numId w:val="24"/>
        </w:numPr>
        <w:autoSpaceDE w:val="0"/>
        <w:autoSpaceDN w:val="0"/>
        <w:adjustRightInd w:val="0"/>
        <w:spacing w:after="160" w:line="259" w:lineRule="auto"/>
        <w:contextualSpacing/>
      </w:pPr>
      <w:r w:rsidRPr="00374A1D">
        <w:rPr>
          <w:rFonts w:ascii="Arial" w:eastAsia="Calibri" w:hAnsi="Arial" w:cs="Arial"/>
          <w:i/>
          <w:iCs/>
          <w:sz w:val="22"/>
        </w:rPr>
        <w:t>so far as it is reasonably p</w:t>
      </w:r>
      <w:r>
        <w:rPr>
          <w:rFonts w:ascii="Arial" w:eastAsia="Calibri" w:hAnsi="Arial" w:cs="Arial"/>
          <w:i/>
          <w:iCs/>
          <w:sz w:val="22"/>
        </w:rPr>
        <w:t>racticable to do so</w:t>
      </w:r>
      <w:r w:rsidRPr="00374A1D">
        <w:rPr>
          <w:rFonts w:ascii="Arial" w:eastAsia="Calibri" w:hAnsi="Arial" w:cs="Arial"/>
          <w:i/>
          <w:iCs/>
          <w:color w:val="000000"/>
          <w:sz w:val="22"/>
        </w:rPr>
        <w:t>—</w:t>
      </w:r>
      <w:r w:rsidR="00374A1D" w:rsidRPr="00374A1D">
        <w:rPr>
          <w:rFonts w:ascii="Arial" w:eastAsia="Calibri" w:hAnsi="Arial" w:cs="Arial"/>
          <w:i/>
          <w:iCs/>
          <w:sz w:val="22"/>
        </w:rPr>
        <w:t xml:space="preserve">mitigate the relevant impact of such a hazard on the asset. </w:t>
      </w:r>
    </w:p>
    <w:p w14:paraId="44A5539F" w14:textId="2E1BD107" w:rsidR="00374A1D" w:rsidRPr="00374A1D" w:rsidRDefault="00374A1D" w:rsidP="00915934">
      <w:pPr>
        <w:pStyle w:val="BodyText"/>
      </w:pPr>
      <w:r w:rsidRPr="00374A1D">
        <w:t xml:space="preserve">For industry, the </w:t>
      </w:r>
      <w:r w:rsidR="00BB0179">
        <w:t>RMP</w:t>
      </w:r>
      <w:r w:rsidRPr="00374A1D">
        <w:t xml:space="preserve"> sets an expectation that they address all hazard risks to their critical</w:t>
      </w:r>
      <w:r w:rsidRPr="00374A1D">
        <w:rPr>
          <w:i/>
          <w:iCs/>
        </w:rPr>
        <w:t xml:space="preserve"> </w:t>
      </w:r>
      <w:r w:rsidRPr="00374A1D">
        <w:t>infrastructure assets. It will support an uplift where those risks are adequately managed, provide consistency across identified critical infrastructure assets</w:t>
      </w:r>
      <w:r w:rsidR="00F77B97">
        <w:t>,</w:t>
      </w:r>
      <w:r w:rsidRPr="00374A1D">
        <w:t xml:space="preserve"> and increase the resilience of both responsible entities of critical infrastructure assets and their downstream entities. For Government, the </w:t>
      </w:r>
      <w:r w:rsidR="00BB0179">
        <w:t>RMP</w:t>
      </w:r>
      <w:r w:rsidRPr="00374A1D">
        <w:t xml:space="preserve"> increases visibility and offers assurance that critical infrastructure assets are appropriately managed. In the absence of market drivers, the </w:t>
      </w:r>
      <w:r w:rsidR="00BB0179">
        <w:t>RMP</w:t>
      </w:r>
      <w:r w:rsidRPr="00374A1D">
        <w:t xml:space="preserve"> can support Government in facilitating industry-wide prioritisation and management of risks. </w:t>
      </w:r>
      <w:r w:rsidRPr="00374A1D">
        <w:rPr>
          <w:i/>
          <w:iCs/>
        </w:rPr>
        <w:t xml:space="preserve"> </w:t>
      </w:r>
    </w:p>
    <w:p w14:paraId="1585DA60" w14:textId="3749A2AD" w:rsidR="00374A1D" w:rsidRPr="00374A1D" w:rsidRDefault="00374A1D" w:rsidP="00915934">
      <w:pPr>
        <w:pStyle w:val="BodyText"/>
      </w:pPr>
      <w:r w:rsidRPr="00374A1D">
        <w:t xml:space="preserve">While the </w:t>
      </w:r>
      <w:r w:rsidR="008E33F7">
        <w:t xml:space="preserve">SLACIP </w:t>
      </w:r>
      <w:r w:rsidR="00DC698D">
        <w:t>Act</w:t>
      </w:r>
      <w:r w:rsidR="00DC698D" w:rsidRPr="00374A1D">
        <w:t xml:space="preserve"> </w:t>
      </w:r>
      <w:r w:rsidRPr="00374A1D">
        <w:t xml:space="preserve">sets out the overarching </w:t>
      </w:r>
      <w:r w:rsidR="00BB0179">
        <w:t>RMP</w:t>
      </w:r>
      <w:r w:rsidRPr="00374A1D">
        <w:t xml:space="preserve"> obligations, it provides that more detailed requirements can be contained in rules. For </w:t>
      </w:r>
      <w:r w:rsidR="008056F4">
        <w:t>critical infrastructure assets</w:t>
      </w:r>
      <w:r w:rsidRPr="00374A1D">
        <w:t xml:space="preserve">, the proposed rules would be categorised into </w:t>
      </w:r>
      <w:r w:rsidR="00EF6187">
        <w:t xml:space="preserve">the </w:t>
      </w:r>
      <w:r w:rsidR="0016603A">
        <w:t>RMP rules</w:t>
      </w:r>
      <w:r w:rsidRPr="00374A1D">
        <w:t xml:space="preserve"> (See Section 4). </w:t>
      </w:r>
    </w:p>
    <w:p w14:paraId="4B173FA9" w14:textId="77777777" w:rsidR="00374A1D" w:rsidRPr="00374A1D" w:rsidRDefault="00E223FA" w:rsidP="004C0EFC">
      <w:pPr>
        <w:pStyle w:val="Heading2"/>
      </w:pPr>
      <w:bookmarkStart w:id="67" w:name="_1.4_Overview_of"/>
      <w:bookmarkStart w:id="68" w:name="_Toc79149628"/>
      <w:bookmarkStart w:id="69" w:name="_Toc121397385"/>
      <w:bookmarkEnd w:id="67"/>
      <w:r>
        <w:t>Overview of the role of critical infrastructure assets</w:t>
      </w:r>
      <w:r w:rsidR="00374A1D" w:rsidRPr="00374A1D">
        <w:t xml:space="preserve"> in Australia</w:t>
      </w:r>
      <w:bookmarkEnd w:id="68"/>
      <w:bookmarkEnd w:id="69"/>
    </w:p>
    <w:p w14:paraId="55F2055E" w14:textId="77777777" w:rsidR="009C6C59" w:rsidRPr="00901693" w:rsidRDefault="001A6688" w:rsidP="00915934">
      <w:pPr>
        <w:pStyle w:val="BodyText"/>
        <w:rPr>
          <w:b/>
        </w:rPr>
      </w:pPr>
      <w:r>
        <w:rPr>
          <w:lang w:eastAsia="en-AU"/>
        </w:rPr>
        <w:t>T</w:t>
      </w:r>
      <w:r w:rsidR="009C6C59">
        <w:rPr>
          <w:lang w:eastAsia="en-AU"/>
        </w:rPr>
        <w:t xml:space="preserve">he following </w:t>
      </w:r>
      <w:r w:rsidR="009D44DF">
        <w:rPr>
          <w:lang w:eastAsia="en-AU"/>
        </w:rPr>
        <w:t xml:space="preserve">is a brief </w:t>
      </w:r>
      <w:r w:rsidR="009D44DF" w:rsidRPr="00915934">
        <w:t>overview</w:t>
      </w:r>
      <w:r w:rsidR="009D44DF">
        <w:rPr>
          <w:lang w:eastAsia="en-AU"/>
        </w:rPr>
        <w:t xml:space="preserve"> of </w:t>
      </w:r>
      <w:r w:rsidR="004D1093">
        <w:rPr>
          <w:lang w:eastAsia="en-AU"/>
        </w:rPr>
        <w:t xml:space="preserve">critical infrastructure assets </w:t>
      </w:r>
      <w:r w:rsidR="00136B71">
        <w:rPr>
          <w:lang w:eastAsia="en-AU"/>
        </w:rPr>
        <w:t>included in this RIS</w:t>
      </w:r>
      <w:r w:rsidR="00EF6015">
        <w:rPr>
          <w:lang w:eastAsia="en-AU"/>
        </w:rPr>
        <w:t>:</w:t>
      </w:r>
    </w:p>
    <w:p w14:paraId="40C4D239" w14:textId="77777777" w:rsidR="005C3254" w:rsidRPr="005C3254" w:rsidRDefault="009F32E2" w:rsidP="00915934">
      <w:pPr>
        <w:pStyle w:val="Bullet1stlevel"/>
        <w:rPr>
          <w:b/>
          <w:bCs/>
        </w:rPr>
      </w:pPr>
      <w:r>
        <w:t xml:space="preserve">The generation, transmission, distribution, and supply of </w:t>
      </w:r>
      <w:r w:rsidRPr="009F32E2">
        <w:rPr>
          <w:b/>
          <w:bCs/>
        </w:rPr>
        <w:t>e</w:t>
      </w:r>
      <w:r w:rsidR="00BD6112">
        <w:rPr>
          <w:b/>
          <w:bCs/>
        </w:rPr>
        <w:t xml:space="preserve">lectricity </w:t>
      </w:r>
      <w:r>
        <w:t>is a major contributor to Australia’s economy and essential for the efficient conduct of almost all day-to-day activities.</w:t>
      </w:r>
      <w:r w:rsidR="005B466E">
        <w:t xml:space="preserve"> For 22 million Australians, electricity is provided by the National Electricity Market (NEM), covering the six eastern and </w:t>
      </w:r>
      <w:r w:rsidR="005B466E" w:rsidRPr="00915934">
        <w:t>southern</w:t>
      </w:r>
      <w:r w:rsidR="005B466E">
        <w:t xml:space="preserve"> states and territories, while Western A</w:t>
      </w:r>
      <w:r w:rsidR="0023441B">
        <w:t xml:space="preserve">ustralia and the Northern Territory manage their own grids under separate regulatory arrangements. </w:t>
      </w:r>
    </w:p>
    <w:p w14:paraId="59C19DD6" w14:textId="77777777" w:rsidR="005E7625" w:rsidRPr="005E7625" w:rsidRDefault="004F62C2" w:rsidP="00915934">
      <w:pPr>
        <w:pStyle w:val="Bullet1stlevel"/>
        <w:rPr>
          <w:b/>
          <w:bCs/>
        </w:rPr>
      </w:pPr>
      <w:r>
        <w:t xml:space="preserve">The production, processing, transmission, distribution, and supply of </w:t>
      </w:r>
      <w:r>
        <w:rPr>
          <w:b/>
          <w:bCs/>
        </w:rPr>
        <w:t xml:space="preserve">gas </w:t>
      </w:r>
      <w:r>
        <w:t xml:space="preserve">is a major contributor to Australia’s economy and enables many day-to-day activities. </w:t>
      </w:r>
      <w:r w:rsidR="008C3788">
        <w:t>There are three distinct gas regions in Australia, the East Coast</w:t>
      </w:r>
      <w:r w:rsidR="005A5239">
        <w:t xml:space="preserve"> region</w:t>
      </w:r>
      <w:r w:rsidR="008C3788">
        <w:t xml:space="preserve"> (including Queensland, New South Wales, Australian Capital Territory, Victoria, </w:t>
      </w:r>
      <w:r w:rsidR="00F332A6">
        <w:t>Tasmania,</w:t>
      </w:r>
      <w:r w:rsidR="005A5239">
        <w:t xml:space="preserve"> and South Australia), Western region (</w:t>
      </w:r>
      <w:r w:rsidR="005E7625">
        <w:t>including</w:t>
      </w:r>
      <w:r w:rsidR="005A5239">
        <w:t xml:space="preserve"> West</w:t>
      </w:r>
      <w:r w:rsidR="00C27F5A">
        <w:t>ern</w:t>
      </w:r>
      <w:r w:rsidR="005A5239">
        <w:t xml:space="preserve"> Australia</w:t>
      </w:r>
      <w:r w:rsidR="00C27F5A">
        <w:t>) and the Northern region (</w:t>
      </w:r>
      <w:r w:rsidR="005E7625">
        <w:t xml:space="preserve">including the Northern Territory). </w:t>
      </w:r>
    </w:p>
    <w:p w14:paraId="73D0FF5E" w14:textId="7131840A" w:rsidR="00A3189F" w:rsidRDefault="0015666E" w:rsidP="00915934">
      <w:pPr>
        <w:pStyle w:val="Bullet1stlevel"/>
      </w:pPr>
      <w:r w:rsidRPr="003A12DA">
        <w:t xml:space="preserve">Australia’s critical </w:t>
      </w:r>
      <w:r w:rsidRPr="003A12DA">
        <w:rPr>
          <w:b/>
          <w:bCs/>
        </w:rPr>
        <w:t>water</w:t>
      </w:r>
      <w:r w:rsidRPr="003A12DA">
        <w:t xml:space="preserve"> assets are an essential part of life and critical for the ongoing health and prosperity of Australia</w:t>
      </w:r>
      <w:r>
        <w:t xml:space="preserve">. </w:t>
      </w:r>
      <w:r w:rsidR="003A12DA" w:rsidRPr="003A12DA">
        <w:t>Critical water assets can be categorised into water supply assets, including water catchment and bulk water supply services</w:t>
      </w:r>
      <w:r w:rsidR="008F4AC3">
        <w:t>;</w:t>
      </w:r>
      <w:r w:rsidR="003A12DA">
        <w:t xml:space="preserve"> </w:t>
      </w:r>
      <w:r w:rsidR="003A12DA" w:rsidRPr="003A12DA">
        <w:t>water distribution assets, such as water reticulation systems; and sewage and drainage services, including water and sewage treatment plants and sewage network operations.</w:t>
      </w:r>
    </w:p>
    <w:p w14:paraId="33E1B72E" w14:textId="77777777" w:rsidR="003F13BE" w:rsidRPr="003A12DA" w:rsidRDefault="003F13BE" w:rsidP="00915934">
      <w:pPr>
        <w:pStyle w:val="Bullet1stlevel"/>
      </w:pPr>
      <w:r w:rsidRPr="003F13BE">
        <w:rPr>
          <w:b/>
          <w:bCs/>
        </w:rPr>
        <w:t>Data processing and storage</w:t>
      </w:r>
      <w:r>
        <w:t xml:space="preserve"> is an integral part of everyday life and commonly used by individuals, </w:t>
      </w:r>
      <w:r w:rsidR="001C2C26">
        <w:t>industry,</w:t>
      </w:r>
      <w:r>
        <w:t xml:space="preserve"> and governments across Australia. Data storage and processing is </w:t>
      </w:r>
      <w:r w:rsidR="00D87759">
        <w:t>key</w:t>
      </w:r>
      <w:r>
        <w:t xml:space="preserve"> </w:t>
      </w:r>
      <w:r w:rsidR="00D87759">
        <w:t>to</w:t>
      </w:r>
      <w:r>
        <w:t xml:space="preserve"> the functioning of internet services, other digital services, the processing of payments, and the use of digital applications.</w:t>
      </w:r>
    </w:p>
    <w:p w14:paraId="753D2744" w14:textId="13A35B7D" w:rsidR="000C41D5" w:rsidRPr="000C41D5" w:rsidRDefault="00A3562F" w:rsidP="00915934">
      <w:pPr>
        <w:pStyle w:val="Bullet1stlevel"/>
        <w:rPr>
          <w:b/>
          <w:bCs/>
        </w:rPr>
      </w:pPr>
      <w:r>
        <w:t xml:space="preserve">The </w:t>
      </w:r>
      <w:r w:rsidRPr="00A3562F">
        <w:rPr>
          <w:b/>
          <w:bCs/>
        </w:rPr>
        <w:t>broadcasting</w:t>
      </w:r>
      <w:r>
        <w:t xml:space="preserve"> sector of the communications industry is comprised of radio and television (free-to-air) sub-sectors</w:t>
      </w:r>
      <w:r w:rsidR="005C2076">
        <w:t>,</w:t>
      </w:r>
      <w:r>
        <w:t xml:space="preserve"> and plays a particularly important role in emergency management through the provision of forecasts and regular updates. </w:t>
      </w:r>
      <w:r w:rsidR="00AD266A">
        <w:t>Broadcast media also play</w:t>
      </w:r>
      <w:r w:rsidR="005C2076">
        <w:t>s</w:t>
      </w:r>
      <w:r w:rsidR="00AD266A">
        <w:t xml:space="preserve"> an important role in national campaigns, both in disseminating and collecting information.</w:t>
      </w:r>
    </w:p>
    <w:p w14:paraId="46184773" w14:textId="77777777" w:rsidR="00B703FC" w:rsidRPr="00B703FC" w:rsidRDefault="00EF65A9" w:rsidP="00915934">
      <w:pPr>
        <w:pStyle w:val="Bullet1stlevel"/>
        <w:rPr>
          <w:b/>
          <w:bCs/>
        </w:rPr>
      </w:pPr>
      <w:r w:rsidRPr="00B703FC">
        <w:rPr>
          <w:b/>
          <w:bCs/>
        </w:rPr>
        <w:t>Financial market infrastructures</w:t>
      </w:r>
      <w:r w:rsidR="002677EF">
        <w:t xml:space="preserve"> </w:t>
      </w:r>
      <w:r w:rsidR="00F51393">
        <w:t>deliver services critical to the smooth functioning of financial markets and financial stability.</w:t>
      </w:r>
      <w:r w:rsidR="00947C39">
        <w:t xml:space="preserve"> </w:t>
      </w:r>
      <w:r w:rsidR="00F92548">
        <w:t xml:space="preserve">The smooth functioning of </w:t>
      </w:r>
      <w:r w:rsidR="00F92548" w:rsidRPr="00B703FC">
        <w:rPr>
          <w:b/>
          <w:bCs/>
        </w:rPr>
        <w:t>payment systems</w:t>
      </w:r>
      <w:r w:rsidR="00F92548">
        <w:t xml:space="preserve"> is important for economic activity</w:t>
      </w:r>
      <w:r w:rsidR="009B0338">
        <w:t>,</w:t>
      </w:r>
      <w:r w:rsidR="00F92548">
        <w:t xml:space="preserve"> financial </w:t>
      </w:r>
      <w:r w:rsidR="001C2C26">
        <w:t>stability,</w:t>
      </w:r>
      <w:r w:rsidR="00F4345F">
        <w:t xml:space="preserve"> and public trust. </w:t>
      </w:r>
    </w:p>
    <w:p w14:paraId="5BD5D19E" w14:textId="71226C3C" w:rsidR="00EC0DFC" w:rsidRPr="00B563A1" w:rsidRDefault="00EC0DFC" w:rsidP="00915934">
      <w:pPr>
        <w:pStyle w:val="Bullet1stlevel"/>
      </w:pPr>
      <w:r w:rsidRPr="00031A37">
        <w:rPr>
          <w:b/>
          <w:bCs/>
        </w:rPr>
        <w:t>Domain name systems</w:t>
      </w:r>
      <w:r w:rsidRPr="00B563A1">
        <w:t xml:space="preserve"> </w:t>
      </w:r>
      <w:r>
        <w:t>are critical for the functioning of</w:t>
      </w:r>
      <w:r w:rsidRPr="00B563A1">
        <w:t xml:space="preserve"> Australian businesses, </w:t>
      </w:r>
      <w:r>
        <w:t xml:space="preserve">the </w:t>
      </w:r>
      <w:r w:rsidR="005C2076">
        <w:t>G</w:t>
      </w:r>
      <w:r w:rsidR="001C2C26" w:rsidRPr="00B563A1">
        <w:t>overnment,</w:t>
      </w:r>
      <w:r w:rsidRPr="00B563A1">
        <w:t xml:space="preserve"> and </w:t>
      </w:r>
      <w:r>
        <w:t xml:space="preserve">the </w:t>
      </w:r>
      <w:r w:rsidRPr="00B563A1">
        <w:t>community</w:t>
      </w:r>
      <w:r w:rsidR="00A063D3">
        <w:t>, with disruptions having the power to c</w:t>
      </w:r>
      <w:r>
        <w:t>ompromis</w:t>
      </w:r>
      <w:r w:rsidR="00A063D3">
        <w:t xml:space="preserve">e </w:t>
      </w:r>
      <w:r w:rsidR="001B5C9D">
        <w:t xml:space="preserve">the </w:t>
      </w:r>
      <w:r w:rsidR="00F67BDC">
        <w:t xml:space="preserve">users’ </w:t>
      </w:r>
      <w:r>
        <w:t>abili</w:t>
      </w:r>
      <w:r w:rsidR="001B5C9D">
        <w:t>ty</w:t>
      </w:r>
      <w:r>
        <w:t xml:space="preserve"> to conduct business, navigate the internet, or access their data. </w:t>
      </w:r>
      <w:r w:rsidR="00031A37" w:rsidRPr="00B563A1">
        <w:t xml:space="preserve">The </w:t>
      </w:r>
      <w:r w:rsidR="00031A37">
        <w:t>Australian ‘</w:t>
      </w:r>
      <w:r w:rsidR="00031A37" w:rsidRPr="00B563A1">
        <w:t>.au</w:t>
      </w:r>
      <w:r w:rsidR="00031A37">
        <w:t>’</w:t>
      </w:r>
      <w:r w:rsidR="00031A37" w:rsidRPr="00B563A1">
        <w:t xml:space="preserve"> </w:t>
      </w:r>
      <w:r w:rsidR="00031A37" w:rsidRPr="00B563A1">
        <w:lastRenderedPageBreak/>
        <w:t xml:space="preserve">namespace </w:t>
      </w:r>
      <w:r w:rsidR="00031A37">
        <w:t xml:space="preserve">has </w:t>
      </w:r>
      <w:r w:rsidR="00031A37" w:rsidRPr="00B563A1">
        <w:t xml:space="preserve">over 3.2 million domain names registered as </w:t>
      </w:r>
      <w:r w:rsidR="001C2C26" w:rsidRPr="00B563A1">
        <w:t>of</w:t>
      </w:r>
      <w:r w:rsidR="00031A37" w:rsidRPr="00B563A1">
        <w:t xml:space="preserve"> August 2020</w:t>
      </w:r>
      <w:r w:rsidR="00031A37">
        <w:t>.</w:t>
      </w:r>
      <w:r w:rsidR="00031A37">
        <w:rPr>
          <w:rStyle w:val="FootnoteReference"/>
          <w:rFonts w:eastAsia="Calibri"/>
        </w:rPr>
        <w:footnoteReference w:id="8"/>
      </w:r>
      <w:r w:rsidR="00031A37">
        <w:t xml:space="preserve"> Oversight of</w:t>
      </w:r>
      <w:r w:rsidR="005C2076">
        <w:t xml:space="preserve"> ‘</w:t>
      </w:r>
      <w:r w:rsidR="005C2076" w:rsidRPr="00B563A1">
        <w:t>.au</w:t>
      </w:r>
      <w:r w:rsidR="005C2076">
        <w:t>’</w:t>
      </w:r>
      <w:r w:rsidR="00031A37">
        <w:t xml:space="preserve"> is provided by the .au Domain Administration (auDA), a not-for-profit organisation which operates under sponsorship from the Internet Corporation for Assigned Names and Numbers (ICANN)</w:t>
      </w:r>
      <w:r w:rsidR="005C2076">
        <w:t>,</w:t>
      </w:r>
      <w:r w:rsidR="00031A37">
        <w:t xml:space="preserve"> </w:t>
      </w:r>
      <w:r w:rsidR="005C2076">
        <w:t xml:space="preserve">and is endorsed by </w:t>
      </w:r>
      <w:r w:rsidR="00031A37">
        <w:t>the Australian Government.</w:t>
      </w:r>
      <w:r w:rsidR="00031A37">
        <w:rPr>
          <w:rStyle w:val="FootnoteReference"/>
          <w:rFonts w:eastAsia="Calibri"/>
        </w:rPr>
        <w:footnoteReference w:id="9"/>
      </w:r>
    </w:p>
    <w:p w14:paraId="34D7938F" w14:textId="77777777" w:rsidR="00915262" w:rsidRDefault="00915262" w:rsidP="00915934">
      <w:pPr>
        <w:pStyle w:val="Bullet1stlevel"/>
        <w:rPr>
          <w:b/>
          <w:bCs/>
        </w:rPr>
      </w:pPr>
      <w:r w:rsidRPr="009A382A">
        <w:t xml:space="preserve">Australia’s economy is reliant on </w:t>
      </w:r>
      <w:r w:rsidRPr="00915262">
        <w:rPr>
          <w:b/>
          <w:bCs/>
        </w:rPr>
        <w:t>liquid fuels</w:t>
      </w:r>
      <w:r w:rsidRPr="009A382A">
        <w:t xml:space="preserve"> and will be for some time to come</w:t>
      </w:r>
      <w:r w:rsidR="00E77E2A">
        <w:t xml:space="preserve">. Liquid fuels are a </w:t>
      </w:r>
      <w:r w:rsidR="00BF15C9">
        <w:t>critical</w:t>
      </w:r>
      <w:r w:rsidR="0065295B">
        <w:t xml:space="preserve"> input</w:t>
      </w:r>
      <w:r w:rsidR="00BF15C9">
        <w:t xml:space="preserve"> into </w:t>
      </w:r>
      <w:r w:rsidR="0065295B">
        <w:t xml:space="preserve">the </w:t>
      </w:r>
      <w:r w:rsidR="00BF15C9">
        <w:t xml:space="preserve">mining, agriculture, transport, </w:t>
      </w:r>
      <w:r w:rsidR="0065295B">
        <w:t xml:space="preserve">international </w:t>
      </w:r>
      <w:r w:rsidR="001C2C26">
        <w:t>tourism,</w:t>
      </w:r>
      <w:r w:rsidR="0065295B">
        <w:t xml:space="preserve"> and defence sectors. </w:t>
      </w:r>
    </w:p>
    <w:p w14:paraId="4D44A3C6" w14:textId="77777777" w:rsidR="001835C8" w:rsidRDefault="001835C8" w:rsidP="00915934">
      <w:pPr>
        <w:pStyle w:val="Bullet1stlevel"/>
        <w:rPr>
          <w:b/>
          <w:bCs/>
        </w:rPr>
      </w:pPr>
      <w:r w:rsidRPr="00213CE9">
        <w:rPr>
          <w:b/>
          <w:bCs/>
        </w:rPr>
        <w:t>Hospitals</w:t>
      </w:r>
      <w:r w:rsidRPr="00C23B20">
        <w:t xml:space="preserve"> are </w:t>
      </w:r>
      <w:r>
        <w:t>a</w:t>
      </w:r>
      <w:r w:rsidR="0012238E">
        <w:t>n</w:t>
      </w:r>
      <w:r>
        <w:t xml:space="preserve"> </w:t>
      </w:r>
      <w:r w:rsidR="0012238E">
        <w:t>important part of</w:t>
      </w:r>
      <w:r w:rsidRPr="00C23B20">
        <w:t xml:space="preserve"> Australia’s health care system</w:t>
      </w:r>
      <w:r w:rsidR="0012238E">
        <w:t xml:space="preserve"> </w:t>
      </w:r>
      <w:r w:rsidR="00480DEB">
        <w:t>and a crucial enabler of Australia’s economic stability</w:t>
      </w:r>
      <w:r w:rsidR="001077E2">
        <w:t xml:space="preserve"> more broadly, as highlighted by the COVID-19 pandemic.</w:t>
      </w:r>
      <w:r w:rsidR="00FA0967">
        <w:t xml:space="preserve"> I</w:t>
      </w:r>
      <w:r w:rsidR="00FA0967" w:rsidRPr="001A524C">
        <w:t>ntensive care units</w:t>
      </w:r>
      <w:r w:rsidR="00FA0967" w:rsidRPr="00C23B20">
        <w:t xml:space="preserve"> </w:t>
      </w:r>
      <w:r w:rsidR="00FA0967">
        <w:t>(</w:t>
      </w:r>
      <w:r w:rsidR="00FA0967" w:rsidRPr="00C23B20">
        <w:t>ICU</w:t>
      </w:r>
      <w:r w:rsidR="00FA0967">
        <w:t>s)</w:t>
      </w:r>
      <w:r w:rsidR="00FA0967" w:rsidRPr="00C23B20">
        <w:t xml:space="preserve"> </w:t>
      </w:r>
      <w:r w:rsidR="00FA0967">
        <w:t xml:space="preserve">are </w:t>
      </w:r>
      <w:r w:rsidR="00FA0967" w:rsidRPr="00C23B20">
        <w:t>one of the most critically functioning operational environments in a hospital.</w:t>
      </w:r>
    </w:p>
    <w:p w14:paraId="5D4BC010" w14:textId="5B68A311" w:rsidR="00750F70" w:rsidRPr="009B4B57" w:rsidRDefault="00750F70" w:rsidP="00915934">
      <w:pPr>
        <w:pStyle w:val="Bullet1stlevel"/>
        <w:rPr>
          <w:b/>
          <w:bCs/>
        </w:rPr>
      </w:pPr>
      <w:r w:rsidRPr="007B3F47">
        <w:rPr>
          <w:b/>
          <w:bCs/>
        </w:rPr>
        <w:t>Energy market operators</w:t>
      </w:r>
      <w:r>
        <w:t xml:space="preserve"> are crucial to </w:t>
      </w:r>
      <w:r w:rsidR="00DC2CCA">
        <w:t>the functioning of electricity and gas systems and markets across Australia</w:t>
      </w:r>
      <w:r w:rsidR="007B3F47">
        <w:t xml:space="preserve">. </w:t>
      </w:r>
      <w:r w:rsidRPr="007B3F47">
        <w:t>The Australian Energy Market Operator (AEMO) manages most wholesale and retail electricity and gas markets nationally, including the National Energy Market (NEM), servicing over 22 million Australians across the six eastern and southern states and territories, and the (WEM) in Western Australia.</w:t>
      </w:r>
    </w:p>
    <w:p w14:paraId="3D1364B6" w14:textId="77777777" w:rsidR="00BE1E47" w:rsidRPr="00314A59" w:rsidRDefault="00BE1E47" w:rsidP="00BE1E47">
      <w:pPr>
        <w:pStyle w:val="Bullet1stlevel"/>
        <w:rPr>
          <w:b/>
        </w:rPr>
      </w:pPr>
      <w:r w:rsidRPr="00DD224B">
        <w:rPr>
          <w:b/>
          <w:bCs/>
        </w:rPr>
        <w:t>Freight infrastructure and services</w:t>
      </w:r>
      <w:r w:rsidRPr="00DD224B">
        <w:t xml:space="preserve"> form crucial parts of the supply chain for Australian imports, exports, and domestic consumption.</w:t>
      </w:r>
      <w:r>
        <w:t xml:space="preserve"> F</w:t>
      </w:r>
      <w:r w:rsidRPr="00DD224B">
        <w:t xml:space="preserve">reight infrastructure </w:t>
      </w:r>
      <w:r>
        <w:t>provides</w:t>
      </w:r>
      <w:r w:rsidRPr="00DD224B">
        <w:t xml:space="preserve"> critical corridors for the transportation of goods</w:t>
      </w:r>
      <w:r>
        <w:t>,</w:t>
      </w:r>
      <w:r w:rsidRPr="00DD224B">
        <w:t xml:space="preserve"> while freight service providers conduct business that is essential to the transportation of goods.</w:t>
      </w:r>
      <w:r>
        <w:t xml:space="preserve"> </w:t>
      </w:r>
    </w:p>
    <w:p w14:paraId="159C4753" w14:textId="1EF28ACF" w:rsidR="00DF7953" w:rsidRPr="00DD224B" w:rsidRDefault="008750E6" w:rsidP="00BE1E47">
      <w:pPr>
        <w:pStyle w:val="Bullet1stlevel"/>
        <w:rPr>
          <w:b/>
          <w:bCs/>
        </w:rPr>
      </w:pPr>
      <w:r>
        <w:t xml:space="preserve">Access to </w:t>
      </w:r>
      <w:r>
        <w:rPr>
          <w:b/>
          <w:bCs/>
        </w:rPr>
        <w:t>f</w:t>
      </w:r>
      <w:r w:rsidR="00DF7953">
        <w:rPr>
          <w:b/>
          <w:bCs/>
        </w:rPr>
        <w:t>ood and grocer</w:t>
      </w:r>
      <w:r>
        <w:rPr>
          <w:b/>
          <w:bCs/>
        </w:rPr>
        <w:t>ies</w:t>
      </w:r>
      <w:r w:rsidR="00DF7953">
        <w:rPr>
          <w:b/>
          <w:bCs/>
        </w:rPr>
        <w:t xml:space="preserve"> </w:t>
      </w:r>
      <w:r w:rsidR="00703D04">
        <w:t>is a fundamental right for all Australians</w:t>
      </w:r>
      <w:r>
        <w:t xml:space="preserve">, recognised as such in the </w:t>
      </w:r>
      <w:r w:rsidRPr="008750E6">
        <w:t xml:space="preserve">Article 11 of the </w:t>
      </w:r>
      <w:r w:rsidRPr="005C7F0E">
        <w:rPr>
          <w:i/>
        </w:rPr>
        <w:t>International Covenant on Economic, Social and Cultural Rights</w:t>
      </w:r>
      <w:r w:rsidRPr="008750E6">
        <w:t xml:space="preserve"> (ICESCR)</w:t>
      </w:r>
      <w:r>
        <w:t xml:space="preserve">. </w:t>
      </w:r>
    </w:p>
    <w:p w14:paraId="5844AB40" w14:textId="77777777" w:rsidR="00336D5A" w:rsidRDefault="00336D5A" w:rsidP="009B4B57">
      <w:pPr>
        <w:pStyle w:val="Bullet1stlevel"/>
        <w:numPr>
          <w:ilvl w:val="0"/>
          <w:numId w:val="0"/>
        </w:numPr>
        <w:ind w:left="340"/>
        <w:rPr>
          <w:b/>
          <w:bCs/>
        </w:rPr>
      </w:pPr>
    </w:p>
    <w:p w14:paraId="354F668E" w14:textId="77777777" w:rsidR="004E2A72" w:rsidRPr="007B3F47" w:rsidRDefault="004E2A72" w:rsidP="009B4B57">
      <w:pPr>
        <w:pStyle w:val="Bullet1stlevel"/>
        <w:numPr>
          <w:ilvl w:val="0"/>
          <w:numId w:val="0"/>
        </w:numPr>
        <w:ind w:left="340"/>
        <w:rPr>
          <w:b/>
          <w:bCs/>
        </w:rPr>
      </w:pPr>
    </w:p>
    <w:p w14:paraId="3E141D8C" w14:textId="77777777" w:rsidR="00374A1D" w:rsidRPr="00BD6112" w:rsidRDefault="00374A1D" w:rsidP="00BD6112">
      <w:pPr>
        <w:pStyle w:val="ListParagraph"/>
        <w:rPr>
          <w:b/>
          <w:bCs/>
        </w:rPr>
      </w:pPr>
      <w:r w:rsidRPr="00BD6112">
        <w:rPr>
          <w:b/>
          <w:bCs/>
        </w:rPr>
        <w:br w:type="page"/>
      </w:r>
    </w:p>
    <w:p w14:paraId="7783DB52" w14:textId="3EF3611F" w:rsidR="00E73273" w:rsidRDefault="00C13ECE" w:rsidP="00E73273">
      <w:pPr>
        <w:pStyle w:val="BodyText"/>
      </w:pPr>
      <w:r w:rsidRPr="00E73273">
        <w:rPr>
          <w:noProof/>
          <w:lang w:eastAsia="en-AU"/>
        </w:rPr>
        <w:lastRenderedPageBreak/>
        <mc:AlternateContent>
          <mc:Choice Requires="wps">
            <w:drawing>
              <wp:anchor distT="0" distB="0" distL="114300" distR="114300" simplePos="0" relativeHeight="251666432" behindDoc="1" locked="0" layoutInCell="1" allowOverlap="1" wp14:anchorId="73D46A1C" wp14:editId="4B66AFE7">
                <wp:simplePos x="0" y="0"/>
                <wp:positionH relativeFrom="page">
                  <wp:posOffset>-2540</wp:posOffset>
                </wp:positionH>
                <wp:positionV relativeFrom="page">
                  <wp:posOffset>902384</wp:posOffset>
                </wp:positionV>
                <wp:extent cx="7560000" cy="9000000"/>
                <wp:effectExtent l="0" t="0" r="3175" b="0"/>
                <wp:wrapNone/>
                <wp:docPr id="22" name="Rectangle 22"/>
                <wp:cNvGraphicFramePr/>
                <a:graphic xmlns:a="http://schemas.openxmlformats.org/drawingml/2006/main">
                  <a:graphicData uri="http://schemas.microsoft.com/office/word/2010/wordprocessingShape">
                    <wps:wsp>
                      <wps:cNvSpPr/>
                      <wps:spPr>
                        <a:xfrm>
                          <a:off x="0" y="0"/>
                          <a:ext cx="7560000" cy="9000000"/>
                        </a:xfrm>
                        <a:prstGeom prst="rect">
                          <a:avLst/>
                        </a:prstGeom>
                        <a:gradFill flip="none" rotWithShape="1">
                          <a:gsLst>
                            <a:gs pos="0">
                              <a:schemeClr val="accent1"/>
                            </a:gs>
                            <a:gs pos="100000">
                              <a:schemeClr val="accent2"/>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3E4354" id="Rectangle 22" o:spid="_x0000_s1026" style="position:absolute;margin-left:-.2pt;margin-top:71.05pt;width:595.3pt;height:708.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" fillcolor="#034ea2 [3204]" stroked="f" strokeweight="2pt">
                <v:fill color2="#007bc3 [3205]" rotate="t" angle="45" focus="100%" type="gradient"/>
                <w10:wrap anchorx="page" anchory="page"/>
              </v:rect>
            </w:pict>
          </mc:Fallback>
        </mc:AlternateContent>
      </w:r>
    </w:p>
    <w:p w14:paraId="1881D865" w14:textId="3EB471C0" w:rsidR="00E73273" w:rsidRPr="00E73273" w:rsidRDefault="00E73273" w:rsidP="00E73273">
      <w:pPr>
        <w:pStyle w:val="Divider"/>
      </w:pPr>
      <w:r>
        <w:t>1</w:t>
      </w:r>
      <w:r w:rsidRPr="00E73273">
        <w:t>.</w:t>
      </w:r>
      <w:r>
        <w:t xml:space="preserve"> What is the problem?</w:t>
      </w:r>
      <w:r w:rsidRPr="00E73273">
        <w:br w:type="page"/>
      </w:r>
    </w:p>
    <w:p w14:paraId="24BE67BE" w14:textId="3828C045" w:rsidR="00374A1D" w:rsidRPr="00374A1D" w:rsidRDefault="00374A1D" w:rsidP="00915934">
      <w:pPr>
        <w:pStyle w:val="Heading1numbered"/>
      </w:pPr>
      <w:bookmarkStart w:id="70" w:name="_Toc121397386"/>
      <w:r w:rsidRPr="00374A1D">
        <w:lastRenderedPageBreak/>
        <w:t>What is the problem?</w:t>
      </w:r>
      <w:bookmarkEnd w:id="70"/>
    </w:p>
    <w:p w14:paraId="379E9C5F" w14:textId="3CC2C995" w:rsidR="00374A1D" w:rsidRPr="00374A1D" w:rsidRDefault="00374A1D" w:rsidP="00915934">
      <w:pPr>
        <w:pStyle w:val="BodyText"/>
      </w:pPr>
      <w:r w:rsidRPr="00374A1D">
        <w:t xml:space="preserve">The interconnected nature of </w:t>
      </w:r>
      <w:r w:rsidR="008056F4">
        <w:t>critical infrastructure assets</w:t>
      </w:r>
      <w:r w:rsidRPr="00374A1D">
        <w:t>, as well as their role in supporting the functioning of</w:t>
      </w:r>
      <w:r w:rsidR="005006D1">
        <w:t>,</w:t>
      </w:r>
      <w:r w:rsidRPr="00374A1D">
        <w:t xml:space="preserve"> and services provided by</w:t>
      </w:r>
      <w:r w:rsidR="005006D1">
        <w:t>,</w:t>
      </w:r>
      <w:r w:rsidRPr="00374A1D">
        <w:t xml:space="preserve"> other critical infrastructure sectors, intensifies the overall risk and subsequent impact of any disruption. To that end, there are four problem </w:t>
      </w:r>
      <w:r w:rsidR="000F4AE3">
        <w:t>element</w:t>
      </w:r>
      <w:r w:rsidR="005006D1">
        <w:t xml:space="preserve">s </w:t>
      </w:r>
      <w:r w:rsidRPr="00374A1D">
        <w:t xml:space="preserve">which currently exist for </w:t>
      </w:r>
      <w:r w:rsidR="008056F4">
        <w:t>critical infrastructure assets</w:t>
      </w:r>
      <w:r w:rsidRPr="00374A1D">
        <w:t xml:space="preserve">, as described in </w:t>
      </w:r>
      <w:r w:rsidRPr="00374A1D">
        <w:fldChar w:fldCharType="begin"/>
      </w:r>
      <w:r w:rsidRPr="00374A1D">
        <w:instrText xml:space="preserve"> REF _Ref78459416 \h  \* MERGEFORMAT </w:instrText>
      </w:r>
      <w:r w:rsidRPr="00374A1D">
        <w:fldChar w:fldCharType="separate"/>
      </w:r>
      <w:r w:rsidR="009708D4" w:rsidRPr="009708D4">
        <w:rPr>
          <w:bCs/>
        </w:rPr>
        <w:t xml:space="preserve">Table </w:t>
      </w:r>
      <w:r w:rsidR="009708D4" w:rsidRPr="009708D4">
        <w:rPr>
          <w:bCs/>
          <w:noProof/>
        </w:rPr>
        <w:t>4</w:t>
      </w:r>
      <w:r w:rsidRPr="00374A1D">
        <w:fldChar w:fldCharType="end"/>
      </w:r>
      <w:r w:rsidRPr="00374A1D">
        <w:t>. These are discussed in greater detail in Section 1.2 below.</w:t>
      </w:r>
    </w:p>
    <w:p w14:paraId="5AE1B2C4" w14:textId="6608C84C" w:rsidR="00374A1D" w:rsidRPr="00374A1D" w:rsidRDefault="00374A1D" w:rsidP="00915934">
      <w:pPr>
        <w:pStyle w:val="Caption"/>
      </w:pPr>
      <w:bookmarkStart w:id="71" w:name="_Ref78459416"/>
      <w:bookmarkStart w:id="72" w:name="_Toc78878008"/>
      <w:bookmarkStart w:id="73" w:name="_Toc79156684"/>
      <w:bookmarkStart w:id="74" w:name="_Toc120115089"/>
      <w:r w:rsidRPr="00374A1D">
        <w:rPr>
          <w:b/>
          <w:bCs/>
        </w:rPr>
        <w:t xml:space="preserve">Table </w:t>
      </w:r>
      <w:r w:rsidRPr="00374A1D">
        <w:rPr>
          <w:b/>
          <w:bCs/>
        </w:rPr>
        <w:fldChar w:fldCharType="begin"/>
      </w:r>
      <w:r w:rsidRPr="00374A1D">
        <w:rPr>
          <w:b/>
          <w:bCs/>
        </w:rPr>
        <w:instrText xml:space="preserve"> SEQ Table \* ARABIC </w:instrText>
      </w:r>
      <w:r w:rsidRPr="00374A1D">
        <w:rPr>
          <w:b/>
          <w:bCs/>
        </w:rPr>
        <w:fldChar w:fldCharType="separate"/>
      </w:r>
      <w:r w:rsidR="009708D4">
        <w:rPr>
          <w:b/>
          <w:bCs/>
          <w:noProof/>
        </w:rPr>
        <w:t>4</w:t>
      </w:r>
      <w:r w:rsidRPr="00374A1D">
        <w:rPr>
          <w:b/>
          <w:bCs/>
        </w:rPr>
        <w:fldChar w:fldCharType="end"/>
      </w:r>
      <w:bookmarkEnd w:id="71"/>
      <w:r w:rsidRPr="00374A1D">
        <w:t xml:space="preserve"> Four problem elements for </w:t>
      </w:r>
      <w:r w:rsidR="008056F4">
        <w:t>critical infrastructure assets</w:t>
      </w:r>
      <w:bookmarkEnd w:id="72"/>
      <w:bookmarkEnd w:id="73"/>
      <w:bookmarkEnd w:id="74"/>
    </w:p>
    <w:tbl>
      <w:tblPr>
        <w:tblStyle w:val="TableGrid2"/>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3072"/>
        <w:gridCol w:w="6566"/>
      </w:tblGrid>
      <w:tr w:rsidR="00CC6E01" w:rsidRPr="00374A1D" w14:paraId="36992D2F" w14:textId="77777777" w:rsidTr="00FA2042">
        <w:tc>
          <w:tcPr>
            <w:tcW w:w="3072" w:type="dxa"/>
            <w:shd w:val="clear" w:color="auto" w:fill="034EA2" w:themeFill="accent1"/>
          </w:tcPr>
          <w:p w14:paraId="1F93E345" w14:textId="77777777" w:rsidR="00374A1D" w:rsidRPr="008301DB" w:rsidRDefault="00374A1D" w:rsidP="00FA2042">
            <w:pPr>
              <w:pStyle w:val="TableHeading"/>
            </w:pPr>
            <w:r w:rsidRPr="008301DB">
              <w:t>Problem Element</w:t>
            </w:r>
            <w:r w:rsidRPr="008301DB">
              <w:rPr>
                <w:shd w:val="clear" w:color="auto" w:fill="4472C4"/>
              </w:rPr>
              <w:t>s</w:t>
            </w:r>
          </w:p>
        </w:tc>
        <w:tc>
          <w:tcPr>
            <w:tcW w:w="0" w:type="auto"/>
            <w:shd w:val="clear" w:color="auto" w:fill="034EA2" w:themeFill="accent1"/>
          </w:tcPr>
          <w:p w14:paraId="07828E49" w14:textId="77777777" w:rsidR="00374A1D" w:rsidRPr="008301DB" w:rsidRDefault="00374A1D" w:rsidP="00FA2042">
            <w:pPr>
              <w:pStyle w:val="TableHeading"/>
            </w:pPr>
            <w:r w:rsidRPr="008301DB">
              <w:t>Recommended Solutions</w:t>
            </w:r>
          </w:p>
        </w:tc>
      </w:tr>
      <w:tr w:rsidR="00CC6E01" w:rsidRPr="00374A1D" w14:paraId="29AE02E9" w14:textId="77777777" w:rsidTr="00CD629D">
        <w:tc>
          <w:tcPr>
            <w:tcW w:w="3072" w:type="dxa"/>
            <w:shd w:val="clear" w:color="auto" w:fill="F2F2F2" w:themeFill="background1" w:themeFillShade="F2"/>
          </w:tcPr>
          <w:p w14:paraId="2D67336D" w14:textId="77777777" w:rsidR="00374A1D" w:rsidRPr="00374A1D" w:rsidRDefault="00374A1D" w:rsidP="00FA2042">
            <w:pPr>
              <w:pStyle w:val="TableBody"/>
            </w:pPr>
            <w:r w:rsidRPr="00374A1D">
              <w:t xml:space="preserve">1.2.1 There are risks to </w:t>
            </w:r>
            <w:r w:rsidR="008056F4">
              <w:t>critical infrastructure assets</w:t>
            </w:r>
            <w:r w:rsidRPr="00374A1D">
              <w:t>.</w:t>
            </w:r>
          </w:p>
        </w:tc>
        <w:tc>
          <w:tcPr>
            <w:tcW w:w="0" w:type="auto"/>
          </w:tcPr>
          <w:p w14:paraId="6B2C9DC8" w14:textId="77777777" w:rsidR="00374A1D" w:rsidRPr="00374A1D" w:rsidRDefault="00374A1D" w:rsidP="00FA2042">
            <w:pPr>
              <w:pStyle w:val="TableBody"/>
            </w:pPr>
            <w:r w:rsidRPr="00374A1D">
              <w:t xml:space="preserve">The </w:t>
            </w:r>
            <w:r w:rsidR="00BB0179">
              <w:t>RMP</w:t>
            </w:r>
            <w:r w:rsidRPr="00374A1D">
              <w:t xml:space="preserve"> framework is required to ensure these risks are being considered and</w:t>
            </w:r>
            <w:r w:rsidR="004948DD">
              <w:t>,</w:t>
            </w:r>
            <w:r w:rsidRPr="00374A1D">
              <w:t xml:space="preserve"> where appropriate, addressed. This will enable the adoption of an </w:t>
            </w:r>
            <w:r w:rsidR="001C2C26" w:rsidRPr="00374A1D">
              <w:t>all-hazards</w:t>
            </w:r>
            <w:r w:rsidRPr="00374A1D">
              <w:t xml:space="preserve"> approach to risk management for </w:t>
            </w:r>
            <w:r w:rsidR="008056F4">
              <w:t>critical infrastructure assets</w:t>
            </w:r>
            <w:r w:rsidRPr="00374A1D">
              <w:t xml:space="preserve">, increasing the resilience of </w:t>
            </w:r>
            <w:r w:rsidR="008056F4">
              <w:t>critical infrastructure assets</w:t>
            </w:r>
            <w:r w:rsidRPr="00374A1D">
              <w:t>.</w:t>
            </w:r>
          </w:p>
        </w:tc>
      </w:tr>
      <w:tr w:rsidR="00374A1D" w:rsidRPr="00374A1D" w14:paraId="0CCDF1A1" w14:textId="77777777" w:rsidTr="00CD629D">
        <w:tc>
          <w:tcPr>
            <w:tcW w:w="3072" w:type="dxa"/>
            <w:shd w:val="clear" w:color="auto" w:fill="F2F2F2" w:themeFill="background1" w:themeFillShade="F2"/>
          </w:tcPr>
          <w:p w14:paraId="13B264DC" w14:textId="77777777" w:rsidR="00374A1D" w:rsidRPr="00374A1D" w:rsidRDefault="00374A1D" w:rsidP="00FA2042">
            <w:pPr>
              <w:pStyle w:val="TableBody"/>
              <w:rPr>
                <w:b/>
              </w:rPr>
            </w:pPr>
            <w:r w:rsidRPr="00374A1D">
              <w:t>1.2.2 Existing legislative arrangements are insufficient for the current threat environment.</w:t>
            </w:r>
          </w:p>
        </w:tc>
        <w:tc>
          <w:tcPr>
            <w:tcW w:w="0" w:type="auto"/>
          </w:tcPr>
          <w:p w14:paraId="3DD418F3" w14:textId="268E6364" w:rsidR="00374A1D" w:rsidRPr="00374A1D" w:rsidRDefault="00374A1D" w:rsidP="00DC698D">
            <w:pPr>
              <w:pStyle w:val="TableBody"/>
            </w:pPr>
            <w:r w:rsidRPr="00374A1D">
              <w:t xml:space="preserve">The </w:t>
            </w:r>
            <w:r w:rsidR="00BB0179">
              <w:t>RMP</w:t>
            </w:r>
            <w:r w:rsidRPr="00374A1D">
              <w:t xml:space="preserve"> framework is required to provide specificity on the </w:t>
            </w:r>
            <w:r w:rsidR="00BB0179">
              <w:t>RMP</w:t>
            </w:r>
            <w:r w:rsidRPr="00374A1D">
              <w:t xml:space="preserve"> </w:t>
            </w:r>
            <w:r w:rsidR="00DC698D">
              <w:t>introduced by the SLACIP Act</w:t>
            </w:r>
            <w:r w:rsidRPr="00374A1D">
              <w:t xml:space="preserve"> and create a regulatory environment which seeks to address all hazards </w:t>
            </w:r>
            <w:r w:rsidR="00BA60CD">
              <w:t xml:space="preserve">&amp; </w:t>
            </w:r>
            <w:r w:rsidRPr="00374A1D">
              <w:t xml:space="preserve">risks. </w:t>
            </w:r>
            <w:r w:rsidR="009D53DE">
              <w:t xml:space="preserve">The </w:t>
            </w:r>
            <w:r w:rsidR="00384419">
              <w:rPr>
                <w:iCs/>
              </w:rPr>
              <w:t>SOCI Act</w:t>
            </w:r>
            <w:r w:rsidR="009D53DE">
              <w:rPr>
                <w:i/>
              </w:rPr>
              <w:t xml:space="preserve">, </w:t>
            </w:r>
            <w:r w:rsidR="009D53DE">
              <w:rPr>
                <w:iCs/>
              </w:rPr>
              <w:t>following</w:t>
            </w:r>
            <w:r w:rsidR="00A973D4" w:rsidRPr="009D53DE">
              <w:t xml:space="preserve"> the </w:t>
            </w:r>
            <w:r w:rsidR="0083005F" w:rsidRPr="009D53DE">
              <w:t xml:space="preserve">passage of </w:t>
            </w:r>
            <w:r w:rsidR="00926252">
              <w:t xml:space="preserve">the </w:t>
            </w:r>
            <w:r w:rsidR="0083005F" w:rsidRPr="009D53DE">
              <w:t>SLACI</w:t>
            </w:r>
            <w:r w:rsidR="00926252">
              <w:t xml:space="preserve"> Act</w:t>
            </w:r>
            <w:r w:rsidR="00FE21F9">
              <w:t xml:space="preserve"> and the Minister commencing associated rules</w:t>
            </w:r>
            <w:r w:rsidR="009D53DE">
              <w:t xml:space="preserve">, means </w:t>
            </w:r>
            <w:r w:rsidR="002E0D9D">
              <w:t>that</w:t>
            </w:r>
            <w:r w:rsidR="00A973D4" w:rsidRPr="009D53DE">
              <w:t xml:space="preserve"> </w:t>
            </w:r>
            <w:r w:rsidR="007741E1">
              <w:t>designated respo</w:t>
            </w:r>
            <w:r w:rsidR="00B67465">
              <w:t xml:space="preserve">nsible </w:t>
            </w:r>
            <w:r w:rsidR="00A973D4" w:rsidRPr="009D53DE">
              <w:t>entities</w:t>
            </w:r>
            <w:r w:rsidR="00337546">
              <w:t xml:space="preserve"> across all relevant </w:t>
            </w:r>
            <w:r w:rsidR="00946AAA">
              <w:t>critical infrastructure assets</w:t>
            </w:r>
            <w:r w:rsidR="00A973D4" w:rsidRPr="009D53DE">
              <w:t xml:space="preserve"> w</w:t>
            </w:r>
            <w:r w:rsidR="00952217">
              <w:t>ere</w:t>
            </w:r>
            <w:r w:rsidR="00A973D4" w:rsidRPr="009D53DE">
              <w:t xml:space="preserve"> required to provide information </w:t>
            </w:r>
            <w:r w:rsidRPr="009D53DE">
              <w:t>to the Register of Critical Assets</w:t>
            </w:r>
            <w:r w:rsidR="00B67465">
              <w:t xml:space="preserve"> and comply with Mandatory Cyber Incident Reporting obligations</w:t>
            </w:r>
            <w:r w:rsidRPr="009D53DE">
              <w:t>.</w:t>
            </w:r>
            <w:r w:rsidRPr="00374A1D">
              <w:t xml:space="preserve"> Existing standards should be leveraged to minimise regulatory burden and </w:t>
            </w:r>
            <w:r w:rsidR="001C2C26" w:rsidRPr="00374A1D">
              <w:t>duplication</w:t>
            </w:r>
            <w:r w:rsidR="001C2C26">
              <w:t xml:space="preserve"> and</w:t>
            </w:r>
            <w:r w:rsidRPr="00374A1D">
              <w:t xml:space="preserve"> enforced on a sector-wide basis.</w:t>
            </w:r>
          </w:p>
        </w:tc>
      </w:tr>
      <w:tr w:rsidR="00CC6E01" w:rsidRPr="00374A1D" w14:paraId="6A28BBCC" w14:textId="77777777" w:rsidTr="00CD629D">
        <w:tc>
          <w:tcPr>
            <w:tcW w:w="3072" w:type="dxa"/>
            <w:shd w:val="clear" w:color="auto" w:fill="F2F2F2" w:themeFill="background1" w:themeFillShade="F2"/>
          </w:tcPr>
          <w:p w14:paraId="53BB6EAD" w14:textId="77777777" w:rsidR="00374A1D" w:rsidRPr="00374A1D" w:rsidRDefault="00374A1D" w:rsidP="00FA2042">
            <w:pPr>
              <w:pStyle w:val="TableBody"/>
            </w:pPr>
            <w:r w:rsidRPr="00374A1D">
              <w:t>1.2.3 Currently, the Government has limited visibility of current risk management practices and limited ability to ensure risks are appropriately managed across sectors.</w:t>
            </w:r>
          </w:p>
        </w:tc>
        <w:tc>
          <w:tcPr>
            <w:tcW w:w="0" w:type="auto"/>
          </w:tcPr>
          <w:p w14:paraId="5891BDBC" w14:textId="77777777" w:rsidR="00374A1D" w:rsidRPr="00374A1D" w:rsidRDefault="00374A1D" w:rsidP="00FA2042">
            <w:pPr>
              <w:pStyle w:val="TableBody"/>
              <w:rPr>
                <w:sz w:val="22"/>
              </w:rPr>
            </w:pPr>
            <w:r w:rsidRPr="00374A1D">
              <w:t xml:space="preserve">The </w:t>
            </w:r>
            <w:r w:rsidR="00BB0179">
              <w:t>RMP</w:t>
            </w:r>
            <w:r w:rsidRPr="00374A1D">
              <w:t xml:space="preserve"> framework will ensure risk management considerations are appropriately prioritised by responsible entities. Government will also have a range of graduated powers to support an uplift in resilience and security across Australia’s </w:t>
            </w:r>
            <w:r w:rsidR="008056F4">
              <w:t>critical infrastructure assets</w:t>
            </w:r>
            <w:r w:rsidRPr="00374A1D">
              <w:t xml:space="preserve">. </w:t>
            </w:r>
          </w:p>
        </w:tc>
      </w:tr>
      <w:tr w:rsidR="00374A1D" w:rsidRPr="00374A1D" w14:paraId="5D05F18D" w14:textId="77777777" w:rsidTr="00CD629D">
        <w:tc>
          <w:tcPr>
            <w:tcW w:w="3072" w:type="dxa"/>
            <w:shd w:val="clear" w:color="auto" w:fill="F2F2F2" w:themeFill="background1" w:themeFillShade="F2"/>
          </w:tcPr>
          <w:p w14:paraId="37B96D88" w14:textId="717F57C1" w:rsidR="00374A1D" w:rsidRPr="00374A1D" w:rsidRDefault="00374A1D" w:rsidP="00FA2042">
            <w:pPr>
              <w:pStyle w:val="TableBody"/>
            </w:pPr>
            <w:r w:rsidRPr="00374A1D">
              <w:t xml:space="preserve">1.2.4 A stronger partnership between Government and </w:t>
            </w:r>
            <w:r w:rsidR="004948DD">
              <w:t>i</w:t>
            </w:r>
            <w:r w:rsidRPr="00374A1D">
              <w:t>ndustry is needed to drive a wholesale uplift in security and resilience.</w:t>
            </w:r>
          </w:p>
        </w:tc>
        <w:tc>
          <w:tcPr>
            <w:tcW w:w="0" w:type="auto"/>
          </w:tcPr>
          <w:p w14:paraId="5FABCDE0" w14:textId="77777777" w:rsidR="00374A1D" w:rsidRPr="00374A1D" w:rsidRDefault="00374A1D" w:rsidP="00FA2042">
            <w:pPr>
              <w:pStyle w:val="TableBody"/>
              <w:rPr>
                <w:sz w:val="22"/>
              </w:rPr>
            </w:pPr>
            <w:r w:rsidRPr="00374A1D">
              <w:t>A strong and effective partnership between industry and Government is pivotal for ensuring the security and resilience of critical infrastructure is prioritised across all responsible entities. Consultation has drawn robust engagement from industry and recognition of Government’s ability to regulate on matters of critical infrastructure in a meaningful manner.</w:t>
            </w:r>
          </w:p>
        </w:tc>
      </w:tr>
    </w:tbl>
    <w:p w14:paraId="48108CA2" w14:textId="3F87C41A" w:rsidR="00374A1D" w:rsidRDefault="00374A1D" w:rsidP="00FA2042">
      <w:pPr>
        <w:pStyle w:val="BodyText"/>
        <w:spacing w:before="240"/>
      </w:pPr>
      <w:r w:rsidRPr="00374A1D">
        <w:t xml:space="preserve">The primary objective of critical infrastructure regulation is to improve critical infrastructure resilience and mitigate the potential impacts of ‘all </w:t>
      </w:r>
      <w:r w:rsidR="001C2C26" w:rsidRPr="00374A1D">
        <w:t>hazards</w:t>
      </w:r>
      <w:r w:rsidR="004948DD">
        <w:t>’</w:t>
      </w:r>
      <w:r w:rsidRPr="00374A1D">
        <w:t>. The</w:t>
      </w:r>
      <w:r w:rsidR="005006D1">
        <w:t xml:space="preserve"> SLACIP</w:t>
      </w:r>
      <w:r w:rsidRPr="00374A1D">
        <w:t xml:space="preserve"> </w:t>
      </w:r>
      <w:r w:rsidR="00DC698D">
        <w:t>Act’s RMP</w:t>
      </w:r>
      <w:r w:rsidRPr="00374A1D">
        <w:t xml:space="preserve"> requires industry to consider all hazards, which encompass natural </w:t>
      </w:r>
      <w:r w:rsidR="00C66BFA">
        <w:t xml:space="preserve">and physical hazards </w:t>
      </w:r>
      <w:r w:rsidRPr="00374A1D">
        <w:t xml:space="preserve">(for example, </w:t>
      </w:r>
      <w:r w:rsidR="00C66BFA">
        <w:t xml:space="preserve">fires, floods and cyclones, health hazards) </w:t>
      </w:r>
      <w:r w:rsidRPr="00374A1D">
        <w:t xml:space="preserve">and </w:t>
      </w:r>
      <w:r w:rsidR="00C66BFA">
        <w:t xml:space="preserve">hazards related to people which may also affect supply chains </w:t>
      </w:r>
      <w:r w:rsidRPr="00374A1D">
        <w:t>(for example, unlawful interference, cyber incidents, espionage, chemical or oil spills</w:t>
      </w:r>
      <w:r w:rsidR="004948DD">
        <w:t>,</w:t>
      </w:r>
      <w:r w:rsidRPr="00374A1D">
        <w:t xml:space="preserve"> and trusted insiders). Without adequate protection, threats or hazards are likely to manifest within f</w:t>
      </w:r>
      <w:r w:rsidR="002378C1">
        <w:t>our</w:t>
      </w:r>
      <w:r w:rsidRPr="00374A1D">
        <w:t xml:space="preserve"> key </w:t>
      </w:r>
      <w:r w:rsidR="006B3927">
        <w:t xml:space="preserve">hazard </w:t>
      </w:r>
      <w:r w:rsidRPr="00374A1D">
        <w:t>domains (see Figure 2 below)</w:t>
      </w:r>
      <w:r w:rsidR="00346596">
        <w:t>:</w:t>
      </w:r>
      <w:r w:rsidRPr="00374A1D">
        <w:t xml:space="preserve"> </w:t>
      </w:r>
    </w:p>
    <w:p w14:paraId="3DEFF799" w14:textId="68A249D1" w:rsidR="008E18E3" w:rsidRPr="008E18E3" w:rsidRDefault="008E18E3" w:rsidP="00915934">
      <w:pPr>
        <w:pStyle w:val="Caption"/>
        <w:rPr>
          <w:noProof/>
        </w:rPr>
      </w:pPr>
      <w:bookmarkStart w:id="75" w:name="_Toc94519463"/>
      <w:r w:rsidRPr="00915934">
        <w:rPr>
          <w:b/>
        </w:rPr>
        <w:lastRenderedPageBreak/>
        <w:t xml:space="preserve">Figure </w:t>
      </w:r>
      <w:r w:rsidRPr="00915934">
        <w:rPr>
          <w:b/>
        </w:rPr>
        <w:fldChar w:fldCharType="begin"/>
      </w:r>
      <w:r w:rsidRPr="00915934">
        <w:rPr>
          <w:b/>
        </w:rPr>
        <w:instrText xml:space="preserve"> SEQ Figure \* ARABIC </w:instrText>
      </w:r>
      <w:r w:rsidRPr="00915934">
        <w:rPr>
          <w:b/>
        </w:rPr>
        <w:fldChar w:fldCharType="separate"/>
      </w:r>
      <w:r w:rsidR="009708D4">
        <w:rPr>
          <w:b/>
          <w:noProof/>
        </w:rPr>
        <w:t>2</w:t>
      </w:r>
      <w:r w:rsidRPr="00915934">
        <w:rPr>
          <w:b/>
        </w:rPr>
        <w:fldChar w:fldCharType="end"/>
      </w:r>
      <w:r w:rsidR="007D5C6E">
        <w:rPr>
          <w:b/>
        </w:rPr>
        <w:t>:</w:t>
      </w:r>
      <w:r w:rsidRPr="002D7065">
        <w:t xml:space="preserve"> </w:t>
      </w:r>
      <w:r w:rsidRPr="00915934">
        <w:t>Outline</w:t>
      </w:r>
      <w:r w:rsidRPr="002D7065">
        <w:t xml:space="preserve"> of </w:t>
      </w:r>
      <w:r>
        <w:t>four</w:t>
      </w:r>
      <w:r w:rsidRPr="002D7065">
        <w:t xml:space="preserve"> key </w:t>
      </w:r>
      <w:r w:rsidR="006B3927">
        <w:t xml:space="preserve">hazard </w:t>
      </w:r>
      <w:r w:rsidRPr="002D7065">
        <w:t>domains</w:t>
      </w:r>
      <w:bookmarkEnd w:id="75"/>
    </w:p>
    <w:p w14:paraId="39FA6CC4" w14:textId="2B7CAB18" w:rsidR="00374A1D" w:rsidRPr="00374A1D" w:rsidRDefault="00E52BCC" w:rsidP="00915934">
      <w:pPr>
        <w:pStyle w:val="BodyText"/>
      </w:pPr>
      <w:r>
        <w:rPr>
          <w:noProof/>
          <w:lang w:eastAsia="en-AU"/>
        </w:rPr>
        <w:drawing>
          <wp:inline distT="0" distB="0" distL="0" distR="0" wp14:anchorId="0F84FB62" wp14:editId="784E3BB4">
            <wp:extent cx="6120130" cy="324358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243580"/>
                    </a:xfrm>
                    <a:prstGeom prst="rect">
                      <a:avLst/>
                    </a:prstGeom>
                    <a:noFill/>
                    <a:ln>
                      <a:noFill/>
                    </a:ln>
                  </pic:spPr>
                </pic:pic>
              </a:graphicData>
            </a:graphic>
          </wp:inline>
        </w:drawing>
      </w:r>
    </w:p>
    <w:p w14:paraId="3AE52545" w14:textId="54B1C049" w:rsidR="00BC2522" w:rsidRPr="00374A1D" w:rsidRDefault="00C66BFA" w:rsidP="00915934">
      <w:pPr>
        <w:pStyle w:val="BodyText"/>
        <w:rPr>
          <w:rFonts w:ascii="Calibri" w:hAnsi="Calibri" w:cs="Times New Roman"/>
        </w:rPr>
      </w:pPr>
      <w:r>
        <w:t>R</w:t>
      </w:r>
      <w:r w:rsidRPr="00374A1D">
        <w:t>isk management must be considered using an all-hazards approac</w:t>
      </w:r>
      <w:r>
        <w:t>h t</w:t>
      </w:r>
      <w:r w:rsidR="00374A1D" w:rsidRPr="00374A1D">
        <w:t>o maintain the operation and reliability of Australia’s essential services and ensure Australians’ way of life is not disrupted or degraded by an event categorised under any one of the f</w:t>
      </w:r>
      <w:r w:rsidR="002378C1">
        <w:t>our</w:t>
      </w:r>
      <w:r w:rsidR="00374A1D" w:rsidRPr="00374A1D">
        <w:t xml:space="preserve"> </w:t>
      </w:r>
      <w:r w:rsidR="006B3927">
        <w:t xml:space="preserve">hazard </w:t>
      </w:r>
      <w:r w:rsidR="00374A1D" w:rsidRPr="00374A1D">
        <w:t>domains</w:t>
      </w:r>
      <w:r w:rsidR="00374A1D" w:rsidRPr="00374A1D">
        <w:rPr>
          <w:rFonts w:ascii="Calibri" w:hAnsi="Calibri" w:cs="Times New Roman"/>
        </w:rPr>
        <w:t xml:space="preserve">. </w:t>
      </w:r>
    </w:p>
    <w:p w14:paraId="03D39D1D" w14:textId="422A85DD" w:rsidR="00003D58" w:rsidRDefault="00404CAF" w:rsidP="00915934">
      <w:pPr>
        <w:pStyle w:val="BodyText"/>
      </w:pPr>
      <w:r>
        <w:t>The</w:t>
      </w:r>
      <w:r w:rsidR="00A84C31">
        <w:t xml:space="preserve">re </w:t>
      </w:r>
      <w:r w:rsidR="00B009F3">
        <w:rPr>
          <w:rFonts w:eastAsia="Calibri"/>
        </w:rPr>
        <w:t xml:space="preserve">are a range of </w:t>
      </w:r>
      <w:r w:rsidR="00BC2522">
        <w:rPr>
          <w:rFonts w:eastAsia="Calibri"/>
        </w:rPr>
        <w:t>potential</w:t>
      </w:r>
      <w:r>
        <w:t xml:space="preserve"> consequences </w:t>
      </w:r>
      <w:r w:rsidR="00BC2522">
        <w:t>of</w:t>
      </w:r>
      <w:r>
        <w:t xml:space="preserve"> a prolonged or widespread disruption to </w:t>
      </w:r>
      <w:r w:rsidR="00E74239">
        <w:t>critical infrastructure</w:t>
      </w:r>
      <w:r w:rsidR="00003D58">
        <w:t>, as</w:t>
      </w:r>
      <w:r w:rsidR="00A84C31">
        <w:t xml:space="preserve"> </w:t>
      </w:r>
      <w:r w:rsidR="005F05E7">
        <w:t>illustrate</w:t>
      </w:r>
      <w:r w:rsidR="00003D58">
        <w:t>d by the following examples</w:t>
      </w:r>
      <w:r w:rsidR="00346596">
        <w:t>:</w:t>
      </w:r>
      <w:r w:rsidR="00A84C31">
        <w:t xml:space="preserve"> </w:t>
      </w:r>
    </w:p>
    <w:p w14:paraId="683F1B3A" w14:textId="567AEBF1" w:rsidR="001071E1" w:rsidRDefault="00003D58" w:rsidP="00915934">
      <w:pPr>
        <w:pStyle w:val="BodyText"/>
      </w:pPr>
      <w:r>
        <w:t>A</w:t>
      </w:r>
      <w:r w:rsidR="00B009F3">
        <w:t xml:space="preserve"> prolonged disruption to </w:t>
      </w:r>
      <w:r w:rsidR="00B009F3" w:rsidRPr="00901693">
        <w:rPr>
          <w:b/>
        </w:rPr>
        <w:t>electricity</w:t>
      </w:r>
      <w:r w:rsidR="00B009F3">
        <w:t xml:space="preserve"> suppl</w:t>
      </w:r>
      <w:r w:rsidR="001071E1">
        <w:t>y may result in disruptions to</w:t>
      </w:r>
      <w:r w:rsidR="0018557F">
        <w:t xml:space="preserve"> food and grocery supplies, water supply and sanitation facilities, telecommunications networks, transport </w:t>
      </w:r>
      <w:r w:rsidR="002E0262">
        <w:t>infrastructure and financial services.</w:t>
      </w:r>
      <w:r w:rsidR="000060CB">
        <w:t xml:space="preserve"> </w:t>
      </w:r>
      <w:r w:rsidR="00C23042">
        <w:t>Such a disruption</w:t>
      </w:r>
      <w:r w:rsidR="000060CB">
        <w:t xml:space="preserve"> </w:t>
      </w:r>
      <w:r w:rsidR="00C23042">
        <w:t>occurred</w:t>
      </w:r>
      <w:r w:rsidR="00351023">
        <w:t xml:space="preserve"> </w:t>
      </w:r>
      <w:r w:rsidR="002E0262">
        <w:rPr>
          <w:rFonts w:ascii="Arial" w:hAnsi="Arial" w:cs="Arial"/>
          <w:color w:val="000000"/>
        </w:rPr>
        <w:t>in May 2021</w:t>
      </w:r>
      <w:r w:rsidR="00C23042">
        <w:rPr>
          <w:rFonts w:ascii="Arial" w:hAnsi="Arial" w:cs="Arial"/>
          <w:color w:val="000000"/>
        </w:rPr>
        <w:t xml:space="preserve"> when</w:t>
      </w:r>
      <w:r w:rsidR="002E0262">
        <w:rPr>
          <w:rFonts w:ascii="Arial" w:hAnsi="Arial" w:cs="Arial"/>
          <w:color w:val="000000"/>
        </w:rPr>
        <w:t xml:space="preserve"> the Callide Power Station, located in Queensland, was affected by an explosion</w:t>
      </w:r>
      <w:r w:rsidR="00346596">
        <w:rPr>
          <w:rFonts w:ascii="Arial" w:hAnsi="Arial" w:cs="Arial"/>
          <w:color w:val="000000"/>
        </w:rPr>
        <w:t>; this</w:t>
      </w:r>
      <w:r w:rsidR="002E0262">
        <w:rPr>
          <w:rFonts w:ascii="Arial" w:hAnsi="Arial" w:cs="Arial"/>
          <w:color w:val="000000"/>
        </w:rPr>
        <w:t xml:space="preserve"> left more than 470,000 customers without power for an afternoon until power was restored with support from other states</w:t>
      </w:r>
      <w:r w:rsidR="00B65BE8">
        <w:rPr>
          <w:rFonts w:ascii="Arial" w:hAnsi="Arial" w:cs="Arial"/>
          <w:color w:val="000000"/>
        </w:rPr>
        <w:t>,</w:t>
      </w:r>
      <w:r w:rsidR="002E0262">
        <w:rPr>
          <w:rFonts w:ascii="Arial" w:hAnsi="Arial" w:cs="Arial"/>
          <w:color w:val="000000"/>
        </w:rPr>
        <w:t xml:space="preserve"> and with the help of renewables</w:t>
      </w:r>
      <w:r w:rsidR="002B357F">
        <w:rPr>
          <w:rFonts w:ascii="Arial" w:hAnsi="Arial" w:cs="Arial"/>
          <w:color w:val="000000"/>
        </w:rPr>
        <w:t>.</w:t>
      </w:r>
      <w:r w:rsidR="002E0262">
        <w:rPr>
          <w:rFonts w:ascii="Calibri" w:hAnsi="Calibri" w:cs="Times New Roman"/>
          <w:vertAlign w:val="superscript"/>
        </w:rPr>
        <w:footnoteReference w:id="10"/>
      </w:r>
      <w:r w:rsidR="002E0262">
        <w:rPr>
          <w:rFonts w:ascii="Arial" w:hAnsi="Arial" w:cs="Arial"/>
          <w:color w:val="000000"/>
        </w:rPr>
        <w:t xml:space="preserve"> While damage to the power station itself was deemed ‘catastrophic’, the incident also had cascading effects for several other </w:t>
      </w:r>
      <w:r w:rsidR="00EE05D6">
        <w:rPr>
          <w:rFonts w:ascii="Arial" w:hAnsi="Arial" w:cs="Arial"/>
          <w:color w:val="000000"/>
        </w:rPr>
        <w:t xml:space="preserve">electricity generators and transmitters as well as for other </w:t>
      </w:r>
      <w:r w:rsidR="002E0262">
        <w:rPr>
          <w:rFonts w:ascii="Arial" w:hAnsi="Arial" w:cs="Arial"/>
          <w:color w:val="000000"/>
        </w:rPr>
        <w:t>se</w:t>
      </w:r>
      <w:r w:rsidR="00150574">
        <w:rPr>
          <w:rFonts w:ascii="Arial" w:hAnsi="Arial" w:cs="Arial"/>
          <w:color w:val="000000"/>
        </w:rPr>
        <w:t xml:space="preserve">ctors </w:t>
      </w:r>
      <w:r w:rsidR="002E0262">
        <w:rPr>
          <w:rFonts w:ascii="Arial" w:hAnsi="Arial" w:cs="Arial"/>
          <w:color w:val="000000"/>
        </w:rPr>
        <w:t>across Queensland</w:t>
      </w:r>
      <w:r w:rsidR="007364A6">
        <w:rPr>
          <w:rFonts w:ascii="Arial" w:hAnsi="Arial" w:cs="Arial"/>
          <w:color w:val="000000"/>
        </w:rPr>
        <w:t xml:space="preserve">, such as </w:t>
      </w:r>
      <w:r w:rsidR="00150574">
        <w:rPr>
          <w:rFonts w:ascii="Arial" w:hAnsi="Arial" w:cs="Arial"/>
          <w:color w:val="000000"/>
        </w:rPr>
        <w:t>transport, food and groceries</w:t>
      </w:r>
      <w:r w:rsidR="009C3CC8">
        <w:rPr>
          <w:rFonts w:ascii="Arial" w:hAnsi="Arial" w:cs="Arial"/>
          <w:color w:val="000000"/>
        </w:rPr>
        <w:t xml:space="preserve">, </w:t>
      </w:r>
      <w:r w:rsidR="00150574">
        <w:rPr>
          <w:rFonts w:ascii="Arial" w:hAnsi="Arial" w:cs="Arial"/>
          <w:color w:val="000000"/>
        </w:rPr>
        <w:t xml:space="preserve">water and sewerage. </w:t>
      </w:r>
    </w:p>
    <w:p w14:paraId="58047B07" w14:textId="44BA55DE" w:rsidR="001172FF" w:rsidRPr="00935822" w:rsidRDefault="00FC3722" w:rsidP="00915934">
      <w:pPr>
        <w:pStyle w:val="BodyText"/>
      </w:pPr>
      <w:bookmarkStart w:id="76" w:name="_Toc73029726"/>
      <w:bookmarkStart w:id="77" w:name="_Toc73609403"/>
      <w:bookmarkStart w:id="78" w:name="_Toc74133858"/>
      <w:bookmarkStart w:id="79" w:name="_Toc79149630"/>
      <w:r w:rsidRPr="003B5EFF">
        <w:rPr>
          <w:rFonts w:ascii="Arial" w:hAnsi="Arial" w:cs="Arial"/>
        </w:rPr>
        <w:t xml:space="preserve">A disruption or compromise of </w:t>
      </w:r>
      <w:r w:rsidRPr="00901693">
        <w:rPr>
          <w:rFonts w:ascii="Arial" w:hAnsi="Arial" w:cs="Arial"/>
          <w:b/>
        </w:rPr>
        <w:t>water</w:t>
      </w:r>
      <w:r w:rsidRPr="003B5EFF">
        <w:rPr>
          <w:rFonts w:ascii="Arial" w:hAnsi="Arial" w:cs="Arial"/>
        </w:rPr>
        <w:t xml:space="preserve"> supply could have potentially severe consequences for</w:t>
      </w:r>
      <w:r w:rsidRPr="003B5EFF">
        <w:t xml:space="preserve"> health, </w:t>
      </w:r>
      <w:r w:rsidR="001C2C26" w:rsidRPr="003B5EFF">
        <w:t>safety,</w:t>
      </w:r>
      <w:r w:rsidRPr="003B5EFF">
        <w:t xml:space="preserve"> and </w:t>
      </w:r>
      <w:r w:rsidR="00697AE4" w:rsidRPr="003B5EFF">
        <w:t>life itself. For exampl</w:t>
      </w:r>
      <w:r w:rsidR="007B2B58" w:rsidRPr="003B5EFF">
        <w:t>e, in 2020, one of Queensland’s largest water entities, Sunwater (who is responsible for managing 19 dams and approximately 40% of Queensland’s commercial-use water) was the victim of a cyber-attack</w:t>
      </w:r>
      <w:r w:rsidR="00346596">
        <w:t>,</w:t>
      </w:r>
      <w:r w:rsidR="007B2B58" w:rsidRPr="003B5EFF">
        <w:t xml:space="preserve"> which continued for nine months. </w:t>
      </w:r>
      <w:r w:rsidR="00A915A5" w:rsidRPr="003B5EFF">
        <w:t xml:space="preserve">The cyber-attack was conducted by threat </w:t>
      </w:r>
      <w:r w:rsidR="000D1D1E" w:rsidRPr="003B5EFF">
        <w:t>actors with</w:t>
      </w:r>
      <w:r w:rsidR="00346596">
        <w:t xml:space="preserve"> the intention</w:t>
      </w:r>
      <w:r w:rsidR="00E4302C">
        <w:t xml:space="preserve"> </w:t>
      </w:r>
      <w:r w:rsidR="00A915A5" w:rsidRPr="003B5EFF">
        <w:t>to use IT infrastructure to direct bots to increase the amount of view</w:t>
      </w:r>
      <w:r w:rsidR="00B65BE8">
        <w:t>s</w:t>
      </w:r>
      <w:r w:rsidR="00A915A5" w:rsidRPr="003B5EFF">
        <w:t xml:space="preserve"> on a particular YouTube video</w:t>
      </w:r>
      <w:r w:rsidR="00346596">
        <w:t>,</w:t>
      </w:r>
      <w:r w:rsidR="00A915A5" w:rsidRPr="003B5EFF">
        <w:t xml:space="preserve"> for financial gain.</w:t>
      </w:r>
      <w:r w:rsidR="00A915A5">
        <w:rPr>
          <w:rStyle w:val="FootnoteReference"/>
        </w:rPr>
        <w:footnoteRef/>
      </w:r>
      <w:r w:rsidR="00A915A5" w:rsidRPr="003B5EFF">
        <w:t xml:space="preserve"> </w:t>
      </w:r>
      <w:r w:rsidR="009C3CC8">
        <w:t>If</w:t>
      </w:r>
      <w:r w:rsidR="001F6996" w:rsidRPr="003B5EFF">
        <w:t xml:space="preserve"> the threat attackers had more malicious intentions, they had </w:t>
      </w:r>
      <w:r w:rsidR="00935822">
        <w:t xml:space="preserve">the </w:t>
      </w:r>
      <w:r w:rsidR="001F6996" w:rsidRPr="003B5EFF">
        <w:t xml:space="preserve">opportunity to control operational systems, creating potential risks such as contamination of the Sunwater water supply, </w:t>
      </w:r>
      <w:r w:rsidR="00B65BE8">
        <w:t xml:space="preserve">which could have </w:t>
      </w:r>
      <w:r w:rsidR="001F6996" w:rsidRPr="003B5EFF">
        <w:t>expos</w:t>
      </w:r>
      <w:r w:rsidR="00B65BE8">
        <w:t>ed</w:t>
      </w:r>
      <w:r w:rsidR="001F6996" w:rsidRPr="003B5EFF">
        <w:t xml:space="preserve"> thousands to contaminated water caus</w:t>
      </w:r>
      <w:r w:rsidR="00B65BE8">
        <w:t>ing</w:t>
      </w:r>
      <w:r w:rsidR="001F6996" w:rsidRPr="003B5EFF">
        <w:t xml:space="preserve"> sickness, severe illness, or possibly death.</w:t>
      </w:r>
    </w:p>
    <w:p w14:paraId="2F09FD7D" w14:textId="3A2A60C7" w:rsidR="0036316B" w:rsidRPr="006B6B76" w:rsidRDefault="00D875F1" w:rsidP="00915934">
      <w:pPr>
        <w:pStyle w:val="BodyText"/>
        <w:rPr>
          <w:color w:val="000000"/>
        </w:rPr>
      </w:pPr>
      <w:r>
        <w:t xml:space="preserve">Prolonged downtime of key </w:t>
      </w:r>
      <w:r w:rsidRPr="00901693">
        <w:rPr>
          <w:b/>
        </w:rPr>
        <w:t>data storage or processing</w:t>
      </w:r>
      <w:r>
        <w:t xml:space="preserve"> </w:t>
      </w:r>
      <w:r w:rsidR="0051126A">
        <w:t>assets could impact</w:t>
      </w:r>
      <w:r w:rsidR="004E59BB">
        <w:t xml:space="preserve"> business operations across the economy, </w:t>
      </w:r>
      <w:r w:rsidR="00623B98">
        <w:t>reducing business confidence and financial stability</w:t>
      </w:r>
      <w:r w:rsidR="00B01C0E">
        <w:t>. It may also result in sensitive data loss</w:t>
      </w:r>
      <w:r w:rsidR="00E80C6E">
        <w:t>,</w:t>
      </w:r>
      <w:r w:rsidR="00EE4270">
        <w:t xml:space="preserve"> </w:t>
      </w:r>
      <w:r w:rsidR="00B01C0E">
        <w:t>with potential legal ramifications, as well as</w:t>
      </w:r>
      <w:r w:rsidR="003C224E">
        <w:t xml:space="preserve"> the possibility of reputation damage. </w:t>
      </w:r>
      <w:r w:rsidR="004C1597">
        <w:rPr>
          <w:color w:val="000000"/>
        </w:rPr>
        <w:t xml:space="preserve">In November 2021 Frontier Software, one of Australia’s largest software providers of payroll and HR services, was affected by a ransomware attack that left 330 employers without </w:t>
      </w:r>
      <w:r w:rsidR="004C1597">
        <w:rPr>
          <w:color w:val="000000"/>
        </w:rPr>
        <w:lastRenderedPageBreak/>
        <w:t>automated payroll for four days, as the company was forced to take down its server following the encryption</w:t>
      </w:r>
      <w:r w:rsidR="00D210EB">
        <w:rPr>
          <w:color w:val="000000"/>
        </w:rPr>
        <w:t xml:space="preserve"> of its systems.</w:t>
      </w:r>
      <w:r w:rsidR="004C1597">
        <w:rPr>
          <w:color w:val="000000"/>
        </w:rPr>
        <w:t xml:space="preserve"> The ransomware attack</w:t>
      </w:r>
      <w:r w:rsidR="00D210EB">
        <w:rPr>
          <w:color w:val="000000"/>
        </w:rPr>
        <w:t xml:space="preserve"> also</w:t>
      </w:r>
      <w:r w:rsidR="004C1597">
        <w:rPr>
          <w:color w:val="000000"/>
        </w:rPr>
        <w:t xml:space="preserve"> resulted in a data breach affecting at least 38,000 South Australian Government employees, with a number of employee’s personal details being published on the </w:t>
      </w:r>
      <w:r w:rsidR="00346596">
        <w:rPr>
          <w:color w:val="000000"/>
        </w:rPr>
        <w:t>D</w:t>
      </w:r>
      <w:r w:rsidR="004C1597">
        <w:rPr>
          <w:color w:val="000000"/>
        </w:rPr>
        <w:t xml:space="preserve">ark </w:t>
      </w:r>
      <w:r w:rsidR="00346596">
        <w:rPr>
          <w:color w:val="000000"/>
        </w:rPr>
        <w:t>W</w:t>
      </w:r>
      <w:r w:rsidR="004C1597">
        <w:rPr>
          <w:color w:val="000000"/>
        </w:rPr>
        <w:t>eb.</w:t>
      </w:r>
      <w:r w:rsidR="004C1597">
        <w:rPr>
          <w:rStyle w:val="FootnoteReference"/>
          <w:rFonts w:ascii="Arial" w:eastAsia="Calibri" w:hAnsi="Arial" w:cs="Arial"/>
          <w:color w:val="000000"/>
        </w:rPr>
        <w:footnoteReference w:id="11"/>
      </w:r>
      <w:r w:rsidR="004C1597">
        <w:rPr>
          <w:color w:val="000000"/>
        </w:rPr>
        <w:t xml:space="preserve"> </w:t>
      </w:r>
    </w:p>
    <w:p w14:paraId="2D4E7EC6" w14:textId="3B7CECE8" w:rsidR="00404CAF" w:rsidRPr="008301DB" w:rsidRDefault="006B6B76" w:rsidP="00915934">
      <w:pPr>
        <w:pStyle w:val="BodyText"/>
      </w:pPr>
      <w:r>
        <w:t>Further information on these</w:t>
      </w:r>
      <w:r w:rsidR="006C2646">
        <w:t>,</w:t>
      </w:r>
      <w:r>
        <w:t xml:space="preserve"> and </w:t>
      </w:r>
      <w:r w:rsidR="00523815">
        <w:t>other</w:t>
      </w:r>
      <w:r w:rsidR="006C2646">
        <w:t>,</w:t>
      </w:r>
      <w:r w:rsidR="00523815">
        <w:t xml:space="preserve"> </w:t>
      </w:r>
      <w:r w:rsidR="005508C1">
        <w:t xml:space="preserve">examples of the impacts of disruption to each relevant critical infrastructure asset are contained in </w:t>
      </w:r>
      <w:r w:rsidR="00E849F6" w:rsidRPr="00E849F6">
        <w:rPr>
          <w:szCs w:val="24"/>
        </w:rPr>
        <w:t xml:space="preserve">Appendices </w:t>
      </w:r>
      <w:r w:rsidR="00D57A98">
        <w:rPr>
          <w:szCs w:val="24"/>
        </w:rPr>
        <w:t xml:space="preserve">G – </w:t>
      </w:r>
      <w:r w:rsidR="00E97AD8">
        <w:rPr>
          <w:szCs w:val="24"/>
        </w:rPr>
        <w:t>R</w:t>
      </w:r>
      <w:r w:rsidR="00554579">
        <w:rPr>
          <w:szCs w:val="24"/>
        </w:rPr>
        <w:t>.</w:t>
      </w:r>
    </w:p>
    <w:p w14:paraId="37624E04" w14:textId="34F3AA66" w:rsidR="00374A1D" w:rsidRPr="00374A1D" w:rsidRDefault="00374A1D" w:rsidP="004C0EFC">
      <w:pPr>
        <w:pStyle w:val="Heading2numbered"/>
      </w:pPr>
      <w:bookmarkStart w:id="80" w:name="_Toc121397387"/>
      <w:r w:rsidRPr="00374A1D">
        <w:t xml:space="preserve">Increasing threats, </w:t>
      </w:r>
      <w:r w:rsidR="001C2C26" w:rsidRPr="00374A1D">
        <w:t>connectivity,</w:t>
      </w:r>
      <w:r w:rsidRPr="00374A1D">
        <w:t xml:space="preserve"> and complexity of critical infrastructure</w:t>
      </w:r>
      <w:bookmarkEnd w:id="76"/>
      <w:bookmarkEnd w:id="77"/>
      <w:bookmarkEnd w:id="78"/>
      <w:bookmarkEnd w:id="79"/>
      <w:bookmarkEnd w:id="80"/>
    </w:p>
    <w:p w14:paraId="5157D25C" w14:textId="0E4C2E14" w:rsidR="00374A1D" w:rsidRPr="00374A1D" w:rsidRDefault="00374A1D" w:rsidP="00915934">
      <w:pPr>
        <w:pStyle w:val="BodyText"/>
      </w:pPr>
      <w:r w:rsidRPr="00374A1D">
        <w:t>Threats to Australia’s critical infrastructure are increasing in frequency and complexity. For example, there has been a notable increase in the realisation of cyber security risks across Australia. In the 2019 – 2020 reporting period, the Australian Cyber Security Centre (ACSC), responded to 2,266 cyber security incidents.</w:t>
      </w:r>
      <w:r w:rsidRPr="00374A1D">
        <w:rPr>
          <w:vertAlign w:val="superscript"/>
        </w:rPr>
        <w:footnoteReference w:id="12"/>
      </w:r>
      <w:r w:rsidRPr="00374A1D">
        <w:t xml:space="preserve"> Of these, 36.5% were categorised as moderate incidents (involving scanning, reconnaissance, or low-level malicious attacks on Federal, State or Territory Governments, large organisations or supply chains), while 33.3% were considered substantial incidents (involving low-level malicious attacks, malware, exfiltration or deletion of sensitive data, or sustained disruption of essential systems for Federal, State or Territory Governments, large organisations, supply chains or essential services).</w:t>
      </w:r>
      <w:r w:rsidRPr="00374A1D">
        <w:rPr>
          <w:vertAlign w:val="superscript"/>
        </w:rPr>
        <w:footnoteReference w:id="13"/>
      </w:r>
      <w:r w:rsidRPr="00374A1D">
        <w:t xml:space="preserve"> The 2019 – 2020 reporting period demonstrates a significant increase on the 671 cyber security incidents which warranted a response by the ACSC in the 2016 – 2017 reporting period.</w:t>
      </w:r>
      <w:r w:rsidRPr="00374A1D">
        <w:rPr>
          <w:vertAlign w:val="superscript"/>
        </w:rPr>
        <w:footnoteReference w:id="14"/>
      </w:r>
      <w:r w:rsidRPr="00374A1D">
        <w:t xml:space="preserve"> The ACSC also noted in the report</w:t>
      </w:r>
      <w:r w:rsidR="00E97AD8">
        <w:t>,</w:t>
      </w:r>
      <w:r w:rsidRPr="00374A1D">
        <w:t xml:space="preserve"> </w:t>
      </w:r>
      <w:r w:rsidR="00587E96">
        <w:t>‘</w:t>
      </w:r>
      <w:r w:rsidRPr="00374A1D">
        <w:t>Australia’s Cyber Security Strategy 2020</w:t>
      </w:r>
      <w:r w:rsidR="00587E96">
        <w:t>’</w:t>
      </w:r>
      <w:r w:rsidR="008E33A8">
        <w:t>,</w:t>
      </w:r>
      <w:r w:rsidRPr="00374A1D">
        <w:t xml:space="preserve"> that critical infrastructure providers were the victims of around 35</w:t>
      </w:r>
      <w:r w:rsidR="00587E96">
        <w:t>%</w:t>
      </w:r>
      <w:r w:rsidRPr="00374A1D">
        <w:t xml:space="preserve"> of reported cyber incidents perpetrated by malicious actors in the year </w:t>
      </w:r>
      <w:r w:rsidR="008E33A8">
        <w:t>until</w:t>
      </w:r>
      <w:r w:rsidRPr="00374A1D">
        <w:t xml:space="preserve"> 30</w:t>
      </w:r>
      <w:r w:rsidR="00587E96">
        <w:t> </w:t>
      </w:r>
      <w:r w:rsidRPr="00374A1D">
        <w:t xml:space="preserve">June 2020. During the COVID-19 pandemic, the ACSC observed an increase in phishing campaigns and COVID-19 themed malicious cyber activity. On 19 June 2020, the </w:t>
      </w:r>
      <w:r w:rsidR="0002521C">
        <w:t xml:space="preserve">former </w:t>
      </w:r>
      <w:r w:rsidRPr="00374A1D">
        <w:t xml:space="preserve">Prime Minister, </w:t>
      </w:r>
      <w:r w:rsidR="0002521C">
        <w:t xml:space="preserve">the former </w:t>
      </w:r>
      <w:r w:rsidRPr="00374A1D">
        <w:t xml:space="preserve">Minister for Home Affairs and </w:t>
      </w:r>
      <w:r w:rsidR="0002521C">
        <w:t xml:space="preserve">the former </w:t>
      </w:r>
      <w:r w:rsidRPr="00374A1D">
        <w:t xml:space="preserve">Minister for Defence released a statement that Australian organisations across a range of sectors, including </w:t>
      </w:r>
      <w:r w:rsidR="002977D5">
        <w:t xml:space="preserve">essential service providers and </w:t>
      </w:r>
      <w:r w:rsidRPr="00374A1D">
        <w:t>operators of critical infrastructure, were being targeted by a sophisticated state-based cyber actor. The statement acknowledged that the malicious activity was not new, but the frequency was increasing.</w:t>
      </w:r>
      <w:r w:rsidR="00E15824">
        <w:rPr>
          <w:rStyle w:val="FootnoteReference"/>
          <w:rFonts w:ascii="Arial" w:eastAsia="Calibri" w:hAnsi="Arial" w:cs="Arial"/>
        </w:rPr>
        <w:footnoteReference w:id="15"/>
      </w:r>
    </w:p>
    <w:p w14:paraId="312DE445" w14:textId="77777777" w:rsidR="00374A1D" w:rsidRPr="00374A1D" w:rsidRDefault="00374A1D" w:rsidP="00F72504">
      <w:pPr>
        <w:pStyle w:val="BodyText"/>
      </w:pPr>
      <w:r w:rsidRPr="00374A1D">
        <w:rPr>
          <w:lang w:val="en"/>
        </w:rPr>
        <w:t xml:space="preserve">Since the 2017 WannaCry ransomware campaign, which affected some 230,000 individuals and over 300,000 computer systems in 150 countries, the </w:t>
      </w:r>
      <w:r w:rsidRPr="00901693">
        <w:rPr>
          <w:lang w:val="en"/>
        </w:rPr>
        <w:t>ACSC</w:t>
      </w:r>
      <w:r w:rsidRPr="00374A1D">
        <w:rPr>
          <w:lang w:val="en"/>
        </w:rPr>
        <w:t xml:space="preserve"> reported an increase in the number of ransomware incidents against Australian organisations.</w:t>
      </w:r>
      <w:r w:rsidRPr="00374A1D">
        <w:rPr>
          <w:vertAlign w:val="superscript"/>
          <w:lang w:val="en"/>
        </w:rPr>
        <w:footnoteReference w:id="16"/>
      </w:r>
      <w:r w:rsidRPr="00374A1D">
        <w:t xml:space="preserve"> </w:t>
      </w:r>
    </w:p>
    <w:p w14:paraId="489B0488" w14:textId="525DB9C9" w:rsidR="00374A1D" w:rsidRPr="00374A1D" w:rsidRDefault="00374A1D" w:rsidP="00F72504">
      <w:pPr>
        <w:pStyle w:val="BodyText"/>
      </w:pPr>
      <w:r w:rsidRPr="00374A1D">
        <w:t xml:space="preserve">Similarly, the Australian Security Intelligence Organisation’s (ASIO) </w:t>
      </w:r>
      <w:r w:rsidRPr="009739FE">
        <w:rPr>
          <w:i/>
        </w:rPr>
        <w:t>2018-19 Annual Report</w:t>
      </w:r>
      <w:r w:rsidRPr="00374A1D">
        <w:t xml:space="preserve"> identified that Australia continues to be a prominent target for espionage and foreign interference. The report states:</w:t>
      </w:r>
    </w:p>
    <w:p w14:paraId="7E09AA99" w14:textId="77777777" w:rsidR="00374A1D" w:rsidRPr="00374A1D" w:rsidRDefault="00374A1D" w:rsidP="00F72504">
      <w:pPr>
        <w:pStyle w:val="Quote"/>
      </w:pPr>
      <w:r w:rsidRPr="00374A1D">
        <w:t>‘…foreign intelligence services seek to exploit Australia’s businesses for intelligence purposes…[and] [t]hat threat will persist across critical infrastructure, industries that hold large amounts of personal data, and emerging sectors with unique intellectual property that could provide an economic or strategic edge’.</w:t>
      </w:r>
      <w:r w:rsidRPr="00374A1D">
        <w:rPr>
          <w:vertAlign w:val="superscript"/>
        </w:rPr>
        <w:footnoteReference w:id="17"/>
      </w:r>
    </w:p>
    <w:p w14:paraId="279D92C8" w14:textId="1A3C635F" w:rsidR="004256B9" w:rsidRDefault="003B3DB0" w:rsidP="00F72504">
      <w:pPr>
        <w:pStyle w:val="BodyText"/>
      </w:pPr>
      <w:r>
        <w:t xml:space="preserve">These concerns persist in the ASIO </w:t>
      </w:r>
      <w:r w:rsidR="00AB62B6">
        <w:rPr>
          <w:i/>
          <w:iCs/>
        </w:rPr>
        <w:t>2020-21 Annual Report</w:t>
      </w:r>
      <w:r>
        <w:t>, which states:</w:t>
      </w:r>
    </w:p>
    <w:p w14:paraId="0351E3B0" w14:textId="5A1A9B69" w:rsidR="003B3DB0" w:rsidRPr="009739FE" w:rsidRDefault="003B3DB0" w:rsidP="00F72504">
      <w:pPr>
        <w:pStyle w:val="Quote"/>
      </w:pPr>
      <w:r w:rsidRPr="009739FE">
        <w:lastRenderedPageBreak/>
        <w:t>‘Foreign powers and their proxies, including intelligence services, continue to steal proprietary, sensitive and commercially valuable Australian information</w:t>
      </w:r>
      <w:r w:rsidR="00AB62B6" w:rsidRPr="009739FE">
        <w:t xml:space="preserve"> …. The increasingly interconnected nature of Australia’s critical infrastructure exposes vulnerabilities which, if targeted, could result in significant consequences for our economy, security and sovereignty.</w:t>
      </w:r>
      <w:r w:rsidR="00AB62B6" w:rsidRPr="006F2733">
        <w:t>’</w:t>
      </w:r>
      <w:r w:rsidR="00AB62B6" w:rsidRPr="008D6309">
        <w:rPr>
          <w:rStyle w:val="FootnoteReference"/>
          <w:i w:val="0"/>
          <w:iCs w:val="0"/>
        </w:rPr>
        <w:footnoteReference w:id="18"/>
      </w:r>
    </w:p>
    <w:p w14:paraId="53E29D93" w14:textId="6597E4E9" w:rsidR="00374A1D" w:rsidRPr="00374A1D" w:rsidRDefault="00374A1D" w:rsidP="00374A1D">
      <w:pPr>
        <w:autoSpaceDE w:val="0"/>
        <w:autoSpaceDN w:val="0"/>
        <w:adjustRightInd w:val="0"/>
        <w:spacing w:after="160"/>
        <w:rPr>
          <w:rFonts w:ascii="Arial" w:eastAsia="Calibri" w:hAnsi="Arial" w:cs="Arial"/>
          <w:color w:val="000000"/>
          <w:sz w:val="22"/>
        </w:rPr>
      </w:pPr>
      <w:r w:rsidRPr="00374A1D">
        <w:rPr>
          <w:rFonts w:ascii="Arial" w:eastAsia="Calibri" w:hAnsi="Arial" w:cs="Arial"/>
          <w:color w:val="000000"/>
          <w:sz w:val="22"/>
        </w:rPr>
        <w:t>More</w:t>
      </w:r>
      <w:r w:rsidR="00AB62B6">
        <w:rPr>
          <w:rFonts w:ascii="Arial" w:eastAsia="Calibri" w:hAnsi="Arial" w:cs="Arial"/>
          <w:color w:val="000000"/>
          <w:sz w:val="22"/>
        </w:rPr>
        <w:t xml:space="preserve">over, in 2021 </w:t>
      </w:r>
      <w:r w:rsidRPr="00374A1D">
        <w:rPr>
          <w:rFonts w:ascii="Arial" w:eastAsia="Calibri" w:hAnsi="Arial" w:cs="Arial"/>
          <w:color w:val="000000"/>
          <w:sz w:val="22"/>
        </w:rPr>
        <w:t>a newspaper article quoted Senator James Paterson, the</w:t>
      </w:r>
      <w:r w:rsidR="00A633A1">
        <w:rPr>
          <w:rFonts w:ascii="Arial" w:eastAsia="Calibri" w:hAnsi="Arial" w:cs="Arial"/>
          <w:color w:val="000000"/>
          <w:sz w:val="22"/>
        </w:rPr>
        <w:t xml:space="preserve"> then</w:t>
      </w:r>
      <w:r w:rsidRPr="00374A1D">
        <w:rPr>
          <w:rFonts w:ascii="Arial" w:eastAsia="Calibri" w:hAnsi="Arial" w:cs="Arial"/>
          <w:color w:val="000000"/>
          <w:sz w:val="22"/>
        </w:rPr>
        <w:t xml:space="preserve"> chair of the </w:t>
      </w:r>
      <w:r w:rsidR="00933257">
        <w:rPr>
          <w:rFonts w:ascii="Arial" w:eastAsia="Calibri" w:hAnsi="Arial" w:cs="Arial"/>
          <w:color w:val="000000"/>
          <w:sz w:val="22"/>
        </w:rPr>
        <w:t xml:space="preserve">Joint </w:t>
      </w:r>
      <w:r w:rsidR="00587E96">
        <w:rPr>
          <w:rFonts w:ascii="Arial" w:eastAsia="Calibri" w:hAnsi="Arial" w:cs="Arial"/>
          <w:color w:val="000000"/>
          <w:sz w:val="22"/>
        </w:rPr>
        <w:t>PJ</w:t>
      </w:r>
      <w:r w:rsidR="008B269A">
        <w:rPr>
          <w:rFonts w:ascii="Arial" w:eastAsia="Calibri" w:hAnsi="Arial" w:cs="Arial"/>
          <w:color w:val="000000"/>
          <w:sz w:val="22"/>
        </w:rPr>
        <w:t>C</w:t>
      </w:r>
      <w:r w:rsidR="00587E96">
        <w:rPr>
          <w:rFonts w:ascii="Arial" w:eastAsia="Calibri" w:hAnsi="Arial" w:cs="Arial"/>
          <w:color w:val="000000"/>
          <w:sz w:val="22"/>
        </w:rPr>
        <w:t>IS</w:t>
      </w:r>
      <w:r w:rsidRPr="00374A1D">
        <w:rPr>
          <w:rFonts w:ascii="Arial" w:eastAsia="Calibri" w:hAnsi="Arial" w:cs="Arial"/>
          <w:color w:val="000000"/>
          <w:sz w:val="22"/>
        </w:rPr>
        <w:t xml:space="preserve"> which undert</w:t>
      </w:r>
      <w:r w:rsidR="008959E3">
        <w:rPr>
          <w:rFonts w:ascii="Arial" w:eastAsia="Calibri" w:hAnsi="Arial" w:cs="Arial"/>
          <w:color w:val="000000"/>
          <w:sz w:val="22"/>
        </w:rPr>
        <w:t>ook</w:t>
      </w:r>
      <w:r w:rsidRPr="00374A1D">
        <w:rPr>
          <w:rFonts w:ascii="Arial" w:eastAsia="Calibri" w:hAnsi="Arial" w:cs="Arial"/>
          <w:color w:val="000000"/>
          <w:sz w:val="22"/>
        </w:rPr>
        <w:t xml:space="preserve"> </w:t>
      </w:r>
      <w:r w:rsidR="00935693">
        <w:rPr>
          <w:rFonts w:ascii="Arial" w:eastAsia="Calibri" w:hAnsi="Arial" w:cs="Arial"/>
          <w:color w:val="000000"/>
          <w:sz w:val="22"/>
        </w:rPr>
        <w:t>the</w:t>
      </w:r>
      <w:r w:rsidRPr="00374A1D">
        <w:rPr>
          <w:rFonts w:ascii="Arial" w:eastAsia="Calibri" w:hAnsi="Arial" w:cs="Arial"/>
          <w:color w:val="000000"/>
          <w:sz w:val="22"/>
        </w:rPr>
        <w:t xml:space="preserve"> review into </w:t>
      </w:r>
      <w:r w:rsidR="008E33A8">
        <w:rPr>
          <w:rFonts w:ascii="Arial" w:eastAsia="Calibri" w:hAnsi="Arial" w:cs="Arial"/>
          <w:color w:val="000000"/>
          <w:sz w:val="22"/>
        </w:rPr>
        <w:t>the</w:t>
      </w:r>
      <w:r w:rsidRPr="00374A1D">
        <w:rPr>
          <w:rFonts w:ascii="Arial" w:eastAsia="Calibri" w:hAnsi="Arial" w:cs="Arial"/>
          <w:color w:val="000000"/>
          <w:sz w:val="22"/>
        </w:rPr>
        <w:t xml:space="preserve"> </w:t>
      </w:r>
      <w:r w:rsidR="008959E3">
        <w:rPr>
          <w:rFonts w:ascii="Arial" w:eastAsia="Calibri" w:hAnsi="Arial" w:cs="Arial"/>
          <w:color w:val="000000"/>
          <w:sz w:val="22"/>
        </w:rPr>
        <w:t>SLACI</w:t>
      </w:r>
      <w:r w:rsidR="00031251">
        <w:rPr>
          <w:rFonts w:ascii="Arial" w:eastAsia="Calibri" w:hAnsi="Arial" w:cs="Arial"/>
          <w:color w:val="000000"/>
          <w:sz w:val="22"/>
        </w:rPr>
        <w:t xml:space="preserve"> Bill</w:t>
      </w:r>
      <w:r w:rsidR="00A633A1">
        <w:rPr>
          <w:rFonts w:ascii="Arial" w:eastAsia="Calibri" w:hAnsi="Arial" w:cs="Arial"/>
          <w:color w:val="000000"/>
          <w:sz w:val="22"/>
        </w:rPr>
        <w:t xml:space="preserve"> (and the SLACIP Bill in March 2022)</w:t>
      </w:r>
      <w:r w:rsidRPr="00374A1D">
        <w:rPr>
          <w:rFonts w:ascii="Arial" w:eastAsia="Calibri" w:hAnsi="Arial" w:cs="Arial"/>
          <w:color w:val="000000"/>
          <w:sz w:val="22"/>
        </w:rPr>
        <w:t>, saying that ‘</w:t>
      </w:r>
      <w:r w:rsidRPr="00374A1D">
        <w:rPr>
          <w:rFonts w:ascii="Arial" w:eastAsia="Calibri" w:hAnsi="Arial" w:cs="Arial"/>
          <w:i/>
          <w:color w:val="000000"/>
          <w:sz w:val="22"/>
        </w:rPr>
        <w:t>independent experts before the committee say they believe it is likely there is already a dormant presence on some of those critical networks of a foreign state that could be activated in the event of a regional conflict or crisis.</w:t>
      </w:r>
      <w:r w:rsidRPr="00374A1D">
        <w:rPr>
          <w:rFonts w:ascii="Arial" w:eastAsia="Calibri" w:hAnsi="Arial" w:cs="Arial"/>
          <w:color w:val="000000"/>
          <w:sz w:val="22"/>
        </w:rPr>
        <w:t>’</w:t>
      </w:r>
      <w:r w:rsidRPr="00374A1D">
        <w:rPr>
          <w:rFonts w:ascii="Arial" w:eastAsia="Calibri" w:hAnsi="Arial" w:cs="Arial"/>
          <w:color w:val="000000"/>
          <w:sz w:val="22"/>
          <w:vertAlign w:val="superscript"/>
        </w:rPr>
        <w:footnoteReference w:id="19"/>
      </w:r>
      <w:r w:rsidR="008959E3">
        <w:rPr>
          <w:rFonts w:ascii="Arial" w:eastAsia="Calibri" w:hAnsi="Arial" w:cs="Arial"/>
          <w:color w:val="000000"/>
          <w:sz w:val="22"/>
        </w:rPr>
        <w:t xml:space="preserve"> </w:t>
      </w:r>
    </w:p>
    <w:p w14:paraId="37C4031E" w14:textId="77777777" w:rsidR="00374A1D" w:rsidRPr="00374A1D" w:rsidRDefault="00374A1D" w:rsidP="00F72504">
      <w:pPr>
        <w:pStyle w:val="BodyText"/>
      </w:pPr>
      <w:r w:rsidRPr="00374A1D">
        <w:t>While, in some cases, initiatives such as the Notifiable Data Breaches Scheme (NDBS) managed by the Office of the Australian Information Commissioner (OAIC) compel captured organisations and agencies to report unauthorised access to or disclosure of personal data, limited compulsions exist in Australia for cyber security incidents. Agencies in the United States and United Kingdom estimate a gap in the millions</w:t>
      </w:r>
      <w:r w:rsidR="00254292">
        <w:t>,</w:t>
      </w:r>
      <w:r w:rsidRPr="00374A1D">
        <w:t xml:space="preserve"> between the number of reported cyber security incidents and the number of incidents which actually occur and go unreported.</w:t>
      </w:r>
      <w:r w:rsidRPr="00374A1D">
        <w:rPr>
          <w:vertAlign w:val="superscript"/>
        </w:rPr>
        <w:footnoteReference w:id="20"/>
      </w:r>
    </w:p>
    <w:p w14:paraId="75B87342" w14:textId="77777777" w:rsidR="00374A1D" w:rsidRPr="00374A1D" w:rsidRDefault="00374A1D" w:rsidP="00F72504">
      <w:pPr>
        <w:pStyle w:val="BodyText"/>
        <w:rPr>
          <w:b/>
          <w:bCs/>
          <w:i/>
          <w:iCs/>
        </w:rPr>
      </w:pPr>
      <w:r w:rsidRPr="00374A1D">
        <w:t xml:space="preserve">In addition to the malicious activity perpetrated in the cyber domain, the COVID-19 pandemic revealed the need for an increase in resilience in the supply chains of critical infrastructure. The COVID-19 pandemic </w:t>
      </w:r>
      <w:r w:rsidR="00933257">
        <w:t xml:space="preserve">has </w:t>
      </w:r>
      <w:r w:rsidRPr="00374A1D">
        <w:t>highlighted Australia’s reliance on particular parts of the world for essential goods and services</w:t>
      </w:r>
      <w:r w:rsidR="00933257">
        <w:t>,</w:t>
      </w:r>
      <w:r w:rsidRPr="00374A1D">
        <w:t xml:space="preserve"> and </w:t>
      </w:r>
      <w:r w:rsidR="00933257">
        <w:t>has</w:t>
      </w:r>
      <w:r w:rsidRPr="00374A1D">
        <w:t xml:space="preserve"> increased awareness of</w:t>
      </w:r>
      <w:r w:rsidR="00935693">
        <w:t>,</w:t>
      </w:r>
      <w:r w:rsidRPr="00374A1D">
        <w:t xml:space="preserve"> and sensitivity to</w:t>
      </w:r>
      <w:r w:rsidR="00935693">
        <w:t>,</w:t>
      </w:r>
      <w:r w:rsidRPr="00374A1D">
        <w:t xml:space="preserve"> supply chain risks. Fear of shortages led to panic buying and concerns as to how reliance on imports can jeopardise a country’s ability to meet their populations’ needs. Likewise</w:t>
      </w:r>
      <w:r w:rsidR="003071AE">
        <w:t>,</w:t>
      </w:r>
      <w:r w:rsidRPr="00374A1D">
        <w:t xml:space="preserve"> global economic adjustments, including decreasing resource prices and the exchange value of Australia’s currency, increase the cost-competitiveness of Australian manufacturing and heighten the need to adequately protect domestic capabilities.</w:t>
      </w:r>
      <w:r w:rsidRPr="00374A1D">
        <w:rPr>
          <w:vertAlign w:val="superscript"/>
        </w:rPr>
        <w:footnoteReference w:id="21"/>
      </w:r>
    </w:p>
    <w:p w14:paraId="402A9141" w14:textId="6D99C7B7" w:rsidR="00374A1D" w:rsidRPr="00374A1D" w:rsidRDefault="00374A1D" w:rsidP="00374A1D">
      <w:pPr>
        <w:autoSpaceDE w:val="0"/>
        <w:autoSpaceDN w:val="0"/>
        <w:adjustRightInd w:val="0"/>
        <w:spacing w:after="160"/>
        <w:rPr>
          <w:rFonts w:ascii="Arial" w:eastAsia="Calibri" w:hAnsi="Arial" w:cs="Arial"/>
          <w:color w:val="000000"/>
          <w:sz w:val="22"/>
        </w:rPr>
      </w:pPr>
      <w:r w:rsidRPr="00374A1D">
        <w:rPr>
          <w:rFonts w:ascii="Arial" w:eastAsia="Calibri" w:hAnsi="Arial" w:cs="Arial"/>
          <w:color w:val="000000"/>
          <w:sz w:val="22"/>
        </w:rPr>
        <w:t>The Commonwealth Scientific and Industrial Research Organisation (CSIRO) recognises that not only do climate and natural disaster events have ‘shattering impacts across the nation’, the risk of these events occurring in a convergent, consecutive and compounding manner is increasing.</w:t>
      </w:r>
      <w:r w:rsidRPr="00374A1D">
        <w:rPr>
          <w:rFonts w:ascii="Arial" w:eastAsia="Calibri" w:hAnsi="Arial" w:cs="Arial"/>
          <w:color w:val="000000"/>
          <w:sz w:val="22"/>
          <w:vertAlign w:val="superscript"/>
        </w:rPr>
        <w:footnoteReference w:id="22"/>
      </w:r>
      <w:r w:rsidRPr="00374A1D">
        <w:rPr>
          <w:rFonts w:ascii="Arial" w:eastAsia="Calibri" w:hAnsi="Arial" w:cs="Arial"/>
          <w:color w:val="000000"/>
          <w:sz w:val="22"/>
        </w:rPr>
        <w:t xml:space="preserve"> Likewise, the </w:t>
      </w:r>
      <w:r w:rsidRPr="00374A1D">
        <w:rPr>
          <w:rFonts w:ascii="Arial" w:eastAsia="Calibri" w:hAnsi="Arial" w:cs="Arial"/>
          <w:sz w:val="22"/>
        </w:rPr>
        <w:t>Ecological Threat Register provides that</w:t>
      </w:r>
      <w:r w:rsidR="00935693">
        <w:rPr>
          <w:rFonts w:ascii="Arial" w:eastAsia="Calibri" w:hAnsi="Arial" w:cs="Arial"/>
          <w:sz w:val="22"/>
        </w:rPr>
        <w:t>,</w:t>
      </w:r>
      <w:r w:rsidRPr="00374A1D">
        <w:rPr>
          <w:rFonts w:ascii="Arial" w:eastAsia="Calibri" w:hAnsi="Arial" w:cs="Arial"/>
          <w:sz w:val="22"/>
        </w:rPr>
        <w:t xml:space="preserve"> worldwide, there has been a tenfold increase in the number of natural disasters since the 1960s. 39 incidents were recorded in 1960, compared with 396 in 2019.</w:t>
      </w:r>
      <w:r w:rsidRPr="00374A1D">
        <w:rPr>
          <w:rFonts w:ascii="Arial" w:eastAsia="Calibri" w:hAnsi="Arial" w:cs="Arial"/>
          <w:sz w:val="22"/>
          <w:vertAlign w:val="superscript"/>
        </w:rPr>
        <w:footnoteReference w:id="23"/>
      </w:r>
      <w:r w:rsidRPr="00374A1D">
        <w:rPr>
          <w:rFonts w:ascii="Arial" w:eastAsia="Calibri" w:hAnsi="Arial" w:cs="Arial"/>
          <w:sz w:val="22"/>
        </w:rPr>
        <w:t xml:space="preserve"> </w:t>
      </w:r>
      <w:r w:rsidRPr="00374A1D">
        <w:rPr>
          <w:rFonts w:ascii="Arial" w:eastAsia="Calibri" w:hAnsi="Arial" w:cs="Arial"/>
          <w:color w:val="000000"/>
          <w:sz w:val="22"/>
        </w:rPr>
        <w:t>The CSIRO also acknowledges that existing emergency and disaster management practices are insufficient for addressing this growing risk:</w:t>
      </w:r>
    </w:p>
    <w:p w14:paraId="3C134234" w14:textId="77777777" w:rsidR="00374A1D" w:rsidRPr="00D15B69" w:rsidRDefault="00374A1D" w:rsidP="00F72504">
      <w:pPr>
        <w:pStyle w:val="Quote"/>
      </w:pPr>
      <w:r w:rsidRPr="00374A1D">
        <w:t>“…Not approaching and addressing the weakest link causes people to get hurt. Properties are lost, infrastructure fails, and the environment is decimated…the best areas to focus on to improve disaster resilience and preparation are planning, prevention of impact, relief and long-term recovery [through] better integration and coordination.”</w:t>
      </w:r>
      <w:r w:rsidRPr="00374A1D">
        <w:rPr>
          <w:vertAlign w:val="superscript"/>
        </w:rPr>
        <w:footnoteReference w:id="24"/>
      </w:r>
    </w:p>
    <w:p w14:paraId="49DFABB1" w14:textId="0482B916" w:rsidR="00374A1D" w:rsidRPr="00374A1D" w:rsidRDefault="00374A1D" w:rsidP="00F72504">
      <w:pPr>
        <w:pStyle w:val="BodyText"/>
      </w:pPr>
      <w:r w:rsidRPr="00374A1D">
        <w:t>Owners and operators of critical infrastructure, whether public or private, exist in a market environment characterised by growing interconnectivity and heightened reliance on technology. While such connectivity</w:t>
      </w:r>
      <w:r w:rsidR="001535E6">
        <w:t xml:space="preserve"> through</w:t>
      </w:r>
      <w:r w:rsidRPr="00374A1D" w:rsidDel="001535E6">
        <w:t xml:space="preserve"> </w:t>
      </w:r>
      <w:r w:rsidRPr="00374A1D">
        <w:t>technology offer</w:t>
      </w:r>
      <w:r w:rsidR="001535E6">
        <w:t>s</w:t>
      </w:r>
      <w:r w:rsidRPr="00374A1D">
        <w:t xml:space="preserve"> efficiency and tangible economic benefits, i</w:t>
      </w:r>
      <w:r w:rsidR="001535E6">
        <w:t xml:space="preserve">t </w:t>
      </w:r>
      <w:r w:rsidRPr="00374A1D">
        <w:t xml:space="preserve">can present new vulnerabilities </w:t>
      </w:r>
      <w:r w:rsidR="005E1216">
        <w:t xml:space="preserve">particularly </w:t>
      </w:r>
      <w:r w:rsidRPr="00374A1D">
        <w:t>when combined with an evolving, all hazard threat environment. Where vulnerabilities are exposed and threats are realised, the supply of essential services across Australia</w:t>
      </w:r>
      <w:r w:rsidR="005601B3">
        <w:t xml:space="preserve"> </w:t>
      </w:r>
      <w:r w:rsidRPr="00374A1D">
        <w:t xml:space="preserve">can be significantly compromised. </w:t>
      </w:r>
      <w:r w:rsidR="00563BC5">
        <w:t>Since</w:t>
      </w:r>
      <w:r w:rsidRPr="00374A1D">
        <w:t xml:space="preserve"> 2020, globally</w:t>
      </w:r>
      <w:r w:rsidR="00935693">
        <w:t>,</w:t>
      </w:r>
      <w:r w:rsidRPr="00374A1D">
        <w:t xml:space="preserve"> the COVID-19 pandemic demonstrated the rapid and widespread consequences of unanticipated disruptions, </w:t>
      </w:r>
      <w:r w:rsidRPr="00374A1D">
        <w:lastRenderedPageBreak/>
        <w:t xml:space="preserve">resulting in substantial security, social and economic implications. In Australia, delays in the delivery and distribution of a range of essential goods and services, as a result of supply chain and personnel disruption, resulted in significantly diminished product availability. </w:t>
      </w:r>
    </w:p>
    <w:p w14:paraId="24CA873C" w14:textId="77777777" w:rsidR="00374A1D" w:rsidRPr="00374A1D" w:rsidRDefault="00374A1D" w:rsidP="00F72504">
      <w:pPr>
        <w:pStyle w:val="BodyText"/>
      </w:pPr>
      <w:r w:rsidRPr="00374A1D">
        <w:t xml:space="preserve">While it is imperative that </w:t>
      </w:r>
      <w:r w:rsidR="008056F4">
        <w:t>critical infrastructure assets</w:t>
      </w:r>
      <w:r w:rsidRPr="00374A1D">
        <w:t xml:space="preserve"> are appropriately secure, a sector is only as strong as its weakest link. It is not sufficient that a single asset has secure practices in place for all hazards threat protection. This is because a disruption to the operability of a </w:t>
      </w:r>
      <w:r w:rsidR="002E5BB5">
        <w:t xml:space="preserve">critical infrastructure asset </w:t>
      </w:r>
      <w:r w:rsidRPr="00531F25">
        <w:t xml:space="preserve">may impose significant implications on other </w:t>
      </w:r>
      <w:r w:rsidR="008056F4">
        <w:t>critical infrastructure assets</w:t>
      </w:r>
      <w:r w:rsidR="002E5BB5">
        <w:t xml:space="preserve"> in the same sector</w:t>
      </w:r>
      <w:r w:rsidRPr="00374A1D">
        <w:t>, as well as for other critical infrastructure assets across other</w:t>
      </w:r>
      <w:r w:rsidR="002E5BB5">
        <w:t>, interconnected</w:t>
      </w:r>
      <w:r w:rsidRPr="00374A1D">
        <w:t xml:space="preserve"> sectors. </w:t>
      </w:r>
    </w:p>
    <w:p w14:paraId="4E40A055" w14:textId="6BBC6FC4" w:rsidR="007172A3" w:rsidRDefault="00877037" w:rsidP="00F72504">
      <w:pPr>
        <w:pStyle w:val="BodyText"/>
      </w:pPr>
      <w:r>
        <w:t>P</w:t>
      </w:r>
      <w:r w:rsidR="00374A1D" w:rsidRPr="00374A1D">
        <w:t>ast incidents, in both Australia and overseas, demonstrate the potentially severe, cascading consequences of prolonged disruption in any critical infrastructure sector – for that sector itself, for other critical infrastructure sectors, and for the affected national economy. The following case studies</w:t>
      </w:r>
      <w:r w:rsidR="002E5BB5">
        <w:t xml:space="preserve"> are three </w:t>
      </w:r>
      <w:r w:rsidR="004B7BFB">
        <w:t xml:space="preserve">severe examples of a disruption of critical infrastructure in the </w:t>
      </w:r>
      <w:r w:rsidR="003C2EA2">
        <w:t>gas</w:t>
      </w:r>
      <w:r w:rsidR="004B7BFB">
        <w:t xml:space="preserve">, </w:t>
      </w:r>
      <w:r w:rsidR="00FE6E42">
        <w:t>data,</w:t>
      </w:r>
      <w:r w:rsidR="004B7BFB">
        <w:t xml:space="preserve"> and </w:t>
      </w:r>
      <w:r w:rsidR="00467A17">
        <w:t>liquid fuel</w:t>
      </w:r>
      <w:r w:rsidR="004B7BFB">
        <w:t xml:space="preserve"> sectors. E</w:t>
      </w:r>
      <w:r w:rsidR="00374A1D" w:rsidRPr="00374A1D">
        <w:t>ach</w:t>
      </w:r>
      <w:r w:rsidR="004B7BFB">
        <w:t xml:space="preserve"> are</w:t>
      </w:r>
      <w:r w:rsidR="00374A1D" w:rsidRPr="00374A1D">
        <w:t xml:space="preserve"> categorised by its relevant </w:t>
      </w:r>
      <w:r w:rsidR="006B3927">
        <w:t>hazard domain</w:t>
      </w:r>
      <w:r w:rsidR="004B7BFB">
        <w:t>(s)</w:t>
      </w:r>
      <w:r w:rsidR="00374A1D" w:rsidRPr="00374A1D">
        <w:t>. While some are drawn from overseas, these case studies highlight a clear imperative for decisive action</w:t>
      </w:r>
      <w:r w:rsidR="004B7BFB">
        <w:t>,</w:t>
      </w:r>
      <w:r w:rsidR="00374A1D" w:rsidRPr="00374A1D">
        <w:t xml:space="preserve"> to prevent the occurrence of similar, or further, incidents for Australia’s </w:t>
      </w:r>
      <w:r w:rsidR="008056F4">
        <w:t>critical infrastructure assets</w:t>
      </w:r>
      <w:r w:rsidR="00374A1D" w:rsidRPr="00374A1D">
        <w:t>.</w:t>
      </w:r>
      <w:r w:rsidR="007172A3">
        <w:br w:type="page"/>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916"/>
        <w:gridCol w:w="2722"/>
      </w:tblGrid>
      <w:tr w:rsidR="00340241" w14:paraId="3BCE533B" w14:textId="77777777" w:rsidTr="00AC1C67">
        <w:tc>
          <w:tcPr>
            <w:tcW w:w="3588" w:type="pct"/>
            <w:shd w:val="clear" w:color="auto" w:fill="034EA2" w:themeFill="accent1"/>
            <w:hideMark/>
          </w:tcPr>
          <w:p w14:paraId="2053AD34" w14:textId="77777777" w:rsidR="00AA2E6D" w:rsidRDefault="00AA2E6D" w:rsidP="007172A3">
            <w:pPr>
              <w:pStyle w:val="TableHeading"/>
              <w:rPr>
                <w:rFonts w:ascii="Calibri" w:eastAsia="Calibri" w:hAnsi="Calibri" w:cs="Times New Roman"/>
              </w:rPr>
            </w:pPr>
            <w:r w:rsidRPr="00D67789">
              <w:lastRenderedPageBreak/>
              <w:t>Former Employee Attacks Cisco Systems (2018)</w:t>
            </w:r>
          </w:p>
        </w:tc>
        <w:tc>
          <w:tcPr>
            <w:tcW w:w="1412" w:type="pct"/>
            <w:shd w:val="clear" w:color="auto" w:fill="007BC3" w:themeFill="accent2"/>
            <w:hideMark/>
          </w:tcPr>
          <w:p w14:paraId="452872F1" w14:textId="77777777" w:rsidR="00AA2E6D" w:rsidRPr="00AC1C67" w:rsidRDefault="00AA2E6D" w:rsidP="00AC1C67">
            <w:pPr>
              <w:pStyle w:val="Tableriskcategory"/>
            </w:pPr>
            <w:r w:rsidRPr="00AC1C67">
              <w:t>Personnel Risk</w:t>
            </w:r>
          </w:p>
        </w:tc>
      </w:tr>
      <w:tr w:rsidR="00340241" w14:paraId="5C65AB0D" w14:textId="77777777" w:rsidTr="00AC1C67">
        <w:tc>
          <w:tcPr>
            <w:tcW w:w="5000" w:type="pct"/>
            <w:gridSpan w:val="2"/>
            <w:shd w:val="clear" w:color="auto" w:fill="auto"/>
            <w:hideMark/>
          </w:tcPr>
          <w:p w14:paraId="755BC371" w14:textId="77777777" w:rsidR="00AA2E6D" w:rsidRDefault="00AA2E6D" w:rsidP="007172A3">
            <w:pPr>
              <w:pStyle w:val="TableBody"/>
            </w:pPr>
            <w:r w:rsidRPr="007172A3">
              <w:rPr>
                <w:b/>
                <w:bCs/>
              </w:rPr>
              <w:t>Situation</w:t>
            </w:r>
            <w:r>
              <w:t>: In September 2018, a former Cisco employee accessed Cisco Systems’ cloud infrastructure, hosted by Amazon Web Services, without Cisco’s permission. The former employee admitted that during his unauthorized access he was successful in deleting 456 virtual machines for Cisco’s WebEx Teams application, which provides video meetings, video messaging, file sharing, and other collaboration tools.</w:t>
            </w:r>
            <w:r>
              <w:rPr>
                <w:rStyle w:val="FootnoteReference"/>
                <w:rFonts w:ascii="Arial" w:hAnsi="Arial"/>
              </w:rPr>
              <w:footnoteReference w:id="25"/>
            </w:r>
          </w:p>
        </w:tc>
      </w:tr>
      <w:tr w:rsidR="00340241" w14:paraId="56C20C99" w14:textId="77777777" w:rsidTr="00AC1C67">
        <w:tc>
          <w:tcPr>
            <w:tcW w:w="5000" w:type="pct"/>
            <w:gridSpan w:val="2"/>
            <w:shd w:val="clear" w:color="auto" w:fill="F2F2F2" w:themeFill="background1" w:themeFillShade="F2"/>
            <w:hideMark/>
          </w:tcPr>
          <w:p w14:paraId="43600C3B" w14:textId="6383AC42" w:rsidR="00AA2E6D" w:rsidRDefault="00AA2E6D" w:rsidP="007172A3">
            <w:pPr>
              <w:pStyle w:val="TableBody"/>
              <w:rPr>
                <w:rFonts w:eastAsiaTheme="majorEastAsia"/>
              </w:rPr>
            </w:pPr>
            <w:r w:rsidRPr="007172A3">
              <w:rPr>
                <w:b/>
                <w:bCs/>
              </w:rPr>
              <w:t>Outcome:</w:t>
            </w:r>
            <w:r>
              <w:rPr>
                <w:rFonts w:eastAsiaTheme="majorEastAsia"/>
              </w:rPr>
              <w:t xml:space="preserve"> </w:t>
            </w:r>
            <w:r>
              <w:t>The former employee’s actions caused more than 16,000 WebEx Teams accounts to be shut down for up to two weeks. Cisco was forced to spend approximately $1</w:t>
            </w:r>
            <w:r w:rsidR="00537E6A">
              <w:t>.4 million USD</w:t>
            </w:r>
            <w:r>
              <w:t xml:space="preserve"> in employee time to restore the damage to the application and refund over $1</w:t>
            </w:r>
            <w:r w:rsidR="00537E6A">
              <w:t xml:space="preserve"> million USD</w:t>
            </w:r>
            <w:r>
              <w:t xml:space="preserve"> to affected customers.  No customer data was compromised as a result of the attack. The perpetrator was sentenced to 24 months in prison and ordered to pay </w:t>
            </w:r>
            <w:r w:rsidR="005E3FE2">
              <w:t>a</w:t>
            </w:r>
            <w:r>
              <w:t xml:space="preserve"> fine for intentionally accessing a protected computer without authori</w:t>
            </w:r>
            <w:r w:rsidR="005E3FE2">
              <w:t>s</w:t>
            </w:r>
            <w:r>
              <w:t>ation and recklessly causing damage.</w:t>
            </w:r>
            <w:r>
              <w:rPr>
                <w:vertAlign w:val="superscript"/>
              </w:rPr>
              <w:footnoteReference w:id="26"/>
            </w:r>
          </w:p>
        </w:tc>
      </w:tr>
      <w:tr w:rsidR="00340241" w14:paraId="1CBDEDD2" w14:textId="77777777" w:rsidTr="00AC1C67">
        <w:tc>
          <w:tcPr>
            <w:tcW w:w="5000" w:type="pct"/>
            <w:gridSpan w:val="2"/>
            <w:shd w:val="clear" w:color="auto" w:fill="auto"/>
            <w:hideMark/>
          </w:tcPr>
          <w:p w14:paraId="6D6A2943" w14:textId="40C69412" w:rsidR="00AA2E6D" w:rsidRDefault="00AA2E6D" w:rsidP="007172A3">
            <w:pPr>
              <w:pStyle w:val="TableBody"/>
              <w:rPr>
                <w:rFonts w:eastAsiaTheme="majorEastAsia"/>
              </w:rPr>
            </w:pPr>
            <w:r w:rsidRPr="007172A3">
              <w:rPr>
                <w:b/>
                <w:bCs/>
              </w:rPr>
              <w:t>Identified Gap:</w:t>
            </w:r>
            <w:r>
              <w:t xml:space="preserve"> This case study demonstrates the need to screen and maintain awareness of the potential threats posed by current and former employees of critical data assets. This incident highlights the financial impediments and compromised personal data risks which may arise where insufficient employee checks are </w:t>
            </w:r>
            <w:r w:rsidR="00FE6E42">
              <w:t>undertaken,</w:t>
            </w:r>
            <w:r>
              <w:t xml:space="preserve"> user access is not appropriately controlled</w:t>
            </w:r>
            <w:r w:rsidR="004D0EC0">
              <w:t xml:space="preserve">, </w:t>
            </w:r>
            <w:r w:rsidR="004D0EC0">
              <w:rPr>
                <w:bCs/>
              </w:rPr>
              <w:t xml:space="preserve">and </w:t>
            </w:r>
            <w:r w:rsidR="000D1D1E">
              <w:rPr>
                <w:bCs/>
              </w:rPr>
              <w:t>off boarding</w:t>
            </w:r>
            <w:r w:rsidR="004D0EC0">
              <w:rPr>
                <w:bCs/>
              </w:rPr>
              <w:t xml:space="preserve"> processes are not sufficiently rigorous. </w:t>
            </w:r>
          </w:p>
        </w:tc>
      </w:tr>
    </w:tbl>
    <w:p w14:paraId="711CE698" w14:textId="77777777" w:rsidR="00D9527A" w:rsidRPr="00F72504" w:rsidRDefault="00D9527A" w:rsidP="00F72504">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947"/>
        <w:gridCol w:w="2691"/>
      </w:tblGrid>
      <w:tr w:rsidR="00D9527A" w14:paraId="61BAB098" w14:textId="77777777" w:rsidTr="00AC1C67">
        <w:tc>
          <w:tcPr>
            <w:tcW w:w="3604" w:type="pct"/>
            <w:shd w:val="clear" w:color="auto" w:fill="034EA2" w:themeFill="accent1"/>
            <w:hideMark/>
          </w:tcPr>
          <w:p w14:paraId="7CC75558" w14:textId="77777777" w:rsidR="00D9527A" w:rsidRDefault="00D9527A" w:rsidP="00AC1C67">
            <w:pPr>
              <w:pStyle w:val="TableHeading"/>
              <w:rPr>
                <w:rFonts w:ascii="Calibri" w:eastAsia="Calibri" w:hAnsi="Calibri"/>
              </w:rPr>
            </w:pPr>
            <w:r w:rsidRPr="003805EB">
              <w:t>Cyber Attack Shuts Down U.S. Fuel Pipeline System (2021)</w:t>
            </w:r>
          </w:p>
        </w:tc>
        <w:tc>
          <w:tcPr>
            <w:tcW w:w="1396" w:type="pct"/>
            <w:shd w:val="clear" w:color="auto" w:fill="007BC3" w:themeFill="accent2"/>
            <w:hideMark/>
          </w:tcPr>
          <w:p w14:paraId="06220230" w14:textId="77777777" w:rsidR="00D9527A" w:rsidRDefault="00D9527A" w:rsidP="00AC1C67">
            <w:pPr>
              <w:pStyle w:val="Tableriskcategory"/>
            </w:pPr>
            <w:r w:rsidRPr="00901693">
              <w:t>Cyber &amp; Supply Chain Risk</w:t>
            </w:r>
          </w:p>
        </w:tc>
      </w:tr>
      <w:tr w:rsidR="00D9527A" w14:paraId="242DB2CD" w14:textId="77777777" w:rsidTr="00AC1C67">
        <w:tc>
          <w:tcPr>
            <w:tcW w:w="5000" w:type="pct"/>
            <w:gridSpan w:val="2"/>
            <w:shd w:val="clear" w:color="auto" w:fill="auto"/>
            <w:hideMark/>
          </w:tcPr>
          <w:p w14:paraId="5215AA28" w14:textId="77777777" w:rsidR="00D9527A" w:rsidRPr="00AC5158" w:rsidRDefault="00D9527A" w:rsidP="00AC1C67">
            <w:pPr>
              <w:pStyle w:val="TableBody"/>
            </w:pPr>
            <w:r w:rsidRPr="00AC1C67">
              <w:rPr>
                <w:b/>
                <w:bCs/>
              </w:rPr>
              <w:t>Situation:</w:t>
            </w:r>
            <w:r w:rsidRPr="00901693">
              <w:t xml:space="preserve"> A cyber-attack allegedly conducted by a criminal network on the Colonial Pipeline, an 8,850km pipeline which carries almost half of the fuel consumed along the U.S. East Coast, forced the Pipeline’s closure for almost a week. Although the infiltration immediately affected the Pipeline’s business computer systems (rather than the systems which run the pipelines), the pipelines’ closure was a necessary precaution while investigations were undertaken. The incident is thought to be the largest cyber-attack on oil infrastructure in the U.S.’s history.</w:t>
            </w:r>
            <w:r w:rsidRPr="00AC5158">
              <w:rPr>
                <w:rStyle w:val="FootnoteReference"/>
                <w:rFonts w:ascii="Arial" w:eastAsiaTheme="majorEastAsia" w:hAnsi="Arial"/>
                <w:b/>
              </w:rPr>
              <w:footnoteReference w:id="27"/>
            </w:r>
          </w:p>
        </w:tc>
      </w:tr>
      <w:tr w:rsidR="00D9527A" w14:paraId="5E26BCD1" w14:textId="77777777" w:rsidTr="00AC1C67">
        <w:tc>
          <w:tcPr>
            <w:tcW w:w="5000" w:type="pct"/>
            <w:gridSpan w:val="2"/>
            <w:hideMark/>
          </w:tcPr>
          <w:p w14:paraId="08311607" w14:textId="267931A9" w:rsidR="00D9527A" w:rsidRPr="00AC5158" w:rsidRDefault="00D9527A" w:rsidP="00AC1C67">
            <w:pPr>
              <w:pStyle w:val="TableBody"/>
            </w:pPr>
            <w:r w:rsidRPr="00AC1C67">
              <w:rPr>
                <w:b/>
                <w:bCs/>
              </w:rPr>
              <w:t>Outcome:</w:t>
            </w:r>
            <w:r w:rsidRPr="00AC5158">
              <w:t xml:space="preserve"> The pipelines’ shutdown reduced the short-term availability of fuel, forcing fuel prices to climb and refiners to reduce production levels, as they had no means of distributing the gas. Consumers rushed to gas stations and engaged in ‘panic buying’, exacerbating </w:t>
            </w:r>
            <w:r w:rsidR="00FE6E42" w:rsidRPr="00AC5158">
              <w:t>shortages,</w:t>
            </w:r>
            <w:r w:rsidRPr="00AC5158">
              <w:t xml:space="preserve"> and contributing to price increases.  In the first two hours following the attack, more than 100GB </w:t>
            </w:r>
            <w:r w:rsidR="00537E6A">
              <w:t>of data</w:t>
            </w:r>
            <w:r w:rsidRPr="00AC5158">
              <w:t xml:space="preserve"> was stolen. On 13 May 2021, it was reported that Colonial Pipeline paid a ransom demand of close to </w:t>
            </w:r>
            <w:r w:rsidR="008056E7">
              <w:t>$</w:t>
            </w:r>
            <w:r w:rsidRPr="00AC5158">
              <w:t xml:space="preserve">5 million </w:t>
            </w:r>
            <w:r w:rsidR="008056E7">
              <w:t xml:space="preserve">USD </w:t>
            </w:r>
            <w:r w:rsidRPr="00AC5158">
              <w:t>in order to obtain a decryption key from the hackers responsible for the attack.</w:t>
            </w:r>
            <w:r w:rsidRPr="00AC5158">
              <w:rPr>
                <w:vertAlign w:val="superscript"/>
              </w:rPr>
              <w:footnoteReference w:id="28"/>
            </w:r>
            <w:r w:rsidRPr="00AC5158">
              <w:t xml:space="preserve"> </w:t>
            </w:r>
          </w:p>
        </w:tc>
      </w:tr>
      <w:tr w:rsidR="00D9527A" w14:paraId="56DDD18C" w14:textId="77777777" w:rsidTr="00AC1C67">
        <w:trPr>
          <w:trHeight w:val="279"/>
        </w:trPr>
        <w:tc>
          <w:tcPr>
            <w:tcW w:w="5000" w:type="pct"/>
            <w:gridSpan w:val="2"/>
            <w:shd w:val="clear" w:color="auto" w:fill="auto"/>
            <w:hideMark/>
          </w:tcPr>
          <w:p w14:paraId="0F269990" w14:textId="1272E82E" w:rsidR="00D9527A" w:rsidRPr="00AC5158" w:rsidRDefault="00D9527A" w:rsidP="00AC1C67">
            <w:pPr>
              <w:pStyle w:val="TableBody"/>
            </w:pPr>
            <w:r w:rsidRPr="00AC1C67">
              <w:rPr>
                <w:b/>
                <w:bCs/>
              </w:rPr>
              <w:t>Identified Gap:</w:t>
            </w:r>
            <w:r w:rsidRPr="00AC5158">
              <w:t xml:space="preserve"> The attack highlighted the need for entities to maintain pace with evolving malware capabilities and work to strengthen their ‘last line of defence’. </w:t>
            </w:r>
            <w:r w:rsidR="00AF6F61" w:rsidRPr="00AC5158">
              <w:t xml:space="preserve">Chainalysis, a US cyber-security firm, suggests the amount paid in Bitcoin ransoms increased by 311% in 2020 (compared with 2019), to approximately </w:t>
            </w:r>
            <w:r w:rsidR="008056E7">
              <w:t>$</w:t>
            </w:r>
            <w:r w:rsidR="00AF6F61" w:rsidRPr="00AC5158">
              <w:t>350</w:t>
            </w:r>
            <w:r w:rsidR="00AF6F61">
              <w:t xml:space="preserve"> million</w:t>
            </w:r>
            <w:r w:rsidR="008056E7">
              <w:t xml:space="preserve"> (USD)</w:t>
            </w:r>
            <w:r w:rsidR="00AF6F61" w:rsidRPr="00AC5158">
              <w:t>.</w:t>
            </w:r>
            <w:r w:rsidR="00AF6F61" w:rsidRPr="00AC5158">
              <w:rPr>
                <w:rStyle w:val="FootnoteReference"/>
                <w:rFonts w:ascii="Arial" w:eastAsiaTheme="majorEastAsia" w:hAnsi="Arial"/>
                <w:b/>
              </w:rPr>
              <w:footnoteReference w:id="29"/>
            </w:r>
            <w:r w:rsidR="00AF6F61">
              <w:t xml:space="preserve"> </w:t>
            </w:r>
            <w:r w:rsidRPr="00AC5158">
              <w:t>Without adequate protections and consistent re-evaluations, operating systems may be compromised.</w:t>
            </w:r>
            <w:r w:rsidRPr="00AC5158">
              <w:rPr>
                <w:rStyle w:val="FootnoteReference"/>
                <w:rFonts w:ascii="Arial" w:eastAsiaTheme="majorEastAsia" w:hAnsi="Arial"/>
                <w:b/>
              </w:rPr>
              <w:footnoteReference w:id="30"/>
            </w:r>
            <w:r w:rsidRPr="00AC5158">
              <w:t xml:space="preserve"> It also highlights that while it is imperative to ensure the protection of critical gas assets, supplementary and connected services must also be preserved.</w:t>
            </w:r>
          </w:p>
        </w:tc>
      </w:tr>
    </w:tbl>
    <w:p w14:paraId="7A936E5B" w14:textId="1E53D23C" w:rsidR="00AF6F61" w:rsidRDefault="00BD0091" w:rsidP="00D9527A">
      <w:pPr>
        <w:pStyle w:val="BodyText"/>
      </w:pPr>
      <w:r>
        <w:t xml:space="preserve"> </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7005"/>
        <w:gridCol w:w="2633"/>
      </w:tblGrid>
      <w:tr w:rsidR="00AF6F61" w14:paraId="58CE5488" w14:textId="77777777" w:rsidTr="00AC1C67">
        <w:tc>
          <w:tcPr>
            <w:tcW w:w="3634" w:type="pct"/>
            <w:shd w:val="clear" w:color="auto" w:fill="034EA2" w:themeFill="accent1"/>
            <w:hideMark/>
          </w:tcPr>
          <w:p w14:paraId="13E62649" w14:textId="77777777" w:rsidR="00AF6F61" w:rsidRDefault="00AF6F61" w:rsidP="00AC1C67">
            <w:pPr>
              <w:pStyle w:val="TableHeading"/>
              <w:rPr>
                <w:rFonts w:eastAsia="Calibri"/>
              </w:rPr>
            </w:pPr>
            <w:r>
              <w:t>ABC’s south coast transmitter – Australia’s summer bushfires</w:t>
            </w:r>
          </w:p>
        </w:tc>
        <w:tc>
          <w:tcPr>
            <w:tcW w:w="1366" w:type="pct"/>
            <w:shd w:val="clear" w:color="auto" w:fill="007BC3" w:themeFill="accent2"/>
            <w:hideMark/>
          </w:tcPr>
          <w:p w14:paraId="7F577271" w14:textId="77777777" w:rsidR="00AF6F61" w:rsidRDefault="00AF6F61" w:rsidP="00AC1C67">
            <w:pPr>
              <w:pStyle w:val="Tableriskcategory"/>
            </w:pPr>
            <w:r w:rsidRPr="00AC5158">
              <w:t>Physical and natural hazard</w:t>
            </w:r>
          </w:p>
        </w:tc>
      </w:tr>
      <w:tr w:rsidR="00AF6F61" w14:paraId="20E88ECD" w14:textId="77777777" w:rsidTr="00AC1C67">
        <w:tc>
          <w:tcPr>
            <w:tcW w:w="5000" w:type="pct"/>
            <w:gridSpan w:val="2"/>
            <w:shd w:val="clear" w:color="auto" w:fill="auto"/>
            <w:hideMark/>
          </w:tcPr>
          <w:p w14:paraId="7E8DCC6E" w14:textId="10CA1972" w:rsidR="00AF6F61" w:rsidRDefault="00AF6F61" w:rsidP="00AC1C67">
            <w:pPr>
              <w:pStyle w:val="TableBody"/>
            </w:pPr>
            <w:r w:rsidRPr="00AC1C67">
              <w:rPr>
                <w:b/>
                <w:bCs/>
              </w:rPr>
              <w:t>Situation</w:t>
            </w:r>
            <w:r>
              <w:t xml:space="preserve">: The Australian bushfires that devastated the South Coast of New South Wales (NSW) in the summer of 2020 caused widespread devastation and panic and, as the ABC’s transmitter in the region </w:t>
            </w:r>
            <w:r>
              <w:lastRenderedPageBreak/>
              <w:t>melted, communications with residents in the community were impaired by the inability to receive or transmit radio coverage.</w:t>
            </w:r>
            <w:r>
              <w:rPr>
                <w:rStyle w:val="FootnoteReference"/>
                <w:rFonts w:ascii="Arial" w:hAnsi="Arial" w:cs="Arial"/>
                <w:b/>
                <w:bCs/>
              </w:rPr>
              <w:footnoteReference w:id="31"/>
            </w:r>
          </w:p>
        </w:tc>
      </w:tr>
      <w:tr w:rsidR="00AF6F61" w14:paraId="65C51342" w14:textId="77777777" w:rsidTr="00AC1C67">
        <w:tc>
          <w:tcPr>
            <w:tcW w:w="5000" w:type="pct"/>
            <w:gridSpan w:val="2"/>
            <w:hideMark/>
          </w:tcPr>
          <w:p w14:paraId="14BB0540" w14:textId="343ED99F" w:rsidR="00AF6F61" w:rsidRDefault="00AF6F61" w:rsidP="00AC1C67">
            <w:pPr>
              <w:pStyle w:val="TableBody"/>
            </w:pPr>
            <w:r w:rsidRPr="00AC1C67">
              <w:rPr>
                <w:b/>
                <w:bCs/>
              </w:rPr>
              <w:lastRenderedPageBreak/>
              <w:t>Outcome</w:t>
            </w:r>
            <w:r>
              <w:t xml:space="preserve">: It took months of repair work before the transmitter was completely operational again. The cost of restoring the </w:t>
            </w:r>
            <w:r w:rsidRPr="00AC1C67">
              <w:t>infrastructure</w:t>
            </w:r>
            <w:r>
              <w:t xml:space="preserve"> owned by BAI Communications Australia, which provides the broadcast towers to ABC on a commercial arrangement, was between $1.5 million and $2</w:t>
            </w:r>
            <w:r w:rsidR="008056E7">
              <w:t>.0</w:t>
            </w:r>
            <w:r>
              <w:t xml:space="preserve"> million.</w:t>
            </w:r>
            <w:r>
              <w:rPr>
                <w:rStyle w:val="FootnoteReference"/>
                <w:rFonts w:ascii="Arial" w:hAnsi="Arial" w:cs="Arial"/>
                <w:b/>
                <w:bCs/>
              </w:rPr>
              <w:footnoteReference w:id="32"/>
            </w:r>
          </w:p>
        </w:tc>
      </w:tr>
      <w:tr w:rsidR="00AF6F61" w14:paraId="67C0E644" w14:textId="77777777" w:rsidTr="00AC1C67">
        <w:trPr>
          <w:trHeight w:val="279"/>
        </w:trPr>
        <w:tc>
          <w:tcPr>
            <w:tcW w:w="5000" w:type="pct"/>
            <w:gridSpan w:val="2"/>
            <w:shd w:val="clear" w:color="auto" w:fill="auto"/>
            <w:hideMark/>
          </w:tcPr>
          <w:p w14:paraId="5480AEDB" w14:textId="6A2F6CDF" w:rsidR="00AF6F61" w:rsidRDefault="00AF6F61" w:rsidP="00AC1C67">
            <w:pPr>
              <w:pStyle w:val="TableBody"/>
            </w:pPr>
            <w:r w:rsidRPr="00AC1C67">
              <w:rPr>
                <w:b/>
                <w:bCs/>
              </w:rPr>
              <w:t>Identified Gap</w:t>
            </w:r>
            <w:r>
              <w:t xml:space="preserve">: The ABC's managing director stated that the burn out damage demonstrates the critical necessity for AM radio technology, and that a backup generator should be maintained and in full operation to assist in getting </w:t>
            </w:r>
            <w:r w:rsidRPr="00AC1C67">
              <w:t>information</w:t>
            </w:r>
            <w:r>
              <w:t xml:space="preserve"> out during disasters like these. The analysts have been adamant that it is crucial that future infrastructure is as resilient as possible as broadcast towers still remain the weakest link during emergency broadcasts.</w:t>
            </w:r>
          </w:p>
        </w:tc>
      </w:tr>
    </w:tbl>
    <w:p w14:paraId="79AB20CD" w14:textId="1B907BED" w:rsidR="00374A1D" w:rsidRPr="00D9527A" w:rsidRDefault="00374A1D" w:rsidP="00F72504">
      <w:pPr>
        <w:pStyle w:val="BodyText"/>
        <w:rPr>
          <w:rFonts w:ascii="Calibri" w:hAnsi="Calibri" w:cs="Times New Roman"/>
          <w:b/>
        </w:rPr>
      </w:pPr>
      <w:r w:rsidRPr="00D9527A">
        <w:t xml:space="preserve">These examples clearly demonstrate the severity of consequences for any disruption to </w:t>
      </w:r>
      <w:r w:rsidR="008056F4" w:rsidRPr="00D9527A">
        <w:t>critical infrastructure assets</w:t>
      </w:r>
      <w:r w:rsidRPr="00D9527A">
        <w:t xml:space="preserve">, and the need to take proactive action to enhance their security and resilience. </w:t>
      </w:r>
      <w:r w:rsidR="004B7BFB" w:rsidRPr="00D9527A">
        <w:t xml:space="preserve">Case studies for each relevant critical infrastructure asset are contained in </w:t>
      </w:r>
      <w:r w:rsidR="00D57A98">
        <w:t xml:space="preserve">Appendices G – </w:t>
      </w:r>
      <w:r w:rsidR="00C32E52">
        <w:t>R</w:t>
      </w:r>
      <w:r w:rsidR="00315370" w:rsidRPr="00D9527A">
        <w:t>.</w:t>
      </w:r>
      <w:r w:rsidR="004B7BFB" w:rsidRPr="00D9527A">
        <w:t xml:space="preserve"> </w:t>
      </w:r>
    </w:p>
    <w:p w14:paraId="35164D83" w14:textId="41687F62" w:rsidR="00374A1D" w:rsidRPr="00374A1D" w:rsidRDefault="00374A1D" w:rsidP="004C0EFC">
      <w:pPr>
        <w:pStyle w:val="Heading2numbered"/>
      </w:pPr>
      <w:bookmarkStart w:id="81" w:name="_Toc79149631"/>
      <w:bookmarkStart w:id="82" w:name="_Toc121397388"/>
      <w:r w:rsidRPr="00374A1D">
        <w:t xml:space="preserve">The problem for </w:t>
      </w:r>
      <w:r w:rsidR="008056F4">
        <w:t>critical infrastructure assets</w:t>
      </w:r>
      <w:bookmarkEnd w:id="81"/>
      <w:bookmarkEnd w:id="82"/>
    </w:p>
    <w:p w14:paraId="33A869F1" w14:textId="679CED0C" w:rsidR="00374A1D" w:rsidRPr="00374A1D" w:rsidRDefault="00374A1D" w:rsidP="005F38C8">
      <w:pPr>
        <w:pStyle w:val="BodyText"/>
      </w:pPr>
      <w:r w:rsidRPr="00374A1D">
        <w:t xml:space="preserve">There are four </w:t>
      </w:r>
      <w:r w:rsidRPr="005F38C8">
        <w:t>problem</w:t>
      </w:r>
      <w:r w:rsidRPr="00374A1D">
        <w:t xml:space="preserve"> elements </w:t>
      </w:r>
      <w:r w:rsidR="000A3C53">
        <w:t>that</w:t>
      </w:r>
      <w:r w:rsidR="00EE4270">
        <w:t xml:space="preserve"> </w:t>
      </w:r>
      <w:r w:rsidRPr="00374A1D">
        <w:t xml:space="preserve">relate to </w:t>
      </w:r>
      <w:r w:rsidR="008056F4">
        <w:t>critical infrastructure assets</w:t>
      </w:r>
      <w:r w:rsidRPr="00374A1D">
        <w:t xml:space="preserve"> summarised in </w:t>
      </w:r>
      <w:r w:rsidR="00040B09" w:rsidRPr="00040B09">
        <w:fldChar w:fldCharType="begin"/>
      </w:r>
      <w:r w:rsidR="00040B09" w:rsidRPr="00040B09">
        <w:instrText xml:space="preserve"> REF _Ref79154548 \h  \* MERGEFORMAT </w:instrText>
      </w:r>
      <w:r w:rsidR="00040B09" w:rsidRPr="00040B09">
        <w:fldChar w:fldCharType="separate"/>
      </w:r>
      <w:r w:rsidR="009708D4" w:rsidRPr="009708D4">
        <w:t>Table 1</w:t>
      </w:r>
      <w:r w:rsidR="00040B09" w:rsidRPr="00040B09">
        <w:fldChar w:fldCharType="end"/>
      </w:r>
      <w:r w:rsidRPr="00374A1D">
        <w:t xml:space="preserve"> and </w:t>
      </w:r>
      <w:r w:rsidRPr="00374A1D">
        <w:fldChar w:fldCharType="begin"/>
      </w:r>
      <w:r w:rsidRPr="00374A1D">
        <w:instrText xml:space="preserve"> REF _Ref78459416 \h  \* MERGEFORMAT </w:instrText>
      </w:r>
      <w:r w:rsidRPr="00374A1D">
        <w:fldChar w:fldCharType="separate"/>
      </w:r>
      <w:r w:rsidR="009708D4" w:rsidRPr="009708D4">
        <w:t>Table 4</w:t>
      </w:r>
      <w:r w:rsidRPr="00374A1D">
        <w:fldChar w:fldCharType="end"/>
      </w:r>
      <w:r w:rsidRPr="00374A1D">
        <w:t xml:space="preserve"> above. Collectively, these elements demonstrate the need for regulation to operationalise the objectives of the </w:t>
      </w:r>
      <w:r w:rsidR="00BB0179">
        <w:t>RMP</w:t>
      </w:r>
      <w:r w:rsidRPr="00374A1D">
        <w:t xml:space="preserve"> obligations contained in the </w:t>
      </w:r>
      <w:r w:rsidR="000A3C53">
        <w:t xml:space="preserve">SLACIP </w:t>
      </w:r>
      <w:r w:rsidR="00DC698D">
        <w:t>Act</w:t>
      </w:r>
      <w:r w:rsidRPr="00374A1D">
        <w:t>.</w:t>
      </w:r>
    </w:p>
    <w:p w14:paraId="5EF503BD" w14:textId="5CADC3A7" w:rsidR="00374A1D" w:rsidRPr="00374A1D" w:rsidRDefault="00195C88" w:rsidP="004C0EFC">
      <w:pPr>
        <w:pStyle w:val="Heading3numbered"/>
      </w:pPr>
      <w:bookmarkStart w:id="83" w:name="_Toc70508250"/>
      <w:bookmarkStart w:id="84" w:name="_Toc70606788"/>
      <w:bookmarkStart w:id="85" w:name="_Toc70671189"/>
      <w:bookmarkStart w:id="86" w:name="_Toc70672652"/>
      <w:bookmarkStart w:id="87" w:name="_Toc70672822"/>
      <w:bookmarkStart w:id="88" w:name="_Toc71710856"/>
      <w:bookmarkStart w:id="89" w:name="_Toc71720810"/>
      <w:bookmarkStart w:id="90" w:name="_Toc73029728"/>
      <w:bookmarkStart w:id="91" w:name="_Toc73609405"/>
      <w:bookmarkStart w:id="92" w:name="_Toc74212031"/>
      <w:bookmarkStart w:id="93" w:name="_Toc74212306"/>
      <w:bookmarkStart w:id="94" w:name="_Toc74661415"/>
      <w:bookmarkStart w:id="95" w:name="_Toc74661580"/>
      <w:bookmarkStart w:id="96" w:name="_Toc74755223"/>
      <w:bookmarkStart w:id="97" w:name="_Toc74756814"/>
      <w:bookmarkStart w:id="98" w:name="_Toc74756937"/>
      <w:bookmarkStart w:id="99" w:name="_Toc74832174"/>
      <w:bookmarkStart w:id="100" w:name="_Toc74841101"/>
      <w:bookmarkStart w:id="101" w:name="_Toc74841179"/>
      <w:bookmarkStart w:id="102" w:name="_Toc74913959"/>
      <w:bookmarkStart w:id="103" w:name="_Toc76050813"/>
      <w:bookmarkStart w:id="104" w:name="_Toc77755100"/>
      <w:bookmarkStart w:id="105" w:name="_Toc79149632"/>
      <w:r>
        <w:t>Hazards create</w:t>
      </w:r>
      <w:r w:rsidR="0069006F">
        <w:t xml:space="preserve"> </w:t>
      </w:r>
      <w:r w:rsidR="00374A1D" w:rsidRPr="00374A1D">
        <w:t xml:space="preserve">risks to </w:t>
      </w:r>
      <w:r w:rsidR="008056F4">
        <w:t>critical infrastructure assets</w:t>
      </w:r>
      <w:bookmarkStart w:id="106" w:name="_Toc70508251"/>
      <w:bookmarkStart w:id="107" w:name="_Toc70606789"/>
      <w:bookmarkStart w:id="108" w:name="_Toc70671190"/>
      <w:bookmarkStart w:id="109" w:name="_Toc70672653"/>
      <w:bookmarkStart w:id="110" w:name="_Toc70672823"/>
      <w:bookmarkEnd w:id="83"/>
      <w:bookmarkEnd w:id="84"/>
      <w:bookmarkEnd w:id="85"/>
      <w:bookmarkEnd w:id="86"/>
      <w:bookmarkEnd w:id="87"/>
      <w:r w:rsidR="00374A1D" w:rsidRPr="00374A1D">
        <w:t>.</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789D448C" w14:textId="3AF5FDC1" w:rsidR="00493217" w:rsidRDefault="00195C88" w:rsidP="005F38C8">
      <w:pPr>
        <w:pStyle w:val="BodyText"/>
      </w:pPr>
      <w:bookmarkStart w:id="111" w:name="_Toc71710857"/>
      <w:bookmarkStart w:id="112" w:name="_Toc71720811"/>
      <w:bookmarkStart w:id="113" w:name="_Toc73029729"/>
      <w:bookmarkStart w:id="114" w:name="_Toc73609406"/>
      <w:bookmarkStart w:id="115" w:name="_Toc74133861"/>
      <w:bookmarkStart w:id="116" w:name="_Toc74212032"/>
      <w:bookmarkStart w:id="117" w:name="_Toc74212307"/>
      <w:bookmarkStart w:id="118" w:name="_Toc74661416"/>
      <w:bookmarkStart w:id="119" w:name="_Toc74661581"/>
      <w:bookmarkStart w:id="120" w:name="_Toc74755224"/>
      <w:bookmarkStart w:id="121" w:name="_Toc74756815"/>
      <w:bookmarkStart w:id="122" w:name="_Toc74756938"/>
      <w:bookmarkStart w:id="123" w:name="_Toc74832175"/>
      <w:bookmarkStart w:id="124" w:name="_Toc74841102"/>
      <w:bookmarkStart w:id="125" w:name="_Toc74841180"/>
      <w:bookmarkStart w:id="126" w:name="_Toc74913960"/>
      <w:bookmarkStart w:id="127" w:name="_Toc76050814"/>
      <w:r>
        <w:t>Hazards create r</w:t>
      </w:r>
      <w:r w:rsidR="00374A1D" w:rsidRPr="00374A1D">
        <w:t xml:space="preserve">isks to </w:t>
      </w:r>
      <w:r w:rsidR="008056F4">
        <w:t>critical infrastructure assets</w:t>
      </w:r>
      <w:r w:rsidR="00374A1D" w:rsidRPr="00374A1D">
        <w:t xml:space="preserve">, if realised, </w:t>
      </w:r>
      <w:r>
        <w:t xml:space="preserve">these risks </w:t>
      </w:r>
      <w:r w:rsidR="00374A1D" w:rsidRPr="00374A1D">
        <w:t xml:space="preserve">have the potential to cause significant disruption across the Australian </w:t>
      </w:r>
      <w:r w:rsidR="00493217" w:rsidRPr="00374A1D">
        <w:t>economy</w:t>
      </w:r>
      <w:r w:rsidR="00374A1D" w:rsidRPr="00374A1D">
        <w:t>.</w:t>
      </w:r>
      <w:bookmarkEnd w:id="106"/>
      <w:bookmarkEnd w:id="107"/>
      <w:bookmarkEnd w:id="108"/>
      <w:bookmarkEnd w:id="109"/>
      <w:bookmarkEnd w:id="110"/>
      <w:bookmarkEnd w:id="111"/>
      <w:bookmarkEnd w:id="112"/>
      <w:r w:rsidR="00374A1D" w:rsidRPr="00374A1D">
        <w:t xml:space="preserve"> </w:t>
      </w:r>
      <w:bookmarkStart w:id="128" w:name="_Toc71710858"/>
      <w:bookmarkStart w:id="129" w:name="_Toc71720812"/>
    </w:p>
    <w:p w14:paraId="445B955D" w14:textId="10EEF197" w:rsidR="00374A1D" w:rsidRDefault="00AF6F61" w:rsidP="005F38C8">
      <w:pPr>
        <w:pStyle w:val="BodyText"/>
      </w:pPr>
      <w:r>
        <w:t>Hazards</w:t>
      </w:r>
      <w:r w:rsidR="00493217">
        <w:t xml:space="preserve"> are ca</w:t>
      </w:r>
      <w:r w:rsidR="00891C31">
        <w:t>tegori</w:t>
      </w:r>
      <w:r w:rsidR="00A65091">
        <w:t>sed</w:t>
      </w:r>
      <w:r w:rsidR="00891C31">
        <w:t xml:space="preserve"> in four domains: cyber</w:t>
      </w:r>
      <w:r w:rsidR="000A3C53">
        <w:t xml:space="preserve"> and information</w:t>
      </w:r>
      <w:r w:rsidR="00891C31">
        <w:t xml:space="preserve">, personnel, supply chain, and physical </w:t>
      </w:r>
      <w:r w:rsidR="000A3C53">
        <w:t>and</w:t>
      </w:r>
      <w:r w:rsidR="00891C31">
        <w:t xml:space="preserve"> natural. For each relevant critical infrastructure asset, key </w:t>
      </w:r>
      <w:r w:rsidR="008249B4">
        <w:t xml:space="preserve">hazards and the associated domain are summarised in </w:t>
      </w:r>
      <w:bookmarkStart w:id="130" w:name="_Ref78459501"/>
      <w:bookmarkStart w:id="131" w:name="_Toc78878009"/>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00E849F6" w:rsidRPr="00E849F6">
        <w:rPr>
          <w:szCs w:val="24"/>
        </w:rPr>
        <w:t xml:space="preserve">Appendices </w:t>
      </w:r>
      <w:r w:rsidR="00D57A98">
        <w:rPr>
          <w:szCs w:val="24"/>
        </w:rPr>
        <w:t xml:space="preserve">G – </w:t>
      </w:r>
      <w:r w:rsidR="00C32E52">
        <w:rPr>
          <w:szCs w:val="24"/>
        </w:rPr>
        <w:t>R</w:t>
      </w:r>
      <w:r w:rsidR="00E849F6">
        <w:rPr>
          <w:szCs w:val="24"/>
        </w:rPr>
        <w:t>.</w:t>
      </w:r>
    </w:p>
    <w:p w14:paraId="087DD6D9" w14:textId="79BE08C6" w:rsidR="00374A1D" w:rsidRPr="004C31CF" w:rsidRDefault="00374A1D" w:rsidP="004C0EFC">
      <w:pPr>
        <w:pStyle w:val="Heading3numbered"/>
        <w:rPr>
          <w:spacing w:val="-6"/>
        </w:rPr>
      </w:pPr>
      <w:bookmarkStart w:id="132" w:name="_Toc70508253"/>
      <w:bookmarkStart w:id="133" w:name="_Toc70606791"/>
      <w:bookmarkStart w:id="134" w:name="_Toc70671192"/>
      <w:bookmarkStart w:id="135" w:name="_Toc70672655"/>
      <w:bookmarkStart w:id="136" w:name="_Toc70672825"/>
      <w:bookmarkStart w:id="137" w:name="_Toc71710860"/>
      <w:bookmarkStart w:id="138" w:name="_Toc71720814"/>
      <w:bookmarkStart w:id="139" w:name="_Toc73029730"/>
      <w:bookmarkStart w:id="140" w:name="_Toc73609407"/>
      <w:bookmarkStart w:id="141" w:name="_Toc74133862"/>
      <w:bookmarkStart w:id="142" w:name="_Toc74212033"/>
      <w:bookmarkStart w:id="143" w:name="_Toc74212308"/>
      <w:bookmarkStart w:id="144" w:name="_Toc74661417"/>
      <w:bookmarkStart w:id="145" w:name="_Toc74661582"/>
      <w:bookmarkStart w:id="146" w:name="_Toc74755225"/>
      <w:bookmarkStart w:id="147" w:name="_Toc74756816"/>
      <w:bookmarkStart w:id="148" w:name="_Toc74756939"/>
      <w:bookmarkStart w:id="149" w:name="_Toc74832176"/>
      <w:bookmarkStart w:id="150" w:name="_Toc74841103"/>
      <w:bookmarkStart w:id="151" w:name="_Toc74841181"/>
      <w:bookmarkStart w:id="152" w:name="_Toc74913961"/>
      <w:bookmarkStart w:id="153" w:name="_Toc76050815"/>
      <w:bookmarkStart w:id="154" w:name="_Toc77755101"/>
      <w:bookmarkStart w:id="155" w:name="_Toc79149633"/>
      <w:bookmarkEnd w:id="130"/>
      <w:bookmarkEnd w:id="131"/>
      <w:r w:rsidRPr="004C31CF">
        <w:rPr>
          <w:spacing w:val="-6"/>
        </w:rPr>
        <w:t xml:space="preserve">Existing legislative arrangements </w:t>
      </w:r>
      <w:r w:rsidR="00195C88" w:rsidRPr="004C31CF">
        <w:rPr>
          <w:spacing w:val="-6"/>
        </w:rPr>
        <w:t xml:space="preserve">are </w:t>
      </w:r>
      <w:r w:rsidRPr="004C31CF">
        <w:rPr>
          <w:spacing w:val="-6"/>
        </w:rPr>
        <w:t>insufficient for current threat environment.</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4C31CF">
        <w:rPr>
          <w:spacing w:val="-6"/>
        </w:rPr>
        <w:t xml:space="preserve">  </w:t>
      </w:r>
    </w:p>
    <w:p w14:paraId="5EA7EFF0" w14:textId="295ECD90" w:rsidR="00374A1D" w:rsidRPr="004119E7" w:rsidRDefault="00374A1D" w:rsidP="005F38C8">
      <w:pPr>
        <w:pStyle w:val="BodyText"/>
      </w:pPr>
      <w:r w:rsidRPr="004119E7">
        <w:t xml:space="preserve">There is significant existing regulation that </w:t>
      </w:r>
      <w:r w:rsidR="00D2335D" w:rsidRPr="004119E7">
        <w:t xml:space="preserve">will </w:t>
      </w:r>
      <w:r w:rsidRPr="004119E7">
        <w:t>appl</w:t>
      </w:r>
      <w:r w:rsidR="00D2335D" w:rsidRPr="004119E7">
        <w:t>y</w:t>
      </w:r>
      <w:r w:rsidRPr="004119E7">
        <w:t xml:space="preserve"> to responsible entities for </w:t>
      </w:r>
      <w:r w:rsidR="008056F4" w:rsidRPr="004119E7">
        <w:t>critical infrastructure assets</w:t>
      </w:r>
      <w:r w:rsidRPr="004119E7">
        <w:t xml:space="preserve">, including those outlined in </w:t>
      </w:r>
      <w:r w:rsidR="004119E7" w:rsidRPr="004119E7">
        <w:fldChar w:fldCharType="begin"/>
      </w:r>
      <w:r w:rsidR="004119E7" w:rsidRPr="004119E7">
        <w:instrText xml:space="preserve"> REF _Ref79154644 \h  \* MERGEFORMAT </w:instrText>
      </w:r>
      <w:r w:rsidR="004119E7" w:rsidRPr="004119E7">
        <w:fldChar w:fldCharType="separate"/>
      </w:r>
      <w:r w:rsidR="009708D4" w:rsidRPr="009708D4">
        <w:t>Table 5</w:t>
      </w:r>
      <w:r w:rsidR="004119E7" w:rsidRPr="004119E7">
        <w:fldChar w:fldCharType="end"/>
      </w:r>
      <w:r w:rsidR="004119E7" w:rsidRPr="004119E7">
        <w:t xml:space="preserve"> </w:t>
      </w:r>
      <w:r w:rsidRPr="004119E7">
        <w:t xml:space="preserve">below. </w:t>
      </w:r>
      <w:r w:rsidR="00980803">
        <w:rPr>
          <w:rFonts w:eastAsia="Calibri"/>
        </w:rPr>
        <w:t>Responsible</w:t>
      </w:r>
      <w:r w:rsidR="004119E7">
        <w:rPr>
          <w:rFonts w:eastAsia="Calibri"/>
        </w:rPr>
        <w:t xml:space="preserve"> e</w:t>
      </w:r>
      <w:r w:rsidRPr="004119E7">
        <w:t xml:space="preserve">ntities in </w:t>
      </w:r>
      <w:r w:rsidR="004119E7">
        <w:rPr>
          <w:rFonts w:eastAsia="Calibri"/>
        </w:rPr>
        <w:t>all relevant</w:t>
      </w:r>
      <w:r w:rsidRPr="004119E7">
        <w:t xml:space="preserve"> sector</w:t>
      </w:r>
      <w:r w:rsidR="004119E7">
        <w:rPr>
          <w:rFonts w:eastAsia="Calibri"/>
        </w:rPr>
        <w:t>s</w:t>
      </w:r>
      <w:r w:rsidRPr="004119E7">
        <w:t xml:space="preserve"> </w:t>
      </w:r>
      <w:r w:rsidR="004119E7">
        <w:rPr>
          <w:rFonts w:eastAsia="Calibri"/>
        </w:rPr>
        <w:t>follow</w:t>
      </w:r>
      <w:r w:rsidRPr="004119E7">
        <w:t xml:space="preserve"> established risk management practices across </w:t>
      </w:r>
      <w:r w:rsidR="004119E7" w:rsidRPr="004119E7">
        <w:rPr>
          <w:rFonts w:eastAsia="Calibri"/>
        </w:rPr>
        <w:t>several</w:t>
      </w:r>
      <w:r w:rsidRPr="004119E7">
        <w:t xml:space="preserve"> hazard</w:t>
      </w:r>
      <w:r w:rsidR="00980803">
        <w:rPr>
          <w:rFonts w:eastAsia="Calibri"/>
        </w:rPr>
        <w:t xml:space="preserve"> vectors</w:t>
      </w:r>
      <w:r w:rsidRPr="004119E7">
        <w:t xml:space="preserve"> and comply with regulatory requirements under both federal</w:t>
      </w:r>
      <w:r w:rsidR="00AD7731">
        <w:t xml:space="preserve">, </w:t>
      </w:r>
      <w:r w:rsidRPr="004119E7">
        <w:t>state</w:t>
      </w:r>
      <w:r w:rsidR="00AD7731">
        <w:t xml:space="preserve"> and territory</w:t>
      </w:r>
      <w:r w:rsidRPr="004119E7">
        <w:t xml:space="preserve"> level regulation. </w:t>
      </w:r>
    </w:p>
    <w:p w14:paraId="6BACB15D" w14:textId="3A2B64AA" w:rsidR="00374A1D" w:rsidRPr="00374A1D" w:rsidRDefault="00374A1D" w:rsidP="005F38C8">
      <w:pPr>
        <w:pStyle w:val="BodyText"/>
        <w:rPr>
          <w:rFonts w:ascii="Arial" w:eastAsia="Times New Roman" w:hAnsi="Arial" w:cs="Arial"/>
        </w:rPr>
      </w:pPr>
      <w:r w:rsidRPr="00374A1D">
        <w:rPr>
          <w:rFonts w:ascii="Arial" w:eastAsia="Calibri" w:hAnsi="Arial" w:cs="Arial"/>
        </w:rPr>
        <w:t xml:space="preserve">However, </w:t>
      </w:r>
      <w:r w:rsidRPr="00374A1D">
        <w:rPr>
          <w:rFonts w:ascii="Arial" w:eastAsia="Times New Roman" w:hAnsi="Arial" w:cs="Arial"/>
        </w:rPr>
        <w:t>there are no legislative arrangements in place which impose</w:t>
      </w:r>
      <w:r w:rsidR="00AD7731">
        <w:rPr>
          <w:rFonts w:ascii="Arial" w:eastAsia="Times New Roman" w:hAnsi="Arial" w:cs="Arial"/>
        </w:rPr>
        <w:t xml:space="preserve"> a</w:t>
      </w:r>
      <w:r w:rsidRPr="00374A1D">
        <w:rPr>
          <w:rFonts w:ascii="Arial" w:eastAsia="Times New Roman" w:hAnsi="Arial" w:cs="Arial"/>
        </w:rPr>
        <w:t xml:space="preserve"> baseline all</w:t>
      </w:r>
      <w:r w:rsidR="003C2987">
        <w:rPr>
          <w:rFonts w:ascii="Arial" w:eastAsia="Times New Roman" w:hAnsi="Arial" w:cs="Arial"/>
        </w:rPr>
        <w:t>-</w:t>
      </w:r>
      <w:r w:rsidRPr="00374A1D">
        <w:rPr>
          <w:rFonts w:ascii="Arial" w:eastAsia="Times New Roman" w:hAnsi="Arial" w:cs="Arial"/>
        </w:rPr>
        <w:t xml:space="preserve">hazard risk </w:t>
      </w:r>
      <w:r w:rsidR="005601B3">
        <w:rPr>
          <w:rFonts w:ascii="Arial" w:eastAsia="Times New Roman" w:hAnsi="Arial" w:cs="Arial"/>
        </w:rPr>
        <w:t>management</w:t>
      </w:r>
      <w:r w:rsidRPr="00374A1D">
        <w:rPr>
          <w:rFonts w:ascii="Arial" w:eastAsia="Times New Roman" w:hAnsi="Arial" w:cs="Arial"/>
        </w:rPr>
        <w:t xml:space="preserve"> </w:t>
      </w:r>
      <w:r w:rsidR="005601B3">
        <w:rPr>
          <w:rFonts w:ascii="Arial" w:eastAsia="Times New Roman" w:hAnsi="Arial" w:cs="Arial"/>
        </w:rPr>
        <w:t xml:space="preserve">requirement </w:t>
      </w:r>
      <w:r w:rsidRPr="00374A1D">
        <w:rPr>
          <w:rFonts w:ascii="Arial" w:eastAsia="Times New Roman" w:hAnsi="Arial" w:cs="Arial"/>
        </w:rPr>
        <w:t xml:space="preserve">on </w:t>
      </w:r>
      <w:r w:rsidR="00980803">
        <w:rPr>
          <w:rFonts w:ascii="Arial" w:eastAsia="Times New Roman" w:hAnsi="Arial" w:cs="Arial"/>
        </w:rPr>
        <w:t xml:space="preserve">responsible </w:t>
      </w:r>
      <w:r w:rsidRPr="00374A1D">
        <w:rPr>
          <w:rFonts w:ascii="Arial" w:eastAsia="Times New Roman" w:hAnsi="Arial" w:cs="Arial"/>
        </w:rPr>
        <w:t xml:space="preserve">entities </w:t>
      </w:r>
      <w:r w:rsidR="00AD7731">
        <w:rPr>
          <w:rFonts w:ascii="Arial" w:eastAsia="Times New Roman" w:hAnsi="Arial" w:cs="Arial"/>
        </w:rPr>
        <w:t>for</w:t>
      </w:r>
      <w:r w:rsidR="00A175E4">
        <w:rPr>
          <w:rFonts w:ascii="Arial" w:eastAsia="Times New Roman" w:hAnsi="Arial" w:cs="Arial"/>
        </w:rPr>
        <w:t xml:space="preserve"> </w:t>
      </w:r>
      <w:r w:rsidR="008056F4">
        <w:rPr>
          <w:rFonts w:ascii="Arial" w:eastAsia="Times New Roman" w:hAnsi="Arial" w:cs="Arial"/>
        </w:rPr>
        <w:t>critical infrastructure assets</w:t>
      </w:r>
      <w:r w:rsidRPr="00374A1D">
        <w:rPr>
          <w:rFonts w:ascii="Arial" w:eastAsia="Times New Roman" w:hAnsi="Arial" w:cs="Arial"/>
        </w:rPr>
        <w:t xml:space="preserve">. The </w:t>
      </w:r>
      <w:r w:rsidR="00980803">
        <w:rPr>
          <w:rFonts w:ascii="Arial" w:eastAsia="Times New Roman" w:hAnsi="Arial" w:cs="Arial"/>
        </w:rPr>
        <w:t xml:space="preserve">SLACIP </w:t>
      </w:r>
      <w:r w:rsidR="00D53785">
        <w:rPr>
          <w:rFonts w:ascii="Arial" w:eastAsia="Times New Roman" w:hAnsi="Arial" w:cs="Arial"/>
        </w:rPr>
        <w:t>Act</w:t>
      </w:r>
      <w:r w:rsidRPr="00374A1D">
        <w:rPr>
          <w:rFonts w:ascii="Arial" w:eastAsia="Times New Roman" w:hAnsi="Arial" w:cs="Arial"/>
        </w:rPr>
        <w:t xml:space="preserve">, including through the </w:t>
      </w:r>
      <w:r w:rsidR="00BB0179">
        <w:rPr>
          <w:rFonts w:ascii="Arial" w:eastAsia="Times New Roman" w:hAnsi="Arial" w:cs="Arial"/>
        </w:rPr>
        <w:t>RMP</w:t>
      </w:r>
      <w:r w:rsidRPr="00374A1D">
        <w:rPr>
          <w:rFonts w:ascii="Arial" w:eastAsia="Times New Roman" w:hAnsi="Arial" w:cs="Arial"/>
        </w:rPr>
        <w:t>, will make a significant contribution towards improving all</w:t>
      </w:r>
      <w:r w:rsidR="003C2987">
        <w:rPr>
          <w:rFonts w:ascii="Arial" w:eastAsia="Times New Roman" w:hAnsi="Arial" w:cs="Arial"/>
        </w:rPr>
        <w:t>-</w:t>
      </w:r>
      <w:r w:rsidRPr="00374A1D">
        <w:rPr>
          <w:rFonts w:ascii="Arial" w:eastAsia="Times New Roman" w:hAnsi="Arial" w:cs="Arial"/>
        </w:rPr>
        <w:t xml:space="preserve">hazard risk management across </w:t>
      </w:r>
      <w:r w:rsidR="008056F4">
        <w:rPr>
          <w:rFonts w:ascii="Arial" w:eastAsia="Times New Roman" w:hAnsi="Arial" w:cs="Arial"/>
        </w:rPr>
        <w:t>critical infrastructure assets</w:t>
      </w:r>
      <w:r w:rsidR="003C2987">
        <w:rPr>
          <w:rFonts w:ascii="Arial" w:eastAsia="Times New Roman" w:hAnsi="Arial" w:cs="Arial"/>
        </w:rPr>
        <w:t>,</w:t>
      </w:r>
      <w:r w:rsidRPr="00374A1D">
        <w:rPr>
          <w:rFonts w:ascii="Arial" w:eastAsia="Times New Roman" w:hAnsi="Arial" w:cs="Arial"/>
        </w:rPr>
        <w:t xml:space="preserve"> to uplift Australia’s resilience and deter attacks on Australia’s critical infrastructure</w:t>
      </w:r>
      <w:r w:rsidR="00980803">
        <w:rPr>
          <w:rFonts w:ascii="Arial" w:eastAsia="Times New Roman" w:hAnsi="Arial" w:cs="Arial"/>
        </w:rPr>
        <w:t>.</w:t>
      </w:r>
      <w:r w:rsidRPr="00374A1D">
        <w:rPr>
          <w:rFonts w:ascii="Arial" w:eastAsia="Times New Roman" w:hAnsi="Arial" w:cs="Arial"/>
        </w:rPr>
        <w:t xml:space="preserve"> </w:t>
      </w:r>
    </w:p>
    <w:p w14:paraId="5B1D1B32" w14:textId="6E495B41" w:rsidR="00374A1D" w:rsidRPr="00374A1D" w:rsidRDefault="008959E3" w:rsidP="005F38C8">
      <w:pPr>
        <w:pStyle w:val="BodyText"/>
      </w:pPr>
      <w:r>
        <w:t xml:space="preserve">The </w:t>
      </w:r>
      <w:r w:rsidR="0016603A">
        <w:t>RMP rules</w:t>
      </w:r>
      <w:r w:rsidR="00374A1D" w:rsidRPr="00374A1D">
        <w:t xml:space="preserve">, </w:t>
      </w:r>
      <w:r>
        <w:t>developed through consultation</w:t>
      </w:r>
      <w:r w:rsidR="00374A1D" w:rsidRPr="00374A1D">
        <w:t xml:space="preserve"> with industry stakeholders, will ensure the </w:t>
      </w:r>
      <w:r w:rsidR="00AD7731">
        <w:t xml:space="preserve">SLACIP </w:t>
      </w:r>
      <w:r w:rsidR="00D53785">
        <w:t>Act’s</w:t>
      </w:r>
      <w:r w:rsidR="00D53785" w:rsidRPr="00374A1D">
        <w:t xml:space="preserve"> </w:t>
      </w:r>
      <w:r w:rsidR="00374A1D" w:rsidRPr="00374A1D">
        <w:t xml:space="preserve">objectives are </w:t>
      </w:r>
      <w:r w:rsidR="00A175E4">
        <w:t xml:space="preserve">both sufficiently met and fit-for-purpose for industry. </w:t>
      </w:r>
      <w:r w:rsidR="00374A1D" w:rsidRPr="00374A1D">
        <w:t>The Department worked with stakeholders to understand existing risk management practices within each sector, including identifying existing regulators</w:t>
      </w:r>
      <w:r w:rsidR="003C2987">
        <w:t>,</w:t>
      </w:r>
      <w:r w:rsidR="00374A1D" w:rsidRPr="00374A1D">
        <w:t xml:space="preserve"> reporting requirements and potential regulatory gaps. Together, the Department and industry worked to address those gaps by developing </w:t>
      </w:r>
      <w:r w:rsidR="0016603A">
        <w:t>RMP rules</w:t>
      </w:r>
      <w:r w:rsidR="00374A1D" w:rsidRPr="00374A1D">
        <w:t xml:space="preserve"> to achieve the desired security outcomes under the </w:t>
      </w:r>
      <w:r w:rsidR="00AD7731">
        <w:t xml:space="preserve">SLACIP </w:t>
      </w:r>
      <w:r w:rsidR="00D53785">
        <w:t>Act</w:t>
      </w:r>
      <w:r w:rsidR="00374A1D" w:rsidRPr="00374A1D">
        <w:t>. These rules draw on existing domestic and international frameworks and good risk management practices</w:t>
      </w:r>
      <w:r w:rsidR="003C2987">
        <w:t>,</w:t>
      </w:r>
      <w:r w:rsidR="00374A1D" w:rsidRPr="00374A1D">
        <w:t xml:space="preserve"> based on academic and industry expertise. </w:t>
      </w:r>
      <w:r w:rsidR="00307A41" w:rsidRPr="00307A41">
        <w:t>They provide strong baseline principles and standards to be built upon in the future.</w:t>
      </w:r>
    </w:p>
    <w:p w14:paraId="06A921E9" w14:textId="77777777" w:rsidR="00374A1D" w:rsidRPr="002F1B2B" w:rsidRDefault="00374A1D" w:rsidP="005F38C8">
      <w:pPr>
        <w:pStyle w:val="Heading4"/>
      </w:pPr>
      <w:r w:rsidRPr="002F1B2B">
        <w:lastRenderedPageBreak/>
        <w:t xml:space="preserve">Existing critical infrastructure legislation </w:t>
      </w:r>
    </w:p>
    <w:p w14:paraId="2186ABD5" w14:textId="01F6CDCE" w:rsidR="00374A1D" w:rsidRPr="00374A1D" w:rsidRDefault="00374A1D" w:rsidP="00040B09">
      <w:pPr>
        <w:rPr>
          <w:rFonts w:ascii="Arial" w:eastAsia="Calibri" w:hAnsi="Arial" w:cs="Arial"/>
          <w:sz w:val="22"/>
        </w:rPr>
      </w:pPr>
      <w:r w:rsidRPr="00374A1D">
        <w:rPr>
          <w:rFonts w:ascii="Arial" w:eastAsia="Calibri" w:hAnsi="Arial" w:cs="Arial"/>
          <w:sz w:val="22"/>
        </w:rPr>
        <w:t xml:space="preserve">There are a range of legislative frameworks in place that seek to uplift critical infrastructure assets against some aspects of all hazard threats. Existing Commonwealth legislation that applies to critical infrastructure issues is outlined in </w:t>
      </w:r>
      <w:r w:rsidR="00040B09" w:rsidRPr="00040B09">
        <w:rPr>
          <w:rFonts w:ascii="Arial" w:eastAsia="Calibri" w:hAnsi="Arial" w:cs="Arial"/>
          <w:sz w:val="22"/>
        </w:rPr>
        <w:fldChar w:fldCharType="begin"/>
      </w:r>
      <w:r w:rsidR="00040B09" w:rsidRPr="00040B09">
        <w:rPr>
          <w:rFonts w:ascii="Arial" w:eastAsia="Calibri" w:hAnsi="Arial" w:cs="Arial"/>
          <w:sz w:val="22"/>
        </w:rPr>
        <w:instrText xml:space="preserve"> REF _Ref79154644 \h  \* MERGEFORMAT </w:instrText>
      </w:r>
      <w:r w:rsidR="00040B09" w:rsidRPr="00040B09">
        <w:rPr>
          <w:rFonts w:ascii="Arial" w:eastAsia="Calibri" w:hAnsi="Arial" w:cs="Arial"/>
          <w:sz w:val="22"/>
        </w:rPr>
      </w:r>
      <w:r w:rsidR="00040B09" w:rsidRPr="00040B09">
        <w:rPr>
          <w:rFonts w:ascii="Arial" w:eastAsia="Calibri" w:hAnsi="Arial" w:cs="Arial"/>
          <w:sz w:val="22"/>
        </w:rPr>
        <w:fldChar w:fldCharType="separate"/>
      </w:r>
      <w:r w:rsidR="009708D4" w:rsidRPr="009708D4">
        <w:rPr>
          <w:rFonts w:ascii="Arial" w:eastAsia="Calibri" w:hAnsi="Arial" w:cs="Arial"/>
          <w:bCs/>
          <w:iCs/>
          <w:sz w:val="22"/>
        </w:rPr>
        <w:t xml:space="preserve">Table </w:t>
      </w:r>
      <w:r w:rsidR="009708D4" w:rsidRPr="009708D4">
        <w:rPr>
          <w:rFonts w:ascii="Arial" w:eastAsia="Calibri" w:hAnsi="Arial" w:cs="Arial"/>
          <w:bCs/>
          <w:iCs/>
          <w:noProof/>
          <w:sz w:val="22"/>
        </w:rPr>
        <w:t>5</w:t>
      </w:r>
      <w:r w:rsidR="00040B09" w:rsidRPr="00040B09">
        <w:rPr>
          <w:rFonts w:ascii="Arial" w:eastAsia="Calibri" w:hAnsi="Arial" w:cs="Arial"/>
          <w:sz w:val="22"/>
        </w:rPr>
        <w:fldChar w:fldCharType="end"/>
      </w:r>
      <w:r w:rsidRPr="00374A1D">
        <w:rPr>
          <w:rFonts w:ascii="Arial" w:eastAsia="Calibri" w:hAnsi="Arial" w:cs="Arial"/>
          <w:sz w:val="22"/>
        </w:rPr>
        <w:t xml:space="preserve"> below. The table also highlights why existing regulatory schemes are not capable of addressing the problems discussed in this section.</w:t>
      </w:r>
      <w:bookmarkStart w:id="156" w:name="_Ref78459605"/>
      <w:bookmarkStart w:id="157" w:name="_Toc78878010"/>
    </w:p>
    <w:p w14:paraId="467AC918" w14:textId="4F5C2A6F" w:rsidR="00374A1D" w:rsidRPr="00374A1D" w:rsidRDefault="00374A1D" w:rsidP="0096660B">
      <w:pPr>
        <w:pStyle w:val="Caption"/>
      </w:pPr>
      <w:bookmarkStart w:id="158" w:name="_Ref79154644"/>
      <w:bookmarkStart w:id="159" w:name="_Toc79156686"/>
      <w:bookmarkStart w:id="160" w:name="_Toc120115090"/>
      <w:r w:rsidRPr="00374A1D">
        <w:rPr>
          <w:b/>
          <w:bCs/>
        </w:rPr>
        <w:t xml:space="preserve">Table </w:t>
      </w:r>
      <w:r w:rsidRPr="00374A1D">
        <w:rPr>
          <w:b/>
          <w:bCs/>
        </w:rPr>
        <w:fldChar w:fldCharType="begin"/>
      </w:r>
      <w:r w:rsidRPr="00374A1D">
        <w:rPr>
          <w:b/>
          <w:bCs/>
        </w:rPr>
        <w:instrText xml:space="preserve"> SEQ Table \* ARABIC </w:instrText>
      </w:r>
      <w:r w:rsidRPr="00374A1D">
        <w:rPr>
          <w:b/>
          <w:bCs/>
        </w:rPr>
        <w:fldChar w:fldCharType="separate"/>
      </w:r>
      <w:r w:rsidR="009708D4">
        <w:rPr>
          <w:b/>
          <w:bCs/>
          <w:noProof/>
        </w:rPr>
        <w:t>5</w:t>
      </w:r>
      <w:r w:rsidRPr="00374A1D">
        <w:rPr>
          <w:b/>
          <w:bCs/>
        </w:rPr>
        <w:fldChar w:fldCharType="end"/>
      </w:r>
      <w:bookmarkEnd w:id="156"/>
      <w:bookmarkEnd w:id="158"/>
      <w:r w:rsidRPr="00374A1D">
        <w:t xml:space="preserve"> Overview of Commonwealth critical infrastructure legislation</w:t>
      </w:r>
      <w:bookmarkEnd w:id="157"/>
      <w:bookmarkEnd w:id="159"/>
      <w:bookmarkEnd w:id="160"/>
    </w:p>
    <w:tbl>
      <w:tblPr>
        <w:tblStyle w:val="TableGrid2"/>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1591"/>
        <w:gridCol w:w="3371"/>
        <w:gridCol w:w="4676"/>
      </w:tblGrid>
      <w:tr w:rsidR="004A14C7" w:rsidRPr="00374A1D" w14:paraId="491E075E" w14:textId="77777777" w:rsidTr="008B5292">
        <w:trPr>
          <w:trHeight w:val="227"/>
          <w:tblHeader/>
        </w:trPr>
        <w:tc>
          <w:tcPr>
            <w:tcW w:w="2574" w:type="pct"/>
            <w:gridSpan w:val="2"/>
            <w:shd w:val="clear" w:color="auto" w:fill="034EA2" w:themeFill="accent1"/>
            <w:vAlign w:val="center"/>
          </w:tcPr>
          <w:p w14:paraId="6F8178D4" w14:textId="77777777" w:rsidR="004A14C7" w:rsidRPr="00374A1D" w:rsidRDefault="004A14C7" w:rsidP="008B5292">
            <w:pPr>
              <w:pStyle w:val="TableHeading"/>
            </w:pPr>
            <w:r w:rsidRPr="00374A1D">
              <w:t>Overview of regulation</w:t>
            </w:r>
          </w:p>
        </w:tc>
        <w:tc>
          <w:tcPr>
            <w:tcW w:w="2426" w:type="pct"/>
            <w:shd w:val="clear" w:color="auto" w:fill="034EA2" w:themeFill="accent1"/>
            <w:vAlign w:val="center"/>
          </w:tcPr>
          <w:p w14:paraId="5505586C" w14:textId="77777777" w:rsidR="004A14C7" w:rsidRPr="00374A1D" w:rsidRDefault="004A14C7" w:rsidP="008B5292">
            <w:pPr>
              <w:pStyle w:val="TableHeading"/>
            </w:pPr>
            <w:r w:rsidRPr="00374A1D">
              <w:t>Identified gaps</w:t>
            </w:r>
          </w:p>
        </w:tc>
      </w:tr>
      <w:tr w:rsidR="004A14C7" w:rsidRPr="00374A1D" w14:paraId="04E87F36" w14:textId="77777777" w:rsidTr="008B5292">
        <w:trPr>
          <w:trHeight w:val="492"/>
        </w:trPr>
        <w:tc>
          <w:tcPr>
            <w:tcW w:w="825" w:type="pct"/>
          </w:tcPr>
          <w:p w14:paraId="200D7CB7" w14:textId="77777777" w:rsidR="004A14C7" w:rsidRPr="008B5292" w:rsidRDefault="004A14C7" w:rsidP="008B5292">
            <w:pPr>
              <w:pStyle w:val="TableBody"/>
              <w:rPr>
                <w:b/>
                <w:bCs/>
              </w:rPr>
            </w:pPr>
            <w:r w:rsidRPr="008B5292">
              <w:rPr>
                <w:b/>
                <w:bCs/>
              </w:rPr>
              <w:t>Security of Critical Infrastructure Act 2018 (Cth)</w:t>
            </w:r>
          </w:p>
        </w:tc>
        <w:tc>
          <w:tcPr>
            <w:tcW w:w="1749" w:type="pct"/>
          </w:tcPr>
          <w:p w14:paraId="40762A9C" w14:textId="77777777" w:rsidR="004A14C7" w:rsidRPr="00374A1D" w:rsidRDefault="004A14C7" w:rsidP="008B5292">
            <w:pPr>
              <w:pStyle w:val="TableBody"/>
            </w:pPr>
            <w:r w:rsidRPr="00374A1D">
              <w:t xml:space="preserve">Establishes a </w:t>
            </w:r>
            <w:r w:rsidRPr="00374A1D">
              <w:rPr>
                <w:shd w:val="clear" w:color="auto" w:fill="FFFFFF"/>
              </w:rPr>
              <w:t>framework for managing risks to national security related to 'critical infrastructure assets' by, among other mechanisms, creating a Register of Critical Infrastructure Assets.</w:t>
            </w:r>
          </w:p>
        </w:tc>
        <w:tc>
          <w:tcPr>
            <w:tcW w:w="2426" w:type="pct"/>
            <w:shd w:val="clear" w:color="auto" w:fill="EDEDED"/>
          </w:tcPr>
          <w:p w14:paraId="104D6A02" w14:textId="7BB5FCAA" w:rsidR="004A14C7" w:rsidRPr="00374A1D" w:rsidRDefault="00D53785" w:rsidP="00D53785">
            <w:pPr>
              <w:pStyle w:val="TableBody"/>
            </w:pPr>
            <w:r>
              <w:t>Without the RMP obligations contained within the SLACIP Act</w:t>
            </w:r>
            <w:r w:rsidR="00196706">
              <w:t xml:space="preserve"> ‘switched on’</w:t>
            </w:r>
            <w:r>
              <w:t xml:space="preserve">, </w:t>
            </w:r>
            <w:r w:rsidR="004A14C7" w:rsidRPr="00374A1D">
              <w:t xml:space="preserve">the </w:t>
            </w:r>
            <w:r w:rsidR="00384419">
              <w:t>SOCI Act</w:t>
            </w:r>
            <w:r w:rsidR="004A14C7" w:rsidRPr="00374A1D">
              <w:t xml:space="preserve"> does not impose uplifted security obligations on critical infrastructure assets. Requirements on industry are limited and do not mandate active security and resilience management. While the Register of Critical Infrastructure Assets is invaluable to understand the aggregate picture of ownership and operation across Australia, it does not facilitate all hazard risk management. </w:t>
            </w:r>
          </w:p>
        </w:tc>
      </w:tr>
      <w:tr w:rsidR="004A14C7" w:rsidRPr="00374A1D" w14:paraId="65E7E064" w14:textId="77777777" w:rsidTr="008B5292">
        <w:trPr>
          <w:trHeight w:val="563"/>
        </w:trPr>
        <w:tc>
          <w:tcPr>
            <w:tcW w:w="825" w:type="pct"/>
          </w:tcPr>
          <w:p w14:paraId="6664DBBC" w14:textId="77777777" w:rsidR="004A14C7" w:rsidRPr="008B5292" w:rsidRDefault="004A14C7" w:rsidP="008B5292">
            <w:pPr>
              <w:pStyle w:val="TableBody"/>
              <w:rPr>
                <w:b/>
                <w:bCs/>
              </w:rPr>
            </w:pPr>
            <w:r w:rsidRPr="008B5292">
              <w:rPr>
                <w:b/>
                <w:bCs/>
              </w:rPr>
              <w:t>Foreign Acquisitions and Takeovers Act 1975 (Cth) (‘FATA’)</w:t>
            </w:r>
          </w:p>
        </w:tc>
        <w:tc>
          <w:tcPr>
            <w:tcW w:w="1749" w:type="pct"/>
          </w:tcPr>
          <w:p w14:paraId="464EA013" w14:textId="3158A435" w:rsidR="004A14C7" w:rsidRPr="00374A1D" w:rsidRDefault="004A14C7" w:rsidP="0050477D">
            <w:pPr>
              <w:pStyle w:val="TableBody"/>
            </w:pPr>
            <w:r w:rsidRPr="5A0F11A8">
              <w:t>Sets out the circumstances and processes for decision</w:t>
            </w:r>
            <w:r w:rsidR="1164893D" w:rsidRPr="5A0F11A8">
              <w:t xml:space="preserve"> </w:t>
            </w:r>
            <w:r w:rsidRPr="5A0F11A8">
              <w:t xml:space="preserve">making in relation to foreign investment applications - known as 'significant actions'. Under the </w:t>
            </w:r>
            <w:r w:rsidR="003C2987">
              <w:t>FATA</w:t>
            </w:r>
            <w:r w:rsidRPr="5A0F11A8">
              <w:t>, the Treasurer (in consultation with other relevant bodies) may allow the action, impose conditions on the action, prohibit the action, or require that the action be undone.</w:t>
            </w:r>
          </w:p>
        </w:tc>
        <w:tc>
          <w:tcPr>
            <w:tcW w:w="2426" w:type="pct"/>
            <w:shd w:val="clear" w:color="auto" w:fill="EDEDED"/>
          </w:tcPr>
          <w:p w14:paraId="515FDE81" w14:textId="50BA87C9" w:rsidR="004A14C7" w:rsidRPr="00374A1D" w:rsidRDefault="004A14C7" w:rsidP="00D53785">
            <w:pPr>
              <w:pStyle w:val="TableBody"/>
              <w:rPr>
                <w:color w:val="000000"/>
              </w:rPr>
            </w:pPr>
            <w:r w:rsidRPr="00374A1D">
              <w:t>The inability of Government to impose requirements on entities to protect their assets has created an over</w:t>
            </w:r>
            <w:r w:rsidRPr="00374A1D">
              <w:noBreakHyphen/>
              <w:t xml:space="preserve">reliance on the FATA to manage risks. As the geopolitical environment continues to evolve, and Australia’s national economy and critical infrastructure become ever more complex and interconnected, it is essential that the foreign investment review framework as set out in the FATA and the risk management framework under the </w:t>
            </w:r>
            <w:r w:rsidR="00384419">
              <w:t>SOCI Act</w:t>
            </w:r>
            <w:r w:rsidRPr="00374A1D">
              <w:t xml:space="preserve"> adapt to meet these challenges. The </w:t>
            </w:r>
            <w:r w:rsidR="008B25CD">
              <w:t>SLACIP</w:t>
            </w:r>
            <w:r w:rsidRPr="00374A1D">
              <w:t xml:space="preserve"> </w:t>
            </w:r>
            <w:r w:rsidR="00D53785">
              <w:t>Act</w:t>
            </w:r>
            <w:r w:rsidR="00D53785" w:rsidRPr="00374A1D">
              <w:t xml:space="preserve"> </w:t>
            </w:r>
            <w:r w:rsidRPr="00374A1D">
              <w:t>seeks to compliment the FATA by providing an ownership agnostic risk management framework.</w:t>
            </w:r>
          </w:p>
        </w:tc>
      </w:tr>
      <w:tr w:rsidR="00657E48" w:rsidRPr="00374A1D" w14:paraId="682A4C31" w14:textId="77777777" w:rsidTr="008B5292">
        <w:trPr>
          <w:trHeight w:val="563"/>
        </w:trPr>
        <w:tc>
          <w:tcPr>
            <w:tcW w:w="825" w:type="pct"/>
          </w:tcPr>
          <w:p w14:paraId="14F5858D" w14:textId="4A37D547" w:rsidR="00657E48" w:rsidRPr="008B5292" w:rsidRDefault="00657E48" w:rsidP="008B5292">
            <w:pPr>
              <w:pStyle w:val="TableBody"/>
              <w:rPr>
                <w:b/>
                <w:bCs/>
              </w:rPr>
            </w:pPr>
            <w:r w:rsidRPr="008B5292">
              <w:rPr>
                <w:b/>
                <w:bCs/>
              </w:rPr>
              <w:t>Security Legislation Amendment (Critical Infrastructure) Act 2021</w:t>
            </w:r>
          </w:p>
        </w:tc>
        <w:tc>
          <w:tcPr>
            <w:tcW w:w="1749" w:type="pct"/>
          </w:tcPr>
          <w:p w14:paraId="2A11385B" w14:textId="040F89CE" w:rsidR="00657E48" w:rsidRPr="5A0F11A8" w:rsidRDefault="00657E48" w:rsidP="008B5292">
            <w:pPr>
              <w:pStyle w:val="TableBody"/>
            </w:pPr>
            <w:r w:rsidRPr="00374A1D">
              <w:t>Establishe</w:t>
            </w:r>
            <w:r w:rsidR="00196706">
              <w:t>d</w:t>
            </w:r>
            <w:r w:rsidRPr="00374A1D">
              <w:t xml:space="preserve"> </w:t>
            </w:r>
            <w:r>
              <w:t xml:space="preserve">an enhanced </w:t>
            </w:r>
            <w:r w:rsidRPr="00374A1D">
              <w:rPr>
                <w:shd w:val="clear" w:color="auto" w:fill="FFFFFF"/>
              </w:rPr>
              <w:t>framework for managing</w:t>
            </w:r>
            <w:r>
              <w:rPr>
                <w:shd w:val="clear" w:color="auto" w:fill="FFFFFF"/>
              </w:rPr>
              <w:t xml:space="preserve"> cybersecurity risks </w:t>
            </w:r>
            <w:r w:rsidRPr="00374A1D">
              <w:rPr>
                <w:shd w:val="clear" w:color="auto" w:fill="FFFFFF"/>
              </w:rPr>
              <w:t xml:space="preserve">to </w:t>
            </w:r>
            <w:r>
              <w:rPr>
                <w:shd w:val="clear" w:color="auto" w:fill="FFFFFF"/>
              </w:rPr>
              <w:t xml:space="preserve">an expanded list of </w:t>
            </w:r>
            <w:r w:rsidRPr="00374A1D">
              <w:rPr>
                <w:shd w:val="clear" w:color="auto" w:fill="FFFFFF"/>
              </w:rPr>
              <w:t>'critical infrastructure assets' by, among other mechanisms, creating a Register of Critical Infrastructure Assets</w:t>
            </w:r>
            <w:r>
              <w:rPr>
                <w:shd w:val="clear" w:color="auto" w:fill="FFFFFF"/>
              </w:rPr>
              <w:t xml:space="preserve"> and </w:t>
            </w:r>
            <w:r w:rsidR="002C13FB">
              <w:rPr>
                <w:shd w:val="clear" w:color="auto" w:fill="FFFFFF"/>
              </w:rPr>
              <w:t>G</w:t>
            </w:r>
            <w:r>
              <w:rPr>
                <w:shd w:val="clear" w:color="auto" w:fill="FFFFFF"/>
              </w:rPr>
              <w:t xml:space="preserve">overnment </w:t>
            </w:r>
            <w:r w:rsidR="002C13FB">
              <w:rPr>
                <w:shd w:val="clear" w:color="auto" w:fill="FFFFFF"/>
              </w:rPr>
              <w:t>A</w:t>
            </w:r>
            <w:r>
              <w:rPr>
                <w:shd w:val="clear" w:color="auto" w:fill="FFFFFF"/>
              </w:rPr>
              <w:t xml:space="preserve">ssistance powers. </w:t>
            </w:r>
          </w:p>
        </w:tc>
        <w:tc>
          <w:tcPr>
            <w:tcW w:w="2426" w:type="pct"/>
            <w:shd w:val="clear" w:color="auto" w:fill="EDEDED"/>
          </w:tcPr>
          <w:p w14:paraId="71ABD57F" w14:textId="4157B2E8" w:rsidR="00657E48" w:rsidRPr="00374A1D" w:rsidRDefault="00FC4142" w:rsidP="003F533E">
            <w:pPr>
              <w:pStyle w:val="TableBody"/>
            </w:pPr>
            <w:r>
              <w:t xml:space="preserve">The </w:t>
            </w:r>
            <w:r w:rsidR="003F533E">
              <w:t>SLACI</w:t>
            </w:r>
            <w:r w:rsidR="002C13FB" w:rsidRPr="00374A1D">
              <w:t xml:space="preserve"> Act does not impose all hazard risk management</w:t>
            </w:r>
            <w:r w:rsidR="002C13FB">
              <w:t xml:space="preserve"> obligations on critical infrastructure assets. </w:t>
            </w:r>
          </w:p>
        </w:tc>
      </w:tr>
      <w:tr w:rsidR="003F533E" w:rsidRPr="00374A1D" w14:paraId="5DD49740" w14:textId="77777777" w:rsidTr="008B5292">
        <w:trPr>
          <w:trHeight w:val="563"/>
        </w:trPr>
        <w:tc>
          <w:tcPr>
            <w:tcW w:w="825" w:type="pct"/>
          </w:tcPr>
          <w:p w14:paraId="46DFB123" w14:textId="45020F26" w:rsidR="003F533E" w:rsidRPr="003F533E" w:rsidRDefault="003F533E" w:rsidP="008B5292">
            <w:pPr>
              <w:pStyle w:val="TableBody"/>
              <w:rPr>
                <w:b/>
                <w:bCs/>
              </w:rPr>
            </w:pPr>
            <w:r>
              <w:rPr>
                <w:b/>
                <w:bCs/>
              </w:rPr>
              <w:t>Security Legislation Amendment (Critical Infrastructure Protection) Act 2022</w:t>
            </w:r>
          </w:p>
        </w:tc>
        <w:tc>
          <w:tcPr>
            <w:tcW w:w="1749" w:type="pct"/>
          </w:tcPr>
          <w:p w14:paraId="0E9B5C0B" w14:textId="21B1CE06" w:rsidR="003F533E" w:rsidRPr="00374A1D" w:rsidRDefault="003F533E" w:rsidP="008B5292">
            <w:pPr>
              <w:pStyle w:val="TableBody"/>
            </w:pPr>
            <w:r>
              <w:t>Established the ability to designate the most important critical infrastructure assets as systems of national significant and apply enhanced cyber security obligations to these assets. Introduced critical infrastructure risk management program obligations to require all hazards risk management for certain assets.</w:t>
            </w:r>
          </w:p>
        </w:tc>
        <w:tc>
          <w:tcPr>
            <w:tcW w:w="2426" w:type="pct"/>
            <w:shd w:val="clear" w:color="auto" w:fill="EDEDED"/>
          </w:tcPr>
          <w:p w14:paraId="7926BAAE" w14:textId="2E1904C4" w:rsidR="003F533E" w:rsidRDefault="003F533E" w:rsidP="008B5292">
            <w:pPr>
              <w:pStyle w:val="TableBody"/>
            </w:pPr>
            <w:r>
              <w:t>The SLACIP</w:t>
            </w:r>
            <w:r w:rsidRPr="00374A1D">
              <w:t xml:space="preserve"> Act does not impose all hazard risk management</w:t>
            </w:r>
            <w:r>
              <w:t xml:space="preserve"> obligations on critical infrastructure assets without the risk management program obligations switched on by the Minister for Home Affairs. </w:t>
            </w:r>
          </w:p>
        </w:tc>
      </w:tr>
    </w:tbl>
    <w:p w14:paraId="539843D0" w14:textId="77777777" w:rsidR="00E70887" w:rsidRDefault="00E70887" w:rsidP="00E70887">
      <w:pPr>
        <w:pStyle w:val="BodyText"/>
      </w:pPr>
    </w:p>
    <w:p w14:paraId="0B983AE4" w14:textId="39036DCE" w:rsidR="00374A1D" w:rsidRPr="002F1B2B" w:rsidRDefault="00374A1D" w:rsidP="0096660B">
      <w:pPr>
        <w:pStyle w:val="Heading4"/>
      </w:pPr>
      <w:r w:rsidRPr="002F1B2B">
        <w:lastRenderedPageBreak/>
        <w:t xml:space="preserve">Existing legislation related to </w:t>
      </w:r>
      <w:r w:rsidR="00980803">
        <w:t>each relevant critical infrastructure asset</w:t>
      </w:r>
      <w:r w:rsidRPr="002F1B2B">
        <w:t xml:space="preserve"> </w:t>
      </w:r>
    </w:p>
    <w:p w14:paraId="6A17F925" w14:textId="4287949E" w:rsidR="00A9302D" w:rsidRDefault="00A9302D" w:rsidP="0096660B">
      <w:pPr>
        <w:pStyle w:val="BodyText"/>
      </w:pPr>
      <w:r>
        <w:t xml:space="preserve">In addition to Commonwealth legislation which applies to critical infrastructure, there are a range of sector-specific </w:t>
      </w:r>
      <w:r w:rsidR="00DF15C9">
        <w:t>f</w:t>
      </w:r>
      <w:r w:rsidR="00433C49">
        <w:t>ederal</w:t>
      </w:r>
      <w:r>
        <w:t xml:space="preserve">, </w:t>
      </w:r>
      <w:r w:rsidR="002B1FD4">
        <w:t>s</w:t>
      </w:r>
      <w:r>
        <w:t xml:space="preserve">tate and </w:t>
      </w:r>
      <w:r w:rsidR="002B1FD4">
        <w:t>t</w:t>
      </w:r>
      <w:r>
        <w:t xml:space="preserve">erritory legislative and regulatory frameworks which impose some </w:t>
      </w:r>
      <w:r w:rsidR="009F006F">
        <w:t>obligations on responsible entities for critical infrastructure assets.</w:t>
      </w:r>
    </w:p>
    <w:p w14:paraId="34BDE2C0" w14:textId="665D513B" w:rsidR="00B20544" w:rsidRDefault="00980803" w:rsidP="0096660B">
      <w:pPr>
        <w:pStyle w:val="BodyText"/>
      </w:pPr>
      <w:r>
        <w:t xml:space="preserve">Refer to </w:t>
      </w:r>
      <w:r w:rsidR="00E849F6" w:rsidRPr="00E849F6">
        <w:rPr>
          <w:szCs w:val="24"/>
        </w:rPr>
        <w:t xml:space="preserve">Appendices </w:t>
      </w:r>
      <w:r w:rsidR="00D57A98">
        <w:rPr>
          <w:szCs w:val="24"/>
        </w:rPr>
        <w:t xml:space="preserve">G – </w:t>
      </w:r>
      <w:r w:rsidR="00DF15C9">
        <w:rPr>
          <w:szCs w:val="24"/>
        </w:rPr>
        <w:t>R</w:t>
      </w:r>
      <w:r>
        <w:t xml:space="preserve"> for </w:t>
      </w:r>
      <w:r w:rsidR="00B20544">
        <w:t xml:space="preserve">an overview of </w:t>
      </w:r>
      <w:r w:rsidR="00374A1D" w:rsidRPr="00374A1D">
        <w:t xml:space="preserve">legislation and corresponding </w:t>
      </w:r>
      <w:r w:rsidR="00374A1D" w:rsidRPr="004425D9">
        <w:t xml:space="preserve">gaps which relate to </w:t>
      </w:r>
      <w:r w:rsidR="00B20544">
        <w:t>each of the relevant critical infrastructure assets</w:t>
      </w:r>
      <w:r w:rsidR="00374A1D" w:rsidRPr="004425D9">
        <w:t xml:space="preserve">. </w:t>
      </w:r>
      <w:r w:rsidR="0065493E">
        <w:t xml:space="preserve">Regulatory regimes which were not considered relevant for the purposes of this RIS, as they did not contain provisions pertaining to security or risk management, were not included for consideration. </w:t>
      </w:r>
    </w:p>
    <w:p w14:paraId="73B09F36" w14:textId="5F24C005" w:rsidR="00374A1D" w:rsidRPr="00374A1D" w:rsidRDefault="001F5EB9" w:rsidP="0096660B">
      <w:pPr>
        <w:pStyle w:val="BodyText"/>
        <w:rPr>
          <w:rFonts w:eastAsia="Calibri"/>
        </w:rPr>
      </w:pPr>
      <w:r>
        <w:rPr>
          <w:rFonts w:eastAsia="Calibri"/>
        </w:rPr>
        <w:t>There are s</w:t>
      </w:r>
      <w:r w:rsidR="00374A1D" w:rsidRPr="00374A1D">
        <w:rPr>
          <w:rFonts w:eastAsia="Calibri"/>
        </w:rPr>
        <w:t xml:space="preserve">everal standards, guidelines and regulators which relate to </w:t>
      </w:r>
      <w:r>
        <w:rPr>
          <w:rFonts w:eastAsia="Calibri"/>
        </w:rPr>
        <w:t>each of the relevant critical infrastructure assets a</w:t>
      </w:r>
      <w:r w:rsidR="00374A1D" w:rsidRPr="00627B00">
        <w:rPr>
          <w:rFonts w:eastAsia="Calibri"/>
        </w:rPr>
        <w:t>t a</w:t>
      </w:r>
      <w:r w:rsidR="00374A1D" w:rsidRPr="00627B00" w:rsidDel="002B1FD4">
        <w:rPr>
          <w:rFonts w:eastAsia="Calibri"/>
        </w:rPr>
        <w:t xml:space="preserve"> </w:t>
      </w:r>
      <w:r w:rsidR="00D16D55">
        <w:rPr>
          <w:rFonts w:eastAsia="Calibri"/>
        </w:rPr>
        <w:t>f</w:t>
      </w:r>
      <w:r w:rsidR="002B1FD4">
        <w:rPr>
          <w:rFonts w:eastAsia="Calibri"/>
        </w:rPr>
        <w:t>ederal</w:t>
      </w:r>
      <w:r w:rsidR="00374A1D" w:rsidRPr="00627B00">
        <w:rPr>
          <w:rFonts w:eastAsia="Calibri"/>
        </w:rPr>
        <w:t xml:space="preserve">, </w:t>
      </w:r>
      <w:r w:rsidR="002B1FD4">
        <w:rPr>
          <w:rFonts w:eastAsia="Calibri"/>
        </w:rPr>
        <w:t>s</w:t>
      </w:r>
      <w:r w:rsidR="00374A1D" w:rsidRPr="00627B00">
        <w:rPr>
          <w:rFonts w:eastAsia="Calibri"/>
        </w:rPr>
        <w:t xml:space="preserve">tate and </w:t>
      </w:r>
      <w:r w:rsidR="002B1FD4">
        <w:rPr>
          <w:rFonts w:eastAsia="Calibri"/>
        </w:rPr>
        <w:t>t</w:t>
      </w:r>
      <w:r w:rsidR="00374A1D" w:rsidRPr="00627B00">
        <w:rPr>
          <w:rFonts w:eastAsia="Calibri"/>
        </w:rPr>
        <w:t xml:space="preserve">erritory level. An overview of these </w:t>
      </w:r>
      <w:r>
        <w:rPr>
          <w:rFonts w:eastAsia="Calibri"/>
        </w:rPr>
        <w:t xml:space="preserve">can also be found in </w:t>
      </w:r>
      <w:r w:rsidR="00E849F6" w:rsidRPr="00E849F6">
        <w:rPr>
          <w:szCs w:val="24"/>
        </w:rPr>
        <w:t xml:space="preserve">Appendices </w:t>
      </w:r>
      <w:r w:rsidR="00D57A98">
        <w:rPr>
          <w:szCs w:val="24"/>
        </w:rPr>
        <w:t xml:space="preserve">G – </w:t>
      </w:r>
      <w:r w:rsidR="00D16D55">
        <w:rPr>
          <w:szCs w:val="24"/>
        </w:rPr>
        <w:t>R</w:t>
      </w:r>
      <w:r w:rsidR="00E849F6">
        <w:rPr>
          <w:rFonts w:eastAsia="Calibri"/>
        </w:rPr>
        <w:t xml:space="preserve"> </w:t>
      </w:r>
      <w:r>
        <w:rPr>
          <w:rFonts w:eastAsia="Calibri"/>
        </w:rPr>
        <w:t xml:space="preserve">for each relevant critical infrastructure </w:t>
      </w:r>
      <w:r w:rsidR="0060203C">
        <w:rPr>
          <w:rFonts w:eastAsia="Calibri"/>
        </w:rPr>
        <w:t xml:space="preserve">asset. </w:t>
      </w:r>
    </w:p>
    <w:p w14:paraId="59D8D50C" w14:textId="77777777" w:rsidR="002F41CA" w:rsidRDefault="00374A1D" w:rsidP="0096660B">
      <w:pPr>
        <w:pStyle w:val="BodyText"/>
        <w:rPr>
          <w:rFonts w:eastAsia="Calibri"/>
        </w:rPr>
      </w:pPr>
      <w:r w:rsidRPr="00374A1D">
        <w:rPr>
          <w:rFonts w:eastAsia="Calibri"/>
        </w:rPr>
        <w:t xml:space="preserve">The legislative mechanisms and subsequent gaps highlighted indicate the growing need for greater preservation of Australia’s critical infrastructure on a regulatory level. There is significant momentum and appetite for direction in the critical infrastructure </w:t>
      </w:r>
      <w:r w:rsidR="002F41CA" w:rsidRPr="00374A1D">
        <w:rPr>
          <w:rFonts w:eastAsia="Calibri"/>
        </w:rPr>
        <w:t>space, as</w:t>
      </w:r>
      <w:r w:rsidRPr="00374A1D">
        <w:rPr>
          <w:rFonts w:eastAsia="Calibri"/>
        </w:rPr>
        <w:t xml:space="preserve"> well </w:t>
      </w:r>
      <w:r w:rsidR="003C2987">
        <w:rPr>
          <w:rFonts w:eastAsia="Calibri"/>
        </w:rPr>
        <w:t>as</w:t>
      </w:r>
      <w:r w:rsidRPr="00374A1D">
        <w:rPr>
          <w:rFonts w:eastAsia="Calibri"/>
        </w:rPr>
        <w:t xml:space="preserve"> for </w:t>
      </w:r>
      <w:r w:rsidR="008056F4">
        <w:rPr>
          <w:rFonts w:eastAsia="Calibri"/>
        </w:rPr>
        <w:t>critical infrastructure assets</w:t>
      </w:r>
      <w:r w:rsidRPr="00374A1D">
        <w:rPr>
          <w:rFonts w:eastAsia="Calibri"/>
        </w:rPr>
        <w:t xml:space="preserve"> specifically. However, existing regulatory mechanisms </w:t>
      </w:r>
      <w:r w:rsidR="00A72E30">
        <w:rPr>
          <w:rFonts w:eastAsia="Calibri"/>
        </w:rPr>
        <w:t xml:space="preserve">either </w:t>
      </w:r>
      <w:r w:rsidRPr="00374A1D">
        <w:rPr>
          <w:rFonts w:eastAsia="Calibri"/>
        </w:rPr>
        <w:t>seek to address critical infrastructure security and resilience on a broad basis, with little or no reference to the nuanced operating environment of each critical infrastructure sector and its assets</w:t>
      </w:r>
      <w:r w:rsidR="00A72E30" w:rsidRPr="002F41CA">
        <w:rPr>
          <w:rFonts w:eastAsia="Calibri"/>
        </w:rPr>
        <w:t xml:space="preserve">, or </w:t>
      </w:r>
      <w:r w:rsidR="00511642" w:rsidRPr="002F41CA">
        <w:rPr>
          <w:rFonts w:eastAsia="Calibri"/>
        </w:rPr>
        <w:t xml:space="preserve">they </w:t>
      </w:r>
      <w:r w:rsidR="00E86999" w:rsidRPr="002F41CA">
        <w:rPr>
          <w:rFonts w:eastAsia="Calibri"/>
        </w:rPr>
        <w:t>do not impose obligations on a whole-of-sector basis, allowing for vulnerabilities</w:t>
      </w:r>
      <w:r w:rsidR="00FD40A5" w:rsidRPr="002F41CA">
        <w:rPr>
          <w:rFonts w:eastAsia="Calibri"/>
        </w:rPr>
        <w:t xml:space="preserve"> </w:t>
      </w:r>
      <w:r w:rsidR="00253657">
        <w:rPr>
          <w:rFonts w:eastAsia="Calibri"/>
        </w:rPr>
        <w:t>in</w:t>
      </w:r>
      <w:r w:rsidR="00FD40A5" w:rsidRPr="002F41CA">
        <w:rPr>
          <w:rFonts w:eastAsia="Calibri"/>
        </w:rPr>
        <w:t xml:space="preserve"> </w:t>
      </w:r>
      <w:r w:rsidR="0060203C" w:rsidRPr="002F41CA">
        <w:rPr>
          <w:rFonts w:eastAsia="Calibri"/>
        </w:rPr>
        <w:t>often highly interconnected sectors</w:t>
      </w:r>
      <w:r w:rsidR="00CA43B0" w:rsidRPr="002F41CA">
        <w:rPr>
          <w:rFonts w:eastAsia="Calibri"/>
        </w:rPr>
        <w:t xml:space="preserve">. </w:t>
      </w:r>
      <w:r w:rsidRPr="002F41CA">
        <w:rPr>
          <w:rFonts w:eastAsia="Calibri"/>
        </w:rPr>
        <w:t>This is not unexpected, as it is generally the role of delegated legislative</w:t>
      </w:r>
      <w:r w:rsidRPr="00374A1D">
        <w:rPr>
          <w:rFonts w:eastAsia="Calibri"/>
        </w:rPr>
        <w:t xml:space="preserve"> instruments, such as rules, to capture and address unique industry and supply chain circumstances. </w:t>
      </w:r>
      <w:bookmarkStart w:id="161" w:name="_Toc70606792"/>
      <w:bookmarkStart w:id="162" w:name="_Toc70671193"/>
      <w:bookmarkStart w:id="163" w:name="_Toc70672656"/>
      <w:bookmarkStart w:id="164" w:name="_Toc70672826"/>
      <w:bookmarkStart w:id="165" w:name="_Toc71710861"/>
      <w:bookmarkStart w:id="166" w:name="_Toc71720815"/>
      <w:bookmarkStart w:id="167" w:name="_Toc73029731"/>
      <w:bookmarkStart w:id="168" w:name="_Toc73609408"/>
      <w:bookmarkStart w:id="169" w:name="_Toc74133863"/>
      <w:bookmarkStart w:id="170" w:name="_Toc74212034"/>
      <w:bookmarkStart w:id="171" w:name="_Toc74212309"/>
      <w:bookmarkStart w:id="172" w:name="_Toc74661418"/>
      <w:bookmarkStart w:id="173" w:name="_Toc74661583"/>
      <w:bookmarkStart w:id="174" w:name="_Toc74755226"/>
      <w:bookmarkStart w:id="175" w:name="_Toc74756817"/>
      <w:bookmarkStart w:id="176" w:name="_Toc74756940"/>
      <w:bookmarkStart w:id="177" w:name="_Toc74832177"/>
      <w:bookmarkStart w:id="178" w:name="_Toc74841104"/>
      <w:bookmarkStart w:id="179" w:name="_Toc74841182"/>
      <w:bookmarkStart w:id="180" w:name="_Toc74913962"/>
      <w:bookmarkStart w:id="181" w:name="_Toc76050816"/>
      <w:bookmarkStart w:id="182" w:name="_Toc77755102"/>
      <w:bookmarkStart w:id="183" w:name="_Toc79149634"/>
    </w:p>
    <w:p w14:paraId="6E722611" w14:textId="422CF100" w:rsidR="00374A1D" w:rsidRPr="00374A1D" w:rsidRDefault="00374A1D" w:rsidP="004C0EFC">
      <w:pPr>
        <w:pStyle w:val="Heading3numbered"/>
      </w:pPr>
      <w:r w:rsidRPr="00374A1D">
        <w:t>Currently, the Government has limited visibility of current risk management practices and limited ability to ensure risks are managed appropriately across sectors.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374A1D">
        <w:t xml:space="preserve"> </w:t>
      </w:r>
    </w:p>
    <w:p w14:paraId="2C2B4BEB" w14:textId="59BF3371" w:rsidR="00374A1D" w:rsidRPr="00374A1D" w:rsidRDefault="00374A1D" w:rsidP="0096660B">
      <w:pPr>
        <w:pStyle w:val="BodyText"/>
      </w:pPr>
      <w:r w:rsidRPr="00374A1D">
        <w:t>Existing legislative regimes do not provide the Government with adequate visibility of threats</w:t>
      </w:r>
      <w:r w:rsidR="00E47328">
        <w:t xml:space="preserve"> across the breadth of </w:t>
      </w:r>
      <w:r w:rsidRPr="00374A1D">
        <w:t xml:space="preserve">Australia’s </w:t>
      </w:r>
      <w:r w:rsidR="008056F4">
        <w:t>critical infrastructure assets</w:t>
      </w:r>
      <w:r w:rsidRPr="00374A1D">
        <w:t xml:space="preserve">. The majority of </w:t>
      </w:r>
      <w:r w:rsidR="008056F4">
        <w:t>critical infrastructure assets</w:t>
      </w:r>
      <w:r w:rsidRPr="00374A1D">
        <w:t xml:space="preserve"> are owned or operated by the private sector. </w:t>
      </w:r>
      <w:r w:rsidR="00A56C9D" w:rsidRPr="00374A1D">
        <w:t>Therefore,</w:t>
      </w:r>
      <w:r w:rsidRPr="00374A1D">
        <w:t xml:space="preserve"> Government may have limited awareness of all hazard threats impacting </w:t>
      </w:r>
      <w:r w:rsidR="008056F4">
        <w:t>critical infrastructure assets</w:t>
      </w:r>
      <w:r w:rsidRPr="00374A1D">
        <w:t xml:space="preserve">. </w:t>
      </w:r>
    </w:p>
    <w:p w14:paraId="140C4606" w14:textId="77777777" w:rsidR="00374A1D" w:rsidRDefault="00374A1D" w:rsidP="0096660B">
      <w:pPr>
        <w:pStyle w:val="BodyText"/>
      </w:pPr>
      <w:r w:rsidRPr="00374A1D">
        <w:t xml:space="preserve">Without incentives to provide awareness to Government over the management and operation of </w:t>
      </w:r>
      <w:r w:rsidR="008056F4">
        <w:t>critical infrastructure assets</w:t>
      </w:r>
      <w:r w:rsidRPr="00374A1D">
        <w:t xml:space="preserve">, nor the ability of market forces, in all instances, to correct this behaviour, Government has little power to assist in the event of threats such as cyber security incidents, if it is not requested by the affected entity. This can result in delays that substantially impact the provision of an essential service and hinders Government’s ability to </w:t>
      </w:r>
      <w:r w:rsidR="006879F9">
        <w:t>assist</w:t>
      </w:r>
      <w:r w:rsidRPr="00374A1D">
        <w:t xml:space="preserve"> in resolving an incident, especially when dealing with time sensitive matters.</w:t>
      </w:r>
    </w:p>
    <w:p w14:paraId="35E70AE1" w14:textId="0306AB40" w:rsidR="00374A1D" w:rsidRPr="00374A1D" w:rsidRDefault="00374A1D" w:rsidP="004C0EFC">
      <w:pPr>
        <w:pStyle w:val="Heading3numbered"/>
      </w:pPr>
      <w:bookmarkStart w:id="184" w:name="_Toc74212035"/>
      <w:bookmarkStart w:id="185" w:name="_Toc74212310"/>
      <w:bookmarkStart w:id="186" w:name="_Toc74661419"/>
      <w:bookmarkStart w:id="187" w:name="_Toc74661584"/>
      <w:bookmarkStart w:id="188" w:name="_Toc74755227"/>
      <w:bookmarkStart w:id="189" w:name="_Toc74756818"/>
      <w:bookmarkStart w:id="190" w:name="_Toc74756941"/>
      <w:bookmarkStart w:id="191" w:name="_Toc74832178"/>
      <w:bookmarkStart w:id="192" w:name="_Toc74841105"/>
      <w:bookmarkStart w:id="193" w:name="_Toc74841183"/>
      <w:bookmarkStart w:id="194" w:name="_Toc74913963"/>
      <w:bookmarkStart w:id="195" w:name="_Toc76050817"/>
      <w:bookmarkStart w:id="196" w:name="_Toc77755103"/>
      <w:bookmarkStart w:id="197" w:name="_Toc79149635"/>
      <w:r w:rsidRPr="00374A1D">
        <w:t>A stronger partnership between Government and industry to drive a wholesale uplift in security and resilience.</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7B992424" w14:textId="1286F7BD" w:rsidR="00374A1D" w:rsidRPr="00374A1D" w:rsidRDefault="00374A1D" w:rsidP="0096660B">
      <w:pPr>
        <w:pStyle w:val="BodyText"/>
      </w:pPr>
      <w:r w:rsidRPr="00374A1D">
        <w:t xml:space="preserve">It is necessary to address vulnerabilities across all hazards which have the potential to affect </w:t>
      </w:r>
      <w:r w:rsidR="008056F4">
        <w:t xml:space="preserve">critical </w:t>
      </w:r>
      <w:r w:rsidR="008056F4" w:rsidRPr="0096660B">
        <w:t>infrastructure</w:t>
      </w:r>
      <w:r w:rsidR="008056F4">
        <w:t xml:space="preserve"> assets</w:t>
      </w:r>
      <w:r w:rsidRPr="00374A1D">
        <w:t>. This view appears to be strongly held by many segments of the community, as demonstrated in consultation for the Cyber Security Strategy 2020 where industry indicated that further engagement with</w:t>
      </w:r>
      <w:r w:rsidR="009470C5">
        <w:t>,</w:t>
      </w:r>
      <w:r w:rsidRPr="00374A1D">
        <w:t xml:space="preserve"> and direction from</w:t>
      </w:r>
      <w:r w:rsidR="009470C5">
        <w:t>,</w:t>
      </w:r>
      <w:r w:rsidRPr="00374A1D">
        <w:t xml:space="preserve"> Government would be useful for ensuring the protection of Australia’s critical infrastructure. </w:t>
      </w:r>
    </w:p>
    <w:p w14:paraId="3D0C6114" w14:textId="77777777" w:rsidR="00374A1D" w:rsidRPr="00374A1D" w:rsidRDefault="00374A1D" w:rsidP="0096660B">
      <w:pPr>
        <w:pStyle w:val="BodyText"/>
      </w:pPr>
      <w:r w:rsidRPr="00374A1D">
        <w:t xml:space="preserve">There is a clear imperative to empower Government to: </w:t>
      </w:r>
    </w:p>
    <w:p w14:paraId="1EF51A9A" w14:textId="3A1B123B" w:rsidR="00374A1D" w:rsidRPr="00374A1D" w:rsidRDefault="00374A1D" w:rsidP="0096660B">
      <w:pPr>
        <w:pStyle w:val="Bullet1stlevel"/>
      </w:pPr>
      <w:r w:rsidRPr="00374A1D">
        <w:t xml:space="preserve">safeguard </w:t>
      </w:r>
      <w:r w:rsidR="008056F4">
        <w:t>critical infrastructure assets</w:t>
      </w:r>
      <w:r w:rsidRPr="00374A1D">
        <w:t xml:space="preserve"> against increasingly complex all</w:t>
      </w:r>
      <w:r w:rsidR="009470C5">
        <w:t>-</w:t>
      </w:r>
      <w:r w:rsidRPr="00374A1D">
        <w:t xml:space="preserve">hazards risks through increased industry responsibility; </w:t>
      </w:r>
    </w:p>
    <w:p w14:paraId="3C0A53B9" w14:textId="77777777" w:rsidR="00374A1D" w:rsidRPr="00374A1D" w:rsidRDefault="00374A1D" w:rsidP="0096660B">
      <w:pPr>
        <w:pStyle w:val="Bullet1stlevel"/>
      </w:pPr>
      <w:r w:rsidRPr="00374A1D">
        <w:t xml:space="preserve">manage these risks collaboratively with industry through strengthened engagement and a more structured relationship with the owners and operators of </w:t>
      </w:r>
      <w:r w:rsidR="008056F4">
        <w:t>critical infrastructure assets</w:t>
      </w:r>
      <w:r w:rsidRPr="00374A1D">
        <w:t xml:space="preserve">; and </w:t>
      </w:r>
    </w:p>
    <w:p w14:paraId="733AA883" w14:textId="77777777" w:rsidR="0030422F" w:rsidRPr="0030422F" w:rsidRDefault="00374A1D" w:rsidP="0096660B">
      <w:pPr>
        <w:pStyle w:val="Bullet1stlevel"/>
      </w:pPr>
      <w:r w:rsidRPr="00374A1D">
        <w:t>respond rapidly in exceptional circumstances by making it clear what the Government is authorised to do.</w:t>
      </w:r>
    </w:p>
    <w:p w14:paraId="68E2B1E1" w14:textId="11245C2D" w:rsidR="00374A1D" w:rsidRPr="00374A1D" w:rsidRDefault="00374A1D" w:rsidP="0096660B">
      <w:pPr>
        <w:pStyle w:val="BodyText"/>
      </w:pPr>
      <w:r w:rsidRPr="00374A1D">
        <w:lastRenderedPageBreak/>
        <w:t xml:space="preserve">Previous consultation on these issues has facilitated a stronger partnership between Government and industry, resulting in broad support for the introduction of an enhanced framework to secure critical infrastructure. Consultation on the reforms contained in the </w:t>
      </w:r>
      <w:r w:rsidR="00433C49">
        <w:t>SLACIP</w:t>
      </w:r>
      <w:r w:rsidRPr="00374A1D">
        <w:t xml:space="preserve"> </w:t>
      </w:r>
      <w:r w:rsidR="00FC4142">
        <w:t>Act</w:t>
      </w:r>
      <w:r w:rsidR="00FC4142" w:rsidRPr="00374A1D">
        <w:t xml:space="preserve"> </w:t>
      </w:r>
      <w:r w:rsidRPr="00374A1D">
        <w:t>was conducted between August and December 202</w:t>
      </w:r>
      <w:r w:rsidR="00433C49">
        <w:t>1</w:t>
      </w:r>
      <w:r w:rsidRPr="00374A1D">
        <w:t xml:space="preserve">, through six virtual town halls (attended by 620 representatives from business and civil society), 22 virtual workshops (attended by 949 individuals) and 194 submissions in response to the ‘Protecting Critical Infrastructure and Systems of National Significance’ Consultation Paper. </w:t>
      </w:r>
    </w:p>
    <w:p w14:paraId="5BCEEE63" w14:textId="1F6C07CD" w:rsidR="00374A1D" w:rsidRPr="00374A1D" w:rsidRDefault="00374A1D" w:rsidP="0096660B">
      <w:pPr>
        <w:pStyle w:val="BodyText"/>
      </w:pPr>
      <w:r w:rsidRPr="008144F5">
        <w:t xml:space="preserve">Submissions were also received in response to a publicly released exposure draft </w:t>
      </w:r>
      <w:r w:rsidR="000C33B5">
        <w:t xml:space="preserve">of </w:t>
      </w:r>
      <w:r w:rsidR="00834626">
        <w:t>the</w:t>
      </w:r>
      <w:r w:rsidR="00C81F16">
        <w:t xml:space="preserve"> </w:t>
      </w:r>
      <w:r w:rsidR="000C33B5">
        <w:t xml:space="preserve">SLACI </w:t>
      </w:r>
      <w:r w:rsidR="00C81F16">
        <w:t>Bill</w:t>
      </w:r>
      <w:r w:rsidR="00834626">
        <w:t xml:space="preserve"> 202</w:t>
      </w:r>
      <w:r w:rsidR="009E6163">
        <w:t>2</w:t>
      </w:r>
      <w:r w:rsidR="000C33B5">
        <w:t xml:space="preserve"> (which included the </w:t>
      </w:r>
      <w:r w:rsidR="00BB0179">
        <w:t>RMP</w:t>
      </w:r>
      <w:r w:rsidR="000C33B5">
        <w:t xml:space="preserve"> components).</w:t>
      </w:r>
      <w:r w:rsidR="008144F5">
        <w:t xml:space="preserve"> </w:t>
      </w:r>
      <w:r w:rsidR="001060A5">
        <w:t xml:space="preserve">Responsible entities for </w:t>
      </w:r>
      <w:r w:rsidR="008056F4">
        <w:t>critical infrastructure assets</w:t>
      </w:r>
      <w:r w:rsidR="001060A5">
        <w:t xml:space="preserve"> </w:t>
      </w:r>
      <w:r w:rsidR="00E831BD">
        <w:t xml:space="preserve">such as the New Payments Platform </w:t>
      </w:r>
      <w:r w:rsidR="00440B3C">
        <w:t xml:space="preserve">stated that </w:t>
      </w:r>
      <w:r w:rsidR="004C02D3">
        <w:t xml:space="preserve">it ‘supports the Government’s policy objective of provision of direct assistance to private </w:t>
      </w:r>
      <w:r w:rsidR="00620F03">
        <w:t>sector entities on critical cyber matters and positive security obligations for operators of critical assets.’</w:t>
      </w:r>
      <w:r w:rsidR="00834626">
        <w:rPr>
          <w:rStyle w:val="FootnoteReference"/>
          <w:rFonts w:ascii="Arial" w:eastAsia="Calibri" w:hAnsi="Arial" w:cs="Arial"/>
        </w:rPr>
        <w:footnoteReference w:id="33"/>
      </w:r>
      <w:r w:rsidR="00620F03">
        <w:t xml:space="preserve"> </w:t>
      </w:r>
    </w:p>
    <w:p w14:paraId="2C9C2A27" w14:textId="6B790112" w:rsidR="00C00C38" w:rsidRPr="00374A1D" w:rsidRDefault="00374A1D" w:rsidP="0096660B">
      <w:pPr>
        <w:pStyle w:val="BodyText"/>
      </w:pPr>
      <w:r w:rsidRPr="00374A1D">
        <w:t xml:space="preserve">Further, industry consultation on </w:t>
      </w:r>
      <w:r w:rsidR="0016603A">
        <w:t>RMP rules</w:t>
      </w:r>
      <w:r w:rsidRPr="00374A1D">
        <w:t xml:space="preserve"> has </w:t>
      </w:r>
      <w:r w:rsidR="0082269D">
        <w:t>been completed with all relevant sectors</w:t>
      </w:r>
      <w:r w:rsidR="00782B5D">
        <w:t>.</w:t>
      </w:r>
      <w:r w:rsidRPr="00374A1D">
        <w:t xml:space="preserve"> Through targeted and consistent engagement across a series of workshops, industry’s awareness and understanding of the need to uplift the security and resilience of critical </w:t>
      </w:r>
      <w:r w:rsidR="004024FE">
        <w:t>infrastructure</w:t>
      </w:r>
      <w:r w:rsidRPr="00374A1D">
        <w:t xml:space="preserve"> assets has been enhanced.</w:t>
      </w:r>
      <w:r w:rsidR="003100D5">
        <w:t xml:space="preserve"> </w:t>
      </w:r>
      <w:r w:rsidR="00DF41AC">
        <w:t xml:space="preserve">Consultation with industry </w:t>
      </w:r>
      <w:r w:rsidR="003100D5">
        <w:t>indicate</w:t>
      </w:r>
      <w:r w:rsidR="005A7640">
        <w:t>d that</w:t>
      </w:r>
      <w:r w:rsidR="0058001E">
        <w:t xml:space="preserve"> </w:t>
      </w:r>
      <w:r w:rsidR="000577B8">
        <w:t>responsible entities</w:t>
      </w:r>
      <w:r w:rsidR="001953AF">
        <w:t xml:space="preserve"> for </w:t>
      </w:r>
      <w:r w:rsidR="00DF41AC">
        <w:t xml:space="preserve">relevant </w:t>
      </w:r>
      <w:r w:rsidR="008056F4">
        <w:t>critical infrastructure assets</w:t>
      </w:r>
      <w:r w:rsidR="000577B8">
        <w:t xml:space="preserve"> </w:t>
      </w:r>
      <w:r w:rsidR="00911D30">
        <w:t xml:space="preserve">often </w:t>
      </w:r>
      <w:r w:rsidR="000577B8">
        <w:t>have matur</w:t>
      </w:r>
      <w:r w:rsidR="001953AF">
        <w:t>e</w:t>
      </w:r>
      <w:r w:rsidR="000577B8">
        <w:t xml:space="preserve"> risk management practices</w:t>
      </w:r>
      <w:r w:rsidR="00586354">
        <w:t xml:space="preserve"> in plac</w:t>
      </w:r>
      <w:r w:rsidR="00097A00">
        <w:t xml:space="preserve">e aligned to globally recognised standards. </w:t>
      </w:r>
      <w:r w:rsidR="00111D49">
        <w:t xml:space="preserve">However, </w:t>
      </w:r>
      <w:r w:rsidR="00DF41AC">
        <w:t>industry</w:t>
      </w:r>
      <w:r w:rsidR="007C5BBE">
        <w:t xml:space="preserve"> recognise</w:t>
      </w:r>
      <w:r w:rsidR="00DF41AC">
        <w:t>d</w:t>
      </w:r>
      <w:r w:rsidR="007C5BBE">
        <w:t xml:space="preserve"> the highly interconnected nature of critical infrastructure </w:t>
      </w:r>
      <w:r w:rsidR="00516FA4">
        <w:t xml:space="preserve">asset classes and </w:t>
      </w:r>
      <w:r w:rsidR="007C5BBE">
        <w:t>sectors, as well as the</w:t>
      </w:r>
      <w:r w:rsidR="00F9201F">
        <w:t xml:space="preserve"> increasing risks to critical infrastructure, </w:t>
      </w:r>
      <w:r w:rsidR="00516FA4">
        <w:t>necessitates</w:t>
      </w:r>
      <w:r w:rsidR="00E2404F">
        <w:t xml:space="preserve"> a coordinated </w:t>
      </w:r>
      <w:r w:rsidR="005D652E">
        <w:t xml:space="preserve">all-hazards </w:t>
      </w:r>
      <w:r w:rsidR="00E2404F">
        <w:t xml:space="preserve">approach </w:t>
      </w:r>
      <w:r w:rsidR="00F16E72">
        <w:t xml:space="preserve">to security and resilience from </w:t>
      </w:r>
      <w:r w:rsidR="003E20FF">
        <w:t xml:space="preserve">Government and </w:t>
      </w:r>
      <w:r w:rsidR="005D652E">
        <w:t xml:space="preserve">industry. </w:t>
      </w:r>
    </w:p>
    <w:p w14:paraId="7E09DA01" w14:textId="77777777" w:rsidR="00374A1D" w:rsidRPr="00374A1D" w:rsidRDefault="00374A1D" w:rsidP="0096660B">
      <w:pPr>
        <w:pStyle w:val="BodyText"/>
      </w:pPr>
      <w:r w:rsidRPr="00374A1D">
        <w:t xml:space="preserve">For further consultation insights and stakeholder feedback received during the </w:t>
      </w:r>
      <w:r w:rsidR="00847837">
        <w:t>consultation</w:t>
      </w:r>
      <w:r w:rsidRPr="00374A1D">
        <w:t xml:space="preserve"> process, see Section 5.</w:t>
      </w:r>
    </w:p>
    <w:p w14:paraId="5AFD4F46" w14:textId="616B4677" w:rsidR="00040B09" w:rsidRDefault="00374A1D" w:rsidP="0096660B">
      <w:pPr>
        <w:pStyle w:val="BodyText"/>
      </w:pPr>
      <w:r w:rsidRPr="00374A1D">
        <w:t>Industry’s desire to strengthen its relationship with Government in the critical infrastructure realm aligns with one of the Critical Infrastructure Resilience Strategy’s key outcomes – to achieve a strong and effective business-government partnership.</w:t>
      </w:r>
      <w:r w:rsidRPr="00374A1D">
        <w:rPr>
          <w:vertAlign w:val="superscript"/>
        </w:rPr>
        <w:footnoteReference w:id="34"/>
      </w:r>
      <w:r w:rsidRPr="00374A1D">
        <w:t xml:space="preserve"> While existing resources, including the Strategy and the Trusted Information Sharing Network (TISN), make a substantial contribution to ensuring the continued, uninterrupted operation of critical infrastructure assets, these should be leveraged to </w:t>
      </w:r>
      <w:r w:rsidR="009470C5">
        <w:t>generate</w:t>
      </w:r>
      <w:r w:rsidR="009470C5" w:rsidRPr="00374A1D">
        <w:t xml:space="preserve"> </w:t>
      </w:r>
      <w:r w:rsidRPr="00374A1D">
        <w:t>a whole-of-sector focus on all hazard risk management.</w:t>
      </w:r>
      <w:r w:rsidRPr="00374A1D">
        <w:rPr>
          <w:vertAlign w:val="superscript"/>
        </w:rPr>
        <w:footnoteReference w:id="35"/>
      </w:r>
    </w:p>
    <w:p w14:paraId="6B7B333F" w14:textId="1A3AB41F" w:rsidR="00E73273" w:rsidRDefault="00E73273">
      <w:pPr>
        <w:spacing w:before="80" w:after="80"/>
        <w:rPr>
          <w:rFonts w:cstheme="majorHAnsi"/>
          <w:sz w:val="22"/>
          <w:szCs w:val="28"/>
        </w:rPr>
      </w:pPr>
      <w:r>
        <w:br w:type="page"/>
      </w:r>
    </w:p>
    <w:p w14:paraId="53E12AF3" w14:textId="18817820" w:rsidR="00E73273" w:rsidRPr="00E73273" w:rsidRDefault="0044042B" w:rsidP="00E73273">
      <w:pPr>
        <w:pStyle w:val="Divider"/>
      </w:pPr>
      <w:r w:rsidRPr="00E73273">
        <w:rPr>
          <w:noProof/>
          <w:lang w:eastAsia="en-AU"/>
        </w:rPr>
        <w:lastRenderedPageBreak/>
        <mc:AlternateContent>
          <mc:Choice Requires="wps">
            <w:drawing>
              <wp:anchor distT="0" distB="0" distL="114300" distR="114300" simplePos="0" relativeHeight="251669504" behindDoc="1" locked="0" layoutInCell="1" allowOverlap="1" wp14:anchorId="711A3AB6" wp14:editId="39EA1228">
                <wp:simplePos x="0" y="0"/>
                <wp:positionH relativeFrom="page">
                  <wp:posOffset>-2540</wp:posOffset>
                </wp:positionH>
                <wp:positionV relativeFrom="page">
                  <wp:posOffset>937309</wp:posOffset>
                </wp:positionV>
                <wp:extent cx="7560000" cy="9000000"/>
                <wp:effectExtent l="0" t="0" r="3175" b="0"/>
                <wp:wrapNone/>
                <wp:docPr id="30" name="Rectangle 30"/>
                <wp:cNvGraphicFramePr/>
                <a:graphic xmlns:a="http://schemas.openxmlformats.org/drawingml/2006/main">
                  <a:graphicData uri="http://schemas.microsoft.com/office/word/2010/wordprocessingShape">
                    <wps:wsp>
                      <wps:cNvSpPr/>
                      <wps:spPr>
                        <a:xfrm>
                          <a:off x="0" y="0"/>
                          <a:ext cx="7560000" cy="9000000"/>
                        </a:xfrm>
                        <a:prstGeom prst="rect">
                          <a:avLst/>
                        </a:prstGeom>
                        <a:gradFill flip="none" rotWithShape="1">
                          <a:gsLst>
                            <a:gs pos="0">
                              <a:schemeClr val="accent1"/>
                            </a:gs>
                            <a:gs pos="100000">
                              <a:schemeClr val="accent2"/>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77A7AE" id="Rectangle 30" o:spid="_x0000_s1026" style="position:absolute;margin-left:-.2pt;margin-top:73.8pt;width:595.3pt;height:708.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" fillcolor="#034ea2 [3204]" stroked="f" strokeweight="2pt">
                <v:fill color2="#007bc3 [3205]" rotate="t" angle="45" focus="100%" type="gradient"/>
                <w10:wrap anchorx="page" anchory="page"/>
              </v:rect>
            </w:pict>
          </mc:Fallback>
        </mc:AlternateContent>
      </w:r>
      <w:r w:rsidR="005845C5">
        <w:t>2. Requirement for Government Action</w:t>
      </w:r>
      <w:r w:rsidR="00E73273" w:rsidRPr="00E73273">
        <w:br w:type="page"/>
      </w:r>
    </w:p>
    <w:p w14:paraId="42D71476" w14:textId="77777777" w:rsidR="00374A1D" w:rsidRPr="00040B09" w:rsidRDefault="00040B09" w:rsidP="003C2243">
      <w:pPr>
        <w:pStyle w:val="Heading1numbered"/>
      </w:pPr>
      <w:bookmarkStart w:id="198" w:name="_Toc121397389"/>
      <w:r w:rsidRPr="00040B09">
        <w:lastRenderedPageBreak/>
        <w:t>Requirement for Government Action</w:t>
      </w:r>
      <w:bookmarkEnd w:id="198"/>
    </w:p>
    <w:p w14:paraId="5038B926" w14:textId="46CE39FA" w:rsidR="00040B09" w:rsidRPr="00040B09" w:rsidRDefault="00040B09" w:rsidP="004C0EFC">
      <w:pPr>
        <w:pStyle w:val="Heading2numbered"/>
      </w:pPr>
      <w:bookmarkStart w:id="199" w:name="_Toc79149637"/>
      <w:bookmarkStart w:id="200" w:name="_Toc121397390"/>
      <w:r w:rsidRPr="00040B09">
        <w:t>Why should Government intervene?</w:t>
      </w:r>
      <w:bookmarkEnd w:id="199"/>
      <w:bookmarkEnd w:id="200"/>
    </w:p>
    <w:p w14:paraId="2B23CF2E" w14:textId="77777777" w:rsidR="00040B09" w:rsidRPr="00040B09" w:rsidRDefault="00040B09" w:rsidP="003C2243">
      <w:pPr>
        <w:pStyle w:val="BodyText"/>
      </w:pPr>
      <w:r w:rsidRPr="00040B09">
        <w:t xml:space="preserve">Section 1 has highlighted that existing regulatory frameworks (see section 1.2.1) and market forces (see section 1.2.3) do not protect critical infrastructure against all hazard threats in a consistent and coordinated manner across </w:t>
      </w:r>
      <w:r w:rsidR="008056F4">
        <w:t>critical infrastructure assets</w:t>
      </w:r>
      <w:r w:rsidRPr="00040B09">
        <w:t xml:space="preserve">. Government, and its unique ability to regulate across supply chains and on a whole-of-sector basis, is capable of intervening to ensure vulnerabilities in </w:t>
      </w:r>
      <w:r w:rsidR="008056F4">
        <w:t>critical infrastructure assets</w:t>
      </w:r>
      <w:r w:rsidRPr="00040B09">
        <w:t xml:space="preserve"> are proactively detected, </w:t>
      </w:r>
      <w:r w:rsidR="00FE6E42" w:rsidRPr="00040B09">
        <w:t>prevented,</w:t>
      </w:r>
      <w:r w:rsidRPr="00040B09">
        <w:t xml:space="preserve"> and resolved. This is imperative for mitigating the potential impacts of disruption on Australia’s social and economic stability, </w:t>
      </w:r>
      <w:r w:rsidR="00FE6E42" w:rsidRPr="00040B09">
        <w:t>defence,</w:t>
      </w:r>
      <w:r w:rsidRPr="00040B09">
        <w:t xml:space="preserve"> and national security, as well as the reliability and security of other critical infrastructure assets.</w:t>
      </w:r>
    </w:p>
    <w:p w14:paraId="17CFF287" w14:textId="3980CF5C" w:rsidR="00040B09" w:rsidRPr="00040B09" w:rsidRDefault="00040B09" w:rsidP="003C2243">
      <w:pPr>
        <w:pStyle w:val="BodyText"/>
      </w:pPr>
      <w:r w:rsidRPr="00040B09">
        <w:t>Government, through the operation of various Departments, holds primary responsibility for national defence and security. It has existing and direct regulatory oversight of several critical infrastructure sectors and assets including communications, offshore oil and gas, banking and finance, and aviation.</w:t>
      </w:r>
      <w:r w:rsidRPr="00040B09">
        <w:rPr>
          <w:vertAlign w:val="superscript"/>
        </w:rPr>
        <w:footnoteReference w:id="36"/>
      </w:r>
      <w:r w:rsidRPr="00040B09">
        <w:rPr>
          <w:vertAlign w:val="superscript"/>
        </w:rPr>
        <w:t xml:space="preserve"> </w:t>
      </w:r>
      <w:r w:rsidRPr="00040B09">
        <w:t xml:space="preserve">Government’s existing involvement in regulating Australia’s critical infrastructure facilitated a comprehensive triaging process to identify sectors where existing regulatory arrangements do not meet the obligations contained in the proposed </w:t>
      </w:r>
      <w:r w:rsidR="00BB0179">
        <w:t>RMP</w:t>
      </w:r>
      <w:r w:rsidRPr="00040B09">
        <w:t xml:space="preserve">. </w:t>
      </w:r>
    </w:p>
    <w:p w14:paraId="1F97DE37" w14:textId="3993B36D" w:rsidR="00040B09" w:rsidRPr="00040B09" w:rsidRDefault="00040B09" w:rsidP="003C2243">
      <w:pPr>
        <w:pStyle w:val="BodyText"/>
      </w:pPr>
      <w:r w:rsidRPr="00040B09">
        <w:t xml:space="preserve">The </w:t>
      </w:r>
      <w:r w:rsidR="00BB0179">
        <w:t>RMP</w:t>
      </w:r>
      <w:r w:rsidRPr="00040B09">
        <w:t xml:space="preserve"> element of the positive security obligations does not automatically apply upon commencement of the </w:t>
      </w:r>
      <w:r w:rsidR="00516FA4">
        <w:t xml:space="preserve">SLACIP </w:t>
      </w:r>
      <w:r w:rsidR="00FC4142">
        <w:t>Act</w:t>
      </w:r>
      <w:r w:rsidRPr="00040B09">
        <w:t>. Instead, the Minister for Home Affairs is required to make rules to apply these obligations in relation to specific assets (‘switch</w:t>
      </w:r>
      <w:r w:rsidR="009163F3">
        <w:t>-on</w:t>
      </w:r>
      <w:r w:rsidRPr="00040B09">
        <w:t xml:space="preserve">’) following consultation with industry. This ensures Government considers the appropriateness of existing regulatory arrangements, and only applies the obligations in the </w:t>
      </w:r>
      <w:r w:rsidR="007419E2">
        <w:t>Act</w:t>
      </w:r>
      <w:r w:rsidR="007419E2" w:rsidRPr="00040B09">
        <w:t xml:space="preserve"> </w:t>
      </w:r>
      <w:r w:rsidRPr="00040B09">
        <w:t>once satisfied that existing arrangements are ineffective or insufficient.</w:t>
      </w:r>
    </w:p>
    <w:p w14:paraId="2034AE29" w14:textId="63E81FB3" w:rsidR="00040B09" w:rsidRPr="00040B09" w:rsidRDefault="00040B09" w:rsidP="003C2243">
      <w:pPr>
        <w:pStyle w:val="BodyText"/>
      </w:pPr>
      <w:r w:rsidRPr="00040B09">
        <w:t>This ‘switch</w:t>
      </w:r>
      <w:r w:rsidR="009163F3">
        <w:t>-on</w:t>
      </w:r>
      <w:r w:rsidRPr="00040B09">
        <w:t xml:space="preserve">’ mechanism is intended to prevent regulatory duplication in sectors where appropriate risk management arrangements already operate. For those sectors, the proposed </w:t>
      </w:r>
      <w:r w:rsidR="00BB0179">
        <w:t>RMP</w:t>
      </w:r>
      <w:r w:rsidRPr="00040B09">
        <w:t xml:space="preserve"> framework will not be switched on. </w:t>
      </w:r>
    </w:p>
    <w:p w14:paraId="200A2DFE" w14:textId="77777777" w:rsidR="00040B09" w:rsidRPr="00040B09" w:rsidRDefault="00040B09" w:rsidP="003C2243">
      <w:pPr>
        <w:pStyle w:val="BodyText"/>
      </w:pPr>
      <w:r w:rsidRPr="00040B09">
        <w:t>Government has several established mechanisms for industry engagement and compliance, which support the case for Government’s continued intervention, including the following:</w:t>
      </w:r>
      <w:r w:rsidRPr="00040B09">
        <w:rPr>
          <w:szCs w:val="20"/>
        </w:rPr>
        <w:t xml:space="preserve">  </w:t>
      </w:r>
    </w:p>
    <w:p w14:paraId="41932D9C" w14:textId="4CBC2888" w:rsidR="00040B09" w:rsidRPr="00040B09" w:rsidRDefault="00040B09" w:rsidP="003C2243">
      <w:pPr>
        <w:pStyle w:val="Bullet1stlevel"/>
      </w:pPr>
      <w:r w:rsidRPr="00040B09">
        <w:t xml:space="preserve">The </w:t>
      </w:r>
      <w:r w:rsidRPr="00040B09">
        <w:rPr>
          <w:b/>
          <w:bCs/>
        </w:rPr>
        <w:t>Critical Infrastructure Resilience Strategy</w:t>
      </w:r>
      <w:r w:rsidRPr="00040B09">
        <w:t xml:space="preserve"> is comprised of a policy statement and a plan, to support practical implementation</w:t>
      </w:r>
      <w:r w:rsidR="009163F3">
        <w:t xml:space="preserve"> of the </w:t>
      </w:r>
      <w:r w:rsidR="0031048C">
        <w:t xml:space="preserve">critical infrastructure reforms in the SLACI Act and SLACIP </w:t>
      </w:r>
      <w:r w:rsidR="00DB4922">
        <w:t>Act</w:t>
      </w:r>
      <w:r w:rsidRPr="00040B09">
        <w:t>. The Strategy aims to ensure the continued operation of critical infrastructure in the face of all hazards, including through outlining the ways in which changes in the critical infrastructure operating environment may impact the security and resilience of Australia’s critical infrastructure, and outline key actions to be delivered under the Strategy.</w:t>
      </w:r>
      <w:r w:rsidRPr="00040B09">
        <w:rPr>
          <w:vertAlign w:val="superscript"/>
        </w:rPr>
        <w:footnoteReference w:id="37"/>
      </w:r>
      <w:r w:rsidRPr="00040B09">
        <w:t xml:space="preserve"> The Strategy is currently undergoing an update, with a new version scheduled for release in 202</w:t>
      </w:r>
      <w:r w:rsidR="00B8404F">
        <w:t>2</w:t>
      </w:r>
      <w:r w:rsidRPr="00040B09">
        <w:t xml:space="preserve">.  </w:t>
      </w:r>
    </w:p>
    <w:p w14:paraId="46498653" w14:textId="55C01997" w:rsidR="00040B09" w:rsidRPr="00040B09" w:rsidRDefault="00040B09" w:rsidP="003C2243">
      <w:pPr>
        <w:pStyle w:val="Bullet1stlevel"/>
      </w:pPr>
      <w:r w:rsidRPr="00040B09">
        <w:t xml:space="preserve">The </w:t>
      </w:r>
      <w:r w:rsidRPr="00040B09">
        <w:rPr>
          <w:b/>
          <w:bCs/>
        </w:rPr>
        <w:t>Trusted Information Sharing Network (the TISN)</w:t>
      </w:r>
      <w:r w:rsidRPr="00040B09">
        <w:t xml:space="preserve"> is Government’s primary tool for business-government information sharing and resilience-building initiatives on critical infrastructure. The TISN provides a platform for industry and government representatives to share information that enhances mutual understanding and application of organisational resilience. The TISN is designed to ensure the ongoing operation of critical infrastructure in the face of all hazards.</w:t>
      </w:r>
      <w:r w:rsidRPr="00040B09">
        <w:rPr>
          <w:vertAlign w:val="superscript"/>
        </w:rPr>
        <w:footnoteReference w:id="38"/>
      </w:r>
    </w:p>
    <w:p w14:paraId="0DB2F107" w14:textId="77777777" w:rsidR="00040B09" w:rsidRDefault="00040B09" w:rsidP="003C2243">
      <w:pPr>
        <w:pStyle w:val="Bullet1stlevel"/>
      </w:pPr>
      <w:r w:rsidRPr="00040B09">
        <w:t xml:space="preserve">The establishment of the </w:t>
      </w:r>
      <w:r w:rsidR="002B139A">
        <w:rPr>
          <w:b/>
        </w:rPr>
        <w:t>Cyber and Infrastructure Security Centre</w:t>
      </w:r>
      <w:r w:rsidRPr="00040B09">
        <w:rPr>
          <w:b/>
        </w:rPr>
        <w:t xml:space="preserve"> (</w:t>
      </w:r>
      <w:r w:rsidRPr="00040B09">
        <w:rPr>
          <w:b/>
          <w:bCs/>
        </w:rPr>
        <w:t>CI</w:t>
      </w:r>
      <w:r w:rsidR="002B139A">
        <w:rPr>
          <w:b/>
          <w:bCs/>
        </w:rPr>
        <w:t>S</w:t>
      </w:r>
      <w:r w:rsidRPr="00040B09">
        <w:rPr>
          <w:b/>
          <w:bCs/>
        </w:rPr>
        <w:t>C)</w:t>
      </w:r>
      <w:r w:rsidRPr="00040B09">
        <w:t xml:space="preserve">, responsible for identifying and managing risks to Australia’s critical infrastructure, indicates Government’s </w:t>
      </w:r>
      <w:r w:rsidRPr="00040B09">
        <w:lastRenderedPageBreak/>
        <w:t xml:space="preserve">commitment to working with its governing counterparts, as well as owners and operators of critical infrastructure assets, to ensure appropriate identification and management of risks. </w:t>
      </w:r>
    </w:p>
    <w:p w14:paraId="255D5179" w14:textId="77777777" w:rsidR="00040B09" w:rsidRPr="00040B09" w:rsidRDefault="00040B09" w:rsidP="003C2243">
      <w:pPr>
        <w:pStyle w:val="BodyText"/>
      </w:pPr>
      <w:r w:rsidRPr="00040B09">
        <w:t>Further, Government’s continued involvement in critical infrastructure matters, as a co</w:t>
      </w:r>
      <w:r w:rsidRPr="00040B09">
        <w:noBreakHyphen/>
        <w:t xml:space="preserve">designer and oversight authority for the </w:t>
      </w:r>
      <w:r w:rsidR="00BB0179">
        <w:t>RMP</w:t>
      </w:r>
      <w:r w:rsidRPr="00040B09">
        <w:t xml:space="preserve"> framework, aligns with each of the key outcomes identified in the Critical Infrastructure Resilience Strategy including: </w:t>
      </w:r>
    </w:p>
    <w:p w14:paraId="080B60B5" w14:textId="77777777" w:rsidR="00040B09" w:rsidRPr="00040B09" w:rsidRDefault="00040B09" w:rsidP="005F1AF8">
      <w:pPr>
        <w:numPr>
          <w:ilvl w:val="0"/>
          <w:numId w:val="27"/>
        </w:numPr>
        <w:spacing w:after="160" w:line="259" w:lineRule="auto"/>
        <w:contextualSpacing/>
        <w:rPr>
          <w:rFonts w:ascii="Arial" w:eastAsia="Calibri" w:hAnsi="Arial" w:cs="Arial"/>
          <w:sz w:val="22"/>
        </w:rPr>
      </w:pPr>
      <w:r w:rsidRPr="00040B09">
        <w:rPr>
          <w:rFonts w:ascii="Arial" w:eastAsia="Calibri" w:hAnsi="Arial" w:cs="Arial"/>
          <w:sz w:val="22"/>
        </w:rPr>
        <w:t xml:space="preserve">A strong and effective business-government partnership; </w:t>
      </w:r>
    </w:p>
    <w:p w14:paraId="3789B9C0" w14:textId="77777777" w:rsidR="00040B09" w:rsidRPr="00040B09" w:rsidRDefault="00040B09" w:rsidP="005F1AF8">
      <w:pPr>
        <w:numPr>
          <w:ilvl w:val="0"/>
          <w:numId w:val="27"/>
        </w:numPr>
        <w:spacing w:after="160" w:line="259" w:lineRule="auto"/>
        <w:contextualSpacing/>
        <w:rPr>
          <w:rFonts w:ascii="Arial" w:eastAsia="Calibri" w:hAnsi="Arial" w:cs="Arial"/>
          <w:sz w:val="22"/>
        </w:rPr>
      </w:pPr>
      <w:r w:rsidRPr="00040B09">
        <w:rPr>
          <w:rFonts w:ascii="Arial" w:eastAsia="Calibri" w:hAnsi="Arial" w:cs="Arial"/>
          <w:sz w:val="22"/>
        </w:rPr>
        <w:t xml:space="preserve">Enhanced risk management of the operating environment; </w:t>
      </w:r>
    </w:p>
    <w:p w14:paraId="39A7C4DB" w14:textId="77777777" w:rsidR="00040B09" w:rsidRPr="00040B09" w:rsidRDefault="00040B09" w:rsidP="005F1AF8">
      <w:pPr>
        <w:numPr>
          <w:ilvl w:val="0"/>
          <w:numId w:val="27"/>
        </w:numPr>
        <w:spacing w:after="160" w:line="259" w:lineRule="auto"/>
        <w:contextualSpacing/>
        <w:rPr>
          <w:rFonts w:ascii="Arial" w:eastAsia="Calibri" w:hAnsi="Arial" w:cs="Arial"/>
          <w:sz w:val="22"/>
        </w:rPr>
      </w:pPr>
      <w:r w:rsidRPr="00040B09">
        <w:rPr>
          <w:rFonts w:ascii="Arial" w:eastAsia="Calibri" w:hAnsi="Arial" w:cs="Arial"/>
          <w:sz w:val="22"/>
        </w:rPr>
        <w:t>Effective understanding and management of strategic issues; and</w:t>
      </w:r>
    </w:p>
    <w:p w14:paraId="7437D1AF" w14:textId="77777777" w:rsidR="00040B09" w:rsidRPr="00040B09" w:rsidRDefault="00040B09" w:rsidP="00EC24ED">
      <w:pPr>
        <w:numPr>
          <w:ilvl w:val="0"/>
          <w:numId w:val="27"/>
        </w:numPr>
        <w:spacing w:after="160" w:line="259" w:lineRule="auto"/>
        <w:ind w:left="357" w:hanging="357"/>
        <w:rPr>
          <w:rFonts w:ascii="Arial" w:eastAsia="Calibri" w:hAnsi="Arial" w:cs="Arial"/>
          <w:sz w:val="22"/>
        </w:rPr>
      </w:pPr>
      <w:r w:rsidRPr="00040B09">
        <w:rPr>
          <w:rFonts w:ascii="Arial" w:eastAsia="Calibri" w:hAnsi="Arial" w:cs="Arial"/>
          <w:sz w:val="22"/>
        </w:rPr>
        <w:t>A mature understanding and application of organisational resilience.</w:t>
      </w:r>
      <w:r w:rsidRPr="00040B09">
        <w:rPr>
          <w:rFonts w:ascii="Arial" w:eastAsia="Calibri" w:hAnsi="Arial" w:cs="Arial"/>
          <w:sz w:val="22"/>
          <w:vertAlign w:val="superscript"/>
        </w:rPr>
        <w:footnoteReference w:id="39"/>
      </w:r>
    </w:p>
    <w:p w14:paraId="1C741565" w14:textId="15296678" w:rsidR="00040B09" w:rsidRPr="00040B09" w:rsidRDefault="00040B09" w:rsidP="003C2243">
      <w:pPr>
        <w:pStyle w:val="BodyText"/>
      </w:pPr>
      <w:r w:rsidRPr="00040B09">
        <w:t xml:space="preserve">These key outcomes broadly align with Government’s objectives identified below in Section 2.2. This alignment indicates that by intervening to </w:t>
      </w:r>
      <w:r w:rsidR="00847837">
        <w:t>consult</w:t>
      </w:r>
      <w:r w:rsidRPr="00040B09">
        <w:t xml:space="preserve"> </w:t>
      </w:r>
      <w:r w:rsidR="00935703">
        <w:t xml:space="preserve">with industry </w:t>
      </w:r>
      <w:r w:rsidRPr="00040B09">
        <w:t xml:space="preserve">and implement supplementary rules to operationalise the objectives of the </w:t>
      </w:r>
      <w:r w:rsidR="00A177D2">
        <w:t xml:space="preserve">SLACIP </w:t>
      </w:r>
      <w:r w:rsidR="00DB4922">
        <w:t>Act’s</w:t>
      </w:r>
      <w:r w:rsidR="00DB4922" w:rsidRPr="00040B09">
        <w:t xml:space="preserve"> </w:t>
      </w:r>
      <w:r w:rsidR="00BB0179">
        <w:t>RMP</w:t>
      </w:r>
      <w:r w:rsidR="0097115B">
        <w:t xml:space="preserve"> framework</w:t>
      </w:r>
      <w:r w:rsidRPr="00040B09">
        <w:t xml:space="preserve">, Government will be closer to achieving </w:t>
      </w:r>
      <w:r w:rsidR="00935703">
        <w:t xml:space="preserve">the above </w:t>
      </w:r>
      <w:r w:rsidR="00B8404F">
        <w:t>goals outlined in the Resilience Strategy,</w:t>
      </w:r>
      <w:r w:rsidRPr="00040B09">
        <w:t xml:space="preserve"> </w:t>
      </w:r>
      <w:r w:rsidR="00935703">
        <w:t xml:space="preserve">in addition to </w:t>
      </w:r>
      <w:r w:rsidRPr="00040B09">
        <w:t xml:space="preserve">securing a whole-of-sector uplift in asset security and resilience. </w:t>
      </w:r>
    </w:p>
    <w:p w14:paraId="2C65900B" w14:textId="78BA1ECA" w:rsidR="00040B09" w:rsidRPr="00040B09" w:rsidRDefault="00040B09" w:rsidP="004C0EFC">
      <w:pPr>
        <w:pStyle w:val="Heading2numbered"/>
      </w:pPr>
      <w:bookmarkStart w:id="201" w:name="_Toc79149638"/>
      <w:bookmarkStart w:id="202" w:name="_Toc121397391"/>
      <w:r w:rsidRPr="00040B09">
        <w:t>Government’s objectives</w:t>
      </w:r>
      <w:bookmarkEnd w:id="201"/>
      <w:bookmarkEnd w:id="202"/>
      <w:r w:rsidRPr="00040B09">
        <w:t xml:space="preserve"> </w:t>
      </w:r>
    </w:p>
    <w:p w14:paraId="4F53D35B" w14:textId="7DA7935C" w:rsidR="00040B09" w:rsidRPr="00040B09" w:rsidRDefault="00040B09" w:rsidP="003C2243">
      <w:pPr>
        <w:pStyle w:val="BodyText"/>
      </w:pPr>
      <w:r w:rsidRPr="00040B09">
        <w:t xml:space="preserve">There are several specific objectives for Government intervention, aligned with the four problem elements identified in Section 1. These are outlined in </w:t>
      </w:r>
      <w:r w:rsidRPr="00040B09">
        <w:fldChar w:fldCharType="begin"/>
      </w:r>
      <w:r w:rsidRPr="00040B09">
        <w:instrText xml:space="preserve"> REF _Ref79154548 \h  \* MERGEFORMAT </w:instrText>
      </w:r>
      <w:r w:rsidRPr="00040B09">
        <w:fldChar w:fldCharType="separate"/>
      </w:r>
      <w:r w:rsidR="009708D4" w:rsidRPr="009708D4">
        <w:t xml:space="preserve">Table </w:t>
      </w:r>
      <w:r w:rsidR="009708D4" w:rsidRPr="009708D4">
        <w:rPr>
          <w:noProof/>
        </w:rPr>
        <w:t>1</w:t>
      </w:r>
      <w:r w:rsidRPr="00040B09">
        <w:fldChar w:fldCharType="end"/>
      </w:r>
      <w:r w:rsidRPr="00040B09">
        <w:t xml:space="preserve"> above in the executive summary. </w:t>
      </w:r>
    </w:p>
    <w:p w14:paraId="5DE03056" w14:textId="6C8C4665" w:rsidR="00040B09" w:rsidRDefault="00040B09" w:rsidP="003C2243">
      <w:pPr>
        <w:pStyle w:val="BodyText"/>
      </w:pPr>
      <w:r w:rsidRPr="00040B09">
        <w:t>With these objectives in mind, three policy options have been formulated. Each of these are discussed in detail in Section 3.</w:t>
      </w:r>
    </w:p>
    <w:p w14:paraId="5C758D39" w14:textId="24B7995A" w:rsidR="00E73273" w:rsidRDefault="00E73273">
      <w:pPr>
        <w:spacing w:before="80" w:after="80"/>
        <w:rPr>
          <w:rFonts w:cstheme="majorHAnsi"/>
          <w:sz w:val="22"/>
          <w:szCs w:val="28"/>
        </w:rPr>
      </w:pPr>
      <w:r>
        <w:br w:type="page"/>
      </w:r>
    </w:p>
    <w:p w14:paraId="0B3B55A0" w14:textId="039567A6" w:rsidR="00E73273" w:rsidRDefault="00EF1B2D" w:rsidP="00E73273">
      <w:pPr>
        <w:pStyle w:val="BodyText"/>
      </w:pPr>
      <w:r w:rsidRPr="00E73273">
        <w:rPr>
          <w:noProof/>
          <w:lang w:eastAsia="en-AU"/>
        </w:rPr>
        <w:lastRenderedPageBreak/>
        <mc:AlternateContent>
          <mc:Choice Requires="wps">
            <w:drawing>
              <wp:anchor distT="0" distB="0" distL="114300" distR="114300" simplePos="0" relativeHeight="251672576" behindDoc="1" locked="0" layoutInCell="1" allowOverlap="1" wp14:anchorId="30F33393" wp14:editId="52DFCA8F">
                <wp:simplePos x="0" y="0"/>
                <wp:positionH relativeFrom="page">
                  <wp:posOffset>16510</wp:posOffset>
                </wp:positionH>
                <wp:positionV relativeFrom="page">
                  <wp:posOffset>954991</wp:posOffset>
                </wp:positionV>
                <wp:extent cx="7560000" cy="9000000"/>
                <wp:effectExtent l="0" t="0" r="3175" b="0"/>
                <wp:wrapNone/>
                <wp:docPr id="32" name="Rectangle 32"/>
                <wp:cNvGraphicFramePr/>
                <a:graphic xmlns:a="http://schemas.openxmlformats.org/drawingml/2006/main">
                  <a:graphicData uri="http://schemas.microsoft.com/office/word/2010/wordprocessingShape">
                    <wps:wsp>
                      <wps:cNvSpPr/>
                      <wps:spPr>
                        <a:xfrm>
                          <a:off x="0" y="0"/>
                          <a:ext cx="7560000" cy="9000000"/>
                        </a:xfrm>
                        <a:prstGeom prst="rect">
                          <a:avLst/>
                        </a:prstGeom>
                        <a:gradFill flip="none" rotWithShape="1">
                          <a:gsLst>
                            <a:gs pos="0">
                              <a:schemeClr val="accent1"/>
                            </a:gs>
                            <a:gs pos="100000">
                              <a:schemeClr val="accent2"/>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CA074A" id="Rectangle 32" o:spid="_x0000_s1026" style="position:absolute;margin-left:1.3pt;margin-top:75.2pt;width:595.3pt;height:708.6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" fillcolor="#034ea2 [3204]" stroked="f" strokeweight="2pt">
                <v:fill color2="#007bc3 [3205]" rotate="t" angle="45" focus="100%" type="gradient"/>
                <w10:wrap anchorx="page" anchory="page"/>
              </v:rect>
            </w:pict>
          </mc:Fallback>
        </mc:AlternateContent>
      </w:r>
    </w:p>
    <w:p w14:paraId="7E5080BC" w14:textId="40EDAD1A" w:rsidR="00E73273" w:rsidRPr="00E73273" w:rsidRDefault="00E73273" w:rsidP="00E73273">
      <w:pPr>
        <w:pStyle w:val="Divider"/>
      </w:pPr>
      <w:r>
        <w:t>3. Policy Options</w:t>
      </w:r>
      <w:r w:rsidRPr="00E73273">
        <w:br w:type="page"/>
      </w:r>
    </w:p>
    <w:p w14:paraId="7CAB2AC1" w14:textId="2536CB63" w:rsidR="00E9705C" w:rsidRDefault="00E9705C" w:rsidP="003C2243">
      <w:pPr>
        <w:pStyle w:val="Heading1numbered"/>
      </w:pPr>
      <w:bookmarkStart w:id="203" w:name="_Toc121397392"/>
      <w:r w:rsidRPr="00E9705C">
        <w:lastRenderedPageBreak/>
        <w:t>Policy Options</w:t>
      </w:r>
      <w:bookmarkEnd w:id="203"/>
    </w:p>
    <w:p w14:paraId="4D94344F" w14:textId="77777777" w:rsidR="00E9705C" w:rsidRPr="00E9705C" w:rsidRDefault="00E9705C" w:rsidP="003C2243">
      <w:pPr>
        <w:pStyle w:val="BodyText"/>
      </w:pPr>
      <w:bookmarkStart w:id="204" w:name="_Toc70606799"/>
      <w:bookmarkStart w:id="205" w:name="_Toc70671199"/>
      <w:bookmarkStart w:id="206" w:name="_Toc70672662"/>
      <w:bookmarkStart w:id="207" w:name="_Toc70672832"/>
      <w:bookmarkStart w:id="208" w:name="_Toc71710867"/>
      <w:bookmarkStart w:id="209" w:name="_Toc71720821"/>
      <w:bookmarkStart w:id="210" w:name="_Toc73029737"/>
      <w:bookmarkStart w:id="211" w:name="_Toc73609414"/>
      <w:bookmarkStart w:id="212" w:name="_Toc74133869"/>
      <w:bookmarkStart w:id="213" w:name="_Toc74212041"/>
      <w:bookmarkStart w:id="214" w:name="_Toc74212316"/>
      <w:bookmarkStart w:id="215" w:name="_Toc74661590"/>
      <w:bookmarkStart w:id="216" w:name="_Toc74756824"/>
      <w:bookmarkStart w:id="217" w:name="_Toc74756947"/>
      <w:r w:rsidRPr="00E9705C">
        <w:t>Three options have been considered in response to the identified problem elements: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E9705C">
        <w:t xml:space="preserve"> </w:t>
      </w:r>
    </w:p>
    <w:p w14:paraId="49A7A0D4" w14:textId="77777777" w:rsidR="00E9705C" w:rsidRPr="00E9705C" w:rsidRDefault="00E9705C" w:rsidP="003C2243">
      <w:pPr>
        <w:pStyle w:val="Bullet1stlevel"/>
      </w:pPr>
      <w:r w:rsidRPr="00E9705C">
        <w:rPr>
          <w:b/>
          <w:bCs/>
        </w:rPr>
        <w:t>Option 1</w:t>
      </w:r>
      <w:r w:rsidRPr="00E9705C">
        <w:t xml:space="preserve">: Maintain the status quo; </w:t>
      </w:r>
    </w:p>
    <w:p w14:paraId="3ED1AE98" w14:textId="729D50ED" w:rsidR="00E9705C" w:rsidRPr="00E9705C" w:rsidRDefault="00E9705C" w:rsidP="003C2243">
      <w:pPr>
        <w:pStyle w:val="Bullet1stlevel"/>
      </w:pPr>
      <w:r w:rsidRPr="00E9705C">
        <w:rPr>
          <w:b/>
          <w:bCs/>
        </w:rPr>
        <w:t>Option 2</w:t>
      </w:r>
      <w:r w:rsidRPr="00E9705C">
        <w:t xml:space="preserve">: Implement, on a mandatory basis, the </w:t>
      </w:r>
      <w:r w:rsidR="00BB0179">
        <w:t>RMP</w:t>
      </w:r>
      <w:r w:rsidRPr="00E9705C">
        <w:t xml:space="preserve"> framework (encompassing the </w:t>
      </w:r>
      <w:r w:rsidR="001A0B40">
        <w:t>SLACI</w:t>
      </w:r>
      <w:r w:rsidR="001410A0">
        <w:t>P</w:t>
      </w:r>
      <w:r w:rsidR="001A0B40">
        <w:t xml:space="preserve"> </w:t>
      </w:r>
      <w:r w:rsidR="00DB4922">
        <w:t>Act</w:t>
      </w:r>
      <w:r w:rsidR="00DB4922" w:rsidRPr="00E9705C">
        <w:t xml:space="preserve">’s </w:t>
      </w:r>
      <w:r w:rsidR="00BB0179">
        <w:t>RMP</w:t>
      </w:r>
      <w:r w:rsidRPr="00E9705C">
        <w:t xml:space="preserve"> obligations, underpinned by </w:t>
      </w:r>
      <w:r w:rsidR="00C9360B">
        <w:t>the</w:t>
      </w:r>
      <w:r w:rsidRPr="00E9705C">
        <w:t xml:space="preserve"> </w:t>
      </w:r>
      <w:r w:rsidR="0016603A">
        <w:t>RMP rules</w:t>
      </w:r>
      <w:r w:rsidRPr="00E9705C">
        <w:t xml:space="preserve">) which is legally enforceable against captured </w:t>
      </w:r>
      <w:r w:rsidR="008056F4">
        <w:t>critical infrastructure assets</w:t>
      </w:r>
      <w:r w:rsidRPr="00E9705C">
        <w:t xml:space="preserve">; </w:t>
      </w:r>
    </w:p>
    <w:p w14:paraId="0D23E54C" w14:textId="18368744" w:rsidR="00E9705C" w:rsidRPr="00E9705C" w:rsidRDefault="00E9705C" w:rsidP="003C2243">
      <w:pPr>
        <w:pStyle w:val="Bullet1stlevel"/>
      </w:pPr>
      <w:r w:rsidRPr="00E9705C">
        <w:rPr>
          <w:b/>
          <w:bCs/>
        </w:rPr>
        <w:t>Option 3</w:t>
      </w:r>
      <w:r w:rsidRPr="00E9705C">
        <w:t xml:space="preserve">: Industry can voluntarily implement the </w:t>
      </w:r>
      <w:r w:rsidR="001A0B40">
        <w:t xml:space="preserve">SLACIP </w:t>
      </w:r>
      <w:r w:rsidR="00DB4922">
        <w:t>Act</w:t>
      </w:r>
      <w:r w:rsidR="00DB4922" w:rsidRPr="00E9705C">
        <w:t xml:space="preserve">’s </w:t>
      </w:r>
      <w:r w:rsidR="001A0B40">
        <w:t>RMP</w:t>
      </w:r>
      <w:r w:rsidRPr="00E9705C">
        <w:t xml:space="preserve"> obligations</w:t>
      </w:r>
      <w:r w:rsidR="001410A0">
        <w:t>,</w:t>
      </w:r>
      <w:r w:rsidRPr="00E9705C">
        <w:t xml:space="preserve"> which will not be switched on for </w:t>
      </w:r>
      <w:r w:rsidR="008056F4">
        <w:t>critical infrastructure assets</w:t>
      </w:r>
      <w:r w:rsidRPr="00E9705C">
        <w:t xml:space="preserve">. They can also voluntarily comply with the </w:t>
      </w:r>
      <w:r w:rsidR="0016603A">
        <w:t>RMP rules</w:t>
      </w:r>
      <w:r w:rsidRPr="00E9705C">
        <w:t>.</w:t>
      </w:r>
    </w:p>
    <w:p w14:paraId="3520538D" w14:textId="77777777" w:rsidR="00E9705C" w:rsidRPr="00E9705C" w:rsidRDefault="00E9705C" w:rsidP="003C2243">
      <w:pPr>
        <w:pStyle w:val="BodyText"/>
      </w:pPr>
      <w:r w:rsidRPr="00E9705C">
        <w:t>Each option is described in detail below, including implementation considerations as applicable.</w:t>
      </w:r>
    </w:p>
    <w:p w14:paraId="343211E1" w14:textId="37F28CA1" w:rsidR="00E9705C" w:rsidRPr="00E9705C" w:rsidRDefault="00E9705C" w:rsidP="004C0EFC">
      <w:pPr>
        <w:pStyle w:val="Heading2numbered"/>
      </w:pPr>
      <w:bookmarkStart w:id="218" w:name="_Toc79149640"/>
      <w:bookmarkStart w:id="219" w:name="_Toc121397393"/>
      <w:r w:rsidRPr="00E9705C">
        <w:t>Option 1: Maintain the status quo</w:t>
      </w:r>
      <w:bookmarkEnd w:id="218"/>
      <w:bookmarkEnd w:id="219"/>
      <w:r w:rsidRPr="00E9705C">
        <w:t xml:space="preserve"> </w:t>
      </w:r>
    </w:p>
    <w:p w14:paraId="7FE4AD6A" w14:textId="7AF41646" w:rsidR="00E9705C" w:rsidRPr="00E9705C" w:rsidRDefault="00E9705C" w:rsidP="003C2243">
      <w:pPr>
        <w:pStyle w:val="BodyText"/>
      </w:pPr>
      <w:r w:rsidRPr="00E9705C">
        <w:t xml:space="preserve">Option 1 involves no regulatory action or legislative change as it applies to the </w:t>
      </w:r>
      <w:r w:rsidR="00BB0179">
        <w:t>RMP</w:t>
      </w:r>
      <w:r w:rsidRPr="00E9705C">
        <w:t xml:space="preserve"> obligation. </w:t>
      </w:r>
      <w:r w:rsidR="00DB4922">
        <w:t>The RMP obligations in the SLACIP Act are not switched on</w:t>
      </w:r>
      <w:r w:rsidRPr="00E9705C">
        <w:t xml:space="preserve"> for </w:t>
      </w:r>
      <w:r w:rsidR="008056F4">
        <w:t>critical infrastructure assets</w:t>
      </w:r>
      <w:r w:rsidRPr="00E9705C">
        <w:t xml:space="preserve">. </w:t>
      </w:r>
    </w:p>
    <w:p w14:paraId="02DDC30F" w14:textId="7EEFF638" w:rsidR="00E9705C" w:rsidRPr="00E9705C" w:rsidRDefault="00E9705C" w:rsidP="003C2243">
      <w:pPr>
        <w:pStyle w:val="BodyText"/>
      </w:pPr>
      <w:r w:rsidRPr="00E9705C">
        <w:t>Responsible entities would not be required to comply with the requirements contained in sections 30AC – 30AK</w:t>
      </w:r>
      <w:r w:rsidR="001362C1">
        <w:t>A</w:t>
      </w:r>
      <w:r w:rsidRPr="00E9705C">
        <w:t xml:space="preserve"> of the </w:t>
      </w:r>
      <w:r w:rsidR="001A0B40">
        <w:t xml:space="preserve">SLACIP </w:t>
      </w:r>
      <w:r w:rsidR="00DB4922">
        <w:t>Act</w:t>
      </w:r>
      <w:r w:rsidRPr="00E9705C">
        <w:t xml:space="preserve">. Neither these </w:t>
      </w:r>
      <w:r w:rsidR="00BB0179">
        <w:t>RMP</w:t>
      </w:r>
      <w:r w:rsidRPr="00E9705C">
        <w:t xml:space="preserve"> obligations, nor the draft </w:t>
      </w:r>
      <w:r w:rsidR="0016603A">
        <w:t>RMP rules</w:t>
      </w:r>
      <w:r w:rsidRPr="00E9705C">
        <w:t xml:space="preserve">, would apply for responsible entities of </w:t>
      </w:r>
      <w:r w:rsidR="008056F4">
        <w:t>critical infrastructure assets</w:t>
      </w:r>
      <w:r w:rsidRPr="00E9705C">
        <w:t xml:space="preserve">. </w:t>
      </w:r>
    </w:p>
    <w:p w14:paraId="1090BA31" w14:textId="7AF92FB6" w:rsidR="00E9705C" w:rsidRPr="00E9705C" w:rsidRDefault="00E9705C" w:rsidP="003C2243">
      <w:pPr>
        <w:pStyle w:val="BodyText"/>
        <w:rPr>
          <w:i/>
          <w:iCs/>
        </w:rPr>
      </w:pPr>
      <w:r w:rsidRPr="00E9705C">
        <w:t xml:space="preserve">Existing legislation, regulation, </w:t>
      </w:r>
      <w:r w:rsidR="00AF5F1B" w:rsidRPr="00E9705C">
        <w:t>standards,</w:t>
      </w:r>
      <w:r w:rsidRPr="00E9705C">
        <w:t xml:space="preserve"> and guidelines </w:t>
      </w:r>
      <w:r w:rsidRPr="00B36838">
        <w:t xml:space="preserve">relating to </w:t>
      </w:r>
      <w:r w:rsidR="00315370">
        <w:t>critical infrastructure assets (set out</w:t>
      </w:r>
      <w:r w:rsidRPr="00B36838">
        <w:t xml:space="preserve"> </w:t>
      </w:r>
      <w:r w:rsidR="00315370">
        <w:t xml:space="preserve">in </w:t>
      </w:r>
      <w:r w:rsidRPr="00B36838">
        <w:t>Appendi</w:t>
      </w:r>
      <w:r w:rsidR="00315370">
        <w:t xml:space="preserve">ces </w:t>
      </w:r>
      <w:r w:rsidR="00D57A98">
        <w:t xml:space="preserve">G – </w:t>
      </w:r>
      <w:r w:rsidR="00B015B1">
        <w:t>R</w:t>
      </w:r>
      <w:r w:rsidRPr="00B36838">
        <w:t xml:space="preserve">) would remain. </w:t>
      </w:r>
    </w:p>
    <w:p w14:paraId="1B43B5EF" w14:textId="2B2E69BB" w:rsidR="00E9705C" w:rsidRPr="00E9705C" w:rsidRDefault="00E9705C" w:rsidP="004C0EFC">
      <w:pPr>
        <w:pStyle w:val="Heading2numbered"/>
      </w:pPr>
      <w:bookmarkStart w:id="220" w:name="_Toc79149641"/>
      <w:bookmarkStart w:id="221" w:name="_Toc121397394"/>
      <w:r w:rsidRPr="00E9705C">
        <w:t xml:space="preserve">Option 2: Mandatory </w:t>
      </w:r>
      <w:r w:rsidR="00BB0179">
        <w:t>RMP</w:t>
      </w:r>
      <w:r w:rsidRPr="00E9705C">
        <w:t xml:space="preserve"> framework</w:t>
      </w:r>
      <w:bookmarkEnd w:id="220"/>
      <w:bookmarkEnd w:id="221"/>
    </w:p>
    <w:p w14:paraId="0FA74AEC" w14:textId="49EAF4E3" w:rsidR="007963C0" w:rsidRDefault="007963C0" w:rsidP="003C2243">
      <w:pPr>
        <w:pStyle w:val="BodyText"/>
      </w:pPr>
      <w:r w:rsidRPr="00E9705C">
        <w:t xml:space="preserve">Option 2 involves the requirement for industry to comply with a mandatory </w:t>
      </w:r>
      <w:r>
        <w:t>RMP</w:t>
      </w:r>
      <w:r w:rsidR="00DB4922">
        <w:t>. T</w:t>
      </w:r>
      <w:r w:rsidRPr="00E9705C">
        <w:t xml:space="preserve">he </w:t>
      </w:r>
      <w:r w:rsidR="00BB0179">
        <w:t>RMP</w:t>
      </w:r>
      <w:r w:rsidRPr="00E9705C">
        <w:t xml:space="preserve"> obligation of the </w:t>
      </w:r>
      <w:r>
        <w:t xml:space="preserve">SLACIP </w:t>
      </w:r>
      <w:r w:rsidR="00DB4922">
        <w:t>Act</w:t>
      </w:r>
      <w:r w:rsidR="00DB4922" w:rsidRPr="00E9705C">
        <w:t xml:space="preserve"> </w:t>
      </w:r>
      <w:r w:rsidRPr="00E9705C">
        <w:t xml:space="preserve">would be switched on for </w:t>
      </w:r>
      <w:r w:rsidR="008056F4">
        <w:t>critical infrastructure assets</w:t>
      </w:r>
      <w:r w:rsidRPr="00E9705C">
        <w:t xml:space="preserve">. </w:t>
      </w:r>
    </w:p>
    <w:p w14:paraId="1FF202F3" w14:textId="44A84A8F" w:rsidR="007963C0" w:rsidRPr="00E9705C" w:rsidRDefault="007963C0" w:rsidP="003C2243">
      <w:pPr>
        <w:pStyle w:val="BodyText"/>
      </w:pPr>
      <w:r>
        <w:t xml:space="preserve">It should be noted that the Department has closely examined the existing legislative and regulatory arrangements currently in place across all Australian jurisdictions. Information gathered during this assessment has been used to identify those sectors in which current risk management practices are insufficient for protecting the security and resilience of critical infrastructure assets. The measures proposed under option 2 would only be implemented where the Department has determined that existing measures are inadequate, in order to reduce risk of regulatory duplication. </w:t>
      </w:r>
      <w:r w:rsidR="00C576A2">
        <w:t>A summary of existing legislation and regulation</w:t>
      </w:r>
      <w:r w:rsidR="006063CA">
        <w:t xml:space="preserve"> that applies to specific sectors and assets</w:t>
      </w:r>
      <w:r w:rsidR="00464D4A">
        <w:t>, and identified gaps in terms of risk management obligations,</w:t>
      </w:r>
      <w:r w:rsidR="006063CA">
        <w:t xml:space="preserve"> can be found in </w:t>
      </w:r>
      <w:r w:rsidR="00D57A98">
        <w:t>A</w:t>
      </w:r>
      <w:r w:rsidR="006063CA">
        <w:t xml:space="preserve">ppendices G – </w:t>
      </w:r>
      <w:r w:rsidR="001F25F4">
        <w:t>R</w:t>
      </w:r>
      <w:r w:rsidR="006063CA">
        <w:t xml:space="preserve">. </w:t>
      </w:r>
    </w:p>
    <w:p w14:paraId="2267D522" w14:textId="031FF751" w:rsidR="00E9705C" w:rsidRPr="00E9705C" w:rsidRDefault="00BB0179" w:rsidP="004C0EFC">
      <w:pPr>
        <w:pStyle w:val="Heading3numbered"/>
      </w:pPr>
      <w:bookmarkStart w:id="222" w:name="_Toc79149642"/>
      <w:r>
        <w:t>RMP</w:t>
      </w:r>
      <w:r w:rsidR="00E9705C" w:rsidRPr="00E9705C">
        <w:t xml:space="preserve"> obligation</w:t>
      </w:r>
      <w:bookmarkEnd w:id="222"/>
    </w:p>
    <w:p w14:paraId="04683D51" w14:textId="07412A17" w:rsidR="00E9705C" w:rsidRPr="00E9705C" w:rsidRDefault="00E9705C" w:rsidP="003C2243">
      <w:pPr>
        <w:pStyle w:val="BodyText"/>
      </w:pPr>
      <w:r w:rsidRPr="00E9705C">
        <w:t>Responsible entities would be required to comply with the requirements contained in sections 30AC – 30AK</w:t>
      </w:r>
      <w:r w:rsidR="007B124D">
        <w:t>A</w:t>
      </w:r>
      <w:r w:rsidRPr="00E9705C">
        <w:t xml:space="preserve"> of the </w:t>
      </w:r>
      <w:r w:rsidR="00BD6223">
        <w:t>Act</w:t>
      </w:r>
      <w:r w:rsidR="00BD6223" w:rsidRPr="00E9705C">
        <w:t xml:space="preserve"> </w:t>
      </w:r>
      <w:r w:rsidRPr="00E9705C">
        <w:t xml:space="preserve">and summarised in section 30AA: </w:t>
      </w:r>
    </w:p>
    <w:p w14:paraId="2E04F63D" w14:textId="77777777" w:rsidR="00E9705C" w:rsidRPr="004356EB" w:rsidRDefault="00E9705C" w:rsidP="005F1AF8">
      <w:pPr>
        <w:numPr>
          <w:ilvl w:val="0"/>
          <w:numId w:val="31"/>
        </w:numPr>
        <w:spacing w:line="259" w:lineRule="auto"/>
        <w:contextualSpacing/>
        <w:rPr>
          <w:rFonts w:ascii="Arial" w:eastAsia="Calibri" w:hAnsi="Arial" w:cs="Arial"/>
          <w:i/>
          <w:sz w:val="22"/>
        </w:rPr>
      </w:pPr>
      <w:r w:rsidRPr="00E9705C">
        <w:rPr>
          <w:rFonts w:ascii="Arial" w:eastAsia="Calibri" w:hAnsi="Arial" w:cs="Arial"/>
          <w:i/>
          <w:sz w:val="22"/>
        </w:rPr>
        <w:t xml:space="preserve">The responsible entity for one or more critical infrastructure assets must have, and comply with, a critical infrastructure </w:t>
      </w:r>
      <w:r w:rsidR="00BB0179">
        <w:rPr>
          <w:rFonts w:ascii="Arial" w:eastAsia="Calibri" w:hAnsi="Arial" w:cs="Arial"/>
          <w:i/>
          <w:sz w:val="22"/>
        </w:rPr>
        <w:t>RMP</w:t>
      </w:r>
      <w:r w:rsidRPr="00E9705C">
        <w:rPr>
          <w:rFonts w:ascii="Arial" w:eastAsia="Calibri" w:hAnsi="Arial" w:cs="Arial"/>
          <w:i/>
          <w:sz w:val="22"/>
        </w:rPr>
        <w:t xml:space="preserve">. </w:t>
      </w:r>
    </w:p>
    <w:p w14:paraId="0F674347" w14:textId="77777777" w:rsidR="00E9705C" w:rsidRPr="00E9705C" w:rsidRDefault="00E9705C" w:rsidP="005F1AF8">
      <w:pPr>
        <w:numPr>
          <w:ilvl w:val="0"/>
          <w:numId w:val="31"/>
        </w:numPr>
        <w:spacing w:line="259" w:lineRule="auto"/>
        <w:contextualSpacing/>
        <w:rPr>
          <w:rFonts w:ascii="Arial" w:eastAsia="Calibri" w:hAnsi="Arial" w:cs="Arial"/>
          <w:i/>
          <w:sz w:val="22"/>
        </w:rPr>
      </w:pPr>
      <w:r w:rsidRPr="00E9705C">
        <w:rPr>
          <w:rFonts w:ascii="Arial" w:eastAsia="Calibri" w:hAnsi="Arial" w:cs="Arial"/>
          <w:i/>
          <w:sz w:val="22"/>
        </w:rPr>
        <w:t xml:space="preserve">The purpose of a critical infrastructure </w:t>
      </w:r>
      <w:r w:rsidR="00BB0179">
        <w:rPr>
          <w:rFonts w:ascii="Arial" w:eastAsia="Calibri" w:hAnsi="Arial" w:cs="Arial"/>
          <w:i/>
          <w:sz w:val="22"/>
        </w:rPr>
        <w:t>RMP</w:t>
      </w:r>
      <w:r w:rsidRPr="00E9705C">
        <w:rPr>
          <w:rFonts w:ascii="Arial" w:eastAsia="Calibri" w:hAnsi="Arial" w:cs="Arial"/>
          <w:i/>
          <w:sz w:val="22"/>
        </w:rPr>
        <w:t xml:space="preserve"> is to do the following for each of those assets: </w:t>
      </w:r>
    </w:p>
    <w:p w14:paraId="078CA85A" w14:textId="77777777" w:rsidR="00E9705C" w:rsidRPr="00E9705C" w:rsidRDefault="00E9705C" w:rsidP="005F1AF8">
      <w:pPr>
        <w:numPr>
          <w:ilvl w:val="0"/>
          <w:numId w:val="33"/>
        </w:numPr>
        <w:spacing w:line="259" w:lineRule="auto"/>
        <w:contextualSpacing/>
        <w:rPr>
          <w:rFonts w:ascii="Arial" w:eastAsia="Calibri" w:hAnsi="Arial" w:cs="Arial"/>
          <w:i/>
          <w:sz w:val="22"/>
        </w:rPr>
      </w:pPr>
      <w:r w:rsidRPr="00E9705C">
        <w:rPr>
          <w:rFonts w:ascii="Arial" w:eastAsia="Calibri" w:hAnsi="Arial" w:cs="Arial"/>
          <w:i/>
          <w:sz w:val="22"/>
        </w:rPr>
        <w:t xml:space="preserve">identify each hazard where there is a material risk that the occurrence of the hazard could have a relevant impact on the asset; </w:t>
      </w:r>
    </w:p>
    <w:p w14:paraId="3A2348F5" w14:textId="1778E1E3" w:rsidR="00E9705C" w:rsidRPr="00E9705C" w:rsidRDefault="00E9705C" w:rsidP="005F1AF8">
      <w:pPr>
        <w:numPr>
          <w:ilvl w:val="0"/>
          <w:numId w:val="33"/>
        </w:numPr>
        <w:spacing w:line="259" w:lineRule="auto"/>
        <w:contextualSpacing/>
        <w:rPr>
          <w:rFonts w:ascii="Arial" w:eastAsia="Calibri" w:hAnsi="Arial" w:cs="Arial"/>
          <w:i/>
          <w:sz w:val="22"/>
        </w:rPr>
      </w:pPr>
      <w:r w:rsidRPr="00E9705C">
        <w:rPr>
          <w:rFonts w:ascii="Arial" w:eastAsia="Calibri" w:hAnsi="Arial" w:cs="Arial"/>
          <w:i/>
          <w:sz w:val="22"/>
        </w:rPr>
        <w:t>so far as it is reasonably p</w:t>
      </w:r>
      <w:r w:rsidR="00FF5E7B">
        <w:rPr>
          <w:rFonts w:ascii="Arial" w:eastAsia="Calibri" w:hAnsi="Arial" w:cs="Arial"/>
          <w:i/>
          <w:sz w:val="22"/>
        </w:rPr>
        <w:t>racticable</w:t>
      </w:r>
      <w:r w:rsidRPr="00E9705C">
        <w:rPr>
          <w:rFonts w:ascii="Arial" w:eastAsia="Calibri" w:hAnsi="Arial" w:cs="Arial"/>
          <w:i/>
          <w:sz w:val="22"/>
        </w:rPr>
        <w:t xml:space="preserve"> to do so—minimise or eliminate any material risk of such a hazard occurring; </w:t>
      </w:r>
    </w:p>
    <w:p w14:paraId="76B2A4AF" w14:textId="77777777" w:rsidR="00E9705C" w:rsidRPr="004356EB" w:rsidRDefault="00FF5E7B" w:rsidP="005F1AF8">
      <w:pPr>
        <w:numPr>
          <w:ilvl w:val="0"/>
          <w:numId w:val="33"/>
        </w:numPr>
        <w:spacing w:line="259" w:lineRule="auto"/>
        <w:contextualSpacing/>
        <w:rPr>
          <w:rFonts w:ascii="Arial" w:eastAsia="Calibri" w:hAnsi="Arial" w:cs="Arial"/>
          <w:i/>
          <w:sz w:val="22"/>
        </w:rPr>
      </w:pPr>
      <w:r w:rsidRPr="00E9705C">
        <w:rPr>
          <w:rFonts w:ascii="Arial" w:eastAsia="Calibri" w:hAnsi="Arial" w:cs="Arial"/>
          <w:i/>
          <w:sz w:val="22"/>
        </w:rPr>
        <w:t>so far as it is reasonably p</w:t>
      </w:r>
      <w:r>
        <w:rPr>
          <w:rFonts w:ascii="Arial" w:eastAsia="Calibri" w:hAnsi="Arial" w:cs="Arial"/>
          <w:i/>
          <w:sz w:val="22"/>
        </w:rPr>
        <w:t>racticable</w:t>
      </w:r>
      <w:r w:rsidRPr="00E9705C">
        <w:rPr>
          <w:rFonts w:ascii="Arial" w:eastAsia="Calibri" w:hAnsi="Arial" w:cs="Arial"/>
          <w:i/>
          <w:sz w:val="22"/>
        </w:rPr>
        <w:t xml:space="preserve"> to do so—</w:t>
      </w:r>
      <w:r w:rsidR="00E9705C" w:rsidRPr="00E9705C">
        <w:rPr>
          <w:rFonts w:ascii="Arial" w:eastAsia="Calibri" w:hAnsi="Arial" w:cs="Arial"/>
          <w:i/>
          <w:sz w:val="22"/>
        </w:rPr>
        <w:t xml:space="preserve">mitigate the relevant impact of such a hazard on the asset. </w:t>
      </w:r>
    </w:p>
    <w:p w14:paraId="3E64CAEE" w14:textId="77777777" w:rsidR="00E9705C" w:rsidRDefault="00E9705C" w:rsidP="005F1AF8">
      <w:pPr>
        <w:numPr>
          <w:ilvl w:val="0"/>
          <w:numId w:val="31"/>
        </w:numPr>
        <w:spacing w:line="259" w:lineRule="auto"/>
        <w:contextualSpacing/>
        <w:rPr>
          <w:rFonts w:ascii="Arial" w:eastAsia="Calibri" w:hAnsi="Arial" w:cs="Arial"/>
          <w:i/>
          <w:sz w:val="22"/>
        </w:rPr>
      </w:pPr>
      <w:r w:rsidRPr="00E9705C">
        <w:rPr>
          <w:rFonts w:ascii="Arial" w:eastAsia="Calibri" w:hAnsi="Arial" w:cs="Arial"/>
          <w:i/>
          <w:sz w:val="22"/>
        </w:rPr>
        <w:lastRenderedPageBreak/>
        <w:t xml:space="preserve">A responsible entity must give an annual report relating to its critical infrastructure </w:t>
      </w:r>
      <w:r w:rsidR="00BB0179">
        <w:rPr>
          <w:rFonts w:ascii="Arial" w:eastAsia="Calibri" w:hAnsi="Arial" w:cs="Arial"/>
          <w:i/>
          <w:sz w:val="22"/>
        </w:rPr>
        <w:t>RMP</w:t>
      </w:r>
      <w:r w:rsidRPr="00E9705C">
        <w:rPr>
          <w:rFonts w:ascii="Arial" w:eastAsia="Calibri" w:hAnsi="Arial" w:cs="Arial"/>
          <w:i/>
          <w:sz w:val="22"/>
        </w:rPr>
        <w:t xml:space="preserve">. If the entity has a board, council or other governing body, the annual report must be approved by the board, </w:t>
      </w:r>
      <w:r w:rsidR="009838F6" w:rsidRPr="00E9705C">
        <w:rPr>
          <w:rFonts w:ascii="Arial" w:eastAsia="Calibri" w:hAnsi="Arial" w:cs="Arial"/>
          <w:i/>
          <w:sz w:val="22"/>
        </w:rPr>
        <w:t>council,</w:t>
      </w:r>
      <w:r w:rsidRPr="00E9705C">
        <w:rPr>
          <w:rFonts w:ascii="Arial" w:eastAsia="Calibri" w:hAnsi="Arial" w:cs="Arial"/>
          <w:i/>
          <w:sz w:val="22"/>
        </w:rPr>
        <w:t xml:space="preserve"> or other governing body. </w:t>
      </w:r>
    </w:p>
    <w:p w14:paraId="3BC9E1F4" w14:textId="77777777" w:rsidR="004356EB" w:rsidRPr="00E9705C" w:rsidRDefault="004356EB" w:rsidP="00531F25">
      <w:pPr>
        <w:spacing w:after="160" w:line="259" w:lineRule="auto"/>
        <w:ind w:left="360"/>
        <w:contextualSpacing/>
        <w:rPr>
          <w:rFonts w:ascii="Arial" w:eastAsia="Calibri" w:hAnsi="Arial" w:cs="Arial"/>
          <w:i/>
          <w:sz w:val="22"/>
        </w:rPr>
      </w:pPr>
    </w:p>
    <w:p w14:paraId="6B37B757" w14:textId="380B1DE7" w:rsidR="00E9705C" w:rsidRPr="00E9705C" w:rsidRDefault="00E9705C" w:rsidP="00CE4B35">
      <w:pPr>
        <w:pStyle w:val="BodyText"/>
      </w:pPr>
      <w:r w:rsidRPr="00E9705C">
        <w:t xml:space="preserve">These obligations would be supplemented by </w:t>
      </w:r>
      <w:r w:rsidR="00895A03">
        <w:t xml:space="preserve">the </w:t>
      </w:r>
      <w:r w:rsidR="00895A03" w:rsidRPr="00CE4B35">
        <w:rPr>
          <w:b/>
          <w:bCs/>
        </w:rPr>
        <w:t>RMP</w:t>
      </w:r>
      <w:r w:rsidR="00B31ECB" w:rsidRPr="00CE4B35">
        <w:rPr>
          <w:b/>
          <w:bCs/>
        </w:rPr>
        <w:t xml:space="preserve"> </w:t>
      </w:r>
      <w:r w:rsidRPr="00CE4B35">
        <w:rPr>
          <w:b/>
          <w:bCs/>
        </w:rPr>
        <w:t>rules</w:t>
      </w:r>
      <w:r w:rsidR="00B31ECB">
        <w:t xml:space="preserve">, </w:t>
      </w:r>
      <w:r w:rsidRPr="00CE4B35">
        <w:t>including</w:t>
      </w:r>
      <w:r w:rsidRPr="00E9705C">
        <w:rPr>
          <w:b/>
          <w:bCs/>
        </w:rPr>
        <w:t xml:space="preserve"> </w:t>
      </w:r>
      <w:r w:rsidR="00F767A6">
        <w:rPr>
          <w:b/>
          <w:bCs/>
        </w:rPr>
        <w:t>general rules</w:t>
      </w:r>
      <w:r w:rsidR="000876A3">
        <w:rPr>
          <w:b/>
          <w:bCs/>
        </w:rPr>
        <w:t xml:space="preserve"> </w:t>
      </w:r>
      <w:r w:rsidR="000876A3">
        <w:t xml:space="preserve">which </w:t>
      </w:r>
      <w:r w:rsidR="000876A3" w:rsidRPr="00D01BB4">
        <w:t xml:space="preserve">provide further specificity to the </w:t>
      </w:r>
      <w:r w:rsidR="000876A3">
        <w:t>RMP</w:t>
      </w:r>
      <w:r w:rsidR="000876A3" w:rsidRPr="00D01BB4">
        <w:t xml:space="preserve"> requirements in the </w:t>
      </w:r>
      <w:r w:rsidR="000876A3">
        <w:t>SLACIP Act</w:t>
      </w:r>
      <w:r w:rsidR="009203EB">
        <w:t xml:space="preserve">; </w:t>
      </w:r>
      <w:r w:rsidRPr="00E9705C">
        <w:rPr>
          <w:b/>
          <w:bCs/>
        </w:rPr>
        <w:t>standards and principles rules</w:t>
      </w:r>
      <w:r w:rsidRPr="00E9705C">
        <w:t xml:space="preserve">, which seek to leverage existing best-practice standards related </w:t>
      </w:r>
      <w:r w:rsidRPr="00B36838">
        <w:t xml:space="preserve">to </w:t>
      </w:r>
      <w:r w:rsidR="00B36838" w:rsidRPr="00531F25">
        <w:t>critical infrastructure</w:t>
      </w:r>
      <w:r w:rsidRPr="00B36838">
        <w:t xml:space="preserve"> </w:t>
      </w:r>
      <w:r w:rsidR="004356EB">
        <w:t xml:space="preserve">assets </w:t>
      </w:r>
      <w:r w:rsidRPr="00B36838">
        <w:t xml:space="preserve">or include </w:t>
      </w:r>
      <w:r w:rsidRPr="00E9705C">
        <w:t xml:space="preserve">principles-based approaches to managing risk; </w:t>
      </w:r>
      <w:r w:rsidR="009203EB">
        <w:t xml:space="preserve">and </w:t>
      </w:r>
      <w:r w:rsidRPr="00E9705C">
        <w:rPr>
          <w:b/>
          <w:bCs/>
        </w:rPr>
        <w:t>material risk rules</w:t>
      </w:r>
      <w:r w:rsidRPr="00E9705C">
        <w:t>, which may specify certain risks as ‘material risks’</w:t>
      </w:r>
      <w:r w:rsidR="009203EB">
        <w:t xml:space="preserve">. </w:t>
      </w:r>
      <w:r w:rsidR="00987DEC">
        <w:t xml:space="preserve"> </w:t>
      </w:r>
    </w:p>
    <w:p w14:paraId="53818329" w14:textId="77777777" w:rsidR="00E9705C" w:rsidRPr="00E9705C" w:rsidRDefault="00E9705C" w:rsidP="003C2243">
      <w:pPr>
        <w:pStyle w:val="BodyText"/>
      </w:pPr>
      <w:r w:rsidRPr="00E9705C">
        <w:t xml:space="preserve">The </w:t>
      </w:r>
      <w:r w:rsidR="00BB0179">
        <w:t>RMP</w:t>
      </w:r>
      <w:r w:rsidRPr="00E9705C">
        <w:t xml:space="preserve"> framework would be binding and legally enforceable, with responsible entities facing civil penalties for non-compliance. The Department’s approach to enforcement is discussed in greater detail in Section 7.1.3 below.</w:t>
      </w:r>
    </w:p>
    <w:p w14:paraId="132C5F8E" w14:textId="74A4D004" w:rsidR="00E9705C" w:rsidRPr="00E9705C" w:rsidRDefault="0016603A" w:rsidP="004C0EFC">
      <w:pPr>
        <w:pStyle w:val="Heading3numbered"/>
      </w:pPr>
      <w:r>
        <w:t>RMP rules</w:t>
      </w:r>
      <w:r w:rsidR="00E9705C" w:rsidRPr="00E9705C">
        <w:t xml:space="preserve"> </w:t>
      </w:r>
    </w:p>
    <w:p w14:paraId="50CC8D5A" w14:textId="370EF7E0" w:rsidR="002113FB" w:rsidRPr="008C6EA5" w:rsidRDefault="002113FB" w:rsidP="002113FB">
      <w:pPr>
        <w:pStyle w:val="Heading4"/>
      </w:pPr>
      <w:r>
        <w:t>General</w:t>
      </w:r>
      <w:r w:rsidRPr="00BF6F6D">
        <w:t xml:space="preserve"> rules</w:t>
      </w:r>
    </w:p>
    <w:p w14:paraId="3A24E060" w14:textId="4BD3FCCC" w:rsidR="002113FB" w:rsidRPr="00E9705C" w:rsidRDefault="002113FB" w:rsidP="002113FB">
      <w:pPr>
        <w:pStyle w:val="BodyText"/>
      </w:pPr>
      <w:r w:rsidRPr="00E9705C">
        <w:t xml:space="preserve">There is a need to support Government visibility over all hazards risk management, through implementing rules which require an entity to develop a </w:t>
      </w:r>
      <w:r>
        <w:t>RMP</w:t>
      </w:r>
      <w:r w:rsidRPr="00E9705C">
        <w:t xml:space="preserve">. Consultation on the manner and form of the </w:t>
      </w:r>
      <w:r w:rsidR="007463B1">
        <w:t xml:space="preserve">(then) </w:t>
      </w:r>
      <w:r w:rsidRPr="00E9705C">
        <w:t xml:space="preserve">governance rules highlighted five key areas for coverage: </w:t>
      </w:r>
    </w:p>
    <w:p w14:paraId="33C0A5B5" w14:textId="35DAABA0" w:rsidR="002113FB" w:rsidRPr="00E9705C" w:rsidRDefault="002113FB" w:rsidP="002113FB">
      <w:pPr>
        <w:pStyle w:val="BodyText"/>
      </w:pPr>
      <w:r w:rsidRPr="00E9705C">
        <w:rPr>
          <w:b/>
          <w:bCs/>
        </w:rPr>
        <w:t>Risk methodology:</w:t>
      </w:r>
      <w:r w:rsidRPr="00E9705C">
        <w:t xml:space="preserve"> The Department identified the need for a rule which requires an organisation’s </w:t>
      </w:r>
      <w:r>
        <w:t>RMP</w:t>
      </w:r>
      <w:r w:rsidRPr="00E9705C">
        <w:t xml:space="preserve"> to set out the risk management framework, which will support the organisation’s development of </w:t>
      </w:r>
      <w:r w:rsidR="007463B1" w:rsidRPr="00E9705C">
        <w:t>an</w:t>
      </w:r>
      <w:r w:rsidRPr="00E9705C">
        <w:t xml:space="preserve"> </w:t>
      </w:r>
      <w:r>
        <w:t>RMP</w:t>
      </w:r>
      <w:r w:rsidRPr="00E9705C">
        <w:t>. This rule stems from an acknowledgement that industry is best place</w:t>
      </w:r>
      <w:r>
        <w:t>d</w:t>
      </w:r>
      <w:r w:rsidRPr="00E9705C">
        <w:t xml:space="preserve"> to identify, assess and manage risks to their business, and a need to provide further detail on risk management methodology outlined in the </w:t>
      </w:r>
      <w:r>
        <w:t>Act</w:t>
      </w:r>
      <w:r w:rsidRPr="00E9705C">
        <w:t xml:space="preserve">. </w:t>
      </w:r>
    </w:p>
    <w:p w14:paraId="00A1DAA3" w14:textId="77777777" w:rsidR="002113FB" w:rsidRPr="00E9705C" w:rsidRDefault="002113FB" w:rsidP="002113FB">
      <w:pPr>
        <w:pStyle w:val="BodyText"/>
      </w:pPr>
      <w:r w:rsidRPr="00E9705C">
        <w:rPr>
          <w:b/>
          <w:bCs/>
        </w:rPr>
        <w:t>Context identification processes:</w:t>
      </w:r>
      <w:r w:rsidRPr="00E9705C">
        <w:t xml:space="preserve"> The Department identified the need for a rule which requires an organisation’s </w:t>
      </w:r>
      <w:r>
        <w:t>RMP</w:t>
      </w:r>
      <w:r w:rsidRPr="00E9705C">
        <w:t xml:space="preserve"> to set out how it will carry out the following three context identification processes</w:t>
      </w:r>
      <w:r>
        <w:t xml:space="preserve"> to assist with risk identification, </w:t>
      </w:r>
      <w:r w:rsidRPr="00E9705C">
        <w:t xml:space="preserve">as well as the outcomes of those processes. </w:t>
      </w:r>
    </w:p>
    <w:p w14:paraId="5C4D5670" w14:textId="77777777" w:rsidR="002113FB" w:rsidRPr="00E9705C" w:rsidRDefault="002113FB" w:rsidP="002113FB">
      <w:pPr>
        <w:numPr>
          <w:ilvl w:val="0"/>
          <w:numId w:val="34"/>
        </w:numPr>
        <w:spacing w:after="160" w:line="259" w:lineRule="auto"/>
        <w:ind w:left="357" w:hanging="357"/>
        <w:rPr>
          <w:rFonts w:ascii="Arial" w:eastAsia="Calibri" w:hAnsi="Arial" w:cs="Arial"/>
          <w:sz w:val="22"/>
        </w:rPr>
      </w:pPr>
      <w:r w:rsidRPr="00E9705C">
        <w:rPr>
          <w:rFonts w:ascii="Arial" w:eastAsia="Calibri" w:hAnsi="Arial" w:cs="Arial"/>
          <w:sz w:val="22"/>
        </w:rPr>
        <w:t>Consider the components of the organisation which comprise critical infrastructure assets and the organisation’s objectives. Some organisations may determine that some parts or components of an organisation are not essential for the functioning of the asset, or to meet business objectives</w:t>
      </w:r>
      <w:r>
        <w:rPr>
          <w:rFonts w:ascii="Arial" w:eastAsia="Calibri" w:hAnsi="Arial" w:cs="Arial"/>
          <w:sz w:val="22"/>
        </w:rPr>
        <w:t>.</w:t>
      </w:r>
      <w:r w:rsidRPr="00E9705C">
        <w:rPr>
          <w:rFonts w:ascii="Arial" w:eastAsia="Calibri" w:hAnsi="Arial" w:cs="Arial"/>
          <w:sz w:val="22"/>
        </w:rPr>
        <w:t xml:space="preserve"> </w:t>
      </w:r>
    </w:p>
    <w:p w14:paraId="1DF9DB83" w14:textId="77777777" w:rsidR="002113FB" w:rsidRPr="00E9705C" w:rsidRDefault="002113FB" w:rsidP="002113FB">
      <w:pPr>
        <w:numPr>
          <w:ilvl w:val="0"/>
          <w:numId w:val="34"/>
        </w:numPr>
        <w:spacing w:after="160" w:line="259" w:lineRule="auto"/>
        <w:ind w:left="357" w:hanging="357"/>
        <w:rPr>
          <w:rFonts w:ascii="Arial" w:eastAsia="Calibri" w:hAnsi="Arial" w:cs="Arial"/>
          <w:sz w:val="22"/>
        </w:rPr>
      </w:pPr>
      <w:r w:rsidRPr="00E9705C">
        <w:rPr>
          <w:rFonts w:ascii="Arial" w:eastAsia="Calibri" w:hAnsi="Arial" w:cs="Arial"/>
          <w:sz w:val="22"/>
        </w:rPr>
        <w:t xml:space="preserve">Consider the types of relevant impacts that are of the greatest significance to an organisation’s critical infrastructure assets. For example, an </w:t>
      </w:r>
      <w:r>
        <w:rPr>
          <w:rFonts w:ascii="Arial" w:eastAsia="Calibri" w:hAnsi="Arial" w:cs="Arial"/>
          <w:sz w:val="22"/>
        </w:rPr>
        <w:t>electricity</w:t>
      </w:r>
      <w:r w:rsidRPr="00E9705C">
        <w:rPr>
          <w:rFonts w:ascii="Arial" w:eastAsia="Calibri" w:hAnsi="Arial" w:cs="Arial"/>
          <w:sz w:val="22"/>
        </w:rPr>
        <w:t xml:space="preserve"> generator may have greater concern as to availability rather than confidentiality, while a telecommunications provider may need to balance availability, confidentiality</w:t>
      </w:r>
      <w:r>
        <w:rPr>
          <w:rFonts w:ascii="Arial" w:eastAsia="Calibri" w:hAnsi="Arial" w:cs="Arial"/>
          <w:sz w:val="22"/>
        </w:rPr>
        <w:t>,</w:t>
      </w:r>
      <w:r w:rsidRPr="00E9705C">
        <w:rPr>
          <w:rFonts w:ascii="Arial" w:eastAsia="Calibri" w:hAnsi="Arial" w:cs="Arial"/>
          <w:sz w:val="22"/>
        </w:rPr>
        <w:t xml:space="preserve"> and integrity risks equally</w:t>
      </w:r>
      <w:r>
        <w:rPr>
          <w:rFonts w:ascii="Arial" w:eastAsia="Calibri" w:hAnsi="Arial" w:cs="Arial"/>
          <w:sz w:val="22"/>
        </w:rPr>
        <w:t>.</w:t>
      </w:r>
      <w:r w:rsidRPr="00E9705C">
        <w:rPr>
          <w:rFonts w:ascii="Arial" w:eastAsia="Calibri" w:hAnsi="Arial" w:cs="Arial"/>
          <w:sz w:val="22"/>
        </w:rPr>
        <w:t xml:space="preserve"> </w:t>
      </w:r>
    </w:p>
    <w:p w14:paraId="1566E0D9" w14:textId="77777777" w:rsidR="002113FB" w:rsidRPr="00E9705C" w:rsidRDefault="002113FB" w:rsidP="002113FB">
      <w:pPr>
        <w:numPr>
          <w:ilvl w:val="0"/>
          <w:numId w:val="34"/>
        </w:numPr>
        <w:spacing w:after="160" w:line="259" w:lineRule="auto"/>
        <w:ind w:left="357" w:hanging="357"/>
        <w:rPr>
          <w:rFonts w:ascii="Arial" w:eastAsia="Calibri" w:hAnsi="Arial" w:cs="Arial"/>
          <w:sz w:val="22"/>
        </w:rPr>
      </w:pPr>
      <w:r w:rsidRPr="00E9705C">
        <w:rPr>
          <w:rFonts w:ascii="Arial" w:eastAsia="Calibri" w:hAnsi="Arial" w:cs="Arial"/>
          <w:sz w:val="22"/>
        </w:rPr>
        <w:t xml:space="preserve">Consider the interdependencies of an organisation’s assets with other critical infrastructure assets. </w:t>
      </w:r>
    </w:p>
    <w:p w14:paraId="26CC9769" w14:textId="77777777" w:rsidR="002113FB" w:rsidRDefault="002113FB" w:rsidP="002113FB">
      <w:pPr>
        <w:pStyle w:val="BodyText"/>
        <w:rPr>
          <w:b/>
          <w:bCs/>
        </w:rPr>
      </w:pPr>
    </w:p>
    <w:p w14:paraId="11D961ED" w14:textId="77777777" w:rsidR="002113FB" w:rsidRPr="00E9705C" w:rsidRDefault="002113FB" w:rsidP="002113FB">
      <w:pPr>
        <w:pStyle w:val="BodyText"/>
      </w:pPr>
      <w:r w:rsidRPr="00E9705C">
        <w:rPr>
          <w:b/>
          <w:bCs/>
        </w:rPr>
        <w:t>Risk identification:</w:t>
      </w:r>
      <w:r w:rsidRPr="00E9705C">
        <w:t xml:space="preserve"> The Department identified the need for rules which require an organisation’s </w:t>
      </w:r>
      <w:r>
        <w:t>RMP</w:t>
      </w:r>
      <w:r w:rsidRPr="00E9705C">
        <w:t xml:space="preserve"> to outline how risks will be managed in a holistic manner. Although the f</w:t>
      </w:r>
      <w:r>
        <w:t>our</w:t>
      </w:r>
      <w:r w:rsidRPr="00E9705C">
        <w:t xml:space="preserve"> main </w:t>
      </w:r>
      <w:r>
        <w:t>hazard</w:t>
      </w:r>
      <w:r w:rsidRPr="00E9705C">
        <w:t xml:space="preserve"> domains </w:t>
      </w:r>
      <w:r>
        <w:t>(</w:t>
      </w:r>
      <w:r w:rsidRPr="00E9705C">
        <w:t>cyber</w:t>
      </w:r>
      <w:r w:rsidRPr="00E9705C" w:rsidDel="00BB0179">
        <w:t xml:space="preserve">, </w:t>
      </w:r>
      <w:r w:rsidRPr="00E9705C">
        <w:t>personnel, supply chain</w:t>
      </w:r>
      <w:r>
        <w:t>,</w:t>
      </w:r>
      <w:r w:rsidRPr="00E9705C">
        <w:t xml:space="preserve"> and </w:t>
      </w:r>
      <w:r>
        <w:t xml:space="preserve">physical and </w:t>
      </w:r>
      <w:r w:rsidRPr="00E9705C">
        <w:t>natural hazards</w:t>
      </w:r>
      <w:r>
        <w:t>)</w:t>
      </w:r>
      <w:r w:rsidRPr="00E9705C">
        <w:t xml:space="preserve"> are not mentioned expressly by the </w:t>
      </w:r>
      <w:r>
        <w:t>SLACIP Act</w:t>
      </w:r>
      <w:r w:rsidRPr="00E9705C">
        <w:t>, industry engagement has indicated that many organisations conceptualise their operations in these categories</w:t>
      </w:r>
      <w:r>
        <w:t>. Moreover, industry emphasised</w:t>
      </w:r>
      <w:r w:rsidRPr="00E9705C">
        <w:t xml:space="preserve"> the need to ensure visibility </w:t>
      </w:r>
      <w:r>
        <w:t>of mitigations across each of these domains.</w:t>
      </w:r>
    </w:p>
    <w:p w14:paraId="5B8E7F36" w14:textId="77777777" w:rsidR="002113FB" w:rsidRPr="00E9705C" w:rsidRDefault="002113FB" w:rsidP="002113FB">
      <w:pPr>
        <w:pStyle w:val="BodyText"/>
      </w:pPr>
      <w:r w:rsidRPr="00E9705C">
        <w:rPr>
          <w:b/>
          <w:bCs/>
        </w:rPr>
        <w:t>Accountability:</w:t>
      </w:r>
      <w:r w:rsidRPr="00E9705C">
        <w:t xml:space="preserve"> The Department identified the need for rules which require that an organisation’s </w:t>
      </w:r>
      <w:r>
        <w:t>RMP</w:t>
      </w:r>
      <w:r w:rsidRPr="00E9705C">
        <w:t xml:space="preserve"> outline the individuals accountable for the respective elements of the </w:t>
      </w:r>
      <w:r>
        <w:t>RMP</w:t>
      </w:r>
      <w:r w:rsidRPr="00E9705C">
        <w:t xml:space="preserve">, as well as the person or persons who bear ultimate responsibility. The program’s success relies on the </w:t>
      </w:r>
      <w:r w:rsidRPr="00E9705C">
        <w:lastRenderedPageBreak/>
        <w:t>appropriate allocation of responsibilities and accountabilities to ensure a clear, robust, and defensible program</w:t>
      </w:r>
      <w:r>
        <w:t>,</w:t>
      </w:r>
      <w:r w:rsidRPr="00E9705C">
        <w:t xml:space="preserve"> and an evidenced commitment to good corporate social responsibility. </w:t>
      </w:r>
    </w:p>
    <w:p w14:paraId="04B32AB7" w14:textId="77777777" w:rsidR="002113FB" w:rsidRPr="00E9705C" w:rsidRDefault="002113FB" w:rsidP="002113FB">
      <w:pPr>
        <w:pStyle w:val="BodyText"/>
      </w:pPr>
      <w:r w:rsidRPr="00E9705C">
        <w:rPr>
          <w:b/>
          <w:bCs/>
        </w:rPr>
        <w:t>Reviews and updates:</w:t>
      </w:r>
      <w:r w:rsidRPr="00E9705C">
        <w:t xml:space="preserve"> The Department identified the need for a rule which requires an organisation’s </w:t>
      </w:r>
      <w:r>
        <w:t>RMP</w:t>
      </w:r>
      <w:r w:rsidRPr="00E9705C">
        <w:t xml:space="preserve"> to outline the process by which the program will be reviewed regularly and kept up to date. The </w:t>
      </w:r>
      <w:r>
        <w:t>SLACIP</w:t>
      </w:r>
      <w:r w:rsidRPr="00E9705C">
        <w:t xml:space="preserve"> </w:t>
      </w:r>
      <w:r>
        <w:t>Act</w:t>
      </w:r>
      <w:r w:rsidRPr="00E9705C">
        <w:t xml:space="preserve"> requires that the program is reviewed on a regular basis. </w:t>
      </w:r>
    </w:p>
    <w:p w14:paraId="1D900BE4" w14:textId="009A3DEA" w:rsidR="002113FB" w:rsidRPr="00BF6F6D" w:rsidRDefault="002113FB" w:rsidP="002113FB">
      <w:pPr>
        <w:pStyle w:val="BodyText"/>
      </w:pPr>
      <w:r w:rsidRPr="00531F25">
        <w:t xml:space="preserve">Based on these five key areas, </w:t>
      </w:r>
      <w:r w:rsidR="00585197">
        <w:t>several</w:t>
      </w:r>
      <w:r w:rsidRPr="00531F25">
        <w:t xml:space="preserve"> </w:t>
      </w:r>
      <w:r w:rsidR="00585197">
        <w:t xml:space="preserve">general </w:t>
      </w:r>
      <w:r w:rsidRPr="00531F25">
        <w:t>rules have been proposed (See Appendix E</w:t>
      </w:r>
      <w:r w:rsidRPr="00531F25">
        <w:rPr>
          <w:bCs/>
        </w:rPr>
        <w:t>).</w:t>
      </w:r>
    </w:p>
    <w:p w14:paraId="333E3680" w14:textId="77777777" w:rsidR="00BF6F6D" w:rsidRPr="008C6EA5" w:rsidRDefault="00BF6F6D" w:rsidP="003C2243">
      <w:pPr>
        <w:pStyle w:val="Heading4"/>
      </w:pPr>
      <w:r w:rsidRPr="00BF6F6D">
        <w:t>Standards and principles rules</w:t>
      </w:r>
    </w:p>
    <w:p w14:paraId="43BC4F9B" w14:textId="2A46C62D" w:rsidR="007075DE" w:rsidRDefault="007075DE" w:rsidP="003C2243">
      <w:pPr>
        <w:pStyle w:val="BodyText"/>
      </w:pPr>
      <w:r w:rsidRPr="00E9705C">
        <w:t xml:space="preserve">In </w:t>
      </w:r>
      <w:r w:rsidRPr="00BF6F6D">
        <w:t xml:space="preserve">drafting </w:t>
      </w:r>
      <w:r w:rsidRPr="00531F25">
        <w:t>RMP Rules</w:t>
      </w:r>
      <w:r w:rsidRPr="00BF6F6D">
        <w:t xml:space="preserve">, consideration of existing regulatory frameworks, including State and Territory legislation, was prioritised to avoid unnecessary regulatory duplication. </w:t>
      </w:r>
      <w:r w:rsidRPr="00531F25">
        <w:t>Where rules require an entity to comply with a standard, flexibility has been provided to allow entities to identify standards they will comply with, which may allow for the use of standards already used by the entity.</w:t>
      </w:r>
    </w:p>
    <w:p w14:paraId="74BDAD87" w14:textId="25944232" w:rsidR="00BF6F6D" w:rsidRPr="00531F25" w:rsidRDefault="00BF6F6D" w:rsidP="003C2243">
      <w:pPr>
        <w:pStyle w:val="BodyText"/>
      </w:pPr>
      <w:r w:rsidRPr="00531F25">
        <w:t xml:space="preserve">Standards rules require that an entity’s RMP refers to a specific standard across some or all of the identified </w:t>
      </w:r>
      <w:r w:rsidR="006B3927">
        <w:t xml:space="preserve">hazard </w:t>
      </w:r>
      <w:r w:rsidRPr="00531F25">
        <w:t xml:space="preserve">domains. Standards rules may leverage existing frameworks and standards, including maturity assessments, domestic standards, and international standards. </w:t>
      </w:r>
    </w:p>
    <w:p w14:paraId="2BB71CDD" w14:textId="48DD9E27" w:rsidR="00BF6F6D" w:rsidRDefault="00BF6F6D" w:rsidP="003C2243">
      <w:pPr>
        <w:pStyle w:val="BodyText"/>
      </w:pPr>
      <w:r w:rsidRPr="00531F25">
        <w:t xml:space="preserve">The Cyber and Information Security Hazards Rule </w:t>
      </w:r>
      <w:r w:rsidR="009E36FD">
        <w:t>domain</w:t>
      </w:r>
      <w:r w:rsidR="009E36FD" w:rsidRPr="00531F25">
        <w:t xml:space="preserve"> </w:t>
      </w:r>
      <w:r w:rsidRPr="00531F25">
        <w:t xml:space="preserve">is the only </w:t>
      </w:r>
      <w:r w:rsidR="00B27999">
        <w:t>part of the current RMP rules, where a standard is proposed</w:t>
      </w:r>
      <w:r w:rsidR="00FE5E29">
        <w:t>. Simplified, the rule can be expressed as</w:t>
      </w:r>
      <w:r w:rsidR="00B27999">
        <w:t>:</w:t>
      </w:r>
      <w:r w:rsidRPr="00531F25">
        <w:t xml:space="preserve"> </w:t>
      </w:r>
    </w:p>
    <w:p w14:paraId="322E4682" w14:textId="79092CFC" w:rsidR="00BF6F6D" w:rsidRPr="00531F25" w:rsidRDefault="00BF6F6D" w:rsidP="005B2E1D">
      <w:pPr>
        <w:spacing w:after="160"/>
        <w:rPr>
          <w:rFonts w:ascii="Arial" w:eastAsia="Calibri" w:hAnsi="Arial" w:cs="Arial"/>
          <w:i/>
          <w:sz w:val="22"/>
        </w:rPr>
      </w:pPr>
      <w:r w:rsidRPr="00531F25">
        <w:rPr>
          <w:rFonts w:ascii="Arial" w:eastAsia="Calibri" w:hAnsi="Arial" w:cs="Arial"/>
          <w:i/>
          <w:sz w:val="22"/>
        </w:rPr>
        <w:t xml:space="preserve">Responsible entities for critical infrastructure assets </w:t>
      </w:r>
      <w:r w:rsidRPr="00531F25">
        <w:rPr>
          <w:rFonts w:ascii="Arial" w:eastAsia="Calibri" w:hAnsi="Arial" w:cs="Arial"/>
          <w:b/>
          <w:i/>
          <w:sz w:val="22"/>
        </w:rPr>
        <w:t>must</w:t>
      </w:r>
      <w:r w:rsidRPr="00531F25">
        <w:rPr>
          <w:rFonts w:ascii="Arial" w:eastAsia="Calibri" w:hAnsi="Arial" w:cs="Arial"/>
          <w:i/>
          <w:sz w:val="22"/>
        </w:rPr>
        <w:t xml:space="preserve">, within </w:t>
      </w:r>
      <w:r w:rsidRPr="00531F25">
        <w:rPr>
          <w:rFonts w:ascii="Arial" w:eastAsia="Calibri" w:hAnsi="Arial" w:cs="Arial"/>
          <w:b/>
          <w:i/>
          <w:sz w:val="22"/>
        </w:rPr>
        <w:t xml:space="preserve">18 months </w:t>
      </w:r>
      <w:r w:rsidRPr="00531F25">
        <w:rPr>
          <w:rFonts w:ascii="Arial" w:eastAsia="Calibri" w:hAnsi="Arial" w:cs="Arial"/>
          <w:i/>
          <w:sz w:val="22"/>
        </w:rPr>
        <w:t>of the commencement of this rule, ensure that their risk management program includes details of how the responsible entity complies with at least one of the following standards and frameworks:</w:t>
      </w:r>
    </w:p>
    <w:p w14:paraId="0A2A8EFA" w14:textId="77777777" w:rsidR="00BF6F6D" w:rsidRPr="00531F25" w:rsidRDefault="00BF6F6D" w:rsidP="00BF6F6D">
      <w:pPr>
        <w:spacing w:after="160"/>
        <w:contextualSpacing/>
        <w:rPr>
          <w:rFonts w:ascii="Arial" w:eastAsia="Calibri" w:hAnsi="Arial" w:cs="Arial"/>
          <w:i/>
          <w:sz w:val="22"/>
        </w:rPr>
      </w:pPr>
      <w:r w:rsidRPr="00531F25">
        <w:rPr>
          <w:rFonts w:ascii="Arial" w:eastAsia="Calibri" w:hAnsi="Arial" w:cs="Arial"/>
          <w:i/>
          <w:sz w:val="22"/>
        </w:rPr>
        <w:t>a. The Australian Cyber Security Centre’s Essential Eight Maturity Model at maturity level one;</w:t>
      </w:r>
    </w:p>
    <w:p w14:paraId="1DBBB44F" w14:textId="77777777" w:rsidR="00BF6F6D" w:rsidRPr="00531F25" w:rsidRDefault="00BF6F6D" w:rsidP="00BF6F6D">
      <w:pPr>
        <w:spacing w:after="160"/>
        <w:contextualSpacing/>
        <w:rPr>
          <w:rFonts w:ascii="Arial" w:eastAsia="Calibri" w:hAnsi="Arial" w:cs="Arial"/>
          <w:i/>
          <w:sz w:val="22"/>
        </w:rPr>
      </w:pPr>
      <w:r w:rsidRPr="00531F25">
        <w:rPr>
          <w:rFonts w:ascii="Arial" w:eastAsia="Calibri" w:hAnsi="Arial" w:cs="Arial"/>
          <w:i/>
          <w:sz w:val="22"/>
        </w:rPr>
        <w:t>b. AS ISO/IEC 27001:2015;</w:t>
      </w:r>
    </w:p>
    <w:p w14:paraId="450109F9" w14:textId="77777777" w:rsidR="00BF6F6D" w:rsidRPr="00531F25" w:rsidRDefault="00BF6F6D" w:rsidP="00BF6F6D">
      <w:pPr>
        <w:spacing w:after="160"/>
        <w:contextualSpacing/>
        <w:rPr>
          <w:rFonts w:ascii="Arial" w:eastAsia="Calibri" w:hAnsi="Arial" w:cs="Arial"/>
          <w:i/>
          <w:sz w:val="22"/>
        </w:rPr>
      </w:pPr>
      <w:r w:rsidRPr="00531F25">
        <w:rPr>
          <w:rFonts w:ascii="Arial" w:eastAsia="Calibri" w:hAnsi="Arial" w:cs="Arial"/>
          <w:i/>
          <w:sz w:val="22"/>
        </w:rPr>
        <w:t>c. The National Institute of Standards and Technology (NIST) Cybersecurity Framework;</w:t>
      </w:r>
    </w:p>
    <w:p w14:paraId="53E8760A" w14:textId="77777777" w:rsidR="00BF6F6D" w:rsidRPr="00531F25" w:rsidRDefault="00BF6F6D" w:rsidP="00BF6F6D">
      <w:pPr>
        <w:spacing w:after="160"/>
        <w:contextualSpacing/>
        <w:rPr>
          <w:rFonts w:ascii="Arial" w:eastAsia="Calibri" w:hAnsi="Arial" w:cs="Arial"/>
          <w:i/>
          <w:sz w:val="22"/>
        </w:rPr>
      </w:pPr>
      <w:r w:rsidRPr="00531F25">
        <w:rPr>
          <w:rFonts w:ascii="Arial" w:eastAsia="Calibri" w:hAnsi="Arial" w:cs="Arial"/>
          <w:i/>
          <w:sz w:val="22"/>
        </w:rPr>
        <w:t>d. The Cybersecurity Capability Maturity Model (C2M2) at Maturity Indicator Level 1;</w:t>
      </w:r>
    </w:p>
    <w:p w14:paraId="18053CA5" w14:textId="77777777" w:rsidR="00BF6F6D" w:rsidRPr="00531F25" w:rsidRDefault="00BF6F6D" w:rsidP="00BF6F6D">
      <w:pPr>
        <w:spacing w:after="160"/>
        <w:contextualSpacing/>
        <w:rPr>
          <w:rFonts w:ascii="Arial" w:eastAsia="Calibri" w:hAnsi="Arial" w:cs="Arial"/>
          <w:i/>
          <w:sz w:val="22"/>
        </w:rPr>
      </w:pPr>
      <w:r w:rsidRPr="00531F25">
        <w:rPr>
          <w:rFonts w:ascii="Arial" w:eastAsia="Calibri" w:hAnsi="Arial" w:cs="Arial"/>
          <w:i/>
          <w:sz w:val="22"/>
        </w:rPr>
        <w:t>e. Security Profile 1 of the Australian Energy Sector Cyber Security Framework; or</w:t>
      </w:r>
    </w:p>
    <w:p w14:paraId="1BF445B5" w14:textId="700FB22F" w:rsidR="00BF6F6D" w:rsidRPr="00BF6F6D" w:rsidRDefault="00BF6F6D" w:rsidP="00BF6F6D">
      <w:pPr>
        <w:spacing w:after="160"/>
        <w:contextualSpacing/>
        <w:rPr>
          <w:rFonts w:ascii="Arial" w:eastAsia="Calibri" w:hAnsi="Arial" w:cs="Arial"/>
          <w:i/>
          <w:sz w:val="22"/>
        </w:rPr>
      </w:pPr>
      <w:r w:rsidRPr="00531F25">
        <w:rPr>
          <w:rFonts w:ascii="Arial" w:eastAsia="Calibri" w:hAnsi="Arial" w:cs="Arial"/>
          <w:i/>
          <w:sz w:val="22"/>
        </w:rPr>
        <w:t>f. an equivalent standard.</w:t>
      </w:r>
    </w:p>
    <w:p w14:paraId="29EA76F5" w14:textId="6724F94D" w:rsidR="00BF6F6D" w:rsidRPr="00BF6F6D" w:rsidRDefault="00BF6F6D" w:rsidP="003C2243">
      <w:pPr>
        <w:pStyle w:val="BodyText"/>
      </w:pPr>
      <w:r w:rsidRPr="00531F25">
        <w:t>Standards rules require</w:t>
      </w:r>
      <w:r w:rsidRPr="00BF6F6D">
        <w:t xml:space="preserve"> entities to structure their risk mitigation activities on a standard or framework. This approach supports comprehensive, </w:t>
      </w:r>
      <w:r w:rsidR="009838F6" w:rsidRPr="00BF6F6D">
        <w:t>coordinated,</w:t>
      </w:r>
      <w:r w:rsidRPr="00BF6F6D">
        <w:t xml:space="preserve"> and complementary risk mitigation activities and ensures the effectiveness of responsible entities’ RMPs. </w:t>
      </w:r>
    </w:p>
    <w:p w14:paraId="22E253F2" w14:textId="77777777" w:rsidR="00BF6F6D" w:rsidRPr="00BF6F6D" w:rsidRDefault="00BF6F6D" w:rsidP="003C2243">
      <w:pPr>
        <w:pStyle w:val="BodyText"/>
      </w:pPr>
      <w:r w:rsidRPr="00BF6F6D">
        <w:t xml:space="preserve">Principles rules allow for businesses to continue to manage their own risks in the way that works best for their context and leverages existing risk management processes, whilst still providing assurance that security outcomes are achieved. </w:t>
      </w:r>
      <w:r w:rsidRPr="00531F25">
        <w:t>The majority of the RMP Rules are principles-based, to support industry flexibility.</w:t>
      </w:r>
      <w:r w:rsidRPr="00BF6F6D">
        <w:t xml:space="preserve"> </w:t>
      </w:r>
    </w:p>
    <w:p w14:paraId="5FBB3491" w14:textId="107CDEF6" w:rsidR="00BF6F6D" w:rsidRPr="00BF6F6D" w:rsidRDefault="00BF6F6D" w:rsidP="003C2243">
      <w:pPr>
        <w:pStyle w:val="BodyText"/>
      </w:pPr>
      <w:r w:rsidRPr="00BF6F6D">
        <w:t xml:space="preserve">Examples of legislation, regulation and standards which were considered or referred to in the </w:t>
      </w:r>
      <w:r w:rsidRPr="00531F25">
        <w:t>RMP Rules</w:t>
      </w:r>
      <w:r w:rsidRPr="00BF6F6D">
        <w:t xml:space="preserve"> are </w:t>
      </w:r>
      <w:r w:rsidR="008C6EA5">
        <w:t xml:space="preserve">contained in </w:t>
      </w:r>
      <w:r w:rsidR="00E849F6" w:rsidRPr="00E849F6">
        <w:rPr>
          <w:szCs w:val="24"/>
        </w:rPr>
        <w:t xml:space="preserve">Appendices </w:t>
      </w:r>
      <w:r w:rsidR="00D57A98">
        <w:rPr>
          <w:szCs w:val="24"/>
        </w:rPr>
        <w:t xml:space="preserve">G – </w:t>
      </w:r>
      <w:r w:rsidR="00CF7FE6">
        <w:rPr>
          <w:szCs w:val="24"/>
        </w:rPr>
        <w:t>R</w:t>
      </w:r>
      <w:r w:rsidR="00E849F6">
        <w:t xml:space="preserve"> </w:t>
      </w:r>
      <w:r w:rsidR="008C6EA5">
        <w:t xml:space="preserve">for each relevant critical infrastructure asset. </w:t>
      </w:r>
      <w:r w:rsidRPr="00BF6F6D">
        <w:t xml:space="preserve">The current draft </w:t>
      </w:r>
      <w:r w:rsidRPr="00531F25">
        <w:t>RMP Rules</w:t>
      </w:r>
      <w:r w:rsidRPr="00BF6F6D">
        <w:t xml:space="preserve"> are in Appendix </w:t>
      </w:r>
      <w:r w:rsidR="00E849F6">
        <w:t>E</w:t>
      </w:r>
      <w:r w:rsidRPr="00BF6F6D">
        <w:t xml:space="preserve">. </w:t>
      </w:r>
    </w:p>
    <w:p w14:paraId="2BDC8DB9" w14:textId="77777777" w:rsidR="00BF6F6D" w:rsidRPr="00BF6F6D" w:rsidRDefault="00BF6F6D" w:rsidP="003C2243">
      <w:pPr>
        <w:pStyle w:val="Heading4"/>
      </w:pPr>
      <w:r w:rsidRPr="00BF6F6D">
        <w:t>Material risk rules</w:t>
      </w:r>
    </w:p>
    <w:p w14:paraId="4735AD07" w14:textId="2F0114A5" w:rsidR="00BF6F6D" w:rsidRPr="00BF6F6D" w:rsidRDefault="00BF6F6D" w:rsidP="003C2243">
      <w:pPr>
        <w:pStyle w:val="BodyText"/>
      </w:pPr>
      <w:r w:rsidRPr="00BF6F6D">
        <w:t xml:space="preserve">The SLACIP </w:t>
      </w:r>
      <w:r w:rsidR="00DB4922">
        <w:t>Act</w:t>
      </w:r>
      <w:r w:rsidR="00DB4922" w:rsidRPr="00BF6F6D">
        <w:t xml:space="preserve"> </w:t>
      </w:r>
      <w:r w:rsidRPr="00BF6F6D">
        <w:t xml:space="preserve">provides that the Minister for Home Affairs may make rules specifying a risk as a ‘material risk’. Material risk </w:t>
      </w:r>
      <w:r w:rsidRPr="003C2243">
        <w:t>rules</w:t>
      </w:r>
      <w:r w:rsidRPr="00BF6F6D">
        <w:t xml:space="preserve"> will require entities to document, in their RMP, their holistic approach to the management of identified material risks. An entity must outline how it will consider the relevant impact of identified material risks on their assets, and how it will mitigate or minimise these risks across their organisation.</w:t>
      </w:r>
    </w:p>
    <w:p w14:paraId="713BAF92" w14:textId="03B34304" w:rsidR="00BF6F6D" w:rsidRPr="00BF6F6D" w:rsidRDefault="00BF6F6D" w:rsidP="003C2243">
      <w:pPr>
        <w:pStyle w:val="BodyText"/>
      </w:pPr>
      <w:r w:rsidRPr="00BF6F6D">
        <w:t>An example of a material risk rule that is included in the draft rules is:</w:t>
      </w:r>
    </w:p>
    <w:p w14:paraId="19CB5F90" w14:textId="77777777" w:rsidR="00BF6F6D" w:rsidRPr="00531F25" w:rsidRDefault="00BF6F6D" w:rsidP="00BF6F6D">
      <w:pPr>
        <w:spacing w:after="160"/>
        <w:rPr>
          <w:rFonts w:ascii="Arial" w:eastAsia="Calibri" w:hAnsi="Arial" w:cs="Arial"/>
          <w:i/>
          <w:sz w:val="22"/>
        </w:rPr>
      </w:pPr>
      <w:r w:rsidRPr="00531F25">
        <w:rPr>
          <w:rFonts w:ascii="Arial" w:eastAsia="Calibri" w:hAnsi="Arial" w:cs="Arial"/>
          <w:i/>
          <w:sz w:val="22"/>
        </w:rPr>
        <w:t xml:space="preserve">“Recognising the operating context differs between entities, when considering if a risk is a </w:t>
      </w:r>
      <w:r w:rsidRPr="00531F25">
        <w:rPr>
          <w:rFonts w:ascii="Arial" w:eastAsia="Calibri" w:hAnsi="Arial" w:cs="Arial"/>
          <w:b/>
          <w:i/>
          <w:sz w:val="22"/>
        </w:rPr>
        <w:t>material</w:t>
      </w:r>
      <w:r w:rsidRPr="00531F25">
        <w:rPr>
          <w:rFonts w:ascii="Arial" w:eastAsia="Calibri" w:hAnsi="Arial" w:cs="Arial"/>
          <w:i/>
          <w:sz w:val="22"/>
        </w:rPr>
        <w:t xml:space="preserve"> </w:t>
      </w:r>
      <w:r w:rsidRPr="00531F25">
        <w:rPr>
          <w:rFonts w:ascii="Arial" w:eastAsia="Calibri" w:hAnsi="Arial" w:cs="Arial"/>
          <w:b/>
          <w:i/>
          <w:sz w:val="22"/>
        </w:rPr>
        <w:t>risk</w:t>
      </w:r>
      <w:r w:rsidRPr="00531F25">
        <w:rPr>
          <w:rFonts w:ascii="Arial" w:eastAsia="Calibri" w:hAnsi="Arial" w:cs="Arial"/>
          <w:i/>
          <w:sz w:val="22"/>
        </w:rPr>
        <w:t>, a risk management program should have regard to consideration of:</w:t>
      </w:r>
    </w:p>
    <w:p w14:paraId="2A1DE3F7" w14:textId="77777777" w:rsidR="00BF6F6D" w:rsidRPr="00BF6F6D" w:rsidRDefault="00BF6F6D" w:rsidP="00BF6F6D">
      <w:pPr>
        <w:spacing w:after="160"/>
        <w:rPr>
          <w:rFonts w:ascii="Arial" w:eastAsia="Calibri" w:hAnsi="Arial" w:cs="Arial"/>
          <w:i/>
          <w:sz w:val="22"/>
        </w:rPr>
      </w:pPr>
      <w:r w:rsidRPr="00531F25">
        <w:rPr>
          <w:rFonts w:ascii="Arial" w:eastAsia="Calibri" w:hAnsi="Arial" w:cs="Arial"/>
          <w:i/>
          <w:sz w:val="22"/>
        </w:rPr>
        <w:lastRenderedPageBreak/>
        <w:t>a. impairment of a critical infrastructure asset that may prejudice the social or economic stability of Australia or its people; the defence of Australia or the national security of Australia”</w:t>
      </w:r>
    </w:p>
    <w:p w14:paraId="57BF4D9A" w14:textId="0F1EA20F" w:rsidR="00BF6F6D" w:rsidRPr="00BF6F6D" w:rsidRDefault="00BF6F6D" w:rsidP="003C2243">
      <w:pPr>
        <w:pStyle w:val="BodyText"/>
      </w:pPr>
      <w:r w:rsidRPr="00BF6F6D">
        <w:t xml:space="preserve">The current draft material risk rules are contained in Appendix </w:t>
      </w:r>
      <w:r w:rsidR="006A32AD">
        <w:t>E</w:t>
      </w:r>
      <w:r w:rsidRPr="00BF6F6D">
        <w:t xml:space="preserve">, within the </w:t>
      </w:r>
      <w:r w:rsidRPr="00531F25">
        <w:t>RMP Rules</w:t>
      </w:r>
      <w:r w:rsidRPr="00BF6F6D">
        <w:t xml:space="preserve">.  </w:t>
      </w:r>
    </w:p>
    <w:p w14:paraId="6110E2BD" w14:textId="77777777" w:rsidR="00BF6F6D" w:rsidRPr="00E9705C" w:rsidRDefault="00BF6F6D" w:rsidP="003C2243">
      <w:pPr>
        <w:pStyle w:val="BodyText"/>
      </w:pPr>
      <w:r w:rsidRPr="00BF6F6D">
        <w:t>Material risks specified by rules will not amount to an exclusive, nor exhaustive</w:t>
      </w:r>
      <w:r w:rsidR="00C21604">
        <w:t>,</w:t>
      </w:r>
      <w:r w:rsidRPr="00BF6F6D">
        <w:t xml:space="preserve"> list. Responsible entities will be required to consider any and all material risks that may impact the confidentiality, availability, </w:t>
      </w:r>
      <w:r w:rsidR="005A445E" w:rsidRPr="00BF6F6D">
        <w:t>reliability,</w:t>
      </w:r>
      <w:r w:rsidRPr="00BF6F6D">
        <w:t xml:space="preserve"> and integrity of their critical infrastructure assets.</w:t>
      </w:r>
      <w:r w:rsidRPr="00E9705C">
        <w:t xml:space="preserve"> </w:t>
      </w:r>
    </w:p>
    <w:p w14:paraId="5FD745AC" w14:textId="25B512DC" w:rsidR="00E9705C" w:rsidRPr="00E9705C" w:rsidRDefault="00E9705C" w:rsidP="004C0EFC">
      <w:pPr>
        <w:pStyle w:val="Heading2numbered"/>
      </w:pPr>
      <w:bookmarkStart w:id="223" w:name="_Toc79149645"/>
      <w:bookmarkStart w:id="224" w:name="_Toc121397395"/>
      <w:r w:rsidRPr="00E9705C">
        <w:t xml:space="preserve">Option 3: Voluntary </w:t>
      </w:r>
      <w:r w:rsidR="00BB0179">
        <w:t>RMP</w:t>
      </w:r>
      <w:r w:rsidRPr="00E9705C">
        <w:t xml:space="preserve"> and guidance</w:t>
      </w:r>
      <w:bookmarkEnd w:id="223"/>
      <w:bookmarkEnd w:id="224"/>
    </w:p>
    <w:p w14:paraId="6098CF98" w14:textId="25DB6047" w:rsidR="000520B6" w:rsidRPr="00E9705C" w:rsidRDefault="000520B6" w:rsidP="003C2243">
      <w:pPr>
        <w:pStyle w:val="BodyText"/>
      </w:pPr>
      <w:r w:rsidRPr="00E9705C">
        <w:t xml:space="preserve">Under option 3, the objectives of the </w:t>
      </w:r>
      <w:r>
        <w:t xml:space="preserve">SLACIP </w:t>
      </w:r>
      <w:r w:rsidR="00DB4922">
        <w:t>Act</w:t>
      </w:r>
      <w:r w:rsidRPr="00E9705C">
        <w:t xml:space="preserve">, including its proposed </w:t>
      </w:r>
      <w:r>
        <w:t>RMP</w:t>
      </w:r>
      <w:r w:rsidRPr="00E9705C">
        <w:t xml:space="preserve"> obligations, would come into force through amendment to the </w:t>
      </w:r>
      <w:r w:rsidR="00384419">
        <w:t>SOCI Act</w:t>
      </w:r>
      <w:r w:rsidRPr="00E9705C">
        <w:t>. However, under option 3</w:t>
      </w:r>
      <w:r w:rsidR="00C21604">
        <w:t>,</w:t>
      </w:r>
      <w:r w:rsidRPr="00E9705C">
        <w:t xml:space="preserve"> the </w:t>
      </w:r>
      <w:r>
        <w:t>RMP</w:t>
      </w:r>
      <w:r w:rsidRPr="00E9705C">
        <w:t xml:space="preserve"> obligation of the </w:t>
      </w:r>
      <w:r>
        <w:t>SLAC</w:t>
      </w:r>
      <w:r w:rsidR="006E1A14">
        <w:t>I</w:t>
      </w:r>
      <w:r>
        <w:t xml:space="preserve">P </w:t>
      </w:r>
      <w:r w:rsidR="00DB4922">
        <w:t>Act</w:t>
      </w:r>
      <w:r w:rsidR="00DB4922" w:rsidRPr="00E9705C">
        <w:t xml:space="preserve"> </w:t>
      </w:r>
      <w:r w:rsidRPr="00E9705C">
        <w:t xml:space="preserve">would not be switched on for critical </w:t>
      </w:r>
      <w:r w:rsidR="007B0729">
        <w:t>i</w:t>
      </w:r>
      <w:r w:rsidR="006E1A14">
        <w:t>nfrastructure</w:t>
      </w:r>
      <w:r w:rsidRPr="00E9705C">
        <w:t xml:space="preserve"> </w:t>
      </w:r>
      <w:r w:rsidRPr="003C2243">
        <w:t>assets</w:t>
      </w:r>
      <w:r w:rsidRPr="00E9705C">
        <w:t>. Responsible entities would not be required to comply with the requirements outlined in sections 30AC – 30AK</w:t>
      </w:r>
      <w:r w:rsidR="001362C1">
        <w:t>A</w:t>
      </w:r>
      <w:r w:rsidRPr="00E9705C">
        <w:t xml:space="preserve"> of the </w:t>
      </w:r>
      <w:r w:rsidR="005A445E">
        <w:t xml:space="preserve">SLACIP </w:t>
      </w:r>
      <w:r w:rsidR="00DB4922">
        <w:t>Act</w:t>
      </w:r>
      <w:r w:rsidR="00C21604">
        <w:t>,</w:t>
      </w:r>
      <w:r w:rsidR="005A445E" w:rsidRPr="00E9705C">
        <w:t xml:space="preserve"> but</w:t>
      </w:r>
      <w:r w:rsidRPr="00E9705C">
        <w:t xml:space="preserve"> could voluntarily choose to comply with these requirements.  </w:t>
      </w:r>
    </w:p>
    <w:p w14:paraId="6160DA93" w14:textId="0F1EA108" w:rsidR="000520B6" w:rsidRPr="00E9705C" w:rsidRDefault="000520B6" w:rsidP="003C2243">
      <w:pPr>
        <w:pStyle w:val="BodyText"/>
      </w:pPr>
      <w:r w:rsidRPr="00E9705C">
        <w:t xml:space="preserve">In addition to voluntarily complying with the </w:t>
      </w:r>
      <w:r>
        <w:t xml:space="preserve">SLACIP </w:t>
      </w:r>
      <w:r w:rsidR="00DB4922">
        <w:t>Act’s</w:t>
      </w:r>
      <w:r w:rsidR="00DB4922" w:rsidRPr="00E9705C">
        <w:t xml:space="preserve"> </w:t>
      </w:r>
      <w:r>
        <w:t>RMP</w:t>
      </w:r>
      <w:r w:rsidRPr="00E9705C">
        <w:t xml:space="preserve"> obligations, responsible entities would also have an opportunity to comply with supplementary guidance. </w:t>
      </w:r>
    </w:p>
    <w:p w14:paraId="5BAE29DE" w14:textId="77777777" w:rsidR="000520B6" w:rsidRPr="00E9705C" w:rsidRDefault="000520B6" w:rsidP="003C2243">
      <w:pPr>
        <w:pStyle w:val="BodyText"/>
      </w:pPr>
      <w:r w:rsidRPr="00E9705C">
        <w:t xml:space="preserve">The guidance would be based on the rules described above in Section 3.2 and grouped into two broad categories: </w:t>
      </w:r>
    </w:p>
    <w:p w14:paraId="43891C24" w14:textId="21822AA2" w:rsidR="000520B6" w:rsidRPr="00E9705C" w:rsidRDefault="00E15299" w:rsidP="003C2243">
      <w:pPr>
        <w:numPr>
          <w:ilvl w:val="0"/>
          <w:numId w:val="30"/>
        </w:numPr>
        <w:spacing w:line="259" w:lineRule="auto"/>
        <w:ind w:left="357" w:hanging="357"/>
        <w:rPr>
          <w:rFonts w:ascii="Arial" w:eastAsia="Calibri" w:hAnsi="Arial" w:cs="Arial"/>
          <w:sz w:val="22"/>
        </w:rPr>
      </w:pPr>
      <w:r>
        <w:rPr>
          <w:rFonts w:ascii="Arial" w:eastAsia="Calibri" w:hAnsi="Arial" w:cs="Arial"/>
          <w:b/>
          <w:bCs/>
          <w:sz w:val="22"/>
        </w:rPr>
        <w:t>Overarching</w:t>
      </w:r>
      <w:r w:rsidRPr="00E9705C">
        <w:rPr>
          <w:rFonts w:ascii="Arial" w:eastAsia="Calibri" w:hAnsi="Arial" w:cs="Arial"/>
          <w:b/>
          <w:bCs/>
          <w:sz w:val="22"/>
        </w:rPr>
        <w:t xml:space="preserve"> </w:t>
      </w:r>
      <w:r w:rsidR="000520B6" w:rsidRPr="00E9705C">
        <w:rPr>
          <w:rFonts w:ascii="Arial" w:eastAsia="Calibri" w:hAnsi="Arial" w:cs="Arial"/>
          <w:b/>
          <w:bCs/>
          <w:sz w:val="22"/>
        </w:rPr>
        <w:t>guidance</w:t>
      </w:r>
      <w:r w:rsidR="000520B6" w:rsidRPr="00E9705C">
        <w:rPr>
          <w:rFonts w:ascii="Arial" w:eastAsia="Calibri" w:hAnsi="Arial" w:cs="Arial"/>
          <w:sz w:val="22"/>
        </w:rPr>
        <w:t xml:space="preserve">, which are sector-agnostic and advise on matters of risk methodology, context identification processes, risk identification, accountability, </w:t>
      </w:r>
      <w:r w:rsidR="005A445E" w:rsidRPr="00E9705C">
        <w:rPr>
          <w:rFonts w:ascii="Arial" w:eastAsia="Calibri" w:hAnsi="Arial" w:cs="Arial"/>
          <w:sz w:val="22"/>
        </w:rPr>
        <w:t>reviews,</w:t>
      </w:r>
      <w:r w:rsidR="000520B6" w:rsidRPr="00E9705C">
        <w:rPr>
          <w:rFonts w:ascii="Arial" w:eastAsia="Calibri" w:hAnsi="Arial" w:cs="Arial"/>
          <w:sz w:val="22"/>
        </w:rPr>
        <w:t xml:space="preserve"> and </w:t>
      </w:r>
      <w:r w:rsidR="005A445E" w:rsidRPr="00E9705C">
        <w:rPr>
          <w:rFonts w:ascii="Arial" w:eastAsia="Calibri" w:hAnsi="Arial" w:cs="Arial"/>
          <w:sz w:val="22"/>
        </w:rPr>
        <w:t>updates.</w:t>
      </w:r>
    </w:p>
    <w:p w14:paraId="7E095988" w14:textId="0D73A36C" w:rsidR="00374A1D" w:rsidRDefault="000520B6" w:rsidP="005F1AF8">
      <w:pPr>
        <w:pStyle w:val="ListParagraph"/>
        <w:numPr>
          <w:ilvl w:val="0"/>
          <w:numId w:val="30"/>
        </w:numPr>
        <w:rPr>
          <w:rFonts w:eastAsia="Calibri"/>
        </w:rPr>
      </w:pPr>
      <w:r w:rsidRPr="00531F25">
        <w:rPr>
          <w:rFonts w:eastAsia="Calibri"/>
          <w:b/>
        </w:rPr>
        <w:t>Sector specific guidance material</w:t>
      </w:r>
      <w:r w:rsidRPr="00531F25">
        <w:rPr>
          <w:rFonts w:eastAsia="Calibri"/>
        </w:rPr>
        <w:t xml:space="preserve">, providing further advice on how an entity can comply with the RMP rules, including reference to specific standards or frameworks used in a sector across some or all of the identified </w:t>
      </w:r>
      <w:r w:rsidR="006B3927">
        <w:rPr>
          <w:rFonts w:eastAsia="Calibri"/>
        </w:rPr>
        <w:t xml:space="preserve">hazard </w:t>
      </w:r>
      <w:r w:rsidRPr="00531F25">
        <w:rPr>
          <w:rFonts w:eastAsia="Calibri"/>
        </w:rPr>
        <w:t xml:space="preserve">domains. </w:t>
      </w:r>
    </w:p>
    <w:p w14:paraId="28511DE8" w14:textId="393BE316" w:rsidR="00E73273" w:rsidRDefault="00E73273">
      <w:pPr>
        <w:spacing w:before="80" w:after="80"/>
        <w:rPr>
          <w:rFonts w:cstheme="majorHAnsi"/>
          <w:sz w:val="22"/>
          <w:szCs w:val="28"/>
        </w:rPr>
      </w:pPr>
      <w:r>
        <w:br w:type="page"/>
      </w:r>
    </w:p>
    <w:p w14:paraId="359921EB" w14:textId="15B5F51E" w:rsidR="00E73273" w:rsidRDefault="00AF51B4" w:rsidP="00E73273">
      <w:pPr>
        <w:pStyle w:val="BodyText"/>
      </w:pPr>
      <w:r w:rsidRPr="00E73273">
        <w:rPr>
          <w:noProof/>
          <w:lang w:eastAsia="en-AU"/>
        </w:rPr>
        <w:lastRenderedPageBreak/>
        <mc:AlternateContent>
          <mc:Choice Requires="wps">
            <w:drawing>
              <wp:anchor distT="0" distB="0" distL="114300" distR="114300" simplePos="0" relativeHeight="251676672" behindDoc="1" locked="0" layoutInCell="1" allowOverlap="1" wp14:anchorId="47F0FB67" wp14:editId="4B08E8A3">
                <wp:simplePos x="0" y="0"/>
                <wp:positionH relativeFrom="page">
                  <wp:align>right</wp:align>
                </wp:positionH>
                <wp:positionV relativeFrom="margin">
                  <wp:align>bottom</wp:align>
                </wp:positionV>
                <wp:extent cx="7560000" cy="9000000"/>
                <wp:effectExtent l="0" t="0" r="3175" b="0"/>
                <wp:wrapNone/>
                <wp:docPr id="33" name="Rectangle 33"/>
                <wp:cNvGraphicFramePr/>
                <a:graphic xmlns:a="http://schemas.openxmlformats.org/drawingml/2006/main">
                  <a:graphicData uri="http://schemas.microsoft.com/office/word/2010/wordprocessingShape">
                    <wps:wsp>
                      <wps:cNvSpPr/>
                      <wps:spPr>
                        <a:xfrm>
                          <a:off x="0" y="0"/>
                          <a:ext cx="7560000" cy="9000000"/>
                        </a:xfrm>
                        <a:prstGeom prst="rect">
                          <a:avLst/>
                        </a:prstGeom>
                        <a:gradFill flip="none" rotWithShape="1">
                          <a:gsLst>
                            <a:gs pos="0">
                              <a:schemeClr val="accent1"/>
                            </a:gs>
                            <a:gs pos="100000">
                              <a:schemeClr val="accent2"/>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5B4839" id="Rectangle 33" o:spid="_x0000_s1026" style="position:absolute;margin-left:544.1pt;margin-top:0;width:595.3pt;height:708.65pt;z-index:-251639808;visibility:visible;mso-wrap-style:square;mso-width-percent:0;mso-height-percent:0;mso-wrap-distance-left:9pt;mso-wrap-distance-top:0;mso-wrap-distance-right:9pt;mso-wrap-distance-bottom:0;mso-position-horizontal:right;mso-position-horizontal-relative:page;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" fillcolor="#034ea2 [3204]" stroked="f" strokeweight="2pt">
                <v:fill color2="#007bc3 [3205]" rotate="t" angle="45" focus="100%" type="gradient"/>
                <w10:wrap anchorx="page" anchory="margin"/>
              </v:rect>
            </w:pict>
          </mc:Fallback>
        </mc:AlternateContent>
      </w:r>
    </w:p>
    <w:p w14:paraId="4EB7031F" w14:textId="28F14E7F" w:rsidR="00E73273" w:rsidRPr="00E73273" w:rsidRDefault="00E73273" w:rsidP="00E73273">
      <w:pPr>
        <w:pStyle w:val="Divider"/>
      </w:pPr>
      <w:r>
        <w:t>4. Likely net benefit of each option</w:t>
      </w:r>
      <w:r w:rsidRPr="00E73273">
        <w:br w:type="page"/>
      </w:r>
    </w:p>
    <w:p w14:paraId="47BCA90C" w14:textId="759C5C22" w:rsidR="00374A1D" w:rsidRPr="00E9705C" w:rsidRDefault="00E9705C" w:rsidP="003C2243">
      <w:pPr>
        <w:pStyle w:val="Heading1numbered"/>
      </w:pPr>
      <w:bookmarkStart w:id="225" w:name="_Toc121397396"/>
      <w:r w:rsidRPr="00E9705C">
        <w:lastRenderedPageBreak/>
        <w:t>Likely net benefit of each option</w:t>
      </w:r>
      <w:bookmarkEnd w:id="225"/>
    </w:p>
    <w:p w14:paraId="2BAE07E7" w14:textId="77777777" w:rsidR="00783766" w:rsidRPr="00783766" w:rsidRDefault="00783766" w:rsidP="003C2243">
      <w:pPr>
        <w:pStyle w:val="BodyText"/>
      </w:pPr>
      <w:bookmarkStart w:id="226" w:name="_Toc79149647"/>
      <w:r w:rsidRPr="00783766">
        <w:t xml:space="preserve">This section outlines the costs and benefits associated with the options considered in this RIS, in order to determine the likely net benefit of each option. The RIS considers the quantitative costs and benefits associated with option 2 (mandatory </w:t>
      </w:r>
      <w:r w:rsidR="00BB0179">
        <w:t>RMP</w:t>
      </w:r>
      <w:r w:rsidRPr="00783766">
        <w:t xml:space="preserve"> framework) only, using a breakeven analysis. Qualitative costs and benefits have been included to supplement this analysis. For option 1 (maintain the status quo) and option 3 (voluntary </w:t>
      </w:r>
      <w:r w:rsidR="00BB0179">
        <w:t>RMP</w:t>
      </w:r>
      <w:r w:rsidRPr="00783766">
        <w:t xml:space="preserve"> and guidance), qualitative costs and benefits were considered, with some inclusion of quantification where possible. As such, this section outlines the costing methodology used to determine the costs associated with option 2 only. </w:t>
      </w:r>
    </w:p>
    <w:p w14:paraId="4E71FAE4" w14:textId="34F15A37" w:rsidR="00E9705C" w:rsidRPr="00E9705C" w:rsidRDefault="0023575D" w:rsidP="004C0EFC">
      <w:pPr>
        <w:pStyle w:val="Heading2numbered"/>
      </w:pPr>
      <w:bookmarkStart w:id="227" w:name="_Toc121397397"/>
      <w:r>
        <w:t>Net benefit</w:t>
      </w:r>
      <w:r w:rsidRPr="00E9705C">
        <w:t xml:space="preserve"> </w:t>
      </w:r>
      <w:r w:rsidR="00E9705C" w:rsidRPr="00E9705C">
        <w:t>methodology: Option 2</w:t>
      </w:r>
      <w:bookmarkEnd w:id="226"/>
      <w:bookmarkEnd w:id="227"/>
      <w:r w:rsidR="00E9705C" w:rsidRPr="00E9705C">
        <w:t xml:space="preserve"> </w:t>
      </w:r>
    </w:p>
    <w:p w14:paraId="05B2CBBB" w14:textId="3B6345AE" w:rsidR="004677FA" w:rsidRPr="00386A14" w:rsidRDefault="004677FA" w:rsidP="003C2243">
      <w:pPr>
        <w:pStyle w:val="BodyText"/>
        <w:rPr>
          <w:highlight w:val="yellow"/>
        </w:rPr>
      </w:pPr>
      <w:bookmarkStart w:id="228" w:name="_Ref78460854"/>
      <w:bookmarkStart w:id="229" w:name="_Toc78878012"/>
      <w:bookmarkStart w:id="230" w:name="_Toc79156688"/>
      <w:r w:rsidRPr="00386A14">
        <w:t xml:space="preserve">Following the completion of the </w:t>
      </w:r>
      <w:r w:rsidR="00BB0179">
        <w:t>RMP</w:t>
      </w:r>
      <w:r w:rsidRPr="00A13063">
        <w:t xml:space="preserve"> consultation</w:t>
      </w:r>
      <w:r w:rsidRPr="00386A14">
        <w:t xml:space="preserve"> process, a methodology was developed to determine the net benefit associated with option 2. The methodology is </w:t>
      </w:r>
      <w:r w:rsidRPr="00E86D0C">
        <w:t>outlined in</w:t>
      </w:r>
      <w:r w:rsidR="00E86D0C" w:rsidRPr="00E86D0C">
        <w:t xml:space="preserve"> </w:t>
      </w:r>
      <w:r w:rsidR="00E86D0C" w:rsidRPr="00E86D0C">
        <w:fldChar w:fldCharType="begin"/>
      </w:r>
      <w:r w:rsidR="00E86D0C" w:rsidRPr="00E86D0C">
        <w:instrText xml:space="preserve"> REF _Ref92718997 \h  \* MERGEFORMAT </w:instrText>
      </w:r>
      <w:r w:rsidR="00E86D0C" w:rsidRPr="00E86D0C">
        <w:fldChar w:fldCharType="separate"/>
      </w:r>
      <w:r w:rsidR="009708D4" w:rsidRPr="009708D4">
        <w:t>Table 6</w:t>
      </w:r>
      <w:r w:rsidR="00E86D0C" w:rsidRPr="00E86D0C">
        <w:fldChar w:fldCharType="end"/>
      </w:r>
      <w:r w:rsidRPr="00E86D0C">
        <w:t xml:space="preserve"> below</w:t>
      </w:r>
      <w:r w:rsidRPr="00386A14">
        <w:t>. Steps 1-4 detail the methodology for estimating costs, Step 5 indicates the process for determining benefits, and Step 6 establishes the methodology for conducting the net benefit analysis.</w:t>
      </w:r>
    </w:p>
    <w:p w14:paraId="373E82AD" w14:textId="4B93086E" w:rsidR="00E9705C" w:rsidRPr="00E9705C" w:rsidRDefault="00E9705C" w:rsidP="003C2243">
      <w:pPr>
        <w:pStyle w:val="Caption"/>
      </w:pPr>
      <w:bookmarkStart w:id="231" w:name="_Ref92718997"/>
      <w:bookmarkStart w:id="232" w:name="_Toc120115091"/>
      <w:r w:rsidRPr="00E9705C">
        <w:rPr>
          <w:b/>
          <w:bCs/>
        </w:rPr>
        <w:t xml:space="preserve">Table </w:t>
      </w:r>
      <w:r w:rsidRPr="00E9705C">
        <w:rPr>
          <w:rFonts w:ascii="Calibri" w:hAnsi="Calibri" w:cs="Times New Roman"/>
        </w:rPr>
        <w:fldChar w:fldCharType="begin"/>
      </w:r>
      <w:r w:rsidRPr="00E9705C">
        <w:rPr>
          <w:b/>
          <w:bCs/>
        </w:rPr>
        <w:instrText xml:space="preserve"> SEQ Table \* ARABIC </w:instrText>
      </w:r>
      <w:r w:rsidRPr="00E9705C">
        <w:rPr>
          <w:rFonts w:ascii="Calibri" w:hAnsi="Calibri" w:cs="Times New Roman"/>
        </w:rPr>
        <w:fldChar w:fldCharType="separate"/>
      </w:r>
      <w:r w:rsidR="009708D4">
        <w:rPr>
          <w:b/>
          <w:bCs/>
          <w:noProof/>
        </w:rPr>
        <w:t>6</w:t>
      </w:r>
      <w:r w:rsidRPr="00E9705C">
        <w:rPr>
          <w:rFonts w:ascii="Calibri" w:hAnsi="Calibri" w:cs="Times New Roman"/>
        </w:rPr>
        <w:fldChar w:fldCharType="end"/>
      </w:r>
      <w:bookmarkEnd w:id="228"/>
      <w:bookmarkEnd w:id="231"/>
      <w:r w:rsidRPr="00E9705C">
        <w:t xml:space="preserve"> Option 2 costing methodology</w:t>
      </w:r>
      <w:bookmarkEnd w:id="229"/>
      <w:bookmarkEnd w:id="230"/>
      <w:bookmarkEnd w:id="232"/>
    </w:p>
    <w:tbl>
      <w:tblPr>
        <w:tblStyle w:val="TableGrid4"/>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329"/>
        <w:gridCol w:w="1797"/>
        <w:gridCol w:w="7512"/>
      </w:tblGrid>
      <w:tr w:rsidR="00E9705C" w:rsidRPr="00E9705C" w14:paraId="26D98995" w14:textId="77777777" w:rsidTr="00826B94">
        <w:trPr>
          <w:tblHeader/>
        </w:trPr>
        <w:tc>
          <w:tcPr>
            <w:tcW w:w="1103" w:type="pct"/>
            <w:gridSpan w:val="2"/>
            <w:shd w:val="clear" w:color="auto" w:fill="034EA2" w:themeFill="accent1"/>
          </w:tcPr>
          <w:p w14:paraId="7427F419" w14:textId="77777777" w:rsidR="00E9705C" w:rsidRPr="00E9705C" w:rsidRDefault="00E9705C" w:rsidP="007B447D">
            <w:pPr>
              <w:pStyle w:val="TableHeading"/>
            </w:pPr>
            <w:r w:rsidRPr="00E9705C">
              <w:t>Step</w:t>
            </w:r>
          </w:p>
        </w:tc>
        <w:tc>
          <w:tcPr>
            <w:tcW w:w="3897" w:type="pct"/>
            <w:shd w:val="clear" w:color="auto" w:fill="034EA2" w:themeFill="accent1"/>
          </w:tcPr>
          <w:p w14:paraId="3BCC4756" w14:textId="77777777" w:rsidR="00E9705C" w:rsidRPr="00E9705C" w:rsidRDefault="00E9705C" w:rsidP="007B447D">
            <w:pPr>
              <w:pStyle w:val="TableHeading"/>
            </w:pPr>
            <w:r w:rsidRPr="00E9705C">
              <w:t xml:space="preserve">Description </w:t>
            </w:r>
          </w:p>
        </w:tc>
      </w:tr>
      <w:tr w:rsidR="004E40B4" w:rsidRPr="00E9705C" w14:paraId="455F4C95" w14:textId="77777777" w:rsidTr="2DE12D07">
        <w:tc>
          <w:tcPr>
            <w:tcW w:w="171" w:type="pct"/>
            <w:shd w:val="clear" w:color="auto" w:fill="F2F2F2" w:themeFill="background2" w:themeFillShade="F2"/>
          </w:tcPr>
          <w:p w14:paraId="027FDCB8" w14:textId="77777777" w:rsidR="004E40B4" w:rsidRPr="007B447D" w:rsidRDefault="004E40B4" w:rsidP="007B447D">
            <w:pPr>
              <w:pStyle w:val="TableBody"/>
              <w:rPr>
                <w:b/>
                <w:bCs/>
              </w:rPr>
            </w:pPr>
            <w:r w:rsidRPr="007B447D">
              <w:rPr>
                <w:b/>
                <w:bCs/>
              </w:rPr>
              <w:t>1</w:t>
            </w:r>
          </w:p>
        </w:tc>
        <w:tc>
          <w:tcPr>
            <w:tcW w:w="932" w:type="pct"/>
            <w:shd w:val="clear" w:color="auto" w:fill="F2F2F2" w:themeFill="background2" w:themeFillShade="F2"/>
          </w:tcPr>
          <w:p w14:paraId="7E432C2C" w14:textId="77777777" w:rsidR="004E40B4" w:rsidRPr="007B447D" w:rsidRDefault="004E40B4" w:rsidP="007B447D">
            <w:pPr>
              <w:pStyle w:val="TableBody"/>
              <w:rPr>
                <w:b/>
                <w:bCs/>
              </w:rPr>
            </w:pPr>
            <w:r w:rsidRPr="007B447D">
              <w:rPr>
                <w:rFonts w:asciiTheme="majorHAnsi" w:hAnsiTheme="majorHAnsi" w:cstheme="majorHAnsi"/>
                <w:b/>
                <w:bCs/>
              </w:rPr>
              <w:t>Develop and validate costing approach with industry.</w:t>
            </w:r>
          </w:p>
        </w:tc>
        <w:tc>
          <w:tcPr>
            <w:tcW w:w="3897" w:type="pct"/>
            <w:shd w:val="clear" w:color="auto" w:fill="FFFFFF" w:themeFill="background2"/>
          </w:tcPr>
          <w:p w14:paraId="72029011" w14:textId="77777777" w:rsidR="004E40B4" w:rsidRPr="00B551B1" w:rsidRDefault="004E40B4" w:rsidP="00826B94">
            <w:pPr>
              <w:pStyle w:val="Tablesubheading"/>
            </w:pPr>
            <w:r w:rsidRPr="00B551B1">
              <w:t xml:space="preserve">Overview of costing approach </w:t>
            </w:r>
          </w:p>
          <w:p w14:paraId="675DC54C" w14:textId="5A7D443D" w:rsidR="004E40B4" w:rsidRPr="00C761A9" w:rsidRDefault="004E40B4" w:rsidP="00C761A9">
            <w:pPr>
              <w:pStyle w:val="TableBody"/>
            </w:pPr>
            <w:r w:rsidRPr="00C761A9">
              <w:t xml:space="preserve">The costs to industry of the proposed </w:t>
            </w:r>
            <w:r w:rsidR="00BB0179" w:rsidRPr="00C761A9">
              <w:t>RMP</w:t>
            </w:r>
            <w:r w:rsidRPr="00C761A9">
              <w:t xml:space="preserve"> framework were developed based on submissions from individual responsible entities on the costs to their organisation (Steps 2-3). The total cost for all </w:t>
            </w:r>
            <w:r w:rsidR="008056F4" w:rsidRPr="00C761A9">
              <w:t>critical infrastructure assets</w:t>
            </w:r>
            <w:r w:rsidRPr="00C761A9">
              <w:t xml:space="preserve"> was </w:t>
            </w:r>
            <w:r w:rsidR="00782336" w:rsidRPr="00C761A9">
              <w:t xml:space="preserve">then </w:t>
            </w:r>
            <w:r w:rsidRPr="00C761A9">
              <w:t>extrapolated from the responses received (Step 4).</w:t>
            </w:r>
          </w:p>
          <w:p w14:paraId="1366EED2" w14:textId="77777777" w:rsidR="004E40B4" w:rsidRPr="00B551B1" w:rsidRDefault="004E40B4" w:rsidP="00826B94">
            <w:pPr>
              <w:pStyle w:val="Tablesubheading"/>
            </w:pPr>
            <w:r w:rsidRPr="00B551B1">
              <w:t xml:space="preserve">Basis for cost estimations </w:t>
            </w:r>
          </w:p>
          <w:p w14:paraId="6EE4AB94" w14:textId="31899BE6" w:rsidR="004E40B4" w:rsidRPr="00B551B1" w:rsidRDefault="004E40B4" w:rsidP="00C761A9">
            <w:pPr>
              <w:pStyle w:val="TableBody"/>
            </w:pPr>
            <w:r w:rsidRPr="00B551B1">
              <w:rPr>
                <w:b/>
              </w:rPr>
              <w:t>Estimated cost impact of each obligation/rule</w:t>
            </w:r>
            <w:r w:rsidRPr="00B551B1">
              <w:t>. An expected and a high (‘highest feasible’) estimate was provided by individual responsible entities. The analysis of expected costs is provided in the sections below and the cost range (</w:t>
            </w:r>
            <w:r w:rsidR="005A445E" w:rsidRPr="00B551B1">
              <w:t>i.e.,</w:t>
            </w:r>
            <w:r w:rsidRPr="00B551B1">
              <w:t xml:space="preserve"> the range between the expected and </w:t>
            </w:r>
            <w:r w:rsidR="005A445E" w:rsidRPr="00B551B1">
              <w:t>high-cost</w:t>
            </w:r>
            <w:r w:rsidRPr="00B551B1">
              <w:t xml:space="preserve"> estimate) is provided in Appendi</w:t>
            </w:r>
            <w:r w:rsidR="0030492E">
              <w:t>ces</w:t>
            </w:r>
            <w:r w:rsidRPr="00B551B1">
              <w:t xml:space="preserve"> </w:t>
            </w:r>
            <w:r w:rsidR="0053255A">
              <w:t>S</w:t>
            </w:r>
            <w:r w:rsidR="00D52A2E">
              <w:t xml:space="preserve"> – </w:t>
            </w:r>
            <w:r w:rsidR="0053255A">
              <w:t>CC</w:t>
            </w:r>
            <w:r w:rsidRPr="00B551B1">
              <w:t>.</w:t>
            </w:r>
          </w:p>
          <w:p w14:paraId="55973CEF" w14:textId="77777777" w:rsidR="004E40B4" w:rsidRPr="00B551B1" w:rsidRDefault="004E40B4" w:rsidP="00C761A9">
            <w:pPr>
              <w:pStyle w:val="TableBody"/>
            </w:pPr>
            <w:r w:rsidRPr="00B551B1">
              <w:rPr>
                <w:b/>
              </w:rPr>
              <w:t>Rough order of magnitude cost estimates</w:t>
            </w:r>
            <w:r w:rsidRPr="00B551B1">
              <w:t xml:space="preserve"> </w:t>
            </w:r>
            <w:r w:rsidR="005A445E" w:rsidRPr="00B551B1">
              <w:t>w</w:t>
            </w:r>
            <w:r w:rsidR="005A445E">
              <w:t>ere</w:t>
            </w:r>
            <w:r w:rsidRPr="00B551B1">
              <w:t xml:space="preserve"> requested from responsible entities. This reflects the inherent uncertainty of entities’ cost impacts of option 2 prior to the rules being switched on. </w:t>
            </w:r>
          </w:p>
          <w:p w14:paraId="26097385" w14:textId="77777777" w:rsidR="004E40B4" w:rsidRPr="00B551B1" w:rsidRDefault="004E40B4" w:rsidP="00826B94">
            <w:pPr>
              <w:pStyle w:val="TableBody"/>
            </w:pPr>
            <w:r w:rsidRPr="00B551B1">
              <w:rPr>
                <w:b/>
              </w:rPr>
              <w:t>Only the marginal impact on staff effort and/or capital/operating costs</w:t>
            </w:r>
            <w:r w:rsidRPr="00B551B1">
              <w:t xml:space="preserve"> as a result of the proposed </w:t>
            </w:r>
            <w:r w:rsidR="00BB0179" w:rsidRPr="00B551B1">
              <w:t>RMP</w:t>
            </w:r>
            <w:r w:rsidRPr="00B551B1">
              <w:t xml:space="preserve"> framework were included. Staff effort or costs that are already incurred or planned to be incurred were excluded from estimates.</w:t>
            </w:r>
          </w:p>
          <w:p w14:paraId="53A16EDC" w14:textId="12AFBA78" w:rsidR="004E40B4" w:rsidRPr="00B551B1" w:rsidRDefault="004E40B4" w:rsidP="00826B94">
            <w:pPr>
              <w:pStyle w:val="TableBody"/>
            </w:pPr>
            <w:r w:rsidRPr="00B551B1">
              <w:rPr>
                <w:b/>
              </w:rPr>
              <w:t xml:space="preserve">Only costs attributable to </w:t>
            </w:r>
            <w:r w:rsidR="00C572BD" w:rsidRPr="00B551B1">
              <w:rPr>
                <w:b/>
              </w:rPr>
              <w:t>the specified</w:t>
            </w:r>
            <w:r w:rsidRPr="00B551B1">
              <w:rPr>
                <w:b/>
              </w:rPr>
              <w:t xml:space="preserve"> </w:t>
            </w:r>
            <w:r w:rsidR="008056F4" w:rsidRPr="00B551B1">
              <w:rPr>
                <w:b/>
              </w:rPr>
              <w:t>critical infrastructure asset</w:t>
            </w:r>
            <w:r w:rsidRPr="00B551B1">
              <w:t xml:space="preserve"> were included </w:t>
            </w:r>
            <w:r w:rsidR="006726F1" w:rsidRPr="00B551B1">
              <w:t xml:space="preserve">in order </w:t>
            </w:r>
            <w:r w:rsidRPr="00B551B1">
              <w:t>to avoid double</w:t>
            </w:r>
            <w:r w:rsidR="00F320F0">
              <w:t>-</w:t>
            </w:r>
            <w:r w:rsidRPr="00B551B1">
              <w:t>counting the cost of compliance with obligations/rules relating to other assets</w:t>
            </w:r>
            <w:r w:rsidR="00DE6EB1" w:rsidRPr="00B551B1">
              <w:t>.</w:t>
            </w:r>
          </w:p>
          <w:p w14:paraId="7326DAF1" w14:textId="77777777" w:rsidR="004E40B4" w:rsidRPr="00B551B1" w:rsidRDefault="004E40B4" w:rsidP="00826B94">
            <w:pPr>
              <w:pStyle w:val="TableBody"/>
            </w:pPr>
            <w:r w:rsidRPr="00B551B1">
              <w:t>Cost estimates were provided in constant (‘today’) dollars. The cost estimates were not escalated or indexed.</w:t>
            </w:r>
          </w:p>
          <w:p w14:paraId="34AA3468" w14:textId="77777777" w:rsidR="004E40B4" w:rsidRPr="00B551B1" w:rsidRDefault="004E40B4" w:rsidP="00826B94">
            <w:pPr>
              <w:pStyle w:val="Tablesubheading"/>
            </w:pPr>
            <w:r w:rsidRPr="00B551B1">
              <w:t xml:space="preserve">Costing assumptions </w:t>
            </w:r>
          </w:p>
          <w:p w14:paraId="00A94025" w14:textId="77777777" w:rsidR="004E40B4" w:rsidRPr="00B551B1" w:rsidRDefault="004E40B4" w:rsidP="00826B94">
            <w:pPr>
              <w:pStyle w:val="TableBody"/>
            </w:pPr>
            <w:r w:rsidRPr="00B551B1">
              <w:t xml:space="preserve">For the purposes of calculating a total 10-year cost of compliance with the </w:t>
            </w:r>
            <w:r w:rsidR="00BB0179" w:rsidRPr="00B551B1">
              <w:t>RMP</w:t>
            </w:r>
            <w:r w:rsidRPr="00B551B1">
              <w:t xml:space="preserve"> framework, </w:t>
            </w:r>
            <w:r w:rsidRPr="00B551B1">
              <w:rPr>
                <w:b/>
              </w:rPr>
              <w:t>ongoing costs were assumed to commence in the year after the required implementation</w:t>
            </w:r>
            <w:r w:rsidRPr="00B551B1">
              <w:t xml:space="preserve"> (for example, for a rule requiring implementation within 2 years, the ongoing costs associated with the rule were assumed to start in year 3 of the 10-year period)</w:t>
            </w:r>
            <w:r w:rsidR="005A445E">
              <w:t>.</w:t>
            </w:r>
          </w:p>
          <w:p w14:paraId="780E6E0E" w14:textId="072E930F" w:rsidR="004E40B4" w:rsidRPr="00780D3D" w:rsidRDefault="004E40B4" w:rsidP="00826B94">
            <w:pPr>
              <w:pStyle w:val="TableBody"/>
              <w:rPr>
                <w:b/>
              </w:rPr>
            </w:pPr>
            <w:r w:rsidRPr="00B551B1">
              <w:t xml:space="preserve">The </w:t>
            </w:r>
            <w:r w:rsidRPr="00B551B1">
              <w:rPr>
                <w:b/>
              </w:rPr>
              <w:t>standard unit labour price is $</w:t>
            </w:r>
            <w:r w:rsidR="004F2F4F">
              <w:rPr>
                <w:b/>
              </w:rPr>
              <w:t>79.63</w:t>
            </w:r>
            <w:r w:rsidRPr="00B551B1">
              <w:t xml:space="preserve"> per hour (as advised by the Office of Best Practice Regulation); and</w:t>
            </w:r>
          </w:p>
          <w:p w14:paraId="5CA10C24" w14:textId="77777777" w:rsidR="004E40B4" w:rsidRPr="00EB41E5" w:rsidRDefault="004E40B4" w:rsidP="00826B94">
            <w:pPr>
              <w:pStyle w:val="TableBody"/>
            </w:pPr>
            <w:r w:rsidRPr="00B551B1">
              <w:lastRenderedPageBreak/>
              <w:t>AusCheck background checks will cost $92.50 per checked person (applicable to Personnel Hazard</w:t>
            </w:r>
            <w:r w:rsidR="007A433F" w:rsidRPr="00B551B1">
              <w:t>s</w:t>
            </w:r>
            <w:r w:rsidRPr="00B551B1">
              <w:t xml:space="preserve"> only). </w:t>
            </w:r>
          </w:p>
          <w:p w14:paraId="295BAC9A" w14:textId="77777777" w:rsidR="00782336" w:rsidRPr="00826B94" w:rsidRDefault="00782336" w:rsidP="00826B94">
            <w:pPr>
              <w:pStyle w:val="Tablesubheading"/>
            </w:pPr>
            <w:r w:rsidRPr="00826B94">
              <w:t>Validate costing approach with Industry</w:t>
            </w:r>
          </w:p>
          <w:p w14:paraId="3CF95C86" w14:textId="77777777" w:rsidR="004E40B4" w:rsidRPr="00B551B1" w:rsidRDefault="00782336" w:rsidP="00826B94">
            <w:pPr>
              <w:pStyle w:val="TableBody"/>
            </w:pPr>
            <w:r w:rsidRPr="00EB41E5">
              <w:t>The proposed costing methodology and costing template was validated with Industry.</w:t>
            </w:r>
            <w:r w:rsidRPr="00782336">
              <w:t xml:space="preserve"> </w:t>
            </w:r>
          </w:p>
        </w:tc>
      </w:tr>
      <w:tr w:rsidR="004E40B4" w:rsidRPr="00E9705C" w14:paraId="046ED8FE" w14:textId="77777777" w:rsidTr="2DE12D07">
        <w:tc>
          <w:tcPr>
            <w:tcW w:w="171" w:type="pct"/>
            <w:shd w:val="clear" w:color="auto" w:fill="F2F2F2" w:themeFill="background2" w:themeFillShade="F2"/>
          </w:tcPr>
          <w:p w14:paraId="7409CA0A" w14:textId="77777777" w:rsidR="004E40B4" w:rsidRPr="007B447D" w:rsidRDefault="004E40B4" w:rsidP="007B447D">
            <w:pPr>
              <w:pStyle w:val="TableBody"/>
              <w:rPr>
                <w:b/>
                <w:bCs/>
              </w:rPr>
            </w:pPr>
            <w:r w:rsidRPr="007B447D">
              <w:rPr>
                <w:b/>
                <w:bCs/>
              </w:rPr>
              <w:lastRenderedPageBreak/>
              <w:t>2</w:t>
            </w:r>
          </w:p>
        </w:tc>
        <w:tc>
          <w:tcPr>
            <w:tcW w:w="932" w:type="pct"/>
            <w:shd w:val="clear" w:color="auto" w:fill="F2F2F2" w:themeFill="background2" w:themeFillShade="F2"/>
          </w:tcPr>
          <w:p w14:paraId="3698E0A3" w14:textId="77777777" w:rsidR="004E40B4" w:rsidRPr="007B447D" w:rsidRDefault="00742064" w:rsidP="007B447D">
            <w:pPr>
              <w:pStyle w:val="TableBody"/>
              <w:rPr>
                <w:b/>
                <w:bCs/>
              </w:rPr>
            </w:pPr>
            <w:r w:rsidRPr="007B447D">
              <w:rPr>
                <w:rFonts w:asciiTheme="majorHAnsi" w:hAnsiTheme="majorHAnsi" w:cstheme="majorHAnsi"/>
                <w:b/>
                <w:bCs/>
              </w:rPr>
              <w:t>Collect costing inputs to inform estimated cost of compliance for entities.</w:t>
            </w:r>
          </w:p>
        </w:tc>
        <w:tc>
          <w:tcPr>
            <w:tcW w:w="3897" w:type="pct"/>
            <w:shd w:val="clear" w:color="auto" w:fill="FFFFFF" w:themeFill="background2"/>
            <w:vAlign w:val="center"/>
          </w:tcPr>
          <w:p w14:paraId="21EEA28F" w14:textId="77777777" w:rsidR="00884F38" w:rsidRPr="00B551B1" w:rsidRDefault="00884F38" w:rsidP="00826B94">
            <w:pPr>
              <w:pStyle w:val="Tablesubheading"/>
            </w:pPr>
            <w:r w:rsidRPr="00B551B1">
              <w:t xml:space="preserve">Costing templates sent to industry  </w:t>
            </w:r>
          </w:p>
          <w:p w14:paraId="5ADF1D84" w14:textId="77777777" w:rsidR="00884F38" w:rsidRPr="00B551B1" w:rsidRDefault="00884F38" w:rsidP="00826B94">
            <w:pPr>
              <w:pStyle w:val="TableBody"/>
            </w:pPr>
            <w:r w:rsidRPr="00B551B1">
              <w:t xml:space="preserve">All responsible entities were asked to estimate costs of compliance with the </w:t>
            </w:r>
            <w:r w:rsidR="00BB0179" w:rsidRPr="00B551B1">
              <w:t>RMP</w:t>
            </w:r>
            <w:r w:rsidRPr="00B551B1">
              <w:t xml:space="preserve"> framework for their entity, in line with the basis for estimations and assumptions outlined in Step 1.</w:t>
            </w:r>
          </w:p>
          <w:p w14:paraId="3C7C3B6D" w14:textId="77777777" w:rsidR="00884F38" w:rsidRPr="00B551B1" w:rsidRDefault="00884F38" w:rsidP="00826B94">
            <w:pPr>
              <w:pStyle w:val="Tablesubheading"/>
            </w:pPr>
            <w:r w:rsidRPr="00B551B1">
              <w:t>Costings templates completed by industry</w:t>
            </w:r>
          </w:p>
          <w:p w14:paraId="0500A2B6" w14:textId="20CC6B63" w:rsidR="004E40B4" w:rsidRPr="00B551B1" w:rsidRDefault="00E45A0E" w:rsidP="00826B94">
            <w:pPr>
              <w:pStyle w:val="TableBody"/>
            </w:pPr>
            <w:r>
              <w:t>90</w:t>
            </w:r>
            <w:r w:rsidR="003205AF" w:rsidRPr="00B551B1">
              <w:t xml:space="preserve"> costing templates </w:t>
            </w:r>
            <w:r w:rsidR="00827860" w:rsidRPr="00B551B1">
              <w:t xml:space="preserve">were </w:t>
            </w:r>
            <w:r w:rsidR="003205AF" w:rsidRPr="00B551B1">
              <w:t xml:space="preserve">received </w:t>
            </w:r>
            <w:r w:rsidR="00B4435B" w:rsidRPr="00B551B1">
              <w:t xml:space="preserve">from industry </w:t>
            </w:r>
            <w:r w:rsidR="00827860" w:rsidRPr="00B551B1">
              <w:t xml:space="preserve">across all critical </w:t>
            </w:r>
            <w:r w:rsidR="00CC65CB">
              <w:t>i</w:t>
            </w:r>
            <w:r w:rsidR="00827860" w:rsidRPr="00B551B1">
              <w:t>nfrastructure assets.</w:t>
            </w:r>
            <w:r w:rsidR="00B4435B" w:rsidRPr="00B551B1">
              <w:t xml:space="preserve"> </w:t>
            </w:r>
            <w:r w:rsidR="000F7CDA" w:rsidRPr="00B551B1">
              <w:t xml:space="preserve">These are broken down by relevant critical infrastructure asset </w:t>
            </w:r>
            <w:r w:rsidR="00B127F2" w:rsidRPr="00B551B1">
              <w:t xml:space="preserve">below in section 4.1.1. </w:t>
            </w:r>
          </w:p>
        </w:tc>
      </w:tr>
      <w:tr w:rsidR="004E40B4" w:rsidRPr="00E9705C" w14:paraId="2E913835" w14:textId="77777777" w:rsidTr="2DE12D07">
        <w:tc>
          <w:tcPr>
            <w:tcW w:w="171" w:type="pct"/>
            <w:shd w:val="clear" w:color="auto" w:fill="F2F2F2" w:themeFill="background2" w:themeFillShade="F2"/>
          </w:tcPr>
          <w:p w14:paraId="2B873695" w14:textId="77777777" w:rsidR="004E40B4" w:rsidRPr="007B447D" w:rsidRDefault="004E40B4" w:rsidP="007B447D">
            <w:pPr>
              <w:pStyle w:val="TableBody"/>
              <w:rPr>
                <w:b/>
                <w:bCs/>
              </w:rPr>
            </w:pPr>
            <w:r w:rsidRPr="007B447D">
              <w:rPr>
                <w:b/>
                <w:bCs/>
              </w:rPr>
              <w:t>3</w:t>
            </w:r>
          </w:p>
        </w:tc>
        <w:tc>
          <w:tcPr>
            <w:tcW w:w="932" w:type="pct"/>
            <w:shd w:val="clear" w:color="auto" w:fill="F2F2F2" w:themeFill="background2" w:themeFillShade="F2"/>
          </w:tcPr>
          <w:p w14:paraId="7D45AF58" w14:textId="77777777" w:rsidR="004E40B4" w:rsidRPr="007B447D" w:rsidRDefault="000606E0" w:rsidP="007B447D">
            <w:pPr>
              <w:pStyle w:val="TableBody"/>
              <w:rPr>
                <w:b/>
                <w:bCs/>
              </w:rPr>
            </w:pPr>
            <w:r w:rsidRPr="007B447D">
              <w:rPr>
                <w:rFonts w:asciiTheme="majorHAnsi" w:hAnsiTheme="majorHAnsi" w:cstheme="majorHAnsi"/>
                <w:b/>
                <w:bCs/>
              </w:rPr>
              <w:t xml:space="preserve">Calculate estimated cost of compliance for responsible entities who submitted a costing. </w:t>
            </w:r>
          </w:p>
        </w:tc>
        <w:tc>
          <w:tcPr>
            <w:tcW w:w="3897" w:type="pct"/>
            <w:shd w:val="clear" w:color="auto" w:fill="FFFFFF" w:themeFill="background2"/>
            <w:vAlign w:val="center"/>
          </w:tcPr>
          <w:p w14:paraId="7564AC2A" w14:textId="77777777" w:rsidR="00F74DE7" w:rsidRPr="00B551B1" w:rsidRDefault="00F74DE7" w:rsidP="00826B94">
            <w:pPr>
              <w:pStyle w:val="Tablesubheading"/>
            </w:pPr>
            <w:r w:rsidRPr="00B551B1">
              <w:t xml:space="preserve">Calculation of estimated costs for individual entities </w:t>
            </w:r>
          </w:p>
          <w:p w14:paraId="322DC85C" w14:textId="77777777" w:rsidR="00F74DE7" w:rsidRPr="00B551B1" w:rsidRDefault="00F74DE7" w:rsidP="00826B94">
            <w:pPr>
              <w:pStyle w:val="TableBody"/>
            </w:pPr>
            <w:r w:rsidRPr="00B551B1">
              <w:t xml:space="preserve">Submissions from responsible entities were analysed to determine the estimated cost of compliance for individual entities. </w:t>
            </w:r>
          </w:p>
          <w:p w14:paraId="216C4A10" w14:textId="77777777" w:rsidR="00F74DE7" w:rsidRPr="00B551B1" w:rsidRDefault="00F74DE7" w:rsidP="00826B94">
            <w:pPr>
              <w:pStyle w:val="TableBody"/>
            </w:pPr>
            <w:r w:rsidRPr="00B551B1">
              <w:t xml:space="preserve">The one-off and ongoing </w:t>
            </w:r>
            <w:r w:rsidRPr="00086428">
              <w:t>cost</w:t>
            </w:r>
            <w:r w:rsidRPr="00B551B1">
              <w:t xml:space="preserve"> of compliance for each entity was calculated using the following formulas:</w:t>
            </w:r>
          </w:p>
          <w:p w14:paraId="52621D15" w14:textId="77777777" w:rsidR="00F74DE7" w:rsidRPr="00B551B1" w:rsidRDefault="00F74DE7" w:rsidP="00826B94">
            <w:pPr>
              <w:pStyle w:val="TableBullet"/>
            </w:pPr>
            <w:r w:rsidRPr="00B551B1">
              <w:rPr>
                <w:b/>
              </w:rPr>
              <w:t>Total one-off cost of compliance per entity</w:t>
            </w:r>
            <w:r w:rsidRPr="00B551B1">
              <w:t xml:space="preserve"> = total one-off labour cost + one-off marginal capital costs + one-off marginal operating costs</w:t>
            </w:r>
          </w:p>
          <w:p w14:paraId="19027D3B" w14:textId="77777777" w:rsidR="00F74DE7" w:rsidRPr="00B551B1" w:rsidRDefault="00F74DE7" w:rsidP="00826B94">
            <w:pPr>
              <w:pStyle w:val="TableBullet"/>
            </w:pPr>
            <w:r w:rsidRPr="00B551B1">
              <w:rPr>
                <w:b/>
              </w:rPr>
              <w:t>Total ongoing cost of compliance per entity</w:t>
            </w:r>
            <w:r w:rsidRPr="00B551B1">
              <w:t xml:space="preserve"> = total ongoing labour cost + ongoing marginal capital costs + ongoing marginal operating costs</w:t>
            </w:r>
          </w:p>
          <w:p w14:paraId="0F8B08AB" w14:textId="77777777" w:rsidR="00F74DE7" w:rsidRPr="00B551B1" w:rsidRDefault="00F74DE7" w:rsidP="00D26871">
            <w:pPr>
              <w:pStyle w:val="BodyText"/>
              <w:rPr>
                <w:sz w:val="20"/>
                <w:szCs w:val="20"/>
              </w:rPr>
            </w:pPr>
            <w:r w:rsidRPr="00B551B1">
              <w:rPr>
                <w:sz w:val="20"/>
                <w:szCs w:val="20"/>
              </w:rPr>
              <w:t>For both one-off and ongoing costs of compliance per entity, total labour costs were calculated using the following formula:</w:t>
            </w:r>
          </w:p>
          <w:p w14:paraId="63D83F7E" w14:textId="77777777" w:rsidR="00F74DE7" w:rsidRPr="00B551B1" w:rsidRDefault="00F74DE7" w:rsidP="00826B94">
            <w:pPr>
              <w:pStyle w:val="TableBody"/>
            </w:pPr>
            <w:r w:rsidRPr="00B551B1">
              <w:rPr>
                <w:b/>
              </w:rPr>
              <w:t xml:space="preserve">Total labour cost per entity </w:t>
            </w:r>
            <w:r w:rsidRPr="00B551B1">
              <w:t>= marginal staff effort x standard unit labour price</w:t>
            </w:r>
          </w:p>
          <w:p w14:paraId="7A08A787" w14:textId="77777777" w:rsidR="00F74DE7" w:rsidRPr="00B551B1" w:rsidRDefault="00F74DE7" w:rsidP="00826B94">
            <w:pPr>
              <w:pStyle w:val="Tablesubheading"/>
            </w:pPr>
            <w:r w:rsidRPr="00B551B1">
              <w:t xml:space="preserve">Targeted engagement with select entities </w:t>
            </w:r>
          </w:p>
          <w:p w14:paraId="390FCF51" w14:textId="77777777" w:rsidR="004E40B4" w:rsidRPr="00B551B1" w:rsidRDefault="00F74DE7" w:rsidP="00826B94">
            <w:pPr>
              <w:pStyle w:val="TableBody"/>
              <w:rPr>
                <w:rFonts w:ascii="Arial" w:eastAsia="Times New Roman" w:hAnsi="Arial" w:cs="Arial"/>
              </w:rPr>
            </w:pPr>
            <w:r w:rsidRPr="00B551B1">
              <w:t xml:space="preserve">Discussions were conducted with select entities who had submitted costs that varied substantially from other submissions. These discussions allowed for a deeper understanding of underlying factors driving cost to be developed, helped ensure the data submitted was accurate and that use of that data in the extrapolation activity (to calculate the total compliance costs for </w:t>
            </w:r>
            <w:r w:rsidR="00B43B81" w:rsidRPr="009739FE">
              <w:t>the</w:t>
            </w:r>
            <w:r w:rsidRPr="00B551B1">
              <w:t xml:space="preserve"> </w:t>
            </w:r>
            <w:r w:rsidR="008056F4" w:rsidRPr="00B551B1">
              <w:t xml:space="preserve">critical infrastructure </w:t>
            </w:r>
            <w:r w:rsidR="008056F4" w:rsidRPr="009739FE">
              <w:t>asset</w:t>
            </w:r>
            <w:r w:rsidRPr="00B551B1">
              <w:t>) was appropriate.</w:t>
            </w:r>
          </w:p>
        </w:tc>
      </w:tr>
      <w:tr w:rsidR="006F3C7D" w:rsidRPr="00E9705C" w14:paraId="7BD8922E" w14:textId="77777777" w:rsidTr="2DE12D07">
        <w:tc>
          <w:tcPr>
            <w:tcW w:w="171" w:type="pct"/>
            <w:shd w:val="clear" w:color="auto" w:fill="F2F2F2" w:themeFill="background2" w:themeFillShade="F2"/>
          </w:tcPr>
          <w:p w14:paraId="142624AB" w14:textId="77777777" w:rsidR="006F3C7D" w:rsidRPr="007B447D" w:rsidRDefault="006F3C7D" w:rsidP="007B447D">
            <w:pPr>
              <w:pStyle w:val="TableBody"/>
              <w:rPr>
                <w:b/>
                <w:bCs/>
              </w:rPr>
            </w:pPr>
            <w:r w:rsidRPr="007B447D">
              <w:rPr>
                <w:b/>
                <w:bCs/>
              </w:rPr>
              <w:t>4</w:t>
            </w:r>
          </w:p>
        </w:tc>
        <w:tc>
          <w:tcPr>
            <w:tcW w:w="932" w:type="pct"/>
            <w:shd w:val="clear" w:color="auto" w:fill="F2F2F2" w:themeFill="background2" w:themeFillShade="F2"/>
          </w:tcPr>
          <w:p w14:paraId="16597EAD" w14:textId="77777777" w:rsidR="006F3C7D" w:rsidRPr="007B447D" w:rsidRDefault="006F3C7D" w:rsidP="007B447D">
            <w:pPr>
              <w:pStyle w:val="TableBody"/>
              <w:rPr>
                <w:rFonts w:asciiTheme="majorHAnsi" w:hAnsiTheme="majorHAnsi" w:cstheme="majorHAnsi"/>
                <w:b/>
                <w:bCs/>
              </w:rPr>
            </w:pPr>
            <w:r w:rsidRPr="007B447D">
              <w:rPr>
                <w:rFonts w:asciiTheme="majorHAnsi" w:hAnsiTheme="majorHAnsi" w:cstheme="majorHAnsi"/>
                <w:b/>
                <w:bCs/>
              </w:rPr>
              <w:t>Extrapolate sector wide costs of compliance</w:t>
            </w:r>
          </w:p>
        </w:tc>
        <w:tc>
          <w:tcPr>
            <w:tcW w:w="3897" w:type="pct"/>
            <w:shd w:val="clear" w:color="auto" w:fill="FFFFFF" w:themeFill="background2"/>
          </w:tcPr>
          <w:p w14:paraId="025D826D" w14:textId="77777777" w:rsidR="006F3C7D" w:rsidRPr="00B551B1" w:rsidRDefault="00F40024" w:rsidP="00826B94">
            <w:pPr>
              <w:pStyle w:val="Tablesubheading"/>
            </w:pPr>
            <w:r w:rsidRPr="00B551B1">
              <w:t>Categorisation of costing submissions</w:t>
            </w:r>
          </w:p>
          <w:p w14:paraId="58613F53" w14:textId="7DBE269D" w:rsidR="006F3C7D" w:rsidRPr="00A3323D" w:rsidRDefault="00A27D1D" w:rsidP="00826B94">
            <w:pPr>
              <w:pStyle w:val="TableBody"/>
            </w:pPr>
            <w:r w:rsidRPr="00A3323D">
              <w:t xml:space="preserve">For </w:t>
            </w:r>
            <w:r w:rsidR="00FA5860" w:rsidRPr="00A3323D">
              <w:t>a number of</w:t>
            </w:r>
            <w:r w:rsidR="00F40024" w:rsidRPr="00A3323D">
              <w:t xml:space="preserve"> sectors</w:t>
            </w:r>
            <w:r w:rsidRPr="00A3323D">
              <w:t xml:space="preserve">, entities were categorised by size as </w:t>
            </w:r>
            <w:r w:rsidR="00B43B81" w:rsidRPr="00A3323D">
              <w:t>either</w:t>
            </w:r>
            <w:r w:rsidRPr="00A3323D">
              <w:t xml:space="preserve"> ‘large’ or ‘small’ </w:t>
            </w:r>
            <w:r w:rsidR="00B43B81" w:rsidRPr="00A3323D">
              <w:t>entities</w:t>
            </w:r>
            <w:r w:rsidR="00F320F0">
              <w:t>,</w:t>
            </w:r>
            <w:r w:rsidRPr="00A3323D">
              <w:t xml:space="preserve"> based on </w:t>
            </w:r>
            <w:r w:rsidR="00B43B81" w:rsidRPr="00A3323D">
              <w:t xml:space="preserve">their </w:t>
            </w:r>
            <w:r w:rsidRPr="00A3323D">
              <w:t xml:space="preserve">revenue. In other sectors, alternative metrics were used. The </w:t>
            </w:r>
            <w:r w:rsidR="00AB3B58" w:rsidRPr="00A3323D">
              <w:t>categoris</w:t>
            </w:r>
            <w:r w:rsidR="00534926" w:rsidRPr="00A3323D">
              <w:t>ation of</w:t>
            </w:r>
            <w:r w:rsidRPr="00A3323D">
              <w:t xml:space="preserve"> each critical infrastructure asset is d</w:t>
            </w:r>
            <w:r w:rsidR="0030526D" w:rsidRPr="00A3323D">
              <w:t xml:space="preserve">iscussed in </w:t>
            </w:r>
            <w:r w:rsidR="00942CD2" w:rsidRPr="00A3323D">
              <w:t>appendi</w:t>
            </w:r>
            <w:r w:rsidR="0030492E">
              <w:t>ces</w:t>
            </w:r>
            <w:r w:rsidR="00942CD2" w:rsidRPr="00A3323D">
              <w:t xml:space="preserve"> </w:t>
            </w:r>
            <w:r w:rsidR="00960F15">
              <w:t>S – CC</w:t>
            </w:r>
            <w:r w:rsidR="00942CD2" w:rsidRPr="00A3323D">
              <w:t>.</w:t>
            </w:r>
          </w:p>
          <w:p w14:paraId="25C7480B" w14:textId="77777777" w:rsidR="006F3C7D" w:rsidRPr="00B551B1" w:rsidRDefault="006F3C7D" w:rsidP="00826B94">
            <w:pPr>
              <w:pStyle w:val="Tablesubheading"/>
            </w:pPr>
            <w:r w:rsidRPr="00B551B1">
              <w:t xml:space="preserve">Estimation of costs for entities that did not provide a cost submission </w:t>
            </w:r>
          </w:p>
          <w:p w14:paraId="6923A642" w14:textId="70EEB9D7" w:rsidR="00B43B81" w:rsidRPr="000F20CF" w:rsidRDefault="00B43B81" w:rsidP="00826B94">
            <w:pPr>
              <w:pStyle w:val="TableBody"/>
            </w:pPr>
            <w:r w:rsidRPr="000F20CF">
              <w:t>As not every entity submitted costs of compliance, extrapolation was used to determine the overall costs for each critical infrastructure asset</w:t>
            </w:r>
            <w:r w:rsidR="00EC2E45">
              <w:t>.</w:t>
            </w:r>
          </w:p>
          <w:p w14:paraId="17AE3122" w14:textId="77777777" w:rsidR="00F0027A" w:rsidRPr="00B551B1" w:rsidRDefault="006F3C7D" w:rsidP="00826B94">
            <w:pPr>
              <w:pStyle w:val="TableBody"/>
            </w:pPr>
            <w:r w:rsidRPr="00B551B1">
              <w:t xml:space="preserve">The cost of compliance for entities that did not submit cost information was estimated by applying the average cost for entities of the same size and of the same </w:t>
            </w:r>
            <w:r w:rsidR="00AB3B58" w:rsidRPr="00B551B1">
              <w:t>critical infrastructure asset</w:t>
            </w:r>
            <w:r w:rsidRPr="00B551B1">
              <w:t>.</w:t>
            </w:r>
          </w:p>
          <w:p w14:paraId="109FA232" w14:textId="77777777" w:rsidR="006F3C7D" w:rsidRPr="00B551B1" w:rsidRDefault="006F3C7D" w:rsidP="00826B94">
            <w:pPr>
              <w:pStyle w:val="TableBody"/>
            </w:pPr>
            <w:r w:rsidRPr="00B551B1">
              <w:t xml:space="preserve">Every cost submission received was included in the estimate of the total cost of compliance calculation. However, the average rate applied as part of the extrapolation exercise did not include the costs of entities who were managing businesses not representative of the broader </w:t>
            </w:r>
            <w:r w:rsidR="003D349E" w:rsidRPr="00B551B1">
              <w:t>critical infrastructure asset</w:t>
            </w:r>
            <w:r w:rsidRPr="00B551B1">
              <w:t xml:space="preserve">. Inclusion in the average rate applied as part of the extrapolation was determined based on </w:t>
            </w:r>
            <w:r w:rsidRPr="00B551B1">
              <w:lastRenderedPageBreak/>
              <w:t>discussions with those entities and</w:t>
            </w:r>
            <w:r w:rsidR="00DA0988">
              <w:t>/or</w:t>
            </w:r>
            <w:r w:rsidRPr="00B551B1">
              <w:t xml:space="preserve"> the details of the cost assumptions provided in individual submissions. </w:t>
            </w:r>
          </w:p>
          <w:p w14:paraId="571E1E85" w14:textId="77777777" w:rsidR="006F3C7D" w:rsidRPr="00B551B1" w:rsidRDefault="006F3C7D" w:rsidP="00826B94">
            <w:pPr>
              <w:pStyle w:val="Tablesubheading"/>
            </w:pPr>
            <w:r w:rsidRPr="00B551B1">
              <w:t xml:space="preserve">Estimation of total costs for all </w:t>
            </w:r>
            <w:r w:rsidR="008056F4" w:rsidRPr="00B551B1">
              <w:t>critical infrastructure assets</w:t>
            </w:r>
            <w:r w:rsidRPr="00B551B1">
              <w:t xml:space="preserve"> </w:t>
            </w:r>
          </w:p>
          <w:p w14:paraId="3985C3A9" w14:textId="77777777" w:rsidR="006F3C7D" w:rsidRPr="00B551B1" w:rsidRDefault="006F3C7D" w:rsidP="00826B94">
            <w:pPr>
              <w:pStyle w:val="TableBody"/>
            </w:pPr>
            <w:r w:rsidRPr="00B551B1">
              <w:t xml:space="preserve">The one-off and ongoing cost of compliance for each </w:t>
            </w:r>
            <w:r w:rsidR="003D349E" w:rsidRPr="00B551B1">
              <w:t>critical infrastructure asset</w:t>
            </w:r>
            <w:r w:rsidRPr="00B551B1">
              <w:t xml:space="preserve"> was then calculated by adding up the individual estimates for relevant entities and adding the extrapolated cost for entities that did not make a cost submission. </w:t>
            </w:r>
          </w:p>
          <w:p w14:paraId="5BB00116" w14:textId="77777777" w:rsidR="006F3C7D" w:rsidRPr="00B551B1" w:rsidRDefault="006F3C7D" w:rsidP="00826B94">
            <w:pPr>
              <w:pStyle w:val="TableBody"/>
            </w:pPr>
            <w:r w:rsidRPr="00B551B1">
              <w:t xml:space="preserve">The total one-off and ongoing estimated cost of compliance for all </w:t>
            </w:r>
            <w:r w:rsidR="008056F4" w:rsidRPr="00B551B1">
              <w:t>critical infrastructure assets</w:t>
            </w:r>
            <w:r w:rsidRPr="00B551B1">
              <w:t xml:space="preserve"> was calculated by adding up the estimates for </w:t>
            </w:r>
            <w:r w:rsidR="003D3B19" w:rsidRPr="00B551B1">
              <w:t>each critical infrastructure asset</w:t>
            </w:r>
            <w:r w:rsidR="005D323B" w:rsidRPr="00B551B1">
              <w:t>.</w:t>
            </w:r>
          </w:p>
          <w:p w14:paraId="0A2688E7" w14:textId="77777777" w:rsidR="006F3C7D" w:rsidRPr="00B551B1" w:rsidRDefault="006F3C7D" w:rsidP="00826B94">
            <w:pPr>
              <w:pStyle w:val="Tablesubheading"/>
            </w:pPr>
            <w:r w:rsidRPr="00B551B1">
              <w:t>Review of cost estimates</w:t>
            </w:r>
          </w:p>
          <w:p w14:paraId="035ECC94" w14:textId="33460C85" w:rsidR="006F3C7D" w:rsidRPr="00B551B1" w:rsidRDefault="006F3C7D" w:rsidP="00826B94">
            <w:pPr>
              <w:pStyle w:val="TableBody"/>
            </w:pPr>
            <w:r w:rsidRPr="00B551B1">
              <w:t>An analysis of the average cost per obligation/rule was conducted (expressed as cost per entity, cost per rule, cost per rule per dollar of revenue, etc</w:t>
            </w:r>
            <w:r w:rsidR="00321E40">
              <w:t>.</w:t>
            </w:r>
            <w:r w:rsidRPr="00B551B1">
              <w:t xml:space="preserve">) to test the reasonableness of each element of the estimate. </w:t>
            </w:r>
          </w:p>
          <w:p w14:paraId="66DB0841" w14:textId="77777777" w:rsidR="006F3C7D" w:rsidRPr="00B551B1" w:rsidRDefault="006F3C7D" w:rsidP="00826B94">
            <w:pPr>
              <w:pStyle w:val="TableBody"/>
              <w:rPr>
                <w:rFonts w:ascii="Arial" w:eastAsia="Times New Roman" w:hAnsi="Arial" w:cs="Arial"/>
              </w:rPr>
            </w:pPr>
            <w:r w:rsidRPr="00B551B1">
              <w:t xml:space="preserve">The difference between the expected and the high estimate was reviewed to understand the confidence level of submitting entities regarding the impact of each obligation/rule. </w:t>
            </w:r>
          </w:p>
        </w:tc>
      </w:tr>
      <w:tr w:rsidR="001A1B76" w:rsidRPr="00E9705C" w14:paraId="2CEFA50F" w14:textId="77777777" w:rsidTr="2DE12D07">
        <w:tc>
          <w:tcPr>
            <w:tcW w:w="171" w:type="pct"/>
            <w:shd w:val="clear" w:color="auto" w:fill="F2F2F2" w:themeFill="background2" w:themeFillShade="F2"/>
          </w:tcPr>
          <w:p w14:paraId="3E6CF67B" w14:textId="77777777" w:rsidR="001A1B76" w:rsidRPr="007B447D" w:rsidRDefault="001A1B76" w:rsidP="007B447D">
            <w:pPr>
              <w:pStyle w:val="TableBody"/>
              <w:rPr>
                <w:b/>
                <w:bCs/>
              </w:rPr>
            </w:pPr>
            <w:r w:rsidRPr="007B447D">
              <w:rPr>
                <w:b/>
                <w:bCs/>
              </w:rPr>
              <w:lastRenderedPageBreak/>
              <w:t>5</w:t>
            </w:r>
          </w:p>
        </w:tc>
        <w:tc>
          <w:tcPr>
            <w:tcW w:w="932" w:type="pct"/>
            <w:shd w:val="clear" w:color="auto" w:fill="F2F2F2" w:themeFill="background2" w:themeFillShade="F2"/>
          </w:tcPr>
          <w:p w14:paraId="7538AB9D" w14:textId="77777777" w:rsidR="001A1B76" w:rsidRPr="007B447D" w:rsidRDefault="001A1B76" w:rsidP="007B447D">
            <w:pPr>
              <w:pStyle w:val="TableBody"/>
              <w:rPr>
                <w:b/>
                <w:bCs/>
              </w:rPr>
            </w:pPr>
            <w:r w:rsidRPr="007B447D">
              <w:rPr>
                <w:rFonts w:asciiTheme="majorHAnsi" w:hAnsiTheme="majorHAnsi" w:cstheme="majorHAnsi"/>
                <w:b/>
                <w:bCs/>
              </w:rPr>
              <w:t>Estimate benefits</w:t>
            </w:r>
          </w:p>
        </w:tc>
        <w:tc>
          <w:tcPr>
            <w:tcW w:w="3897" w:type="pct"/>
            <w:shd w:val="clear" w:color="auto" w:fill="FFFFFF" w:themeFill="background2"/>
          </w:tcPr>
          <w:p w14:paraId="1A1CAB8F" w14:textId="77777777" w:rsidR="001A1B76" w:rsidRPr="00B551B1" w:rsidRDefault="001A1B76" w:rsidP="00826B94">
            <w:pPr>
              <w:pStyle w:val="Tablesubheading"/>
            </w:pPr>
            <w:r w:rsidRPr="00B551B1">
              <w:t xml:space="preserve">Approach to determining benefits </w:t>
            </w:r>
          </w:p>
          <w:p w14:paraId="58EE5ACC" w14:textId="77777777" w:rsidR="001A1B76" w:rsidRPr="00AA55DD" w:rsidRDefault="001A1B76" w:rsidP="00826B94">
            <w:pPr>
              <w:pStyle w:val="TableBody"/>
            </w:pPr>
            <w:r w:rsidRPr="00AA55DD">
              <w:t xml:space="preserve">Benefits of the proposed </w:t>
            </w:r>
            <w:r w:rsidR="00BB0179" w:rsidRPr="00AA55DD">
              <w:t>RMP</w:t>
            </w:r>
            <w:r w:rsidRPr="00AA55DD">
              <w:t xml:space="preserve"> framework will be accrued on a whole-of-economy level, rather than to specific organisations or individuals. Consequently, benefits were determined by quantifying the </w:t>
            </w:r>
            <w:r w:rsidRPr="00AA55DD">
              <w:rPr>
                <w:b/>
              </w:rPr>
              <w:t>whole-of-economy impact of actual incident</w:t>
            </w:r>
            <w:r w:rsidR="00B43B81" w:rsidRPr="00AA55DD">
              <w:rPr>
                <w:b/>
              </w:rPr>
              <w:t>s</w:t>
            </w:r>
            <w:r w:rsidRPr="00AA55DD">
              <w:t xml:space="preserve"> that affected </w:t>
            </w:r>
            <w:r w:rsidR="008056F4" w:rsidRPr="00AA55DD">
              <w:t>critical infrastructure assets</w:t>
            </w:r>
            <w:r w:rsidRPr="00AA55DD">
              <w:t xml:space="preserve"> within Australia.</w:t>
            </w:r>
          </w:p>
          <w:p w14:paraId="4B1E39BF" w14:textId="77777777" w:rsidR="001A1B76" w:rsidRPr="00B551B1" w:rsidRDefault="001A1B76" w:rsidP="00826B94">
            <w:pPr>
              <w:pStyle w:val="TableBody"/>
            </w:pPr>
            <w:r w:rsidRPr="00B551B1">
              <w:t xml:space="preserve">Benefits were calculated on the basis of </w:t>
            </w:r>
            <w:r w:rsidRPr="00B551B1">
              <w:rPr>
                <w:b/>
              </w:rPr>
              <w:t xml:space="preserve">avoiding the costs of this scenario </w:t>
            </w:r>
            <w:r w:rsidRPr="00B551B1">
              <w:t xml:space="preserve">as a consequence of the proposed </w:t>
            </w:r>
            <w:r w:rsidR="00BB0179" w:rsidRPr="00B551B1">
              <w:t>RMP</w:t>
            </w:r>
            <w:r w:rsidRPr="00B551B1">
              <w:t xml:space="preserve"> framework.</w:t>
            </w:r>
          </w:p>
          <w:p w14:paraId="619A34F8" w14:textId="77777777" w:rsidR="001A1B76" w:rsidRPr="00B551B1" w:rsidRDefault="001A1B76" w:rsidP="00826B94">
            <w:pPr>
              <w:pStyle w:val="TableBody"/>
            </w:pPr>
            <w:r w:rsidRPr="00B551B1">
              <w:t>In addition to quantified benefits, qualitative benefits were also documented and evaluated.</w:t>
            </w:r>
          </w:p>
          <w:p w14:paraId="73EEED1A" w14:textId="77777777" w:rsidR="001A1B76" w:rsidRPr="00B551B1" w:rsidRDefault="001A1B76" w:rsidP="00826B94">
            <w:pPr>
              <w:pStyle w:val="Tablesubheading"/>
            </w:pPr>
            <w:r w:rsidRPr="00B551B1">
              <w:t xml:space="preserve">Selection of indicative benefits scenario </w:t>
            </w:r>
          </w:p>
          <w:p w14:paraId="300AE493" w14:textId="77777777" w:rsidR="001A1B76" w:rsidRPr="00B551B1" w:rsidRDefault="00B127F2" w:rsidP="00826B94">
            <w:pPr>
              <w:pStyle w:val="TableBody"/>
              <w:rPr>
                <w:rFonts w:eastAsia="Times New Roman"/>
                <w:highlight w:val="yellow"/>
              </w:rPr>
            </w:pPr>
            <w:r w:rsidRPr="00B551B1">
              <w:t xml:space="preserve">A different </w:t>
            </w:r>
            <w:r w:rsidR="003A2509" w:rsidRPr="00B551B1">
              <w:t>baseline</w:t>
            </w:r>
            <w:r w:rsidRPr="00B551B1">
              <w:t xml:space="preserve"> benefits scenario was selected for each relevant critical infrastructure asset. The use of an actual event as the baseline risk point of comparison is important because it ensures the benefits analysis is grounded in reality. The scale of the event is not theoretical and there is sufficient information about the event to support benefits modelling. The </w:t>
            </w:r>
            <w:r w:rsidR="0030526D" w:rsidRPr="00B551B1">
              <w:t xml:space="preserve">baseline </w:t>
            </w:r>
            <w:r w:rsidRPr="00B551B1">
              <w:t>scenario used for each relevant critical infrastructure asset is</w:t>
            </w:r>
            <w:r w:rsidR="00AB1908" w:rsidRPr="00B551B1">
              <w:t xml:space="preserve"> </w:t>
            </w:r>
            <w:r w:rsidR="0030526D" w:rsidRPr="00B551B1">
              <w:t>discussed below in section 4.2.</w:t>
            </w:r>
          </w:p>
        </w:tc>
      </w:tr>
      <w:tr w:rsidR="00A13063" w:rsidRPr="00E9705C" w14:paraId="753DB3C1" w14:textId="77777777" w:rsidTr="2DE12D07">
        <w:tc>
          <w:tcPr>
            <w:tcW w:w="171" w:type="pct"/>
            <w:shd w:val="clear" w:color="auto" w:fill="F2F2F2" w:themeFill="background2" w:themeFillShade="F2"/>
          </w:tcPr>
          <w:p w14:paraId="009BF922" w14:textId="77777777" w:rsidR="00A13063" w:rsidRPr="007B447D" w:rsidRDefault="00EF4EF6" w:rsidP="007B447D">
            <w:pPr>
              <w:pStyle w:val="TableBody"/>
              <w:rPr>
                <w:b/>
                <w:bCs/>
              </w:rPr>
            </w:pPr>
            <w:r w:rsidRPr="007B447D">
              <w:rPr>
                <w:b/>
                <w:bCs/>
              </w:rPr>
              <w:t>6</w:t>
            </w:r>
          </w:p>
        </w:tc>
        <w:tc>
          <w:tcPr>
            <w:tcW w:w="932" w:type="pct"/>
            <w:shd w:val="clear" w:color="auto" w:fill="F2F2F2" w:themeFill="background2" w:themeFillShade="F2"/>
          </w:tcPr>
          <w:p w14:paraId="7AB1482B" w14:textId="77777777" w:rsidR="00A13063" w:rsidRPr="007B447D" w:rsidRDefault="00567CE2" w:rsidP="007B447D">
            <w:pPr>
              <w:pStyle w:val="TableBody"/>
              <w:rPr>
                <w:rFonts w:asciiTheme="majorHAnsi" w:hAnsiTheme="majorHAnsi" w:cstheme="majorHAnsi"/>
                <w:b/>
                <w:bCs/>
              </w:rPr>
            </w:pPr>
            <w:r w:rsidRPr="007B447D">
              <w:rPr>
                <w:rFonts w:asciiTheme="majorHAnsi" w:hAnsiTheme="majorHAnsi" w:cstheme="majorHAnsi"/>
                <w:b/>
                <w:bCs/>
              </w:rPr>
              <w:t>Conduct net benefit analysis</w:t>
            </w:r>
          </w:p>
        </w:tc>
        <w:tc>
          <w:tcPr>
            <w:tcW w:w="3897" w:type="pct"/>
            <w:shd w:val="clear" w:color="auto" w:fill="FFFFFF" w:themeFill="background2"/>
          </w:tcPr>
          <w:p w14:paraId="7E2A8A03" w14:textId="77777777" w:rsidR="00567CE2" w:rsidRPr="00B551B1" w:rsidRDefault="00567CE2" w:rsidP="00826B94">
            <w:pPr>
              <w:pStyle w:val="Tablesubheading"/>
            </w:pPr>
            <w:r w:rsidRPr="00B551B1">
              <w:t xml:space="preserve">Approach to determining net benefit: Breakeven analysis </w:t>
            </w:r>
          </w:p>
          <w:p w14:paraId="40FD8C27" w14:textId="215B1CAA" w:rsidR="00567CE2" w:rsidRPr="00B551B1" w:rsidRDefault="00567CE2" w:rsidP="00826B94">
            <w:pPr>
              <w:pStyle w:val="TableBody"/>
            </w:pPr>
            <w:r w:rsidRPr="00B551B1">
              <w:t>A breakeven analysis was used to determine the net benefit of option 2. The breakeven analysis examined the number of incidents that must be avoided (</w:t>
            </w:r>
            <w:r w:rsidR="005A445E" w:rsidRPr="00B551B1">
              <w:t>i.e.</w:t>
            </w:r>
            <w:r w:rsidRPr="00B551B1">
              <w:t xml:space="preserve"> the benefit) each year in order for the annual costs of the regulation to be met.</w:t>
            </w:r>
          </w:p>
          <w:p w14:paraId="59F67FC5" w14:textId="77777777" w:rsidR="00567CE2" w:rsidRDefault="00567CE2" w:rsidP="00826B94">
            <w:pPr>
              <w:pStyle w:val="TableBody"/>
            </w:pPr>
            <w:r w:rsidRPr="00B551B1">
              <w:t xml:space="preserve">While this RIS sought to leverage real life examples of the potential disruptions caused by the realisation of all-hazard events, this does not mean that equivalent events must occur for the costs and benefits outlined in this RIS to break even. For example, while </w:t>
            </w:r>
            <w:r w:rsidR="00B127F2" w:rsidRPr="00B551B1">
              <w:t>the critical electricity assets benefits model</w:t>
            </w:r>
            <w:r w:rsidRPr="00B551B1">
              <w:t xml:space="preserve"> used the </w:t>
            </w:r>
            <w:r w:rsidR="00B127F2" w:rsidRPr="00B551B1">
              <w:t xml:space="preserve">South Australian blackout </w:t>
            </w:r>
            <w:r w:rsidRPr="00B551B1">
              <w:t xml:space="preserve">as a baseline scenario, an accumulation of </w:t>
            </w:r>
            <w:r w:rsidR="00951191">
              <w:t xml:space="preserve">many, </w:t>
            </w:r>
            <w:r w:rsidRPr="00B551B1">
              <w:t>smaller disruptions would also deliver the same benefits against the proposed reforms, as discussed in section 4.2.1 below.</w:t>
            </w:r>
          </w:p>
          <w:p w14:paraId="60908CF8" w14:textId="77777777" w:rsidR="00B551B1" w:rsidRPr="00B551B1" w:rsidRDefault="00B551B1" w:rsidP="00826B94">
            <w:pPr>
              <w:pStyle w:val="TableBody"/>
            </w:pPr>
            <w:r w:rsidRPr="00B551B1">
              <w:t xml:space="preserve">Where </w:t>
            </w:r>
            <w:r>
              <w:t xml:space="preserve">real-world case studies have not been able to be sourced, alternative baseline costs have been used. These are explained further in relevant sections. </w:t>
            </w:r>
          </w:p>
          <w:p w14:paraId="247CEF38" w14:textId="77777777" w:rsidR="00567CE2" w:rsidRPr="00B551B1" w:rsidRDefault="00567CE2" w:rsidP="00826B94">
            <w:pPr>
              <w:pStyle w:val="Tablesubheading"/>
            </w:pPr>
            <w:r w:rsidRPr="00B551B1">
              <w:t xml:space="preserve">Rationale for a breakeven analysis </w:t>
            </w:r>
          </w:p>
          <w:p w14:paraId="67F20B1D" w14:textId="77777777" w:rsidR="00567CE2" w:rsidRPr="00B551B1" w:rsidRDefault="00567CE2" w:rsidP="00826B94">
            <w:pPr>
              <w:pStyle w:val="TableBody"/>
            </w:pPr>
            <w:r w:rsidRPr="00B551B1">
              <w:t xml:space="preserve">The total benefits of the </w:t>
            </w:r>
            <w:r w:rsidR="00BB0179" w:rsidRPr="00B551B1">
              <w:t>RMP</w:t>
            </w:r>
            <w:r w:rsidRPr="00B551B1">
              <w:t xml:space="preserve"> framework consist of the avoided or mitigated costs of future all-hazard incidents. However, the total annual benefit cannot be reliably estimated because there is no data on the frequency and size of avoided incidents. Any estimate of total benefits would be highly uncertain and reliant on assumptions. </w:t>
            </w:r>
          </w:p>
          <w:p w14:paraId="4BA13439" w14:textId="77777777" w:rsidR="00567CE2" w:rsidRPr="00B551B1" w:rsidRDefault="00567CE2" w:rsidP="00826B94">
            <w:pPr>
              <w:pStyle w:val="TableBody"/>
            </w:pPr>
            <w:r w:rsidRPr="00B551B1">
              <w:lastRenderedPageBreak/>
              <w:t>The use of a breakeven analysis avoids the need for this information, and instead uses an assessment of the reasonableness of the number of avoided incidents required for option 2 to equal or exceed the costs of the option.</w:t>
            </w:r>
          </w:p>
          <w:p w14:paraId="025D3CA3" w14:textId="77777777" w:rsidR="00567CE2" w:rsidRPr="00B551B1" w:rsidRDefault="00567CE2" w:rsidP="00826B94">
            <w:pPr>
              <w:pStyle w:val="Tablesubheading"/>
            </w:pPr>
            <w:r w:rsidRPr="00B551B1">
              <w:t xml:space="preserve">Breakeven analysis calculation </w:t>
            </w:r>
          </w:p>
          <w:p w14:paraId="4DEBE918" w14:textId="77777777" w:rsidR="00567CE2" w:rsidRPr="00B551B1" w:rsidRDefault="00567CE2" w:rsidP="00826B94">
            <w:pPr>
              <w:pStyle w:val="TableBody"/>
            </w:pPr>
            <w:r w:rsidRPr="00B551B1">
              <w:t xml:space="preserve">The breakeven analysis was calculated by determining the number of severe, </w:t>
            </w:r>
            <w:r w:rsidR="005A445E" w:rsidRPr="00B551B1">
              <w:t>moderate,</w:t>
            </w:r>
            <w:r w:rsidRPr="00B551B1">
              <w:t xml:space="preserve"> and low scenarios needed to be avoided each year to equal the annual cost of the regulation. </w:t>
            </w:r>
          </w:p>
          <w:p w14:paraId="6E5A1A2E" w14:textId="77777777" w:rsidR="00567CE2" w:rsidRPr="00B551B1" w:rsidRDefault="00567CE2" w:rsidP="00826B94">
            <w:pPr>
              <w:pStyle w:val="TableBody"/>
            </w:pPr>
            <w:r w:rsidRPr="00B551B1">
              <w:t>The following formula was used to determine the breakeven point (severe scenario used as an example):</w:t>
            </w:r>
          </w:p>
          <w:p w14:paraId="11AB4D1A" w14:textId="77777777" w:rsidR="00567CE2" w:rsidRPr="00B551B1" w:rsidRDefault="00567CE2" w:rsidP="00D26871">
            <w:pPr>
              <w:pStyle w:val="BodyText"/>
              <w:rPr>
                <w:i/>
                <w:iCs/>
                <w:sz w:val="20"/>
                <w:szCs w:val="20"/>
              </w:rPr>
            </w:pPr>
            <w:r w:rsidRPr="00B551B1">
              <w:rPr>
                <w:i/>
                <w:iCs/>
                <w:sz w:val="20"/>
                <w:szCs w:val="20"/>
              </w:rPr>
              <w:t xml:space="preserve">Number of severe scenarios required to be avoided per year for net benefit to occur = (total cost to the economy of severe scenario) / (annualised cost of regulation) </w:t>
            </w:r>
          </w:p>
          <w:p w14:paraId="73B9919E" w14:textId="77777777" w:rsidR="00567CE2" w:rsidRPr="00B551B1" w:rsidRDefault="00567CE2" w:rsidP="00826B94">
            <w:pPr>
              <w:pStyle w:val="Tablesubheading"/>
            </w:pPr>
            <w:r w:rsidRPr="00B551B1">
              <w:t>Analysis</w:t>
            </w:r>
          </w:p>
          <w:p w14:paraId="31145CED" w14:textId="77777777" w:rsidR="00A13063" w:rsidRPr="00B551B1" w:rsidRDefault="00567CE2" w:rsidP="00826B94">
            <w:pPr>
              <w:pStyle w:val="TableBody"/>
              <w:rPr>
                <w:u w:val="single"/>
              </w:rPr>
            </w:pPr>
            <w:r w:rsidRPr="0055303E">
              <w:t xml:space="preserve">Following the </w:t>
            </w:r>
            <w:r w:rsidRPr="00826B94">
              <w:t>calculation</w:t>
            </w:r>
            <w:r w:rsidRPr="0055303E">
              <w:t xml:space="preserve"> of the breakeven point, the results were assessed to determine the feasibility that</w:t>
            </w:r>
            <w:r w:rsidRPr="00B551B1">
              <w:t xml:space="preserve"> the breakeven point would be achieved, in that the benefits of the proposed </w:t>
            </w:r>
            <w:r w:rsidR="00BB0179" w:rsidRPr="00B551B1">
              <w:t>RMP</w:t>
            </w:r>
            <w:r w:rsidRPr="00B551B1">
              <w:t xml:space="preserve"> framework would meet or exceed the costs.</w:t>
            </w:r>
          </w:p>
        </w:tc>
      </w:tr>
    </w:tbl>
    <w:p w14:paraId="5B25F423" w14:textId="77777777" w:rsidR="00E9705C" w:rsidRPr="00E9705C" w:rsidRDefault="00E9705C" w:rsidP="00826B94">
      <w:pPr>
        <w:pStyle w:val="BodyText"/>
        <w:spacing w:before="240"/>
      </w:pPr>
      <w:r w:rsidRPr="00E9705C">
        <w:lastRenderedPageBreak/>
        <w:t xml:space="preserve">The steps outlined above align with the Regulatory Burden Measure Framework, which directs that only particular costs associated with the introduction of the </w:t>
      </w:r>
      <w:r w:rsidR="00BB0179">
        <w:t>RMP</w:t>
      </w:r>
      <w:r w:rsidRPr="00E9705C">
        <w:t xml:space="preserve"> framework are categorised as ‘regulatory’, and therefore considered when assessing likely net benefits. These costs include administrative compliance costs (associated with ensuring compliance with the proposed regulation) and substantive compliance costs (for example, the recruitment and training of new employees to meet regulatory requirements).</w:t>
      </w:r>
      <w:r w:rsidRPr="00E9705C">
        <w:rPr>
          <w:vertAlign w:val="superscript"/>
        </w:rPr>
        <w:footnoteReference w:id="40"/>
      </w:r>
    </w:p>
    <w:p w14:paraId="5A13DAD3" w14:textId="136E6373" w:rsidR="00E9705C" w:rsidRDefault="00E9705C" w:rsidP="003C2243">
      <w:pPr>
        <w:pStyle w:val="BodyText"/>
      </w:pPr>
      <w:r w:rsidRPr="00E9705C">
        <w:t>For the purposes of this RIS, costs associated with delay (for example, expenses and loss of income incurred by a regulated entity as a result of an application delay or an approval delay) were not considered.</w:t>
      </w:r>
      <w:r w:rsidRPr="00E9705C">
        <w:rPr>
          <w:vertAlign w:val="superscript"/>
        </w:rPr>
        <w:footnoteReference w:id="41"/>
      </w:r>
      <w:r w:rsidRPr="00E9705C">
        <w:t xml:space="preserve"> The proposed </w:t>
      </w:r>
      <w:r w:rsidR="00BB0179">
        <w:t>RMP</w:t>
      </w:r>
      <w:r w:rsidRPr="00E9705C">
        <w:t xml:space="preserve"> framework is to be applied to existing businesses and does not include a process which may delay the operations of the regulated entities.</w:t>
      </w:r>
    </w:p>
    <w:p w14:paraId="0CE9E0F0" w14:textId="03670679" w:rsidR="00E70887" w:rsidRDefault="00E70887" w:rsidP="003C2243">
      <w:pPr>
        <w:pStyle w:val="BodyText"/>
      </w:pPr>
    </w:p>
    <w:p w14:paraId="226FF4AD" w14:textId="77777777" w:rsidR="00E70887" w:rsidRPr="00E9705C" w:rsidRDefault="00E70887" w:rsidP="003C2243">
      <w:pPr>
        <w:pStyle w:val="BodyText"/>
      </w:pPr>
    </w:p>
    <w:p w14:paraId="46BEB103" w14:textId="2A7C0AAD" w:rsidR="0002758A" w:rsidRDefault="0053318F" w:rsidP="004C0EFC">
      <w:pPr>
        <w:pStyle w:val="Heading3numbered"/>
      </w:pPr>
      <w:r>
        <w:t>Costing submissions</w:t>
      </w:r>
    </w:p>
    <w:p w14:paraId="1C998A32" w14:textId="4AC1EA98" w:rsidR="00033260" w:rsidRPr="00033260" w:rsidRDefault="00033260" w:rsidP="003C2243">
      <w:pPr>
        <w:pStyle w:val="BodyText"/>
        <w:rPr>
          <w:rFonts w:ascii="Arial" w:eastAsia="Times New Roman" w:hAnsi="Arial" w:cs="Arial"/>
        </w:rPr>
      </w:pPr>
      <w:r w:rsidRPr="00180A8F">
        <w:rPr>
          <w:rFonts w:ascii="Arial" w:hAnsi="Arial" w:cs="Arial"/>
        </w:rPr>
        <w:t xml:space="preserve">There </w:t>
      </w:r>
      <w:r w:rsidR="00E864DB" w:rsidRPr="00180A8F">
        <w:rPr>
          <w:rFonts w:ascii="Arial" w:hAnsi="Arial" w:cs="Arial"/>
        </w:rPr>
        <w:t>was</w:t>
      </w:r>
      <w:r w:rsidR="00DA50ED">
        <w:rPr>
          <w:rFonts w:ascii="Arial" w:hAnsi="Arial" w:cs="Arial"/>
        </w:rPr>
        <w:t xml:space="preserve"> a total </w:t>
      </w:r>
      <w:r w:rsidR="00DA50ED" w:rsidRPr="00E45A0E">
        <w:rPr>
          <w:rFonts w:ascii="Arial" w:hAnsi="Arial" w:cs="Arial"/>
        </w:rPr>
        <w:t xml:space="preserve">of </w:t>
      </w:r>
      <w:r w:rsidR="00E45A0E" w:rsidRPr="00CE4B35">
        <w:rPr>
          <w:rFonts w:ascii="Arial" w:hAnsi="Arial" w:cs="Arial"/>
        </w:rPr>
        <w:t xml:space="preserve">90 </w:t>
      </w:r>
      <w:r w:rsidRPr="00180A8F">
        <w:rPr>
          <w:rFonts w:ascii="Arial" w:hAnsi="Arial" w:cs="Arial"/>
        </w:rPr>
        <w:t xml:space="preserve">costing submissions provided by responsible entities for </w:t>
      </w:r>
      <w:r w:rsidR="008056F4">
        <w:rPr>
          <w:rFonts w:ascii="Arial" w:hAnsi="Arial" w:cs="Arial"/>
        </w:rPr>
        <w:t>critical infrastructure assets</w:t>
      </w:r>
      <w:r w:rsidRPr="00180A8F">
        <w:rPr>
          <w:rFonts w:ascii="Arial" w:hAnsi="Arial" w:cs="Arial"/>
        </w:rPr>
        <w:t>.</w:t>
      </w:r>
      <w:r w:rsidR="00E66AAD" w:rsidRPr="00E66AAD">
        <w:rPr>
          <w:rFonts w:ascii="Arial" w:hAnsi="Arial" w:cs="Arial"/>
        </w:rPr>
        <w:t xml:space="preserve"> </w:t>
      </w:r>
      <w:r w:rsidR="00E863C7">
        <w:rPr>
          <w:rFonts w:ascii="Arial" w:hAnsi="Arial" w:cs="Arial"/>
        </w:rPr>
        <w:t xml:space="preserve">See </w:t>
      </w:r>
      <w:r w:rsidR="00D26871" w:rsidRPr="7EA3F148">
        <w:rPr>
          <w:rStyle w:val="BodyTextChar"/>
        </w:rPr>
        <w:fldChar w:fldCharType="begin"/>
      </w:r>
      <w:r w:rsidR="00D26871" w:rsidRPr="7EA3F148">
        <w:rPr>
          <w:rStyle w:val="BodyTextChar"/>
        </w:rPr>
        <w:instrText xml:space="preserve"> REF _Ref77685292 \h  \* MERGEFORMAT </w:instrText>
      </w:r>
      <w:r w:rsidR="00D26871" w:rsidRPr="7EA3F148">
        <w:rPr>
          <w:rStyle w:val="BodyTextChar"/>
        </w:rPr>
      </w:r>
      <w:r w:rsidR="00D26871" w:rsidRPr="7EA3F148">
        <w:rPr>
          <w:rStyle w:val="BodyTextChar"/>
        </w:rPr>
        <w:fldChar w:fldCharType="separate"/>
      </w:r>
      <w:r w:rsidR="009708D4" w:rsidRPr="009708D4">
        <w:rPr>
          <w:rStyle w:val="BodyTextChar"/>
        </w:rPr>
        <w:t>Table 7</w:t>
      </w:r>
      <w:r w:rsidR="00D26871" w:rsidRPr="7EA3F148">
        <w:rPr>
          <w:rStyle w:val="BodyTextChar"/>
        </w:rPr>
        <w:fldChar w:fldCharType="end"/>
      </w:r>
      <w:r w:rsidR="00D26871" w:rsidRPr="7EA3F148">
        <w:rPr>
          <w:rStyle w:val="BodyTextChar"/>
        </w:rPr>
        <w:t xml:space="preserve"> below</w:t>
      </w:r>
      <w:r w:rsidR="00E863C7" w:rsidRPr="7EA3F148">
        <w:rPr>
          <w:rStyle w:val="BodyTextChar"/>
        </w:rPr>
        <w:t xml:space="preserve"> for a breakdown by asset class </w:t>
      </w:r>
      <w:r w:rsidR="000859CB" w:rsidRPr="7EA3F148">
        <w:rPr>
          <w:rStyle w:val="BodyTextChar"/>
        </w:rPr>
        <w:t>of these costing submissions</w:t>
      </w:r>
      <w:r w:rsidR="00DA7653" w:rsidRPr="7EA3F148">
        <w:rPr>
          <w:rStyle w:val="BodyTextChar"/>
        </w:rPr>
        <w:t>,</w:t>
      </w:r>
      <w:r w:rsidR="00F26833" w:rsidRPr="7EA3F148">
        <w:rPr>
          <w:rStyle w:val="BodyTextChar"/>
        </w:rPr>
        <w:t xml:space="preserve"> </w:t>
      </w:r>
      <w:r w:rsidR="00E863C7" w:rsidRPr="7EA3F148">
        <w:rPr>
          <w:rStyle w:val="BodyTextChar"/>
        </w:rPr>
        <w:t>and estimated market share (where able to be calculated)</w:t>
      </w:r>
      <w:r w:rsidR="007C7CFD">
        <w:rPr>
          <w:rFonts w:ascii="Arial" w:hAnsi="Arial" w:cs="Arial"/>
        </w:rPr>
        <w:t xml:space="preserve"> </w:t>
      </w:r>
      <w:r w:rsidR="000859CB" w:rsidRPr="7EA3F148">
        <w:rPr>
          <w:rStyle w:val="BodyTextChar"/>
        </w:rPr>
        <w:t>by critical infrastructure asset</w:t>
      </w:r>
      <w:r w:rsidR="00D26871">
        <w:rPr>
          <w:rFonts w:ascii="Arial" w:hAnsi="Arial" w:cs="Arial"/>
        </w:rPr>
        <w:t xml:space="preserve">. </w:t>
      </w:r>
    </w:p>
    <w:p w14:paraId="49576C4A" w14:textId="6DEA8333" w:rsidR="00E9705C" w:rsidRPr="00E9705C" w:rsidRDefault="00E9705C" w:rsidP="003C2243">
      <w:pPr>
        <w:pStyle w:val="Caption"/>
      </w:pPr>
      <w:bookmarkStart w:id="233" w:name="_Ref77685292"/>
      <w:bookmarkStart w:id="234" w:name="_Toc78878013"/>
      <w:bookmarkStart w:id="235" w:name="_Toc79156689"/>
      <w:bookmarkStart w:id="236" w:name="_Toc120115092"/>
      <w:r w:rsidRPr="00E9705C">
        <w:rPr>
          <w:b/>
          <w:bCs/>
        </w:rPr>
        <w:t xml:space="preserve">Table </w:t>
      </w:r>
      <w:r w:rsidRPr="00E9705C">
        <w:rPr>
          <w:b/>
          <w:bCs/>
        </w:rPr>
        <w:fldChar w:fldCharType="begin"/>
      </w:r>
      <w:r w:rsidRPr="00E9705C">
        <w:rPr>
          <w:b/>
          <w:bCs/>
        </w:rPr>
        <w:instrText xml:space="preserve"> SEQ Table \* ARABIC </w:instrText>
      </w:r>
      <w:r w:rsidRPr="00E9705C">
        <w:rPr>
          <w:b/>
          <w:bCs/>
        </w:rPr>
        <w:fldChar w:fldCharType="separate"/>
      </w:r>
      <w:r w:rsidR="009708D4">
        <w:rPr>
          <w:b/>
          <w:bCs/>
          <w:noProof/>
        </w:rPr>
        <w:t>7</w:t>
      </w:r>
      <w:r w:rsidRPr="00E9705C">
        <w:rPr>
          <w:b/>
          <w:bCs/>
        </w:rPr>
        <w:fldChar w:fldCharType="end"/>
      </w:r>
      <w:bookmarkEnd w:id="233"/>
      <w:r w:rsidRPr="00E9705C">
        <w:t xml:space="preserve"> </w:t>
      </w:r>
      <w:r w:rsidR="008056F4">
        <w:t>Critical infrastructure assets</w:t>
      </w:r>
      <w:r w:rsidRPr="00E9705C">
        <w:t xml:space="preserve"> cost impact submissions</w:t>
      </w:r>
      <w:bookmarkEnd w:id="234"/>
      <w:bookmarkEnd w:id="235"/>
      <w:r w:rsidR="00E66AAD">
        <w:t xml:space="preserve">, </w:t>
      </w:r>
      <w:r w:rsidR="005A445E">
        <w:t>number,</w:t>
      </w:r>
      <w:r w:rsidR="00E66AAD">
        <w:t xml:space="preserve"> and market share</w:t>
      </w:r>
      <w:bookmarkEnd w:id="236"/>
    </w:p>
    <w:tbl>
      <w:tblPr>
        <w:tblStyle w:val="TableGrid3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4538"/>
        <w:gridCol w:w="2550"/>
        <w:gridCol w:w="2550"/>
      </w:tblGrid>
      <w:tr w:rsidR="00E66AAD" w:rsidRPr="00E9705C" w14:paraId="4E7B5BFD" w14:textId="77777777" w:rsidTr="004537A4">
        <w:trPr>
          <w:trHeight w:val="486"/>
        </w:trPr>
        <w:tc>
          <w:tcPr>
            <w:tcW w:w="2354" w:type="pct"/>
            <w:shd w:val="clear" w:color="auto" w:fill="034EA2" w:themeFill="accent1"/>
          </w:tcPr>
          <w:p w14:paraId="39E241B4" w14:textId="77777777" w:rsidR="00E66AAD" w:rsidRPr="00E9705C" w:rsidRDefault="00E66AAD" w:rsidP="00826B94">
            <w:pPr>
              <w:pStyle w:val="TableHeading"/>
              <w:rPr>
                <w:lang w:eastAsia="en-AU"/>
              </w:rPr>
            </w:pPr>
            <w:r>
              <w:rPr>
                <w:lang w:eastAsia="en-AU"/>
              </w:rPr>
              <w:t>Critical infrastructure asset</w:t>
            </w:r>
          </w:p>
        </w:tc>
        <w:tc>
          <w:tcPr>
            <w:tcW w:w="1323" w:type="pct"/>
            <w:shd w:val="clear" w:color="auto" w:fill="034EA2" w:themeFill="accent1"/>
            <w:hideMark/>
          </w:tcPr>
          <w:p w14:paraId="37FF62AB" w14:textId="77777777" w:rsidR="00E66AAD" w:rsidRPr="00E9705C" w:rsidRDefault="00E66AAD" w:rsidP="00826B94">
            <w:pPr>
              <w:pStyle w:val="TableHeading"/>
              <w:jc w:val="center"/>
              <w:rPr>
                <w:lang w:val="en-GB" w:eastAsia="en-AU"/>
              </w:rPr>
            </w:pPr>
            <w:r w:rsidRPr="00E9705C">
              <w:rPr>
                <w:lang w:val="en-GB" w:eastAsia="en-AU"/>
              </w:rPr>
              <w:t>Number of submissions</w:t>
            </w:r>
          </w:p>
        </w:tc>
        <w:tc>
          <w:tcPr>
            <w:tcW w:w="1323" w:type="pct"/>
            <w:shd w:val="clear" w:color="auto" w:fill="034EA2" w:themeFill="accent1"/>
          </w:tcPr>
          <w:p w14:paraId="5B791083" w14:textId="77777777" w:rsidR="00E66AAD" w:rsidRPr="0046234A" w:rsidRDefault="00E66AAD" w:rsidP="00826B94">
            <w:pPr>
              <w:pStyle w:val="TableHeading"/>
              <w:jc w:val="center"/>
              <w:rPr>
                <w:lang w:val="en-GB" w:eastAsia="en-AU"/>
              </w:rPr>
            </w:pPr>
            <w:r w:rsidRPr="0046234A">
              <w:rPr>
                <w:lang w:val="en-GB" w:eastAsia="en-AU"/>
              </w:rPr>
              <w:t>Market share</w:t>
            </w:r>
            <w:r w:rsidR="000058C5" w:rsidRPr="0046234A">
              <w:rPr>
                <w:lang w:val="en-GB" w:eastAsia="en-AU"/>
              </w:rPr>
              <w:t xml:space="preserve"> (%)</w:t>
            </w:r>
          </w:p>
        </w:tc>
      </w:tr>
      <w:tr w:rsidR="00E66AAD" w:rsidRPr="00E9705C" w14:paraId="7BF5D1CA" w14:textId="77777777" w:rsidTr="004537A4">
        <w:trPr>
          <w:trHeight w:val="238"/>
        </w:trPr>
        <w:tc>
          <w:tcPr>
            <w:tcW w:w="2354" w:type="pct"/>
            <w:shd w:val="clear" w:color="auto" w:fill="F2F2F2" w:themeFill="background1" w:themeFillShade="F2"/>
          </w:tcPr>
          <w:p w14:paraId="6D84D00D" w14:textId="77777777" w:rsidR="00E66AAD" w:rsidRPr="00FF7B5D" w:rsidRDefault="00E66AAD" w:rsidP="00826B94">
            <w:pPr>
              <w:pStyle w:val="TableBody"/>
              <w:rPr>
                <w:lang w:eastAsia="en-AU"/>
              </w:rPr>
            </w:pPr>
            <w:r>
              <w:rPr>
                <w:lang w:eastAsia="en-AU"/>
              </w:rPr>
              <w:t>Critical electricity assets</w:t>
            </w:r>
          </w:p>
        </w:tc>
        <w:tc>
          <w:tcPr>
            <w:tcW w:w="1323" w:type="pct"/>
            <w:shd w:val="clear" w:color="auto" w:fill="auto"/>
            <w:noWrap/>
          </w:tcPr>
          <w:p w14:paraId="1B2E6615" w14:textId="77777777" w:rsidR="00E66AAD" w:rsidRPr="00826B94" w:rsidRDefault="00E15FD1" w:rsidP="00826B94">
            <w:pPr>
              <w:pStyle w:val="TableBody"/>
              <w:jc w:val="center"/>
            </w:pPr>
            <w:r>
              <w:t>2</w:t>
            </w:r>
            <w:r w:rsidR="00526E88">
              <w:t>7</w:t>
            </w:r>
          </w:p>
        </w:tc>
        <w:tc>
          <w:tcPr>
            <w:tcW w:w="1323" w:type="pct"/>
          </w:tcPr>
          <w:p w14:paraId="5E0EE1B5" w14:textId="77777777" w:rsidR="00E66AAD" w:rsidRPr="00826B94" w:rsidRDefault="007D77F7" w:rsidP="00826B94">
            <w:pPr>
              <w:pStyle w:val="TableBody"/>
              <w:jc w:val="center"/>
            </w:pPr>
            <w:r w:rsidRPr="0046234A">
              <w:rPr>
                <w:lang w:val="en-GB" w:eastAsia="en-AU"/>
              </w:rPr>
              <w:t>48.7</w:t>
            </w:r>
          </w:p>
        </w:tc>
      </w:tr>
      <w:tr w:rsidR="00E66AAD" w:rsidRPr="00E9705C" w14:paraId="63BD55A0" w14:textId="77777777" w:rsidTr="004537A4">
        <w:trPr>
          <w:trHeight w:val="238"/>
        </w:trPr>
        <w:tc>
          <w:tcPr>
            <w:tcW w:w="2354" w:type="pct"/>
            <w:shd w:val="clear" w:color="auto" w:fill="F2F2F2" w:themeFill="background1" w:themeFillShade="F2"/>
          </w:tcPr>
          <w:p w14:paraId="207E27F3" w14:textId="77777777" w:rsidR="00E66AAD" w:rsidRDefault="00E66AAD" w:rsidP="00826B94">
            <w:pPr>
              <w:pStyle w:val="TableBody"/>
              <w:rPr>
                <w:lang w:eastAsia="en-AU"/>
              </w:rPr>
            </w:pPr>
            <w:r>
              <w:rPr>
                <w:lang w:eastAsia="en-AU"/>
              </w:rPr>
              <w:t>Critical gas assets</w:t>
            </w:r>
          </w:p>
        </w:tc>
        <w:tc>
          <w:tcPr>
            <w:tcW w:w="1323" w:type="pct"/>
            <w:shd w:val="clear" w:color="auto" w:fill="auto"/>
            <w:noWrap/>
          </w:tcPr>
          <w:p w14:paraId="22CF489B" w14:textId="77777777" w:rsidR="00E66AAD" w:rsidRPr="00C5564A" w:rsidRDefault="00E15FD1" w:rsidP="00826B94">
            <w:pPr>
              <w:pStyle w:val="TableBody"/>
              <w:jc w:val="center"/>
              <w:rPr>
                <w:rFonts w:ascii="Arial" w:eastAsia="Times New Roman" w:hAnsi="Arial" w:cs="Arial"/>
                <w:lang w:val="en-GB" w:eastAsia="en-AU"/>
              </w:rPr>
            </w:pPr>
            <w:r>
              <w:t>12</w:t>
            </w:r>
          </w:p>
        </w:tc>
        <w:tc>
          <w:tcPr>
            <w:tcW w:w="1323" w:type="pct"/>
          </w:tcPr>
          <w:p w14:paraId="0521260C" w14:textId="77777777" w:rsidR="00E66AAD" w:rsidRPr="0046234A" w:rsidRDefault="00526E88" w:rsidP="00826B94">
            <w:pPr>
              <w:pStyle w:val="TableBody"/>
              <w:jc w:val="center"/>
              <w:rPr>
                <w:rFonts w:ascii="Arial" w:eastAsia="Times New Roman" w:hAnsi="Arial" w:cs="Arial"/>
                <w:lang w:val="en-GB" w:eastAsia="en-AU"/>
              </w:rPr>
            </w:pPr>
            <w:r w:rsidRPr="0046234A">
              <w:rPr>
                <w:rFonts w:ascii="Arial" w:eastAsia="Times New Roman" w:hAnsi="Arial" w:cs="Arial"/>
                <w:lang w:val="en-GB" w:eastAsia="en-AU"/>
              </w:rPr>
              <w:t>20.0</w:t>
            </w:r>
          </w:p>
        </w:tc>
      </w:tr>
      <w:tr w:rsidR="00E66AAD" w:rsidRPr="00E9705C" w14:paraId="1F4C52BB" w14:textId="77777777" w:rsidTr="004537A4">
        <w:trPr>
          <w:trHeight w:val="238"/>
        </w:trPr>
        <w:tc>
          <w:tcPr>
            <w:tcW w:w="2354" w:type="pct"/>
            <w:shd w:val="clear" w:color="auto" w:fill="F2F2F2" w:themeFill="background1" w:themeFillShade="F2"/>
          </w:tcPr>
          <w:p w14:paraId="718ACEF6" w14:textId="77777777" w:rsidR="00E66AAD" w:rsidRDefault="00E66AAD" w:rsidP="00826B94">
            <w:pPr>
              <w:pStyle w:val="TableBody"/>
              <w:rPr>
                <w:lang w:eastAsia="en-AU"/>
              </w:rPr>
            </w:pPr>
            <w:r>
              <w:rPr>
                <w:lang w:eastAsia="en-AU"/>
              </w:rPr>
              <w:t>Critical water assets</w:t>
            </w:r>
          </w:p>
        </w:tc>
        <w:tc>
          <w:tcPr>
            <w:tcW w:w="1323" w:type="pct"/>
            <w:shd w:val="clear" w:color="auto" w:fill="auto"/>
            <w:noWrap/>
          </w:tcPr>
          <w:p w14:paraId="7532AC86" w14:textId="77777777" w:rsidR="00E66AAD" w:rsidRPr="00C5564A" w:rsidRDefault="00E15FD1" w:rsidP="00826B94">
            <w:pPr>
              <w:pStyle w:val="TableBody"/>
              <w:jc w:val="center"/>
              <w:rPr>
                <w:rFonts w:ascii="Arial" w:eastAsia="Times New Roman" w:hAnsi="Arial" w:cs="Arial"/>
                <w:lang w:val="en-GB" w:eastAsia="en-AU"/>
              </w:rPr>
            </w:pPr>
            <w:r>
              <w:t>7</w:t>
            </w:r>
          </w:p>
        </w:tc>
        <w:tc>
          <w:tcPr>
            <w:tcW w:w="1323" w:type="pct"/>
          </w:tcPr>
          <w:p w14:paraId="341185F2" w14:textId="77777777" w:rsidR="00E66AAD" w:rsidRPr="0046234A" w:rsidRDefault="0046234A" w:rsidP="00826B94">
            <w:pPr>
              <w:pStyle w:val="TableBody"/>
              <w:jc w:val="center"/>
              <w:rPr>
                <w:rFonts w:ascii="Arial" w:eastAsia="Times New Roman" w:hAnsi="Arial" w:cs="Arial"/>
                <w:lang w:val="en-GB" w:eastAsia="en-AU"/>
              </w:rPr>
            </w:pPr>
            <w:r w:rsidRPr="0046234A">
              <w:rPr>
                <w:rFonts w:ascii="Arial" w:eastAsia="Times New Roman" w:hAnsi="Arial" w:cs="Arial"/>
                <w:lang w:val="en-GB" w:eastAsia="en-AU"/>
              </w:rPr>
              <w:t>33.3</w:t>
            </w:r>
          </w:p>
        </w:tc>
      </w:tr>
      <w:tr w:rsidR="00E66AAD" w:rsidRPr="00E9705C" w14:paraId="0FEFBD43" w14:textId="77777777" w:rsidTr="004537A4">
        <w:trPr>
          <w:trHeight w:val="238"/>
        </w:trPr>
        <w:tc>
          <w:tcPr>
            <w:tcW w:w="2354" w:type="pct"/>
            <w:shd w:val="clear" w:color="auto" w:fill="F2F2F2" w:themeFill="background1" w:themeFillShade="F2"/>
          </w:tcPr>
          <w:p w14:paraId="4E0EA427" w14:textId="77777777" w:rsidR="00E66AAD" w:rsidRDefault="00E66AAD" w:rsidP="00826B94">
            <w:pPr>
              <w:pStyle w:val="TableBody"/>
              <w:rPr>
                <w:lang w:eastAsia="en-AU"/>
              </w:rPr>
            </w:pPr>
            <w:r>
              <w:rPr>
                <w:lang w:eastAsia="en-AU"/>
              </w:rPr>
              <w:t>Critical data processing or storage assets</w:t>
            </w:r>
          </w:p>
        </w:tc>
        <w:tc>
          <w:tcPr>
            <w:tcW w:w="1323" w:type="pct"/>
            <w:noWrap/>
          </w:tcPr>
          <w:p w14:paraId="22BC4C4E" w14:textId="77777777" w:rsidR="00E66AAD" w:rsidRPr="00C5564A" w:rsidRDefault="00D04AEA" w:rsidP="00826B94">
            <w:pPr>
              <w:pStyle w:val="TableBody"/>
              <w:jc w:val="center"/>
              <w:rPr>
                <w:rFonts w:ascii="Arial" w:eastAsia="Times New Roman" w:hAnsi="Arial" w:cs="Arial"/>
                <w:lang w:val="en-GB" w:eastAsia="en-AU"/>
              </w:rPr>
            </w:pPr>
            <w:r>
              <w:rPr>
                <w:rFonts w:ascii="Arial" w:eastAsia="Times New Roman" w:hAnsi="Arial" w:cs="Arial"/>
                <w:lang w:val="en-GB" w:eastAsia="en-AU"/>
              </w:rPr>
              <w:t>6</w:t>
            </w:r>
          </w:p>
        </w:tc>
        <w:tc>
          <w:tcPr>
            <w:tcW w:w="1323" w:type="pct"/>
          </w:tcPr>
          <w:p w14:paraId="2CC80189" w14:textId="77777777" w:rsidR="00E66AAD" w:rsidRPr="0046234A" w:rsidRDefault="00F45999" w:rsidP="00826B94">
            <w:pPr>
              <w:pStyle w:val="TableBody"/>
              <w:jc w:val="center"/>
              <w:rPr>
                <w:rFonts w:ascii="Arial" w:eastAsia="Times New Roman" w:hAnsi="Arial" w:cs="Arial"/>
                <w:lang w:val="en-GB" w:eastAsia="en-AU"/>
              </w:rPr>
            </w:pPr>
            <w:r>
              <w:rPr>
                <w:rFonts w:ascii="Arial" w:eastAsia="Times New Roman" w:hAnsi="Arial" w:cs="Arial"/>
                <w:lang w:val="en-GB" w:eastAsia="en-AU"/>
              </w:rPr>
              <w:t>N/A</w:t>
            </w:r>
          </w:p>
        </w:tc>
      </w:tr>
      <w:tr w:rsidR="00E66AAD" w:rsidRPr="00E9705C" w14:paraId="62F36B49" w14:textId="77777777" w:rsidTr="004537A4">
        <w:trPr>
          <w:trHeight w:val="238"/>
        </w:trPr>
        <w:tc>
          <w:tcPr>
            <w:tcW w:w="2354" w:type="pct"/>
            <w:shd w:val="clear" w:color="auto" w:fill="F2F2F2" w:themeFill="background1" w:themeFillShade="F2"/>
          </w:tcPr>
          <w:p w14:paraId="7B3C7AAB" w14:textId="77777777" w:rsidR="00E66AAD" w:rsidRDefault="00E66AAD" w:rsidP="00826B94">
            <w:pPr>
              <w:pStyle w:val="TableBody"/>
              <w:rPr>
                <w:lang w:eastAsia="en-AU"/>
              </w:rPr>
            </w:pPr>
            <w:r>
              <w:rPr>
                <w:lang w:eastAsia="en-AU"/>
              </w:rPr>
              <w:t>Critical broadcasting assets</w:t>
            </w:r>
          </w:p>
        </w:tc>
        <w:tc>
          <w:tcPr>
            <w:tcW w:w="1323" w:type="pct"/>
            <w:noWrap/>
          </w:tcPr>
          <w:p w14:paraId="5A3AEF53" w14:textId="77777777" w:rsidR="00E66AAD" w:rsidRPr="00C5564A" w:rsidRDefault="00D04AEA" w:rsidP="00826B94">
            <w:pPr>
              <w:pStyle w:val="TableBody"/>
              <w:jc w:val="center"/>
              <w:rPr>
                <w:rFonts w:ascii="Arial" w:eastAsia="Times New Roman" w:hAnsi="Arial" w:cs="Arial"/>
                <w:lang w:val="en-GB" w:eastAsia="en-AU"/>
              </w:rPr>
            </w:pPr>
            <w:r>
              <w:rPr>
                <w:rFonts w:ascii="Arial" w:eastAsia="Times New Roman" w:hAnsi="Arial" w:cs="Arial"/>
                <w:lang w:val="en-GB" w:eastAsia="en-AU"/>
              </w:rPr>
              <w:t>2</w:t>
            </w:r>
          </w:p>
        </w:tc>
        <w:tc>
          <w:tcPr>
            <w:tcW w:w="1323" w:type="pct"/>
          </w:tcPr>
          <w:p w14:paraId="21FC3113" w14:textId="77777777" w:rsidR="00E66AAD" w:rsidRPr="0046234A" w:rsidRDefault="00D04AEA" w:rsidP="00826B94">
            <w:pPr>
              <w:pStyle w:val="TableBody"/>
              <w:jc w:val="center"/>
              <w:rPr>
                <w:rFonts w:ascii="Arial" w:eastAsia="Times New Roman" w:hAnsi="Arial" w:cs="Arial"/>
                <w:lang w:val="en-GB" w:eastAsia="en-AU"/>
              </w:rPr>
            </w:pPr>
            <w:r w:rsidRPr="0046234A">
              <w:rPr>
                <w:rFonts w:ascii="Arial" w:eastAsia="Times New Roman" w:hAnsi="Arial" w:cs="Arial"/>
                <w:lang w:val="en-GB" w:eastAsia="en-AU"/>
              </w:rPr>
              <w:t>100</w:t>
            </w:r>
            <w:r w:rsidR="007D77F7" w:rsidRPr="0046234A">
              <w:rPr>
                <w:rFonts w:ascii="Arial" w:eastAsia="Times New Roman" w:hAnsi="Arial" w:cs="Arial"/>
                <w:lang w:val="en-GB" w:eastAsia="en-AU"/>
              </w:rPr>
              <w:t>.0</w:t>
            </w:r>
          </w:p>
        </w:tc>
      </w:tr>
      <w:tr w:rsidR="00E66AAD" w:rsidRPr="00E9705C" w14:paraId="76BF5F14" w14:textId="77777777" w:rsidTr="004537A4">
        <w:trPr>
          <w:trHeight w:val="238"/>
        </w:trPr>
        <w:tc>
          <w:tcPr>
            <w:tcW w:w="2354" w:type="pct"/>
            <w:shd w:val="clear" w:color="auto" w:fill="F2F2F2" w:themeFill="background1" w:themeFillShade="F2"/>
          </w:tcPr>
          <w:p w14:paraId="2F67B101" w14:textId="77777777" w:rsidR="00E66AAD" w:rsidRDefault="00E66AAD" w:rsidP="00826B94">
            <w:pPr>
              <w:pStyle w:val="TableBody"/>
              <w:rPr>
                <w:lang w:eastAsia="en-AU"/>
              </w:rPr>
            </w:pPr>
            <w:r>
              <w:rPr>
                <w:lang w:eastAsia="en-AU"/>
              </w:rPr>
              <w:lastRenderedPageBreak/>
              <w:t>Critical financial market infrastructure assets (payment systems)</w:t>
            </w:r>
          </w:p>
        </w:tc>
        <w:tc>
          <w:tcPr>
            <w:tcW w:w="1323" w:type="pct"/>
            <w:noWrap/>
          </w:tcPr>
          <w:p w14:paraId="37FE32E7" w14:textId="77777777" w:rsidR="00E66AAD" w:rsidRPr="00C5564A" w:rsidRDefault="000058C5" w:rsidP="00826B94">
            <w:pPr>
              <w:pStyle w:val="TableBody"/>
              <w:jc w:val="center"/>
              <w:rPr>
                <w:rFonts w:ascii="Arial" w:eastAsia="Times New Roman" w:hAnsi="Arial" w:cs="Arial"/>
                <w:lang w:val="en-GB" w:eastAsia="en-AU"/>
              </w:rPr>
            </w:pPr>
            <w:r>
              <w:rPr>
                <w:rFonts w:ascii="Arial" w:eastAsia="Times New Roman" w:hAnsi="Arial" w:cs="Arial"/>
                <w:lang w:val="en-GB" w:eastAsia="en-AU"/>
              </w:rPr>
              <w:t>2</w:t>
            </w:r>
          </w:p>
        </w:tc>
        <w:tc>
          <w:tcPr>
            <w:tcW w:w="1323" w:type="pct"/>
          </w:tcPr>
          <w:p w14:paraId="2DF3A2F5" w14:textId="77777777" w:rsidR="00E66AAD" w:rsidRPr="000859CB" w:rsidRDefault="00EE57F4" w:rsidP="00826B94">
            <w:pPr>
              <w:pStyle w:val="TableBody"/>
              <w:jc w:val="center"/>
              <w:rPr>
                <w:rFonts w:ascii="Arial" w:eastAsia="Times New Roman" w:hAnsi="Arial" w:cs="Arial"/>
                <w:lang w:val="en-GB" w:eastAsia="en-AU"/>
              </w:rPr>
            </w:pPr>
            <w:r>
              <w:rPr>
                <w:rFonts w:ascii="Arial" w:eastAsia="Times New Roman" w:hAnsi="Arial" w:cs="Arial"/>
                <w:lang w:val="en-GB" w:eastAsia="en-AU"/>
              </w:rPr>
              <w:t>28.7</w:t>
            </w:r>
          </w:p>
        </w:tc>
      </w:tr>
      <w:tr w:rsidR="00E66AAD" w:rsidRPr="00E9705C" w14:paraId="5256BBE4" w14:textId="77777777" w:rsidTr="004537A4">
        <w:trPr>
          <w:trHeight w:val="238"/>
        </w:trPr>
        <w:tc>
          <w:tcPr>
            <w:tcW w:w="2354" w:type="pct"/>
            <w:shd w:val="clear" w:color="auto" w:fill="F2F2F2" w:themeFill="background1" w:themeFillShade="F2"/>
          </w:tcPr>
          <w:p w14:paraId="726DC6DD" w14:textId="77777777" w:rsidR="00E66AAD" w:rsidRDefault="00E66AAD" w:rsidP="00826B94">
            <w:pPr>
              <w:pStyle w:val="TableBody"/>
              <w:rPr>
                <w:lang w:eastAsia="en-AU"/>
              </w:rPr>
            </w:pPr>
            <w:r>
              <w:rPr>
                <w:lang w:eastAsia="en-AU"/>
              </w:rPr>
              <w:t>Critical domain name systems</w:t>
            </w:r>
          </w:p>
        </w:tc>
        <w:tc>
          <w:tcPr>
            <w:tcW w:w="1323" w:type="pct"/>
            <w:noWrap/>
          </w:tcPr>
          <w:p w14:paraId="7872F69B" w14:textId="77777777" w:rsidR="00E66AAD" w:rsidRPr="00C5564A" w:rsidRDefault="000058C5" w:rsidP="00826B94">
            <w:pPr>
              <w:pStyle w:val="TableBody"/>
              <w:jc w:val="center"/>
              <w:rPr>
                <w:rFonts w:ascii="Arial" w:eastAsia="Times New Roman" w:hAnsi="Arial" w:cs="Arial"/>
                <w:lang w:val="en-GB" w:eastAsia="en-AU"/>
              </w:rPr>
            </w:pPr>
            <w:r>
              <w:rPr>
                <w:rFonts w:ascii="Arial" w:eastAsia="Times New Roman" w:hAnsi="Arial" w:cs="Arial"/>
                <w:lang w:val="en-GB" w:eastAsia="en-AU"/>
              </w:rPr>
              <w:t>1</w:t>
            </w:r>
          </w:p>
        </w:tc>
        <w:tc>
          <w:tcPr>
            <w:tcW w:w="1323" w:type="pct"/>
          </w:tcPr>
          <w:p w14:paraId="6D6B8EEB" w14:textId="77777777" w:rsidR="00E66AAD" w:rsidRPr="0046234A" w:rsidRDefault="000058C5" w:rsidP="00826B94">
            <w:pPr>
              <w:pStyle w:val="TableBody"/>
              <w:jc w:val="center"/>
              <w:rPr>
                <w:rFonts w:ascii="Arial" w:eastAsia="Times New Roman" w:hAnsi="Arial" w:cs="Arial"/>
                <w:lang w:val="en-GB" w:eastAsia="en-AU"/>
              </w:rPr>
            </w:pPr>
            <w:r w:rsidRPr="0046234A">
              <w:rPr>
                <w:rFonts w:ascii="Arial" w:eastAsia="Times New Roman" w:hAnsi="Arial" w:cs="Arial"/>
                <w:lang w:val="en-GB" w:eastAsia="en-AU"/>
              </w:rPr>
              <w:t>100</w:t>
            </w:r>
            <w:r w:rsidR="007D77F7" w:rsidRPr="0046234A">
              <w:rPr>
                <w:rFonts w:ascii="Arial" w:eastAsia="Times New Roman" w:hAnsi="Arial" w:cs="Arial"/>
                <w:lang w:val="en-GB" w:eastAsia="en-AU"/>
              </w:rPr>
              <w:t>.0</w:t>
            </w:r>
          </w:p>
        </w:tc>
      </w:tr>
      <w:tr w:rsidR="00E66AAD" w:rsidRPr="00E9705C" w14:paraId="70CE0DD4" w14:textId="77777777" w:rsidTr="004537A4">
        <w:trPr>
          <w:trHeight w:val="238"/>
        </w:trPr>
        <w:tc>
          <w:tcPr>
            <w:tcW w:w="2354" w:type="pct"/>
            <w:shd w:val="clear" w:color="auto" w:fill="F2F2F2" w:themeFill="background1" w:themeFillShade="F2"/>
          </w:tcPr>
          <w:p w14:paraId="6472F0AB" w14:textId="77777777" w:rsidR="00E66AAD" w:rsidRDefault="00E66AAD" w:rsidP="00826B94">
            <w:pPr>
              <w:pStyle w:val="TableBody"/>
              <w:rPr>
                <w:lang w:eastAsia="en-AU"/>
              </w:rPr>
            </w:pPr>
            <w:r>
              <w:rPr>
                <w:lang w:eastAsia="en-AU"/>
              </w:rPr>
              <w:t>Critical liquid fuels assets</w:t>
            </w:r>
          </w:p>
        </w:tc>
        <w:tc>
          <w:tcPr>
            <w:tcW w:w="1323" w:type="pct"/>
            <w:noWrap/>
          </w:tcPr>
          <w:p w14:paraId="2887BDF8" w14:textId="77777777" w:rsidR="00E66AAD" w:rsidRPr="00C5564A" w:rsidRDefault="00E66AAD" w:rsidP="00826B94">
            <w:pPr>
              <w:pStyle w:val="TableBody"/>
              <w:jc w:val="center"/>
              <w:rPr>
                <w:lang w:eastAsia="en-AU"/>
              </w:rPr>
            </w:pPr>
            <w:r>
              <w:rPr>
                <w:lang w:eastAsia="en-AU"/>
              </w:rPr>
              <w:t>0</w:t>
            </w:r>
            <w:r w:rsidR="007963F7">
              <w:rPr>
                <w:rStyle w:val="FootnoteReference"/>
                <w:rFonts w:ascii="Arial" w:eastAsia="Times New Roman" w:hAnsi="Arial" w:cs="Arial"/>
                <w:lang w:val="en-GB" w:eastAsia="en-AU"/>
              </w:rPr>
              <w:footnoteReference w:id="42"/>
            </w:r>
          </w:p>
        </w:tc>
        <w:tc>
          <w:tcPr>
            <w:tcW w:w="1323" w:type="pct"/>
          </w:tcPr>
          <w:p w14:paraId="7A8F9181" w14:textId="77777777" w:rsidR="00E66AAD" w:rsidRPr="0046234A" w:rsidRDefault="00EE57F4" w:rsidP="00826B94">
            <w:pPr>
              <w:pStyle w:val="TableBody"/>
              <w:jc w:val="center"/>
              <w:rPr>
                <w:lang w:eastAsia="en-AU"/>
              </w:rPr>
            </w:pPr>
            <w:r>
              <w:rPr>
                <w:lang w:eastAsia="en-AU"/>
              </w:rPr>
              <w:t>0</w:t>
            </w:r>
          </w:p>
        </w:tc>
      </w:tr>
      <w:tr w:rsidR="00E66AAD" w:rsidRPr="00E9705C" w14:paraId="7CE3548C" w14:textId="77777777" w:rsidTr="004537A4">
        <w:trPr>
          <w:trHeight w:val="238"/>
        </w:trPr>
        <w:tc>
          <w:tcPr>
            <w:tcW w:w="2354" w:type="pct"/>
            <w:shd w:val="clear" w:color="auto" w:fill="F2F2F2" w:themeFill="background1" w:themeFillShade="F2"/>
          </w:tcPr>
          <w:p w14:paraId="2BF5638C" w14:textId="77777777" w:rsidR="00E66AAD" w:rsidRDefault="00E66AAD" w:rsidP="00826B94">
            <w:pPr>
              <w:pStyle w:val="TableBody"/>
              <w:rPr>
                <w:lang w:eastAsia="en-AU"/>
              </w:rPr>
            </w:pPr>
            <w:r>
              <w:rPr>
                <w:lang w:eastAsia="en-AU"/>
              </w:rPr>
              <w:t>Critical hospitals</w:t>
            </w:r>
          </w:p>
        </w:tc>
        <w:tc>
          <w:tcPr>
            <w:tcW w:w="1323" w:type="pct"/>
            <w:noWrap/>
          </w:tcPr>
          <w:p w14:paraId="7FF8AA20" w14:textId="49494496" w:rsidR="00E66AAD" w:rsidRPr="00C5564A" w:rsidRDefault="000058C5" w:rsidP="00826B94">
            <w:pPr>
              <w:pStyle w:val="TableBody"/>
              <w:jc w:val="center"/>
              <w:rPr>
                <w:lang w:eastAsia="en-AU"/>
              </w:rPr>
            </w:pPr>
            <w:r>
              <w:rPr>
                <w:lang w:eastAsia="en-AU"/>
              </w:rPr>
              <w:t>2</w:t>
            </w:r>
            <w:r w:rsidR="000444C8">
              <w:rPr>
                <w:lang w:eastAsia="en-AU"/>
              </w:rPr>
              <w:t>3</w:t>
            </w:r>
          </w:p>
        </w:tc>
        <w:tc>
          <w:tcPr>
            <w:tcW w:w="1323" w:type="pct"/>
          </w:tcPr>
          <w:p w14:paraId="01A39DA4" w14:textId="4CC12017" w:rsidR="00E66AAD" w:rsidRPr="0046234A" w:rsidRDefault="00D404AB" w:rsidP="00826B94">
            <w:pPr>
              <w:pStyle w:val="TableBody"/>
              <w:jc w:val="center"/>
              <w:rPr>
                <w:lang w:eastAsia="en-AU"/>
              </w:rPr>
            </w:pPr>
            <w:r>
              <w:rPr>
                <w:lang w:eastAsia="en-AU"/>
              </w:rPr>
              <w:t>90</w:t>
            </w:r>
            <w:r w:rsidR="0046234A" w:rsidRPr="0046234A">
              <w:rPr>
                <w:lang w:eastAsia="en-AU"/>
              </w:rPr>
              <w:t>.</w:t>
            </w:r>
            <w:r>
              <w:rPr>
                <w:lang w:eastAsia="en-AU"/>
              </w:rPr>
              <w:t>0</w:t>
            </w:r>
          </w:p>
        </w:tc>
      </w:tr>
      <w:tr w:rsidR="00E66AAD" w:rsidRPr="00E9705C" w14:paraId="47EC796E" w14:textId="77777777" w:rsidTr="004537A4">
        <w:trPr>
          <w:trHeight w:val="238"/>
        </w:trPr>
        <w:tc>
          <w:tcPr>
            <w:tcW w:w="2354" w:type="pct"/>
            <w:shd w:val="clear" w:color="auto" w:fill="F2F2F2" w:themeFill="background1" w:themeFillShade="F2"/>
          </w:tcPr>
          <w:p w14:paraId="382F7300" w14:textId="77777777" w:rsidR="00E66AAD" w:rsidRDefault="00E66AAD" w:rsidP="00826B94">
            <w:pPr>
              <w:pStyle w:val="TableBody"/>
              <w:rPr>
                <w:lang w:eastAsia="en-AU"/>
              </w:rPr>
            </w:pPr>
            <w:r>
              <w:rPr>
                <w:lang w:eastAsia="en-AU"/>
              </w:rPr>
              <w:t>Critical energy market operator assets</w:t>
            </w:r>
          </w:p>
        </w:tc>
        <w:tc>
          <w:tcPr>
            <w:tcW w:w="1323" w:type="pct"/>
            <w:noWrap/>
          </w:tcPr>
          <w:p w14:paraId="0F5B9AD9" w14:textId="77777777" w:rsidR="00E66AAD" w:rsidRPr="00C5564A" w:rsidRDefault="000058C5" w:rsidP="00826B94">
            <w:pPr>
              <w:pStyle w:val="TableBody"/>
              <w:jc w:val="center"/>
              <w:rPr>
                <w:lang w:eastAsia="en-AU"/>
              </w:rPr>
            </w:pPr>
            <w:r>
              <w:rPr>
                <w:lang w:eastAsia="en-AU"/>
              </w:rPr>
              <w:t>2</w:t>
            </w:r>
          </w:p>
        </w:tc>
        <w:tc>
          <w:tcPr>
            <w:tcW w:w="1323" w:type="pct"/>
          </w:tcPr>
          <w:p w14:paraId="48503420" w14:textId="77777777" w:rsidR="00E66AAD" w:rsidRPr="00E863C7" w:rsidRDefault="00F45999" w:rsidP="00826B94">
            <w:pPr>
              <w:pStyle w:val="TableBody"/>
              <w:jc w:val="center"/>
              <w:rPr>
                <w:lang w:eastAsia="en-AU"/>
              </w:rPr>
            </w:pPr>
            <w:r w:rsidRPr="00E863C7">
              <w:rPr>
                <w:lang w:eastAsia="en-AU"/>
              </w:rPr>
              <w:t>N/A</w:t>
            </w:r>
          </w:p>
        </w:tc>
      </w:tr>
      <w:tr w:rsidR="0028369D" w:rsidRPr="00E9705C" w14:paraId="2D54022E" w14:textId="77777777" w:rsidTr="004537A4">
        <w:trPr>
          <w:trHeight w:val="238"/>
        </w:trPr>
        <w:tc>
          <w:tcPr>
            <w:tcW w:w="2354" w:type="pct"/>
            <w:shd w:val="clear" w:color="auto" w:fill="F2F2F2" w:themeFill="background1" w:themeFillShade="F2"/>
          </w:tcPr>
          <w:p w14:paraId="78080E8E" w14:textId="6B384C4B" w:rsidR="0028369D" w:rsidRDefault="0028369D" w:rsidP="0028369D">
            <w:pPr>
              <w:pStyle w:val="TableBody"/>
              <w:rPr>
                <w:lang w:eastAsia="en-AU"/>
              </w:rPr>
            </w:pPr>
            <w:r>
              <w:rPr>
                <w:lang w:eastAsia="en-AU"/>
              </w:rPr>
              <w:t xml:space="preserve">Critical freight infrastructure </w:t>
            </w:r>
            <w:r w:rsidRPr="00DA50ED">
              <w:rPr>
                <w:i/>
                <w:iCs/>
                <w:lang w:eastAsia="en-AU"/>
              </w:rPr>
              <w:t>and</w:t>
            </w:r>
            <w:r>
              <w:rPr>
                <w:lang w:eastAsia="en-AU"/>
              </w:rPr>
              <w:t xml:space="preserve"> critical freight services assets</w:t>
            </w:r>
            <w:r>
              <w:rPr>
                <w:rStyle w:val="FootnoteReference"/>
                <w:rFonts w:ascii="Arial" w:eastAsia="Times New Roman" w:hAnsi="Arial" w:cs="Arial"/>
                <w:bCs/>
                <w:lang w:eastAsia="en-AU"/>
              </w:rPr>
              <w:footnoteReference w:id="43"/>
            </w:r>
          </w:p>
        </w:tc>
        <w:tc>
          <w:tcPr>
            <w:tcW w:w="1323" w:type="pct"/>
            <w:noWrap/>
          </w:tcPr>
          <w:p w14:paraId="68235F5C" w14:textId="7E472E29" w:rsidR="0028369D" w:rsidRDefault="0028369D" w:rsidP="0028369D">
            <w:pPr>
              <w:pStyle w:val="TableBody"/>
              <w:jc w:val="center"/>
              <w:rPr>
                <w:lang w:eastAsia="en-AU"/>
              </w:rPr>
            </w:pPr>
            <w:r>
              <w:rPr>
                <w:rFonts w:ascii="Arial" w:eastAsia="Times New Roman" w:hAnsi="Arial" w:cs="Arial"/>
                <w:lang w:val="en-GB" w:eastAsia="en-AU"/>
              </w:rPr>
              <w:t>5</w:t>
            </w:r>
          </w:p>
        </w:tc>
        <w:tc>
          <w:tcPr>
            <w:tcW w:w="1323" w:type="pct"/>
          </w:tcPr>
          <w:p w14:paraId="300E3D57" w14:textId="0BC2D4E2" w:rsidR="0028369D" w:rsidRPr="00E863C7" w:rsidRDefault="0028369D" w:rsidP="0028369D">
            <w:pPr>
              <w:pStyle w:val="TableBody"/>
              <w:jc w:val="center"/>
              <w:rPr>
                <w:lang w:eastAsia="en-AU"/>
              </w:rPr>
            </w:pPr>
            <w:r>
              <w:rPr>
                <w:rFonts w:ascii="Arial" w:eastAsia="Times New Roman" w:hAnsi="Arial" w:cs="Arial"/>
                <w:lang w:val="en-GB" w:eastAsia="en-AU"/>
              </w:rPr>
              <w:t>32.2</w:t>
            </w:r>
          </w:p>
        </w:tc>
      </w:tr>
      <w:tr w:rsidR="003A7C0A" w:rsidRPr="00E9705C" w14:paraId="29413E7F" w14:textId="77777777" w:rsidTr="004537A4">
        <w:trPr>
          <w:trHeight w:val="238"/>
        </w:trPr>
        <w:tc>
          <w:tcPr>
            <w:tcW w:w="2354" w:type="pct"/>
            <w:shd w:val="clear" w:color="auto" w:fill="F2F2F2" w:themeFill="background1" w:themeFillShade="F2"/>
          </w:tcPr>
          <w:p w14:paraId="4014BFC5" w14:textId="284E8F61" w:rsidR="003A7C0A" w:rsidRDefault="003A7C0A" w:rsidP="0028369D">
            <w:pPr>
              <w:pStyle w:val="TableBody"/>
              <w:rPr>
                <w:lang w:eastAsia="en-AU"/>
              </w:rPr>
            </w:pPr>
            <w:r>
              <w:rPr>
                <w:lang w:eastAsia="en-AU"/>
              </w:rPr>
              <w:t>Critical food and grocery assets</w:t>
            </w:r>
          </w:p>
        </w:tc>
        <w:tc>
          <w:tcPr>
            <w:tcW w:w="1323" w:type="pct"/>
            <w:noWrap/>
          </w:tcPr>
          <w:p w14:paraId="770DC3E7" w14:textId="1AD3FAF5" w:rsidR="003A7C0A" w:rsidRDefault="001A4411" w:rsidP="0028369D">
            <w:pPr>
              <w:pStyle w:val="TableBody"/>
              <w:jc w:val="center"/>
              <w:rPr>
                <w:rFonts w:ascii="Arial" w:eastAsia="Times New Roman" w:hAnsi="Arial" w:cs="Arial"/>
                <w:lang w:val="en-GB" w:eastAsia="en-AU"/>
              </w:rPr>
            </w:pPr>
            <w:r>
              <w:rPr>
                <w:rFonts w:ascii="Arial" w:eastAsia="Times New Roman" w:hAnsi="Arial" w:cs="Arial"/>
                <w:lang w:val="en-GB" w:eastAsia="en-AU"/>
              </w:rPr>
              <w:t>3</w:t>
            </w:r>
          </w:p>
        </w:tc>
        <w:tc>
          <w:tcPr>
            <w:tcW w:w="1323" w:type="pct"/>
          </w:tcPr>
          <w:p w14:paraId="66215EDD" w14:textId="514F3F2D" w:rsidR="003A7C0A" w:rsidRDefault="002F57EB" w:rsidP="0028369D">
            <w:pPr>
              <w:pStyle w:val="TableBody"/>
              <w:jc w:val="center"/>
              <w:rPr>
                <w:rFonts w:ascii="Arial" w:eastAsia="Times New Roman" w:hAnsi="Arial" w:cs="Arial"/>
                <w:lang w:val="en-GB" w:eastAsia="en-AU"/>
              </w:rPr>
            </w:pPr>
            <w:r>
              <w:rPr>
                <w:rFonts w:ascii="Arial" w:eastAsia="Times New Roman" w:hAnsi="Arial" w:cs="Arial"/>
                <w:lang w:val="en-GB" w:eastAsia="en-AU"/>
              </w:rPr>
              <w:t>90.5</w:t>
            </w:r>
          </w:p>
        </w:tc>
      </w:tr>
      <w:tr w:rsidR="0028369D" w:rsidRPr="00E9705C" w14:paraId="0BAB60E3" w14:textId="77777777" w:rsidTr="004537A4">
        <w:trPr>
          <w:trHeight w:val="248"/>
        </w:trPr>
        <w:tc>
          <w:tcPr>
            <w:tcW w:w="2354" w:type="pct"/>
            <w:shd w:val="clear" w:color="auto" w:fill="034EA2" w:themeFill="accent1"/>
          </w:tcPr>
          <w:p w14:paraId="55FB4794" w14:textId="77777777" w:rsidR="0028369D" w:rsidRPr="00E9705C" w:rsidRDefault="0028369D" w:rsidP="0028369D">
            <w:pPr>
              <w:pStyle w:val="TableHeading"/>
              <w:rPr>
                <w:lang w:eastAsia="en-AU"/>
              </w:rPr>
            </w:pPr>
            <w:r w:rsidRPr="00E9705C">
              <w:rPr>
                <w:lang w:eastAsia="en-AU"/>
              </w:rPr>
              <w:t>Total</w:t>
            </w:r>
          </w:p>
        </w:tc>
        <w:tc>
          <w:tcPr>
            <w:tcW w:w="1323" w:type="pct"/>
            <w:shd w:val="clear" w:color="auto" w:fill="034EA2" w:themeFill="accent1"/>
            <w:noWrap/>
          </w:tcPr>
          <w:p w14:paraId="23F5D1B5" w14:textId="683787B3" w:rsidR="0028369D" w:rsidRPr="00E9705C" w:rsidDel="009579FA" w:rsidRDefault="001A4411" w:rsidP="0028369D">
            <w:pPr>
              <w:pStyle w:val="TableHeading"/>
              <w:jc w:val="center"/>
              <w:rPr>
                <w:rFonts w:eastAsia="Calibri"/>
              </w:rPr>
            </w:pPr>
            <w:r>
              <w:rPr>
                <w:rFonts w:eastAsia="Calibri"/>
              </w:rPr>
              <w:t>90</w:t>
            </w:r>
          </w:p>
        </w:tc>
        <w:tc>
          <w:tcPr>
            <w:tcW w:w="1323" w:type="pct"/>
            <w:shd w:val="clear" w:color="auto" w:fill="034EA2" w:themeFill="accent1"/>
          </w:tcPr>
          <w:p w14:paraId="287AD789" w14:textId="77777777" w:rsidR="0028369D" w:rsidRPr="0046234A" w:rsidRDefault="0028369D" w:rsidP="0028369D">
            <w:pPr>
              <w:pStyle w:val="TableHeading"/>
              <w:jc w:val="center"/>
              <w:rPr>
                <w:rFonts w:eastAsia="Calibri"/>
                <w:highlight w:val="yellow"/>
              </w:rPr>
            </w:pPr>
          </w:p>
        </w:tc>
      </w:tr>
    </w:tbl>
    <w:p w14:paraId="48B0AE32" w14:textId="77777777" w:rsidR="00D26871" w:rsidRDefault="00721892" w:rsidP="00826B94">
      <w:pPr>
        <w:pStyle w:val="BodyText"/>
        <w:spacing w:before="240"/>
      </w:pPr>
      <w:r>
        <w:t>With the exception of critical hospital assets, t</w:t>
      </w:r>
      <w:r w:rsidR="0071660A">
        <w:t>he</w:t>
      </w:r>
      <w:r w:rsidR="00D26871" w:rsidRPr="00E9705C">
        <w:t xml:space="preserve"> market share percentage of responsible entities who made a submission was calculated </w:t>
      </w:r>
      <w:r w:rsidR="0054514A">
        <w:t xml:space="preserve">for all assets </w:t>
      </w:r>
      <w:r w:rsidR="00D26871" w:rsidRPr="00E9705C">
        <w:t xml:space="preserve">using entity </w:t>
      </w:r>
      <w:r w:rsidR="00D26871" w:rsidRPr="005D323B">
        <w:t xml:space="preserve">and </w:t>
      </w:r>
      <w:r w:rsidR="00D26871">
        <w:t xml:space="preserve">sector </w:t>
      </w:r>
      <w:r w:rsidR="00D26871" w:rsidRPr="00E9705C">
        <w:t xml:space="preserve">data sourced from IBISWorld. </w:t>
      </w:r>
      <w:r w:rsidR="0066533B" w:rsidRPr="00BA05A1">
        <w:t xml:space="preserve">The market share </w:t>
      </w:r>
      <w:r w:rsidR="008A0C57" w:rsidRPr="00BA05A1">
        <w:t xml:space="preserve">percentage </w:t>
      </w:r>
      <w:r w:rsidR="0066533B" w:rsidRPr="00BA05A1">
        <w:t xml:space="preserve">was determined using </w:t>
      </w:r>
      <w:r w:rsidR="0000143D">
        <w:t xml:space="preserve">entity </w:t>
      </w:r>
      <w:r w:rsidR="0066533B" w:rsidRPr="00BA05A1">
        <w:t xml:space="preserve">revenue as a percentage of total </w:t>
      </w:r>
      <w:r w:rsidR="008A0C57" w:rsidRPr="00BA05A1">
        <w:t xml:space="preserve">critical infrastructure asset </w:t>
      </w:r>
      <w:r w:rsidR="00387452">
        <w:t>r</w:t>
      </w:r>
      <w:r w:rsidR="00EE5BB9" w:rsidRPr="00BA05A1">
        <w:t>evenue</w:t>
      </w:r>
      <w:r w:rsidR="00EE5BB9">
        <w:t>.</w:t>
      </w:r>
      <w:r w:rsidR="00D26871" w:rsidRPr="00E9705C">
        <w:t xml:space="preserve"> </w:t>
      </w:r>
    </w:p>
    <w:p w14:paraId="3D1783D0" w14:textId="54F90C1E" w:rsidR="00D26871" w:rsidRDefault="00EE5BB9" w:rsidP="001C5E54">
      <w:pPr>
        <w:pStyle w:val="BodyText"/>
      </w:pPr>
      <w:r w:rsidRPr="0024745F">
        <w:t xml:space="preserve">The </w:t>
      </w:r>
      <w:r w:rsidR="004E6315">
        <w:t>‘</w:t>
      </w:r>
      <w:r w:rsidR="0066533B" w:rsidRPr="0024745F">
        <w:t>market share</w:t>
      </w:r>
      <w:r w:rsidR="004E6315">
        <w:t>’</w:t>
      </w:r>
      <w:r w:rsidR="0066533B" w:rsidRPr="0024745F">
        <w:t xml:space="preserve"> percentage </w:t>
      </w:r>
      <w:r w:rsidRPr="0024745F">
        <w:t xml:space="preserve">of </w:t>
      </w:r>
      <w:r w:rsidR="0024745F" w:rsidRPr="0024745F">
        <w:t>c</w:t>
      </w:r>
      <w:r w:rsidR="00D66E48" w:rsidRPr="0024745F">
        <w:t>ritical hospital</w:t>
      </w:r>
      <w:r w:rsidR="00565E16">
        <w:t xml:space="preserve"> entities </w:t>
      </w:r>
      <w:r w:rsidR="0066533B">
        <w:t xml:space="preserve">was calculated </w:t>
      </w:r>
      <w:r w:rsidR="00F26833">
        <w:t xml:space="preserve">using the </w:t>
      </w:r>
      <w:r w:rsidR="000B3963">
        <w:t>ICU bed capacity</w:t>
      </w:r>
      <w:r w:rsidR="003A2527">
        <w:t xml:space="preserve"> </w:t>
      </w:r>
      <w:r w:rsidR="00E8145D">
        <w:t>of</w:t>
      </w:r>
      <w:r w:rsidR="003A2527">
        <w:t xml:space="preserve"> those entities which provided a cost submission</w:t>
      </w:r>
      <w:r w:rsidR="00DF60C6">
        <w:t>.</w:t>
      </w:r>
      <w:r w:rsidR="000B3963">
        <w:t xml:space="preserve"> </w:t>
      </w:r>
      <w:r w:rsidR="003A2527">
        <w:t>Total</w:t>
      </w:r>
      <w:r w:rsidR="000B3963">
        <w:t xml:space="preserve"> </w:t>
      </w:r>
      <w:r w:rsidR="007A49B1">
        <w:t>ICU bed capacity</w:t>
      </w:r>
      <w:r w:rsidR="00AC0446">
        <w:t xml:space="preserve"> </w:t>
      </w:r>
      <w:r w:rsidR="00E8145D">
        <w:t>was then</w:t>
      </w:r>
      <w:r w:rsidR="00AC0446">
        <w:t xml:space="preserve"> </w:t>
      </w:r>
      <w:r w:rsidR="00DF60C6">
        <w:t xml:space="preserve">used </w:t>
      </w:r>
      <w:r w:rsidR="0050740F">
        <w:t xml:space="preserve">to extrapolate </w:t>
      </w:r>
      <w:r w:rsidR="00E8145D">
        <w:t xml:space="preserve">the compliance </w:t>
      </w:r>
      <w:r w:rsidR="0050740F">
        <w:t xml:space="preserve">costs </w:t>
      </w:r>
      <w:r w:rsidR="00E8145D">
        <w:t xml:space="preserve">for </w:t>
      </w:r>
      <w:r w:rsidR="0050740F">
        <w:t>all critical hospital assets</w:t>
      </w:r>
      <w:r w:rsidR="007963F7">
        <w:t xml:space="preserve"> </w:t>
      </w:r>
      <w:r w:rsidR="00F26833">
        <w:t>in Australia</w:t>
      </w:r>
      <w:r w:rsidR="00565E16">
        <w:t xml:space="preserve">. </w:t>
      </w:r>
    </w:p>
    <w:p w14:paraId="4A289FA0" w14:textId="4CA25C4A" w:rsidR="00E863C7" w:rsidRPr="00E9705C" w:rsidRDefault="00E863C7" w:rsidP="001C5E54">
      <w:pPr>
        <w:pStyle w:val="BodyText"/>
        <w:rPr>
          <w:rFonts w:ascii="Calibri" w:eastAsia="Calibri" w:hAnsi="Calibri" w:cs="Times New Roman"/>
        </w:rPr>
      </w:pPr>
      <w:r>
        <w:t xml:space="preserve">Market share was not calculated for </w:t>
      </w:r>
      <w:r w:rsidR="00803C35">
        <w:t>critical data storage or processing assets</w:t>
      </w:r>
      <w:r w:rsidR="00EE57F4">
        <w:t xml:space="preserve"> due</w:t>
      </w:r>
      <w:r w:rsidR="007D1197">
        <w:t xml:space="preserve"> to</w:t>
      </w:r>
      <w:r w:rsidR="00EE57F4">
        <w:t xml:space="preserve"> </w:t>
      </w:r>
      <w:r w:rsidR="005050ED">
        <w:t>insufficient data on the total revenue in the</w:t>
      </w:r>
      <w:r w:rsidR="007D1197">
        <w:t xml:space="preserve"> critical data storage or processing asset market</w:t>
      </w:r>
      <w:r w:rsidR="005050ED">
        <w:t>. Although the revenue of submissions was able to be calculated, as there was no verifiable data on the total revenue</w:t>
      </w:r>
      <w:r w:rsidR="007D1197">
        <w:t>,</w:t>
      </w:r>
      <w:r w:rsidR="005050ED">
        <w:t xml:space="preserve"> the market share of submissions could not be calculated. </w:t>
      </w:r>
      <w:r w:rsidR="00EE57F4">
        <w:t xml:space="preserve">Market share was also not calculated for </w:t>
      </w:r>
      <w:r w:rsidR="00803C35">
        <w:t>critical energy market operator assets</w:t>
      </w:r>
      <w:r w:rsidR="00DA7653">
        <w:t>,</w:t>
      </w:r>
      <w:r w:rsidR="00EE57F4">
        <w:t xml:space="preserve"> </w:t>
      </w:r>
      <w:r w:rsidR="00C27E73">
        <w:t xml:space="preserve">as revenue was not able to be divided between responsible entities in the asset class. </w:t>
      </w:r>
    </w:p>
    <w:p w14:paraId="13808788" w14:textId="0ED59683" w:rsidR="00E9705C" w:rsidRPr="00E9705C" w:rsidRDefault="00E9705C" w:rsidP="004C0EFC">
      <w:pPr>
        <w:pStyle w:val="Heading2numbered"/>
      </w:pPr>
      <w:bookmarkStart w:id="237" w:name="_Toc78272016"/>
      <w:bookmarkStart w:id="238" w:name="_Toc79149650"/>
      <w:bookmarkStart w:id="239" w:name="_Toc121397398"/>
      <w:r w:rsidRPr="00E9705C">
        <w:t>Likely net benefit of each option</w:t>
      </w:r>
      <w:bookmarkEnd w:id="237"/>
      <w:bookmarkEnd w:id="238"/>
      <w:bookmarkEnd w:id="239"/>
    </w:p>
    <w:p w14:paraId="44DC2E0B" w14:textId="77777777" w:rsidR="00E9705C" w:rsidRDefault="00E9705C" w:rsidP="001C5E54">
      <w:pPr>
        <w:pStyle w:val="BodyText"/>
      </w:pPr>
      <w:r w:rsidRPr="00E9705C">
        <w:t xml:space="preserve">The following sections detail the estimated costs and benefits, and overall likely net benefit, associated with each option considered by this RIS. For options 1 and 3, the discussion is largely focused on qualitative costs and benefits, while option 2 is evaluated through a breakeven analysis, as discussed above.  </w:t>
      </w:r>
    </w:p>
    <w:p w14:paraId="4DDF3A55" w14:textId="0718801E" w:rsidR="0008215E" w:rsidRDefault="00ED5AA0" w:rsidP="001C5E54">
      <w:pPr>
        <w:pStyle w:val="BodyText"/>
      </w:pPr>
      <w:r>
        <w:t>As part of the net benefit assessment</w:t>
      </w:r>
      <w:r w:rsidR="00DA7653">
        <w:t>,</w:t>
      </w:r>
      <w:r>
        <w:t xml:space="preserve"> real world </w:t>
      </w:r>
      <w:r w:rsidR="006B3438">
        <w:t>scenario</w:t>
      </w:r>
      <w:r>
        <w:t>s</w:t>
      </w:r>
      <w:r w:rsidR="00440DE6">
        <w:t xml:space="preserve"> and associated cost</w:t>
      </w:r>
      <w:r>
        <w:t>s</w:t>
      </w:r>
      <w:r w:rsidR="006B3438">
        <w:t xml:space="preserve"> </w:t>
      </w:r>
      <w:r>
        <w:t>are</w:t>
      </w:r>
      <w:r w:rsidR="0030526D">
        <w:t xml:space="preserve"> </w:t>
      </w:r>
      <w:r w:rsidR="006B3438">
        <w:t xml:space="preserve">utilised </w:t>
      </w:r>
      <w:r w:rsidR="0030526D">
        <w:t>to model the cost of avoided future incidents</w:t>
      </w:r>
      <w:r>
        <w:t xml:space="preserve"> (by critical infrastructure asset)</w:t>
      </w:r>
      <w:r w:rsidR="0030526D">
        <w:t xml:space="preserve">. </w:t>
      </w:r>
      <w:r w:rsidR="009E5BD3" w:rsidRPr="00180064">
        <w:rPr>
          <w:rStyle w:val="BodyTextChar"/>
          <w:szCs w:val="32"/>
        </w:rPr>
        <w:fldChar w:fldCharType="begin"/>
      </w:r>
      <w:r w:rsidR="009E5BD3" w:rsidRPr="00180064">
        <w:rPr>
          <w:rStyle w:val="BodyTextChar"/>
          <w:szCs w:val="32"/>
        </w:rPr>
        <w:instrText xml:space="preserve"> REF _Ref92723052 \h  \* MERGEFORMAT </w:instrText>
      </w:r>
      <w:r w:rsidR="009E5BD3" w:rsidRPr="00180064">
        <w:rPr>
          <w:rStyle w:val="BodyTextChar"/>
          <w:szCs w:val="32"/>
        </w:rPr>
      </w:r>
      <w:r w:rsidR="009E5BD3" w:rsidRPr="00180064">
        <w:rPr>
          <w:rStyle w:val="BodyTextChar"/>
          <w:szCs w:val="32"/>
        </w:rPr>
        <w:fldChar w:fldCharType="separate"/>
      </w:r>
      <w:r w:rsidR="009708D4" w:rsidRPr="009708D4">
        <w:rPr>
          <w:rStyle w:val="BodyTextChar"/>
          <w:szCs w:val="32"/>
        </w:rPr>
        <w:t>Table 8</w:t>
      </w:r>
      <w:r w:rsidR="009E5BD3" w:rsidRPr="00180064">
        <w:rPr>
          <w:rStyle w:val="BodyTextChar"/>
          <w:szCs w:val="32"/>
        </w:rPr>
        <w:fldChar w:fldCharType="end"/>
      </w:r>
      <w:r w:rsidR="009E5BD3" w:rsidRPr="00180064">
        <w:rPr>
          <w:sz w:val="24"/>
          <w:szCs w:val="24"/>
        </w:rPr>
        <w:t xml:space="preserve"> </w:t>
      </w:r>
      <w:r w:rsidR="00852824">
        <w:t xml:space="preserve">below provides the </w:t>
      </w:r>
      <w:r w:rsidR="00C26D98">
        <w:t>total cost to the economy (</w:t>
      </w:r>
      <w:r>
        <w:t xml:space="preserve">direct </w:t>
      </w:r>
      <w:r w:rsidR="00C26D98">
        <w:t>and indirect costs)</w:t>
      </w:r>
      <w:r>
        <w:t xml:space="preserve"> of each </w:t>
      </w:r>
      <w:r w:rsidR="00D76240">
        <w:t xml:space="preserve">baseline </w:t>
      </w:r>
      <w:r>
        <w:t>scenario utilised</w:t>
      </w:r>
      <w:r w:rsidR="00EE646B">
        <w:t xml:space="preserve">, </w:t>
      </w:r>
      <w:r w:rsidR="005A445E">
        <w:t>and the</w:t>
      </w:r>
      <w:r w:rsidR="008E5B22">
        <w:t xml:space="preserve"> </w:t>
      </w:r>
      <w:r w:rsidR="00ED1B51">
        <w:t xml:space="preserve">impact size </w:t>
      </w:r>
      <w:r w:rsidR="00A46564">
        <w:t xml:space="preserve">at which the </w:t>
      </w:r>
      <w:r w:rsidR="00ED1B51">
        <w:t>baseline scenario was defined</w:t>
      </w:r>
      <w:r>
        <w:t xml:space="preserve"> </w:t>
      </w:r>
      <w:r w:rsidR="000C25D6">
        <w:t>(</w:t>
      </w:r>
      <w:r w:rsidR="005760CB">
        <w:t xml:space="preserve">specifically as a </w:t>
      </w:r>
      <w:r w:rsidR="000C25D6">
        <w:t xml:space="preserve">low, </w:t>
      </w:r>
      <w:r w:rsidR="005A445E">
        <w:t>moderate,</w:t>
      </w:r>
      <w:r w:rsidR="000C25D6">
        <w:t xml:space="preserve"> or severe</w:t>
      </w:r>
      <w:r w:rsidR="005760CB">
        <w:t xml:space="preserve"> incident</w:t>
      </w:r>
      <w:r w:rsidR="000C25D6">
        <w:t>).</w:t>
      </w:r>
      <w:r w:rsidR="00855F20">
        <w:t xml:space="preserve"> </w:t>
      </w:r>
      <w:r w:rsidR="00B551B1">
        <w:t>For s</w:t>
      </w:r>
      <w:r w:rsidR="00855F20">
        <w:t>ome asset classes</w:t>
      </w:r>
      <w:r w:rsidR="00B551B1">
        <w:t xml:space="preserve">, </w:t>
      </w:r>
      <w:r w:rsidR="00855F20">
        <w:t>multiple baseline scenarios</w:t>
      </w:r>
      <w:r w:rsidR="00B551B1">
        <w:t xml:space="preserve"> were used</w:t>
      </w:r>
      <w:r w:rsidR="00855F20">
        <w:t>.</w:t>
      </w:r>
      <w:r w:rsidR="0008215E">
        <w:t xml:space="preserve"> </w:t>
      </w:r>
      <w:r w:rsidR="00855F20">
        <w:t xml:space="preserve">Further detail </w:t>
      </w:r>
      <w:r w:rsidR="0008215E">
        <w:t xml:space="preserve">can be found in appendices </w:t>
      </w:r>
      <w:r w:rsidR="003A7C0A">
        <w:t>S – CC</w:t>
      </w:r>
      <w:r w:rsidR="0008215E">
        <w:t xml:space="preserve">. </w:t>
      </w:r>
      <w:r w:rsidR="008D126F">
        <w:t>The method is discussed further in section 4.2.2.</w:t>
      </w:r>
    </w:p>
    <w:p w14:paraId="07CD9CA9" w14:textId="0FFDDBAC" w:rsidR="0008215E" w:rsidRPr="0008215E" w:rsidRDefault="0008215E" w:rsidP="001C5E54">
      <w:pPr>
        <w:pStyle w:val="Caption"/>
      </w:pPr>
      <w:bookmarkStart w:id="240" w:name="_Ref92723052"/>
      <w:bookmarkStart w:id="241" w:name="_Toc120115093"/>
      <w:r w:rsidRPr="00E9705C">
        <w:rPr>
          <w:b/>
          <w:bCs/>
        </w:rPr>
        <w:t xml:space="preserve">Table </w:t>
      </w:r>
      <w:r w:rsidRPr="00E9705C">
        <w:rPr>
          <w:b/>
          <w:bCs/>
        </w:rPr>
        <w:fldChar w:fldCharType="begin"/>
      </w:r>
      <w:r w:rsidRPr="00E9705C">
        <w:rPr>
          <w:b/>
          <w:bCs/>
        </w:rPr>
        <w:instrText xml:space="preserve"> SEQ Table \* ARABIC </w:instrText>
      </w:r>
      <w:r w:rsidRPr="00E9705C">
        <w:rPr>
          <w:b/>
          <w:bCs/>
        </w:rPr>
        <w:fldChar w:fldCharType="separate"/>
      </w:r>
      <w:r w:rsidR="009708D4">
        <w:rPr>
          <w:b/>
          <w:bCs/>
          <w:noProof/>
        </w:rPr>
        <w:t>8</w:t>
      </w:r>
      <w:r w:rsidRPr="00E9705C">
        <w:rPr>
          <w:b/>
          <w:bCs/>
        </w:rPr>
        <w:fldChar w:fldCharType="end"/>
      </w:r>
      <w:bookmarkEnd w:id="240"/>
      <w:r w:rsidRPr="00E9705C">
        <w:t xml:space="preserve"> </w:t>
      </w:r>
      <w:r>
        <w:t>Critical infrastructure assets</w:t>
      </w:r>
      <w:r w:rsidRPr="00E9705C">
        <w:t xml:space="preserve"> </w:t>
      </w:r>
      <w:r w:rsidR="00951831">
        <w:t xml:space="preserve">baseline scenario </w:t>
      </w:r>
      <w:r w:rsidR="004F76E1">
        <w:t>total</w:t>
      </w:r>
      <w:r w:rsidR="005C2617">
        <w:t xml:space="preserve"> cost</w:t>
      </w:r>
      <w:r w:rsidR="004F76E1">
        <w:t xml:space="preserve"> to the economy</w:t>
      </w:r>
      <w:bookmarkEnd w:id="241"/>
    </w:p>
    <w:tbl>
      <w:tblPr>
        <w:tblStyle w:val="TableGrid3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3685"/>
        <w:gridCol w:w="2832"/>
        <w:gridCol w:w="3121"/>
      </w:tblGrid>
      <w:tr w:rsidR="0008215E" w:rsidRPr="00E9705C" w14:paraId="45F5A295" w14:textId="77777777" w:rsidTr="00794499">
        <w:trPr>
          <w:trHeight w:val="486"/>
          <w:tblHeader/>
        </w:trPr>
        <w:tc>
          <w:tcPr>
            <w:tcW w:w="1912" w:type="pct"/>
            <w:shd w:val="clear" w:color="auto" w:fill="034EA2" w:themeFill="accent1"/>
          </w:tcPr>
          <w:p w14:paraId="75FFA156" w14:textId="77777777" w:rsidR="0008215E" w:rsidRPr="00E9705C" w:rsidRDefault="0008215E" w:rsidP="00794499">
            <w:pPr>
              <w:pStyle w:val="TableHeading"/>
              <w:rPr>
                <w:lang w:eastAsia="en-AU"/>
              </w:rPr>
            </w:pPr>
            <w:r>
              <w:rPr>
                <w:lang w:eastAsia="en-AU"/>
              </w:rPr>
              <w:t>Critical infrastructure asset</w:t>
            </w:r>
          </w:p>
        </w:tc>
        <w:tc>
          <w:tcPr>
            <w:tcW w:w="1469" w:type="pct"/>
            <w:shd w:val="clear" w:color="auto" w:fill="034EA2" w:themeFill="accent1"/>
            <w:hideMark/>
          </w:tcPr>
          <w:p w14:paraId="6ADD44F2" w14:textId="77777777" w:rsidR="0008215E" w:rsidRPr="00E9705C" w:rsidRDefault="00180064" w:rsidP="00794499">
            <w:pPr>
              <w:pStyle w:val="TableHeading"/>
              <w:jc w:val="center"/>
              <w:rPr>
                <w:lang w:val="en-GB" w:eastAsia="en-AU"/>
              </w:rPr>
            </w:pPr>
            <w:r>
              <w:rPr>
                <w:lang w:val="en-GB" w:eastAsia="en-AU"/>
              </w:rPr>
              <w:t>Baseline scenario</w:t>
            </w:r>
            <w:r w:rsidR="00951831">
              <w:rPr>
                <w:lang w:val="en-GB" w:eastAsia="en-AU"/>
              </w:rPr>
              <w:t xml:space="preserve"> </w:t>
            </w:r>
            <w:r w:rsidR="001C39F4">
              <w:rPr>
                <w:lang w:val="en-GB" w:eastAsia="en-AU"/>
              </w:rPr>
              <w:t>total</w:t>
            </w:r>
            <w:r w:rsidR="00951831">
              <w:rPr>
                <w:lang w:val="en-GB" w:eastAsia="en-AU"/>
              </w:rPr>
              <w:t xml:space="preserve"> cost</w:t>
            </w:r>
            <w:r w:rsidR="00424871">
              <w:rPr>
                <w:lang w:val="en-GB" w:eastAsia="en-AU"/>
              </w:rPr>
              <w:t xml:space="preserve"> (</w:t>
            </w:r>
            <w:r w:rsidR="00B946B4">
              <w:rPr>
                <w:lang w:val="en-GB" w:eastAsia="en-AU"/>
              </w:rPr>
              <w:t>$</w:t>
            </w:r>
            <w:r w:rsidR="00424871">
              <w:rPr>
                <w:lang w:val="en-GB" w:eastAsia="en-AU"/>
              </w:rPr>
              <w:t xml:space="preserve"> </w:t>
            </w:r>
            <w:r w:rsidR="00B946B4">
              <w:rPr>
                <w:lang w:val="en-GB" w:eastAsia="en-AU"/>
              </w:rPr>
              <w:t>m</w:t>
            </w:r>
            <w:r w:rsidR="00424871">
              <w:rPr>
                <w:lang w:val="en-GB" w:eastAsia="en-AU"/>
              </w:rPr>
              <w:t>illion)</w:t>
            </w:r>
          </w:p>
        </w:tc>
        <w:tc>
          <w:tcPr>
            <w:tcW w:w="1619" w:type="pct"/>
            <w:shd w:val="clear" w:color="auto" w:fill="034EA2" w:themeFill="accent1"/>
          </w:tcPr>
          <w:p w14:paraId="45AAD68C" w14:textId="77777777" w:rsidR="000C25D6" w:rsidRDefault="005760CB" w:rsidP="00794499">
            <w:pPr>
              <w:pStyle w:val="TableHeading"/>
              <w:jc w:val="center"/>
              <w:rPr>
                <w:lang w:val="en-GB" w:eastAsia="en-AU"/>
              </w:rPr>
            </w:pPr>
            <w:r>
              <w:rPr>
                <w:lang w:val="en-GB" w:eastAsia="en-AU"/>
              </w:rPr>
              <w:t xml:space="preserve">Impact size </w:t>
            </w:r>
            <w:r w:rsidR="000C25D6">
              <w:rPr>
                <w:lang w:val="en-GB" w:eastAsia="en-AU"/>
              </w:rPr>
              <w:t xml:space="preserve">of </w:t>
            </w:r>
            <w:r>
              <w:rPr>
                <w:lang w:val="en-GB" w:eastAsia="en-AU"/>
              </w:rPr>
              <w:t xml:space="preserve">baseline </w:t>
            </w:r>
            <w:r w:rsidR="000C25D6">
              <w:rPr>
                <w:lang w:val="en-GB" w:eastAsia="en-AU"/>
              </w:rPr>
              <w:t>scenario</w:t>
            </w:r>
          </w:p>
        </w:tc>
      </w:tr>
      <w:tr w:rsidR="0008215E" w:rsidRPr="00E9705C" w14:paraId="00EC51F0" w14:textId="77777777" w:rsidTr="465B8FF3">
        <w:trPr>
          <w:trHeight w:val="238"/>
        </w:trPr>
        <w:tc>
          <w:tcPr>
            <w:tcW w:w="1912" w:type="pct"/>
            <w:shd w:val="clear" w:color="auto" w:fill="F2F2F2" w:themeFill="background2" w:themeFillShade="F2"/>
          </w:tcPr>
          <w:p w14:paraId="7B6B1347" w14:textId="77777777" w:rsidR="0008215E" w:rsidRPr="00794499" w:rsidRDefault="0008215E" w:rsidP="00794499">
            <w:pPr>
              <w:pStyle w:val="TableBody"/>
            </w:pPr>
            <w:r w:rsidRPr="00794499">
              <w:t>Critical electricity assets</w:t>
            </w:r>
          </w:p>
        </w:tc>
        <w:tc>
          <w:tcPr>
            <w:tcW w:w="1469" w:type="pct"/>
            <w:noWrap/>
          </w:tcPr>
          <w:p w14:paraId="55CF933D" w14:textId="3C85E5D1" w:rsidR="0008215E" w:rsidRPr="0021069F" w:rsidRDefault="00BC38EA" w:rsidP="00794499">
            <w:pPr>
              <w:pStyle w:val="TableBody"/>
              <w:jc w:val="center"/>
            </w:pPr>
            <w:r w:rsidRPr="0021069F">
              <w:rPr>
                <w:rFonts w:cstheme="minorHAnsi"/>
              </w:rPr>
              <w:t>850.0</w:t>
            </w:r>
          </w:p>
        </w:tc>
        <w:tc>
          <w:tcPr>
            <w:tcW w:w="1619" w:type="pct"/>
          </w:tcPr>
          <w:p w14:paraId="17505C29" w14:textId="77777777" w:rsidR="000C25D6" w:rsidRPr="0021069F" w:rsidRDefault="000C25D6" w:rsidP="00794499">
            <w:pPr>
              <w:pStyle w:val="TableBody"/>
              <w:jc w:val="center"/>
            </w:pPr>
            <w:r w:rsidRPr="0021069F">
              <w:t>Moderate</w:t>
            </w:r>
          </w:p>
        </w:tc>
      </w:tr>
      <w:tr w:rsidR="0008215E" w:rsidRPr="00E9705C" w14:paraId="458BAD39" w14:textId="77777777" w:rsidTr="465B8FF3">
        <w:trPr>
          <w:trHeight w:val="238"/>
        </w:trPr>
        <w:tc>
          <w:tcPr>
            <w:tcW w:w="1912" w:type="pct"/>
            <w:shd w:val="clear" w:color="auto" w:fill="F2F2F2" w:themeFill="background2" w:themeFillShade="F2"/>
          </w:tcPr>
          <w:p w14:paraId="05100AC8" w14:textId="77777777" w:rsidR="0008215E" w:rsidRPr="00794499" w:rsidRDefault="0008215E" w:rsidP="00794499">
            <w:pPr>
              <w:pStyle w:val="TableBody"/>
            </w:pPr>
            <w:r w:rsidRPr="00794499">
              <w:t>Critical gas assets</w:t>
            </w:r>
          </w:p>
        </w:tc>
        <w:tc>
          <w:tcPr>
            <w:tcW w:w="1469" w:type="pct"/>
            <w:noWrap/>
          </w:tcPr>
          <w:p w14:paraId="537A3CAD" w14:textId="44BAE680" w:rsidR="0008215E" w:rsidRPr="0021069F" w:rsidRDefault="0021069F" w:rsidP="00794499">
            <w:pPr>
              <w:pStyle w:val="TableBody"/>
              <w:jc w:val="center"/>
            </w:pPr>
            <w:r w:rsidRPr="0021069F">
              <w:t>1,913.0</w:t>
            </w:r>
          </w:p>
        </w:tc>
        <w:tc>
          <w:tcPr>
            <w:tcW w:w="1619" w:type="pct"/>
          </w:tcPr>
          <w:p w14:paraId="137689A8" w14:textId="77777777" w:rsidR="002E3BE9" w:rsidRPr="0021069F" w:rsidRDefault="002E3BE9" w:rsidP="00794499">
            <w:pPr>
              <w:pStyle w:val="TableBody"/>
              <w:jc w:val="center"/>
            </w:pPr>
            <w:r w:rsidRPr="0021069F">
              <w:t>Severe</w:t>
            </w:r>
          </w:p>
        </w:tc>
      </w:tr>
      <w:tr w:rsidR="00270F30" w:rsidRPr="00E9705C" w14:paraId="5235A913" w14:textId="77777777" w:rsidTr="465B8FF3">
        <w:trPr>
          <w:trHeight w:val="238"/>
        </w:trPr>
        <w:tc>
          <w:tcPr>
            <w:tcW w:w="1912" w:type="pct"/>
            <w:vMerge w:val="restart"/>
            <w:shd w:val="clear" w:color="auto" w:fill="F2F2F2" w:themeFill="background2" w:themeFillShade="F2"/>
          </w:tcPr>
          <w:p w14:paraId="1A607F6C" w14:textId="29FCD1AC" w:rsidR="00270F30" w:rsidRPr="00794499" w:rsidRDefault="00270F30" w:rsidP="00794499">
            <w:pPr>
              <w:pStyle w:val="TableBody"/>
            </w:pPr>
            <w:r w:rsidRPr="00794499">
              <w:lastRenderedPageBreak/>
              <w:t>Critical water assets</w:t>
            </w:r>
          </w:p>
        </w:tc>
        <w:tc>
          <w:tcPr>
            <w:tcW w:w="1469" w:type="pct"/>
            <w:noWrap/>
          </w:tcPr>
          <w:p w14:paraId="03050DBB" w14:textId="5129A5EC" w:rsidR="00270F30" w:rsidRPr="0021069F" w:rsidRDefault="001C4155" w:rsidP="00794499">
            <w:pPr>
              <w:pStyle w:val="TableBody"/>
              <w:jc w:val="center"/>
            </w:pPr>
            <w:r w:rsidRPr="0021069F">
              <w:t>4,</w:t>
            </w:r>
            <w:r w:rsidR="009D30F8" w:rsidRPr="0021069F">
              <w:t>099</w:t>
            </w:r>
            <w:r w:rsidRPr="0021069F">
              <w:t>.0</w:t>
            </w:r>
          </w:p>
        </w:tc>
        <w:tc>
          <w:tcPr>
            <w:tcW w:w="1619" w:type="pct"/>
          </w:tcPr>
          <w:p w14:paraId="73EC7AF3" w14:textId="60271A2D" w:rsidR="00270F30" w:rsidRPr="0021069F" w:rsidRDefault="00270F30" w:rsidP="00794499">
            <w:pPr>
              <w:pStyle w:val="TableBody"/>
              <w:jc w:val="center"/>
            </w:pPr>
            <w:r w:rsidRPr="0021069F">
              <w:t>Severe</w:t>
            </w:r>
          </w:p>
        </w:tc>
      </w:tr>
      <w:tr w:rsidR="00270F30" w:rsidRPr="00E9705C" w14:paraId="447B6F86" w14:textId="77777777" w:rsidTr="465B8FF3">
        <w:trPr>
          <w:trHeight w:val="238"/>
        </w:trPr>
        <w:tc>
          <w:tcPr>
            <w:tcW w:w="1912" w:type="pct"/>
            <w:vMerge/>
          </w:tcPr>
          <w:p w14:paraId="49BCD116" w14:textId="1D4927A3" w:rsidR="00270F30" w:rsidRPr="00794499" w:rsidRDefault="00270F30" w:rsidP="00794499">
            <w:pPr>
              <w:pStyle w:val="TableBody"/>
            </w:pPr>
          </w:p>
        </w:tc>
        <w:tc>
          <w:tcPr>
            <w:tcW w:w="1469" w:type="pct"/>
            <w:noWrap/>
          </w:tcPr>
          <w:p w14:paraId="6BAE1AC5" w14:textId="45CF3E61" w:rsidR="00270F30" w:rsidRPr="0021069F" w:rsidRDefault="009D30F8" w:rsidP="00794499">
            <w:pPr>
              <w:pStyle w:val="TableBody"/>
              <w:jc w:val="center"/>
            </w:pPr>
            <w:r w:rsidRPr="0021069F">
              <w:t>126.8</w:t>
            </w:r>
          </w:p>
        </w:tc>
        <w:tc>
          <w:tcPr>
            <w:tcW w:w="1619" w:type="pct"/>
          </w:tcPr>
          <w:p w14:paraId="1145F958" w14:textId="32260AB9" w:rsidR="00270F30" w:rsidRPr="0021069F" w:rsidRDefault="00270F30" w:rsidP="00794499">
            <w:pPr>
              <w:pStyle w:val="TableBody"/>
              <w:jc w:val="center"/>
            </w:pPr>
            <w:r w:rsidRPr="0021069F">
              <w:t>Moderate</w:t>
            </w:r>
          </w:p>
        </w:tc>
      </w:tr>
      <w:tr w:rsidR="0008215E" w:rsidRPr="00E9705C" w14:paraId="62E462E9" w14:textId="77777777" w:rsidTr="465B8FF3">
        <w:trPr>
          <w:trHeight w:val="238"/>
        </w:trPr>
        <w:tc>
          <w:tcPr>
            <w:tcW w:w="1912" w:type="pct"/>
            <w:vMerge/>
          </w:tcPr>
          <w:p w14:paraId="1A815095" w14:textId="14A7CFD9" w:rsidR="0008215E" w:rsidRPr="00794499" w:rsidRDefault="0008215E" w:rsidP="00794499">
            <w:pPr>
              <w:pStyle w:val="TableBody"/>
            </w:pPr>
          </w:p>
        </w:tc>
        <w:tc>
          <w:tcPr>
            <w:tcW w:w="1469" w:type="pct"/>
            <w:noWrap/>
          </w:tcPr>
          <w:p w14:paraId="6DFD14AE" w14:textId="33C4C5AE" w:rsidR="0008215E" w:rsidRPr="0021069F" w:rsidRDefault="00920DA9" w:rsidP="00794499">
            <w:pPr>
              <w:pStyle w:val="TableBody"/>
              <w:jc w:val="center"/>
            </w:pPr>
            <w:r w:rsidRPr="0021069F">
              <w:t>1.</w:t>
            </w:r>
            <w:r w:rsidR="005760CB" w:rsidRPr="0021069F">
              <w:t>2</w:t>
            </w:r>
          </w:p>
        </w:tc>
        <w:tc>
          <w:tcPr>
            <w:tcW w:w="1619" w:type="pct"/>
          </w:tcPr>
          <w:p w14:paraId="210F4C07" w14:textId="77777777" w:rsidR="00502C15" w:rsidRPr="0021069F" w:rsidRDefault="00502C15" w:rsidP="00794499">
            <w:pPr>
              <w:pStyle w:val="TableBody"/>
              <w:jc w:val="center"/>
            </w:pPr>
            <w:r w:rsidRPr="0021069F">
              <w:t>Low</w:t>
            </w:r>
          </w:p>
        </w:tc>
      </w:tr>
      <w:tr w:rsidR="0008215E" w:rsidRPr="00E9705C" w14:paraId="1AB9B7AD" w14:textId="77777777" w:rsidTr="465B8FF3">
        <w:trPr>
          <w:trHeight w:val="238"/>
        </w:trPr>
        <w:tc>
          <w:tcPr>
            <w:tcW w:w="1912" w:type="pct"/>
            <w:vMerge w:val="restart"/>
            <w:shd w:val="clear" w:color="auto" w:fill="F2F2F2" w:themeFill="background2" w:themeFillShade="F2"/>
          </w:tcPr>
          <w:p w14:paraId="6EB37196" w14:textId="77777777" w:rsidR="0008215E" w:rsidRPr="00794499" w:rsidRDefault="0008215E" w:rsidP="00794499">
            <w:pPr>
              <w:pStyle w:val="TableBody"/>
            </w:pPr>
            <w:r w:rsidRPr="00794499">
              <w:t>Critical data processing or storage assets</w:t>
            </w:r>
          </w:p>
        </w:tc>
        <w:tc>
          <w:tcPr>
            <w:tcW w:w="1469" w:type="pct"/>
            <w:noWrap/>
          </w:tcPr>
          <w:p w14:paraId="75198BBD" w14:textId="3A98DB71" w:rsidR="0008215E" w:rsidRPr="0021069F" w:rsidRDefault="00553B4C" w:rsidP="00794499">
            <w:pPr>
              <w:pStyle w:val="TableBody"/>
              <w:jc w:val="center"/>
            </w:pPr>
            <w:r w:rsidRPr="0021069F">
              <w:t>98.0</w:t>
            </w:r>
          </w:p>
        </w:tc>
        <w:tc>
          <w:tcPr>
            <w:tcW w:w="1619" w:type="pct"/>
          </w:tcPr>
          <w:p w14:paraId="7012C26D" w14:textId="77777777" w:rsidR="000C25D6" w:rsidRPr="0021069F" w:rsidRDefault="009133B3" w:rsidP="00794499">
            <w:pPr>
              <w:pStyle w:val="TableBody"/>
              <w:jc w:val="center"/>
            </w:pPr>
            <w:r w:rsidRPr="0021069F">
              <w:t>Moderate</w:t>
            </w:r>
          </w:p>
        </w:tc>
      </w:tr>
      <w:tr w:rsidR="00270F30" w:rsidRPr="00E9705C" w14:paraId="3C10C83A" w14:textId="77777777" w:rsidTr="465B8FF3">
        <w:trPr>
          <w:trHeight w:val="238"/>
        </w:trPr>
        <w:tc>
          <w:tcPr>
            <w:tcW w:w="1912" w:type="pct"/>
            <w:vMerge/>
          </w:tcPr>
          <w:p w14:paraId="3FA20A95" w14:textId="77777777" w:rsidR="00270F30" w:rsidRPr="00794499" w:rsidRDefault="00270F30" w:rsidP="00794499">
            <w:pPr>
              <w:pStyle w:val="TableBody"/>
            </w:pPr>
          </w:p>
        </w:tc>
        <w:tc>
          <w:tcPr>
            <w:tcW w:w="1469" w:type="pct"/>
            <w:noWrap/>
          </w:tcPr>
          <w:p w14:paraId="467CC541" w14:textId="15274D7A" w:rsidR="00270F30" w:rsidRPr="0021069F" w:rsidRDefault="001C4155" w:rsidP="00794499">
            <w:pPr>
              <w:pStyle w:val="TableBody"/>
              <w:jc w:val="center"/>
            </w:pPr>
            <w:r w:rsidRPr="0021069F">
              <w:t>4.</w:t>
            </w:r>
            <w:r w:rsidR="00553B4C" w:rsidRPr="0021069F">
              <w:t>6</w:t>
            </w:r>
          </w:p>
        </w:tc>
        <w:tc>
          <w:tcPr>
            <w:tcW w:w="1619" w:type="pct"/>
          </w:tcPr>
          <w:p w14:paraId="3BA82143" w14:textId="29133DFB" w:rsidR="00270F30" w:rsidRPr="0021069F" w:rsidRDefault="00270F30" w:rsidP="00794499">
            <w:pPr>
              <w:pStyle w:val="TableBody"/>
              <w:jc w:val="center"/>
            </w:pPr>
            <w:r w:rsidRPr="0021069F">
              <w:t>Low</w:t>
            </w:r>
          </w:p>
        </w:tc>
      </w:tr>
      <w:tr w:rsidR="0008215E" w:rsidRPr="00E9705C" w14:paraId="79BFDB72" w14:textId="77777777" w:rsidTr="465B8FF3">
        <w:trPr>
          <w:trHeight w:val="238"/>
        </w:trPr>
        <w:tc>
          <w:tcPr>
            <w:tcW w:w="1912" w:type="pct"/>
            <w:shd w:val="clear" w:color="auto" w:fill="F2F2F2" w:themeFill="background2" w:themeFillShade="F2"/>
          </w:tcPr>
          <w:p w14:paraId="61C826DC" w14:textId="73EE6526" w:rsidR="0008215E" w:rsidRPr="009748C5" w:rsidRDefault="0008215E" w:rsidP="00794499">
            <w:pPr>
              <w:pStyle w:val="TableBody"/>
              <w:rPr>
                <w:sz w:val="22"/>
                <w:szCs w:val="22"/>
              </w:rPr>
            </w:pPr>
            <w:r w:rsidRPr="00794499">
              <w:t>Critical broadcasting assets</w:t>
            </w:r>
            <w:r w:rsidR="00E75577">
              <w:t xml:space="preserve"> </w:t>
            </w:r>
            <w:r w:rsidR="009748C5">
              <w:t>and critical domain name systems</w:t>
            </w:r>
            <w:r w:rsidR="004537A4" w:rsidRPr="00794499">
              <w:rPr>
                <w:rStyle w:val="FootnoteReference"/>
              </w:rPr>
              <w:footnoteReference w:id="44"/>
            </w:r>
          </w:p>
        </w:tc>
        <w:tc>
          <w:tcPr>
            <w:tcW w:w="1469" w:type="pct"/>
            <w:noWrap/>
          </w:tcPr>
          <w:p w14:paraId="5687BCE8" w14:textId="1FD4097B" w:rsidR="0008215E" w:rsidRPr="0021069F" w:rsidRDefault="001C4155" w:rsidP="00794499">
            <w:pPr>
              <w:pStyle w:val="TableBody"/>
              <w:jc w:val="center"/>
            </w:pPr>
            <w:r w:rsidRPr="0021069F">
              <w:t>3.</w:t>
            </w:r>
            <w:r w:rsidR="00553B4C" w:rsidRPr="0021069F">
              <w:t>8</w:t>
            </w:r>
          </w:p>
        </w:tc>
        <w:tc>
          <w:tcPr>
            <w:tcW w:w="1619" w:type="pct"/>
          </w:tcPr>
          <w:p w14:paraId="3066FB35" w14:textId="77777777" w:rsidR="0022347B" w:rsidRPr="0021069F" w:rsidRDefault="009133B3" w:rsidP="00794499">
            <w:pPr>
              <w:pStyle w:val="TableBody"/>
              <w:jc w:val="center"/>
            </w:pPr>
            <w:r w:rsidRPr="0021069F">
              <w:t>Moderate</w:t>
            </w:r>
          </w:p>
        </w:tc>
      </w:tr>
      <w:tr w:rsidR="0008215E" w:rsidRPr="00E9705C" w14:paraId="29FD7844" w14:textId="77777777" w:rsidTr="465B8FF3">
        <w:trPr>
          <w:trHeight w:val="238"/>
        </w:trPr>
        <w:tc>
          <w:tcPr>
            <w:tcW w:w="1912" w:type="pct"/>
            <w:shd w:val="clear" w:color="auto" w:fill="F2F2F2" w:themeFill="background2" w:themeFillShade="F2"/>
          </w:tcPr>
          <w:p w14:paraId="50529149" w14:textId="77777777" w:rsidR="0008215E" w:rsidRPr="00794499" w:rsidRDefault="0008215E" w:rsidP="00794499">
            <w:pPr>
              <w:pStyle w:val="TableBody"/>
            </w:pPr>
            <w:r w:rsidRPr="00794499">
              <w:t>Critical financial market infrastructure assets (payment systems)</w:t>
            </w:r>
          </w:p>
        </w:tc>
        <w:tc>
          <w:tcPr>
            <w:tcW w:w="1469" w:type="pct"/>
            <w:noWrap/>
          </w:tcPr>
          <w:p w14:paraId="0A9C7484" w14:textId="531886DE" w:rsidR="0008215E" w:rsidRPr="0021069F" w:rsidRDefault="00577A36" w:rsidP="00794499">
            <w:pPr>
              <w:pStyle w:val="TableBody"/>
              <w:jc w:val="center"/>
            </w:pPr>
            <w:r w:rsidRPr="0021069F">
              <w:rPr>
                <w:rFonts w:eastAsia="Calibri" w:cstheme="minorHAnsi"/>
              </w:rPr>
              <w:t>13.</w:t>
            </w:r>
            <w:r w:rsidR="00553B4C" w:rsidRPr="0021069F">
              <w:rPr>
                <w:rFonts w:eastAsia="Calibri" w:cstheme="minorHAnsi"/>
              </w:rPr>
              <w:t>5</w:t>
            </w:r>
          </w:p>
        </w:tc>
        <w:tc>
          <w:tcPr>
            <w:tcW w:w="1619" w:type="pct"/>
          </w:tcPr>
          <w:p w14:paraId="2F2E9B02" w14:textId="77777777" w:rsidR="000C25D6" w:rsidRPr="0021069F" w:rsidRDefault="009133B3" w:rsidP="00794499">
            <w:pPr>
              <w:pStyle w:val="TableBody"/>
              <w:jc w:val="center"/>
            </w:pPr>
            <w:r w:rsidRPr="0021069F">
              <w:t>Moderate</w:t>
            </w:r>
          </w:p>
        </w:tc>
      </w:tr>
      <w:tr w:rsidR="0055303E" w:rsidRPr="00E9705C" w14:paraId="5D14E22B" w14:textId="77777777" w:rsidTr="465B8FF3">
        <w:trPr>
          <w:trHeight w:val="238"/>
        </w:trPr>
        <w:tc>
          <w:tcPr>
            <w:tcW w:w="1912" w:type="pct"/>
            <w:vMerge w:val="restart"/>
            <w:shd w:val="clear" w:color="auto" w:fill="F2F2F2" w:themeFill="background2" w:themeFillShade="F2"/>
          </w:tcPr>
          <w:p w14:paraId="3ACCE212" w14:textId="77777777" w:rsidR="0055303E" w:rsidRPr="00794499" w:rsidRDefault="0055303E" w:rsidP="00794499">
            <w:pPr>
              <w:pStyle w:val="TableBody"/>
            </w:pPr>
            <w:r w:rsidRPr="00794499">
              <w:t>Critical liquid fuels assets</w:t>
            </w:r>
          </w:p>
        </w:tc>
        <w:tc>
          <w:tcPr>
            <w:tcW w:w="1469" w:type="pct"/>
            <w:noWrap/>
          </w:tcPr>
          <w:p w14:paraId="61099E0F" w14:textId="28C56F17" w:rsidR="0055303E" w:rsidRPr="0021069F" w:rsidRDefault="00C512AB" w:rsidP="00794499">
            <w:pPr>
              <w:pStyle w:val="TableBody"/>
              <w:jc w:val="center"/>
            </w:pPr>
            <w:r w:rsidRPr="0021069F">
              <w:rPr>
                <w:rFonts w:cstheme="minorHAnsi"/>
              </w:rPr>
              <w:t>1,</w:t>
            </w:r>
            <w:r w:rsidR="00946985" w:rsidRPr="0021069F">
              <w:rPr>
                <w:rFonts w:cstheme="minorHAnsi"/>
              </w:rPr>
              <w:t>931.0</w:t>
            </w:r>
            <w:r w:rsidR="00946985" w:rsidRPr="0021069F" w:rsidDel="00C512AB">
              <w:t xml:space="preserve"> </w:t>
            </w:r>
          </w:p>
        </w:tc>
        <w:tc>
          <w:tcPr>
            <w:tcW w:w="1619" w:type="pct"/>
          </w:tcPr>
          <w:p w14:paraId="49019744" w14:textId="77777777" w:rsidR="0055303E" w:rsidRPr="0021069F" w:rsidRDefault="0055303E" w:rsidP="00794499">
            <w:pPr>
              <w:pStyle w:val="TableBody"/>
              <w:jc w:val="center"/>
            </w:pPr>
            <w:r w:rsidRPr="0021069F">
              <w:t>Severe</w:t>
            </w:r>
          </w:p>
        </w:tc>
      </w:tr>
      <w:tr w:rsidR="0055303E" w:rsidRPr="00E9705C" w14:paraId="5B58C6A6" w14:textId="77777777" w:rsidTr="465B8FF3">
        <w:trPr>
          <w:trHeight w:val="238"/>
        </w:trPr>
        <w:tc>
          <w:tcPr>
            <w:tcW w:w="1912" w:type="pct"/>
            <w:vMerge/>
          </w:tcPr>
          <w:p w14:paraId="05357CFE" w14:textId="77777777" w:rsidR="0055303E" w:rsidRPr="00794499" w:rsidRDefault="0055303E" w:rsidP="00794499">
            <w:pPr>
              <w:pStyle w:val="TableBody"/>
            </w:pPr>
          </w:p>
        </w:tc>
        <w:tc>
          <w:tcPr>
            <w:tcW w:w="1469" w:type="pct"/>
            <w:noWrap/>
          </w:tcPr>
          <w:p w14:paraId="7008C8EE" w14:textId="3943881E" w:rsidR="0055303E" w:rsidRPr="0021069F" w:rsidRDefault="0055303E" w:rsidP="00794499">
            <w:pPr>
              <w:pStyle w:val="TableBody"/>
              <w:jc w:val="center"/>
            </w:pPr>
            <w:r w:rsidRPr="0021069F">
              <w:t>14.</w:t>
            </w:r>
            <w:r w:rsidR="00F059C0" w:rsidRPr="0021069F">
              <w:t>5</w:t>
            </w:r>
          </w:p>
        </w:tc>
        <w:tc>
          <w:tcPr>
            <w:tcW w:w="1619" w:type="pct"/>
          </w:tcPr>
          <w:p w14:paraId="1C113631" w14:textId="77777777" w:rsidR="0055303E" w:rsidRPr="0021069F" w:rsidRDefault="0055303E" w:rsidP="00794499">
            <w:pPr>
              <w:pStyle w:val="TableBody"/>
              <w:jc w:val="center"/>
            </w:pPr>
            <w:r w:rsidRPr="0021069F">
              <w:t>Low</w:t>
            </w:r>
          </w:p>
        </w:tc>
      </w:tr>
      <w:tr w:rsidR="0008215E" w:rsidRPr="00E9705C" w14:paraId="7A7EBB2D" w14:textId="77777777" w:rsidTr="465B8FF3">
        <w:trPr>
          <w:trHeight w:val="238"/>
        </w:trPr>
        <w:tc>
          <w:tcPr>
            <w:tcW w:w="1912" w:type="pct"/>
            <w:shd w:val="clear" w:color="auto" w:fill="F2F2F2" w:themeFill="background2" w:themeFillShade="F2"/>
          </w:tcPr>
          <w:p w14:paraId="77C9A7C4" w14:textId="77777777" w:rsidR="0008215E" w:rsidRPr="00794499" w:rsidRDefault="0008215E" w:rsidP="00794499">
            <w:pPr>
              <w:pStyle w:val="TableBody"/>
            </w:pPr>
            <w:r w:rsidRPr="00794499">
              <w:t>Critical hospitals</w:t>
            </w:r>
          </w:p>
        </w:tc>
        <w:tc>
          <w:tcPr>
            <w:tcW w:w="1469" w:type="pct"/>
            <w:noWrap/>
          </w:tcPr>
          <w:p w14:paraId="0E3605C3" w14:textId="6EC9BAAA" w:rsidR="0008215E" w:rsidRPr="0021069F" w:rsidRDefault="00577A36" w:rsidP="00794499">
            <w:pPr>
              <w:pStyle w:val="TableBody"/>
              <w:jc w:val="center"/>
            </w:pPr>
            <w:r w:rsidRPr="0021069F">
              <w:rPr>
                <w:rFonts w:eastAsia="Calibri" w:cstheme="minorHAnsi"/>
              </w:rPr>
              <w:t>2</w:t>
            </w:r>
            <w:r w:rsidR="00946985" w:rsidRPr="0021069F">
              <w:rPr>
                <w:rFonts w:eastAsia="Calibri" w:cstheme="minorHAnsi"/>
              </w:rPr>
              <w:t>29.8</w:t>
            </w:r>
          </w:p>
        </w:tc>
        <w:tc>
          <w:tcPr>
            <w:tcW w:w="1619" w:type="pct"/>
          </w:tcPr>
          <w:p w14:paraId="4987D18C" w14:textId="77777777" w:rsidR="000C25D6" w:rsidRPr="0021069F" w:rsidRDefault="00855F20" w:rsidP="00794499">
            <w:pPr>
              <w:pStyle w:val="TableBody"/>
              <w:jc w:val="center"/>
            </w:pPr>
            <w:r w:rsidRPr="0021069F">
              <w:t>Severe</w:t>
            </w:r>
          </w:p>
        </w:tc>
      </w:tr>
      <w:tr w:rsidR="0008215E" w:rsidRPr="00E9705C" w14:paraId="273F8F7F" w14:textId="77777777" w:rsidTr="465B8FF3">
        <w:trPr>
          <w:trHeight w:val="238"/>
        </w:trPr>
        <w:tc>
          <w:tcPr>
            <w:tcW w:w="1912" w:type="pct"/>
            <w:shd w:val="clear" w:color="auto" w:fill="F2F2F2" w:themeFill="background2" w:themeFillShade="F2"/>
          </w:tcPr>
          <w:p w14:paraId="6ADFACF3" w14:textId="77777777" w:rsidR="0008215E" w:rsidRPr="00794499" w:rsidRDefault="0008215E" w:rsidP="00794499">
            <w:pPr>
              <w:pStyle w:val="TableBody"/>
            </w:pPr>
            <w:r w:rsidRPr="00794499">
              <w:t>Critical energy market operator assets</w:t>
            </w:r>
          </w:p>
        </w:tc>
        <w:tc>
          <w:tcPr>
            <w:tcW w:w="1469" w:type="pct"/>
            <w:noWrap/>
          </w:tcPr>
          <w:p w14:paraId="21FACD02" w14:textId="5F43E933" w:rsidR="0008215E" w:rsidRPr="0021069F" w:rsidRDefault="00566FCA" w:rsidP="00794499">
            <w:pPr>
              <w:pStyle w:val="TableBody"/>
              <w:jc w:val="center"/>
            </w:pPr>
            <w:r w:rsidRPr="0021069F">
              <w:rPr>
                <w:rFonts w:cstheme="minorHAnsi"/>
              </w:rPr>
              <w:t>8</w:t>
            </w:r>
            <w:r w:rsidR="009E580D" w:rsidRPr="0021069F">
              <w:rPr>
                <w:rFonts w:cstheme="minorHAnsi"/>
              </w:rPr>
              <w:t>50.0</w:t>
            </w:r>
          </w:p>
        </w:tc>
        <w:tc>
          <w:tcPr>
            <w:tcW w:w="1619" w:type="pct"/>
          </w:tcPr>
          <w:p w14:paraId="2D977A67" w14:textId="77777777" w:rsidR="000C25D6" w:rsidRPr="0021069F" w:rsidRDefault="00855F20" w:rsidP="00794499">
            <w:pPr>
              <w:pStyle w:val="TableBody"/>
              <w:jc w:val="center"/>
            </w:pPr>
            <w:r w:rsidRPr="0021069F">
              <w:t>Moderate</w:t>
            </w:r>
          </w:p>
        </w:tc>
      </w:tr>
      <w:tr w:rsidR="008C594E" w:rsidRPr="00E9705C" w14:paraId="1E89A3F0" w14:textId="77777777" w:rsidTr="465B8FF3">
        <w:trPr>
          <w:trHeight w:val="238"/>
        </w:trPr>
        <w:tc>
          <w:tcPr>
            <w:tcW w:w="1912" w:type="pct"/>
            <w:vMerge w:val="restart"/>
            <w:shd w:val="clear" w:color="auto" w:fill="F2F2F2" w:themeFill="background2" w:themeFillShade="F2"/>
          </w:tcPr>
          <w:p w14:paraId="31F7A709" w14:textId="20BBD906" w:rsidR="008C594E" w:rsidRPr="00794499" w:rsidRDefault="008C594E" w:rsidP="008C594E">
            <w:pPr>
              <w:pStyle w:val="TableBody"/>
            </w:pPr>
            <w:r w:rsidRPr="00794499">
              <w:t>Critical freight infrastructure and critical freight services assets</w:t>
            </w:r>
            <w:r w:rsidRPr="00794499">
              <w:rPr>
                <w:rStyle w:val="FootnoteReference"/>
              </w:rPr>
              <w:footnoteReference w:id="45"/>
            </w:r>
          </w:p>
        </w:tc>
        <w:tc>
          <w:tcPr>
            <w:tcW w:w="1469" w:type="pct"/>
            <w:noWrap/>
          </w:tcPr>
          <w:p w14:paraId="04CFC097" w14:textId="4318F900" w:rsidR="008C594E" w:rsidRPr="0021069F" w:rsidRDefault="009E580D" w:rsidP="009B4B57">
            <w:pPr>
              <w:pStyle w:val="TableBody"/>
              <w:spacing w:line="259" w:lineRule="auto"/>
              <w:jc w:val="center"/>
              <w:rPr>
                <w:rFonts w:ascii="Arial" w:hAnsi="Arial"/>
              </w:rPr>
            </w:pPr>
            <w:r w:rsidRPr="0021069F">
              <w:rPr>
                <w:rFonts w:cstheme="minorHAnsi"/>
              </w:rPr>
              <w:t>724.1</w:t>
            </w:r>
          </w:p>
        </w:tc>
        <w:tc>
          <w:tcPr>
            <w:tcW w:w="1619" w:type="pct"/>
          </w:tcPr>
          <w:p w14:paraId="311C1CCD" w14:textId="2A1E640D" w:rsidR="008C594E" w:rsidRPr="0021069F" w:rsidRDefault="008C594E" w:rsidP="008C594E">
            <w:pPr>
              <w:pStyle w:val="TableBody"/>
              <w:jc w:val="center"/>
            </w:pPr>
            <w:r w:rsidRPr="0021069F">
              <w:t>Severe</w:t>
            </w:r>
          </w:p>
        </w:tc>
      </w:tr>
      <w:tr w:rsidR="008C594E" w:rsidRPr="00E9705C" w14:paraId="1F69B50A" w14:textId="77777777" w:rsidTr="465B8FF3">
        <w:trPr>
          <w:trHeight w:val="238"/>
        </w:trPr>
        <w:tc>
          <w:tcPr>
            <w:tcW w:w="1912" w:type="pct"/>
            <w:vMerge/>
          </w:tcPr>
          <w:p w14:paraId="4F32BC20" w14:textId="77777777" w:rsidR="008C594E" w:rsidRPr="00794499" w:rsidRDefault="008C594E" w:rsidP="008C594E">
            <w:pPr>
              <w:pStyle w:val="TableBody"/>
            </w:pPr>
          </w:p>
        </w:tc>
        <w:tc>
          <w:tcPr>
            <w:tcW w:w="1469" w:type="pct"/>
            <w:noWrap/>
          </w:tcPr>
          <w:p w14:paraId="6867E5FF" w14:textId="301554C2" w:rsidR="008C594E" w:rsidRPr="0021069F" w:rsidRDefault="00BC7556" w:rsidP="008C594E">
            <w:pPr>
              <w:pStyle w:val="TableBody"/>
              <w:jc w:val="center"/>
            </w:pPr>
            <w:r w:rsidRPr="0021069F">
              <w:t>1</w:t>
            </w:r>
            <w:r w:rsidR="00C62D4A" w:rsidRPr="0021069F">
              <w:t>8.</w:t>
            </w:r>
            <w:r w:rsidR="009E580D" w:rsidRPr="0021069F">
              <w:t>1</w:t>
            </w:r>
          </w:p>
        </w:tc>
        <w:tc>
          <w:tcPr>
            <w:tcW w:w="1619" w:type="pct"/>
          </w:tcPr>
          <w:p w14:paraId="74EF67B0" w14:textId="3B0B9912" w:rsidR="008C594E" w:rsidRPr="0021069F" w:rsidRDefault="008C594E" w:rsidP="008C594E">
            <w:pPr>
              <w:pStyle w:val="TableBody"/>
              <w:jc w:val="center"/>
            </w:pPr>
            <w:r w:rsidRPr="0021069F">
              <w:t>Low</w:t>
            </w:r>
          </w:p>
        </w:tc>
      </w:tr>
      <w:tr w:rsidR="00D64394" w:rsidRPr="00794499" w14:paraId="61199567" w14:textId="77777777" w:rsidTr="00996C6D">
        <w:trPr>
          <w:trHeight w:val="238"/>
        </w:trPr>
        <w:tc>
          <w:tcPr>
            <w:tcW w:w="1912" w:type="pct"/>
            <w:shd w:val="clear" w:color="auto" w:fill="F2F2F2" w:themeFill="background2" w:themeFillShade="F2"/>
          </w:tcPr>
          <w:p w14:paraId="3DCD3D98" w14:textId="45631575" w:rsidR="00D64394" w:rsidRPr="00794499" w:rsidRDefault="00D64394" w:rsidP="00D64394">
            <w:pPr>
              <w:pStyle w:val="TableBody"/>
            </w:pPr>
            <w:bookmarkStart w:id="242" w:name="_Toc78272017"/>
            <w:bookmarkStart w:id="243" w:name="_Toc79149651"/>
            <w:r>
              <w:t>Critical food and grocery assets</w:t>
            </w:r>
          </w:p>
        </w:tc>
        <w:tc>
          <w:tcPr>
            <w:tcW w:w="1469" w:type="pct"/>
            <w:noWrap/>
          </w:tcPr>
          <w:p w14:paraId="05C0BB4D" w14:textId="3D617590" w:rsidR="00D64394" w:rsidRPr="0021069F" w:rsidRDefault="009E580D" w:rsidP="00D64394">
            <w:pPr>
              <w:pStyle w:val="TableBody"/>
              <w:jc w:val="center"/>
            </w:pPr>
            <w:r w:rsidRPr="0021069F">
              <w:t>48.0</w:t>
            </w:r>
          </w:p>
        </w:tc>
        <w:tc>
          <w:tcPr>
            <w:tcW w:w="1619" w:type="pct"/>
          </w:tcPr>
          <w:p w14:paraId="4DDE3810" w14:textId="5EE7DC0B" w:rsidR="00D64394" w:rsidRPr="0021069F" w:rsidRDefault="009E580D" w:rsidP="00D64394">
            <w:pPr>
              <w:pStyle w:val="TableBody"/>
              <w:jc w:val="center"/>
            </w:pPr>
            <w:r w:rsidRPr="0021069F">
              <w:t>Moderate</w:t>
            </w:r>
          </w:p>
        </w:tc>
      </w:tr>
    </w:tbl>
    <w:p w14:paraId="70F1B590" w14:textId="03CF4CD4" w:rsidR="00E70887" w:rsidRDefault="00E70887" w:rsidP="00E70887">
      <w:pPr>
        <w:pStyle w:val="BodyText"/>
      </w:pPr>
    </w:p>
    <w:p w14:paraId="1B743CDD" w14:textId="3C0A4479" w:rsidR="00E9705C" w:rsidRPr="00E9705C" w:rsidRDefault="00E9705C" w:rsidP="004C0EFC">
      <w:pPr>
        <w:pStyle w:val="Heading3numbered"/>
      </w:pPr>
      <w:r w:rsidRPr="00E9705C">
        <w:t>Likely net benefit: Option 1</w:t>
      </w:r>
      <w:bookmarkEnd w:id="242"/>
      <w:bookmarkEnd w:id="243"/>
      <w:r w:rsidRPr="00E9705C">
        <w:t xml:space="preserve"> </w:t>
      </w:r>
    </w:p>
    <w:p w14:paraId="554FA40E" w14:textId="77777777" w:rsidR="00E9705C" w:rsidRPr="00E9705C" w:rsidRDefault="00E9705C" w:rsidP="001C5E54">
      <w:pPr>
        <w:pStyle w:val="BodyText"/>
      </w:pPr>
      <w:r w:rsidRPr="00E9705C">
        <w:t xml:space="preserve">This section summarises the qualitative costs and benefits associated with option 1, before assessing the likely net benefit derived from option 1.  </w:t>
      </w:r>
    </w:p>
    <w:p w14:paraId="6B5588A5" w14:textId="77777777" w:rsidR="00E9705C" w:rsidRPr="002F1B2B" w:rsidRDefault="00E9705C" w:rsidP="001C5E54">
      <w:pPr>
        <w:pStyle w:val="Heading4"/>
      </w:pPr>
      <w:r w:rsidRPr="002F1B2B">
        <w:t>Costs of option 1</w:t>
      </w:r>
    </w:p>
    <w:p w14:paraId="4B6820CB" w14:textId="0698270E" w:rsidR="00835F40" w:rsidRPr="00E9705C" w:rsidRDefault="00835F40" w:rsidP="001C5E54">
      <w:pPr>
        <w:pStyle w:val="BodyText"/>
      </w:pPr>
      <w:bookmarkStart w:id="244" w:name="_Toc78878014"/>
      <w:bookmarkStart w:id="245" w:name="_Toc79156690"/>
      <w:r w:rsidRPr="00E9705C">
        <w:t xml:space="preserve">Under option 1, the status quo would be maintained, and no additional regulatory measures would be imposed on </w:t>
      </w:r>
      <w:r w:rsidR="008056F4">
        <w:t>critical infrastructure assets</w:t>
      </w:r>
      <w:r w:rsidRPr="00E9705C">
        <w:t>. The status quo provides a baseline for benefits and costs if nothing is done and can be used as a comparator with option 2 and 3.  The most significant cost associated with option 1 is industry’s ongoing exposure to the risks associated with all hazard threats, which are rapidly outpacing the current regulatory environment.</w:t>
      </w:r>
    </w:p>
    <w:p w14:paraId="74BEF983" w14:textId="665E9B3A" w:rsidR="00835F40" w:rsidRDefault="00835F40" w:rsidP="001C5E54">
      <w:pPr>
        <w:pStyle w:val="BodyText"/>
      </w:pPr>
      <w:r w:rsidRPr="00E9705C">
        <w:t>For the purposes of modelling the potential costs associated with the realisation of all</w:t>
      </w:r>
      <w:r w:rsidR="00DA7653">
        <w:t>-</w:t>
      </w:r>
      <w:r w:rsidRPr="00E9705C">
        <w:t xml:space="preserve">hazard threats for </w:t>
      </w:r>
      <w:r w:rsidR="008056F4">
        <w:t>critical infrastructure assets</w:t>
      </w:r>
      <w:r w:rsidRPr="00E9705C">
        <w:t xml:space="preserve">, </w:t>
      </w:r>
      <w:r w:rsidR="00A52565">
        <w:t>the</w:t>
      </w:r>
      <w:r w:rsidR="00613E2A">
        <w:t xml:space="preserve"> </w:t>
      </w:r>
      <w:r w:rsidR="006D1CF0">
        <w:t>incidents described</w:t>
      </w:r>
      <w:r w:rsidR="00A52565">
        <w:t xml:space="preserve"> in section 4.2.2 </w:t>
      </w:r>
      <w:r w:rsidR="007D3A6F">
        <w:t xml:space="preserve">and costed in </w:t>
      </w:r>
      <w:r w:rsidR="00DA7653">
        <w:t>T</w:t>
      </w:r>
      <w:r w:rsidR="007D3A6F">
        <w:t>able 9</w:t>
      </w:r>
      <w:r w:rsidR="00A52565">
        <w:t xml:space="preserve"> were used</w:t>
      </w:r>
      <w:r w:rsidR="00613E2A">
        <w:t xml:space="preserve"> for each relevant critical infrastructure asset</w:t>
      </w:r>
      <w:r w:rsidR="006D1CF0">
        <w:t>.</w:t>
      </w:r>
      <w:r w:rsidRPr="00E9705C">
        <w:t xml:space="preserve"> </w:t>
      </w:r>
      <w:r w:rsidRPr="00F029ED">
        <w:t>For the purposes of modelling the potential costs</w:t>
      </w:r>
      <w:r>
        <w:t>, a single example is sufficient to demonstrate the potential disruptions arising from the realisation of all</w:t>
      </w:r>
      <w:r w:rsidR="00DA7653">
        <w:t>-</w:t>
      </w:r>
      <w:r>
        <w:t>hazard threats. The chosen example</w:t>
      </w:r>
      <w:r w:rsidR="00613E2A">
        <w:t>s</w:t>
      </w:r>
      <w:r>
        <w:t xml:space="preserve"> </w:t>
      </w:r>
      <w:r w:rsidR="00613E2A">
        <w:t>are</w:t>
      </w:r>
      <w:r>
        <w:t xml:space="preserve"> founded in real events, with sufficient reliable information available to support the economic modelling undertaken. </w:t>
      </w:r>
    </w:p>
    <w:p w14:paraId="5D771AC3" w14:textId="60C046AD" w:rsidR="00835F40" w:rsidRDefault="00835F40" w:rsidP="001C5E54">
      <w:pPr>
        <w:pStyle w:val="BodyText"/>
      </w:pPr>
      <w:r>
        <w:t xml:space="preserve">While this RIS uses </w:t>
      </w:r>
      <w:r w:rsidR="00613E2A">
        <w:t xml:space="preserve">these </w:t>
      </w:r>
      <w:r w:rsidR="005B3179">
        <w:t>baseline scenario</w:t>
      </w:r>
      <w:r>
        <w:t xml:space="preserve"> example</w:t>
      </w:r>
      <w:r w:rsidR="005B3179">
        <w:t>s for each asset</w:t>
      </w:r>
      <w:r>
        <w:t xml:space="preserve">, it does not mean that a single event </w:t>
      </w:r>
      <w:r w:rsidRPr="006E16B6">
        <w:t xml:space="preserve">equivalent to </w:t>
      </w:r>
      <w:r w:rsidR="005B3179" w:rsidRPr="006E16B6">
        <w:t xml:space="preserve">each respective </w:t>
      </w:r>
      <w:r w:rsidR="001B25F1" w:rsidRPr="006E16B6">
        <w:t>baseline scenario</w:t>
      </w:r>
      <w:r w:rsidRPr="006E16B6">
        <w:t xml:space="preserve"> is needed for costs and benefits to break even. The chosen example</w:t>
      </w:r>
      <w:r w:rsidR="00A02D46" w:rsidRPr="006E16B6">
        <w:t>s</w:t>
      </w:r>
      <w:r w:rsidRPr="006E16B6">
        <w:t xml:space="preserve"> </w:t>
      </w:r>
      <w:r w:rsidR="00A02D46" w:rsidRPr="006E16B6">
        <w:t>are</w:t>
      </w:r>
      <w:r w:rsidRPr="006E16B6">
        <w:t xml:space="preserve"> intended to be demonstrative of the potential costs of a disruption</w:t>
      </w:r>
      <w:r w:rsidR="001B25F1" w:rsidRPr="006E16B6">
        <w:t xml:space="preserve"> to</w:t>
      </w:r>
      <w:r w:rsidR="00A02D46" w:rsidRPr="006E16B6">
        <w:t xml:space="preserve"> critical infrastructure</w:t>
      </w:r>
      <w:r w:rsidRPr="006E16B6">
        <w:t xml:space="preserve">, rather than demonstrative of the specific events which may lead to disruption. </w:t>
      </w:r>
      <w:r w:rsidR="00A02D46" w:rsidRPr="006E16B6">
        <w:t xml:space="preserve">The examples used </w:t>
      </w:r>
      <w:r w:rsidR="00EC3AD1" w:rsidRPr="006E16B6">
        <w:t>are typically specific types of hazard</w:t>
      </w:r>
      <w:r w:rsidR="00530199" w:rsidRPr="006E16B6">
        <w:t xml:space="preserve"> </w:t>
      </w:r>
      <w:r w:rsidRPr="006E16B6">
        <w:t>event</w:t>
      </w:r>
      <w:r w:rsidR="006E16B6" w:rsidRPr="006E16B6">
        <w:t>s</w:t>
      </w:r>
      <w:r w:rsidRPr="006E16B6">
        <w:t>,</w:t>
      </w:r>
      <w:r w:rsidR="006E16B6" w:rsidRPr="006E16B6">
        <w:t xml:space="preserve"> for every relevant critical infrastructure asset</w:t>
      </w:r>
      <w:r w:rsidRPr="006E16B6">
        <w:t xml:space="preserve"> the disruption could also be as a result of one or more other hazards</w:t>
      </w:r>
      <w:r w:rsidR="00DB0285">
        <w:t>.</w:t>
      </w:r>
      <w:r w:rsidRPr="006E16B6">
        <w:t xml:space="preserve"> It may be the </w:t>
      </w:r>
      <w:r>
        <w:t xml:space="preserve">case that a series of smaller, less significant disruptions occur over the course of a </w:t>
      </w:r>
      <w:r>
        <w:lastRenderedPageBreak/>
        <w:t>year</w:t>
      </w:r>
      <w:r w:rsidR="00DA7653">
        <w:t>,</w:t>
      </w:r>
      <w:r>
        <w:t xml:space="preserve"> and </w:t>
      </w:r>
      <w:r w:rsidR="00DA7653">
        <w:t xml:space="preserve">accumulate to deliver a </w:t>
      </w:r>
      <w:r>
        <w:t>result</w:t>
      </w:r>
      <w:r w:rsidR="00DA7653">
        <w:t>ing</w:t>
      </w:r>
      <w:r>
        <w:t xml:space="preserve"> disruption of a magnitude similar to that resulting from</w:t>
      </w:r>
      <w:r w:rsidR="006E16B6">
        <w:t xml:space="preserve"> </w:t>
      </w:r>
      <w:r w:rsidR="007C702C">
        <w:t>more severe</w:t>
      </w:r>
      <w:r w:rsidR="006E16B6">
        <w:t xml:space="preserve"> scenario</w:t>
      </w:r>
      <w:r w:rsidR="007C702C">
        <w:t>s</w:t>
      </w:r>
      <w:r>
        <w:t>. Equally, a more significant disruption could occur</w:t>
      </w:r>
      <w:r w:rsidR="00DA7653">
        <w:t>,</w:t>
      </w:r>
      <w:r>
        <w:t xml:space="preserve"> but less frequently</w:t>
      </w:r>
      <w:r w:rsidR="00DA7653">
        <w:t>,</w:t>
      </w:r>
      <w:r>
        <w:t xml:space="preserve"> for the same cost to be incurred.</w:t>
      </w:r>
    </w:p>
    <w:p w14:paraId="3D4A9490" w14:textId="77777777" w:rsidR="00835F40" w:rsidRPr="00E9705C" w:rsidRDefault="00362B2B" w:rsidP="001C5E54">
      <w:pPr>
        <w:pStyle w:val="BodyText"/>
      </w:pPr>
      <w:r>
        <w:t xml:space="preserve">A baseline scenario is used </w:t>
      </w:r>
      <w:r w:rsidR="00F35533">
        <w:t>with c</w:t>
      </w:r>
      <w:r>
        <w:t>osts scaled up or down for the other incident</w:t>
      </w:r>
      <w:r w:rsidR="00DA0CA1">
        <w:t xml:space="preserve"> sizes</w:t>
      </w:r>
      <w:r>
        <w:t>. For example,</w:t>
      </w:r>
      <w:r w:rsidR="00835F40" w:rsidRPr="00E9705C">
        <w:t xml:space="preserve"> the </w:t>
      </w:r>
      <w:r>
        <w:t>baseline</w:t>
      </w:r>
      <w:r w:rsidR="00835F40" w:rsidRPr="00E9705C">
        <w:t xml:space="preserve"> scenario </w:t>
      </w:r>
      <w:r>
        <w:t>for electricity is used as the ‘moderate’ scenario, with costs scaled up for the electricity severe scenario and down for the low</w:t>
      </w:r>
      <w:r w:rsidR="00D0451E">
        <w:t xml:space="preserve"> scenario</w:t>
      </w:r>
      <w:r>
        <w:t>.</w:t>
      </w:r>
      <w:r w:rsidR="00835F40" w:rsidRPr="00E9705C">
        <w:t xml:space="preserve"> The </w:t>
      </w:r>
      <w:r w:rsidR="00030038">
        <w:t>total cost of an incident consists of direct and indirect c</w:t>
      </w:r>
      <w:r w:rsidR="00C27E73">
        <w:t>o</w:t>
      </w:r>
      <w:r w:rsidR="00030038">
        <w:t xml:space="preserve">sts. </w:t>
      </w:r>
      <w:r w:rsidR="00835F40" w:rsidRPr="00E9705C">
        <w:t xml:space="preserve"> The direct costs refer to the financial costs directly incurred as a result of an incident, while indirect costs refer to flow-on costs to the economy due to supply chain linkages and other feedback responses by all economic agents (</w:t>
      </w:r>
      <w:r w:rsidR="005A445E" w:rsidRPr="00E9705C">
        <w:t>e.g.,</w:t>
      </w:r>
      <w:r w:rsidR="00835F40" w:rsidRPr="00E9705C">
        <w:t xml:space="preserve"> households, businesses).</w:t>
      </w:r>
      <w:r w:rsidR="00835F40">
        <w:t xml:space="preserve"> Specifically, the indirect</w:t>
      </w:r>
      <w:r w:rsidR="00835F40" w:rsidRPr="005A29EA">
        <w:t xml:space="preserve"> costs </w:t>
      </w:r>
      <w:r w:rsidR="00835F40">
        <w:t xml:space="preserve">include impacts to consumers as a result of the costs of </w:t>
      </w:r>
      <w:r w:rsidR="00D0451E">
        <w:t xml:space="preserve">an incident </w:t>
      </w:r>
      <w:r w:rsidR="00835F40">
        <w:t>being</w:t>
      </w:r>
      <w:r w:rsidR="00835F40" w:rsidRPr="005A29EA">
        <w:t xml:space="preserve"> </w:t>
      </w:r>
      <w:r w:rsidR="00835F40">
        <w:t>passed</w:t>
      </w:r>
      <w:r w:rsidR="00835F40" w:rsidRPr="005A29EA">
        <w:t xml:space="preserve"> on </w:t>
      </w:r>
      <w:r w:rsidR="00835F40">
        <w:t xml:space="preserve">through </w:t>
      </w:r>
      <w:r w:rsidR="00D0451E">
        <w:t xml:space="preserve">future </w:t>
      </w:r>
      <w:r w:rsidR="00835F40">
        <w:t xml:space="preserve">price increases. </w:t>
      </w:r>
    </w:p>
    <w:p w14:paraId="71323D77" w14:textId="20587CE5" w:rsidR="00835F40" w:rsidRDefault="00731490" w:rsidP="001C5E54">
      <w:pPr>
        <w:pStyle w:val="BodyText"/>
      </w:pPr>
      <w:r w:rsidRPr="00731490">
        <w:fldChar w:fldCharType="begin"/>
      </w:r>
      <w:r w:rsidRPr="00731490">
        <w:instrText xml:space="preserve"> REF _Ref92870948 \h  \* MERGEFORMAT </w:instrText>
      </w:r>
      <w:r w:rsidRPr="00731490">
        <w:fldChar w:fldCharType="separate"/>
      </w:r>
      <w:r w:rsidR="009708D4" w:rsidRPr="009708D4">
        <w:t xml:space="preserve">Table </w:t>
      </w:r>
      <w:r w:rsidR="009708D4" w:rsidRPr="009708D4">
        <w:rPr>
          <w:noProof/>
        </w:rPr>
        <w:t>9</w:t>
      </w:r>
      <w:r w:rsidRPr="00731490">
        <w:fldChar w:fldCharType="end"/>
      </w:r>
      <w:r w:rsidR="00835F40" w:rsidRPr="00731490">
        <w:t xml:space="preserve"> below indicates the potential costs associated with the realisation of all</w:t>
      </w:r>
      <w:r w:rsidR="00330C6A">
        <w:t>-</w:t>
      </w:r>
      <w:r w:rsidR="00835F40" w:rsidRPr="00731490">
        <w:t xml:space="preserve">hazard threats for critical </w:t>
      </w:r>
      <w:r w:rsidR="00550E88" w:rsidRPr="00731490">
        <w:t>infrastructure</w:t>
      </w:r>
      <w:r w:rsidR="00835F40" w:rsidRPr="00731490">
        <w:t xml:space="preserve"> assets.</w:t>
      </w:r>
    </w:p>
    <w:p w14:paraId="0353322F" w14:textId="5B652515" w:rsidR="00E70887" w:rsidRDefault="00E70887">
      <w:pPr>
        <w:spacing w:before="80" w:after="80"/>
        <w:rPr>
          <w:rFonts w:cstheme="majorHAnsi"/>
          <w:sz w:val="22"/>
          <w:szCs w:val="28"/>
        </w:rPr>
      </w:pPr>
      <w:r>
        <w:br w:type="page"/>
      </w:r>
    </w:p>
    <w:p w14:paraId="2F6CE050" w14:textId="477B03AE" w:rsidR="00E9705C" w:rsidRDefault="00E9705C" w:rsidP="001C5E54">
      <w:pPr>
        <w:pStyle w:val="Caption"/>
      </w:pPr>
      <w:bookmarkStart w:id="246" w:name="_Ref92870948"/>
      <w:bookmarkStart w:id="247" w:name="_Toc120115094"/>
      <w:r w:rsidRPr="00E9705C">
        <w:rPr>
          <w:b/>
        </w:rPr>
        <w:lastRenderedPageBreak/>
        <w:t xml:space="preserve">Table </w:t>
      </w:r>
      <w:r w:rsidRPr="00E9705C">
        <w:rPr>
          <w:b/>
        </w:rPr>
        <w:fldChar w:fldCharType="begin"/>
      </w:r>
      <w:r w:rsidRPr="00E9705C">
        <w:rPr>
          <w:b/>
        </w:rPr>
        <w:instrText xml:space="preserve"> SEQ Table \* ARABIC </w:instrText>
      </w:r>
      <w:r w:rsidRPr="00E9705C">
        <w:rPr>
          <w:b/>
        </w:rPr>
        <w:fldChar w:fldCharType="separate"/>
      </w:r>
      <w:r w:rsidR="009708D4">
        <w:rPr>
          <w:b/>
          <w:noProof/>
        </w:rPr>
        <w:t>9</w:t>
      </w:r>
      <w:r w:rsidRPr="00E9705C">
        <w:rPr>
          <w:b/>
        </w:rPr>
        <w:fldChar w:fldCharType="end"/>
      </w:r>
      <w:bookmarkEnd w:id="246"/>
      <w:r w:rsidRPr="00E9705C">
        <w:t xml:space="preserve"> </w:t>
      </w:r>
      <w:r w:rsidR="00987079">
        <w:t xml:space="preserve">Total cost to the economy (direct and indirect costs) of the incident, by </w:t>
      </w:r>
      <w:r w:rsidR="008056F4">
        <w:t>critical infrastructure asset</w:t>
      </w:r>
      <w:bookmarkEnd w:id="244"/>
      <w:bookmarkEnd w:id="245"/>
      <w:bookmarkEnd w:id="247"/>
    </w:p>
    <w:tbl>
      <w:tblPr>
        <w:tblStyle w:val="TableGrid111"/>
        <w:tblW w:w="0" w:type="auto"/>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820"/>
        <w:gridCol w:w="2253"/>
        <w:gridCol w:w="2254"/>
        <w:gridCol w:w="2254"/>
      </w:tblGrid>
      <w:tr w:rsidR="000F20CF" w:rsidRPr="00662F85" w14:paraId="449ACCBF" w14:textId="77777777" w:rsidTr="00662F85">
        <w:trPr>
          <w:cantSplit/>
          <w:trHeight w:val="401"/>
          <w:tblHeader/>
        </w:trPr>
        <w:tc>
          <w:tcPr>
            <w:tcW w:w="2820" w:type="dxa"/>
            <w:shd w:val="clear" w:color="auto" w:fill="034EA2" w:themeFill="accent1"/>
          </w:tcPr>
          <w:p w14:paraId="7EE62E0E" w14:textId="77777777" w:rsidR="0055303E" w:rsidRPr="00662F85" w:rsidRDefault="0055303E" w:rsidP="00662F85">
            <w:pPr>
              <w:pStyle w:val="TableHeading"/>
              <w:rPr>
                <w:rFonts w:asciiTheme="minorHAnsi" w:hAnsiTheme="minorHAnsi" w:cstheme="minorHAnsi"/>
              </w:rPr>
            </w:pPr>
            <w:r w:rsidRPr="00662F85">
              <w:rPr>
                <w:rFonts w:asciiTheme="minorHAnsi" w:hAnsiTheme="minorHAnsi" w:cstheme="minorHAnsi"/>
              </w:rPr>
              <w:t>Critical infrastructure asset</w:t>
            </w:r>
          </w:p>
        </w:tc>
        <w:tc>
          <w:tcPr>
            <w:tcW w:w="2253" w:type="dxa"/>
            <w:shd w:val="clear" w:color="auto" w:fill="034EA2" w:themeFill="accent1"/>
            <w:hideMark/>
          </w:tcPr>
          <w:p w14:paraId="5F81DCD9" w14:textId="77777777" w:rsidR="0055303E" w:rsidRPr="00662F85" w:rsidRDefault="0055303E" w:rsidP="00662F85">
            <w:pPr>
              <w:pStyle w:val="TableHeading"/>
              <w:jc w:val="center"/>
              <w:rPr>
                <w:rFonts w:asciiTheme="minorHAnsi" w:hAnsiTheme="minorHAnsi" w:cstheme="minorHAnsi"/>
              </w:rPr>
            </w:pPr>
            <w:r w:rsidRPr="00662F85">
              <w:rPr>
                <w:rFonts w:asciiTheme="minorHAnsi" w:hAnsiTheme="minorHAnsi" w:cstheme="minorHAnsi"/>
              </w:rPr>
              <w:t>Scenario 1</w:t>
            </w:r>
            <w:r w:rsidRPr="00662F85">
              <w:rPr>
                <w:rFonts w:asciiTheme="minorHAnsi" w:hAnsiTheme="minorHAnsi" w:cstheme="minorHAnsi"/>
              </w:rPr>
              <w:br/>
              <w:t>(Severe, $ million)</w:t>
            </w:r>
          </w:p>
        </w:tc>
        <w:tc>
          <w:tcPr>
            <w:tcW w:w="2254" w:type="dxa"/>
            <w:shd w:val="clear" w:color="auto" w:fill="034EA2" w:themeFill="accent1"/>
            <w:hideMark/>
          </w:tcPr>
          <w:p w14:paraId="14026426" w14:textId="77777777" w:rsidR="0055303E" w:rsidRPr="00662F85" w:rsidRDefault="0055303E" w:rsidP="00662F85">
            <w:pPr>
              <w:pStyle w:val="TableHeading"/>
              <w:jc w:val="center"/>
              <w:rPr>
                <w:rFonts w:asciiTheme="minorHAnsi" w:hAnsiTheme="minorHAnsi" w:cstheme="minorHAnsi"/>
              </w:rPr>
            </w:pPr>
            <w:r w:rsidRPr="00662F85">
              <w:rPr>
                <w:rFonts w:asciiTheme="minorHAnsi" w:hAnsiTheme="minorHAnsi" w:cstheme="minorHAnsi"/>
              </w:rPr>
              <w:t>Scenario 2</w:t>
            </w:r>
            <w:r w:rsidRPr="00662F85">
              <w:rPr>
                <w:rFonts w:asciiTheme="minorHAnsi" w:hAnsiTheme="minorHAnsi" w:cstheme="minorHAnsi"/>
              </w:rPr>
              <w:br/>
              <w:t>(Moderate, $ million)</w:t>
            </w:r>
          </w:p>
        </w:tc>
        <w:tc>
          <w:tcPr>
            <w:tcW w:w="2254" w:type="dxa"/>
            <w:shd w:val="clear" w:color="auto" w:fill="034EA2" w:themeFill="accent1"/>
            <w:hideMark/>
          </w:tcPr>
          <w:p w14:paraId="3AC8CE30" w14:textId="77777777" w:rsidR="0055303E" w:rsidRPr="00662F85" w:rsidRDefault="0055303E" w:rsidP="00662F85">
            <w:pPr>
              <w:pStyle w:val="TableHeading"/>
              <w:jc w:val="center"/>
              <w:rPr>
                <w:rFonts w:asciiTheme="minorHAnsi" w:hAnsiTheme="minorHAnsi" w:cstheme="minorHAnsi"/>
              </w:rPr>
            </w:pPr>
            <w:r w:rsidRPr="00662F85">
              <w:rPr>
                <w:rFonts w:asciiTheme="minorHAnsi" w:hAnsiTheme="minorHAnsi" w:cstheme="minorHAnsi"/>
              </w:rPr>
              <w:t>Scenario 3</w:t>
            </w:r>
            <w:r w:rsidRPr="00662F85">
              <w:rPr>
                <w:rFonts w:asciiTheme="minorHAnsi" w:hAnsiTheme="minorHAnsi" w:cstheme="minorHAnsi"/>
              </w:rPr>
              <w:br/>
              <w:t>(Low, $ million)</w:t>
            </w:r>
          </w:p>
        </w:tc>
      </w:tr>
      <w:tr w:rsidR="00192C24" w:rsidRPr="00662F85" w14:paraId="4972638A" w14:textId="77777777" w:rsidTr="00CE4B35">
        <w:trPr>
          <w:cantSplit/>
          <w:trHeight w:val="361"/>
        </w:trPr>
        <w:tc>
          <w:tcPr>
            <w:tcW w:w="2820" w:type="dxa"/>
            <w:shd w:val="clear" w:color="auto" w:fill="F2F2F2" w:themeFill="background2" w:themeFillShade="F2"/>
            <w:vAlign w:val="center"/>
          </w:tcPr>
          <w:p w14:paraId="01AD95E7" w14:textId="77777777" w:rsidR="00192C24" w:rsidRPr="00662F85" w:rsidRDefault="00192C24" w:rsidP="00192C24">
            <w:pPr>
              <w:pStyle w:val="Tabletext"/>
              <w:rPr>
                <w:rFonts w:asciiTheme="minorHAnsi" w:hAnsiTheme="minorHAnsi" w:cstheme="minorHAnsi"/>
              </w:rPr>
            </w:pPr>
            <w:r w:rsidRPr="00662F85">
              <w:rPr>
                <w:rFonts w:asciiTheme="minorHAnsi" w:hAnsiTheme="minorHAnsi" w:cstheme="minorHAnsi"/>
              </w:rPr>
              <w:t>Critical electricity assets</w:t>
            </w:r>
          </w:p>
        </w:tc>
        <w:tc>
          <w:tcPr>
            <w:tcW w:w="2253" w:type="dxa"/>
            <w:shd w:val="clear" w:color="auto" w:fill="auto"/>
          </w:tcPr>
          <w:p w14:paraId="7B5C8293" w14:textId="258E4B4A" w:rsidR="00192C24" w:rsidRPr="00CE4B35" w:rsidRDefault="00627179"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1,280.0</w:t>
            </w:r>
          </w:p>
        </w:tc>
        <w:tc>
          <w:tcPr>
            <w:tcW w:w="2254" w:type="dxa"/>
            <w:shd w:val="clear" w:color="auto" w:fill="auto"/>
          </w:tcPr>
          <w:p w14:paraId="270A426F" w14:textId="7C8D60AA" w:rsidR="00192C24" w:rsidRPr="00CE4B35" w:rsidRDefault="002D74CF"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850.0</w:t>
            </w:r>
          </w:p>
        </w:tc>
        <w:tc>
          <w:tcPr>
            <w:tcW w:w="2254" w:type="dxa"/>
            <w:shd w:val="clear" w:color="auto" w:fill="auto"/>
          </w:tcPr>
          <w:p w14:paraId="4FA35EA3" w14:textId="78586BAB" w:rsidR="00192C24" w:rsidRPr="00CE4B35" w:rsidRDefault="002D74CF"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490.0</w:t>
            </w:r>
          </w:p>
        </w:tc>
      </w:tr>
      <w:tr w:rsidR="00192C24" w:rsidRPr="00662F85" w14:paraId="272A01D9" w14:textId="77777777" w:rsidTr="7EBB1CEE">
        <w:trPr>
          <w:cantSplit/>
          <w:trHeight w:val="361"/>
        </w:trPr>
        <w:tc>
          <w:tcPr>
            <w:tcW w:w="2820" w:type="dxa"/>
            <w:shd w:val="clear" w:color="auto" w:fill="F2F2F2" w:themeFill="background2" w:themeFillShade="F2"/>
            <w:vAlign w:val="center"/>
          </w:tcPr>
          <w:p w14:paraId="4461742F" w14:textId="77777777" w:rsidR="00192C24" w:rsidRPr="00662F85" w:rsidRDefault="00192C24" w:rsidP="00192C24">
            <w:pPr>
              <w:pStyle w:val="Tabletext"/>
              <w:rPr>
                <w:rFonts w:asciiTheme="minorHAnsi" w:hAnsiTheme="minorHAnsi" w:cstheme="minorHAnsi"/>
              </w:rPr>
            </w:pPr>
            <w:r w:rsidRPr="00662F85">
              <w:rPr>
                <w:rFonts w:asciiTheme="minorHAnsi" w:hAnsiTheme="minorHAnsi" w:cstheme="minorHAnsi"/>
              </w:rPr>
              <w:t>Critical gas assets</w:t>
            </w:r>
          </w:p>
        </w:tc>
        <w:tc>
          <w:tcPr>
            <w:tcW w:w="2253" w:type="dxa"/>
          </w:tcPr>
          <w:p w14:paraId="69B2FAC0" w14:textId="496CB197" w:rsidR="00192C24" w:rsidRPr="00CE4B35" w:rsidRDefault="002D74CF"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1,9</w:t>
            </w:r>
            <w:r w:rsidR="0021069F">
              <w:rPr>
                <w:rFonts w:eastAsia="MS Mincho" w:cstheme="minorHAnsi"/>
                <w:color w:val="000000" w:themeColor="text1"/>
                <w:szCs w:val="20"/>
                <w:lang w:val="en-US" w:eastAsia="en-AU"/>
              </w:rPr>
              <w:t>13</w:t>
            </w:r>
            <w:r w:rsidRPr="00CE4B35">
              <w:rPr>
                <w:rFonts w:eastAsia="MS Mincho" w:cstheme="minorHAnsi"/>
                <w:color w:val="000000" w:themeColor="text1"/>
                <w:szCs w:val="20"/>
                <w:lang w:val="en-US" w:eastAsia="en-AU"/>
              </w:rPr>
              <w:t>.0</w:t>
            </w:r>
          </w:p>
        </w:tc>
        <w:tc>
          <w:tcPr>
            <w:tcW w:w="2254" w:type="dxa"/>
          </w:tcPr>
          <w:p w14:paraId="124A8320" w14:textId="318C2DEC" w:rsidR="00192C24" w:rsidRPr="00CE4B35" w:rsidRDefault="002D74CF"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1,001.0</w:t>
            </w:r>
          </w:p>
        </w:tc>
        <w:tc>
          <w:tcPr>
            <w:tcW w:w="2254" w:type="dxa"/>
          </w:tcPr>
          <w:p w14:paraId="4F952144" w14:textId="16959D11" w:rsidR="00192C24" w:rsidRPr="00CE4B35" w:rsidRDefault="002D74CF"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513.0</w:t>
            </w:r>
          </w:p>
        </w:tc>
      </w:tr>
      <w:tr w:rsidR="00192C24" w:rsidRPr="00662F85" w14:paraId="69ED27CC" w14:textId="77777777" w:rsidTr="7EBB1CEE">
        <w:trPr>
          <w:cantSplit/>
          <w:trHeight w:val="361"/>
        </w:trPr>
        <w:tc>
          <w:tcPr>
            <w:tcW w:w="2820" w:type="dxa"/>
            <w:shd w:val="clear" w:color="auto" w:fill="F2F2F2" w:themeFill="background2" w:themeFillShade="F2"/>
            <w:vAlign w:val="center"/>
          </w:tcPr>
          <w:p w14:paraId="1195BB00" w14:textId="77777777" w:rsidR="00192C24" w:rsidRPr="00662F85" w:rsidRDefault="00192C24" w:rsidP="00192C24">
            <w:pPr>
              <w:pStyle w:val="Tabletext"/>
              <w:rPr>
                <w:rFonts w:asciiTheme="minorHAnsi" w:hAnsiTheme="minorHAnsi" w:cstheme="minorHAnsi"/>
              </w:rPr>
            </w:pPr>
            <w:r w:rsidRPr="00662F85">
              <w:rPr>
                <w:rFonts w:asciiTheme="minorHAnsi" w:hAnsiTheme="minorHAnsi" w:cstheme="minorHAnsi"/>
              </w:rPr>
              <w:t>Critical water assets</w:t>
            </w:r>
          </w:p>
        </w:tc>
        <w:tc>
          <w:tcPr>
            <w:tcW w:w="2253" w:type="dxa"/>
          </w:tcPr>
          <w:p w14:paraId="3833A852" w14:textId="0767F4F7" w:rsidR="00192C24" w:rsidRPr="00CE4B35" w:rsidRDefault="001E33CD"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4,099.0</w:t>
            </w:r>
          </w:p>
        </w:tc>
        <w:tc>
          <w:tcPr>
            <w:tcW w:w="2254" w:type="dxa"/>
          </w:tcPr>
          <w:p w14:paraId="30CD29E8" w14:textId="7664B0B4" w:rsidR="00192C24" w:rsidRPr="00CE4B35" w:rsidRDefault="00433BC1"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126.8</w:t>
            </w:r>
          </w:p>
        </w:tc>
        <w:tc>
          <w:tcPr>
            <w:tcW w:w="2254" w:type="dxa"/>
          </w:tcPr>
          <w:p w14:paraId="49CD7422" w14:textId="000DDB75" w:rsidR="00192C24" w:rsidRPr="00CE4B35" w:rsidRDefault="00433BC1"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w:t>
            </w:r>
            <w:r w:rsidR="00BC38EA" w:rsidRPr="00CE4B35">
              <w:rPr>
                <w:rFonts w:eastAsia="MS Mincho" w:cstheme="minorHAnsi"/>
                <w:color w:val="000000" w:themeColor="text1"/>
                <w:szCs w:val="20"/>
                <w:lang w:val="en-US" w:eastAsia="en-AU"/>
              </w:rPr>
              <w:t>.</w:t>
            </w:r>
            <w:r w:rsidRPr="00CE4B35">
              <w:rPr>
                <w:rFonts w:eastAsia="MS Mincho" w:cstheme="minorHAnsi"/>
                <w:color w:val="000000" w:themeColor="text1"/>
                <w:szCs w:val="20"/>
                <w:lang w:val="en-US" w:eastAsia="en-AU"/>
              </w:rPr>
              <w:t>2</w:t>
            </w:r>
          </w:p>
        </w:tc>
      </w:tr>
      <w:tr w:rsidR="00192C24" w:rsidRPr="00662F85" w14:paraId="0652E763" w14:textId="77777777" w:rsidTr="7EBB1CEE">
        <w:trPr>
          <w:cantSplit/>
          <w:trHeight w:val="372"/>
        </w:trPr>
        <w:tc>
          <w:tcPr>
            <w:tcW w:w="2820" w:type="dxa"/>
            <w:shd w:val="clear" w:color="auto" w:fill="F2F2F2" w:themeFill="background2" w:themeFillShade="F2"/>
            <w:vAlign w:val="center"/>
          </w:tcPr>
          <w:p w14:paraId="4A1CA915" w14:textId="77777777" w:rsidR="00192C24" w:rsidRPr="00662F85" w:rsidRDefault="00192C24" w:rsidP="00192C24">
            <w:pPr>
              <w:pStyle w:val="Tabletext"/>
              <w:rPr>
                <w:rFonts w:asciiTheme="minorHAnsi" w:hAnsiTheme="minorHAnsi" w:cstheme="minorHAnsi"/>
              </w:rPr>
            </w:pPr>
            <w:r w:rsidRPr="00662F85">
              <w:rPr>
                <w:rFonts w:asciiTheme="minorHAnsi" w:hAnsiTheme="minorHAnsi" w:cstheme="minorHAnsi"/>
              </w:rPr>
              <w:t>Critical data processing or storage assets</w:t>
            </w:r>
          </w:p>
        </w:tc>
        <w:tc>
          <w:tcPr>
            <w:tcW w:w="2253" w:type="dxa"/>
          </w:tcPr>
          <w:p w14:paraId="488F5AA7" w14:textId="1A8E873C" w:rsidR="00192C24" w:rsidRPr="00CE4B35" w:rsidRDefault="00433BC1"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196.0</w:t>
            </w:r>
          </w:p>
        </w:tc>
        <w:tc>
          <w:tcPr>
            <w:tcW w:w="2254" w:type="dxa"/>
          </w:tcPr>
          <w:p w14:paraId="3E959235" w14:textId="76673FE2" w:rsidR="00192C24" w:rsidRPr="00CE4B35" w:rsidRDefault="00433BC1"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98.0</w:t>
            </w:r>
          </w:p>
        </w:tc>
        <w:tc>
          <w:tcPr>
            <w:tcW w:w="2254" w:type="dxa"/>
          </w:tcPr>
          <w:p w14:paraId="0B16D76B" w14:textId="21700178" w:rsidR="00192C24" w:rsidRPr="00CE4B35" w:rsidRDefault="00433BC1"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4.6</w:t>
            </w:r>
          </w:p>
        </w:tc>
      </w:tr>
      <w:tr w:rsidR="00340241" w:rsidRPr="00662F85" w14:paraId="0B2C9C62" w14:textId="77777777" w:rsidTr="7EBB1CEE">
        <w:trPr>
          <w:cantSplit/>
          <w:trHeight w:val="361"/>
        </w:trPr>
        <w:tc>
          <w:tcPr>
            <w:tcW w:w="2820" w:type="dxa"/>
            <w:shd w:val="clear" w:color="auto" w:fill="F2F2F2" w:themeFill="background2" w:themeFillShade="F2"/>
            <w:vAlign w:val="center"/>
          </w:tcPr>
          <w:p w14:paraId="35836754" w14:textId="65B1175C" w:rsidR="0055303E" w:rsidRPr="00662F85" w:rsidRDefault="0055303E" w:rsidP="00662F85">
            <w:pPr>
              <w:pStyle w:val="Tabletext"/>
              <w:rPr>
                <w:rFonts w:asciiTheme="minorHAnsi" w:hAnsiTheme="minorHAnsi" w:cstheme="minorHAnsi"/>
              </w:rPr>
            </w:pPr>
            <w:r w:rsidRPr="00662F85">
              <w:rPr>
                <w:rFonts w:asciiTheme="minorHAnsi" w:hAnsiTheme="minorHAnsi" w:cstheme="minorHAnsi"/>
              </w:rPr>
              <w:t>Critical broadcasting assets</w:t>
            </w:r>
            <w:r w:rsidR="00916E3C">
              <w:rPr>
                <w:rFonts w:asciiTheme="minorHAnsi" w:hAnsiTheme="minorHAnsi" w:cstheme="minorHAnsi"/>
              </w:rPr>
              <w:t xml:space="preserve"> </w:t>
            </w:r>
            <w:r w:rsidR="00916E3C">
              <w:rPr>
                <w:rFonts w:asciiTheme="minorHAnsi" w:hAnsiTheme="minorHAnsi" w:cstheme="minorHAnsi"/>
                <w:i/>
                <w:iCs/>
              </w:rPr>
              <w:t xml:space="preserve">and </w:t>
            </w:r>
            <w:r w:rsidR="00916E3C">
              <w:rPr>
                <w:rFonts w:asciiTheme="minorHAnsi" w:hAnsiTheme="minorHAnsi" w:cstheme="minorHAnsi"/>
              </w:rPr>
              <w:t>critical domain name systems</w:t>
            </w:r>
            <w:r w:rsidR="00916E3C" w:rsidRPr="00662F85">
              <w:rPr>
                <w:rFonts w:asciiTheme="minorHAnsi" w:hAnsiTheme="minorHAnsi" w:cstheme="minorHAnsi"/>
                <w:vertAlign w:val="superscript"/>
              </w:rPr>
              <w:footnoteReference w:id="46"/>
            </w:r>
          </w:p>
        </w:tc>
        <w:tc>
          <w:tcPr>
            <w:tcW w:w="2253" w:type="dxa"/>
          </w:tcPr>
          <w:p w14:paraId="0D1FDB5C" w14:textId="340ADE25" w:rsidR="0055303E" w:rsidRPr="00CE4B35" w:rsidRDefault="00A469B5" w:rsidP="00662F85">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7.7</w:t>
            </w:r>
          </w:p>
        </w:tc>
        <w:tc>
          <w:tcPr>
            <w:tcW w:w="2254" w:type="dxa"/>
          </w:tcPr>
          <w:p w14:paraId="1A2F03BC" w14:textId="2BFF8B33" w:rsidR="0055303E" w:rsidRPr="00CE4B35" w:rsidRDefault="00A469B5" w:rsidP="00662F85">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3.8</w:t>
            </w:r>
          </w:p>
        </w:tc>
        <w:tc>
          <w:tcPr>
            <w:tcW w:w="2254" w:type="dxa"/>
          </w:tcPr>
          <w:p w14:paraId="18AEF653" w14:textId="61B5882C" w:rsidR="0055303E" w:rsidRPr="00CE4B35" w:rsidRDefault="00A469B5" w:rsidP="00662F85">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1.9</w:t>
            </w:r>
          </w:p>
        </w:tc>
      </w:tr>
      <w:tr w:rsidR="00192C24" w:rsidRPr="00662F85" w14:paraId="57CB80A7" w14:textId="77777777" w:rsidTr="7EBB1CEE">
        <w:trPr>
          <w:cantSplit/>
          <w:trHeight w:val="361"/>
        </w:trPr>
        <w:tc>
          <w:tcPr>
            <w:tcW w:w="2820" w:type="dxa"/>
            <w:shd w:val="clear" w:color="auto" w:fill="F2F2F2" w:themeFill="background2" w:themeFillShade="F2"/>
            <w:vAlign w:val="center"/>
          </w:tcPr>
          <w:p w14:paraId="497800FE" w14:textId="77777777" w:rsidR="00192C24" w:rsidRPr="00662F85" w:rsidRDefault="00192C24" w:rsidP="00192C24">
            <w:pPr>
              <w:pStyle w:val="Tabletext"/>
              <w:rPr>
                <w:rFonts w:asciiTheme="minorHAnsi" w:hAnsiTheme="minorHAnsi" w:cstheme="minorHAnsi"/>
              </w:rPr>
            </w:pPr>
            <w:r w:rsidRPr="00662F85">
              <w:rPr>
                <w:rFonts w:asciiTheme="minorHAnsi" w:hAnsiTheme="minorHAnsi" w:cstheme="minorHAnsi"/>
              </w:rPr>
              <w:t>Critical financial market infrastructure assets (payment systems)</w:t>
            </w:r>
          </w:p>
        </w:tc>
        <w:tc>
          <w:tcPr>
            <w:tcW w:w="2253" w:type="dxa"/>
          </w:tcPr>
          <w:p w14:paraId="1BCADC41" w14:textId="08BE87A8" w:rsidR="00192C24" w:rsidRPr="00CE4B35" w:rsidRDefault="00FC2C2C"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27.1</w:t>
            </w:r>
          </w:p>
        </w:tc>
        <w:tc>
          <w:tcPr>
            <w:tcW w:w="2254" w:type="dxa"/>
          </w:tcPr>
          <w:p w14:paraId="50706422" w14:textId="56F2B112" w:rsidR="00192C24" w:rsidRPr="00CE4B35" w:rsidRDefault="00FC2C2C"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13.5</w:t>
            </w:r>
          </w:p>
        </w:tc>
        <w:tc>
          <w:tcPr>
            <w:tcW w:w="2254" w:type="dxa"/>
          </w:tcPr>
          <w:p w14:paraId="02BE40E0" w14:textId="4066DD07" w:rsidR="00192C24" w:rsidRPr="00CE4B35" w:rsidRDefault="00FC2C2C"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6.8</w:t>
            </w:r>
          </w:p>
        </w:tc>
      </w:tr>
      <w:tr w:rsidR="00192C24" w:rsidRPr="00662F85" w14:paraId="558D52A5" w14:textId="77777777" w:rsidTr="7EBB1CEE">
        <w:trPr>
          <w:cantSplit/>
          <w:trHeight w:val="361"/>
        </w:trPr>
        <w:tc>
          <w:tcPr>
            <w:tcW w:w="2820" w:type="dxa"/>
            <w:shd w:val="clear" w:color="auto" w:fill="F2F2F2" w:themeFill="background2" w:themeFillShade="F2"/>
            <w:vAlign w:val="center"/>
          </w:tcPr>
          <w:p w14:paraId="468C4406" w14:textId="77777777" w:rsidR="00192C24" w:rsidRPr="00662F85" w:rsidRDefault="00192C24" w:rsidP="00192C24">
            <w:pPr>
              <w:pStyle w:val="Tabletext"/>
              <w:rPr>
                <w:rFonts w:asciiTheme="minorHAnsi" w:hAnsiTheme="minorHAnsi" w:cstheme="minorHAnsi"/>
              </w:rPr>
            </w:pPr>
            <w:r w:rsidRPr="00662F85">
              <w:rPr>
                <w:rFonts w:asciiTheme="minorHAnsi" w:hAnsiTheme="minorHAnsi" w:cstheme="minorHAnsi"/>
              </w:rPr>
              <w:t>Critical liquid fuels assets</w:t>
            </w:r>
          </w:p>
        </w:tc>
        <w:tc>
          <w:tcPr>
            <w:tcW w:w="2253" w:type="dxa"/>
          </w:tcPr>
          <w:p w14:paraId="0E1A7811" w14:textId="1C85A1C4" w:rsidR="00192C24" w:rsidRPr="00CE4B35" w:rsidRDefault="00FC2C2C"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1,91</w:t>
            </w:r>
            <w:r w:rsidR="0021069F">
              <w:rPr>
                <w:rFonts w:eastAsia="MS Mincho" w:cstheme="minorHAnsi"/>
                <w:color w:val="000000" w:themeColor="text1"/>
                <w:szCs w:val="20"/>
                <w:lang w:val="en-US" w:eastAsia="en-AU"/>
              </w:rPr>
              <w:t>3</w:t>
            </w:r>
            <w:r w:rsidRPr="00CE4B35">
              <w:rPr>
                <w:rFonts w:eastAsia="MS Mincho" w:cstheme="minorHAnsi"/>
                <w:color w:val="000000" w:themeColor="text1"/>
                <w:szCs w:val="20"/>
                <w:lang w:val="en-US" w:eastAsia="en-AU"/>
              </w:rPr>
              <w:t>.0</w:t>
            </w:r>
          </w:p>
        </w:tc>
        <w:tc>
          <w:tcPr>
            <w:tcW w:w="2254" w:type="dxa"/>
          </w:tcPr>
          <w:p w14:paraId="287CEE82" w14:textId="6528A944" w:rsidR="00192C24" w:rsidRPr="00CE4B35" w:rsidRDefault="0021069F" w:rsidP="00192C24">
            <w:pPr>
              <w:pStyle w:val="Tabletext"/>
              <w:jc w:val="center"/>
              <w:rPr>
                <w:rFonts w:asciiTheme="minorHAnsi" w:eastAsia="MS Mincho" w:hAnsiTheme="minorHAnsi" w:cstheme="minorHAnsi"/>
                <w:color w:val="000000" w:themeColor="text1"/>
                <w:szCs w:val="20"/>
                <w:lang w:val="en-US" w:eastAsia="en-AU"/>
              </w:rPr>
            </w:pPr>
            <w:r>
              <w:rPr>
                <w:rFonts w:eastAsia="MS Mincho" w:cstheme="minorHAnsi"/>
                <w:color w:val="000000" w:themeColor="text1"/>
                <w:szCs w:val="20"/>
                <w:lang w:val="en-US" w:eastAsia="en-AU"/>
              </w:rPr>
              <w:t>1,001.0</w:t>
            </w:r>
          </w:p>
        </w:tc>
        <w:tc>
          <w:tcPr>
            <w:tcW w:w="2254" w:type="dxa"/>
          </w:tcPr>
          <w:p w14:paraId="5BD6ABE5" w14:textId="6B9060E9" w:rsidR="00192C24" w:rsidRPr="00CE4B35" w:rsidRDefault="00FC2C2C"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14.</w:t>
            </w:r>
            <w:r w:rsidR="00F75779">
              <w:rPr>
                <w:rFonts w:asciiTheme="minorHAnsi" w:eastAsia="MS Mincho" w:hAnsiTheme="minorHAnsi" w:cstheme="minorHAnsi"/>
                <w:color w:val="000000" w:themeColor="text1"/>
                <w:szCs w:val="20"/>
                <w:lang w:val="en-US" w:eastAsia="en-AU"/>
              </w:rPr>
              <w:t>5</w:t>
            </w:r>
          </w:p>
        </w:tc>
      </w:tr>
      <w:tr w:rsidR="00192C24" w:rsidRPr="00662F85" w14:paraId="32E76CA7" w14:textId="77777777" w:rsidTr="7EBB1CEE">
        <w:trPr>
          <w:cantSplit/>
          <w:trHeight w:val="372"/>
        </w:trPr>
        <w:tc>
          <w:tcPr>
            <w:tcW w:w="2820" w:type="dxa"/>
            <w:shd w:val="clear" w:color="auto" w:fill="F2F2F2" w:themeFill="background2" w:themeFillShade="F2"/>
            <w:vAlign w:val="center"/>
          </w:tcPr>
          <w:p w14:paraId="29A877B5" w14:textId="77777777" w:rsidR="00192C24" w:rsidRPr="00662F85" w:rsidRDefault="00192C24" w:rsidP="00192C24">
            <w:pPr>
              <w:pStyle w:val="Tabletext"/>
              <w:rPr>
                <w:rFonts w:asciiTheme="minorHAnsi" w:hAnsiTheme="minorHAnsi" w:cstheme="minorHAnsi"/>
              </w:rPr>
            </w:pPr>
            <w:r w:rsidRPr="00662F85">
              <w:rPr>
                <w:rFonts w:asciiTheme="minorHAnsi" w:hAnsiTheme="minorHAnsi" w:cstheme="minorHAnsi"/>
              </w:rPr>
              <w:t>Critical hospitals</w:t>
            </w:r>
          </w:p>
        </w:tc>
        <w:tc>
          <w:tcPr>
            <w:tcW w:w="2253" w:type="dxa"/>
          </w:tcPr>
          <w:p w14:paraId="3F052695" w14:textId="3F4B4985" w:rsidR="00192C24" w:rsidRPr="00CE4B35" w:rsidRDefault="00FC2C2C"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229.8</w:t>
            </w:r>
          </w:p>
        </w:tc>
        <w:tc>
          <w:tcPr>
            <w:tcW w:w="2254" w:type="dxa"/>
          </w:tcPr>
          <w:p w14:paraId="43A5F513" w14:textId="0FF4FCFE" w:rsidR="00192C24" w:rsidRPr="00CE4B35" w:rsidRDefault="00FC2C2C"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114.9</w:t>
            </w:r>
          </w:p>
        </w:tc>
        <w:tc>
          <w:tcPr>
            <w:tcW w:w="2254" w:type="dxa"/>
          </w:tcPr>
          <w:p w14:paraId="50B7B6AA" w14:textId="71620E5B" w:rsidR="00192C24" w:rsidRPr="00CE4B35" w:rsidRDefault="008B74FA"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23.0</w:t>
            </w:r>
          </w:p>
        </w:tc>
      </w:tr>
      <w:tr w:rsidR="00192C24" w:rsidRPr="00662F85" w14:paraId="47F68596" w14:textId="77777777" w:rsidTr="7EBB1CEE">
        <w:trPr>
          <w:cantSplit/>
          <w:trHeight w:val="361"/>
        </w:trPr>
        <w:tc>
          <w:tcPr>
            <w:tcW w:w="2820" w:type="dxa"/>
            <w:shd w:val="clear" w:color="auto" w:fill="F2F2F2" w:themeFill="background2" w:themeFillShade="F2"/>
            <w:vAlign w:val="center"/>
          </w:tcPr>
          <w:p w14:paraId="734014C9" w14:textId="77777777" w:rsidR="00192C24" w:rsidRPr="00662F85" w:rsidRDefault="00192C24" w:rsidP="00192C24">
            <w:pPr>
              <w:pStyle w:val="Tabletext"/>
              <w:rPr>
                <w:rFonts w:asciiTheme="minorHAnsi" w:hAnsiTheme="minorHAnsi" w:cstheme="minorHAnsi"/>
              </w:rPr>
            </w:pPr>
            <w:r w:rsidRPr="00662F85">
              <w:rPr>
                <w:rFonts w:asciiTheme="minorHAnsi" w:hAnsiTheme="minorHAnsi" w:cstheme="minorHAnsi"/>
              </w:rPr>
              <w:t>Critical energy market operator assets</w:t>
            </w:r>
          </w:p>
        </w:tc>
        <w:tc>
          <w:tcPr>
            <w:tcW w:w="2253" w:type="dxa"/>
          </w:tcPr>
          <w:p w14:paraId="7C6A6637" w14:textId="426EC680" w:rsidR="00192C24" w:rsidRPr="00CE4B35" w:rsidRDefault="008B74FA"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1,280.0</w:t>
            </w:r>
          </w:p>
        </w:tc>
        <w:tc>
          <w:tcPr>
            <w:tcW w:w="2254" w:type="dxa"/>
          </w:tcPr>
          <w:p w14:paraId="18E04E49" w14:textId="6284543B" w:rsidR="00192C24" w:rsidRPr="00CE4B35" w:rsidRDefault="008B74FA"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850.0</w:t>
            </w:r>
          </w:p>
        </w:tc>
        <w:tc>
          <w:tcPr>
            <w:tcW w:w="2254" w:type="dxa"/>
          </w:tcPr>
          <w:p w14:paraId="7027F532" w14:textId="66C03B35" w:rsidR="00192C24" w:rsidRPr="00CE4B35" w:rsidRDefault="008B74FA"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490.0</w:t>
            </w:r>
          </w:p>
        </w:tc>
      </w:tr>
      <w:tr w:rsidR="00192C24" w:rsidRPr="00662F85" w14:paraId="1E951FA0" w14:textId="77777777" w:rsidTr="7EBB1CEE">
        <w:trPr>
          <w:cantSplit/>
          <w:trHeight w:val="361"/>
        </w:trPr>
        <w:tc>
          <w:tcPr>
            <w:tcW w:w="2820" w:type="dxa"/>
            <w:shd w:val="clear" w:color="auto" w:fill="F2F2F2" w:themeFill="background2" w:themeFillShade="F2"/>
            <w:vAlign w:val="center"/>
          </w:tcPr>
          <w:p w14:paraId="44F70DFA" w14:textId="328F01B2" w:rsidR="00192C24" w:rsidRPr="00662F85" w:rsidRDefault="00192C24" w:rsidP="00192C24">
            <w:pPr>
              <w:pStyle w:val="Tabletext"/>
              <w:rPr>
                <w:rFonts w:cstheme="minorHAnsi"/>
              </w:rPr>
            </w:pPr>
            <w:r w:rsidRPr="00662F85">
              <w:rPr>
                <w:rFonts w:asciiTheme="minorHAnsi" w:hAnsiTheme="minorHAnsi" w:cstheme="minorHAnsi"/>
              </w:rPr>
              <w:t>Critical freight infrastructure and critical freight services assets</w:t>
            </w:r>
            <w:r w:rsidRPr="00662F85">
              <w:rPr>
                <w:rFonts w:asciiTheme="minorHAnsi" w:hAnsiTheme="minorHAnsi" w:cstheme="minorHAnsi"/>
                <w:vertAlign w:val="superscript"/>
              </w:rPr>
              <w:footnoteReference w:id="47"/>
            </w:r>
          </w:p>
        </w:tc>
        <w:tc>
          <w:tcPr>
            <w:tcW w:w="2253" w:type="dxa"/>
          </w:tcPr>
          <w:p w14:paraId="54E0022A" w14:textId="258B18E7" w:rsidR="00192C24" w:rsidRPr="00CE4B35" w:rsidRDefault="008B74FA"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724.1</w:t>
            </w:r>
          </w:p>
        </w:tc>
        <w:tc>
          <w:tcPr>
            <w:tcW w:w="2254" w:type="dxa"/>
          </w:tcPr>
          <w:p w14:paraId="30BFF700" w14:textId="14C4736B" w:rsidR="00192C24" w:rsidRPr="00CE4B35" w:rsidRDefault="008B74FA"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362.1</w:t>
            </w:r>
          </w:p>
        </w:tc>
        <w:tc>
          <w:tcPr>
            <w:tcW w:w="2254" w:type="dxa"/>
          </w:tcPr>
          <w:p w14:paraId="4F738A80" w14:textId="5CDCBBE6" w:rsidR="00192C24" w:rsidRPr="00CE4B35" w:rsidRDefault="008B74FA" w:rsidP="00192C24">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18.1</w:t>
            </w:r>
          </w:p>
        </w:tc>
      </w:tr>
      <w:tr w:rsidR="00D64394" w:rsidRPr="00662F85" w14:paraId="4CA30DBD" w14:textId="77777777" w:rsidTr="7EBB1CEE">
        <w:trPr>
          <w:cantSplit/>
          <w:trHeight w:val="361"/>
        </w:trPr>
        <w:tc>
          <w:tcPr>
            <w:tcW w:w="2820" w:type="dxa"/>
            <w:shd w:val="clear" w:color="auto" w:fill="F2F2F2" w:themeFill="background2" w:themeFillShade="F2"/>
            <w:vAlign w:val="center"/>
          </w:tcPr>
          <w:p w14:paraId="53EFDAA3" w14:textId="57A002DB" w:rsidR="00D64394" w:rsidRPr="00CE4B35" w:rsidRDefault="00D64394" w:rsidP="006833C3">
            <w:pPr>
              <w:pStyle w:val="Tabletext"/>
              <w:rPr>
                <w:rFonts w:asciiTheme="minorHAnsi" w:hAnsiTheme="minorHAnsi" w:cstheme="minorHAnsi"/>
              </w:rPr>
            </w:pPr>
            <w:r w:rsidRPr="00F72CB5">
              <w:rPr>
                <w:rFonts w:cstheme="minorHAnsi"/>
              </w:rPr>
              <w:t xml:space="preserve">Critical </w:t>
            </w:r>
            <w:r>
              <w:rPr>
                <w:rFonts w:asciiTheme="minorHAnsi" w:hAnsiTheme="minorHAnsi" w:cstheme="minorHAnsi"/>
              </w:rPr>
              <w:t>food and grocery assets</w:t>
            </w:r>
          </w:p>
        </w:tc>
        <w:tc>
          <w:tcPr>
            <w:tcW w:w="2253" w:type="dxa"/>
          </w:tcPr>
          <w:p w14:paraId="33A37ADA" w14:textId="1B215022" w:rsidR="00D64394" w:rsidRPr="00CE4B35" w:rsidRDefault="00BA6395" w:rsidP="006833C3">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72.0</w:t>
            </w:r>
          </w:p>
        </w:tc>
        <w:tc>
          <w:tcPr>
            <w:tcW w:w="2254" w:type="dxa"/>
          </w:tcPr>
          <w:p w14:paraId="21ACDCA8" w14:textId="680BD934" w:rsidR="00D64394" w:rsidRPr="00CE4B35" w:rsidRDefault="00BA6395" w:rsidP="006833C3">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48.0</w:t>
            </w:r>
          </w:p>
        </w:tc>
        <w:tc>
          <w:tcPr>
            <w:tcW w:w="2254" w:type="dxa"/>
          </w:tcPr>
          <w:p w14:paraId="7F99DC3D" w14:textId="29988A37" w:rsidR="00D64394" w:rsidRPr="00CE4B35" w:rsidRDefault="00BA6395" w:rsidP="006833C3">
            <w:pPr>
              <w:pStyle w:val="Tabletext"/>
              <w:jc w:val="center"/>
              <w:rPr>
                <w:rFonts w:asciiTheme="minorHAnsi" w:eastAsia="MS Mincho" w:hAnsiTheme="minorHAnsi" w:cstheme="minorHAnsi"/>
                <w:color w:val="000000" w:themeColor="text1"/>
                <w:szCs w:val="20"/>
                <w:lang w:val="en-US" w:eastAsia="en-AU"/>
              </w:rPr>
            </w:pPr>
            <w:r w:rsidRPr="00CE4B35">
              <w:rPr>
                <w:rFonts w:eastAsia="MS Mincho" w:cstheme="minorHAnsi"/>
                <w:color w:val="000000" w:themeColor="text1"/>
                <w:szCs w:val="20"/>
                <w:lang w:val="en-US" w:eastAsia="en-AU"/>
              </w:rPr>
              <w:t>24.3</w:t>
            </w:r>
          </w:p>
        </w:tc>
      </w:tr>
    </w:tbl>
    <w:p w14:paraId="576FA03C" w14:textId="4E732FA5" w:rsidR="00987079" w:rsidRDefault="00987079" w:rsidP="00662F85">
      <w:pPr>
        <w:pStyle w:val="BodyText"/>
        <w:spacing w:before="240"/>
      </w:pPr>
      <w:r>
        <w:t xml:space="preserve">These costs are broken down further for each critical infrastructure asset in </w:t>
      </w:r>
      <w:r w:rsidR="00B551B1">
        <w:rPr>
          <w:szCs w:val="24"/>
        </w:rPr>
        <w:t>a</w:t>
      </w:r>
      <w:r w:rsidR="00E849F6" w:rsidRPr="00E849F6">
        <w:rPr>
          <w:szCs w:val="24"/>
        </w:rPr>
        <w:t xml:space="preserve">ppendices </w:t>
      </w:r>
      <w:r w:rsidR="00E853F8">
        <w:rPr>
          <w:szCs w:val="24"/>
        </w:rPr>
        <w:t>S</w:t>
      </w:r>
      <w:r w:rsidR="00AA63AB">
        <w:rPr>
          <w:szCs w:val="24"/>
        </w:rPr>
        <w:t xml:space="preserve"> – </w:t>
      </w:r>
      <w:r w:rsidR="00E853F8">
        <w:rPr>
          <w:szCs w:val="24"/>
        </w:rPr>
        <w:t>CC</w:t>
      </w:r>
      <w:r w:rsidR="00E849F6">
        <w:rPr>
          <w:szCs w:val="24"/>
        </w:rPr>
        <w:t>.</w:t>
      </w:r>
    </w:p>
    <w:p w14:paraId="70630858" w14:textId="77777777" w:rsidR="00E9705C" w:rsidRPr="00AE638C" w:rsidRDefault="00E9705C" w:rsidP="001C5E54">
      <w:pPr>
        <w:pStyle w:val="BodyText"/>
        <w:rPr>
          <w:b/>
          <w:bCs/>
          <w:i/>
          <w:iCs/>
        </w:rPr>
      </w:pPr>
      <w:r w:rsidRPr="00AE638C">
        <w:t xml:space="preserve">The costs outlined in the table above are discussed in greater detail in the </w:t>
      </w:r>
      <w:r w:rsidR="00AE638C">
        <w:t>s</w:t>
      </w:r>
      <w:r w:rsidRPr="00AE638C">
        <w:t xml:space="preserve">ection </w:t>
      </w:r>
      <w:r w:rsidR="00AE638C" w:rsidRPr="00AE638C">
        <w:rPr>
          <w:rStyle w:val="normaltextrun"/>
          <w:rFonts w:ascii="Arial" w:hAnsi="Arial"/>
          <w:color w:val="000000" w:themeColor="text1"/>
          <w:bdr w:val="none" w:sz="0" w:space="0" w:color="auto" w:frame="1"/>
        </w:rPr>
        <w:t>4.2.2</w:t>
      </w:r>
      <w:r w:rsidR="007213B3" w:rsidRPr="00AE638C">
        <w:rPr>
          <w:rStyle w:val="normaltextrun"/>
          <w:rFonts w:ascii="Arial" w:hAnsi="Arial"/>
          <w:color w:val="000000" w:themeColor="text1"/>
          <w:bdr w:val="none" w:sz="0" w:space="0" w:color="auto" w:frame="1"/>
        </w:rPr>
        <w:t xml:space="preserve"> </w:t>
      </w:r>
      <w:r w:rsidRPr="00AE638C">
        <w:t>below. Without adequate protections, industry and the Australian economy as a whole may incur costs in line with those described above, dependent on the severity and frequency of the disruption.</w:t>
      </w:r>
    </w:p>
    <w:p w14:paraId="2243FD0D" w14:textId="77777777" w:rsidR="00E9705C" w:rsidRPr="002F1B2B" w:rsidRDefault="00E9705C" w:rsidP="001C5E54">
      <w:pPr>
        <w:pStyle w:val="Heading4"/>
      </w:pPr>
      <w:r w:rsidRPr="002F1B2B">
        <w:t>Benefits of option 1</w:t>
      </w:r>
    </w:p>
    <w:p w14:paraId="254F908D" w14:textId="3EE01933" w:rsidR="00E9705C" w:rsidRPr="00E9705C" w:rsidRDefault="00E9705C" w:rsidP="001C5E54">
      <w:pPr>
        <w:pStyle w:val="BodyText"/>
      </w:pPr>
      <w:r w:rsidRPr="00E9705C">
        <w:t>Under option 1, industry may benefit from ongoing operation in a familiar, consistent regulatory environment, with no additional regulatory costs. Industry will also be afforded the flexibility to address all</w:t>
      </w:r>
      <w:r w:rsidR="00330C6A">
        <w:t>-</w:t>
      </w:r>
      <w:r w:rsidRPr="00E9705C">
        <w:t>hazard threats in a manner they see fit.</w:t>
      </w:r>
    </w:p>
    <w:p w14:paraId="786926DE" w14:textId="77777777" w:rsidR="00E9705C" w:rsidRPr="002F1B2B" w:rsidRDefault="00E9705C" w:rsidP="001C5E54">
      <w:pPr>
        <w:pStyle w:val="Heading4"/>
      </w:pPr>
      <w:r w:rsidRPr="002F1B2B">
        <w:t>Assessment of likely net benefit</w:t>
      </w:r>
    </w:p>
    <w:p w14:paraId="750514F2" w14:textId="74A36391" w:rsidR="00E9705C" w:rsidRPr="00E9705C" w:rsidRDefault="00E9705C" w:rsidP="001C5E54">
      <w:pPr>
        <w:pStyle w:val="BodyText"/>
      </w:pPr>
      <w:r w:rsidRPr="00E9705C">
        <w:t>The costs and benefits set out above demonstrate that option 1 is not capable of achieving a coordinated uplift in all</w:t>
      </w:r>
      <w:r w:rsidR="00330C6A">
        <w:t>-</w:t>
      </w:r>
      <w:r w:rsidRPr="00E9705C">
        <w:t xml:space="preserve">hazards risk management across </w:t>
      </w:r>
      <w:r w:rsidR="008056F4">
        <w:t>critical infrastructure assets</w:t>
      </w:r>
      <w:r w:rsidRPr="00E9705C">
        <w:t xml:space="preserve">, as this option involves no change to the current regulatory environment. While, under the status quo, industry will face no increase in regulatory costs, stakeholders will suffer the forgone benefit of clear direction and consistent standards set by Government. Without the benefit of an uplift in the </w:t>
      </w:r>
      <w:r w:rsidRPr="00E9705C">
        <w:lastRenderedPageBreak/>
        <w:t xml:space="preserve">security and resilience of all </w:t>
      </w:r>
      <w:r w:rsidR="008056F4">
        <w:t>critical infrastructure assets</w:t>
      </w:r>
      <w:r w:rsidRPr="00E9705C">
        <w:t xml:space="preserve">, </w:t>
      </w:r>
      <w:r w:rsidR="008056F4">
        <w:t>critical infrastructure assets</w:t>
      </w:r>
      <w:r w:rsidRPr="00E9705C">
        <w:t xml:space="preserve"> are left more vulnerable to the realisation of all</w:t>
      </w:r>
      <w:r w:rsidR="00330C6A">
        <w:t>-</w:t>
      </w:r>
      <w:r w:rsidRPr="00E9705C">
        <w:t xml:space="preserve">hazard incidents. As a result, industry may bear the associated cascading consequences and financial costs outlined above. </w:t>
      </w:r>
    </w:p>
    <w:p w14:paraId="5F018352" w14:textId="3028C16D" w:rsidR="00E9705C" w:rsidRPr="00E9705C" w:rsidRDefault="00E9705C" w:rsidP="004C0EFC">
      <w:pPr>
        <w:pStyle w:val="Heading3numbered"/>
      </w:pPr>
      <w:bookmarkStart w:id="248" w:name="_Toc78272018"/>
      <w:bookmarkStart w:id="249" w:name="_Toc79149652"/>
      <w:r w:rsidRPr="00E9705C">
        <w:t>Likely net benefit: Option 2</w:t>
      </w:r>
      <w:bookmarkEnd w:id="248"/>
      <w:bookmarkEnd w:id="249"/>
      <w:r w:rsidRPr="00E9705C">
        <w:t xml:space="preserve"> </w:t>
      </w:r>
    </w:p>
    <w:p w14:paraId="5817C0EC" w14:textId="3B2FA42B" w:rsidR="00E9705C" w:rsidRPr="00E9705C" w:rsidRDefault="00E9705C" w:rsidP="001C5E54">
      <w:pPr>
        <w:pStyle w:val="BodyText"/>
        <w:rPr>
          <w:rFonts w:eastAsia="Calibri"/>
        </w:rPr>
      </w:pPr>
      <w:r w:rsidRPr="00E9705C">
        <w:t>The following section details the costs and benefits associated with option 2 (</w:t>
      </w:r>
      <w:r w:rsidR="007A7C82">
        <w:t>mandatory RMP framework</w:t>
      </w:r>
      <w:r w:rsidRPr="00E9705C">
        <w:t xml:space="preserve">), before assessing the overall likely net benefit presented by this option. </w:t>
      </w:r>
    </w:p>
    <w:p w14:paraId="2250F94D" w14:textId="77777777" w:rsidR="00E9705C" w:rsidRPr="002F1B2B" w:rsidRDefault="00E9705C" w:rsidP="001C5E54">
      <w:pPr>
        <w:pStyle w:val="Heading4"/>
      </w:pPr>
      <w:r w:rsidRPr="002F1B2B">
        <w:t>Costs of option 2</w:t>
      </w:r>
    </w:p>
    <w:p w14:paraId="1778B11A" w14:textId="77777777" w:rsidR="00066CEA" w:rsidRPr="00E9705C" w:rsidRDefault="00066CEA" w:rsidP="001C5E54">
      <w:pPr>
        <w:pStyle w:val="BodyText"/>
      </w:pPr>
      <w:bookmarkStart w:id="250" w:name="_Toc78878015"/>
      <w:bookmarkStart w:id="251" w:name="_Toc79156691"/>
      <w:r w:rsidRPr="00E9705C">
        <w:t xml:space="preserve">There are multiple factors affecting the regulatory burden for each entity, including their existing risk management practices and capabilities, the nature of the </w:t>
      </w:r>
      <w:r w:rsidR="008056F4">
        <w:t>critical infrastructure assets</w:t>
      </w:r>
      <w:r w:rsidRPr="00E9705C">
        <w:t xml:space="preserve"> they operate</w:t>
      </w:r>
      <w:r w:rsidR="00330C6A">
        <w:t>,</w:t>
      </w:r>
      <w:r w:rsidRPr="00E9705C">
        <w:t xml:space="preserve"> and the size of their operations. In collecting cost information from entities across </w:t>
      </w:r>
      <w:r w:rsidR="008056F4">
        <w:t>critical infrastructure assets</w:t>
      </w:r>
      <w:r w:rsidRPr="00E9705C">
        <w:t xml:space="preserve">, this variance in cost impact has been captured and reflected in the estimates of total cost across critical </w:t>
      </w:r>
      <w:r w:rsidR="00AE638C">
        <w:t>infrastructure</w:t>
      </w:r>
      <w:r w:rsidRPr="00E9705C">
        <w:t xml:space="preserve"> assets included in this RIS.</w:t>
      </w:r>
    </w:p>
    <w:p w14:paraId="0C2EF9C8" w14:textId="77777777" w:rsidR="00066CEA" w:rsidRPr="00E9705C" w:rsidRDefault="00066CEA" w:rsidP="001C5E54">
      <w:pPr>
        <w:pStyle w:val="BodyText"/>
      </w:pPr>
      <w:r w:rsidRPr="00E9705C">
        <w:t>The</w:t>
      </w:r>
      <w:r>
        <w:t xml:space="preserve"> expected</w:t>
      </w:r>
      <w:r w:rsidRPr="00E9705C">
        <w:t xml:space="preserve"> costs associated with option 2 are estimated as follows: </w:t>
      </w:r>
    </w:p>
    <w:p w14:paraId="01311E24" w14:textId="01058594" w:rsidR="00066CEA" w:rsidRPr="00A256FD" w:rsidRDefault="00066CEA" w:rsidP="001C5E54">
      <w:pPr>
        <w:pStyle w:val="Bullet1stlevel"/>
      </w:pPr>
      <w:r w:rsidRPr="00E9705C">
        <w:t>A one-off aggregated cost o</w:t>
      </w:r>
      <w:r w:rsidRPr="00A256FD">
        <w:t>f $</w:t>
      </w:r>
      <w:r w:rsidR="00694535">
        <w:t>1,601.0</w:t>
      </w:r>
      <w:r w:rsidR="00325C4E" w:rsidRPr="00A256FD">
        <w:t xml:space="preserve"> </w:t>
      </w:r>
      <w:r w:rsidRPr="00A256FD">
        <w:t xml:space="preserve">million, across </w:t>
      </w:r>
      <w:r w:rsidR="008056F4" w:rsidRPr="00A256FD">
        <w:t>critical infrastructure assets</w:t>
      </w:r>
      <w:r w:rsidRPr="00A256FD">
        <w:t xml:space="preserve"> nationally</w:t>
      </w:r>
      <w:r w:rsidR="00330C6A">
        <w:t>,</w:t>
      </w:r>
      <w:r w:rsidRPr="00A256FD">
        <w:t xml:space="preserve"> to achieve compliance with the </w:t>
      </w:r>
      <w:r w:rsidR="00BB0179" w:rsidRPr="00A256FD">
        <w:t>RMP</w:t>
      </w:r>
      <w:r w:rsidRPr="00A256FD">
        <w:t xml:space="preserve"> obligations and </w:t>
      </w:r>
      <w:r w:rsidR="0016603A" w:rsidRPr="00A256FD">
        <w:t>RMP rules</w:t>
      </w:r>
      <w:r w:rsidRPr="00A256FD">
        <w:t xml:space="preserve">; and </w:t>
      </w:r>
    </w:p>
    <w:p w14:paraId="545DEC32" w14:textId="50D5763D" w:rsidR="00066CEA" w:rsidRPr="00DB22A8" w:rsidRDefault="00066CEA" w:rsidP="001C5E54">
      <w:pPr>
        <w:pStyle w:val="Bullet1stlevel"/>
      </w:pPr>
      <w:r w:rsidRPr="00A256FD">
        <w:t xml:space="preserve">An ongoing aggregated cost of </w:t>
      </w:r>
      <w:r w:rsidRPr="00A44322">
        <w:t>$</w:t>
      </w:r>
      <w:r w:rsidR="00B658C8" w:rsidRPr="007D243C">
        <w:t>1,</w:t>
      </w:r>
      <w:r w:rsidR="72081BF9" w:rsidRPr="009A253F">
        <w:t>0</w:t>
      </w:r>
      <w:r w:rsidR="00694535" w:rsidRPr="00CE4B35">
        <w:t>76</w:t>
      </w:r>
      <w:r w:rsidR="00BA2692" w:rsidRPr="00CE4B35">
        <w:t>.</w:t>
      </w:r>
      <w:r w:rsidR="00694535" w:rsidRPr="009A253F">
        <w:t>3</w:t>
      </w:r>
      <w:r w:rsidRPr="00DB22A8">
        <w:t xml:space="preserve"> million per year, across </w:t>
      </w:r>
      <w:r w:rsidR="008056F4">
        <w:t>critical infrastructure assets</w:t>
      </w:r>
      <w:r w:rsidRPr="00DB22A8">
        <w:t xml:space="preserve"> nationally</w:t>
      </w:r>
      <w:r w:rsidR="00330C6A">
        <w:t>,</w:t>
      </w:r>
      <w:r w:rsidRPr="00DB22A8">
        <w:t xml:space="preserve"> to maintain compliance. </w:t>
      </w:r>
    </w:p>
    <w:p w14:paraId="323B1EF2" w14:textId="0340584C" w:rsidR="00066CEA" w:rsidRDefault="00066CEA" w:rsidP="001C5E54">
      <w:pPr>
        <w:pStyle w:val="BodyText"/>
        <w:rPr>
          <w:rFonts w:eastAsia="Times New Roman"/>
        </w:rPr>
      </w:pPr>
      <w:r w:rsidRPr="00731490">
        <w:t xml:space="preserve">The cost of regulation will be borne by entities responsible for </w:t>
      </w:r>
      <w:r w:rsidR="008056F4" w:rsidRPr="00731490">
        <w:t>critical infrastructure assets</w:t>
      </w:r>
      <w:r w:rsidRPr="00731490">
        <w:t xml:space="preserve"> who meet the relevant thresholds. Community organisations and individuals will not be directly affected but there will likely be indirect costs passed onto consumers. For the purposes of this RIS, the cost of regulation in </w:t>
      </w:r>
      <w:r w:rsidR="00731490" w:rsidRPr="00731490">
        <w:fldChar w:fldCharType="begin"/>
      </w:r>
      <w:r w:rsidR="00731490" w:rsidRPr="00731490">
        <w:instrText xml:space="preserve"> REF _Ref92870928 \h  \* MERGEFORMAT </w:instrText>
      </w:r>
      <w:r w:rsidR="00731490" w:rsidRPr="00731490">
        <w:fldChar w:fldCharType="separate"/>
      </w:r>
      <w:r w:rsidR="009708D4" w:rsidRPr="009708D4">
        <w:t xml:space="preserve">Table </w:t>
      </w:r>
      <w:r w:rsidR="009708D4" w:rsidRPr="009708D4">
        <w:rPr>
          <w:noProof/>
        </w:rPr>
        <w:t>10</w:t>
      </w:r>
      <w:r w:rsidR="00731490" w:rsidRPr="00731490">
        <w:fldChar w:fldCharType="end"/>
      </w:r>
      <w:r w:rsidRPr="00731490">
        <w:t xml:space="preserve"> will only include the initial costs associated with regulation</w:t>
      </w:r>
      <w:r w:rsidR="00A43B3B" w:rsidRPr="00731490">
        <w:t>.</w:t>
      </w:r>
      <w:r w:rsidRPr="00731490">
        <w:rPr>
          <w:rStyle w:val="FootnoteReference"/>
          <w:rFonts w:ascii="Arial" w:eastAsia="Calibri" w:hAnsi="Arial" w:cs="Arial"/>
          <w:color w:val="000000" w:themeColor="text1"/>
        </w:rPr>
        <w:footnoteReference w:id="48"/>
      </w:r>
      <w:r w:rsidRPr="00731490">
        <w:t xml:space="preserve"> </w:t>
      </w:r>
      <w:r w:rsidRPr="00731490">
        <w:rPr>
          <w:rFonts w:eastAsia="Times New Roman"/>
        </w:rPr>
        <w:t xml:space="preserve">The indirect cost to consumers and communities has been addressed in the economic analysis </w:t>
      </w:r>
      <w:r w:rsidR="001E28A5">
        <w:rPr>
          <w:rFonts w:eastAsia="Times New Roman"/>
        </w:rPr>
        <w:t xml:space="preserve">detailed </w:t>
      </w:r>
      <w:r w:rsidR="00277A55">
        <w:rPr>
          <w:rFonts w:eastAsia="Times New Roman"/>
        </w:rPr>
        <w:t xml:space="preserve">in the net benefit section </w:t>
      </w:r>
      <w:r w:rsidR="001E28A5">
        <w:rPr>
          <w:rFonts w:eastAsia="Times New Roman"/>
        </w:rPr>
        <w:t>below</w:t>
      </w:r>
      <w:r w:rsidR="00277A55">
        <w:rPr>
          <w:rFonts w:eastAsia="Times New Roman"/>
        </w:rPr>
        <w:t>.</w:t>
      </w:r>
      <w:r w:rsidR="001E28A5">
        <w:rPr>
          <w:rFonts w:eastAsia="Times New Roman"/>
        </w:rPr>
        <w:t xml:space="preserve"> </w:t>
      </w:r>
      <w:r w:rsidR="00277A55">
        <w:rPr>
          <w:rFonts w:eastAsia="Times New Roman"/>
        </w:rPr>
        <w:t>This</w:t>
      </w:r>
      <w:r w:rsidRPr="00731490">
        <w:rPr>
          <w:rFonts w:eastAsia="Times New Roman"/>
        </w:rPr>
        <w:t xml:space="preserve"> </w:t>
      </w:r>
      <w:r w:rsidR="001E28A5">
        <w:rPr>
          <w:rFonts w:eastAsia="Times New Roman"/>
        </w:rPr>
        <w:t>considers the</w:t>
      </w:r>
      <w:r w:rsidRPr="00731490">
        <w:rPr>
          <w:rFonts w:eastAsia="Times New Roman"/>
        </w:rPr>
        <w:t xml:space="preserve"> indirect cost</w:t>
      </w:r>
      <w:r w:rsidR="00B10F83">
        <w:rPr>
          <w:rFonts w:eastAsia="Times New Roman"/>
        </w:rPr>
        <w:t>s and benefits</w:t>
      </w:r>
      <w:r w:rsidRPr="00731490">
        <w:rPr>
          <w:rFonts w:eastAsia="Times New Roman"/>
        </w:rPr>
        <w:t xml:space="preserve"> to the wider economy as a result of the proposed </w:t>
      </w:r>
      <w:r w:rsidR="00BB0179" w:rsidRPr="00731490">
        <w:rPr>
          <w:rFonts w:eastAsia="Times New Roman"/>
        </w:rPr>
        <w:t>RMP</w:t>
      </w:r>
      <w:r w:rsidRPr="00731490">
        <w:rPr>
          <w:rFonts w:eastAsia="Times New Roman"/>
        </w:rPr>
        <w:t xml:space="preserve"> framework.</w:t>
      </w:r>
    </w:p>
    <w:p w14:paraId="211EF49F" w14:textId="5EBA4BC5" w:rsidR="00E9705C" w:rsidRPr="00E9705C" w:rsidRDefault="00E9705C" w:rsidP="001C5E54">
      <w:pPr>
        <w:pStyle w:val="Caption"/>
      </w:pPr>
      <w:bookmarkStart w:id="252" w:name="_Ref92870928"/>
      <w:bookmarkStart w:id="253" w:name="_Toc120115095"/>
      <w:r w:rsidRPr="006602D2">
        <w:rPr>
          <w:b/>
          <w:bCs/>
        </w:rPr>
        <w:t xml:space="preserve">Table </w:t>
      </w:r>
      <w:r w:rsidRPr="006602D2">
        <w:rPr>
          <w:rFonts w:ascii="Calibri" w:hAnsi="Calibri" w:cs="Times New Roman"/>
          <w:b/>
          <w:bCs/>
        </w:rPr>
        <w:fldChar w:fldCharType="begin"/>
      </w:r>
      <w:r w:rsidRPr="006602D2">
        <w:rPr>
          <w:b/>
          <w:bCs/>
        </w:rPr>
        <w:instrText xml:space="preserve"> SEQ Table \* ARABIC </w:instrText>
      </w:r>
      <w:r w:rsidRPr="006602D2">
        <w:rPr>
          <w:rFonts w:ascii="Calibri" w:hAnsi="Calibri" w:cs="Times New Roman"/>
          <w:b/>
          <w:bCs/>
        </w:rPr>
        <w:fldChar w:fldCharType="separate"/>
      </w:r>
      <w:r w:rsidR="009708D4">
        <w:rPr>
          <w:b/>
          <w:bCs/>
          <w:noProof/>
        </w:rPr>
        <w:t>10</w:t>
      </w:r>
      <w:r w:rsidRPr="006602D2">
        <w:rPr>
          <w:rFonts w:ascii="Calibri" w:hAnsi="Calibri" w:cs="Times New Roman"/>
          <w:b/>
          <w:bCs/>
        </w:rPr>
        <w:fldChar w:fldCharType="end"/>
      </w:r>
      <w:bookmarkEnd w:id="252"/>
      <w:r w:rsidRPr="00E9705C">
        <w:t xml:space="preserve"> Regulatory cost estimate</w:t>
      </w:r>
      <w:bookmarkEnd w:id="250"/>
      <w:bookmarkEnd w:id="251"/>
      <w:bookmarkEnd w:id="253"/>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270"/>
        <w:gridCol w:w="1843"/>
        <w:gridCol w:w="1843"/>
        <w:gridCol w:w="1843"/>
        <w:gridCol w:w="1839"/>
      </w:tblGrid>
      <w:tr w:rsidR="00E9705C" w:rsidRPr="004A2F94" w14:paraId="4092CD69" w14:textId="77777777" w:rsidTr="00F8074E">
        <w:tc>
          <w:tcPr>
            <w:tcW w:w="1178" w:type="pct"/>
            <w:vMerge w:val="restart"/>
            <w:shd w:val="clear" w:color="auto" w:fill="034EA2" w:themeFill="accent1"/>
            <w:vAlign w:val="center"/>
            <w:hideMark/>
          </w:tcPr>
          <w:p w14:paraId="3B9B2EE9" w14:textId="77777777" w:rsidR="00E9705C" w:rsidRPr="004A2F94" w:rsidRDefault="00E9705C" w:rsidP="00F8074E">
            <w:pPr>
              <w:pStyle w:val="TableHeading"/>
              <w:jc w:val="center"/>
              <w:rPr>
                <w:rFonts w:asciiTheme="minorHAnsi" w:hAnsiTheme="minorHAnsi" w:cstheme="minorHAnsi"/>
                <w:lang w:eastAsia="en-AU"/>
              </w:rPr>
            </w:pPr>
            <w:r w:rsidRPr="004A2F94">
              <w:rPr>
                <w:rFonts w:asciiTheme="minorHAnsi" w:hAnsiTheme="minorHAnsi" w:cstheme="minorHAnsi"/>
                <w:lang w:eastAsia="en-AU"/>
              </w:rPr>
              <w:t>Cost Type</w:t>
            </w:r>
          </w:p>
        </w:tc>
        <w:tc>
          <w:tcPr>
            <w:tcW w:w="3822" w:type="pct"/>
            <w:gridSpan w:val="4"/>
            <w:shd w:val="clear" w:color="auto" w:fill="034EA2" w:themeFill="accent1"/>
            <w:vAlign w:val="center"/>
            <w:hideMark/>
          </w:tcPr>
          <w:p w14:paraId="4B636E7F" w14:textId="77777777" w:rsidR="00E9705C" w:rsidRPr="004A2F94" w:rsidRDefault="00E9705C" w:rsidP="00F8074E">
            <w:pPr>
              <w:pStyle w:val="TableHeading"/>
              <w:jc w:val="center"/>
              <w:rPr>
                <w:rFonts w:asciiTheme="minorHAnsi" w:hAnsiTheme="minorHAnsi" w:cstheme="minorHAnsi"/>
                <w:lang w:eastAsia="en-AU"/>
              </w:rPr>
            </w:pPr>
            <w:r w:rsidRPr="004A2F94">
              <w:rPr>
                <w:rFonts w:asciiTheme="minorHAnsi" w:hAnsiTheme="minorHAnsi" w:cstheme="minorHAnsi"/>
                <w:lang w:eastAsia="en-AU"/>
              </w:rPr>
              <w:t>Costs ($ million)</w:t>
            </w:r>
          </w:p>
        </w:tc>
      </w:tr>
      <w:tr w:rsidR="00E9705C" w:rsidRPr="004A2F94" w14:paraId="6C1969E1" w14:textId="77777777" w:rsidTr="00F8074E">
        <w:tc>
          <w:tcPr>
            <w:tcW w:w="1178" w:type="pct"/>
            <w:vMerge/>
            <w:vAlign w:val="center"/>
            <w:hideMark/>
          </w:tcPr>
          <w:p w14:paraId="5ADF15BA" w14:textId="77777777" w:rsidR="00E9705C" w:rsidRPr="004A2F94" w:rsidRDefault="00E9705C" w:rsidP="00F8074E">
            <w:pPr>
              <w:keepNext/>
              <w:jc w:val="center"/>
              <w:rPr>
                <w:rFonts w:asciiTheme="minorHAnsi" w:hAnsiTheme="minorHAnsi" w:cstheme="minorHAnsi"/>
                <w:sz w:val="22"/>
                <w:lang w:eastAsia="en-AU"/>
              </w:rPr>
            </w:pPr>
          </w:p>
        </w:tc>
        <w:tc>
          <w:tcPr>
            <w:tcW w:w="956" w:type="pct"/>
            <w:shd w:val="clear" w:color="auto" w:fill="BBDAFD" w:themeFill="accent1" w:themeFillTint="33"/>
            <w:vAlign w:val="center"/>
            <w:hideMark/>
          </w:tcPr>
          <w:p w14:paraId="3B515F94" w14:textId="77777777" w:rsidR="00E9705C" w:rsidRPr="004A2F94" w:rsidRDefault="00E9705C" w:rsidP="00F8074E">
            <w:pPr>
              <w:pStyle w:val="TableBody"/>
              <w:jc w:val="center"/>
              <w:rPr>
                <w:rFonts w:asciiTheme="minorHAnsi" w:hAnsiTheme="minorHAnsi" w:cstheme="minorHAnsi"/>
                <w:lang w:eastAsia="en-AU"/>
              </w:rPr>
            </w:pPr>
            <w:r w:rsidRPr="004A2F94">
              <w:rPr>
                <w:rFonts w:asciiTheme="minorHAnsi" w:hAnsiTheme="minorHAnsi" w:cstheme="minorHAnsi"/>
                <w:lang w:eastAsia="en-AU"/>
              </w:rPr>
              <w:t>Business</w:t>
            </w:r>
          </w:p>
        </w:tc>
        <w:tc>
          <w:tcPr>
            <w:tcW w:w="956" w:type="pct"/>
            <w:shd w:val="clear" w:color="auto" w:fill="BBDAFD" w:themeFill="accent1" w:themeFillTint="33"/>
            <w:vAlign w:val="center"/>
            <w:hideMark/>
          </w:tcPr>
          <w:p w14:paraId="3BCC96E5" w14:textId="77777777" w:rsidR="00E9705C" w:rsidRPr="004A2F94" w:rsidRDefault="00E9705C" w:rsidP="00F8074E">
            <w:pPr>
              <w:pStyle w:val="TableBody"/>
              <w:jc w:val="center"/>
              <w:rPr>
                <w:rFonts w:asciiTheme="minorHAnsi" w:hAnsiTheme="minorHAnsi" w:cstheme="minorHAnsi"/>
                <w:lang w:eastAsia="en-AU"/>
              </w:rPr>
            </w:pPr>
            <w:r w:rsidRPr="004A2F94">
              <w:rPr>
                <w:rFonts w:asciiTheme="minorHAnsi" w:hAnsiTheme="minorHAnsi" w:cstheme="minorHAnsi"/>
                <w:lang w:eastAsia="en-AU"/>
              </w:rPr>
              <w:t>Community</w:t>
            </w:r>
          </w:p>
        </w:tc>
        <w:tc>
          <w:tcPr>
            <w:tcW w:w="956" w:type="pct"/>
            <w:shd w:val="clear" w:color="auto" w:fill="BBDAFD" w:themeFill="accent1" w:themeFillTint="33"/>
            <w:vAlign w:val="center"/>
            <w:hideMark/>
          </w:tcPr>
          <w:p w14:paraId="32C598C6" w14:textId="77777777" w:rsidR="00E9705C" w:rsidRPr="004A2F94" w:rsidRDefault="00E9705C" w:rsidP="00F8074E">
            <w:pPr>
              <w:pStyle w:val="TableBody"/>
              <w:jc w:val="center"/>
              <w:rPr>
                <w:rFonts w:asciiTheme="minorHAnsi" w:hAnsiTheme="minorHAnsi" w:cstheme="minorHAnsi"/>
                <w:lang w:eastAsia="en-AU"/>
              </w:rPr>
            </w:pPr>
            <w:r w:rsidRPr="004A2F94">
              <w:rPr>
                <w:rFonts w:asciiTheme="minorHAnsi" w:hAnsiTheme="minorHAnsi" w:cstheme="minorHAnsi"/>
                <w:lang w:eastAsia="en-AU"/>
              </w:rPr>
              <w:t>Individuals</w:t>
            </w:r>
          </w:p>
        </w:tc>
        <w:tc>
          <w:tcPr>
            <w:tcW w:w="956" w:type="pct"/>
            <w:shd w:val="clear" w:color="auto" w:fill="BBDAFD" w:themeFill="accent1" w:themeFillTint="33"/>
            <w:vAlign w:val="center"/>
            <w:hideMark/>
          </w:tcPr>
          <w:p w14:paraId="6182A5A4" w14:textId="5DE46A0B" w:rsidR="00E9705C" w:rsidRPr="004A2F94" w:rsidRDefault="00E9705C" w:rsidP="00F8074E">
            <w:pPr>
              <w:pStyle w:val="TableBody"/>
              <w:jc w:val="center"/>
              <w:rPr>
                <w:rFonts w:asciiTheme="minorHAnsi" w:hAnsiTheme="minorHAnsi" w:cstheme="minorHAnsi"/>
                <w:lang w:eastAsia="en-AU"/>
              </w:rPr>
            </w:pPr>
            <w:r w:rsidRPr="004A2F94">
              <w:rPr>
                <w:rFonts w:asciiTheme="minorHAnsi" w:hAnsiTheme="minorHAnsi" w:cstheme="minorHAnsi"/>
                <w:lang w:eastAsia="en-AU"/>
              </w:rPr>
              <w:t>Total cost</w:t>
            </w:r>
          </w:p>
        </w:tc>
      </w:tr>
      <w:tr w:rsidR="00577588" w:rsidRPr="004A2F94" w14:paraId="3EA2DFB2" w14:textId="77777777" w:rsidTr="00E70887">
        <w:tc>
          <w:tcPr>
            <w:tcW w:w="1178" w:type="pct"/>
            <w:shd w:val="clear" w:color="auto" w:fill="F2F2F2" w:themeFill="background1" w:themeFillShade="F2"/>
            <w:hideMark/>
          </w:tcPr>
          <w:p w14:paraId="25FFCCC2" w14:textId="77777777" w:rsidR="00577588" w:rsidRPr="004A2F94" w:rsidRDefault="00577588" w:rsidP="00E70887">
            <w:pPr>
              <w:pStyle w:val="TableBody"/>
              <w:rPr>
                <w:rFonts w:asciiTheme="minorHAnsi" w:hAnsiTheme="minorHAnsi" w:cstheme="minorHAnsi"/>
                <w:lang w:eastAsia="en-AU"/>
              </w:rPr>
            </w:pPr>
            <w:r w:rsidRPr="004A2F94">
              <w:rPr>
                <w:rFonts w:asciiTheme="minorHAnsi" w:hAnsiTheme="minorHAnsi" w:cstheme="minorHAnsi"/>
                <w:lang w:eastAsia="en-AU"/>
              </w:rPr>
              <w:t>One-off</w:t>
            </w:r>
          </w:p>
        </w:tc>
        <w:tc>
          <w:tcPr>
            <w:tcW w:w="956" w:type="pct"/>
            <w:hideMark/>
          </w:tcPr>
          <w:p w14:paraId="615EF73B" w14:textId="1C4D3F2A" w:rsidR="00577588" w:rsidRPr="004A2F94" w:rsidRDefault="00B954DB" w:rsidP="004536B6">
            <w:pPr>
              <w:pStyle w:val="TableBody"/>
              <w:jc w:val="center"/>
              <w:rPr>
                <w:rFonts w:asciiTheme="minorHAnsi" w:hAnsiTheme="minorHAnsi" w:cstheme="minorHAnsi"/>
                <w:lang w:eastAsia="en-AU"/>
              </w:rPr>
            </w:pPr>
            <w:r>
              <w:rPr>
                <w:rFonts w:asciiTheme="minorHAnsi" w:hAnsiTheme="minorHAnsi" w:cstheme="minorHAnsi"/>
                <w:lang w:eastAsia="en-AU"/>
              </w:rPr>
              <w:t>1,</w:t>
            </w:r>
            <w:r w:rsidR="009A253F">
              <w:rPr>
                <w:rFonts w:asciiTheme="minorHAnsi" w:hAnsiTheme="minorHAnsi" w:cstheme="minorHAnsi"/>
                <w:lang w:eastAsia="en-AU"/>
              </w:rPr>
              <w:t>601.0</w:t>
            </w:r>
          </w:p>
        </w:tc>
        <w:tc>
          <w:tcPr>
            <w:tcW w:w="956" w:type="pct"/>
            <w:hideMark/>
          </w:tcPr>
          <w:p w14:paraId="133F7A96" w14:textId="77777777" w:rsidR="00577588" w:rsidRPr="004A2F94" w:rsidRDefault="00577588" w:rsidP="004536B6">
            <w:pPr>
              <w:pStyle w:val="TableBody"/>
              <w:jc w:val="center"/>
              <w:rPr>
                <w:rFonts w:asciiTheme="minorHAnsi" w:hAnsiTheme="minorHAnsi" w:cstheme="minorHAnsi"/>
                <w:lang w:eastAsia="en-AU"/>
              </w:rPr>
            </w:pPr>
            <w:r w:rsidRPr="004A2F94">
              <w:rPr>
                <w:rFonts w:asciiTheme="minorHAnsi" w:hAnsiTheme="minorHAnsi" w:cstheme="minorHAnsi"/>
                <w:lang w:eastAsia="en-AU"/>
              </w:rPr>
              <w:t>Nil</w:t>
            </w:r>
          </w:p>
        </w:tc>
        <w:tc>
          <w:tcPr>
            <w:tcW w:w="956" w:type="pct"/>
            <w:hideMark/>
          </w:tcPr>
          <w:p w14:paraId="054E9267" w14:textId="77777777" w:rsidR="00577588" w:rsidRPr="004A2F94" w:rsidRDefault="00577588" w:rsidP="004536B6">
            <w:pPr>
              <w:pStyle w:val="TableBody"/>
              <w:jc w:val="center"/>
              <w:rPr>
                <w:rFonts w:asciiTheme="minorHAnsi" w:hAnsiTheme="minorHAnsi" w:cstheme="minorHAnsi"/>
                <w:lang w:eastAsia="en-AU"/>
              </w:rPr>
            </w:pPr>
            <w:r w:rsidRPr="004A2F94">
              <w:rPr>
                <w:rFonts w:asciiTheme="minorHAnsi" w:hAnsiTheme="minorHAnsi" w:cstheme="minorHAnsi"/>
                <w:lang w:eastAsia="en-AU"/>
              </w:rPr>
              <w:t>Nil</w:t>
            </w:r>
          </w:p>
        </w:tc>
        <w:tc>
          <w:tcPr>
            <w:tcW w:w="956" w:type="pct"/>
            <w:hideMark/>
          </w:tcPr>
          <w:p w14:paraId="32533EF4" w14:textId="52BBD88C" w:rsidR="00577588" w:rsidRPr="004A2F94" w:rsidRDefault="001049F2" w:rsidP="004536B6">
            <w:pPr>
              <w:pStyle w:val="TableBody"/>
              <w:jc w:val="center"/>
              <w:rPr>
                <w:rFonts w:asciiTheme="minorHAnsi" w:hAnsiTheme="minorHAnsi" w:cstheme="minorHAnsi"/>
              </w:rPr>
            </w:pPr>
            <w:r w:rsidRPr="004A2F94">
              <w:rPr>
                <w:rFonts w:asciiTheme="minorHAnsi" w:hAnsiTheme="minorHAnsi" w:cstheme="minorHAnsi"/>
                <w:lang w:eastAsia="en-AU"/>
              </w:rPr>
              <w:t>1,</w:t>
            </w:r>
            <w:r w:rsidR="009A253F">
              <w:rPr>
                <w:rFonts w:asciiTheme="minorHAnsi" w:hAnsiTheme="minorHAnsi" w:cstheme="minorHAnsi"/>
                <w:lang w:eastAsia="en-AU"/>
              </w:rPr>
              <w:t>601.0</w:t>
            </w:r>
          </w:p>
        </w:tc>
      </w:tr>
      <w:tr w:rsidR="00577588" w:rsidRPr="004A2F94" w14:paraId="7692F79C" w14:textId="77777777" w:rsidTr="00E70887">
        <w:tc>
          <w:tcPr>
            <w:tcW w:w="1178" w:type="pct"/>
            <w:shd w:val="clear" w:color="auto" w:fill="F2F2F2" w:themeFill="background1" w:themeFillShade="F2"/>
            <w:hideMark/>
          </w:tcPr>
          <w:p w14:paraId="247684F1" w14:textId="18605FAD" w:rsidR="00577588" w:rsidRPr="004A2F94" w:rsidRDefault="00577588" w:rsidP="00E70887">
            <w:pPr>
              <w:pStyle w:val="TableBody"/>
              <w:rPr>
                <w:rFonts w:asciiTheme="minorHAnsi" w:hAnsiTheme="minorHAnsi" w:cstheme="minorHAnsi"/>
                <w:lang w:eastAsia="en-AU"/>
              </w:rPr>
            </w:pPr>
            <w:r w:rsidRPr="004A2F94">
              <w:rPr>
                <w:rFonts w:asciiTheme="minorHAnsi" w:hAnsiTheme="minorHAnsi" w:cstheme="minorHAnsi"/>
                <w:lang w:eastAsia="en-AU"/>
              </w:rPr>
              <w:t>Ongoing (per year)</w:t>
            </w:r>
          </w:p>
        </w:tc>
        <w:tc>
          <w:tcPr>
            <w:tcW w:w="956" w:type="pct"/>
            <w:hideMark/>
          </w:tcPr>
          <w:p w14:paraId="71D6D895" w14:textId="2434E30D" w:rsidR="00577588" w:rsidRPr="004A2F94" w:rsidRDefault="00B658C8" w:rsidP="004536B6">
            <w:pPr>
              <w:pStyle w:val="TableBody"/>
              <w:jc w:val="center"/>
              <w:rPr>
                <w:rFonts w:asciiTheme="minorHAnsi" w:hAnsiTheme="minorHAnsi" w:cstheme="minorHAnsi"/>
                <w:lang w:eastAsia="en-AU"/>
              </w:rPr>
            </w:pPr>
            <w:r>
              <w:rPr>
                <w:rFonts w:asciiTheme="minorHAnsi" w:hAnsiTheme="minorHAnsi" w:cstheme="minorHAnsi"/>
                <w:lang w:eastAsia="en-AU"/>
              </w:rPr>
              <w:t>1,0</w:t>
            </w:r>
            <w:r w:rsidR="009A253F">
              <w:rPr>
                <w:rFonts w:asciiTheme="minorHAnsi" w:hAnsiTheme="minorHAnsi" w:cstheme="minorHAnsi"/>
                <w:lang w:eastAsia="en-AU"/>
              </w:rPr>
              <w:t>76.3</w:t>
            </w:r>
          </w:p>
        </w:tc>
        <w:tc>
          <w:tcPr>
            <w:tcW w:w="956" w:type="pct"/>
            <w:hideMark/>
          </w:tcPr>
          <w:p w14:paraId="5A3FAD76" w14:textId="77777777" w:rsidR="00577588" w:rsidRPr="004A2F94" w:rsidRDefault="00577588" w:rsidP="004536B6">
            <w:pPr>
              <w:pStyle w:val="TableBody"/>
              <w:jc w:val="center"/>
              <w:rPr>
                <w:rFonts w:asciiTheme="minorHAnsi" w:hAnsiTheme="minorHAnsi" w:cstheme="minorHAnsi"/>
                <w:lang w:eastAsia="en-AU"/>
              </w:rPr>
            </w:pPr>
            <w:r w:rsidRPr="004A2F94">
              <w:rPr>
                <w:rFonts w:asciiTheme="minorHAnsi" w:hAnsiTheme="minorHAnsi" w:cstheme="minorHAnsi"/>
                <w:lang w:eastAsia="en-AU"/>
              </w:rPr>
              <w:t>Nil</w:t>
            </w:r>
          </w:p>
        </w:tc>
        <w:tc>
          <w:tcPr>
            <w:tcW w:w="956" w:type="pct"/>
            <w:hideMark/>
          </w:tcPr>
          <w:p w14:paraId="57EE5FE8" w14:textId="77777777" w:rsidR="00577588" w:rsidRPr="004A2F94" w:rsidRDefault="00577588" w:rsidP="004536B6">
            <w:pPr>
              <w:pStyle w:val="TableBody"/>
              <w:jc w:val="center"/>
              <w:rPr>
                <w:rFonts w:asciiTheme="minorHAnsi" w:hAnsiTheme="minorHAnsi" w:cstheme="minorHAnsi"/>
                <w:lang w:eastAsia="en-AU"/>
              </w:rPr>
            </w:pPr>
            <w:r w:rsidRPr="004A2F94">
              <w:rPr>
                <w:rFonts w:asciiTheme="minorHAnsi" w:hAnsiTheme="minorHAnsi" w:cstheme="minorHAnsi"/>
                <w:lang w:eastAsia="en-AU"/>
              </w:rPr>
              <w:t>Nil</w:t>
            </w:r>
          </w:p>
        </w:tc>
        <w:tc>
          <w:tcPr>
            <w:tcW w:w="956" w:type="pct"/>
            <w:hideMark/>
          </w:tcPr>
          <w:p w14:paraId="6EE23187" w14:textId="61100D03" w:rsidR="00577588" w:rsidRPr="004A2F94" w:rsidRDefault="00B658C8" w:rsidP="004536B6">
            <w:pPr>
              <w:pStyle w:val="TableBody"/>
              <w:jc w:val="center"/>
              <w:rPr>
                <w:rFonts w:asciiTheme="minorHAnsi" w:hAnsiTheme="minorHAnsi" w:cstheme="minorHAnsi"/>
              </w:rPr>
            </w:pPr>
            <w:r>
              <w:rPr>
                <w:rFonts w:asciiTheme="minorHAnsi" w:hAnsiTheme="minorHAnsi" w:cstheme="minorHAnsi"/>
                <w:lang w:eastAsia="en-AU"/>
              </w:rPr>
              <w:t>1,</w:t>
            </w:r>
            <w:r w:rsidR="009A253F">
              <w:rPr>
                <w:rFonts w:asciiTheme="minorHAnsi" w:hAnsiTheme="minorHAnsi" w:cstheme="minorHAnsi"/>
                <w:lang w:eastAsia="en-AU"/>
              </w:rPr>
              <w:t>076.3</w:t>
            </w:r>
          </w:p>
        </w:tc>
      </w:tr>
    </w:tbl>
    <w:p w14:paraId="7F320757" w14:textId="77777777" w:rsidR="001372E6" w:rsidRPr="001372E6" w:rsidRDefault="001C31F4" w:rsidP="001C5E54">
      <w:pPr>
        <w:pStyle w:val="Note"/>
      </w:pPr>
      <w:r w:rsidRPr="00386A14">
        <w:rPr>
          <w:b/>
        </w:rPr>
        <w:t>Note:</w:t>
      </w:r>
      <w:r>
        <w:t xml:space="preserve"> There will be no direct costs to individuals and communities although price rises may reflect the increased cost of operations as a result of the proposed </w:t>
      </w:r>
      <w:r w:rsidR="00BB0179">
        <w:t>RMP</w:t>
      </w:r>
      <w:r>
        <w:t xml:space="preserve"> framework. </w:t>
      </w:r>
    </w:p>
    <w:p w14:paraId="13071879" w14:textId="77777777" w:rsidR="009708D4" w:rsidRPr="009708D4" w:rsidRDefault="00CD1CC4" w:rsidP="009708D4">
      <w:pPr>
        <w:pStyle w:val="Note"/>
        <w:rPr>
          <w:rFonts w:asciiTheme="minorHAnsi" w:eastAsiaTheme="minorHAnsi" w:hAnsiTheme="minorHAnsi" w:cstheme="majorHAnsi"/>
          <w:bCs w:val="0"/>
          <w:sz w:val="22"/>
          <w:szCs w:val="28"/>
        </w:rPr>
      </w:pPr>
      <w:r w:rsidRPr="0058503C">
        <w:rPr>
          <w:rFonts w:asciiTheme="minorHAnsi" w:eastAsiaTheme="minorHAnsi" w:hAnsiTheme="minorHAnsi" w:cstheme="majorHAnsi"/>
          <w:bCs w:val="0"/>
          <w:sz w:val="22"/>
          <w:szCs w:val="28"/>
        </w:rPr>
        <w:t xml:space="preserve">The </w:t>
      </w:r>
      <w:r w:rsidR="00CE2D8D" w:rsidRPr="0058503C">
        <w:rPr>
          <w:rFonts w:asciiTheme="minorHAnsi" w:eastAsiaTheme="minorHAnsi" w:hAnsiTheme="minorHAnsi" w:cstheme="majorHAnsi"/>
          <w:bCs w:val="0"/>
          <w:sz w:val="22"/>
          <w:szCs w:val="28"/>
        </w:rPr>
        <w:t>total regulatory cost estimate</w:t>
      </w:r>
      <w:r w:rsidR="0038623D" w:rsidRPr="0058503C">
        <w:rPr>
          <w:rFonts w:asciiTheme="minorHAnsi" w:eastAsiaTheme="minorHAnsi" w:hAnsiTheme="minorHAnsi" w:cstheme="majorHAnsi"/>
          <w:bCs w:val="0"/>
          <w:sz w:val="22"/>
          <w:szCs w:val="28"/>
        </w:rPr>
        <w:t xml:space="preserve"> was based on </w:t>
      </w:r>
      <w:r w:rsidR="00973936" w:rsidRPr="0058503C">
        <w:rPr>
          <w:rFonts w:asciiTheme="minorHAnsi" w:eastAsiaTheme="minorHAnsi" w:hAnsiTheme="minorHAnsi" w:cstheme="majorHAnsi"/>
          <w:bCs w:val="0"/>
          <w:sz w:val="22"/>
          <w:szCs w:val="28"/>
        </w:rPr>
        <w:t xml:space="preserve">submissions from </w:t>
      </w:r>
      <w:r w:rsidR="008F068C">
        <w:rPr>
          <w:rFonts w:asciiTheme="minorHAnsi" w:eastAsiaTheme="minorHAnsi" w:hAnsiTheme="minorHAnsi" w:cstheme="majorHAnsi"/>
          <w:bCs w:val="0"/>
          <w:sz w:val="22"/>
          <w:szCs w:val="28"/>
        </w:rPr>
        <w:t xml:space="preserve">industry which are summarised </w:t>
      </w:r>
      <w:r w:rsidR="008F068C" w:rsidRPr="000B38B1">
        <w:rPr>
          <w:rStyle w:val="BodyTextChar"/>
          <w:sz w:val="22"/>
          <w:szCs w:val="36"/>
        </w:rPr>
        <w:t>in</w:t>
      </w:r>
      <w:r w:rsidR="000B38B1" w:rsidRPr="000B38B1">
        <w:rPr>
          <w:rStyle w:val="BodyTextChar"/>
          <w:sz w:val="22"/>
          <w:szCs w:val="36"/>
        </w:rPr>
        <w:t xml:space="preserve"> </w:t>
      </w:r>
      <w:r w:rsidR="000B38B1" w:rsidRPr="000B38B1">
        <w:rPr>
          <w:rStyle w:val="BodyTextChar"/>
          <w:sz w:val="22"/>
          <w:szCs w:val="36"/>
        </w:rPr>
        <w:fldChar w:fldCharType="begin"/>
      </w:r>
      <w:r w:rsidR="000B38B1" w:rsidRPr="000B38B1">
        <w:rPr>
          <w:rStyle w:val="BodyTextChar"/>
          <w:sz w:val="22"/>
          <w:szCs w:val="36"/>
        </w:rPr>
        <w:instrText xml:space="preserve"> REF _Ref92870928 \h  \* MERGEFORMAT </w:instrText>
      </w:r>
      <w:r w:rsidR="000B38B1" w:rsidRPr="000B38B1">
        <w:rPr>
          <w:rStyle w:val="BodyTextChar"/>
          <w:sz w:val="22"/>
          <w:szCs w:val="36"/>
        </w:rPr>
      </w:r>
      <w:r w:rsidR="000B38B1" w:rsidRPr="000B38B1">
        <w:rPr>
          <w:rStyle w:val="BodyTextChar"/>
          <w:sz w:val="22"/>
          <w:szCs w:val="36"/>
        </w:rPr>
        <w:fldChar w:fldCharType="separate"/>
      </w:r>
      <w:r w:rsidR="009708D4" w:rsidRPr="009708D4">
        <w:rPr>
          <w:rStyle w:val="BodyTextChar"/>
          <w:sz w:val="22"/>
          <w:szCs w:val="36"/>
        </w:rPr>
        <w:t>Table 10</w:t>
      </w:r>
      <w:r w:rsidR="000B38B1" w:rsidRPr="000B38B1">
        <w:rPr>
          <w:rStyle w:val="BodyTextChar"/>
          <w:sz w:val="22"/>
          <w:szCs w:val="36"/>
        </w:rPr>
        <w:fldChar w:fldCharType="end"/>
      </w:r>
      <w:r w:rsidR="008F068C">
        <w:rPr>
          <w:rFonts w:asciiTheme="minorHAnsi" w:eastAsiaTheme="minorHAnsi" w:hAnsiTheme="minorHAnsi" w:cstheme="majorHAnsi"/>
          <w:bCs w:val="0"/>
          <w:sz w:val="22"/>
          <w:szCs w:val="28"/>
        </w:rPr>
        <w:t xml:space="preserve">. The </w:t>
      </w:r>
      <w:r w:rsidR="005927EF">
        <w:rPr>
          <w:rFonts w:asciiTheme="minorHAnsi" w:eastAsiaTheme="minorHAnsi" w:hAnsiTheme="minorHAnsi" w:cstheme="majorHAnsi"/>
          <w:bCs w:val="0"/>
          <w:sz w:val="22"/>
          <w:szCs w:val="28"/>
        </w:rPr>
        <w:t xml:space="preserve">average </w:t>
      </w:r>
      <w:r w:rsidR="008F068C">
        <w:rPr>
          <w:rFonts w:asciiTheme="minorHAnsi" w:eastAsiaTheme="minorHAnsi" w:hAnsiTheme="minorHAnsi" w:cstheme="majorHAnsi"/>
          <w:bCs w:val="0"/>
          <w:sz w:val="22"/>
          <w:szCs w:val="28"/>
        </w:rPr>
        <w:t>r</w:t>
      </w:r>
      <w:r w:rsidR="008F068C" w:rsidRPr="008F068C">
        <w:rPr>
          <w:rFonts w:asciiTheme="minorHAnsi" w:eastAsiaTheme="minorHAnsi" w:hAnsiTheme="minorHAnsi" w:cstheme="majorHAnsi"/>
          <w:bCs w:val="0"/>
          <w:sz w:val="22"/>
          <w:szCs w:val="28"/>
        </w:rPr>
        <w:t>egulatory cost estimate</w:t>
      </w:r>
      <w:r w:rsidR="007F7A7A">
        <w:rPr>
          <w:rFonts w:asciiTheme="minorHAnsi" w:eastAsiaTheme="minorHAnsi" w:hAnsiTheme="minorHAnsi" w:cstheme="majorHAnsi"/>
          <w:bCs w:val="0"/>
          <w:sz w:val="22"/>
          <w:szCs w:val="28"/>
        </w:rPr>
        <w:t xml:space="preserve"> per submission for</w:t>
      </w:r>
      <w:r w:rsidR="000B38B1">
        <w:rPr>
          <w:rFonts w:asciiTheme="minorHAnsi" w:eastAsiaTheme="minorHAnsi" w:hAnsiTheme="minorHAnsi" w:cstheme="majorHAnsi"/>
          <w:bCs w:val="0"/>
          <w:sz w:val="22"/>
          <w:szCs w:val="28"/>
        </w:rPr>
        <w:t xml:space="preserve"> each</w:t>
      </w:r>
      <w:r w:rsidR="008F068C" w:rsidRPr="008F068C">
        <w:rPr>
          <w:rFonts w:asciiTheme="minorHAnsi" w:eastAsiaTheme="minorHAnsi" w:hAnsiTheme="minorHAnsi" w:cstheme="majorHAnsi"/>
          <w:bCs w:val="0"/>
          <w:sz w:val="22"/>
          <w:szCs w:val="28"/>
        </w:rPr>
        <w:t xml:space="preserve"> critical infrastructure asset</w:t>
      </w:r>
      <w:r w:rsidR="000B38B1">
        <w:rPr>
          <w:rFonts w:asciiTheme="minorHAnsi" w:eastAsiaTheme="minorHAnsi" w:hAnsiTheme="minorHAnsi" w:cstheme="majorHAnsi"/>
          <w:bCs w:val="0"/>
          <w:sz w:val="22"/>
          <w:szCs w:val="28"/>
        </w:rPr>
        <w:t xml:space="preserve"> type</w:t>
      </w:r>
      <w:r w:rsidR="009C7061">
        <w:rPr>
          <w:rFonts w:asciiTheme="minorHAnsi" w:eastAsiaTheme="minorHAnsi" w:hAnsiTheme="minorHAnsi" w:cstheme="majorHAnsi"/>
          <w:bCs w:val="0"/>
          <w:sz w:val="22"/>
          <w:szCs w:val="28"/>
        </w:rPr>
        <w:t xml:space="preserve"> is provided in</w:t>
      </w:r>
      <w:r w:rsidR="000B38B1">
        <w:rPr>
          <w:rFonts w:asciiTheme="minorHAnsi" w:eastAsiaTheme="minorHAnsi" w:hAnsiTheme="minorHAnsi" w:cstheme="majorHAnsi"/>
          <w:bCs w:val="0"/>
          <w:sz w:val="22"/>
          <w:szCs w:val="28"/>
        </w:rPr>
        <w:t xml:space="preserve"> </w:t>
      </w:r>
      <w:r w:rsidR="000B38B1">
        <w:rPr>
          <w:rFonts w:asciiTheme="minorHAnsi" w:eastAsiaTheme="minorHAnsi" w:hAnsiTheme="minorHAnsi" w:cstheme="majorHAnsi"/>
          <w:bCs w:val="0"/>
          <w:sz w:val="22"/>
          <w:szCs w:val="28"/>
        </w:rPr>
        <w:fldChar w:fldCharType="begin"/>
      </w:r>
      <w:r w:rsidR="000B38B1">
        <w:rPr>
          <w:rFonts w:asciiTheme="minorHAnsi" w:eastAsiaTheme="minorHAnsi" w:hAnsiTheme="minorHAnsi" w:cstheme="majorHAnsi"/>
          <w:bCs w:val="0"/>
          <w:sz w:val="22"/>
          <w:szCs w:val="28"/>
        </w:rPr>
        <w:instrText xml:space="preserve"> REF _Ref94876515 \h  \* MERGEFORMAT </w:instrText>
      </w:r>
      <w:r w:rsidR="000B38B1">
        <w:rPr>
          <w:rFonts w:asciiTheme="minorHAnsi" w:eastAsiaTheme="minorHAnsi" w:hAnsiTheme="minorHAnsi" w:cstheme="majorHAnsi"/>
          <w:bCs w:val="0"/>
          <w:sz w:val="22"/>
          <w:szCs w:val="28"/>
        </w:rPr>
      </w:r>
      <w:r w:rsidR="000B38B1">
        <w:rPr>
          <w:rFonts w:asciiTheme="minorHAnsi" w:eastAsiaTheme="minorHAnsi" w:hAnsiTheme="minorHAnsi" w:cstheme="majorHAnsi"/>
          <w:bCs w:val="0"/>
          <w:sz w:val="22"/>
          <w:szCs w:val="28"/>
        </w:rPr>
        <w:fldChar w:fldCharType="separate"/>
      </w:r>
      <w:r w:rsidR="009708D4" w:rsidRPr="009708D4">
        <w:rPr>
          <w:rFonts w:asciiTheme="minorHAnsi" w:eastAsiaTheme="minorHAnsi" w:hAnsiTheme="minorHAnsi" w:cstheme="majorHAnsi"/>
          <w:bCs w:val="0"/>
          <w:sz w:val="22"/>
          <w:szCs w:val="28"/>
        </w:rPr>
        <w:br w:type="page"/>
      </w:r>
    </w:p>
    <w:p w14:paraId="18FF3EC8" w14:textId="1FFD68A1" w:rsidR="00103F4E" w:rsidRPr="0058503C" w:rsidRDefault="009708D4" w:rsidP="001C5E54">
      <w:pPr>
        <w:pStyle w:val="Note"/>
        <w:rPr>
          <w:rFonts w:asciiTheme="minorHAnsi" w:eastAsiaTheme="minorHAnsi" w:hAnsiTheme="minorHAnsi" w:cstheme="majorHAnsi"/>
          <w:bCs w:val="0"/>
          <w:sz w:val="22"/>
          <w:szCs w:val="28"/>
        </w:rPr>
      </w:pPr>
      <w:r w:rsidRPr="009708D4">
        <w:rPr>
          <w:rFonts w:asciiTheme="minorHAnsi" w:eastAsiaTheme="minorHAnsi" w:hAnsiTheme="minorHAnsi" w:cstheme="majorHAnsi"/>
          <w:bCs w:val="0"/>
          <w:sz w:val="22"/>
          <w:szCs w:val="28"/>
        </w:rPr>
        <w:lastRenderedPageBreak/>
        <w:t>Table</w:t>
      </w:r>
      <w:r w:rsidRPr="00E9705C">
        <w:rPr>
          <w:b/>
        </w:rPr>
        <w:t xml:space="preserve"> </w:t>
      </w:r>
      <w:r>
        <w:rPr>
          <w:b/>
          <w:noProof/>
        </w:rPr>
        <w:t>11</w:t>
      </w:r>
      <w:r w:rsidR="000B38B1">
        <w:rPr>
          <w:rFonts w:asciiTheme="minorHAnsi" w:eastAsiaTheme="minorHAnsi" w:hAnsiTheme="minorHAnsi" w:cstheme="majorHAnsi"/>
          <w:bCs w:val="0"/>
          <w:sz w:val="22"/>
          <w:szCs w:val="28"/>
        </w:rPr>
        <w:fldChar w:fldCharType="end"/>
      </w:r>
      <w:r w:rsidR="00173498">
        <w:rPr>
          <w:rFonts w:asciiTheme="minorHAnsi" w:eastAsiaTheme="minorHAnsi" w:hAnsiTheme="minorHAnsi" w:cstheme="majorHAnsi"/>
          <w:bCs w:val="0"/>
          <w:sz w:val="22"/>
          <w:szCs w:val="28"/>
        </w:rPr>
        <w:t>.</w:t>
      </w:r>
      <w:r w:rsidR="009C7061">
        <w:rPr>
          <w:rFonts w:asciiTheme="minorHAnsi" w:eastAsiaTheme="minorHAnsi" w:hAnsiTheme="minorHAnsi" w:cstheme="majorHAnsi"/>
          <w:bCs w:val="0"/>
          <w:sz w:val="22"/>
          <w:szCs w:val="28"/>
        </w:rPr>
        <w:t xml:space="preserve"> </w:t>
      </w:r>
    </w:p>
    <w:p w14:paraId="1FD41269" w14:textId="77777777" w:rsidR="00596135" w:rsidRDefault="00596135">
      <w:pPr>
        <w:spacing w:before="80" w:after="80"/>
        <w:rPr>
          <w:b/>
          <w:i/>
          <w:color w:val="034EA2" w:themeColor="accent1"/>
          <w:sz w:val="18"/>
          <w:szCs w:val="18"/>
          <w:lang w:eastAsia="en-AU"/>
        </w:rPr>
      </w:pPr>
      <w:bookmarkStart w:id="254" w:name="_Ref94876515"/>
      <w:r>
        <w:rPr>
          <w:b/>
        </w:rPr>
        <w:br w:type="page"/>
      </w:r>
    </w:p>
    <w:p w14:paraId="71FD06BB" w14:textId="3EB2FFA9" w:rsidR="0038623D" w:rsidRPr="009D104F" w:rsidRDefault="00C10A35" w:rsidP="0038623D">
      <w:pPr>
        <w:pStyle w:val="Caption"/>
        <w:rPr>
          <w:b/>
        </w:rPr>
      </w:pPr>
      <w:bookmarkStart w:id="255" w:name="_Toc120115096"/>
      <w:r w:rsidRPr="00E9705C">
        <w:rPr>
          <w:b/>
        </w:rPr>
        <w:lastRenderedPageBreak/>
        <w:t xml:space="preserve">Table </w:t>
      </w:r>
      <w:r w:rsidRPr="00E9705C">
        <w:rPr>
          <w:rFonts w:ascii="Calibri" w:hAnsi="Calibri" w:cs="Times New Roman"/>
        </w:rPr>
        <w:fldChar w:fldCharType="begin"/>
      </w:r>
      <w:r w:rsidRPr="00E9705C">
        <w:rPr>
          <w:b/>
        </w:rPr>
        <w:instrText xml:space="preserve"> SEQ Table \* ARABIC </w:instrText>
      </w:r>
      <w:r w:rsidRPr="00E9705C">
        <w:rPr>
          <w:rFonts w:ascii="Calibri" w:hAnsi="Calibri" w:cs="Times New Roman"/>
        </w:rPr>
        <w:fldChar w:fldCharType="separate"/>
      </w:r>
      <w:r w:rsidR="009708D4">
        <w:rPr>
          <w:b/>
          <w:noProof/>
        </w:rPr>
        <w:t>11</w:t>
      </w:r>
      <w:r w:rsidRPr="00E9705C">
        <w:rPr>
          <w:rFonts w:ascii="Calibri" w:hAnsi="Calibri" w:cs="Times New Roman"/>
        </w:rPr>
        <w:fldChar w:fldCharType="end"/>
      </w:r>
      <w:bookmarkEnd w:id="254"/>
      <w:r>
        <w:rPr>
          <w:rFonts w:ascii="Calibri" w:hAnsi="Calibri" w:cs="Times New Roman"/>
        </w:rPr>
        <w:t xml:space="preserve"> </w:t>
      </w:r>
      <w:r w:rsidR="0038623D">
        <w:t>Average r</w:t>
      </w:r>
      <w:r w:rsidR="0038623D" w:rsidRPr="00E9705C">
        <w:t xml:space="preserve">egulatory cost </w:t>
      </w:r>
      <w:r w:rsidR="0038623D">
        <w:t>per critical infrastructure asset submission</w:t>
      </w:r>
      <w:bookmarkEnd w:id="255"/>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3166"/>
        <w:gridCol w:w="3236"/>
        <w:gridCol w:w="3236"/>
      </w:tblGrid>
      <w:tr w:rsidR="0038623D" w:rsidRPr="004A2F94" w14:paraId="7D1331AB" w14:textId="77777777" w:rsidTr="004D32BC">
        <w:trPr>
          <w:cantSplit/>
          <w:trHeight w:val="435"/>
          <w:tblHeader/>
        </w:trPr>
        <w:tc>
          <w:tcPr>
            <w:tcW w:w="1642" w:type="pct"/>
            <w:vMerge w:val="restart"/>
            <w:shd w:val="clear" w:color="auto" w:fill="034EA2" w:themeFill="accent1"/>
            <w:vAlign w:val="center"/>
          </w:tcPr>
          <w:p w14:paraId="12F820BC" w14:textId="77777777" w:rsidR="0038623D" w:rsidRPr="004A2F94" w:rsidRDefault="0038623D" w:rsidP="009D4DDE">
            <w:pPr>
              <w:pStyle w:val="TableHeading"/>
              <w:jc w:val="center"/>
              <w:rPr>
                <w:rFonts w:asciiTheme="minorHAnsi" w:hAnsiTheme="minorHAnsi" w:cstheme="minorHAnsi"/>
              </w:rPr>
            </w:pPr>
            <w:r w:rsidRPr="004A2F94">
              <w:rPr>
                <w:rFonts w:asciiTheme="minorHAnsi" w:hAnsiTheme="minorHAnsi" w:cstheme="minorHAnsi"/>
              </w:rPr>
              <w:t>Critical infrastructure asset</w:t>
            </w:r>
          </w:p>
        </w:tc>
        <w:tc>
          <w:tcPr>
            <w:tcW w:w="3358" w:type="pct"/>
            <w:gridSpan w:val="2"/>
            <w:shd w:val="clear" w:color="auto" w:fill="034EA2" w:themeFill="accent1"/>
            <w:vAlign w:val="center"/>
          </w:tcPr>
          <w:p w14:paraId="540C75E2" w14:textId="77777777" w:rsidR="0038623D" w:rsidRPr="004A2F94" w:rsidRDefault="0038623D" w:rsidP="009D4DDE">
            <w:pPr>
              <w:pStyle w:val="TableHeading"/>
              <w:jc w:val="center"/>
              <w:rPr>
                <w:rFonts w:asciiTheme="minorHAnsi" w:hAnsiTheme="minorHAnsi" w:cstheme="minorHAnsi"/>
              </w:rPr>
            </w:pPr>
            <w:r w:rsidRPr="004A2F94">
              <w:rPr>
                <w:rFonts w:asciiTheme="minorHAnsi" w:hAnsiTheme="minorHAnsi" w:cstheme="minorHAnsi"/>
              </w:rPr>
              <w:t>Costs ($ million)</w:t>
            </w:r>
          </w:p>
        </w:tc>
      </w:tr>
      <w:tr w:rsidR="004D32BC" w:rsidRPr="004A2F94" w14:paraId="12E3918E" w14:textId="77777777" w:rsidTr="004D32BC">
        <w:trPr>
          <w:cantSplit/>
          <w:trHeight w:val="756"/>
          <w:tblHeader/>
        </w:trPr>
        <w:tc>
          <w:tcPr>
            <w:tcW w:w="1642" w:type="pct"/>
            <w:vMerge/>
            <w:shd w:val="clear" w:color="auto" w:fill="034EA2" w:themeFill="accent1"/>
            <w:vAlign w:val="center"/>
          </w:tcPr>
          <w:p w14:paraId="646573C4" w14:textId="77777777" w:rsidR="0038623D" w:rsidRPr="004A2F94" w:rsidRDefault="0038623D" w:rsidP="009D4DDE">
            <w:pPr>
              <w:jc w:val="center"/>
              <w:rPr>
                <w:rFonts w:asciiTheme="minorHAnsi" w:hAnsiTheme="minorHAnsi" w:cstheme="minorHAnsi"/>
                <w:color w:val="FFFFFF"/>
                <w:sz w:val="22"/>
              </w:rPr>
            </w:pPr>
          </w:p>
        </w:tc>
        <w:tc>
          <w:tcPr>
            <w:tcW w:w="1679" w:type="pct"/>
            <w:shd w:val="clear" w:color="auto" w:fill="BBDAFD" w:themeFill="accent1" w:themeFillTint="33"/>
            <w:vAlign w:val="center"/>
          </w:tcPr>
          <w:p w14:paraId="23170FC7" w14:textId="77777777" w:rsidR="0038623D" w:rsidRPr="004A2F94" w:rsidRDefault="0038623D" w:rsidP="009D4DDE">
            <w:pPr>
              <w:pStyle w:val="TableBody"/>
              <w:jc w:val="center"/>
              <w:rPr>
                <w:rFonts w:asciiTheme="minorHAnsi" w:hAnsiTheme="minorHAnsi" w:cstheme="minorHAnsi"/>
              </w:rPr>
            </w:pPr>
            <w:r w:rsidRPr="004A2F94">
              <w:rPr>
                <w:rFonts w:asciiTheme="minorHAnsi" w:hAnsiTheme="minorHAnsi" w:cstheme="minorHAnsi"/>
              </w:rPr>
              <w:t>Average one-off cost per entity (submissions)</w:t>
            </w:r>
          </w:p>
        </w:tc>
        <w:tc>
          <w:tcPr>
            <w:tcW w:w="1679" w:type="pct"/>
            <w:shd w:val="clear" w:color="auto" w:fill="BBDAFD" w:themeFill="accent1" w:themeFillTint="33"/>
            <w:vAlign w:val="center"/>
          </w:tcPr>
          <w:p w14:paraId="46C51C82" w14:textId="77777777" w:rsidR="0038623D" w:rsidRPr="004A2F94" w:rsidRDefault="0038623D" w:rsidP="009D4DDE">
            <w:pPr>
              <w:pStyle w:val="TableBody"/>
              <w:jc w:val="center"/>
              <w:rPr>
                <w:rFonts w:asciiTheme="minorHAnsi" w:hAnsiTheme="minorHAnsi" w:cstheme="minorHAnsi"/>
              </w:rPr>
            </w:pPr>
            <w:r w:rsidRPr="004A2F94">
              <w:rPr>
                <w:rFonts w:asciiTheme="minorHAnsi" w:hAnsiTheme="minorHAnsi" w:cstheme="minorHAnsi"/>
              </w:rPr>
              <w:t xml:space="preserve">Average </w:t>
            </w:r>
            <w:r>
              <w:rPr>
                <w:rFonts w:asciiTheme="minorHAnsi" w:hAnsiTheme="minorHAnsi" w:cstheme="minorHAnsi"/>
              </w:rPr>
              <w:t xml:space="preserve">annual </w:t>
            </w:r>
            <w:r w:rsidRPr="004A2F94">
              <w:rPr>
                <w:rFonts w:asciiTheme="minorHAnsi" w:hAnsiTheme="minorHAnsi" w:cstheme="minorHAnsi"/>
              </w:rPr>
              <w:t>ongoing cost per entity (submissions)</w:t>
            </w:r>
          </w:p>
        </w:tc>
      </w:tr>
      <w:tr w:rsidR="0038623D" w:rsidRPr="004A2F94" w14:paraId="09D799C2" w14:textId="77777777" w:rsidTr="004D32BC">
        <w:trPr>
          <w:cantSplit/>
          <w:trHeight w:val="361"/>
        </w:trPr>
        <w:tc>
          <w:tcPr>
            <w:tcW w:w="1642" w:type="pct"/>
            <w:shd w:val="clear" w:color="auto" w:fill="F2F2F2" w:themeFill="background1" w:themeFillShade="F2"/>
            <w:vAlign w:val="center"/>
          </w:tcPr>
          <w:p w14:paraId="3F539E65" w14:textId="77777777" w:rsidR="0038623D" w:rsidRPr="004A2F94" w:rsidRDefault="0038623D" w:rsidP="009D4DDE">
            <w:pPr>
              <w:pStyle w:val="TableBody"/>
              <w:rPr>
                <w:rFonts w:asciiTheme="minorHAnsi" w:hAnsiTheme="minorHAnsi" w:cstheme="minorHAnsi"/>
              </w:rPr>
            </w:pPr>
            <w:r w:rsidRPr="004A2F94">
              <w:rPr>
                <w:rFonts w:asciiTheme="minorHAnsi" w:hAnsiTheme="minorHAnsi" w:cstheme="minorHAnsi"/>
              </w:rPr>
              <w:t>Critical electricity assets</w:t>
            </w:r>
          </w:p>
        </w:tc>
        <w:tc>
          <w:tcPr>
            <w:tcW w:w="1679" w:type="pct"/>
            <w:shd w:val="clear" w:color="auto" w:fill="auto"/>
            <w:vAlign w:val="center"/>
          </w:tcPr>
          <w:p w14:paraId="05F0702C" w14:textId="2D772AFE" w:rsidR="0038623D" w:rsidRPr="004A2F94" w:rsidRDefault="00192C24" w:rsidP="009D4DDE">
            <w:pPr>
              <w:pStyle w:val="TableBody"/>
              <w:jc w:val="center"/>
              <w:rPr>
                <w:rFonts w:asciiTheme="minorHAnsi" w:hAnsiTheme="minorHAnsi" w:cstheme="minorHAnsi"/>
              </w:rPr>
            </w:pPr>
            <w:r>
              <w:rPr>
                <w:rFonts w:asciiTheme="minorHAnsi" w:hAnsiTheme="minorHAnsi" w:cstheme="minorHAnsi"/>
              </w:rPr>
              <w:t>8.1</w:t>
            </w:r>
          </w:p>
        </w:tc>
        <w:tc>
          <w:tcPr>
            <w:tcW w:w="1679" w:type="pct"/>
            <w:shd w:val="clear" w:color="auto" w:fill="auto"/>
            <w:vAlign w:val="center"/>
          </w:tcPr>
          <w:p w14:paraId="740BF58A" w14:textId="4FB91DE0" w:rsidR="0038623D" w:rsidRPr="004A2F94" w:rsidRDefault="00192C24" w:rsidP="009D4DDE">
            <w:pPr>
              <w:pStyle w:val="TableBody"/>
              <w:jc w:val="center"/>
              <w:rPr>
                <w:rFonts w:asciiTheme="minorHAnsi" w:hAnsiTheme="minorHAnsi" w:cstheme="minorHAnsi"/>
              </w:rPr>
            </w:pPr>
            <w:r>
              <w:rPr>
                <w:rFonts w:asciiTheme="minorHAnsi" w:hAnsiTheme="minorHAnsi" w:cstheme="minorHAnsi"/>
              </w:rPr>
              <w:t>3.8</w:t>
            </w:r>
          </w:p>
        </w:tc>
      </w:tr>
      <w:tr w:rsidR="0038623D" w:rsidRPr="004A2F94" w14:paraId="251013D8" w14:textId="77777777" w:rsidTr="00F97FEF">
        <w:trPr>
          <w:cantSplit/>
          <w:trHeight w:val="361"/>
        </w:trPr>
        <w:tc>
          <w:tcPr>
            <w:tcW w:w="1642" w:type="pct"/>
            <w:shd w:val="clear" w:color="auto" w:fill="F2F2F2" w:themeFill="background1" w:themeFillShade="F2"/>
            <w:vAlign w:val="center"/>
          </w:tcPr>
          <w:p w14:paraId="2F326D3C" w14:textId="77777777" w:rsidR="0038623D" w:rsidRPr="004A2F94" w:rsidRDefault="0038623D" w:rsidP="009D4DDE">
            <w:pPr>
              <w:pStyle w:val="TableBody"/>
              <w:rPr>
                <w:rFonts w:asciiTheme="minorHAnsi" w:hAnsiTheme="minorHAnsi" w:cstheme="minorHAnsi"/>
              </w:rPr>
            </w:pPr>
            <w:r w:rsidRPr="004A2F94">
              <w:rPr>
                <w:rFonts w:asciiTheme="minorHAnsi" w:hAnsiTheme="minorHAnsi" w:cstheme="minorHAnsi"/>
              </w:rPr>
              <w:t>Critical gas assets</w:t>
            </w:r>
          </w:p>
        </w:tc>
        <w:tc>
          <w:tcPr>
            <w:tcW w:w="1679" w:type="pct"/>
            <w:tcBorders>
              <w:top w:val="nil"/>
              <w:left w:val="nil"/>
              <w:bottom w:val="single" w:sz="8" w:space="0" w:color="BFBFBF"/>
              <w:right w:val="nil"/>
            </w:tcBorders>
            <w:shd w:val="clear" w:color="auto" w:fill="auto"/>
            <w:vAlign w:val="center"/>
          </w:tcPr>
          <w:p w14:paraId="3C9574C2" w14:textId="1491ADFC" w:rsidR="0038623D" w:rsidRPr="000665DB" w:rsidRDefault="0038623D" w:rsidP="009D4DDE">
            <w:pPr>
              <w:pStyle w:val="TableBody"/>
              <w:jc w:val="center"/>
              <w:rPr>
                <w:rFonts w:asciiTheme="minorHAnsi" w:hAnsiTheme="minorHAnsi" w:cstheme="minorHAnsi"/>
                <w:highlight w:val="yellow"/>
              </w:rPr>
            </w:pPr>
            <w:r>
              <w:rPr>
                <w:rFonts w:ascii="Arial" w:hAnsi="Arial" w:cs="Arial"/>
                <w:color w:val="000000"/>
              </w:rPr>
              <w:t>10.</w:t>
            </w:r>
            <w:r w:rsidR="00EE318F">
              <w:rPr>
                <w:rFonts w:ascii="Arial" w:hAnsi="Arial" w:cs="Arial"/>
                <w:color w:val="000000"/>
              </w:rPr>
              <w:t>5</w:t>
            </w:r>
          </w:p>
        </w:tc>
        <w:tc>
          <w:tcPr>
            <w:tcW w:w="1679" w:type="pct"/>
            <w:tcBorders>
              <w:top w:val="nil"/>
              <w:left w:val="nil"/>
              <w:bottom w:val="single" w:sz="8" w:space="0" w:color="BFBFBF"/>
              <w:right w:val="nil"/>
            </w:tcBorders>
            <w:shd w:val="clear" w:color="auto" w:fill="auto"/>
            <w:vAlign w:val="center"/>
          </w:tcPr>
          <w:p w14:paraId="4CAD07C6" w14:textId="77777777" w:rsidR="0038623D" w:rsidRPr="000665DB" w:rsidRDefault="0038623D" w:rsidP="009D4DDE">
            <w:pPr>
              <w:pStyle w:val="TableBody"/>
              <w:jc w:val="center"/>
              <w:rPr>
                <w:rFonts w:asciiTheme="minorHAnsi" w:hAnsiTheme="minorHAnsi" w:cstheme="minorHAnsi"/>
                <w:highlight w:val="yellow"/>
              </w:rPr>
            </w:pPr>
            <w:r>
              <w:rPr>
                <w:rFonts w:ascii="Arial" w:hAnsi="Arial" w:cs="Arial"/>
                <w:color w:val="000000"/>
              </w:rPr>
              <w:t>2.1</w:t>
            </w:r>
          </w:p>
        </w:tc>
      </w:tr>
      <w:tr w:rsidR="0038623D" w:rsidRPr="004A2F94" w14:paraId="5C198066" w14:textId="77777777" w:rsidTr="00F97FEF">
        <w:trPr>
          <w:cantSplit/>
          <w:trHeight w:val="361"/>
        </w:trPr>
        <w:tc>
          <w:tcPr>
            <w:tcW w:w="1642" w:type="pct"/>
            <w:shd w:val="clear" w:color="auto" w:fill="F2F2F2" w:themeFill="background1" w:themeFillShade="F2"/>
            <w:vAlign w:val="center"/>
          </w:tcPr>
          <w:p w14:paraId="74D601EF" w14:textId="77777777" w:rsidR="0038623D" w:rsidRPr="004A2F94" w:rsidRDefault="0038623D" w:rsidP="009D4DDE">
            <w:pPr>
              <w:pStyle w:val="TableBody"/>
              <w:rPr>
                <w:rFonts w:asciiTheme="minorHAnsi" w:hAnsiTheme="minorHAnsi" w:cstheme="minorHAnsi"/>
              </w:rPr>
            </w:pPr>
            <w:r w:rsidRPr="004A2F94">
              <w:rPr>
                <w:rFonts w:asciiTheme="minorHAnsi" w:hAnsiTheme="minorHAnsi" w:cstheme="minorHAnsi"/>
              </w:rPr>
              <w:t>Critical water assets</w:t>
            </w:r>
          </w:p>
        </w:tc>
        <w:tc>
          <w:tcPr>
            <w:tcW w:w="1679" w:type="pct"/>
            <w:tcBorders>
              <w:top w:val="nil"/>
              <w:left w:val="nil"/>
              <w:bottom w:val="single" w:sz="8" w:space="0" w:color="BFBFBF"/>
              <w:right w:val="nil"/>
            </w:tcBorders>
            <w:shd w:val="clear" w:color="auto" w:fill="auto"/>
            <w:vAlign w:val="center"/>
          </w:tcPr>
          <w:p w14:paraId="51151E11" w14:textId="420C91FF" w:rsidR="0038623D" w:rsidRPr="000665DB" w:rsidRDefault="0038623D" w:rsidP="009D4DDE">
            <w:pPr>
              <w:pStyle w:val="TableBody"/>
              <w:jc w:val="center"/>
              <w:rPr>
                <w:rFonts w:asciiTheme="minorHAnsi" w:hAnsiTheme="minorHAnsi" w:cstheme="minorHAnsi"/>
                <w:highlight w:val="yellow"/>
              </w:rPr>
            </w:pPr>
            <w:r>
              <w:rPr>
                <w:rFonts w:ascii="Arial" w:hAnsi="Arial" w:cs="Arial"/>
                <w:color w:val="000000"/>
              </w:rPr>
              <w:t>14.</w:t>
            </w:r>
            <w:r w:rsidR="00EE318F">
              <w:rPr>
                <w:rFonts w:ascii="Arial" w:hAnsi="Arial" w:cs="Arial"/>
                <w:color w:val="000000"/>
              </w:rPr>
              <w:t>4</w:t>
            </w:r>
          </w:p>
        </w:tc>
        <w:tc>
          <w:tcPr>
            <w:tcW w:w="1679" w:type="pct"/>
            <w:tcBorders>
              <w:top w:val="nil"/>
              <w:left w:val="nil"/>
              <w:bottom w:val="single" w:sz="8" w:space="0" w:color="BFBFBF"/>
              <w:right w:val="nil"/>
            </w:tcBorders>
            <w:shd w:val="clear" w:color="auto" w:fill="auto"/>
            <w:vAlign w:val="center"/>
          </w:tcPr>
          <w:p w14:paraId="322F4FEA" w14:textId="7749B71B" w:rsidR="0038623D" w:rsidRPr="000665DB" w:rsidRDefault="0038623D" w:rsidP="009D4DDE">
            <w:pPr>
              <w:pStyle w:val="TableBody"/>
              <w:jc w:val="center"/>
              <w:rPr>
                <w:rFonts w:asciiTheme="minorHAnsi" w:hAnsiTheme="minorHAnsi" w:cstheme="minorHAnsi"/>
                <w:highlight w:val="yellow"/>
              </w:rPr>
            </w:pPr>
            <w:r>
              <w:rPr>
                <w:rFonts w:ascii="Arial" w:hAnsi="Arial" w:cs="Arial"/>
                <w:color w:val="000000"/>
              </w:rPr>
              <w:t>6.</w:t>
            </w:r>
            <w:r w:rsidR="00EE318F">
              <w:rPr>
                <w:rFonts w:ascii="Arial" w:hAnsi="Arial" w:cs="Arial"/>
                <w:color w:val="000000"/>
              </w:rPr>
              <w:t>1</w:t>
            </w:r>
          </w:p>
        </w:tc>
      </w:tr>
      <w:tr w:rsidR="0038623D" w:rsidRPr="004A2F94" w14:paraId="7275DBD7" w14:textId="77777777" w:rsidTr="00F97FEF">
        <w:trPr>
          <w:cantSplit/>
          <w:trHeight w:val="372"/>
        </w:trPr>
        <w:tc>
          <w:tcPr>
            <w:tcW w:w="1642" w:type="pct"/>
            <w:shd w:val="clear" w:color="auto" w:fill="F2F2F2" w:themeFill="background1" w:themeFillShade="F2"/>
            <w:vAlign w:val="center"/>
          </w:tcPr>
          <w:p w14:paraId="595FB254" w14:textId="77777777" w:rsidR="0038623D" w:rsidRPr="004A2F94" w:rsidRDefault="0038623D" w:rsidP="009D4DDE">
            <w:pPr>
              <w:pStyle w:val="TableBody"/>
              <w:rPr>
                <w:rFonts w:asciiTheme="minorHAnsi" w:hAnsiTheme="minorHAnsi" w:cstheme="minorHAnsi"/>
              </w:rPr>
            </w:pPr>
            <w:r w:rsidRPr="004A2F94">
              <w:rPr>
                <w:rFonts w:asciiTheme="minorHAnsi" w:hAnsiTheme="minorHAnsi" w:cstheme="minorHAnsi"/>
              </w:rPr>
              <w:t>Critical data processing or storage assets</w:t>
            </w:r>
          </w:p>
        </w:tc>
        <w:tc>
          <w:tcPr>
            <w:tcW w:w="1679" w:type="pct"/>
            <w:tcBorders>
              <w:top w:val="nil"/>
              <w:left w:val="nil"/>
              <w:bottom w:val="single" w:sz="8" w:space="0" w:color="BFBFBF"/>
              <w:right w:val="nil"/>
            </w:tcBorders>
            <w:shd w:val="clear" w:color="auto" w:fill="auto"/>
            <w:vAlign w:val="center"/>
          </w:tcPr>
          <w:p w14:paraId="47492239" w14:textId="62026DFC" w:rsidR="0038623D" w:rsidRPr="000665DB" w:rsidRDefault="0038623D" w:rsidP="009D4DDE">
            <w:pPr>
              <w:pStyle w:val="TableBody"/>
              <w:jc w:val="center"/>
              <w:rPr>
                <w:rFonts w:asciiTheme="minorHAnsi" w:hAnsiTheme="minorHAnsi" w:cstheme="minorHAnsi"/>
                <w:highlight w:val="yellow"/>
              </w:rPr>
            </w:pPr>
            <w:r>
              <w:rPr>
                <w:rFonts w:ascii="Arial" w:hAnsi="Arial" w:cs="Arial"/>
                <w:color w:val="000000"/>
              </w:rPr>
              <w:t>1.</w:t>
            </w:r>
            <w:r w:rsidR="00EE318F">
              <w:rPr>
                <w:rFonts w:ascii="Arial" w:hAnsi="Arial" w:cs="Arial"/>
                <w:color w:val="000000"/>
              </w:rPr>
              <w:t>7</w:t>
            </w:r>
          </w:p>
        </w:tc>
        <w:tc>
          <w:tcPr>
            <w:tcW w:w="1679" w:type="pct"/>
            <w:tcBorders>
              <w:top w:val="nil"/>
              <w:left w:val="nil"/>
              <w:bottom w:val="single" w:sz="8" w:space="0" w:color="BFBFBF"/>
              <w:right w:val="nil"/>
            </w:tcBorders>
            <w:shd w:val="clear" w:color="auto" w:fill="auto"/>
            <w:vAlign w:val="center"/>
          </w:tcPr>
          <w:p w14:paraId="5BB2B926" w14:textId="12423B09" w:rsidR="0038623D" w:rsidRPr="000665DB" w:rsidRDefault="0038623D" w:rsidP="009D4DDE">
            <w:pPr>
              <w:pStyle w:val="TableBody"/>
              <w:jc w:val="center"/>
              <w:rPr>
                <w:rFonts w:asciiTheme="minorHAnsi" w:hAnsiTheme="minorHAnsi" w:cstheme="minorHAnsi"/>
                <w:highlight w:val="yellow"/>
              </w:rPr>
            </w:pPr>
            <w:r>
              <w:rPr>
                <w:rFonts w:ascii="Arial" w:hAnsi="Arial" w:cs="Arial"/>
                <w:color w:val="000000"/>
              </w:rPr>
              <w:t>1.</w:t>
            </w:r>
            <w:r w:rsidR="00EE318F">
              <w:rPr>
                <w:rFonts w:ascii="Arial" w:hAnsi="Arial" w:cs="Arial"/>
                <w:color w:val="000000"/>
              </w:rPr>
              <w:t>9</w:t>
            </w:r>
          </w:p>
        </w:tc>
      </w:tr>
      <w:tr w:rsidR="0038623D" w:rsidRPr="004A2F94" w14:paraId="2670C53E" w14:textId="77777777" w:rsidTr="004D32BC">
        <w:trPr>
          <w:cantSplit/>
          <w:trHeight w:val="361"/>
        </w:trPr>
        <w:tc>
          <w:tcPr>
            <w:tcW w:w="1642" w:type="pct"/>
            <w:shd w:val="clear" w:color="auto" w:fill="F2F2F2" w:themeFill="background1" w:themeFillShade="F2"/>
            <w:vAlign w:val="center"/>
          </w:tcPr>
          <w:p w14:paraId="2E7FBCAB" w14:textId="77777777" w:rsidR="0038623D" w:rsidRPr="004A2F94" w:rsidRDefault="0038623D" w:rsidP="009D4DDE">
            <w:pPr>
              <w:pStyle w:val="TableBody"/>
              <w:rPr>
                <w:rFonts w:asciiTheme="minorHAnsi" w:hAnsiTheme="minorHAnsi" w:cstheme="minorHAnsi"/>
              </w:rPr>
            </w:pPr>
            <w:r w:rsidRPr="004A2F94">
              <w:rPr>
                <w:rFonts w:asciiTheme="minorHAnsi" w:hAnsiTheme="minorHAnsi" w:cstheme="minorHAnsi"/>
              </w:rPr>
              <w:t xml:space="preserve">Critical broadcasting </w:t>
            </w:r>
            <w:r>
              <w:rPr>
                <w:rFonts w:asciiTheme="minorHAnsi" w:hAnsiTheme="minorHAnsi" w:cstheme="minorHAnsi"/>
              </w:rPr>
              <w:t xml:space="preserve">and domain name system </w:t>
            </w:r>
            <w:r w:rsidRPr="004A2F94">
              <w:rPr>
                <w:rFonts w:asciiTheme="minorHAnsi" w:hAnsiTheme="minorHAnsi" w:cstheme="minorHAnsi"/>
              </w:rPr>
              <w:t>assets</w:t>
            </w:r>
          </w:p>
        </w:tc>
        <w:tc>
          <w:tcPr>
            <w:tcW w:w="1679" w:type="pct"/>
            <w:shd w:val="clear" w:color="auto" w:fill="auto"/>
            <w:vAlign w:val="center"/>
          </w:tcPr>
          <w:p w14:paraId="7575C5CF" w14:textId="77777777" w:rsidR="0038623D" w:rsidRPr="00EE318F" w:rsidRDefault="0038623D" w:rsidP="009D4DDE">
            <w:pPr>
              <w:pStyle w:val="TableBody"/>
              <w:jc w:val="center"/>
              <w:rPr>
                <w:rFonts w:asciiTheme="minorHAnsi" w:hAnsiTheme="minorHAnsi" w:cstheme="minorHAnsi"/>
              </w:rPr>
            </w:pPr>
            <w:r w:rsidRPr="00EE318F">
              <w:rPr>
                <w:rFonts w:asciiTheme="minorHAnsi" w:hAnsiTheme="minorHAnsi" w:cstheme="minorHAnsi"/>
              </w:rPr>
              <w:t>0.7</w:t>
            </w:r>
          </w:p>
        </w:tc>
        <w:tc>
          <w:tcPr>
            <w:tcW w:w="1679" w:type="pct"/>
            <w:shd w:val="clear" w:color="auto" w:fill="auto"/>
            <w:vAlign w:val="center"/>
          </w:tcPr>
          <w:p w14:paraId="4232804C" w14:textId="77777777" w:rsidR="0038623D" w:rsidRPr="00EE318F" w:rsidRDefault="0038623D" w:rsidP="009D4DDE">
            <w:pPr>
              <w:pStyle w:val="TableBody"/>
              <w:jc w:val="center"/>
              <w:rPr>
                <w:rFonts w:asciiTheme="minorHAnsi" w:hAnsiTheme="minorHAnsi" w:cstheme="minorHAnsi"/>
              </w:rPr>
            </w:pPr>
            <w:r w:rsidRPr="00EE318F">
              <w:rPr>
                <w:rFonts w:asciiTheme="minorHAnsi" w:hAnsiTheme="minorHAnsi" w:cstheme="minorHAnsi"/>
              </w:rPr>
              <w:t>0.5</w:t>
            </w:r>
          </w:p>
        </w:tc>
      </w:tr>
      <w:tr w:rsidR="0038623D" w:rsidRPr="004A2F94" w14:paraId="3FCFBCF6" w14:textId="77777777" w:rsidTr="004D32BC">
        <w:trPr>
          <w:cantSplit/>
          <w:trHeight w:val="361"/>
        </w:trPr>
        <w:tc>
          <w:tcPr>
            <w:tcW w:w="1642" w:type="pct"/>
            <w:shd w:val="clear" w:color="auto" w:fill="F2F2F2" w:themeFill="background1" w:themeFillShade="F2"/>
            <w:vAlign w:val="center"/>
          </w:tcPr>
          <w:p w14:paraId="4F4BA900" w14:textId="77777777" w:rsidR="0038623D" w:rsidRPr="004A2F94" w:rsidRDefault="0038623D" w:rsidP="009D4DDE">
            <w:pPr>
              <w:pStyle w:val="TableBody"/>
              <w:rPr>
                <w:rFonts w:asciiTheme="minorHAnsi" w:hAnsiTheme="minorHAnsi" w:cstheme="minorHAnsi"/>
              </w:rPr>
            </w:pPr>
            <w:r w:rsidRPr="004A2F94">
              <w:rPr>
                <w:rFonts w:asciiTheme="minorHAnsi" w:hAnsiTheme="minorHAnsi" w:cstheme="minorHAnsi"/>
              </w:rPr>
              <w:t>Critical financial market infrastructure assets (payment systems)</w:t>
            </w:r>
          </w:p>
        </w:tc>
        <w:tc>
          <w:tcPr>
            <w:tcW w:w="1679" w:type="pct"/>
            <w:shd w:val="clear" w:color="auto" w:fill="auto"/>
            <w:vAlign w:val="center"/>
          </w:tcPr>
          <w:p w14:paraId="249F37CC" w14:textId="77777777" w:rsidR="0038623D" w:rsidRPr="00EE318F" w:rsidRDefault="0038623D" w:rsidP="009D4DDE">
            <w:pPr>
              <w:pStyle w:val="TableBody"/>
              <w:jc w:val="center"/>
              <w:rPr>
                <w:rFonts w:asciiTheme="minorHAnsi" w:hAnsiTheme="minorHAnsi" w:cstheme="minorHAnsi"/>
              </w:rPr>
            </w:pPr>
            <w:r w:rsidRPr="00EE318F">
              <w:rPr>
                <w:rFonts w:asciiTheme="minorHAnsi" w:hAnsiTheme="minorHAnsi" w:cstheme="minorHAnsi"/>
              </w:rPr>
              <w:t>0.1</w:t>
            </w:r>
          </w:p>
        </w:tc>
        <w:tc>
          <w:tcPr>
            <w:tcW w:w="1679" w:type="pct"/>
            <w:shd w:val="clear" w:color="auto" w:fill="auto"/>
            <w:vAlign w:val="center"/>
          </w:tcPr>
          <w:p w14:paraId="0B2C5BF0" w14:textId="4BADE785" w:rsidR="0038623D" w:rsidRPr="00EE318F" w:rsidRDefault="0038623D" w:rsidP="009D4DDE">
            <w:pPr>
              <w:pStyle w:val="TableBody"/>
              <w:jc w:val="center"/>
              <w:rPr>
                <w:rFonts w:asciiTheme="minorHAnsi" w:hAnsiTheme="minorHAnsi" w:cstheme="minorHAnsi"/>
              </w:rPr>
            </w:pPr>
            <w:r w:rsidRPr="00EE318F">
              <w:rPr>
                <w:rFonts w:asciiTheme="minorHAnsi" w:hAnsiTheme="minorHAnsi" w:cstheme="minorHAnsi"/>
              </w:rPr>
              <w:t>1.</w:t>
            </w:r>
            <w:r w:rsidR="00EE318F" w:rsidRPr="00EE318F">
              <w:rPr>
                <w:rFonts w:asciiTheme="minorHAnsi" w:hAnsiTheme="minorHAnsi" w:cstheme="minorHAnsi"/>
              </w:rPr>
              <w:t>4</w:t>
            </w:r>
          </w:p>
        </w:tc>
      </w:tr>
      <w:tr w:rsidR="0038623D" w:rsidRPr="00B172A7" w14:paraId="29B3C7A6" w14:textId="77777777" w:rsidTr="004D32BC">
        <w:trPr>
          <w:cantSplit/>
          <w:trHeight w:val="361"/>
        </w:trPr>
        <w:tc>
          <w:tcPr>
            <w:tcW w:w="1642" w:type="pct"/>
            <w:shd w:val="clear" w:color="auto" w:fill="F2F2F2" w:themeFill="background1" w:themeFillShade="F2"/>
            <w:vAlign w:val="center"/>
          </w:tcPr>
          <w:p w14:paraId="4A232F58" w14:textId="77777777" w:rsidR="0038623D" w:rsidRPr="004A2F94" w:rsidRDefault="0038623D" w:rsidP="009D4DDE">
            <w:pPr>
              <w:pStyle w:val="TableBody"/>
              <w:rPr>
                <w:rFonts w:asciiTheme="minorHAnsi" w:hAnsiTheme="minorHAnsi" w:cstheme="minorHAnsi"/>
                <w:sz w:val="22"/>
              </w:rPr>
            </w:pPr>
            <w:r w:rsidRPr="004A2F94">
              <w:rPr>
                <w:rFonts w:asciiTheme="minorHAnsi" w:hAnsiTheme="minorHAnsi" w:cstheme="minorHAnsi"/>
                <w:lang w:eastAsia="en-AU"/>
              </w:rPr>
              <w:t>Critical liquid fuels assets</w:t>
            </w:r>
          </w:p>
        </w:tc>
        <w:tc>
          <w:tcPr>
            <w:tcW w:w="1679" w:type="pct"/>
            <w:shd w:val="clear" w:color="auto" w:fill="auto"/>
            <w:vAlign w:val="center"/>
          </w:tcPr>
          <w:p w14:paraId="42DC3084" w14:textId="0BBBFEC8" w:rsidR="0038623D" w:rsidRPr="00EE318F" w:rsidRDefault="00192C24" w:rsidP="009D4DDE">
            <w:pPr>
              <w:pStyle w:val="TableBody"/>
              <w:jc w:val="center"/>
              <w:rPr>
                <w:rFonts w:asciiTheme="minorHAnsi" w:hAnsiTheme="minorHAnsi" w:cstheme="minorHAnsi"/>
              </w:rPr>
            </w:pPr>
            <w:r>
              <w:rPr>
                <w:rFonts w:asciiTheme="minorHAnsi" w:hAnsiTheme="minorHAnsi" w:cstheme="minorHAnsi"/>
              </w:rPr>
              <w:t>8.9</w:t>
            </w:r>
          </w:p>
        </w:tc>
        <w:tc>
          <w:tcPr>
            <w:tcW w:w="1679" w:type="pct"/>
            <w:shd w:val="clear" w:color="auto" w:fill="auto"/>
            <w:vAlign w:val="center"/>
          </w:tcPr>
          <w:p w14:paraId="143E00DD" w14:textId="462A016B" w:rsidR="0038623D" w:rsidRPr="00EE318F" w:rsidRDefault="0038623D" w:rsidP="009D4DDE">
            <w:pPr>
              <w:pStyle w:val="TableBody"/>
              <w:jc w:val="center"/>
              <w:rPr>
                <w:rFonts w:asciiTheme="minorHAnsi" w:hAnsiTheme="minorHAnsi" w:cstheme="minorHAnsi"/>
              </w:rPr>
            </w:pPr>
            <w:r w:rsidRPr="00EE318F">
              <w:rPr>
                <w:rFonts w:asciiTheme="minorHAnsi" w:hAnsiTheme="minorHAnsi" w:cstheme="minorHAnsi"/>
              </w:rPr>
              <w:t>2.</w:t>
            </w:r>
            <w:r w:rsidR="00192C24">
              <w:rPr>
                <w:rFonts w:asciiTheme="minorHAnsi" w:hAnsiTheme="minorHAnsi" w:cstheme="minorHAnsi"/>
              </w:rPr>
              <w:t>6</w:t>
            </w:r>
          </w:p>
        </w:tc>
      </w:tr>
      <w:tr w:rsidR="0038623D" w:rsidRPr="00B172A7" w14:paraId="689C30E6" w14:textId="77777777" w:rsidTr="004D32BC">
        <w:trPr>
          <w:cantSplit/>
          <w:trHeight w:val="372"/>
        </w:trPr>
        <w:tc>
          <w:tcPr>
            <w:tcW w:w="1642" w:type="pct"/>
            <w:shd w:val="clear" w:color="auto" w:fill="F2F2F2" w:themeFill="background1" w:themeFillShade="F2"/>
            <w:vAlign w:val="center"/>
          </w:tcPr>
          <w:p w14:paraId="70FEE8F8" w14:textId="77777777" w:rsidR="0038623D" w:rsidRPr="004A2F94" w:rsidRDefault="0038623D" w:rsidP="009D4DDE">
            <w:pPr>
              <w:pStyle w:val="TableBody"/>
              <w:rPr>
                <w:rFonts w:asciiTheme="minorHAnsi" w:hAnsiTheme="minorHAnsi" w:cstheme="minorHAnsi"/>
                <w:sz w:val="22"/>
              </w:rPr>
            </w:pPr>
            <w:r w:rsidRPr="004A2F94">
              <w:rPr>
                <w:rFonts w:asciiTheme="minorHAnsi" w:hAnsiTheme="minorHAnsi" w:cstheme="minorHAnsi"/>
                <w:lang w:eastAsia="en-AU"/>
              </w:rPr>
              <w:t>Critical hospitals</w:t>
            </w:r>
          </w:p>
        </w:tc>
        <w:tc>
          <w:tcPr>
            <w:tcW w:w="1679" w:type="pct"/>
            <w:shd w:val="clear" w:color="auto" w:fill="auto"/>
            <w:vAlign w:val="center"/>
          </w:tcPr>
          <w:p w14:paraId="7E3C5EBC" w14:textId="73DC53E3" w:rsidR="0038623D" w:rsidRPr="0021010E" w:rsidRDefault="0021010E" w:rsidP="009D4DDE">
            <w:pPr>
              <w:pStyle w:val="TableBody"/>
              <w:jc w:val="center"/>
              <w:rPr>
                <w:rFonts w:asciiTheme="minorHAnsi" w:hAnsiTheme="minorHAnsi" w:cstheme="minorHAnsi"/>
              </w:rPr>
            </w:pPr>
            <w:r w:rsidRPr="0021010E">
              <w:rPr>
                <w:rFonts w:asciiTheme="minorHAnsi" w:hAnsiTheme="minorHAnsi" w:cstheme="minorHAnsi"/>
              </w:rPr>
              <w:t>13.0</w:t>
            </w:r>
          </w:p>
        </w:tc>
        <w:tc>
          <w:tcPr>
            <w:tcW w:w="1679" w:type="pct"/>
            <w:shd w:val="clear" w:color="auto" w:fill="auto"/>
            <w:vAlign w:val="center"/>
          </w:tcPr>
          <w:p w14:paraId="6D0B612F" w14:textId="4C8DED08" w:rsidR="0038623D" w:rsidRPr="0021010E" w:rsidRDefault="0021010E" w:rsidP="009D4DDE">
            <w:pPr>
              <w:pStyle w:val="TableBody"/>
              <w:jc w:val="center"/>
              <w:rPr>
                <w:rFonts w:asciiTheme="minorHAnsi" w:hAnsiTheme="minorHAnsi" w:cstheme="minorHAnsi"/>
              </w:rPr>
            </w:pPr>
            <w:r w:rsidRPr="0021010E">
              <w:rPr>
                <w:rFonts w:asciiTheme="minorHAnsi" w:hAnsiTheme="minorHAnsi" w:cstheme="minorHAnsi"/>
              </w:rPr>
              <w:t>10.1</w:t>
            </w:r>
          </w:p>
        </w:tc>
      </w:tr>
      <w:tr w:rsidR="0038623D" w:rsidRPr="00B172A7" w14:paraId="2CA5B6BE" w14:textId="77777777" w:rsidTr="004D32BC">
        <w:trPr>
          <w:cantSplit/>
          <w:trHeight w:val="361"/>
        </w:trPr>
        <w:tc>
          <w:tcPr>
            <w:tcW w:w="1642" w:type="pct"/>
            <w:shd w:val="clear" w:color="auto" w:fill="F2F2F2" w:themeFill="background1" w:themeFillShade="F2"/>
            <w:vAlign w:val="center"/>
          </w:tcPr>
          <w:p w14:paraId="4B0CC5E4" w14:textId="77777777" w:rsidR="0038623D" w:rsidRPr="004A2F94" w:rsidRDefault="0038623D" w:rsidP="009D4DDE">
            <w:pPr>
              <w:pStyle w:val="TableBody"/>
              <w:rPr>
                <w:rFonts w:asciiTheme="minorHAnsi" w:hAnsiTheme="minorHAnsi" w:cstheme="minorHAnsi"/>
                <w:sz w:val="22"/>
              </w:rPr>
            </w:pPr>
            <w:r w:rsidRPr="004A2F94">
              <w:rPr>
                <w:rFonts w:asciiTheme="minorHAnsi" w:hAnsiTheme="minorHAnsi" w:cstheme="minorHAnsi"/>
                <w:lang w:eastAsia="en-AU"/>
              </w:rPr>
              <w:t>Critical energy market operator assets</w:t>
            </w:r>
          </w:p>
        </w:tc>
        <w:tc>
          <w:tcPr>
            <w:tcW w:w="1679" w:type="pct"/>
            <w:vAlign w:val="center"/>
          </w:tcPr>
          <w:p w14:paraId="4410899B" w14:textId="44640269" w:rsidR="0038623D" w:rsidRPr="0020077D" w:rsidRDefault="00EE318F" w:rsidP="009D4DDE">
            <w:pPr>
              <w:pStyle w:val="TableBody"/>
              <w:jc w:val="center"/>
              <w:rPr>
                <w:rFonts w:asciiTheme="minorHAnsi" w:hAnsiTheme="minorHAnsi" w:cstheme="minorHAnsi"/>
              </w:rPr>
            </w:pPr>
            <w:r w:rsidRPr="0020077D">
              <w:rPr>
                <w:rFonts w:asciiTheme="minorHAnsi" w:hAnsiTheme="minorHAnsi" w:cstheme="minorHAnsi"/>
              </w:rPr>
              <w:t>2</w:t>
            </w:r>
            <w:r w:rsidR="0020077D" w:rsidRPr="0020077D">
              <w:rPr>
                <w:rFonts w:asciiTheme="minorHAnsi" w:hAnsiTheme="minorHAnsi" w:cstheme="minorHAnsi"/>
              </w:rPr>
              <w:t>2</w:t>
            </w:r>
            <w:r w:rsidR="0038623D" w:rsidRPr="0020077D">
              <w:rPr>
                <w:rFonts w:asciiTheme="minorHAnsi" w:hAnsiTheme="minorHAnsi" w:cstheme="minorHAnsi"/>
              </w:rPr>
              <w:t>.1</w:t>
            </w:r>
          </w:p>
        </w:tc>
        <w:tc>
          <w:tcPr>
            <w:tcW w:w="1679" w:type="pct"/>
            <w:vAlign w:val="center"/>
          </w:tcPr>
          <w:p w14:paraId="497BC79D" w14:textId="0359891C" w:rsidR="0038623D" w:rsidRPr="0020077D" w:rsidRDefault="0020077D" w:rsidP="009D4DDE">
            <w:pPr>
              <w:pStyle w:val="TableBody"/>
              <w:jc w:val="center"/>
              <w:rPr>
                <w:rFonts w:asciiTheme="minorHAnsi" w:hAnsiTheme="minorHAnsi" w:cstheme="minorHAnsi"/>
              </w:rPr>
            </w:pPr>
            <w:r w:rsidRPr="0020077D">
              <w:rPr>
                <w:rFonts w:asciiTheme="minorHAnsi" w:hAnsiTheme="minorHAnsi" w:cstheme="minorHAnsi"/>
              </w:rPr>
              <w:t>6.</w:t>
            </w:r>
            <w:r w:rsidR="0038623D" w:rsidRPr="0020077D">
              <w:rPr>
                <w:rFonts w:asciiTheme="minorHAnsi" w:hAnsiTheme="minorHAnsi" w:cstheme="minorHAnsi"/>
              </w:rPr>
              <w:t>7</w:t>
            </w:r>
          </w:p>
        </w:tc>
      </w:tr>
      <w:tr w:rsidR="00246246" w:rsidRPr="00B172A7" w14:paraId="25A53DE7" w14:textId="77777777" w:rsidTr="004D32BC">
        <w:trPr>
          <w:cantSplit/>
          <w:trHeight w:val="361"/>
        </w:trPr>
        <w:tc>
          <w:tcPr>
            <w:tcW w:w="1642" w:type="pct"/>
            <w:shd w:val="clear" w:color="auto" w:fill="F2F2F2" w:themeFill="background1" w:themeFillShade="F2"/>
            <w:vAlign w:val="center"/>
          </w:tcPr>
          <w:p w14:paraId="254BD9D0" w14:textId="09051EAD" w:rsidR="00246246" w:rsidRPr="004A2F94" w:rsidRDefault="00246246" w:rsidP="00246246">
            <w:pPr>
              <w:pStyle w:val="TableBody"/>
              <w:rPr>
                <w:rFonts w:cstheme="minorHAnsi"/>
                <w:lang w:eastAsia="en-AU"/>
              </w:rPr>
            </w:pPr>
            <w:r w:rsidRPr="004A2F94">
              <w:rPr>
                <w:rFonts w:asciiTheme="minorHAnsi" w:hAnsiTheme="minorHAnsi" w:cstheme="minorHAnsi"/>
                <w:lang w:eastAsia="en-AU"/>
              </w:rPr>
              <w:t xml:space="preserve">Critical freight infrastructure </w:t>
            </w:r>
            <w:r w:rsidRPr="004A2F94">
              <w:rPr>
                <w:rFonts w:asciiTheme="minorHAnsi" w:hAnsiTheme="minorHAnsi" w:cstheme="minorHAnsi"/>
                <w:i/>
                <w:iCs/>
                <w:lang w:eastAsia="en-AU"/>
              </w:rPr>
              <w:t>and</w:t>
            </w:r>
            <w:r w:rsidRPr="004A2F94">
              <w:rPr>
                <w:rFonts w:asciiTheme="minorHAnsi" w:hAnsiTheme="minorHAnsi" w:cstheme="minorHAnsi"/>
                <w:lang w:eastAsia="en-AU"/>
              </w:rPr>
              <w:t xml:space="preserve"> critical freight services assets</w:t>
            </w:r>
          </w:p>
        </w:tc>
        <w:tc>
          <w:tcPr>
            <w:tcW w:w="1679" w:type="pct"/>
            <w:vAlign w:val="center"/>
          </w:tcPr>
          <w:p w14:paraId="69EFBB74" w14:textId="2C60081A" w:rsidR="00246246" w:rsidRPr="00E22090" w:rsidRDefault="00545E6F" w:rsidP="00246246">
            <w:pPr>
              <w:pStyle w:val="TableBody"/>
              <w:jc w:val="center"/>
              <w:rPr>
                <w:rFonts w:cstheme="minorHAnsi"/>
              </w:rPr>
            </w:pPr>
            <w:r w:rsidRPr="00E22090">
              <w:rPr>
                <w:rFonts w:asciiTheme="minorHAnsi" w:hAnsiTheme="minorHAnsi" w:cstheme="minorHAnsi"/>
              </w:rPr>
              <w:t>3.9</w:t>
            </w:r>
          </w:p>
        </w:tc>
        <w:tc>
          <w:tcPr>
            <w:tcW w:w="1679" w:type="pct"/>
            <w:vAlign w:val="center"/>
          </w:tcPr>
          <w:p w14:paraId="2CF74881" w14:textId="548539A4" w:rsidR="00246246" w:rsidRPr="00E22090" w:rsidRDefault="00192C24" w:rsidP="00246246">
            <w:pPr>
              <w:pStyle w:val="TableBody"/>
              <w:jc w:val="center"/>
              <w:rPr>
                <w:rFonts w:cstheme="minorHAnsi"/>
              </w:rPr>
            </w:pPr>
            <w:r>
              <w:rPr>
                <w:rFonts w:asciiTheme="minorHAnsi" w:hAnsiTheme="minorHAnsi" w:cstheme="minorHAnsi"/>
              </w:rPr>
              <w:t>2.3</w:t>
            </w:r>
          </w:p>
        </w:tc>
      </w:tr>
      <w:tr w:rsidR="00CC154C" w:rsidRPr="00B172A7" w14:paraId="2513E25D" w14:textId="77777777" w:rsidTr="004D32BC">
        <w:trPr>
          <w:cantSplit/>
          <w:trHeight w:val="361"/>
        </w:trPr>
        <w:tc>
          <w:tcPr>
            <w:tcW w:w="1642" w:type="pct"/>
            <w:shd w:val="clear" w:color="auto" w:fill="F2F2F2" w:themeFill="background1" w:themeFillShade="F2"/>
            <w:vAlign w:val="center"/>
          </w:tcPr>
          <w:p w14:paraId="024E6FD9" w14:textId="169147E1" w:rsidR="00CC154C" w:rsidRPr="004A2F94" w:rsidRDefault="00CC154C" w:rsidP="00246246">
            <w:pPr>
              <w:pStyle w:val="TableBody"/>
              <w:rPr>
                <w:rFonts w:cstheme="minorHAnsi"/>
                <w:lang w:eastAsia="en-AU"/>
              </w:rPr>
            </w:pPr>
            <w:r w:rsidRPr="00CC154C">
              <w:rPr>
                <w:rFonts w:cstheme="minorHAnsi"/>
                <w:lang w:eastAsia="en-AU"/>
              </w:rPr>
              <w:t xml:space="preserve">Critical </w:t>
            </w:r>
            <w:r>
              <w:rPr>
                <w:rFonts w:asciiTheme="minorHAnsi" w:hAnsiTheme="minorHAnsi" w:cstheme="minorHAnsi"/>
                <w:lang w:eastAsia="en-AU"/>
              </w:rPr>
              <w:t>food and grocery assets</w:t>
            </w:r>
          </w:p>
        </w:tc>
        <w:tc>
          <w:tcPr>
            <w:tcW w:w="1679" w:type="pct"/>
            <w:vAlign w:val="center"/>
          </w:tcPr>
          <w:p w14:paraId="1625907B" w14:textId="16012544" w:rsidR="00CC154C" w:rsidRPr="00E57FED" w:rsidRDefault="00413DF0" w:rsidP="00246246">
            <w:pPr>
              <w:pStyle w:val="TableBody"/>
              <w:jc w:val="center"/>
              <w:rPr>
                <w:rFonts w:asciiTheme="minorHAnsi" w:hAnsiTheme="minorHAnsi" w:cstheme="minorHAnsi"/>
              </w:rPr>
            </w:pPr>
            <w:r w:rsidRPr="00E57FED">
              <w:rPr>
                <w:rFonts w:cstheme="minorHAnsi"/>
              </w:rPr>
              <w:t>3.1</w:t>
            </w:r>
          </w:p>
        </w:tc>
        <w:tc>
          <w:tcPr>
            <w:tcW w:w="1679" w:type="pct"/>
            <w:vAlign w:val="center"/>
          </w:tcPr>
          <w:p w14:paraId="3A247E73" w14:textId="44FF6FA1" w:rsidR="00CC154C" w:rsidRPr="00E57FED" w:rsidRDefault="00D35DF1" w:rsidP="00246246">
            <w:pPr>
              <w:pStyle w:val="TableBody"/>
              <w:jc w:val="center"/>
              <w:rPr>
                <w:rFonts w:asciiTheme="minorHAnsi" w:hAnsiTheme="minorHAnsi" w:cstheme="minorHAnsi"/>
              </w:rPr>
            </w:pPr>
            <w:r w:rsidRPr="00E57FED">
              <w:rPr>
                <w:rFonts w:cstheme="minorHAnsi"/>
              </w:rPr>
              <w:t>1.7</w:t>
            </w:r>
          </w:p>
        </w:tc>
      </w:tr>
      <w:tr w:rsidR="00246246" w:rsidRPr="004A2F94" w14:paraId="68DC7CD1" w14:textId="77777777" w:rsidTr="004D32BC">
        <w:trPr>
          <w:cantSplit/>
          <w:trHeight w:val="361"/>
        </w:trPr>
        <w:tc>
          <w:tcPr>
            <w:tcW w:w="1642" w:type="pct"/>
            <w:shd w:val="clear" w:color="auto" w:fill="034EA2" w:themeFill="accent1"/>
            <w:vAlign w:val="center"/>
          </w:tcPr>
          <w:p w14:paraId="6C604F4B" w14:textId="27E373AB" w:rsidR="00246246" w:rsidRPr="004A2F94" w:rsidRDefault="00246246" w:rsidP="00246246">
            <w:pPr>
              <w:pStyle w:val="TableHeading"/>
              <w:rPr>
                <w:rFonts w:asciiTheme="minorHAnsi" w:hAnsiTheme="minorHAnsi" w:cstheme="minorHAnsi"/>
                <w:lang w:eastAsia="en-AU"/>
              </w:rPr>
            </w:pPr>
            <w:r w:rsidRPr="004A2F94">
              <w:rPr>
                <w:rFonts w:asciiTheme="minorHAnsi" w:hAnsiTheme="minorHAnsi" w:cstheme="minorHAnsi"/>
                <w:lang w:eastAsia="en-AU"/>
              </w:rPr>
              <w:t xml:space="preserve">Total </w:t>
            </w:r>
            <w:r>
              <w:rPr>
                <w:rFonts w:asciiTheme="minorHAnsi" w:hAnsiTheme="minorHAnsi" w:cstheme="minorHAnsi"/>
                <w:lang w:eastAsia="en-AU"/>
              </w:rPr>
              <w:t xml:space="preserve">average </w:t>
            </w:r>
            <w:r w:rsidRPr="004A2F94">
              <w:rPr>
                <w:rFonts w:asciiTheme="minorHAnsi" w:hAnsiTheme="minorHAnsi" w:cstheme="minorHAnsi"/>
                <w:lang w:eastAsia="en-AU"/>
              </w:rPr>
              <w:t>cost</w:t>
            </w:r>
            <w:r>
              <w:rPr>
                <w:rFonts w:asciiTheme="minorHAnsi" w:hAnsiTheme="minorHAnsi" w:cstheme="minorHAnsi"/>
                <w:lang w:eastAsia="en-AU"/>
              </w:rPr>
              <w:t xml:space="preserve"> per entity</w:t>
            </w:r>
          </w:p>
        </w:tc>
        <w:tc>
          <w:tcPr>
            <w:tcW w:w="1679" w:type="pct"/>
            <w:shd w:val="clear" w:color="auto" w:fill="034EA2" w:themeFill="accent1"/>
            <w:vAlign w:val="center"/>
          </w:tcPr>
          <w:p w14:paraId="45CED9E5" w14:textId="12DA6D14" w:rsidR="00246246" w:rsidRPr="00E22090" w:rsidRDefault="00192C24" w:rsidP="00246246">
            <w:pPr>
              <w:pStyle w:val="TableHeading"/>
              <w:jc w:val="center"/>
              <w:rPr>
                <w:rFonts w:asciiTheme="minorHAnsi" w:hAnsiTheme="minorHAnsi" w:cstheme="minorHAnsi"/>
                <w:lang w:eastAsia="en-AU"/>
              </w:rPr>
            </w:pPr>
            <w:r>
              <w:rPr>
                <w:rFonts w:cstheme="minorHAnsi"/>
                <w:lang w:eastAsia="en-AU"/>
              </w:rPr>
              <w:t>7.9</w:t>
            </w:r>
          </w:p>
        </w:tc>
        <w:tc>
          <w:tcPr>
            <w:tcW w:w="1679" w:type="pct"/>
            <w:shd w:val="clear" w:color="auto" w:fill="034EA2" w:themeFill="accent1"/>
            <w:vAlign w:val="center"/>
          </w:tcPr>
          <w:p w14:paraId="2B8A0487" w14:textId="2891DA91" w:rsidR="00246246" w:rsidRPr="00E22090" w:rsidRDefault="00255F45" w:rsidP="00246246">
            <w:pPr>
              <w:pStyle w:val="TableHeading"/>
              <w:jc w:val="center"/>
              <w:rPr>
                <w:rFonts w:asciiTheme="minorHAnsi" w:hAnsiTheme="minorHAnsi" w:cstheme="minorHAnsi"/>
                <w:lang w:eastAsia="en-AU"/>
              </w:rPr>
            </w:pPr>
            <w:r w:rsidRPr="00E22090">
              <w:rPr>
                <w:rFonts w:cstheme="minorHAnsi"/>
                <w:lang w:eastAsia="en-AU"/>
              </w:rPr>
              <w:t>3.</w:t>
            </w:r>
            <w:r w:rsidR="00192C24">
              <w:rPr>
                <w:rFonts w:cstheme="minorHAnsi"/>
                <w:lang w:eastAsia="en-AU"/>
              </w:rPr>
              <w:t>6</w:t>
            </w:r>
          </w:p>
        </w:tc>
      </w:tr>
    </w:tbl>
    <w:p w14:paraId="244E7C23" w14:textId="77777777" w:rsidR="0038623D" w:rsidRDefault="0038623D" w:rsidP="001C5E54">
      <w:pPr>
        <w:pStyle w:val="Caption"/>
        <w:rPr>
          <w:b/>
        </w:rPr>
      </w:pPr>
    </w:p>
    <w:p w14:paraId="61F0BB48" w14:textId="77777777" w:rsidR="0038623D" w:rsidRDefault="0038623D">
      <w:pPr>
        <w:spacing w:before="80" w:after="80"/>
        <w:rPr>
          <w:b/>
          <w:i/>
          <w:color w:val="034EA2" w:themeColor="accent1"/>
          <w:sz w:val="18"/>
          <w:szCs w:val="18"/>
          <w:lang w:eastAsia="en-AU"/>
        </w:rPr>
      </w:pPr>
      <w:r>
        <w:rPr>
          <w:b/>
        </w:rPr>
        <w:br w:type="page"/>
      </w:r>
    </w:p>
    <w:p w14:paraId="578659A7" w14:textId="0031229A" w:rsidR="00C10A35" w:rsidRPr="009D104F" w:rsidRDefault="00C10A35" w:rsidP="001C5E54">
      <w:pPr>
        <w:pStyle w:val="Caption"/>
        <w:rPr>
          <w:b/>
        </w:rPr>
      </w:pPr>
      <w:bookmarkStart w:id="256" w:name="_Ref94876559"/>
      <w:bookmarkStart w:id="257" w:name="_Toc120115097"/>
      <w:r w:rsidRPr="00E9705C">
        <w:rPr>
          <w:b/>
        </w:rPr>
        <w:lastRenderedPageBreak/>
        <w:t xml:space="preserve">Table </w:t>
      </w:r>
      <w:r w:rsidRPr="00E9705C">
        <w:rPr>
          <w:rFonts w:ascii="Calibri" w:hAnsi="Calibri" w:cs="Times New Roman"/>
        </w:rPr>
        <w:fldChar w:fldCharType="begin"/>
      </w:r>
      <w:r w:rsidRPr="00E9705C">
        <w:rPr>
          <w:b/>
        </w:rPr>
        <w:instrText xml:space="preserve"> SEQ Table \* ARABIC </w:instrText>
      </w:r>
      <w:r w:rsidRPr="00E9705C">
        <w:rPr>
          <w:rFonts w:ascii="Calibri" w:hAnsi="Calibri" w:cs="Times New Roman"/>
        </w:rPr>
        <w:fldChar w:fldCharType="separate"/>
      </w:r>
      <w:r w:rsidR="009708D4">
        <w:rPr>
          <w:b/>
          <w:noProof/>
        </w:rPr>
        <w:t>12</w:t>
      </w:r>
      <w:r w:rsidRPr="00E9705C">
        <w:rPr>
          <w:rFonts w:ascii="Calibri" w:hAnsi="Calibri" w:cs="Times New Roman"/>
        </w:rPr>
        <w:fldChar w:fldCharType="end"/>
      </w:r>
      <w:bookmarkEnd w:id="256"/>
      <w:r>
        <w:rPr>
          <w:rFonts w:ascii="Calibri" w:hAnsi="Calibri" w:cs="Times New Roman"/>
        </w:rPr>
        <w:t xml:space="preserve"> </w:t>
      </w:r>
      <w:r w:rsidRPr="00E9705C">
        <w:t>Regulatory cost estimate</w:t>
      </w:r>
      <w:r>
        <w:t xml:space="preserve"> per </w:t>
      </w:r>
      <w:r w:rsidR="00731490">
        <w:t>critical infrastructure asset</w:t>
      </w:r>
      <w:bookmarkEnd w:id="257"/>
    </w:p>
    <w:tbl>
      <w:tblPr>
        <w:tblStyle w:val="TableGrid111"/>
        <w:tblW w:w="10348" w:type="dxa"/>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2127"/>
        <w:gridCol w:w="1644"/>
        <w:gridCol w:w="1644"/>
        <w:gridCol w:w="1644"/>
        <w:gridCol w:w="1644"/>
        <w:gridCol w:w="1645"/>
      </w:tblGrid>
      <w:tr w:rsidR="00DC1AB5" w:rsidRPr="004A2F94" w14:paraId="49F1CE96" w14:textId="79C0420F" w:rsidTr="21971FB1">
        <w:trPr>
          <w:cantSplit/>
          <w:trHeight w:val="435"/>
          <w:tblHeader/>
        </w:trPr>
        <w:tc>
          <w:tcPr>
            <w:tcW w:w="2127" w:type="dxa"/>
            <w:vMerge w:val="restart"/>
            <w:shd w:val="clear" w:color="auto" w:fill="034EA2" w:themeFill="accent1"/>
            <w:vAlign w:val="center"/>
          </w:tcPr>
          <w:p w14:paraId="582A392D" w14:textId="77777777" w:rsidR="00DC1AB5" w:rsidRPr="004A2F94" w:rsidRDefault="00DC1AB5" w:rsidP="00CC062D">
            <w:pPr>
              <w:pStyle w:val="TableHeading"/>
              <w:jc w:val="center"/>
              <w:rPr>
                <w:rFonts w:asciiTheme="minorHAnsi" w:hAnsiTheme="minorHAnsi" w:cstheme="minorHAnsi"/>
              </w:rPr>
            </w:pPr>
            <w:r w:rsidRPr="004A2F94">
              <w:rPr>
                <w:rFonts w:asciiTheme="minorHAnsi" w:hAnsiTheme="minorHAnsi" w:cstheme="minorHAnsi"/>
              </w:rPr>
              <w:t>Critical infrastructure asset</w:t>
            </w:r>
          </w:p>
        </w:tc>
        <w:tc>
          <w:tcPr>
            <w:tcW w:w="8221" w:type="dxa"/>
            <w:gridSpan w:val="5"/>
            <w:tcBorders>
              <w:bottom w:val="single" w:sz="4" w:space="0" w:color="BFBFBF" w:themeColor="background2" w:themeShade="BF"/>
            </w:tcBorders>
            <w:shd w:val="clear" w:color="auto" w:fill="034EA2" w:themeFill="accent1"/>
            <w:vAlign w:val="center"/>
          </w:tcPr>
          <w:p w14:paraId="66E0678F" w14:textId="77777777" w:rsidR="00DC1AB5" w:rsidRPr="004A2F94" w:rsidRDefault="00DC1AB5" w:rsidP="00CC062D">
            <w:pPr>
              <w:pStyle w:val="TableHeading"/>
              <w:jc w:val="center"/>
              <w:rPr>
                <w:rFonts w:asciiTheme="minorHAnsi" w:hAnsiTheme="minorHAnsi" w:cstheme="minorHAnsi"/>
              </w:rPr>
            </w:pPr>
            <w:r w:rsidRPr="004A2F94">
              <w:rPr>
                <w:rFonts w:asciiTheme="minorHAnsi" w:hAnsiTheme="minorHAnsi" w:cstheme="minorHAnsi"/>
              </w:rPr>
              <w:t>Costs ($ million)</w:t>
            </w:r>
          </w:p>
        </w:tc>
      </w:tr>
      <w:tr w:rsidR="00B23CF6" w:rsidRPr="004A2F94" w14:paraId="0AF418A7" w14:textId="36D3E9A0" w:rsidTr="21971FB1">
        <w:trPr>
          <w:cantSplit/>
          <w:trHeight w:val="756"/>
          <w:tblHeader/>
        </w:trPr>
        <w:tc>
          <w:tcPr>
            <w:tcW w:w="2127" w:type="dxa"/>
            <w:vMerge/>
            <w:vAlign w:val="center"/>
          </w:tcPr>
          <w:p w14:paraId="5C8F3113" w14:textId="77777777" w:rsidR="00B23CF6" w:rsidRPr="004A2F94" w:rsidRDefault="00B23CF6" w:rsidP="00BF0491">
            <w:pPr>
              <w:jc w:val="center"/>
              <w:rPr>
                <w:rFonts w:asciiTheme="minorHAnsi" w:hAnsiTheme="minorHAnsi" w:cstheme="minorHAnsi"/>
                <w:color w:val="FFFFFF"/>
                <w:sz w:val="22"/>
              </w:rPr>
            </w:pPr>
          </w:p>
        </w:tc>
        <w:tc>
          <w:tcPr>
            <w:tcW w:w="1644" w:type="dxa"/>
            <w:tcBorders>
              <w:top w:val="single" w:sz="4" w:space="0" w:color="BFBFBF" w:themeColor="background2" w:themeShade="BF"/>
            </w:tcBorders>
            <w:shd w:val="clear" w:color="auto" w:fill="BBDAFD" w:themeFill="accent1" w:themeFillTint="33"/>
            <w:vAlign w:val="center"/>
          </w:tcPr>
          <w:p w14:paraId="098F0921" w14:textId="77777777" w:rsidR="00D52C8A" w:rsidRDefault="00B23CF6" w:rsidP="00D52C8A">
            <w:pPr>
              <w:pStyle w:val="TableBody"/>
              <w:jc w:val="center"/>
              <w:rPr>
                <w:rFonts w:asciiTheme="minorHAnsi" w:hAnsiTheme="minorHAnsi" w:cstheme="minorHAnsi"/>
              </w:rPr>
            </w:pPr>
            <w:r w:rsidRPr="004A2F94">
              <w:rPr>
                <w:rFonts w:asciiTheme="minorHAnsi" w:hAnsiTheme="minorHAnsi" w:cstheme="minorHAnsi"/>
              </w:rPr>
              <w:t xml:space="preserve">Total </w:t>
            </w:r>
            <w:r w:rsidR="00D52C8A" w:rsidRPr="004A2F94">
              <w:rPr>
                <w:rFonts w:asciiTheme="minorHAnsi" w:hAnsiTheme="minorHAnsi" w:cstheme="minorHAnsi"/>
              </w:rPr>
              <w:t>one-off</w:t>
            </w:r>
            <w:r w:rsidRPr="004A2F94">
              <w:rPr>
                <w:rFonts w:asciiTheme="minorHAnsi" w:hAnsiTheme="minorHAnsi" w:cstheme="minorHAnsi"/>
              </w:rPr>
              <w:t xml:space="preserve"> cost</w:t>
            </w:r>
            <w:r>
              <w:rPr>
                <w:rFonts w:asciiTheme="minorHAnsi" w:hAnsiTheme="minorHAnsi" w:cstheme="minorHAnsi"/>
              </w:rPr>
              <w:t>s</w:t>
            </w:r>
          </w:p>
          <w:p w14:paraId="37A9C4C6" w14:textId="4F5DF81A" w:rsidR="00B23CF6" w:rsidRPr="004A2F94" w:rsidRDefault="00D52C8A" w:rsidP="00BF0491">
            <w:pPr>
              <w:pStyle w:val="TableBody"/>
              <w:jc w:val="center"/>
              <w:rPr>
                <w:rFonts w:asciiTheme="minorHAnsi" w:hAnsiTheme="minorHAnsi" w:cstheme="minorHAnsi"/>
              </w:rPr>
            </w:pPr>
            <w:r w:rsidRPr="002777FE">
              <w:rPr>
                <w:rFonts w:asciiTheme="minorHAnsi" w:hAnsiTheme="minorHAnsi" w:cstheme="minorHAnsi"/>
                <w:b/>
                <w:bCs/>
              </w:rPr>
              <w:t>(a)</w:t>
            </w:r>
          </w:p>
        </w:tc>
        <w:tc>
          <w:tcPr>
            <w:tcW w:w="1644" w:type="dxa"/>
            <w:tcBorders>
              <w:top w:val="single" w:sz="4" w:space="0" w:color="BFBFBF" w:themeColor="background2" w:themeShade="BF"/>
            </w:tcBorders>
            <w:shd w:val="clear" w:color="auto" w:fill="BBDAFD" w:themeFill="accent1" w:themeFillTint="33"/>
            <w:vAlign w:val="center"/>
          </w:tcPr>
          <w:p w14:paraId="06EEA997" w14:textId="2CBFE411" w:rsidR="00B23CF6" w:rsidRPr="004A2F94" w:rsidRDefault="00B23CF6" w:rsidP="00BF0491">
            <w:pPr>
              <w:pStyle w:val="TableBody"/>
              <w:jc w:val="center"/>
              <w:rPr>
                <w:rFonts w:asciiTheme="minorHAnsi" w:hAnsiTheme="minorHAnsi" w:cstheme="minorHAnsi"/>
              </w:rPr>
            </w:pPr>
            <w:r w:rsidRPr="004A2F94">
              <w:rPr>
                <w:rFonts w:asciiTheme="minorHAnsi" w:hAnsiTheme="minorHAnsi" w:cstheme="minorHAnsi"/>
              </w:rPr>
              <w:t xml:space="preserve">Total </w:t>
            </w:r>
            <w:r w:rsidR="00D52C8A">
              <w:rPr>
                <w:rFonts w:asciiTheme="minorHAnsi" w:hAnsiTheme="minorHAnsi" w:cstheme="minorHAnsi"/>
              </w:rPr>
              <w:t xml:space="preserve">annual </w:t>
            </w:r>
            <w:r w:rsidR="00D52C8A" w:rsidRPr="004A2F94">
              <w:rPr>
                <w:rFonts w:asciiTheme="minorHAnsi" w:hAnsiTheme="minorHAnsi" w:cstheme="minorHAnsi"/>
              </w:rPr>
              <w:t>ongoing</w:t>
            </w:r>
            <w:r w:rsidRPr="004A2F94">
              <w:rPr>
                <w:rFonts w:asciiTheme="minorHAnsi" w:hAnsiTheme="minorHAnsi" w:cstheme="minorHAnsi"/>
              </w:rPr>
              <w:t xml:space="preserve"> costs</w:t>
            </w:r>
          </w:p>
        </w:tc>
        <w:tc>
          <w:tcPr>
            <w:tcW w:w="1644" w:type="dxa"/>
            <w:tcBorders>
              <w:top w:val="single" w:sz="4" w:space="0" w:color="BFBFBF" w:themeColor="background2" w:themeShade="BF"/>
            </w:tcBorders>
            <w:shd w:val="clear" w:color="auto" w:fill="BBDAFD" w:themeFill="accent1" w:themeFillTint="33"/>
            <w:vAlign w:val="center"/>
          </w:tcPr>
          <w:p w14:paraId="10518612" w14:textId="40FFFA4A" w:rsidR="00B23CF6" w:rsidRDefault="00B23CF6" w:rsidP="00BF0491">
            <w:pPr>
              <w:pStyle w:val="TableBody"/>
              <w:jc w:val="center"/>
              <w:rPr>
                <w:rFonts w:asciiTheme="minorHAnsi" w:hAnsiTheme="minorHAnsi" w:cstheme="minorHAnsi"/>
              </w:rPr>
            </w:pPr>
            <w:r w:rsidRPr="004A2F94">
              <w:rPr>
                <w:rFonts w:asciiTheme="minorHAnsi" w:hAnsiTheme="minorHAnsi" w:cstheme="minorHAnsi"/>
              </w:rPr>
              <w:t>Total ongoing cost</w:t>
            </w:r>
            <w:r>
              <w:rPr>
                <w:rFonts w:asciiTheme="minorHAnsi" w:hAnsiTheme="minorHAnsi" w:cstheme="minorHAnsi"/>
              </w:rPr>
              <w:t xml:space="preserve"> over</w:t>
            </w:r>
            <w:r w:rsidR="003C260C">
              <w:rPr>
                <w:rFonts w:asciiTheme="minorHAnsi" w:hAnsiTheme="minorHAnsi" w:cstheme="minorHAnsi"/>
              </w:rPr>
              <w:t xml:space="preserve"> a</w:t>
            </w:r>
            <w:r>
              <w:rPr>
                <w:rFonts w:asciiTheme="minorHAnsi" w:hAnsiTheme="minorHAnsi" w:cstheme="minorHAnsi"/>
              </w:rPr>
              <w:t xml:space="preserve"> ten-year period</w:t>
            </w:r>
            <w:r w:rsidRPr="004A2F94">
              <w:rPr>
                <w:rStyle w:val="FootnoteReference"/>
                <w:rFonts w:asciiTheme="minorHAnsi" w:hAnsiTheme="minorHAnsi" w:cstheme="minorHAnsi"/>
                <w:sz w:val="22"/>
              </w:rPr>
              <w:footnoteReference w:id="49"/>
            </w:r>
            <w:r>
              <w:rPr>
                <w:rFonts w:asciiTheme="minorHAnsi" w:hAnsiTheme="minorHAnsi" w:cstheme="minorHAnsi"/>
              </w:rPr>
              <w:t xml:space="preserve"> </w:t>
            </w:r>
          </w:p>
          <w:p w14:paraId="0CECA82D" w14:textId="23B921C7" w:rsidR="00B23CF6" w:rsidRPr="004A2F94" w:rsidRDefault="00B23CF6" w:rsidP="00BF0491">
            <w:pPr>
              <w:pStyle w:val="TableBody"/>
              <w:jc w:val="center"/>
              <w:rPr>
                <w:rFonts w:asciiTheme="minorHAnsi" w:hAnsiTheme="minorHAnsi" w:cstheme="minorHAnsi"/>
              </w:rPr>
            </w:pPr>
            <w:r w:rsidRPr="002777FE">
              <w:rPr>
                <w:rFonts w:asciiTheme="minorHAnsi" w:hAnsiTheme="minorHAnsi" w:cstheme="minorHAnsi"/>
                <w:b/>
                <w:bCs/>
              </w:rPr>
              <w:t>(b)</w:t>
            </w:r>
          </w:p>
        </w:tc>
        <w:tc>
          <w:tcPr>
            <w:tcW w:w="1644" w:type="dxa"/>
            <w:tcBorders>
              <w:top w:val="single" w:sz="4" w:space="0" w:color="BFBFBF" w:themeColor="background2" w:themeShade="BF"/>
            </w:tcBorders>
            <w:shd w:val="clear" w:color="auto" w:fill="BBDAFD" w:themeFill="accent1" w:themeFillTint="33"/>
            <w:vAlign w:val="center"/>
          </w:tcPr>
          <w:p w14:paraId="1E213245" w14:textId="77777777" w:rsidR="00B23CF6" w:rsidRDefault="00B23CF6" w:rsidP="00BF0491">
            <w:pPr>
              <w:pStyle w:val="TableBody"/>
              <w:jc w:val="center"/>
              <w:rPr>
                <w:rFonts w:asciiTheme="minorHAnsi" w:hAnsiTheme="minorHAnsi" w:cstheme="minorHAnsi"/>
              </w:rPr>
            </w:pPr>
            <w:r w:rsidRPr="004A2F94">
              <w:rPr>
                <w:rFonts w:asciiTheme="minorHAnsi" w:hAnsiTheme="minorHAnsi" w:cstheme="minorHAnsi"/>
              </w:rPr>
              <w:t>Total costs over a ten-year period</w:t>
            </w:r>
          </w:p>
          <w:p w14:paraId="6DFC812A" w14:textId="785D7673" w:rsidR="00B23CF6" w:rsidRPr="00507EDF" w:rsidRDefault="000F6857" w:rsidP="00BF0491">
            <w:pPr>
              <w:pStyle w:val="TableBody"/>
              <w:jc w:val="center"/>
              <w:rPr>
                <w:rFonts w:asciiTheme="minorHAnsi" w:hAnsiTheme="minorHAnsi" w:cstheme="minorHAnsi"/>
                <w:b/>
                <w:bCs/>
              </w:rPr>
            </w:pPr>
            <w:r>
              <w:rPr>
                <w:rFonts w:asciiTheme="minorHAnsi" w:hAnsiTheme="minorHAnsi" w:cstheme="minorHAnsi"/>
                <w:b/>
                <w:bCs/>
              </w:rPr>
              <w:t xml:space="preserve">(c) = </w:t>
            </w:r>
            <w:r w:rsidR="00B23CF6" w:rsidRPr="00507EDF">
              <w:rPr>
                <w:rFonts w:asciiTheme="minorHAnsi" w:hAnsiTheme="minorHAnsi" w:cstheme="minorHAnsi"/>
                <w:b/>
                <w:bCs/>
              </w:rPr>
              <w:t>(a)+(b)</w:t>
            </w:r>
          </w:p>
        </w:tc>
        <w:tc>
          <w:tcPr>
            <w:tcW w:w="1645" w:type="dxa"/>
            <w:tcBorders>
              <w:top w:val="single" w:sz="4" w:space="0" w:color="BFBFBF" w:themeColor="background2" w:themeShade="BF"/>
            </w:tcBorders>
            <w:shd w:val="clear" w:color="auto" w:fill="BBDAFD" w:themeFill="accent1" w:themeFillTint="33"/>
            <w:vAlign w:val="center"/>
          </w:tcPr>
          <w:p w14:paraId="40E36A6F" w14:textId="77777777" w:rsidR="00D52C8A" w:rsidRDefault="00A338D7" w:rsidP="00D52C8A">
            <w:pPr>
              <w:pStyle w:val="TableBody"/>
              <w:jc w:val="center"/>
              <w:rPr>
                <w:rFonts w:asciiTheme="minorHAnsi" w:hAnsiTheme="minorHAnsi" w:cstheme="minorHAnsi"/>
              </w:rPr>
            </w:pPr>
            <w:r>
              <w:rPr>
                <w:rFonts w:asciiTheme="minorHAnsi" w:hAnsiTheme="minorHAnsi" w:cstheme="minorHAnsi"/>
              </w:rPr>
              <w:t>Total a</w:t>
            </w:r>
            <w:r w:rsidR="00A12D73" w:rsidRPr="00DB3742">
              <w:rPr>
                <w:rFonts w:asciiTheme="minorHAnsi" w:hAnsiTheme="minorHAnsi" w:cstheme="minorHAnsi"/>
              </w:rPr>
              <w:t xml:space="preserve">verage annual </w:t>
            </w:r>
            <w:r w:rsidR="003C260C">
              <w:rPr>
                <w:rFonts w:asciiTheme="minorHAnsi" w:hAnsiTheme="minorHAnsi" w:cstheme="minorHAnsi"/>
              </w:rPr>
              <w:t>cost</w:t>
            </w:r>
            <w:r w:rsidR="00A12D73" w:rsidRPr="00DB3742">
              <w:rPr>
                <w:rFonts w:asciiTheme="minorHAnsi" w:hAnsiTheme="minorHAnsi" w:cstheme="minorHAnsi"/>
              </w:rPr>
              <w:t xml:space="preserve"> </w:t>
            </w:r>
            <w:r w:rsidR="00515C4E" w:rsidRPr="00DB3742">
              <w:rPr>
                <w:rFonts w:asciiTheme="minorHAnsi" w:hAnsiTheme="minorHAnsi" w:cstheme="minorHAnsi"/>
              </w:rPr>
              <w:t>over a ten-year period</w:t>
            </w:r>
          </w:p>
          <w:p w14:paraId="7AB68027" w14:textId="4AE80753" w:rsidR="00B23CF6" w:rsidRDefault="00D014CB" w:rsidP="00A12D73">
            <w:pPr>
              <w:pStyle w:val="TableBody"/>
              <w:jc w:val="center"/>
              <w:rPr>
                <w:rFonts w:cstheme="minorHAnsi"/>
              </w:rPr>
            </w:pPr>
            <w:r w:rsidRPr="000F6857">
              <w:rPr>
                <w:rFonts w:asciiTheme="minorHAnsi" w:hAnsiTheme="minorHAnsi" w:cstheme="minorHAnsi"/>
                <w:b/>
                <w:bCs/>
                <w:sz w:val="18"/>
                <w:szCs w:val="18"/>
              </w:rPr>
              <w:t xml:space="preserve">(c) </w:t>
            </w:r>
            <w:r w:rsidR="000F6857" w:rsidRPr="000F6857">
              <w:rPr>
                <w:rFonts w:asciiTheme="minorHAnsi" w:hAnsiTheme="minorHAnsi" w:cstheme="minorHAnsi"/>
                <w:b/>
                <w:bCs/>
                <w:sz w:val="18"/>
                <w:szCs w:val="18"/>
              </w:rPr>
              <w:t>divided by 10</w:t>
            </w:r>
          </w:p>
        </w:tc>
      </w:tr>
      <w:tr w:rsidR="00B23CF6" w:rsidRPr="004A2F94" w14:paraId="5B88624F" w14:textId="4E7763A1" w:rsidTr="00E92FA0">
        <w:trPr>
          <w:cantSplit/>
          <w:trHeight w:val="361"/>
        </w:trPr>
        <w:tc>
          <w:tcPr>
            <w:tcW w:w="2127" w:type="dxa"/>
            <w:shd w:val="clear" w:color="auto" w:fill="F2F2F2" w:themeFill="background2" w:themeFillShade="F2"/>
            <w:vAlign w:val="center"/>
          </w:tcPr>
          <w:p w14:paraId="516283D3" w14:textId="77777777" w:rsidR="00B23CF6" w:rsidRPr="004A2F94" w:rsidRDefault="00B23CF6" w:rsidP="00BF0491">
            <w:pPr>
              <w:pStyle w:val="TableBody"/>
              <w:rPr>
                <w:rFonts w:asciiTheme="minorHAnsi" w:hAnsiTheme="minorHAnsi" w:cstheme="minorHAnsi"/>
              </w:rPr>
            </w:pPr>
            <w:r w:rsidRPr="004A2F94">
              <w:rPr>
                <w:rFonts w:asciiTheme="minorHAnsi" w:hAnsiTheme="minorHAnsi" w:cstheme="minorHAnsi"/>
              </w:rPr>
              <w:t>Critical electricity assets</w:t>
            </w:r>
          </w:p>
        </w:tc>
        <w:tc>
          <w:tcPr>
            <w:tcW w:w="1644" w:type="dxa"/>
            <w:tcBorders>
              <w:top w:val="nil"/>
              <w:left w:val="nil"/>
              <w:bottom w:val="single" w:sz="8" w:space="0" w:color="BFBFBF"/>
              <w:right w:val="nil"/>
            </w:tcBorders>
            <w:shd w:val="clear" w:color="auto" w:fill="auto"/>
            <w:vAlign w:val="center"/>
          </w:tcPr>
          <w:p w14:paraId="75EA1B1E" w14:textId="7E7AB042" w:rsidR="00B23CF6" w:rsidRPr="004A2F94" w:rsidRDefault="00F47938" w:rsidP="00BF0491">
            <w:pPr>
              <w:pStyle w:val="TableBody"/>
              <w:jc w:val="center"/>
              <w:rPr>
                <w:rFonts w:asciiTheme="minorHAnsi" w:hAnsiTheme="minorHAnsi" w:cstheme="minorHAnsi"/>
              </w:rPr>
            </w:pPr>
            <w:r>
              <w:rPr>
                <w:rFonts w:ascii="Arial" w:hAnsi="Arial" w:cs="Arial"/>
                <w:color w:val="000000"/>
              </w:rPr>
              <w:t>463.3</w:t>
            </w:r>
          </w:p>
        </w:tc>
        <w:tc>
          <w:tcPr>
            <w:tcW w:w="1644" w:type="dxa"/>
            <w:tcBorders>
              <w:top w:val="nil"/>
              <w:left w:val="nil"/>
              <w:bottom w:val="single" w:sz="8" w:space="0" w:color="BFBFBF"/>
              <w:right w:val="nil"/>
            </w:tcBorders>
            <w:shd w:val="clear" w:color="auto" w:fill="auto"/>
            <w:vAlign w:val="center"/>
          </w:tcPr>
          <w:p w14:paraId="311F4E2D" w14:textId="43C8CE09" w:rsidR="00B23CF6" w:rsidRPr="00CE4B35" w:rsidRDefault="00F47938" w:rsidP="00BF0491">
            <w:pPr>
              <w:pStyle w:val="TableBody"/>
              <w:jc w:val="center"/>
              <w:rPr>
                <w:rFonts w:ascii="Arial" w:hAnsi="Arial" w:cs="Arial"/>
                <w:color w:val="000000"/>
              </w:rPr>
            </w:pPr>
            <w:r>
              <w:rPr>
                <w:rFonts w:ascii="Arial" w:hAnsi="Arial" w:cs="Arial"/>
                <w:color w:val="000000"/>
              </w:rPr>
              <w:t>228.0</w:t>
            </w:r>
          </w:p>
        </w:tc>
        <w:tc>
          <w:tcPr>
            <w:tcW w:w="1644" w:type="dxa"/>
            <w:tcBorders>
              <w:top w:val="nil"/>
              <w:left w:val="nil"/>
              <w:bottom w:val="single" w:sz="8" w:space="0" w:color="BFBFBF"/>
              <w:right w:val="nil"/>
            </w:tcBorders>
            <w:shd w:val="clear" w:color="auto" w:fill="auto"/>
            <w:vAlign w:val="center"/>
          </w:tcPr>
          <w:p w14:paraId="1906ECFE" w14:textId="09950511" w:rsidR="00B23CF6" w:rsidRPr="00CE4B35" w:rsidRDefault="00CE4B0B" w:rsidP="00BF0491">
            <w:pPr>
              <w:pStyle w:val="TableBody"/>
              <w:jc w:val="center"/>
              <w:rPr>
                <w:rFonts w:ascii="Arial" w:hAnsi="Arial" w:cs="Arial"/>
                <w:color w:val="000000"/>
              </w:rPr>
            </w:pPr>
            <w:r>
              <w:rPr>
                <w:rFonts w:ascii="Arial" w:hAnsi="Arial" w:cs="Arial"/>
                <w:color w:val="000000"/>
              </w:rPr>
              <w:t>2</w:t>
            </w:r>
            <w:r w:rsidR="00A03A1D">
              <w:rPr>
                <w:rFonts w:ascii="Arial" w:hAnsi="Arial" w:cs="Arial"/>
                <w:color w:val="000000"/>
              </w:rPr>
              <w:t>,</w:t>
            </w:r>
            <w:r>
              <w:rPr>
                <w:rFonts w:ascii="Arial" w:hAnsi="Arial" w:cs="Arial"/>
                <w:color w:val="000000"/>
              </w:rPr>
              <w:t>115</w:t>
            </w:r>
            <w:r w:rsidR="00F47938">
              <w:rPr>
                <w:rFonts w:ascii="Arial" w:hAnsi="Arial" w:cs="Arial"/>
                <w:color w:val="000000"/>
              </w:rPr>
              <w:t>.6</w:t>
            </w:r>
          </w:p>
        </w:tc>
        <w:tc>
          <w:tcPr>
            <w:tcW w:w="1644" w:type="dxa"/>
            <w:tcBorders>
              <w:top w:val="nil"/>
              <w:left w:val="nil"/>
              <w:bottom w:val="single" w:sz="8" w:space="0" w:color="BFBFBF"/>
              <w:right w:val="nil"/>
            </w:tcBorders>
            <w:shd w:val="clear" w:color="auto" w:fill="auto"/>
            <w:vAlign w:val="center"/>
          </w:tcPr>
          <w:p w14:paraId="39BE7B2E" w14:textId="34F00FD4" w:rsidR="00B23CF6" w:rsidRPr="00CE4B35" w:rsidRDefault="00F47938" w:rsidP="00BF0491">
            <w:pPr>
              <w:pStyle w:val="TableBody"/>
              <w:jc w:val="center"/>
              <w:rPr>
                <w:rFonts w:ascii="Arial" w:hAnsi="Arial" w:cs="Arial"/>
                <w:color w:val="000000"/>
              </w:rPr>
            </w:pPr>
            <w:r>
              <w:rPr>
                <w:rFonts w:ascii="Arial" w:hAnsi="Arial" w:cs="Arial"/>
                <w:color w:val="000000"/>
              </w:rPr>
              <w:t>2,578.9</w:t>
            </w:r>
          </w:p>
        </w:tc>
        <w:tc>
          <w:tcPr>
            <w:tcW w:w="1645" w:type="dxa"/>
            <w:tcBorders>
              <w:top w:val="nil"/>
              <w:left w:val="nil"/>
              <w:bottom w:val="single" w:sz="8" w:space="0" w:color="BFBFBF"/>
              <w:right w:val="nil"/>
            </w:tcBorders>
            <w:shd w:val="clear" w:color="auto" w:fill="auto"/>
            <w:vAlign w:val="center"/>
          </w:tcPr>
          <w:p w14:paraId="5536088E" w14:textId="789C09C2" w:rsidR="00B23CF6" w:rsidRPr="00CE4B35" w:rsidRDefault="00CE4B0B" w:rsidP="00A12D73">
            <w:pPr>
              <w:pStyle w:val="TableBody"/>
              <w:jc w:val="center"/>
              <w:rPr>
                <w:rFonts w:ascii="Arial" w:hAnsi="Arial" w:cs="Arial"/>
                <w:color w:val="000000"/>
              </w:rPr>
            </w:pPr>
            <w:r>
              <w:rPr>
                <w:rFonts w:ascii="Arial" w:hAnsi="Arial" w:cs="Arial"/>
                <w:color w:val="000000"/>
              </w:rPr>
              <w:t>257.9</w:t>
            </w:r>
          </w:p>
        </w:tc>
      </w:tr>
      <w:tr w:rsidR="00B23CF6" w:rsidRPr="004A2F94" w14:paraId="56405A81" w14:textId="7B69B118" w:rsidTr="00E92FA0">
        <w:trPr>
          <w:cantSplit/>
          <w:trHeight w:val="361"/>
        </w:trPr>
        <w:tc>
          <w:tcPr>
            <w:tcW w:w="2127" w:type="dxa"/>
            <w:shd w:val="clear" w:color="auto" w:fill="F2F2F2" w:themeFill="background2" w:themeFillShade="F2"/>
            <w:vAlign w:val="center"/>
          </w:tcPr>
          <w:p w14:paraId="1A305F4C" w14:textId="77777777" w:rsidR="00B23CF6" w:rsidRPr="004A2F94" w:rsidRDefault="00B23CF6" w:rsidP="00BF0491">
            <w:pPr>
              <w:pStyle w:val="TableBody"/>
              <w:rPr>
                <w:rFonts w:asciiTheme="minorHAnsi" w:hAnsiTheme="minorHAnsi" w:cstheme="minorHAnsi"/>
              </w:rPr>
            </w:pPr>
            <w:r w:rsidRPr="004A2F94">
              <w:rPr>
                <w:rFonts w:asciiTheme="minorHAnsi" w:hAnsiTheme="minorHAnsi" w:cstheme="minorHAnsi"/>
              </w:rPr>
              <w:t>Critical gas assets</w:t>
            </w:r>
          </w:p>
        </w:tc>
        <w:tc>
          <w:tcPr>
            <w:tcW w:w="1644" w:type="dxa"/>
            <w:tcBorders>
              <w:top w:val="nil"/>
              <w:left w:val="nil"/>
              <w:bottom w:val="single" w:sz="8" w:space="0" w:color="BFBFBF"/>
              <w:right w:val="nil"/>
            </w:tcBorders>
            <w:shd w:val="clear" w:color="auto" w:fill="auto"/>
            <w:vAlign w:val="center"/>
          </w:tcPr>
          <w:p w14:paraId="2DED88F1" w14:textId="152F5E33" w:rsidR="00B23CF6" w:rsidRPr="004A2F94" w:rsidRDefault="00F47938" w:rsidP="00BF0491">
            <w:pPr>
              <w:pStyle w:val="TableBody"/>
              <w:jc w:val="center"/>
              <w:rPr>
                <w:rFonts w:asciiTheme="minorHAnsi" w:hAnsiTheme="minorHAnsi" w:cstheme="minorHAnsi"/>
              </w:rPr>
            </w:pPr>
            <w:r>
              <w:rPr>
                <w:rFonts w:ascii="Arial" w:hAnsi="Arial" w:cs="Arial"/>
                <w:color w:val="000000"/>
              </w:rPr>
              <w:t>321.1</w:t>
            </w:r>
          </w:p>
        </w:tc>
        <w:tc>
          <w:tcPr>
            <w:tcW w:w="1644" w:type="dxa"/>
            <w:tcBorders>
              <w:top w:val="nil"/>
              <w:left w:val="nil"/>
              <w:bottom w:val="single" w:sz="8" w:space="0" w:color="BFBFBF"/>
              <w:right w:val="nil"/>
            </w:tcBorders>
            <w:shd w:val="clear" w:color="auto" w:fill="auto"/>
            <w:vAlign w:val="center"/>
          </w:tcPr>
          <w:p w14:paraId="0CAB4877" w14:textId="553D94C8" w:rsidR="00B23CF6" w:rsidRPr="00CE4B35" w:rsidRDefault="00F47938" w:rsidP="00BF0491">
            <w:pPr>
              <w:pStyle w:val="TableBody"/>
              <w:jc w:val="center"/>
              <w:rPr>
                <w:rFonts w:ascii="Arial" w:hAnsi="Arial" w:cs="Arial"/>
                <w:color w:val="000000"/>
              </w:rPr>
            </w:pPr>
            <w:r>
              <w:rPr>
                <w:rFonts w:ascii="Arial" w:hAnsi="Arial" w:cs="Arial"/>
                <w:color w:val="000000"/>
              </w:rPr>
              <w:t>94.0</w:t>
            </w:r>
          </w:p>
        </w:tc>
        <w:tc>
          <w:tcPr>
            <w:tcW w:w="1644" w:type="dxa"/>
            <w:tcBorders>
              <w:top w:val="nil"/>
              <w:left w:val="nil"/>
              <w:bottom w:val="single" w:sz="8" w:space="0" w:color="BFBFBF"/>
              <w:right w:val="nil"/>
            </w:tcBorders>
            <w:shd w:val="clear" w:color="auto" w:fill="auto"/>
            <w:vAlign w:val="center"/>
          </w:tcPr>
          <w:p w14:paraId="2207B893" w14:textId="368196B9" w:rsidR="00B23CF6" w:rsidRPr="00CE4B35" w:rsidRDefault="00F47938" w:rsidP="00BF0491">
            <w:pPr>
              <w:pStyle w:val="TableBody"/>
              <w:jc w:val="center"/>
              <w:rPr>
                <w:rFonts w:ascii="Arial" w:hAnsi="Arial" w:cs="Arial"/>
                <w:color w:val="000000"/>
              </w:rPr>
            </w:pPr>
            <w:r>
              <w:rPr>
                <w:rFonts w:ascii="Arial" w:hAnsi="Arial" w:cs="Arial"/>
                <w:color w:val="000000"/>
              </w:rPr>
              <w:t>831.8</w:t>
            </w:r>
          </w:p>
        </w:tc>
        <w:tc>
          <w:tcPr>
            <w:tcW w:w="1644" w:type="dxa"/>
            <w:tcBorders>
              <w:top w:val="nil"/>
              <w:left w:val="nil"/>
              <w:bottom w:val="single" w:sz="8" w:space="0" w:color="BFBFBF"/>
              <w:right w:val="nil"/>
            </w:tcBorders>
            <w:shd w:val="clear" w:color="auto" w:fill="auto"/>
            <w:vAlign w:val="center"/>
          </w:tcPr>
          <w:p w14:paraId="1D40B3D9" w14:textId="247FF76C" w:rsidR="00B23CF6" w:rsidRPr="00CE4B35" w:rsidRDefault="00CE4B0B" w:rsidP="00BF0491">
            <w:pPr>
              <w:pStyle w:val="TableBody"/>
              <w:jc w:val="center"/>
              <w:rPr>
                <w:rFonts w:ascii="Arial" w:hAnsi="Arial" w:cs="Arial"/>
                <w:color w:val="000000"/>
              </w:rPr>
            </w:pPr>
            <w:r>
              <w:rPr>
                <w:rFonts w:ascii="Arial" w:hAnsi="Arial" w:cs="Arial"/>
                <w:color w:val="000000"/>
              </w:rPr>
              <w:t>1</w:t>
            </w:r>
            <w:r w:rsidR="00A03A1D">
              <w:rPr>
                <w:rFonts w:ascii="Arial" w:hAnsi="Arial" w:cs="Arial"/>
                <w:color w:val="000000"/>
              </w:rPr>
              <w:t>,</w:t>
            </w:r>
            <w:r>
              <w:rPr>
                <w:rFonts w:ascii="Arial" w:hAnsi="Arial" w:cs="Arial"/>
                <w:color w:val="000000"/>
              </w:rPr>
              <w:t>152</w:t>
            </w:r>
            <w:r w:rsidR="00F47938">
              <w:rPr>
                <w:rFonts w:ascii="Arial" w:hAnsi="Arial" w:cs="Arial"/>
                <w:color w:val="000000"/>
              </w:rPr>
              <w:t>.9</w:t>
            </w:r>
          </w:p>
        </w:tc>
        <w:tc>
          <w:tcPr>
            <w:tcW w:w="1645" w:type="dxa"/>
            <w:tcBorders>
              <w:top w:val="nil"/>
              <w:left w:val="nil"/>
              <w:bottom w:val="single" w:sz="8" w:space="0" w:color="BFBFBF"/>
              <w:right w:val="nil"/>
            </w:tcBorders>
            <w:shd w:val="clear" w:color="auto" w:fill="auto"/>
            <w:vAlign w:val="center"/>
          </w:tcPr>
          <w:p w14:paraId="20BBECAB" w14:textId="2CDA54B1" w:rsidR="00B23CF6" w:rsidRPr="00CE4B35" w:rsidRDefault="00CE4B0B" w:rsidP="00A12D73">
            <w:pPr>
              <w:pStyle w:val="TableBody"/>
              <w:jc w:val="center"/>
              <w:rPr>
                <w:rFonts w:ascii="Arial" w:hAnsi="Arial" w:cs="Arial"/>
                <w:color w:val="000000"/>
              </w:rPr>
            </w:pPr>
            <w:r>
              <w:rPr>
                <w:rFonts w:ascii="Arial" w:hAnsi="Arial" w:cs="Arial"/>
                <w:color w:val="000000"/>
              </w:rPr>
              <w:t>115.3</w:t>
            </w:r>
          </w:p>
        </w:tc>
      </w:tr>
      <w:tr w:rsidR="00B23CF6" w:rsidRPr="004A2F94" w14:paraId="7E78F2F8" w14:textId="6E17B559" w:rsidTr="00E92FA0">
        <w:trPr>
          <w:cantSplit/>
          <w:trHeight w:val="361"/>
        </w:trPr>
        <w:tc>
          <w:tcPr>
            <w:tcW w:w="2127" w:type="dxa"/>
            <w:shd w:val="clear" w:color="auto" w:fill="F2F2F2" w:themeFill="background2" w:themeFillShade="F2"/>
            <w:vAlign w:val="center"/>
          </w:tcPr>
          <w:p w14:paraId="7DDCFC6C" w14:textId="77777777" w:rsidR="00B23CF6" w:rsidRPr="004A2F94" w:rsidRDefault="00B23CF6" w:rsidP="00BF0491">
            <w:pPr>
              <w:pStyle w:val="TableBody"/>
              <w:rPr>
                <w:rFonts w:asciiTheme="minorHAnsi" w:hAnsiTheme="minorHAnsi" w:cstheme="minorHAnsi"/>
              </w:rPr>
            </w:pPr>
            <w:r w:rsidRPr="004A2F94">
              <w:rPr>
                <w:rFonts w:asciiTheme="minorHAnsi" w:hAnsiTheme="minorHAnsi" w:cstheme="minorHAnsi"/>
              </w:rPr>
              <w:t>Critical water assets</w:t>
            </w:r>
          </w:p>
        </w:tc>
        <w:tc>
          <w:tcPr>
            <w:tcW w:w="1644" w:type="dxa"/>
            <w:tcBorders>
              <w:top w:val="nil"/>
              <w:left w:val="nil"/>
              <w:bottom w:val="single" w:sz="8" w:space="0" w:color="BFBFBF"/>
              <w:right w:val="nil"/>
            </w:tcBorders>
            <w:shd w:val="clear" w:color="auto" w:fill="auto"/>
            <w:vAlign w:val="center"/>
          </w:tcPr>
          <w:p w14:paraId="4636E9BF" w14:textId="4EEFCB7D" w:rsidR="00B23CF6" w:rsidRPr="004A2F94" w:rsidRDefault="00F47938" w:rsidP="00BF0491">
            <w:pPr>
              <w:pStyle w:val="TableBody"/>
              <w:jc w:val="center"/>
              <w:rPr>
                <w:rFonts w:asciiTheme="minorHAnsi" w:hAnsiTheme="minorHAnsi" w:cstheme="minorHAnsi"/>
              </w:rPr>
            </w:pPr>
            <w:r>
              <w:rPr>
                <w:rFonts w:ascii="Arial" w:hAnsi="Arial" w:cs="Arial"/>
                <w:color w:val="000000"/>
              </w:rPr>
              <w:t>157.5</w:t>
            </w:r>
          </w:p>
        </w:tc>
        <w:tc>
          <w:tcPr>
            <w:tcW w:w="1644" w:type="dxa"/>
            <w:tcBorders>
              <w:top w:val="nil"/>
              <w:left w:val="nil"/>
              <w:bottom w:val="single" w:sz="8" w:space="0" w:color="BFBFBF"/>
              <w:right w:val="nil"/>
            </w:tcBorders>
            <w:shd w:val="clear" w:color="auto" w:fill="auto"/>
            <w:vAlign w:val="center"/>
          </w:tcPr>
          <w:p w14:paraId="43B22A24" w14:textId="605E554C" w:rsidR="00B23CF6" w:rsidRPr="00CE4B35" w:rsidRDefault="00F47938" w:rsidP="00BF0491">
            <w:pPr>
              <w:pStyle w:val="TableBody"/>
              <w:jc w:val="center"/>
              <w:rPr>
                <w:rFonts w:ascii="Arial" w:hAnsi="Arial" w:cs="Arial"/>
                <w:color w:val="000000"/>
              </w:rPr>
            </w:pPr>
            <w:r>
              <w:rPr>
                <w:rFonts w:ascii="Arial" w:hAnsi="Arial" w:cs="Arial"/>
                <w:color w:val="000000"/>
              </w:rPr>
              <w:t>91.1</w:t>
            </w:r>
          </w:p>
        </w:tc>
        <w:tc>
          <w:tcPr>
            <w:tcW w:w="1644" w:type="dxa"/>
            <w:tcBorders>
              <w:top w:val="nil"/>
              <w:left w:val="nil"/>
              <w:bottom w:val="single" w:sz="8" w:space="0" w:color="BFBFBF"/>
              <w:right w:val="nil"/>
            </w:tcBorders>
            <w:shd w:val="clear" w:color="auto" w:fill="auto"/>
            <w:vAlign w:val="center"/>
          </w:tcPr>
          <w:p w14:paraId="2507742E" w14:textId="1DFB2B1D" w:rsidR="00B23CF6" w:rsidRPr="00CE4B35" w:rsidRDefault="00F47938" w:rsidP="00BF0491">
            <w:pPr>
              <w:pStyle w:val="TableBody"/>
              <w:jc w:val="center"/>
              <w:rPr>
                <w:rFonts w:ascii="Arial" w:hAnsi="Arial" w:cs="Arial"/>
                <w:color w:val="000000"/>
              </w:rPr>
            </w:pPr>
            <w:r>
              <w:rPr>
                <w:rFonts w:ascii="Arial" w:hAnsi="Arial" w:cs="Arial"/>
                <w:color w:val="000000"/>
              </w:rPr>
              <w:t>849.4</w:t>
            </w:r>
          </w:p>
        </w:tc>
        <w:tc>
          <w:tcPr>
            <w:tcW w:w="1644" w:type="dxa"/>
            <w:tcBorders>
              <w:top w:val="nil"/>
              <w:left w:val="nil"/>
              <w:bottom w:val="single" w:sz="8" w:space="0" w:color="BFBFBF"/>
              <w:right w:val="nil"/>
            </w:tcBorders>
            <w:shd w:val="clear" w:color="auto" w:fill="auto"/>
            <w:vAlign w:val="center"/>
          </w:tcPr>
          <w:p w14:paraId="2A00DF08" w14:textId="47B1BD98" w:rsidR="00B23CF6" w:rsidRPr="00CE4B35" w:rsidRDefault="00CE4B0B" w:rsidP="00BF0491">
            <w:pPr>
              <w:pStyle w:val="TableBody"/>
              <w:jc w:val="center"/>
              <w:rPr>
                <w:rFonts w:ascii="Arial" w:hAnsi="Arial" w:cs="Arial"/>
                <w:color w:val="000000"/>
              </w:rPr>
            </w:pPr>
            <w:r>
              <w:rPr>
                <w:rFonts w:ascii="Arial" w:hAnsi="Arial" w:cs="Arial"/>
                <w:color w:val="000000"/>
              </w:rPr>
              <w:t>1</w:t>
            </w:r>
            <w:r w:rsidR="00A03A1D">
              <w:rPr>
                <w:rFonts w:ascii="Arial" w:hAnsi="Arial" w:cs="Arial"/>
                <w:color w:val="000000"/>
              </w:rPr>
              <w:t>,</w:t>
            </w:r>
            <w:r>
              <w:rPr>
                <w:rFonts w:ascii="Arial" w:hAnsi="Arial" w:cs="Arial"/>
                <w:color w:val="000000"/>
              </w:rPr>
              <w:t>006</w:t>
            </w:r>
            <w:r w:rsidR="00F47938">
              <w:rPr>
                <w:rFonts w:ascii="Arial" w:hAnsi="Arial" w:cs="Arial"/>
                <w:color w:val="000000"/>
              </w:rPr>
              <w:t>.9</w:t>
            </w:r>
          </w:p>
        </w:tc>
        <w:tc>
          <w:tcPr>
            <w:tcW w:w="1645" w:type="dxa"/>
            <w:tcBorders>
              <w:top w:val="nil"/>
              <w:left w:val="nil"/>
              <w:bottom w:val="single" w:sz="8" w:space="0" w:color="BFBFBF"/>
              <w:right w:val="nil"/>
            </w:tcBorders>
            <w:shd w:val="clear" w:color="auto" w:fill="auto"/>
            <w:vAlign w:val="center"/>
          </w:tcPr>
          <w:p w14:paraId="1E94FFC9" w14:textId="08C343B1" w:rsidR="00B23CF6" w:rsidRPr="00CE4B35" w:rsidRDefault="00CE4B0B" w:rsidP="00A12D73">
            <w:pPr>
              <w:pStyle w:val="TableBody"/>
              <w:jc w:val="center"/>
              <w:rPr>
                <w:rFonts w:ascii="Arial" w:hAnsi="Arial" w:cs="Arial"/>
                <w:color w:val="000000"/>
              </w:rPr>
            </w:pPr>
            <w:r>
              <w:rPr>
                <w:rFonts w:ascii="Arial" w:hAnsi="Arial" w:cs="Arial"/>
                <w:color w:val="000000"/>
              </w:rPr>
              <w:t>100.7</w:t>
            </w:r>
          </w:p>
        </w:tc>
      </w:tr>
      <w:tr w:rsidR="00B23CF6" w:rsidRPr="004A2F94" w14:paraId="76E8D88F" w14:textId="02723CC9" w:rsidTr="00E92FA0">
        <w:trPr>
          <w:cantSplit/>
          <w:trHeight w:val="372"/>
        </w:trPr>
        <w:tc>
          <w:tcPr>
            <w:tcW w:w="2127" w:type="dxa"/>
            <w:shd w:val="clear" w:color="auto" w:fill="F2F2F2" w:themeFill="background2" w:themeFillShade="F2"/>
            <w:vAlign w:val="center"/>
          </w:tcPr>
          <w:p w14:paraId="010E15B9" w14:textId="77777777" w:rsidR="00B23CF6" w:rsidRPr="004A2F94" w:rsidRDefault="00B23CF6" w:rsidP="00BF0491">
            <w:pPr>
              <w:pStyle w:val="TableBody"/>
              <w:rPr>
                <w:rFonts w:asciiTheme="minorHAnsi" w:hAnsiTheme="minorHAnsi" w:cstheme="minorHAnsi"/>
              </w:rPr>
            </w:pPr>
            <w:r w:rsidRPr="004A2F94">
              <w:rPr>
                <w:rFonts w:asciiTheme="minorHAnsi" w:hAnsiTheme="minorHAnsi" w:cstheme="minorHAnsi"/>
              </w:rPr>
              <w:t>Critical data processing or storage assets</w:t>
            </w:r>
          </w:p>
        </w:tc>
        <w:tc>
          <w:tcPr>
            <w:tcW w:w="1644" w:type="dxa"/>
            <w:tcBorders>
              <w:top w:val="nil"/>
              <w:left w:val="nil"/>
              <w:bottom w:val="single" w:sz="8" w:space="0" w:color="BFBFBF"/>
              <w:right w:val="nil"/>
            </w:tcBorders>
            <w:shd w:val="clear" w:color="auto" w:fill="auto"/>
            <w:vAlign w:val="center"/>
          </w:tcPr>
          <w:p w14:paraId="5ED23436" w14:textId="46089E1D" w:rsidR="00B23CF6" w:rsidRPr="00CE4B35" w:rsidRDefault="00F47938" w:rsidP="00BF0491">
            <w:pPr>
              <w:pStyle w:val="TableBody"/>
              <w:jc w:val="center"/>
              <w:rPr>
                <w:rFonts w:ascii="Arial" w:hAnsi="Arial" w:cs="Arial"/>
                <w:color w:val="000000"/>
              </w:rPr>
            </w:pPr>
            <w:r>
              <w:rPr>
                <w:rFonts w:ascii="Arial" w:hAnsi="Arial" w:cs="Arial"/>
                <w:color w:val="000000"/>
              </w:rPr>
              <w:t>116.6</w:t>
            </w:r>
          </w:p>
        </w:tc>
        <w:tc>
          <w:tcPr>
            <w:tcW w:w="1644" w:type="dxa"/>
            <w:tcBorders>
              <w:top w:val="nil"/>
              <w:left w:val="nil"/>
              <w:bottom w:val="single" w:sz="8" w:space="0" w:color="BFBFBF"/>
              <w:right w:val="nil"/>
            </w:tcBorders>
            <w:shd w:val="clear" w:color="auto" w:fill="auto"/>
            <w:vAlign w:val="center"/>
          </w:tcPr>
          <w:p w14:paraId="4129D438" w14:textId="53A69CF2" w:rsidR="00B23CF6" w:rsidRPr="00CE4B35" w:rsidRDefault="00F47938" w:rsidP="00BF0491">
            <w:pPr>
              <w:pStyle w:val="TableBody"/>
              <w:jc w:val="center"/>
              <w:rPr>
                <w:rFonts w:ascii="Arial" w:hAnsi="Arial" w:cs="Arial"/>
                <w:color w:val="000000"/>
              </w:rPr>
            </w:pPr>
            <w:r>
              <w:rPr>
                <w:rFonts w:ascii="Arial" w:hAnsi="Arial" w:cs="Arial"/>
                <w:color w:val="000000"/>
              </w:rPr>
              <w:t>296.9</w:t>
            </w:r>
          </w:p>
        </w:tc>
        <w:tc>
          <w:tcPr>
            <w:tcW w:w="1644" w:type="dxa"/>
            <w:tcBorders>
              <w:top w:val="nil"/>
              <w:left w:val="nil"/>
              <w:bottom w:val="single" w:sz="8" w:space="0" w:color="BFBFBF"/>
              <w:right w:val="nil"/>
            </w:tcBorders>
            <w:shd w:val="clear" w:color="auto" w:fill="auto"/>
            <w:vAlign w:val="center"/>
          </w:tcPr>
          <w:p w14:paraId="7CBF4D58" w14:textId="39DFC4A9" w:rsidR="00B23CF6" w:rsidRPr="00CE4B35" w:rsidRDefault="00CE4B0B" w:rsidP="00BF0491">
            <w:pPr>
              <w:pStyle w:val="TableBody"/>
              <w:jc w:val="center"/>
              <w:rPr>
                <w:rFonts w:ascii="Arial" w:hAnsi="Arial" w:cs="Arial"/>
                <w:color w:val="000000"/>
              </w:rPr>
            </w:pPr>
            <w:r>
              <w:rPr>
                <w:rFonts w:ascii="Arial" w:hAnsi="Arial" w:cs="Arial"/>
                <w:color w:val="000000"/>
              </w:rPr>
              <w:t>2</w:t>
            </w:r>
            <w:r w:rsidR="00A03A1D">
              <w:rPr>
                <w:rFonts w:ascii="Arial" w:hAnsi="Arial" w:cs="Arial"/>
                <w:color w:val="000000"/>
              </w:rPr>
              <w:t>,</w:t>
            </w:r>
            <w:r>
              <w:rPr>
                <w:rFonts w:ascii="Arial" w:hAnsi="Arial" w:cs="Arial"/>
                <w:color w:val="000000"/>
              </w:rPr>
              <w:t>779</w:t>
            </w:r>
            <w:r w:rsidR="00F47938">
              <w:rPr>
                <w:rFonts w:ascii="Arial" w:hAnsi="Arial" w:cs="Arial"/>
                <w:color w:val="000000"/>
              </w:rPr>
              <w:t>.0</w:t>
            </w:r>
          </w:p>
        </w:tc>
        <w:tc>
          <w:tcPr>
            <w:tcW w:w="1644" w:type="dxa"/>
            <w:tcBorders>
              <w:top w:val="nil"/>
              <w:left w:val="nil"/>
              <w:bottom w:val="single" w:sz="8" w:space="0" w:color="BFBFBF"/>
              <w:right w:val="nil"/>
            </w:tcBorders>
            <w:shd w:val="clear" w:color="auto" w:fill="auto"/>
            <w:vAlign w:val="center"/>
          </w:tcPr>
          <w:p w14:paraId="5207237A" w14:textId="58884B94" w:rsidR="00B23CF6" w:rsidRPr="00CE4B35" w:rsidRDefault="00F47938" w:rsidP="00BF0491">
            <w:pPr>
              <w:pStyle w:val="TableBody"/>
              <w:jc w:val="center"/>
              <w:rPr>
                <w:rFonts w:ascii="Arial" w:hAnsi="Arial" w:cs="Arial"/>
                <w:color w:val="000000"/>
              </w:rPr>
            </w:pPr>
            <w:r>
              <w:rPr>
                <w:rFonts w:ascii="Arial" w:hAnsi="Arial" w:cs="Arial"/>
                <w:color w:val="000000"/>
              </w:rPr>
              <w:t>2,895.7</w:t>
            </w:r>
          </w:p>
        </w:tc>
        <w:tc>
          <w:tcPr>
            <w:tcW w:w="1645" w:type="dxa"/>
            <w:tcBorders>
              <w:top w:val="nil"/>
              <w:left w:val="nil"/>
              <w:bottom w:val="single" w:sz="8" w:space="0" w:color="BFBFBF"/>
              <w:right w:val="nil"/>
            </w:tcBorders>
            <w:shd w:val="clear" w:color="auto" w:fill="auto"/>
            <w:vAlign w:val="center"/>
          </w:tcPr>
          <w:p w14:paraId="739294FA" w14:textId="7FC851D7" w:rsidR="00B23CF6" w:rsidRPr="00CE4B35" w:rsidRDefault="00CE4B0B" w:rsidP="00A12D73">
            <w:pPr>
              <w:pStyle w:val="TableBody"/>
              <w:jc w:val="center"/>
              <w:rPr>
                <w:rFonts w:ascii="Arial" w:hAnsi="Arial" w:cs="Arial"/>
                <w:color w:val="000000"/>
              </w:rPr>
            </w:pPr>
            <w:r>
              <w:rPr>
                <w:rFonts w:ascii="Arial" w:hAnsi="Arial" w:cs="Arial"/>
                <w:color w:val="000000"/>
              </w:rPr>
              <w:t>289.6</w:t>
            </w:r>
          </w:p>
        </w:tc>
      </w:tr>
      <w:tr w:rsidR="00B23CF6" w:rsidRPr="004A2F94" w14:paraId="5A75639A" w14:textId="1B213AA1" w:rsidTr="00E92FA0">
        <w:trPr>
          <w:cantSplit/>
          <w:trHeight w:val="361"/>
        </w:trPr>
        <w:tc>
          <w:tcPr>
            <w:tcW w:w="2127" w:type="dxa"/>
            <w:shd w:val="clear" w:color="auto" w:fill="F2F2F2" w:themeFill="background2" w:themeFillShade="F2"/>
            <w:vAlign w:val="center"/>
          </w:tcPr>
          <w:p w14:paraId="5DC8CC99" w14:textId="5EAD64DB" w:rsidR="00B23CF6" w:rsidRPr="004A2F94" w:rsidRDefault="00B23CF6" w:rsidP="00BF0491">
            <w:pPr>
              <w:pStyle w:val="TableBody"/>
              <w:rPr>
                <w:rFonts w:asciiTheme="minorHAnsi" w:hAnsiTheme="minorHAnsi" w:cstheme="minorHAnsi"/>
              </w:rPr>
            </w:pPr>
            <w:r w:rsidRPr="004A2F94">
              <w:rPr>
                <w:rFonts w:asciiTheme="minorHAnsi" w:hAnsiTheme="minorHAnsi" w:cstheme="minorHAnsi"/>
              </w:rPr>
              <w:t xml:space="preserve">Critical broadcasting </w:t>
            </w:r>
            <w:r>
              <w:rPr>
                <w:rFonts w:asciiTheme="minorHAnsi" w:hAnsiTheme="minorHAnsi" w:cstheme="minorHAnsi"/>
              </w:rPr>
              <w:t xml:space="preserve">and domain name system </w:t>
            </w:r>
            <w:r w:rsidRPr="004A2F94">
              <w:rPr>
                <w:rFonts w:asciiTheme="minorHAnsi" w:hAnsiTheme="minorHAnsi" w:cstheme="minorHAnsi"/>
              </w:rPr>
              <w:t>assets</w:t>
            </w:r>
            <w:r w:rsidR="00CE0D10">
              <w:rPr>
                <w:rStyle w:val="FootnoteReference"/>
                <w:rFonts w:asciiTheme="minorHAnsi" w:hAnsiTheme="minorHAnsi" w:cstheme="minorHAnsi"/>
              </w:rPr>
              <w:footnoteReference w:id="50"/>
            </w:r>
          </w:p>
        </w:tc>
        <w:tc>
          <w:tcPr>
            <w:tcW w:w="1644" w:type="dxa"/>
            <w:tcBorders>
              <w:top w:val="nil"/>
              <w:left w:val="nil"/>
              <w:bottom w:val="single" w:sz="8" w:space="0" w:color="BFBFBF"/>
              <w:right w:val="nil"/>
            </w:tcBorders>
            <w:shd w:val="clear" w:color="auto" w:fill="auto"/>
            <w:vAlign w:val="center"/>
          </w:tcPr>
          <w:p w14:paraId="60CFBF85" w14:textId="581B772C" w:rsidR="00B23CF6" w:rsidRPr="00CE4B35" w:rsidRDefault="00F47938" w:rsidP="00BF0491">
            <w:pPr>
              <w:pStyle w:val="TableBody"/>
              <w:jc w:val="center"/>
              <w:rPr>
                <w:rFonts w:ascii="Arial" w:hAnsi="Arial" w:cs="Arial"/>
                <w:color w:val="000000"/>
              </w:rPr>
            </w:pPr>
            <w:r w:rsidRPr="001F7A75">
              <w:rPr>
                <w:rFonts w:ascii="Arial" w:hAnsi="Arial" w:cs="Arial"/>
                <w:color w:val="000000"/>
              </w:rPr>
              <w:t>2.</w:t>
            </w:r>
            <w:r w:rsidR="00125EEB">
              <w:rPr>
                <w:rFonts w:ascii="Arial" w:hAnsi="Arial" w:cs="Arial"/>
                <w:color w:val="000000"/>
              </w:rPr>
              <w:t>1</w:t>
            </w:r>
          </w:p>
        </w:tc>
        <w:tc>
          <w:tcPr>
            <w:tcW w:w="1644" w:type="dxa"/>
            <w:tcBorders>
              <w:top w:val="nil"/>
              <w:left w:val="nil"/>
              <w:bottom w:val="single" w:sz="8" w:space="0" w:color="BFBFBF"/>
              <w:right w:val="nil"/>
            </w:tcBorders>
            <w:shd w:val="clear" w:color="auto" w:fill="auto"/>
            <w:vAlign w:val="center"/>
          </w:tcPr>
          <w:p w14:paraId="1CF33127" w14:textId="125C8198" w:rsidR="00B23CF6" w:rsidRPr="00CE4B35" w:rsidRDefault="00F47938" w:rsidP="00BF0491">
            <w:pPr>
              <w:pStyle w:val="TableBody"/>
              <w:jc w:val="center"/>
              <w:rPr>
                <w:rFonts w:ascii="Arial" w:hAnsi="Arial" w:cs="Arial"/>
                <w:color w:val="000000"/>
              </w:rPr>
            </w:pPr>
            <w:r w:rsidRPr="001F7A75">
              <w:rPr>
                <w:rFonts w:ascii="Arial" w:hAnsi="Arial" w:cs="Arial"/>
                <w:color w:val="000000"/>
              </w:rPr>
              <w:t>1.5</w:t>
            </w:r>
          </w:p>
        </w:tc>
        <w:tc>
          <w:tcPr>
            <w:tcW w:w="1644" w:type="dxa"/>
            <w:tcBorders>
              <w:top w:val="nil"/>
              <w:left w:val="nil"/>
              <w:bottom w:val="single" w:sz="8" w:space="0" w:color="BFBFBF"/>
              <w:right w:val="nil"/>
            </w:tcBorders>
            <w:shd w:val="clear" w:color="auto" w:fill="auto"/>
            <w:vAlign w:val="center"/>
          </w:tcPr>
          <w:p w14:paraId="38B164DC" w14:textId="01E45A79" w:rsidR="00B23CF6" w:rsidRPr="00CE4B35" w:rsidRDefault="00F47938" w:rsidP="00BF0491">
            <w:pPr>
              <w:pStyle w:val="TableBody"/>
              <w:jc w:val="center"/>
              <w:rPr>
                <w:rFonts w:ascii="Arial" w:hAnsi="Arial" w:cs="Arial"/>
                <w:color w:val="000000"/>
              </w:rPr>
            </w:pPr>
            <w:r w:rsidRPr="00CE4B35">
              <w:rPr>
                <w:rFonts w:ascii="Arial" w:hAnsi="Arial" w:cs="Arial"/>
                <w:color w:val="000000"/>
              </w:rPr>
              <w:t>1</w:t>
            </w:r>
            <w:r w:rsidR="001A1E6E">
              <w:rPr>
                <w:rFonts w:ascii="Arial" w:hAnsi="Arial" w:cs="Arial"/>
                <w:color w:val="000000"/>
              </w:rPr>
              <w:t>4.0</w:t>
            </w:r>
          </w:p>
        </w:tc>
        <w:tc>
          <w:tcPr>
            <w:tcW w:w="1644" w:type="dxa"/>
            <w:tcBorders>
              <w:top w:val="nil"/>
              <w:left w:val="nil"/>
              <w:bottom w:val="single" w:sz="8" w:space="0" w:color="BFBFBF"/>
              <w:right w:val="nil"/>
            </w:tcBorders>
            <w:shd w:val="clear" w:color="auto" w:fill="auto"/>
            <w:vAlign w:val="center"/>
          </w:tcPr>
          <w:p w14:paraId="08770E89" w14:textId="306F748D" w:rsidR="00B23CF6" w:rsidRPr="00CE4B35" w:rsidRDefault="001F7A75" w:rsidP="00BF0491">
            <w:pPr>
              <w:pStyle w:val="TableBody"/>
              <w:jc w:val="center"/>
              <w:rPr>
                <w:rFonts w:ascii="Arial" w:hAnsi="Arial" w:cs="Arial"/>
                <w:color w:val="000000"/>
              </w:rPr>
            </w:pPr>
            <w:r w:rsidRPr="00CE4B35">
              <w:rPr>
                <w:rFonts w:ascii="Arial" w:hAnsi="Arial" w:cs="Arial"/>
                <w:color w:val="000000"/>
              </w:rPr>
              <w:t>1</w:t>
            </w:r>
            <w:r w:rsidR="001A1E6E">
              <w:rPr>
                <w:rFonts w:ascii="Arial" w:hAnsi="Arial" w:cs="Arial"/>
                <w:color w:val="000000"/>
              </w:rPr>
              <w:t>6.2</w:t>
            </w:r>
          </w:p>
        </w:tc>
        <w:tc>
          <w:tcPr>
            <w:tcW w:w="1645" w:type="dxa"/>
            <w:tcBorders>
              <w:top w:val="nil"/>
              <w:left w:val="nil"/>
              <w:bottom w:val="single" w:sz="8" w:space="0" w:color="BFBFBF"/>
              <w:right w:val="nil"/>
            </w:tcBorders>
            <w:shd w:val="clear" w:color="auto" w:fill="auto"/>
            <w:vAlign w:val="center"/>
          </w:tcPr>
          <w:p w14:paraId="64D2F1F3" w14:textId="3ED71F97" w:rsidR="00B23CF6" w:rsidRPr="00CE4B35" w:rsidRDefault="00CE4B0B" w:rsidP="00A12D73">
            <w:pPr>
              <w:pStyle w:val="TableBody"/>
              <w:jc w:val="center"/>
              <w:rPr>
                <w:rFonts w:ascii="Arial" w:hAnsi="Arial" w:cs="Arial"/>
                <w:color w:val="000000"/>
              </w:rPr>
            </w:pPr>
            <w:r w:rsidRPr="001F7A75">
              <w:rPr>
                <w:rFonts w:ascii="Arial" w:hAnsi="Arial" w:cs="Arial"/>
                <w:color w:val="000000"/>
              </w:rPr>
              <w:t>1.</w:t>
            </w:r>
            <w:r w:rsidR="001A1E6E">
              <w:rPr>
                <w:rFonts w:ascii="Arial" w:hAnsi="Arial" w:cs="Arial"/>
                <w:color w:val="000000"/>
              </w:rPr>
              <w:t>6</w:t>
            </w:r>
          </w:p>
        </w:tc>
      </w:tr>
      <w:tr w:rsidR="00B23CF6" w:rsidRPr="004A2F94" w14:paraId="0622C6BD" w14:textId="403BD1DE" w:rsidTr="00E92FA0">
        <w:trPr>
          <w:cantSplit/>
          <w:trHeight w:val="361"/>
        </w:trPr>
        <w:tc>
          <w:tcPr>
            <w:tcW w:w="2127" w:type="dxa"/>
            <w:shd w:val="clear" w:color="auto" w:fill="F2F2F2" w:themeFill="background2" w:themeFillShade="F2"/>
            <w:vAlign w:val="center"/>
          </w:tcPr>
          <w:p w14:paraId="647AEFDF" w14:textId="77777777" w:rsidR="00B23CF6" w:rsidRPr="004A2F94" w:rsidRDefault="00B23CF6" w:rsidP="00BF0491">
            <w:pPr>
              <w:pStyle w:val="TableBody"/>
              <w:rPr>
                <w:rFonts w:asciiTheme="minorHAnsi" w:hAnsiTheme="minorHAnsi" w:cstheme="minorHAnsi"/>
              </w:rPr>
            </w:pPr>
            <w:r w:rsidRPr="004A2F94">
              <w:rPr>
                <w:rFonts w:asciiTheme="minorHAnsi" w:hAnsiTheme="minorHAnsi" w:cstheme="minorHAnsi"/>
              </w:rPr>
              <w:t>Critical financial market infrastructure assets (payment systems)</w:t>
            </w:r>
          </w:p>
        </w:tc>
        <w:tc>
          <w:tcPr>
            <w:tcW w:w="1644" w:type="dxa"/>
            <w:tcBorders>
              <w:top w:val="nil"/>
              <w:left w:val="nil"/>
              <w:bottom w:val="single" w:sz="8" w:space="0" w:color="BFBFBF"/>
              <w:right w:val="nil"/>
            </w:tcBorders>
            <w:shd w:val="clear" w:color="auto" w:fill="auto"/>
            <w:vAlign w:val="center"/>
          </w:tcPr>
          <w:p w14:paraId="54E6CB82" w14:textId="5DE3B095" w:rsidR="00B23CF6" w:rsidRPr="00CE4B35" w:rsidRDefault="00F47938" w:rsidP="00BF0491">
            <w:pPr>
              <w:pStyle w:val="TableBody"/>
              <w:jc w:val="center"/>
              <w:rPr>
                <w:rFonts w:ascii="Arial" w:hAnsi="Arial" w:cs="Arial"/>
                <w:color w:val="000000"/>
              </w:rPr>
            </w:pPr>
            <w:r>
              <w:rPr>
                <w:rFonts w:ascii="Arial" w:hAnsi="Arial" w:cs="Arial"/>
                <w:color w:val="000000"/>
              </w:rPr>
              <w:t>0.6</w:t>
            </w:r>
          </w:p>
        </w:tc>
        <w:tc>
          <w:tcPr>
            <w:tcW w:w="1644" w:type="dxa"/>
            <w:tcBorders>
              <w:top w:val="nil"/>
              <w:left w:val="nil"/>
              <w:bottom w:val="single" w:sz="8" w:space="0" w:color="BFBFBF"/>
              <w:right w:val="nil"/>
            </w:tcBorders>
            <w:shd w:val="clear" w:color="auto" w:fill="auto"/>
            <w:vAlign w:val="center"/>
          </w:tcPr>
          <w:p w14:paraId="351A1989" w14:textId="02FA1DF9" w:rsidR="00B23CF6" w:rsidRPr="00CE4B35" w:rsidRDefault="00F47938" w:rsidP="00BF0491">
            <w:pPr>
              <w:pStyle w:val="TableBody"/>
              <w:jc w:val="center"/>
              <w:rPr>
                <w:rFonts w:ascii="Arial" w:hAnsi="Arial" w:cs="Arial"/>
                <w:color w:val="000000"/>
              </w:rPr>
            </w:pPr>
            <w:r>
              <w:rPr>
                <w:rFonts w:ascii="Arial" w:hAnsi="Arial" w:cs="Arial"/>
                <w:color w:val="000000"/>
              </w:rPr>
              <w:t>5.7</w:t>
            </w:r>
          </w:p>
        </w:tc>
        <w:tc>
          <w:tcPr>
            <w:tcW w:w="1644" w:type="dxa"/>
            <w:tcBorders>
              <w:top w:val="nil"/>
              <w:left w:val="nil"/>
              <w:bottom w:val="single" w:sz="8" w:space="0" w:color="BFBFBF"/>
              <w:right w:val="nil"/>
            </w:tcBorders>
            <w:shd w:val="clear" w:color="auto" w:fill="auto"/>
            <w:vAlign w:val="center"/>
          </w:tcPr>
          <w:p w14:paraId="45527868" w14:textId="505C84C4" w:rsidR="00B23CF6" w:rsidRPr="00CE4B35" w:rsidRDefault="00F47938" w:rsidP="00BF0491">
            <w:pPr>
              <w:pStyle w:val="TableBody"/>
              <w:jc w:val="center"/>
              <w:rPr>
                <w:rFonts w:ascii="Arial" w:hAnsi="Arial" w:cs="Arial"/>
                <w:color w:val="000000"/>
              </w:rPr>
            </w:pPr>
            <w:r>
              <w:rPr>
                <w:rFonts w:ascii="Arial" w:hAnsi="Arial" w:cs="Arial"/>
                <w:color w:val="000000"/>
              </w:rPr>
              <w:t>53.1</w:t>
            </w:r>
          </w:p>
        </w:tc>
        <w:tc>
          <w:tcPr>
            <w:tcW w:w="1644" w:type="dxa"/>
            <w:tcBorders>
              <w:top w:val="nil"/>
              <w:left w:val="nil"/>
              <w:bottom w:val="single" w:sz="8" w:space="0" w:color="BFBFBF"/>
              <w:right w:val="nil"/>
            </w:tcBorders>
            <w:shd w:val="clear" w:color="auto" w:fill="auto"/>
            <w:vAlign w:val="center"/>
          </w:tcPr>
          <w:p w14:paraId="07E20D3E" w14:textId="085E2C99" w:rsidR="00B23CF6" w:rsidRPr="00CE4B35" w:rsidRDefault="00F47938" w:rsidP="00BF0491">
            <w:pPr>
              <w:pStyle w:val="TableBody"/>
              <w:jc w:val="center"/>
              <w:rPr>
                <w:rFonts w:ascii="Arial" w:hAnsi="Arial" w:cs="Arial"/>
                <w:color w:val="000000"/>
              </w:rPr>
            </w:pPr>
            <w:r>
              <w:rPr>
                <w:rFonts w:ascii="Arial" w:hAnsi="Arial" w:cs="Arial"/>
                <w:color w:val="000000"/>
              </w:rPr>
              <w:t>53.7</w:t>
            </w:r>
          </w:p>
        </w:tc>
        <w:tc>
          <w:tcPr>
            <w:tcW w:w="1645" w:type="dxa"/>
            <w:tcBorders>
              <w:top w:val="nil"/>
              <w:left w:val="nil"/>
              <w:bottom w:val="single" w:sz="8" w:space="0" w:color="BFBFBF"/>
              <w:right w:val="nil"/>
            </w:tcBorders>
            <w:shd w:val="clear" w:color="auto" w:fill="auto"/>
            <w:vAlign w:val="center"/>
          </w:tcPr>
          <w:p w14:paraId="51EF0964" w14:textId="1FE1A873" w:rsidR="00B23CF6" w:rsidRPr="00CE4B35" w:rsidRDefault="00CE4B0B" w:rsidP="00A12D73">
            <w:pPr>
              <w:pStyle w:val="TableBody"/>
              <w:jc w:val="center"/>
              <w:rPr>
                <w:rFonts w:ascii="Arial" w:hAnsi="Arial" w:cs="Arial"/>
                <w:color w:val="000000"/>
              </w:rPr>
            </w:pPr>
            <w:r>
              <w:rPr>
                <w:rFonts w:ascii="Arial" w:hAnsi="Arial" w:cs="Arial"/>
                <w:color w:val="000000"/>
              </w:rPr>
              <w:t>5.4</w:t>
            </w:r>
          </w:p>
        </w:tc>
      </w:tr>
      <w:tr w:rsidR="00B23CF6" w:rsidRPr="004A2F94" w14:paraId="4E5B09D1" w14:textId="64E0C7D0" w:rsidTr="00E92FA0">
        <w:trPr>
          <w:cantSplit/>
          <w:trHeight w:val="361"/>
        </w:trPr>
        <w:tc>
          <w:tcPr>
            <w:tcW w:w="2127" w:type="dxa"/>
            <w:shd w:val="clear" w:color="auto" w:fill="F2F2F2" w:themeFill="background2" w:themeFillShade="F2"/>
            <w:vAlign w:val="center"/>
          </w:tcPr>
          <w:p w14:paraId="465807A8" w14:textId="77777777" w:rsidR="00B23CF6" w:rsidRPr="004A2F94" w:rsidRDefault="00B23CF6" w:rsidP="00BF0491">
            <w:pPr>
              <w:pStyle w:val="TableBody"/>
              <w:rPr>
                <w:rFonts w:asciiTheme="minorHAnsi" w:hAnsiTheme="minorHAnsi" w:cstheme="minorHAnsi"/>
                <w:sz w:val="22"/>
              </w:rPr>
            </w:pPr>
            <w:r w:rsidRPr="004A2F94">
              <w:rPr>
                <w:rFonts w:asciiTheme="minorHAnsi" w:hAnsiTheme="minorHAnsi" w:cstheme="minorHAnsi"/>
                <w:lang w:eastAsia="en-AU"/>
              </w:rPr>
              <w:t>Critical liquid fuels assets</w:t>
            </w:r>
          </w:p>
        </w:tc>
        <w:tc>
          <w:tcPr>
            <w:tcW w:w="1644" w:type="dxa"/>
            <w:tcBorders>
              <w:top w:val="nil"/>
              <w:left w:val="nil"/>
              <w:bottom w:val="single" w:sz="8" w:space="0" w:color="BFBFBF"/>
              <w:right w:val="nil"/>
            </w:tcBorders>
            <w:shd w:val="clear" w:color="auto" w:fill="auto"/>
            <w:vAlign w:val="center"/>
          </w:tcPr>
          <w:p w14:paraId="1069CFD2" w14:textId="2F080677" w:rsidR="00B23CF6" w:rsidRPr="00CE4B35" w:rsidRDefault="00F47938" w:rsidP="00BF0491">
            <w:pPr>
              <w:pStyle w:val="TableBody"/>
              <w:jc w:val="center"/>
              <w:rPr>
                <w:rFonts w:ascii="Arial" w:hAnsi="Arial" w:cs="Arial"/>
                <w:color w:val="000000"/>
              </w:rPr>
            </w:pPr>
            <w:r>
              <w:rPr>
                <w:rFonts w:ascii="Arial" w:hAnsi="Arial" w:cs="Arial"/>
                <w:color w:val="000000"/>
              </w:rPr>
              <w:t>35.8</w:t>
            </w:r>
          </w:p>
        </w:tc>
        <w:tc>
          <w:tcPr>
            <w:tcW w:w="1644" w:type="dxa"/>
            <w:tcBorders>
              <w:top w:val="nil"/>
              <w:left w:val="nil"/>
              <w:bottom w:val="single" w:sz="8" w:space="0" w:color="BFBFBF"/>
              <w:right w:val="nil"/>
            </w:tcBorders>
            <w:shd w:val="clear" w:color="auto" w:fill="auto"/>
            <w:vAlign w:val="center"/>
          </w:tcPr>
          <w:p w14:paraId="46567219" w14:textId="61ECD008" w:rsidR="00B23CF6" w:rsidRPr="00CE4B35" w:rsidRDefault="00F47938" w:rsidP="00BF0491">
            <w:pPr>
              <w:pStyle w:val="TableBody"/>
              <w:jc w:val="center"/>
              <w:rPr>
                <w:rFonts w:ascii="Arial" w:hAnsi="Arial" w:cs="Arial"/>
                <w:color w:val="000000"/>
              </w:rPr>
            </w:pPr>
            <w:r>
              <w:rPr>
                <w:rFonts w:ascii="Arial" w:hAnsi="Arial" w:cs="Arial"/>
                <w:color w:val="000000"/>
              </w:rPr>
              <w:t>10.5</w:t>
            </w:r>
          </w:p>
        </w:tc>
        <w:tc>
          <w:tcPr>
            <w:tcW w:w="1644" w:type="dxa"/>
            <w:tcBorders>
              <w:top w:val="nil"/>
              <w:left w:val="nil"/>
              <w:bottom w:val="single" w:sz="8" w:space="0" w:color="BFBFBF"/>
              <w:right w:val="nil"/>
            </w:tcBorders>
            <w:shd w:val="clear" w:color="auto" w:fill="auto"/>
            <w:vAlign w:val="center"/>
          </w:tcPr>
          <w:p w14:paraId="7D63F581" w14:textId="54F5A3B6" w:rsidR="00B23CF6" w:rsidRPr="00CE4B35" w:rsidRDefault="00F47938" w:rsidP="00BF0491">
            <w:pPr>
              <w:pStyle w:val="TableBody"/>
              <w:jc w:val="center"/>
              <w:rPr>
                <w:rFonts w:ascii="Arial" w:hAnsi="Arial" w:cs="Arial"/>
                <w:color w:val="000000"/>
              </w:rPr>
            </w:pPr>
            <w:r>
              <w:rPr>
                <w:rFonts w:ascii="Arial" w:hAnsi="Arial" w:cs="Arial"/>
                <w:color w:val="000000"/>
              </w:rPr>
              <w:t>95.7</w:t>
            </w:r>
          </w:p>
        </w:tc>
        <w:tc>
          <w:tcPr>
            <w:tcW w:w="1644" w:type="dxa"/>
            <w:tcBorders>
              <w:top w:val="nil"/>
              <w:left w:val="nil"/>
              <w:bottom w:val="single" w:sz="8" w:space="0" w:color="BFBFBF"/>
              <w:right w:val="nil"/>
            </w:tcBorders>
            <w:shd w:val="clear" w:color="auto" w:fill="auto"/>
            <w:vAlign w:val="center"/>
          </w:tcPr>
          <w:p w14:paraId="7ECE608D" w14:textId="6E967107" w:rsidR="00B23CF6" w:rsidRPr="00CE4B35" w:rsidRDefault="00F47938" w:rsidP="00BF0491">
            <w:pPr>
              <w:pStyle w:val="TableBody"/>
              <w:jc w:val="center"/>
              <w:rPr>
                <w:rFonts w:ascii="Arial" w:hAnsi="Arial" w:cs="Arial"/>
                <w:color w:val="000000"/>
              </w:rPr>
            </w:pPr>
            <w:r>
              <w:rPr>
                <w:rFonts w:ascii="Arial" w:hAnsi="Arial" w:cs="Arial"/>
                <w:color w:val="000000"/>
              </w:rPr>
              <w:t>131.5</w:t>
            </w:r>
          </w:p>
        </w:tc>
        <w:tc>
          <w:tcPr>
            <w:tcW w:w="1645" w:type="dxa"/>
            <w:tcBorders>
              <w:top w:val="nil"/>
              <w:left w:val="nil"/>
              <w:bottom w:val="single" w:sz="8" w:space="0" w:color="BFBFBF"/>
              <w:right w:val="nil"/>
            </w:tcBorders>
            <w:shd w:val="clear" w:color="auto" w:fill="auto"/>
            <w:vAlign w:val="center"/>
          </w:tcPr>
          <w:p w14:paraId="1E5E53B4" w14:textId="1C7B19AC" w:rsidR="00B23CF6" w:rsidRPr="00CE4B35" w:rsidRDefault="00CE4B0B" w:rsidP="00A12D73">
            <w:pPr>
              <w:pStyle w:val="TableBody"/>
              <w:jc w:val="center"/>
              <w:rPr>
                <w:rFonts w:ascii="Arial" w:hAnsi="Arial" w:cs="Arial"/>
                <w:color w:val="000000"/>
              </w:rPr>
            </w:pPr>
            <w:r>
              <w:rPr>
                <w:rFonts w:ascii="Arial" w:hAnsi="Arial" w:cs="Arial"/>
                <w:color w:val="000000"/>
              </w:rPr>
              <w:t>13.2</w:t>
            </w:r>
          </w:p>
        </w:tc>
      </w:tr>
      <w:tr w:rsidR="00B23CF6" w:rsidRPr="004A2F94" w14:paraId="5D94A617" w14:textId="05490AF9" w:rsidTr="00E92FA0">
        <w:trPr>
          <w:cantSplit/>
          <w:trHeight w:val="372"/>
        </w:trPr>
        <w:tc>
          <w:tcPr>
            <w:tcW w:w="2127" w:type="dxa"/>
            <w:shd w:val="clear" w:color="auto" w:fill="F2F2F2" w:themeFill="background2" w:themeFillShade="F2"/>
            <w:vAlign w:val="center"/>
          </w:tcPr>
          <w:p w14:paraId="159475DD" w14:textId="77777777" w:rsidR="00B23CF6" w:rsidRPr="004A2F94" w:rsidRDefault="00B23CF6" w:rsidP="00BF0491">
            <w:pPr>
              <w:pStyle w:val="TableBody"/>
              <w:rPr>
                <w:rFonts w:asciiTheme="minorHAnsi" w:hAnsiTheme="minorHAnsi" w:cstheme="minorHAnsi"/>
                <w:sz w:val="22"/>
              </w:rPr>
            </w:pPr>
            <w:r w:rsidRPr="004A2F94">
              <w:rPr>
                <w:rFonts w:asciiTheme="minorHAnsi" w:hAnsiTheme="minorHAnsi" w:cstheme="minorHAnsi"/>
                <w:lang w:eastAsia="en-AU"/>
              </w:rPr>
              <w:t>Critical hospitals</w:t>
            </w:r>
          </w:p>
        </w:tc>
        <w:tc>
          <w:tcPr>
            <w:tcW w:w="1644" w:type="dxa"/>
            <w:tcBorders>
              <w:top w:val="nil"/>
              <w:left w:val="nil"/>
              <w:bottom w:val="single" w:sz="8" w:space="0" w:color="BFBFBF"/>
              <w:right w:val="nil"/>
            </w:tcBorders>
            <w:shd w:val="clear" w:color="auto" w:fill="auto"/>
            <w:vAlign w:val="center"/>
          </w:tcPr>
          <w:p w14:paraId="1F91EB55" w14:textId="3994A657" w:rsidR="00B23CF6" w:rsidRPr="00CE4B35" w:rsidRDefault="00F47938" w:rsidP="00BF0491">
            <w:pPr>
              <w:pStyle w:val="TableBody"/>
              <w:jc w:val="center"/>
              <w:rPr>
                <w:rFonts w:ascii="Arial" w:hAnsi="Arial" w:cs="Arial"/>
                <w:color w:val="000000"/>
              </w:rPr>
            </w:pPr>
            <w:r>
              <w:rPr>
                <w:rFonts w:ascii="Arial" w:hAnsi="Arial" w:cs="Arial"/>
                <w:color w:val="000000"/>
              </w:rPr>
              <w:t>342.6</w:t>
            </w:r>
          </w:p>
        </w:tc>
        <w:tc>
          <w:tcPr>
            <w:tcW w:w="1644" w:type="dxa"/>
            <w:tcBorders>
              <w:top w:val="nil"/>
              <w:left w:val="nil"/>
              <w:bottom w:val="single" w:sz="8" w:space="0" w:color="BFBFBF"/>
              <w:right w:val="nil"/>
            </w:tcBorders>
            <w:shd w:val="clear" w:color="auto" w:fill="auto"/>
            <w:vAlign w:val="center"/>
          </w:tcPr>
          <w:p w14:paraId="3BFDDD4B" w14:textId="16BE1CB1" w:rsidR="00B23CF6" w:rsidRPr="00CE4B35" w:rsidRDefault="00F47938" w:rsidP="00BF0491">
            <w:pPr>
              <w:pStyle w:val="TableBody"/>
              <w:jc w:val="center"/>
              <w:rPr>
                <w:rFonts w:ascii="Arial" w:hAnsi="Arial" w:cs="Arial"/>
                <w:color w:val="000000"/>
              </w:rPr>
            </w:pPr>
            <w:r>
              <w:rPr>
                <w:rFonts w:ascii="Arial" w:hAnsi="Arial" w:cs="Arial"/>
                <w:color w:val="000000"/>
              </w:rPr>
              <w:t>265.1</w:t>
            </w:r>
          </w:p>
        </w:tc>
        <w:tc>
          <w:tcPr>
            <w:tcW w:w="1644" w:type="dxa"/>
            <w:tcBorders>
              <w:top w:val="nil"/>
              <w:left w:val="nil"/>
              <w:bottom w:val="single" w:sz="8" w:space="0" w:color="BFBFBF"/>
              <w:right w:val="nil"/>
            </w:tcBorders>
            <w:shd w:val="clear" w:color="auto" w:fill="auto"/>
            <w:vAlign w:val="center"/>
          </w:tcPr>
          <w:p w14:paraId="151F4FAE" w14:textId="6787F5AA" w:rsidR="00B23CF6" w:rsidRPr="00CE4B35" w:rsidRDefault="00CE4B0B" w:rsidP="00BF0491">
            <w:pPr>
              <w:pStyle w:val="TableBody"/>
              <w:jc w:val="center"/>
              <w:rPr>
                <w:rFonts w:ascii="Arial" w:hAnsi="Arial" w:cs="Arial"/>
                <w:color w:val="000000"/>
              </w:rPr>
            </w:pPr>
            <w:r>
              <w:rPr>
                <w:rFonts w:ascii="Arial" w:hAnsi="Arial" w:cs="Arial"/>
                <w:color w:val="000000"/>
              </w:rPr>
              <w:t>2</w:t>
            </w:r>
            <w:r w:rsidR="00A03A1D">
              <w:rPr>
                <w:rFonts w:ascii="Arial" w:hAnsi="Arial" w:cs="Arial"/>
                <w:color w:val="000000"/>
              </w:rPr>
              <w:t>,</w:t>
            </w:r>
            <w:r>
              <w:rPr>
                <w:rFonts w:ascii="Arial" w:hAnsi="Arial" w:cs="Arial"/>
                <w:color w:val="000000"/>
              </w:rPr>
              <w:t>394</w:t>
            </w:r>
            <w:r w:rsidR="00F47938">
              <w:rPr>
                <w:rFonts w:ascii="Arial" w:hAnsi="Arial" w:cs="Arial"/>
                <w:color w:val="000000"/>
              </w:rPr>
              <w:t>.7</w:t>
            </w:r>
          </w:p>
        </w:tc>
        <w:tc>
          <w:tcPr>
            <w:tcW w:w="1644" w:type="dxa"/>
            <w:tcBorders>
              <w:top w:val="nil"/>
              <w:left w:val="nil"/>
              <w:bottom w:val="single" w:sz="8" w:space="0" w:color="BFBFBF"/>
              <w:right w:val="nil"/>
            </w:tcBorders>
            <w:shd w:val="clear" w:color="auto" w:fill="auto"/>
            <w:vAlign w:val="center"/>
          </w:tcPr>
          <w:p w14:paraId="6D4079FC" w14:textId="65E87AA9" w:rsidR="00B23CF6" w:rsidRPr="00CE4B35" w:rsidRDefault="00F47938" w:rsidP="00BF0491">
            <w:pPr>
              <w:pStyle w:val="TableBody"/>
              <w:jc w:val="center"/>
              <w:rPr>
                <w:rFonts w:ascii="Arial" w:hAnsi="Arial" w:cs="Arial"/>
                <w:color w:val="000000"/>
              </w:rPr>
            </w:pPr>
            <w:r>
              <w:rPr>
                <w:rFonts w:ascii="Arial" w:hAnsi="Arial" w:cs="Arial"/>
                <w:color w:val="000000"/>
              </w:rPr>
              <w:t>2,737.3</w:t>
            </w:r>
          </w:p>
        </w:tc>
        <w:tc>
          <w:tcPr>
            <w:tcW w:w="1645" w:type="dxa"/>
            <w:tcBorders>
              <w:top w:val="nil"/>
              <w:left w:val="nil"/>
              <w:bottom w:val="single" w:sz="8" w:space="0" w:color="BFBFBF"/>
              <w:right w:val="nil"/>
            </w:tcBorders>
            <w:shd w:val="clear" w:color="auto" w:fill="auto"/>
            <w:vAlign w:val="center"/>
          </w:tcPr>
          <w:p w14:paraId="5E369645" w14:textId="22B6818F" w:rsidR="00B23CF6" w:rsidRPr="00CE4B35" w:rsidRDefault="00CE4B0B" w:rsidP="00A12D73">
            <w:pPr>
              <w:pStyle w:val="TableBody"/>
              <w:jc w:val="center"/>
              <w:rPr>
                <w:rFonts w:ascii="Arial" w:hAnsi="Arial" w:cs="Arial"/>
                <w:color w:val="000000"/>
              </w:rPr>
            </w:pPr>
            <w:r>
              <w:rPr>
                <w:rFonts w:ascii="Arial" w:hAnsi="Arial" w:cs="Arial"/>
                <w:color w:val="000000"/>
              </w:rPr>
              <w:t>273.7</w:t>
            </w:r>
          </w:p>
        </w:tc>
      </w:tr>
      <w:tr w:rsidR="007320D9" w:rsidRPr="004A2F94" w14:paraId="035D33D2" w14:textId="2590B6E4" w:rsidTr="00E92FA0">
        <w:trPr>
          <w:cantSplit/>
          <w:trHeight w:val="361"/>
        </w:trPr>
        <w:tc>
          <w:tcPr>
            <w:tcW w:w="2127" w:type="dxa"/>
            <w:tcBorders>
              <w:bottom w:val="nil"/>
            </w:tcBorders>
            <w:shd w:val="clear" w:color="auto" w:fill="F2F2F2" w:themeFill="background2" w:themeFillShade="F2"/>
            <w:vAlign w:val="center"/>
          </w:tcPr>
          <w:p w14:paraId="2AB4AFC7" w14:textId="77777777" w:rsidR="00B23CF6" w:rsidRPr="004A2F94" w:rsidRDefault="00B23CF6" w:rsidP="00BF0491">
            <w:pPr>
              <w:pStyle w:val="TableBody"/>
              <w:rPr>
                <w:rFonts w:asciiTheme="minorHAnsi" w:hAnsiTheme="minorHAnsi" w:cstheme="minorHAnsi"/>
                <w:sz w:val="22"/>
              </w:rPr>
            </w:pPr>
            <w:r w:rsidRPr="004A2F94">
              <w:rPr>
                <w:rFonts w:asciiTheme="minorHAnsi" w:hAnsiTheme="minorHAnsi" w:cstheme="minorHAnsi"/>
                <w:lang w:eastAsia="en-AU"/>
              </w:rPr>
              <w:t>Critical energy market operator assets</w:t>
            </w:r>
          </w:p>
        </w:tc>
        <w:tc>
          <w:tcPr>
            <w:tcW w:w="1644" w:type="dxa"/>
            <w:tcBorders>
              <w:top w:val="nil"/>
              <w:left w:val="nil"/>
              <w:bottom w:val="nil"/>
              <w:right w:val="nil"/>
            </w:tcBorders>
            <w:shd w:val="clear" w:color="auto" w:fill="auto"/>
            <w:vAlign w:val="center"/>
          </w:tcPr>
          <w:p w14:paraId="47FDA8A4" w14:textId="4E950E76" w:rsidR="00B23CF6" w:rsidRPr="00CE4B35" w:rsidRDefault="00F47938" w:rsidP="00BF0491">
            <w:pPr>
              <w:pStyle w:val="TableBody"/>
              <w:jc w:val="center"/>
              <w:rPr>
                <w:rFonts w:ascii="Arial" w:hAnsi="Arial" w:cs="Arial"/>
                <w:color w:val="000000"/>
              </w:rPr>
            </w:pPr>
            <w:r>
              <w:rPr>
                <w:rFonts w:ascii="Arial" w:hAnsi="Arial" w:cs="Arial"/>
                <w:color w:val="000000"/>
              </w:rPr>
              <w:t>88.3</w:t>
            </w:r>
          </w:p>
        </w:tc>
        <w:tc>
          <w:tcPr>
            <w:tcW w:w="1644" w:type="dxa"/>
            <w:tcBorders>
              <w:top w:val="nil"/>
              <w:left w:val="nil"/>
              <w:bottom w:val="nil"/>
              <w:right w:val="nil"/>
            </w:tcBorders>
            <w:shd w:val="clear" w:color="auto" w:fill="auto"/>
            <w:vAlign w:val="center"/>
          </w:tcPr>
          <w:p w14:paraId="693B890C" w14:textId="47589198" w:rsidR="00B23CF6" w:rsidRPr="00CE4B35" w:rsidRDefault="00F47938" w:rsidP="00BF0491">
            <w:pPr>
              <w:pStyle w:val="TableBody"/>
              <w:jc w:val="center"/>
              <w:rPr>
                <w:rFonts w:ascii="Arial" w:hAnsi="Arial" w:cs="Arial"/>
                <w:color w:val="000000"/>
              </w:rPr>
            </w:pPr>
            <w:r>
              <w:rPr>
                <w:rFonts w:ascii="Arial" w:hAnsi="Arial" w:cs="Arial"/>
                <w:color w:val="000000"/>
              </w:rPr>
              <w:t>26.9</w:t>
            </w:r>
          </w:p>
        </w:tc>
        <w:tc>
          <w:tcPr>
            <w:tcW w:w="1644" w:type="dxa"/>
            <w:tcBorders>
              <w:top w:val="nil"/>
              <w:left w:val="nil"/>
              <w:bottom w:val="single" w:sz="8" w:space="0" w:color="BFBFBF"/>
              <w:right w:val="nil"/>
            </w:tcBorders>
            <w:shd w:val="clear" w:color="auto" w:fill="auto"/>
            <w:vAlign w:val="center"/>
          </w:tcPr>
          <w:p w14:paraId="2C0579A9" w14:textId="2BD64E0F" w:rsidR="00B23CF6" w:rsidRPr="00CE4B35" w:rsidRDefault="00F47938" w:rsidP="00BF0491">
            <w:pPr>
              <w:pStyle w:val="TableBody"/>
              <w:jc w:val="center"/>
              <w:rPr>
                <w:rFonts w:ascii="Arial" w:hAnsi="Arial" w:cs="Arial"/>
                <w:color w:val="000000"/>
              </w:rPr>
            </w:pPr>
            <w:r>
              <w:rPr>
                <w:rFonts w:ascii="Arial" w:hAnsi="Arial" w:cs="Arial"/>
                <w:color w:val="000000"/>
              </w:rPr>
              <w:t>241.4</w:t>
            </w:r>
          </w:p>
        </w:tc>
        <w:tc>
          <w:tcPr>
            <w:tcW w:w="1644" w:type="dxa"/>
            <w:tcBorders>
              <w:top w:val="nil"/>
              <w:left w:val="nil"/>
              <w:bottom w:val="nil"/>
              <w:right w:val="nil"/>
            </w:tcBorders>
            <w:shd w:val="clear" w:color="auto" w:fill="auto"/>
            <w:vAlign w:val="center"/>
          </w:tcPr>
          <w:p w14:paraId="69191C3D" w14:textId="577D671F" w:rsidR="00B23CF6" w:rsidRPr="00CE4B35" w:rsidRDefault="00F47938" w:rsidP="00BF0491">
            <w:pPr>
              <w:pStyle w:val="TableBody"/>
              <w:jc w:val="center"/>
              <w:rPr>
                <w:rFonts w:ascii="Arial" w:hAnsi="Arial" w:cs="Arial"/>
                <w:color w:val="000000"/>
              </w:rPr>
            </w:pPr>
            <w:r>
              <w:rPr>
                <w:rFonts w:ascii="Arial" w:hAnsi="Arial" w:cs="Arial"/>
                <w:color w:val="000000"/>
              </w:rPr>
              <w:t>329.7</w:t>
            </w:r>
          </w:p>
        </w:tc>
        <w:tc>
          <w:tcPr>
            <w:tcW w:w="1645" w:type="dxa"/>
            <w:tcBorders>
              <w:top w:val="nil"/>
              <w:left w:val="nil"/>
              <w:bottom w:val="single" w:sz="8" w:space="0" w:color="BFBFBF"/>
              <w:right w:val="nil"/>
            </w:tcBorders>
            <w:shd w:val="clear" w:color="auto" w:fill="auto"/>
            <w:vAlign w:val="center"/>
          </w:tcPr>
          <w:p w14:paraId="3BC51BB3" w14:textId="00E9E9A8" w:rsidR="00B23CF6" w:rsidRPr="00CE4B35" w:rsidRDefault="00CE4B0B" w:rsidP="00A12D73">
            <w:pPr>
              <w:pStyle w:val="TableBody"/>
              <w:jc w:val="center"/>
              <w:rPr>
                <w:rFonts w:ascii="Arial" w:hAnsi="Arial" w:cs="Arial"/>
                <w:color w:val="000000"/>
              </w:rPr>
            </w:pPr>
            <w:r>
              <w:rPr>
                <w:rFonts w:ascii="Arial" w:hAnsi="Arial" w:cs="Arial"/>
                <w:color w:val="000000"/>
              </w:rPr>
              <w:t>33.0</w:t>
            </w:r>
          </w:p>
        </w:tc>
      </w:tr>
      <w:tr w:rsidR="007320D9" w:rsidRPr="000626A0" w14:paraId="7C116CFD" w14:textId="77777777" w:rsidTr="00E92FA0">
        <w:trPr>
          <w:cantSplit/>
          <w:trHeight w:val="361"/>
        </w:trPr>
        <w:tc>
          <w:tcPr>
            <w:tcW w:w="2127" w:type="dxa"/>
            <w:tcBorders>
              <w:bottom w:val="nil"/>
            </w:tcBorders>
            <w:shd w:val="clear" w:color="auto" w:fill="F2F2F2" w:themeFill="background2" w:themeFillShade="F2"/>
            <w:vAlign w:val="center"/>
          </w:tcPr>
          <w:p w14:paraId="11436DC9" w14:textId="2B6A4507" w:rsidR="00177FF7" w:rsidRPr="004A2F94" w:rsidRDefault="00177FF7" w:rsidP="00177FF7">
            <w:pPr>
              <w:pStyle w:val="TableBody"/>
              <w:rPr>
                <w:rFonts w:cstheme="minorHAnsi"/>
                <w:lang w:eastAsia="en-AU"/>
              </w:rPr>
            </w:pPr>
            <w:r w:rsidRPr="004A2F94">
              <w:rPr>
                <w:rFonts w:asciiTheme="minorHAnsi" w:hAnsiTheme="minorHAnsi" w:cstheme="minorHAnsi"/>
                <w:lang w:eastAsia="en-AU"/>
              </w:rPr>
              <w:t xml:space="preserve">Critical freight infrastructure </w:t>
            </w:r>
            <w:r w:rsidRPr="004A2F94">
              <w:rPr>
                <w:rFonts w:asciiTheme="minorHAnsi" w:hAnsiTheme="minorHAnsi" w:cstheme="minorHAnsi"/>
                <w:i/>
                <w:iCs/>
                <w:lang w:eastAsia="en-AU"/>
              </w:rPr>
              <w:t>and</w:t>
            </w:r>
            <w:r w:rsidRPr="004A2F94">
              <w:rPr>
                <w:rFonts w:asciiTheme="minorHAnsi" w:hAnsiTheme="minorHAnsi" w:cstheme="minorHAnsi"/>
                <w:lang w:eastAsia="en-AU"/>
              </w:rPr>
              <w:t xml:space="preserve"> critical freight services assets</w:t>
            </w:r>
            <w:r w:rsidRPr="004A2F94">
              <w:rPr>
                <w:rStyle w:val="FootnoteReference"/>
                <w:rFonts w:asciiTheme="minorHAnsi" w:eastAsia="Times New Roman" w:hAnsiTheme="minorHAnsi" w:cstheme="minorHAnsi"/>
                <w:bCs/>
                <w:lang w:eastAsia="en-AU"/>
              </w:rPr>
              <w:footnoteReference w:id="51"/>
            </w:r>
          </w:p>
        </w:tc>
        <w:tc>
          <w:tcPr>
            <w:tcW w:w="1644" w:type="dxa"/>
            <w:tcBorders>
              <w:top w:val="single" w:sz="8" w:space="0" w:color="BFBFBF"/>
              <w:left w:val="nil"/>
              <w:bottom w:val="nil"/>
              <w:right w:val="nil"/>
            </w:tcBorders>
            <w:shd w:val="clear" w:color="auto" w:fill="auto"/>
            <w:vAlign w:val="center"/>
          </w:tcPr>
          <w:p w14:paraId="62D773E3" w14:textId="28B579E5" w:rsidR="00177FF7" w:rsidRPr="00CE4B35" w:rsidRDefault="00F47938" w:rsidP="00177FF7">
            <w:pPr>
              <w:pStyle w:val="TableBody"/>
              <w:jc w:val="center"/>
              <w:rPr>
                <w:rFonts w:ascii="Arial" w:hAnsi="Arial" w:cs="Arial"/>
                <w:color w:val="000000"/>
              </w:rPr>
            </w:pPr>
            <w:r>
              <w:rPr>
                <w:rFonts w:ascii="Arial" w:hAnsi="Arial" w:cs="Arial"/>
                <w:color w:val="000000"/>
              </w:rPr>
              <w:t>60.9</w:t>
            </w:r>
          </w:p>
        </w:tc>
        <w:tc>
          <w:tcPr>
            <w:tcW w:w="1644" w:type="dxa"/>
            <w:tcBorders>
              <w:top w:val="single" w:sz="8" w:space="0" w:color="BFBFBF"/>
              <w:left w:val="nil"/>
              <w:bottom w:val="nil"/>
              <w:right w:val="nil"/>
            </w:tcBorders>
            <w:shd w:val="clear" w:color="auto" w:fill="auto"/>
            <w:vAlign w:val="center"/>
          </w:tcPr>
          <w:p w14:paraId="7E85AA52" w14:textId="551211F2" w:rsidR="00177FF7" w:rsidRPr="00CE4B35" w:rsidRDefault="00F47938" w:rsidP="00177FF7">
            <w:pPr>
              <w:pStyle w:val="TableBody"/>
              <w:jc w:val="center"/>
              <w:rPr>
                <w:rFonts w:ascii="Arial" w:hAnsi="Arial" w:cs="Arial"/>
                <w:color w:val="000000"/>
              </w:rPr>
            </w:pPr>
            <w:r>
              <w:rPr>
                <w:rFonts w:ascii="Arial" w:hAnsi="Arial" w:cs="Arial"/>
                <w:color w:val="000000"/>
              </w:rPr>
              <w:t>50.0</w:t>
            </w:r>
          </w:p>
        </w:tc>
        <w:tc>
          <w:tcPr>
            <w:tcW w:w="1644" w:type="dxa"/>
            <w:tcBorders>
              <w:top w:val="nil"/>
              <w:left w:val="nil"/>
              <w:bottom w:val="single" w:sz="8" w:space="0" w:color="BFBFBF"/>
              <w:right w:val="nil"/>
            </w:tcBorders>
            <w:shd w:val="clear" w:color="auto" w:fill="auto"/>
            <w:vAlign w:val="center"/>
          </w:tcPr>
          <w:p w14:paraId="68E40A57" w14:textId="31474865" w:rsidR="00177FF7" w:rsidRPr="00CE4B35" w:rsidRDefault="00F47938" w:rsidP="00177FF7">
            <w:pPr>
              <w:pStyle w:val="TableBody"/>
              <w:jc w:val="center"/>
              <w:rPr>
                <w:rFonts w:ascii="Arial" w:hAnsi="Arial" w:cs="Arial"/>
                <w:color w:val="000000"/>
              </w:rPr>
            </w:pPr>
            <w:r>
              <w:rPr>
                <w:rFonts w:ascii="Arial" w:hAnsi="Arial" w:cs="Arial"/>
                <w:color w:val="000000"/>
              </w:rPr>
              <w:t>467.0</w:t>
            </w:r>
          </w:p>
        </w:tc>
        <w:tc>
          <w:tcPr>
            <w:tcW w:w="1644" w:type="dxa"/>
            <w:tcBorders>
              <w:top w:val="single" w:sz="8" w:space="0" w:color="BFBFBF"/>
              <w:left w:val="nil"/>
              <w:bottom w:val="nil"/>
              <w:right w:val="nil"/>
            </w:tcBorders>
            <w:shd w:val="clear" w:color="auto" w:fill="auto"/>
            <w:vAlign w:val="center"/>
          </w:tcPr>
          <w:p w14:paraId="0F6DA3DE" w14:textId="16B113D3" w:rsidR="00177FF7" w:rsidRPr="00CE4B35" w:rsidRDefault="00F47938" w:rsidP="00177FF7">
            <w:pPr>
              <w:pStyle w:val="TableBody"/>
              <w:jc w:val="center"/>
              <w:rPr>
                <w:rFonts w:ascii="Arial" w:hAnsi="Arial" w:cs="Arial"/>
                <w:color w:val="000000"/>
              </w:rPr>
            </w:pPr>
            <w:r>
              <w:rPr>
                <w:rFonts w:ascii="Arial" w:hAnsi="Arial" w:cs="Arial"/>
                <w:color w:val="000000"/>
              </w:rPr>
              <w:t>527.8</w:t>
            </w:r>
          </w:p>
        </w:tc>
        <w:tc>
          <w:tcPr>
            <w:tcW w:w="1645" w:type="dxa"/>
            <w:tcBorders>
              <w:top w:val="nil"/>
              <w:left w:val="nil"/>
              <w:bottom w:val="single" w:sz="8" w:space="0" w:color="BFBFBF"/>
              <w:right w:val="nil"/>
            </w:tcBorders>
            <w:shd w:val="clear" w:color="auto" w:fill="auto"/>
            <w:vAlign w:val="center"/>
          </w:tcPr>
          <w:p w14:paraId="7C344394" w14:textId="225243EB" w:rsidR="00177FF7" w:rsidRPr="00CE4B35" w:rsidRDefault="00CE4B0B" w:rsidP="00177FF7">
            <w:pPr>
              <w:pStyle w:val="TableBody"/>
              <w:jc w:val="center"/>
              <w:rPr>
                <w:rFonts w:ascii="Arial" w:hAnsi="Arial" w:cs="Arial"/>
                <w:color w:val="000000"/>
              </w:rPr>
            </w:pPr>
            <w:r>
              <w:rPr>
                <w:rFonts w:ascii="Arial" w:hAnsi="Arial" w:cs="Arial"/>
                <w:color w:val="000000"/>
              </w:rPr>
              <w:t>52.8</w:t>
            </w:r>
          </w:p>
        </w:tc>
      </w:tr>
      <w:tr w:rsidR="007320D9" w:rsidRPr="000626A0" w14:paraId="74830C8E" w14:textId="77777777" w:rsidTr="00E92FA0">
        <w:trPr>
          <w:cantSplit/>
          <w:trHeight w:val="361"/>
        </w:trPr>
        <w:tc>
          <w:tcPr>
            <w:tcW w:w="2127" w:type="dxa"/>
            <w:tcBorders>
              <w:bottom w:val="nil"/>
            </w:tcBorders>
            <w:shd w:val="clear" w:color="auto" w:fill="F2F2F2" w:themeFill="background2" w:themeFillShade="F2"/>
            <w:vAlign w:val="center"/>
          </w:tcPr>
          <w:p w14:paraId="010AEB87" w14:textId="6628805C" w:rsidR="007F5D88" w:rsidRPr="00CE4B35" w:rsidRDefault="007F5D88" w:rsidP="00177FF7">
            <w:pPr>
              <w:pStyle w:val="TableBody"/>
              <w:rPr>
                <w:rFonts w:asciiTheme="minorHAnsi" w:hAnsiTheme="minorHAnsi" w:cstheme="minorHAnsi"/>
                <w:lang w:eastAsia="en-AU"/>
              </w:rPr>
            </w:pPr>
            <w:r w:rsidRPr="00F9464E">
              <w:rPr>
                <w:rFonts w:cstheme="minorHAnsi"/>
                <w:lang w:eastAsia="en-AU"/>
              </w:rPr>
              <w:t xml:space="preserve">Critical food and </w:t>
            </w:r>
            <w:r w:rsidR="00F9464E" w:rsidRPr="00F9464E">
              <w:rPr>
                <w:rFonts w:cstheme="minorHAnsi"/>
                <w:lang w:eastAsia="en-AU"/>
              </w:rPr>
              <w:t>grocery assets</w:t>
            </w:r>
          </w:p>
        </w:tc>
        <w:tc>
          <w:tcPr>
            <w:tcW w:w="1644" w:type="dxa"/>
            <w:tcBorders>
              <w:top w:val="single" w:sz="8" w:space="0" w:color="BFBFBF"/>
              <w:left w:val="nil"/>
              <w:bottom w:val="nil"/>
              <w:right w:val="nil"/>
            </w:tcBorders>
            <w:shd w:val="clear" w:color="auto" w:fill="auto"/>
            <w:vAlign w:val="center"/>
          </w:tcPr>
          <w:p w14:paraId="1AFA46ED" w14:textId="49046609" w:rsidR="007F5D88" w:rsidRPr="00CE4B35" w:rsidRDefault="00D5578A" w:rsidP="00177FF7">
            <w:pPr>
              <w:pStyle w:val="TableBody"/>
              <w:jc w:val="center"/>
              <w:rPr>
                <w:rFonts w:ascii="Arial" w:hAnsi="Arial" w:cs="Arial"/>
                <w:color w:val="000000"/>
              </w:rPr>
            </w:pPr>
            <w:r w:rsidRPr="00CE4B35">
              <w:rPr>
                <w:rFonts w:ascii="Arial" w:hAnsi="Arial" w:cs="Arial"/>
                <w:color w:val="000000"/>
              </w:rPr>
              <w:t>12.2</w:t>
            </w:r>
          </w:p>
        </w:tc>
        <w:tc>
          <w:tcPr>
            <w:tcW w:w="1644" w:type="dxa"/>
            <w:tcBorders>
              <w:top w:val="single" w:sz="8" w:space="0" w:color="BFBFBF"/>
              <w:left w:val="nil"/>
              <w:bottom w:val="nil"/>
              <w:right w:val="nil"/>
            </w:tcBorders>
            <w:shd w:val="clear" w:color="auto" w:fill="auto"/>
            <w:vAlign w:val="center"/>
          </w:tcPr>
          <w:p w14:paraId="0E7FC460" w14:textId="48CB550A" w:rsidR="007F5D88" w:rsidRPr="00CE4B35" w:rsidRDefault="00D5578A" w:rsidP="00177FF7">
            <w:pPr>
              <w:pStyle w:val="TableBody"/>
              <w:jc w:val="center"/>
              <w:rPr>
                <w:rFonts w:ascii="Arial" w:hAnsi="Arial" w:cs="Arial"/>
                <w:color w:val="000000"/>
              </w:rPr>
            </w:pPr>
            <w:r w:rsidRPr="00CE4B35">
              <w:rPr>
                <w:rFonts w:ascii="Arial" w:hAnsi="Arial" w:cs="Arial"/>
                <w:color w:val="000000"/>
              </w:rPr>
              <w:t>6.6</w:t>
            </w:r>
          </w:p>
        </w:tc>
        <w:tc>
          <w:tcPr>
            <w:tcW w:w="1644" w:type="dxa"/>
            <w:tcBorders>
              <w:top w:val="nil"/>
              <w:left w:val="nil"/>
              <w:bottom w:val="single" w:sz="8" w:space="0" w:color="BFBFBF"/>
              <w:right w:val="nil"/>
            </w:tcBorders>
            <w:shd w:val="clear" w:color="auto" w:fill="auto"/>
            <w:vAlign w:val="center"/>
          </w:tcPr>
          <w:p w14:paraId="569D406C" w14:textId="3B8A3E72" w:rsidR="007F5D88" w:rsidRPr="00CE4B35" w:rsidRDefault="00D5578A" w:rsidP="00177FF7">
            <w:pPr>
              <w:pStyle w:val="TableBody"/>
              <w:jc w:val="center"/>
              <w:rPr>
                <w:rFonts w:ascii="Arial" w:hAnsi="Arial" w:cs="Arial"/>
                <w:color w:val="000000"/>
              </w:rPr>
            </w:pPr>
            <w:r>
              <w:rPr>
                <w:rFonts w:ascii="Arial" w:hAnsi="Arial" w:cs="Arial"/>
                <w:color w:val="000000"/>
              </w:rPr>
              <w:t>60.7</w:t>
            </w:r>
          </w:p>
        </w:tc>
        <w:tc>
          <w:tcPr>
            <w:tcW w:w="1644" w:type="dxa"/>
            <w:tcBorders>
              <w:top w:val="single" w:sz="8" w:space="0" w:color="BFBFBF"/>
              <w:left w:val="nil"/>
              <w:bottom w:val="nil"/>
              <w:right w:val="nil"/>
            </w:tcBorders>
            <w:shd w:val="clear" w:color="auto" w:fill="auto"/>
            <w:vAlign w:val="center"/>
          </w:tcPr>
          <w:p w14:paraId="69BD5180" w14:textId="418A5EC6" w:rsidR="007F5D88" w:rsidRPr="00CE4B35" w:rsidRDefault="00D5578A" w:rsidP="00177FF7">
            <w:pPr>
              <w:pStyle w:val="TableBody"/>
              <w:jc w:val="center"/>
              <w:rPr>
                <w:rFonts w:ascii="Arial" w:hAnsi="Arial" w:cs="Arial"/>
                <w:color w:val="000000"/>
              </w:rPr>
            </w:pPr>
            <w:r w:rsidRPr="00CE4B35">
              <w:rPr>
                <w:rFonts w:ascii="Arial" w:hAnsi="Arial" w:cs="Arial"/>
                <w:color w:val="000000"/>
              </w:rPr>
              <w:t>72.9</w:t>
            </w:r>
          </w:p>
        </w:tc>
        <w:tc>
          <w:tcPr>
            <w:tcW w:w="1645" w:type="dxa"/>
            <w:tcBorders>
              <w:top w:val="nil"/>
              <w:left w:val="nil"/>
              <w:bottom w:val="single" w:sz="8" w:space="0" w:color="BFBFBF"/>
              <w:right w:val="nil"/>
            </w:tcBorders>
            <w:shd w:val="clear" w:color="auto" w:fill="auto"/>
            <w:vAlign w:val="center"/>
          </w:tcPr>
          <w:p w14:paraId="1EEC90FD" w14:textId="7462B714" w:rsidR="007F5D88" w:rsidRPr="00CE4B35" w:rsidRDefault="00D5578A" w:rsidP="00177FF7">
            <w:pPr>
              <w:pStyle w:val="TableBody"/>
              <w:jc w:val="center"/>
              <w:rPr>
                <w:rFonts w:ascii="Arial" w:hAnsi="Arial" w:cs="Arial"/>
                <w:color w:val="000000"/>
              </w:rPr>
            </w:pPr>
            <w:r>
              <w:rPr>
                <w:rFonts w:ascii="Arial" w:hAnsi="Arial" w:cs="Arial"/>
                <w:color w:val="000000"/>
              </w:rPr>
              <w:t>7.3</w:t>
            </w:r>
          </w:p>
        </w:tc>
      </w:tr>
      <w:tr w:rsidR="00177FF7" w:rsidRPr="000626A0" w14:paraId="261FD010" w14:textId="68545E15" w:rsidTr="007E7AB2">
        <w:trPr>
          <w:cantSplit/>
          <w:trHeight w:val="361"/>
        </w:trPr>
        <w:tc>
          <w:tcPr>
            <w:tcW w:w="2127" w:type="dxa"/>
            <w:tcBorders>
              <w:top w:val="nil"/>
            </w:tcBorders>
            <w:shd w:val="clear" w:color="auto" w:fill="034EA2" w:themeFill="accent1"/>
            <w:vAlign w:val="center"/>
          </w:tcPr>
          <w:p w14:paraId="2999A2BB" w14:textId="77777777" w:rsidR="00177FF7" w:rsidRPr="004A2F94" w:rsidRDefault="00177FF7" w:rsidP="00177FF7">
            <w:pPr>
              <w:pStyle w:val="TableHeading"/>
              <w:rPr>
                <w:rFonts w:asciiTheme="minorHAnsi" w:hAnsiTheme="minorHAnsi" w:cstheme="minorHAnsi"/>
                <w:lang w:eastAsia="en-AU"/>
              </w:rPr>
            </w:pPr>
            <w:r w:rsidRPr="004A2F94">
              <w:rPr>
                <w:rFonts w:asciiTheme="minorHAnsi" w:hAnsiTheme="minorHAnsi" w:cstheme="minorHAnsi"/>
                <w:lang w:eastAsia="en-AU"/>
              </w:rPr>
              <w:t>Total costs</w:t>
            </w:r>
          </w:p>
        </w:tc>
        <w:tc>
          <w:tcPr>
            <w:tcW w:w="1644" w:type="dxa"/>
            <w:tcBorders>
              <w:top w:val="nil"/>
              <w:bottom w:val="nil"/>
            </w:tcBorders>
            <w:shd w:val="clear" w:color="auto" w:fill="034EA2" w:themeFill="accent1"/>
            <w:vAlign w:val="center"/>
          </w:tcPr>
          <w:p w14:paraId="7DDC1829" w14:textId="0E3FED0D" w:rsidR="00177FF7" w:rsidRPr="004A2F94" w:rsidRDefault="00CE4B0B" w:rsidP="00177FF7">
            <w:pPr>
              <w:pStyle w:val="TableHeading"/>
              <w:jc w:val="center"/>
              <w:rPr>
                <w:rFonts w:asciiTheme="minorHAnsi" w:hAnsiTheme="minorHAnsi" w:cstheme="minorHAnsi"/>
                <w:lang w:eastAsia="en-AU"/>
              </w:rPr>
            </w:pPr>
            <w:r>
              <w:rPr>
                <w:rFonts w:asciiTheme="minorHAnsi" w:hAnsiTheme="minorHAnsi" w:cstheme="minorHAnsi"/>
                <w:lang w:eastAsia="en-AU"/>
              </w:rPr>
              <w:t>1,601.0</w:t>
            </w:r>
          </w:p>
        </w:tc>
        <w:tc>
          <w:tcPr>
            <w:tcW w:w="1644" w:type="dxa"/>
            <w:tcBorders>
              <w:top w:val="nil"/>
              <w:left w:val="nil"/>
              <w:bottom w:val="nil"/>
              <w:right w:val="nil"/>
            </w:tcBorders>
            <w:shd w:val="clear" w:color="000000" w:fill="034EA2"/>
            <w:vAlign w:val="center"/>
          </w:tcPr>
          <w:p w14:paraId="7F97CE08" w14:textId="54231772" w:rsidR="00177FF7" w:rsidRPr="00CE4B0B" w:rsidRDefault="00156390" w:rsidP="00177FF7">
            <w:pPr>
              <w:pStyle w:val="TableHeading"/>
              <w:jc w:val="center"/>
              <w:rPr>
                <w:rFonts w:asciiTheme="minorHAnsi" w:hAnsiTheme="minorHAnsi" w:cstheme="minorHAnsi"/>
                <w:lang w:eastAsia="en-AU"/>
              </w:rPr>
            </w:pPr>
            <w:r w:rsidRPr="00CE4B35">
              <w:rPr>
                <w:rFonts w:ascii="Arial" w:hAnsi="Arial" w:cs="Arial"/>
                <w:color w:val="FFFFFF"/>
                <w:szCs w:val="20"/>
              </w:rPr>
              <w:t>1</w:t>
            </w:r>
            <w:r w:rsidR="006135CB" w:rsidRPr="00CE4B35">
              <w:rPr>
                <w:rFonts w:ascii="Arial" w:hAnsi="Arial" w:cs="Arial"/>
                <w:color w:val="FFFFFF"/>
                <w:szCs w:val="20"/>
              </w:rPr>
              <w:t>,</w:t>
            </w:r>
            <w:r w:rsidR="00F47938" w:rsidRPr="00CE4B35">
              <w:rPr>
                <w:rFonts w:ascii="Arial" w:hAnsi="Arial" w:cs="Arial"/>
                <w:color w:val="FFFFFF"/>
                <w:szCs w:val="20"/>
              </w:rPr>
              <w:t>076.</w:t>
            </w:r>
            <w:r w:rsidR="00CE4B0B" w:rsidRPr="00CE4B35">
              <w:rPr>
                <w:rFonts w:ascii="Arial" w:hAnsi="Arial" w:cs="Arial"/>
                <w:color w:val="FFFFFF"/>
                <w:szCs w:val="20"/>
              </w:rPr>
              <w:t>3</w:t>
            </w:r>
          </w:p>
        </w:tc>
        <w:tc>
          <w:tcPr>
            <w:tcW w:w="1644" w:type="dxa"/>
            <w:tcBorders>
              <w:top w:val="nil"/>
              <w:bottom w:val="nil"/>
            </w:tcBorders>
            <w:shd w:val="clear" w:color="auto" w:fill="034EA2" w:themeFill="accent1"/>
            <w:vAlign w:val="center"/>
          </w:tcPr>
          <w:p w14:paraId="7DC813E5" w14:textId="5BB3A1CD" w:rsidR="00177FF7" w:rsidRPr="004A2F94" w:rsidRDefault="00CE4B0B" w:rsidP="00177FF7">
            <w:pPr>
              <w:pStyle w:val="TableHeading"/>
              <w:jc w:val="center"/>
              <w:rPr>
                <w:rFonts w:asciiTheme="minorHAnsi" w:hAnsiTheme="minorHAnsi" w:cstheme="minorHAnsi"/>
                <w:lang w:eastAsia="en-AU"/>
              </w:rPr>
            </w:pPr>
            <w:r>
              <w:rPr>
                <w:rFonts w:asciiTheme="minorHAnsi" w:hAnsiTheme="minorHAnsi" w:cstheme="minorHAnsi"/>
                <w:lang w:eastAsia="en-AU"/>
              </w:rPr>
              <w:t>9,90</w:t>
            </w:r>
            <w:r w:rsidR="001F7A75">
              <w:rPr>
                <w:rFonts w:asciiTheme="minorHAnsi" w:hAnsiTheme="minorHAnsi" w:cstheme="minorHAnsi"/>
                <w:lang w:eastAsia="en-AU"/>
              </w:rPr>
              <w:t>1.</w:t>
            </w:r>
            <w:r w:rsidR="00486AF4">
              <w:rPr>
                <w:rFonts w:asciiTheme="minorHAnsi" w:hAnsiTheme="minorHAnsi" w:cstheme="minorHAnsi"/>
                <w:lang w:eastAsia="en-AU"/>
              </w:rPr>
              <w:t>8</w:t>
            </w:r>
          </w:p>
        </w:tc>
        <w:tc>
          <w:tcPr>
            <w:tcW w:w="1644" w:type="dxa"/>
            <w:tcBorders>
              <w:top w:val="nil"/>
              <w:bottom w:val="nil"/>
            </w:tcBorders>
            <w:shd w:val="clear" w:color="auto" w:fill="034EA2" w:themeFill="accent1"/>
            <w:vAlign w:val="center"/>
          </w:tcPr>
          <w:p w14:paraId="7FB0364B" w14:textId="09AB70AA" w:rsidR="00177FF7" w:rsidRPr="004A2F94" w:rsidRDefault="00CE4B0B" w:rsidP="00177FF7">
            <w:pPr>
              <w:pStyle w:val="TableHeading"/>
              <w:jc w:val="center"/>
              <w:rPr>
                <w:rFonts w:asciiTheme="minorHAnsi" w:hAnsiTheme="minorHAnsi" w:cstheme="minorBidi"/>
                <w:lang w:eastAsia="en-AU"/>
              </w:rPr>
            </w:pPr>
            <w:r>
              <w:rPr>
                <w:rFonts w:asciiTheme="minorHAnsi" w:hAnsiTheme="minorHAnsi" w:cstheme="minorBidi"/>
                <w:lang w:eastAsia="en-AU"/>
              </w:rPr>
              <w:t>11,50</w:t>
            </w:r>
            <w:r w:rsidR="001A1E6E">
              <w:rPr>
                <w:rFonts w:asciiTheme="minorHAnsi" w:hAnsiTheme="minorHAnsi" w:cstheme="minorBidi"/>
                <w:lang w:eastAsia="en-AU"/>
              </w:rPr>
              <w:t>3</w:t>
            </w:r>
            <w:r w:rsidR="00486AF4">
              <w:rPr>
                <w:rFonts w:asciiTheme="minorHAnsi" w:hAnsiTheme="minorHAnsi" w:cstheme="minorBidi"/>
                <w:lang w:eastAsia="en-AU"/>
              </w:rPr>
              <w:t>.</w:t>
            </w:r>
            <w:r w:rsidR="001A1E6E">
              <w:rPr>
                <w:rFonts w:asciiTheme="minorHAnsi" w:hAnsiTheme="minorHAnsi" w:cstheme="minorBidi"/>
                <w:lang w:eastAsia="en-AU"/>
              </w:rPr>
              <w:t>6</w:t>
            </w:r>
          </w:p>
        </w:tc>
        <w:tc>
          <w:tcPr>
            <w:tcW w:w="1645" w:type="dxa"/>
            <w:tcBorders>
              <w:top w:val="nil"/>
              <w:bottom w:val="nil"/>
            </w:tcBorders>
            <w:shd w:val="clear" w:color="auto" w:fill="034EA2" w:themeFill="accent1"/>
            <w:vAlign w:val="center"/>
          </w:tcPr>
          <w:p w14:paraId="07AA2C11" w14:textId="70368695" w:rsidR="00177FF7" w:rsidRPr="009B4B57" w:rsidRDefault="00CE4B0B" w:rsidP="00177FF7">
            <w:pPr>
              <w:pStyle w:val="TableHeading"/>
              <w:jc w:val="center"/>
              <w:rPr>
                <w:rFonts w:asciiTheme="minorHAnsi" w:hAnsiTheme="minorHAnsi" w:cstheme="minorHAnsi"/>
                <w:lang w:eastAsia="en-AU"/>
              </w:rPr>
            </w:pPr>
            <w:r w:rsidRPr="001A1E6E">
              <w:rPr>
                <w:rFonts w:cstheme="minorHAnsi"/>
                <w:lang w:eastAsia="en-AU"/>
              </w:rPr>
              <w:t>1,150.</w:t>
            </w:r>
            <w:r w:rsidR="001A1E6E" w:rsidRPr="003E7806">
              <w:rPr>
                <w:rFonts w:cstheme="minorHAnsi"/>
                <w:lang w:eastAsia="en-AU"/>
              </w:rPr>
              <w:t>4</w:t>
            </w:r>
          </w:p>
        </w:tc>
      </w:tr>
    </w:tbl>
    <w:p w14:paraId="7BD7EA20" w14:textId="25251799" w:rsidR="003039E6" w:rsidRDefault="003039E6">
      <w:pPr>
        <w:spacing w:before="80" w:after="80"/>
        <w:rPr>
          <w:b/>
          <w:i/>
          <w:color w:val="034EA2" w:themeColor="accent1"/>
          <w:sz w:val="18"/>
          <w:szCs w:val="18"/>
          <w:lang w:eastAsia="en-AU"/>
        </w:rPr>
      </w:pPr>
    </w:p>
    <w:p w14:paraId="7B33983E" w14:textId="725965E9" w:rsidR="007D60F4" w:rsidRDefault="003039E6" w:rsidP="00CE4B35">
      <w:pPr>
        <w:pStyle w:val="BodyText"/>
        <w:spacing w:before="240"/>
        <w:rPr>
          <w:rFonts w:asciiTheme="majorHAnsi" w:eastAsia="Times New Roman" w:hAnsiTheme="majorHAnsi" w:cs="Times New Roman"/>
          <w:b/>
          <w:bCs/>
          <w:color w:val="5C676D" w:themeColor="accent3"/>
          <w:szCs w:val="20"/>
          <w:lang w:eastAsia="en-AU"/>
        </w:rPr>
      </w:pPr>
      <w:r>
        <w:t xml:space="preserve">The regulatory cost estimate is broken down by relevant critical infrastructure asset in appendices </w:t>
      </w:r>
      <w:r w:rsidR="00F9464E">
        <w:t>S</w:t>
      </w:r>
      <w:r w:rsidR="00AA63AB">
        <w:t xml:space="preserve"> – </w:t>
      </w:r>
      <w:r w:rsidR="00F9464E">
        <w:t>CC</w:t>
      </w:r>
      <w:r>
        <w:t xml:space="preserve">. </w:t>
      </w:r>
      <w:r w:rsidR="007D60F4">
        <w:br w:type="page"/>
      </w:r>
    </w:p>
    <w:p w14:paraId="34FE27EB" w14:textId="1B071EC1" w:rsidR="00E9705C" w:rsidRPr="002F1B2B" w:rsidRDefault="00E9705C" w:rsidP="001C5E54">
      <w:pPr>
        <w:pStyle w:val="Heading4"/>
      </w:pPr>
      <w:r w:rsidRPr="002F1B2B">
        <w:lastRenderedPageBreak/>
        <w:t>Benefits of option 2</w:t>
      </w:r>
    </w:p>
    <w:p w14:paraId="154E2CB4" w14:textId="0FE93114" w:rsidR="00E9705C" w:rsidRDefault="00844603" w:rsidP="001C5E54">
      <w:pPr>
        <w:pStyle w:val="BodyText"/>
      </w:pPr>
      <w:r>
        <w:t>Reliable critical infrastructure</w:t>
      </w:r>
      <w:r w:rsidR="00E9705C" w:rsidRPr="00E9705C">
        <w:t xml:space="preserve"> is central to Australia’s prosperity. Further, disruption to supply</w:t>
      </w:r>
      <w:r>
        <w:t>, compromise of operation</w:t>
      </w:r>
      <w:r w:rsidR="00330C6A">
        <w:t>,</w:t>
      </w:r>
      <w:r>
        <w:t xml:space="preserve"> or other impacts</w:t>
      </w:r>
      <w:r w:rsidR="00E9705C" w:rsidRPr="00E9705C">
        <w:t xml:space="preserve"> can </w:t>
      </w:r>
      <w:r w:rsidR="008B107F">
        <w:t>have a</w:t>
      </w:r>
      <w:r w:rsidR="00E9705C" w:rsidRPr="00E9705C">
        <w:t xml:space="preserve"> significant cost to the economy. The </w:t>
      </w:r>
      <w:r w:rsidR="00BB0179">
        <w:t>RMP</w:t>
      </w:r>
      <w:r w:rsidR="00E9705C" w:rsidRPr="00E9705C">
        <w:t xml:space="preserve"> framework aims to reduce the frequency and impact of any </w:t>
      </w:r>
      <w:r w:rsidR="00885B64">
        <w:t>disruption to availability, integrity</w:t>
      </w:r>
      <w:r w:rsidR="00996198">
        <w:t xml:space="preserve">, </w:t>
      </w:r>
      <w:r w:rsidR="00D852A7">
        <w:t>reliability,</w:t>
      </w:r>
      <w:r w:rsidR="00996198">
        <w:t xml:space="preserve"> or confidentiality of critical infrastructure,</w:t>
      </w:r>
      <w:r w:rsidR="00E9705C" w:rsidRPr="00E9705C">
        <w:t xml:space="preserve"> and so its primary benefit is to avoid the incidents that may otherwise disrupt </w:t>
      </w:r>
      <w:r w:rsidR="00D852A7">
        <w:t>operation</w:t>
      </w:r>
      <w:r w:rsidR="00E9705C" w:rsidRPr="00E9705C">
        <w:t xml:space="preserve"> and </w:t>
      </w:r>
      <w:r w:rsidR="00D852A7">
        <w:t>lead to</w:t>
      </w:r>
      <w:r w:rsidR="00E9705C" w:rsidRPr="00E9705C">
        <w:t xml:space="preserve"> economic loss.</w:t>
      </w:r>
    </w:p>
    <w:p w14:paraId="7315B00F" w14:textId="000C80F2" w:rsidR="000D5C37" w:rsidRPr="00E9705C" w:rsidRDefault="00F95CFA" w:rsidP="001C5E54">
      <w:pPr>
        <w:pStyle w:val="BodyText"/>
      </w:pPr>
      <w:r w:rsidRPr="00E9705C">
        <w:t xml:space="preserve">Computable General Equilibrium (CGE) modelling was used to illustrate how costly disruption </w:t>
      </w:r>
      <w:r>
        <w:t xml:space="preserve">to critical infrastructure assets </w:t>
      </w:r>
      <w:r w:rsidRPr="00E9705C">
        <w:t xml:space="preserve">could potentially be by examining a hypothetical </w:t>
      </w:r>
      <w:r>
        <w:t>‘</w:t>
      </w:r>
      <w:r w:rsidRPr="00E9705C">
        <w:t>shock</w:t>
      </w:r>
      <w:r>
        <w:t>’</w:t>
      </w:r>
      <w:r w:rsidRPr="00E9705C">
        <w:t xml:space="preserve"> (</w:t>
      </w:r>
      <w:r>
        <w:t xml:space="preserve">the nature of which varied </w:t>
      </w:r>
      <w:r w:rsidR="00992DA8">
        <w:t>between relevant critical infrastructure assets)</w:t>
      </w:r>
      <w:r w:rsidRPr="00E9705C">
        <w:t xml:space="preserve"> and an associated increase in input costs (</w:t>
      </w:r>
      <w:r w:rsidR="006F3DE4" w:rsidRPr="00E9705C">
        <w:t>i.e.,</w:t>
      </w:r>
      <w:r w:rsidRPr="00E9705C">
        <w:t xml:space="preserve"> an increase in the cost of </w:t>
      </w:r>
      <w:r w:rsidR="00992DA8">
        <w:t>the service</w:t>
      </w:r>
      <w:r w:rsidRPr="00E9705C">
        <w:t>). The advantage of using a CGE approach is that both the direct and indirect (</w:t>
      </w:r>
      <w:r w:rsidR="006F3DE4" w:rsidRPr="00E9705C">
        <w:t>i.e.</w:t>
      </w:r>
      <w:r w:rsidRPr="00E9705C">
        <w:t xml:space="preserve"> flow-on) economic impacts of a</w:t>
      </w:r>
      <w:r w:rsidR="00992DA8">
        <w:t>n</w:t>
      </w:r>
      <w:r w:rsidRPr="00E9705C">
        <w:t xml:space="preserve"> event can be quantified.</w:t>
      </w:r>
    </w:p>
    <w:p w14:paraId="221011E8" w14:textId="36B2042D" w:rsidR="004966E8" w:rsidRDefault="00E9705C" w:rsidP="00F4406B">
      <w:pPr>
        <w:pStyle w:val="Heading5"/>
      </w:pPr>
      <w:r w:rsidRPr="002F1B2B">
        <w:t xml:space="preserve">CGE </w:t>
      </w:r>
      <w:r w:rsidR="007076DC">
        <w:t>m</w:t>
      </w:r>
      <w:r w:rsidRPr="002F1B2B">
        <w:t xml:space="preserve">odelling </w:t>
      </w:r>
      <w:r w:rsidR="007076DC" w:rsidRPr="00F4406B">
        <w:t>a</w:t>
      </w:r>
      <w:r w:rsidRPr="00F4406B">
        <w:t>pproach</w:t>
      </w:r>
      <w:r w:rsidRPr="002F1B2B">
        <w:t xml:space="preserve"> </w:t>
      </w:r>
    </w:p>
    <w:p w14:paraId="5D8BBED5" w14:textId="77777777" w:rsidR="00E9705C" w:rsidRPr="004966E8" w:rsidRDefault="00E9705C" w:rsidP="001C5E54">
      <w:pPr>
        <w:pStyle w:val="BodyText"/>
        <w:rPr>
          <w:i/>
          <w:color w:val="034EA2" w:themeColor="accent1"/>
        </w:rPr>
      </w:pPr>
      <w:r w:rsidRPr="00E9705C">
        <w:t xml:space="preserve">To analyse the direct and indirect economic contributions </w:t>
      </w:r>
      <w:r w:rsidRPr="004966E8">
        <w:rPr>
          <w:color w:val="000000" w:themeColor="text1"/>
        </w:rPr>
        <w:t xml:space="preserve">of </w:t>
      </w:r>
      <w:r w:rsidR="004966E8" w:rsidRPr="004966E8">
        <w:rPr>
          <w:rFonts w:eastAsia="Calibri"/>
          <w:color w:val="000000" w:themeColor="text1"/>
        </w:rPr>
        <w:t xml:space="preserve">the </w:t>
      </w:r>
      <w:r w:rsidR="004966E8">
        <w:rPr>
          <w:rFonts w:eastAsia="Calibri"/>
          <w:color w:val="000000" w:themeColor="text1"/>
        </w:rPr>
        <w:t>baseline scenario</w:t>
      </w:r>
      <w:r w:rsidR="004966E8" w:rsidRPr="004966E8">
        <w:rPr>
          <w:rFonts w:eastAsia="Calibri"/>
          <w:color w:val="000000" w:themeColor="text1"/>
        </w:rPr>
        <w:t xml:space="preserve"> events</w:t>
      </w:r>
      <w:r w:rsidRPr="004966E8">
        <w:rPr>
          <w:color w:val="000000" w:themeColor="text1"/>
        </w:rPr>
        <w:t xml:space="preserve"> due </w:t>
      </w:r>
      <w:r w:rsidRPr="00E9705C">
        <w:t xml:space="preserve">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consumers, investors, </w:t>
      </w:r>
      <w:r w:rsidR="006F3DE4" w:rsidRPr="00E9705C">
        <w:t>producers,</w:t>
      </w:r>
      <w:r w:rsidRPr="00E9705C">
        <w:t xml:space="preserve"> and governments operating in domestic and foreign goods, </w:t>
      </w:r>
      <w:r w:rsidR="006F3DE4" w:rsidRPr="00E9705C">
        <w:t>capital,</w:t>
      </w:r>
      <w:r w:rsidRPr="00E9705C">
        <w:t xml:space="preserve"> and labour markets. </w:t>
      </w:r>
    </w:p>
    <w:p w14:paraId="5524CB24" w14:textId="77777777" w:rsidR="00E9705C" w:rsidRPr="00645805" w:rsidRDefault="00E9705C" w:rsidP="001C5E54">
      <w:pPr>
        <w:pStyle w:val="BodyText"/>
      </w:pPr>
      <w:r w:rsidRPr="00645805">
        <w:t xml:space="preserve">Defining features of the theoretical structure of the model are: </w:t>
      </w:r>
    </w:p>
    <w:p w14:paraId="7F921524" w14:textId="77777777" w:rsidR="00E9705C" w:rsidRPr="00C848A4" w:rsidRDefault="00E9705C" w:rsidP="001C5E54">
      <w:pPr>
        <w:pStyle w:val="Bullet1stlevel"/>
      </w:pPr>
      <w:r w:rsidRPr="00C848A4">
        <w:t xml:space="preserve">Optimising behaviour by households and businesses in the context of competitive markets with explicit resource and budget constraints; </w:t>
      </w:r>
    </w:p>
    <w:p w14:paraId="224209F4" w14:textId="77777777" w:rsidR="00E9705C" w:rsidRPr="00C848A4" w:rsidRDefault="00E9705C" w:rsidP="001C5E54">
      <w:pPr>
        <w:pStyle w:val="Bullet1stlevel"/>
      </w:pPr>
      <w:r w:rsidRPr="00C848A4">
        <w:t xml:space="preserve">The price mechanism operates to clear markets for goods and factors such as labour and capital (i.e. prices adjust so that supply equals demand); and </w:t>
      </w:r>
    </w:p>
    <w:p w14:paraId="5A84A37D" w14:textId="77777777" w:rsidR="00E9705C" w:rsidRPr="00C848A4" w:rsidRDefault="00E9705C" w:rsidP="001C5E54">
      <w:pPr>
        <w:pStyle w:val="Bullet1stlevel"/>
      </w:pPr>
      <w:r w:rsidRPr="00C848A4">
        <w:t xml:space="preserve">At the margin, costs are equal to revenues in all economic activities. </w:t>
      </w:r>
    </w:p>
    <w:p w14:paraId="2D80E80D" w14:textId="77777777" w:rsidR="00E9705C" w:rsidRPr="004966E8" w:rsidRDefault="00E9705C" w:rsidP="001C5E54">
      <w:pPr>
        <w:pStyle w:val="BodyText"/>
      </w:pPr>
      <w:r w:rsidRPr="004966E8">
        <w:t xml:space="preserve">The modelling framework is suited to analysing the economic impact of </w:t>
      </w:r>
      <w:r w:rsidR="004966E8" w:rsidRPr="004966E8">
        <w:rPr>
          <w:rFonts w:eastAsia="Calibri"/>
        </w:rPr>
        <w:t>events impacting interconnected critical infrastructure assets</w:t>
      </w:r>
      <w:r w:rsidRPr="004966E8">
        <w:t xml:space="preserve"> as it explicitly captures supply-chain linkages as well as other flow-on effects and feedback responses by all economic agents. The strength of CGE models is that they capture the upstream and downstream linkages between the activities induced by the </w:t>
      </w:r>
      <w:r w:rsidR="004966E8" w:rsidRPr="004966E8">
        <w:rPr>
          <w:rFonts w:eastAsia="Calibri"/>
        </w:rPr>
        <w:t xml:space="preserve">event </w:t>
      </w:r>
      <w:r w:rsidRPr="004966E8">
        <w:t xml:space="preserve">and the rest of the economy in a framework that combines detailed historical data with fundamental economic theory. </w:t>
      </w:r>
    </w:p>
    <w:p w14:paraId="4552F4F1" w14:textId="77777777" w:rsidR="00E9705C" w:rsidRPr="00180A8F" w:rsidRDefault="00BF6AA2" w:rsidP="00F4406B">
      <w:pPr>
        <w:pStyle w:val="Heading5"/>
      </w:pPr>
      <w:r w:rsidRPr="004966E8">
        <w:t>S</w:t>
      </w:r>
      <w:r w:rsidR="00E9705C" w:rsidRPr="004966E8">
        <w:t>cenarios</w:t>
      </w:r>
    </w:p>
    <w:p w14:paraId="1A8BA090" w14:textId="77777777" w:rsidR="00E9705C" w:rsidRPr="00E9705C" w:rsidRDefault="00E9705C" w:rsidP="001C5E54">
      <w:pPr>
        <w:pStyle w:val="BodyText"/>
      </w:pPr>
      <w:r w:rsidRPr="00E9705C">
        <w:t xml:space="preserve">The CGE modelling provided estimates regarding how sensitive the Australian economy is to a shock </w:t>
      </w:r>
      <w:r w:rsidR="00BD1967">
        <w:t xml:space="preserve">to each of the relevant critical </w:t>
      </w:r>
      <w:r w:rsidR="00CD2FB7">
        <w:t xml:space="preserve">infrastructure </w:t>
      </w:r>
      <w:r w:rsidR="00B8719E">
        <w:t>assets</w:t>
      </w:r>
      <w:r w:rsidRPr="00E9705C">
        <w:t xml:space="preserve">. </w:t>
      </w:r>
      <w:r w:rsidR="00275071">
        <w:t>The method of</w:t>
      </w:r>
      <w:r w:rsidRPr="00E9705C">
        <w:t xml:space="preserve"> analysis </w:t>
      </w:r>
      <w:r w:rsidR="00275071">
        <w:t>remained consistent across all relevant critical infrastructure assets, with any minor adjustments explained in the relevant appendix</w:t>
      </w:r>
      <w:r w:rsidR="00F75DBB">
        <w:t xml:space="preserve">. The method </w:t>
      </w:r>
      <w:r w:rsidR="00C00139">
        <w:t>consisted of</w:t>
      </w:r>
      <w:r w:rsidR="00F75DBB">
        <w:t xml:space="preserve"> defining </w:t>
      </w:r>
      <w:r w:rsidR="00C00139">
        <w:t>a hypothetical baseline scenario through researching real-world incidents</w:t>
      </w:r>
      <w:r w:rsidR="002F022A">
        <w:t>,</w:t>
      </w:r>
      <w:r w:rsidR="007A2C06">
        <w:t xml:space="preserve"> and understanding the various costs and price impacts associated with </w:t>
      </w:r>
      <w:r w:rsidR="004A5194">
        <w:t xml:space="preserve">the </w:t>
      </w:r>
      <w:r w:rsidR="007A2C06">
        <w:t>event</w:t>
      </w:r>
      <w:r w:rsidRPr="00E9705C">
        <w:t xml:space="preserve">. </w:t>
      </w:r>
    </w:p>
    <w:p w14:paraId="2562A130" w14:textId="77777777" w:rsidR="006A4F20" w:rsidRDefault="006A4F20">
      <w:pPr>
        <w:spacing w:before="80" w:after="80"/>
        <w:rPr>
          <w:rFonts w:asciiTheme="majorHAnsi" w:eastAsia="Times New Roman" w:hAnsiTheme="majorHAnsi" w:cs="Times New Roman"/>
          <w:bCs/>
          <w:i/>
          <w:iCs/>
          <w:sz w:val="22"/>
          <w:szCs w:val="26"/>
          <w:lang w:eastAsia="en-AU"/>
        </w:rPr>
      </w:pPr>
      <w:r>
        <w:br w:type="page"/>
      </w:r>
    </w:p>
    <w:p w14:paraId="799B7413" w14:textId="34366237" w:rsidR="00E9705C" w:rsidRPr="00180A8F" w:rsidRDefault="00E9705C" w:rsidP="00F4406B">
      <w:pPr>
        <w:pStyle w:val="Heading5"/>
      </w:pPr>
      <w:r w:rsidRPr="00180A8F">
        <w:lastRenderedPageBreak/>
        <w:t>Case studies</w:t>
      </w:r>
    </w:p>
    <w:p w14:paraId="5BC0ECD8" w14:textId="3A6ECD07" w:rsidR="00296375" w:rsidRPr="00827F58" w:rsidRDefault="0000139C" w:rsidP="001C5E54">
      <w:pPr>
        <w:pStyle w:val="BodyText"/>
      </w:pPr>
      <w:bookmarkStart w:id="258" w:name="_Toc78535596"/>
      <w:bookmarkStart w:id="259" w:name="_Toc78878021"/>
      <w:bookmarkStart w:id="260" w:name="_Toc79156697"/>
      <w:r>
        <w:t xml:space="preserve">Case studies </w:t>
      </w:r>
      <w:r w:rsidR="00296375" w:rsidRPr="00827F58">
        <w:t>provide a basis for modelling hypothetical, but comparable</w:t>
      </w:r>
      <w:r w:rsidR="002F022A">
        <w:t>,</w:t>
      </w:r>
      <w:r w:rsidR="00296375" w:rsidRPr="00827F58">
        <w:t xml:space="preserve"> </w:t>
      </w:r>
      <w:r w:rsidR="00E5560D">
        <w:t>events</w:t>
      </w:r>
      <w:r w:rsidR="00296375" w:rsidRPr="00827F58">
        <w:t xml:space="preserve">, in an economy-wide model and contextualising the results of that modelling. </w:t>
      </w:r>
      <w:r w:rsidR="00E5560D">
        <w:t xml:space="preserve">The case studies have </w:t>
      </w:r>
      <w:r w:rsidR="00296375" w:rsidRPr="00827F58">
        <w:t>been chosen to provide insights into the economy-wide costs to households and businesses of large-scale and severe</w:t>
      </w:r>
      <w:r w:rsidR="00296375" w:rsidRPr="00C866A4">
        <w:rPr>
          <w:color w:val="FF9900"/>
        </w:rPr>
        <w:t xml:space="preserve"> </w:t>
      </w:r>
      <w:r w:rsidR="00296375" w:rsidRPr="00827F58">
        <w:t xml:space="preserve">disruption events. The case studies </w:t>
      </w:r>
      <w:r w:rsidR="00E5560D">
        <w:t xml:space="preserve">are </w:t>
      </w:r>
      <w:r w:rsidR="000D6538">
        <w:t xml:space="preserve">summarised in the </w:t>
      </w:r>
      <w:r w:rsidR="00E41B50">
        <w:t>T</w:t>
      </w:r>
      <w:r w:rsidR="000D6538">
        <w:t>able</w:t>
      </w:r>
      <w:r w:rsidR="00E41B50">
        <w:t xml:space="preserve"> 1</w:t>
      </w:r>
      <w:r w:rsidR="00326582">
        <w:t>3</w:t>
      </w:r>
      <w:r w:rsidR="000D6538">
        <w:t xml:space="preserve"> below and </w:t>
      </w:r>
      <w:r w:rsidR="00D72335">
        <w:t>described in detail</w:t>
      </w:r>
      <w:r w:rsidR="00E5560D">
        <w:t xml:space="preserve"> </w:t>
      </w:r>
      <w:r w:rsidR="0048592E">
        <w:t xml:space="preserve">in appendices </w:t>
      </w:r>
      <w:r w:rsidR="000D1C2B">
        <w:t>S</w:t>
      </w:r>
      <w:r w:rsidR="00AA63AB">
        <w:t xml:space="preserve"> – </w:t>
      </w:r>
      <w:r w:rsidR="000D1C2B">
        <w:t>CC</w:t>
      </w:r>
      <w:r w:rsidR="007076DC">
        <w:t xml:space="preserve"> </w:t>
      </w:r>
      <w:r w:rsidR="0048592E">
        <w:t>for each relevant critical infrastructure asset</w:t>
      </w:r>
      <w:r w:rsidR="00E41B50">
        <w:t>:</w:t>
      </w:r>
      <w:r w:rsidR="0048592E">
        <w:t xml:space="preserve"> </w:t>
      </w:r>
    </w:p>
    <w:p w14:paraId="134B02B2" w14:textId="284E3E57" w:rsidR="00DF3CAE" w:rsidRPr="00ED3694" w:rsidRDefault="00BE7E4C" w:rsidP="00F4406B">
      <w:pPr>
        <w:pStyle w:val="Caption"/>
      </w:pPr>
      <w:bookmarkStart w:id="261" w:name="_Toc120115098"/>
      <w:bookmarkEnd w:id="258"/>
      <w:bookmarkEnd w:id="259"/>
      <w:bookmarkEnd w:id="260"/>
      <w:r w:rsidRPr="00E9705C">
        <w:rPr>
          <w:b/>
          <w:bCs/>
        </w:rPr>
        <w:t xml:space="preserve">Table </w:t>
      </w:r>
      <w:r w:rsidRPr="00E9705C">
        <w:rPr>
          <w:b/>
          <w:bCs/>
        </w:rPr>
        <w:fldChar w:fldCharType="begin"/>
      </w:r>
      <w:r w:rsidRPr="00E9705C">
        <w:rPr>
          <w:b/>
          <w:bCs/>
        </w:rPr>
        <w:instrText xml:space="preserve"> SEQ Table \* ARABIC </w:instrText>
      </w:r>
      <w:r w:rsidRPr="00E9705C">
        <w:rPr>
          <w:b/>
          <w:bCs/>
        </w:rPr>
        <w:fldChar w:fldCharType="separate"/>
      </w:r>
      <w:r w:rsidR="009708D4">
        <w:rPr>
          <w:b/>
          <w:bCs/>
          <w:noProof/>
        </w:rPr>
        <w:t>13</w:t>
      </w:r>
      <w:r w:rsidRPr="00E9705C">
        <w:rPr>
          <w:b/>
          <w:bCs/>
        </w:rPr>
        <w:fldChar w:fldCharType="end"/>
      </w:r>
      <w:r w:rsidRPr="00E9705C">
        <w:t xml:space="preserve"> </w:t>
      </w:r>
      <w:r>
        <w:t>Baseline scenario case study summary</w:t>
      </w:r>
      <w:bookmarkEnd w:id="261"/>
    </w:p>
    <w:tbl>
      <w:tblPr>
        <w:tblStyle w:val="TableGrid3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4422"/>
        <w:gridCol w:w="5216"/>
      </w:tblGrid>
      <w:tr w:rsidR="00ED3694" w:rsidRPr="00E9705C" w14:paraId="4FDAE013" w14:textId="77777777" w:rsidTr="006A4F20">
        <w:trPr>
          <w:trHeight w:val="486"/>
        </w:trPr>
        <w:tc>
          <w:tcPr>
            <w:tcW w:w="2294" w:type="pct"/>
            <w:shd w:val="clear" w:color="auto" w:fill="034EA2" w:themeFill="accent1"/>
            <w:vAlign w:val="center"/>
          </w:tcPr>
          <w:p w14:paraId="3FB3338A" w14:textId="77777777" w:rsidR="00ED3694" w:rsidRPr="00E9705C" w:rsidRDefault="00ED3694" w:rsidP="00505856">
            <w:pPr>
              <w:pStyle w:val="TableHeading"/>
              <w:rPr>
                <w:lang w:eastAsia="en-AU"/>
              </w:rPr>
            </w:pPr>
            <w:r>
              <w:rPr>
                <w:lang w:eastAsia="en-AU"/>
              </w:rPr>
              <w:t>Critical infrastructure asset</w:t>
            </w:r>
          </w:p>
        </w:tc>
        <w:tc>
          <w:tcPr>
            <w:tcW w:w="2706" w:type="pct"/>
            <w:shd w:val="clear" w:color="auto" w:fill="034EA2" w:themeFill="accent1"/>
            <w:vAlign w:val="center"/>
          </w:tcPr>
          <w:p w14:paraId="58CD1CE8" w14:textId="77777777" w:rsidR="00ED3694" w:rsidRPr="00E9705C" w:rsidRDefault="00ED3694" w:rsidP="00505856">
            <w:pPr>
              <w:pStyle w:val="TableHeading"/>
              <w:rPr>
                <w:lang w:val="en-GB" w:eastAsia="en-AU"/>
              </w:rPr>
            </w:pPr>
            <w:r>
              <w:rPr>
                <w:lang w:val="en-GB" w:eastAsia="en-AU"/>
              </w:rPr>
              <w:t>Baseline scenario</w:t>
            </w:r>
          </w:p>
        </w:tc>
      </w:tr>
      <w:tr w:rsidR="00ED3694" w:rsidRPr="00E9705C" w14:paraId="2540319E" w14:textId="77777777" w:rsidTr="006A4F20">
        <w:trPr>
          <w:trHeight w:val="238"/>
        </w:trPr>
        <w:tc>
          <w:tcPr>
            <w:tcW w:w="2294" w:type="pct"/>
            <w:shd w:val="clear" w:color="auto" w:fill="F2F2F2" w:themeFill="background1" w:themeFillShade="F2"/>
            <w:vAlign w:val="center"/>
          </w:tcPr>
          <w:p w14:paraId="1AD3130B" w14:textId="77777777" w:rsidR="00ED3694" w:rsidRPr="00FF7B5D" w:rsidRDefault="00ED3694" w:rsidP="00505856">
            <w:pPr>
              <w:pStyle w:val="TableBody"/>
              <w:rPr>
                <w:lang w:eastAsia="en-AU"/>
              </w:rPr>
            </w:pPr>
            <w:r>
              <w:rPr>
                <w:lang w:eastAsia="en-AU"/>
              </w:rPr>
              <w:t>Critical electricity assets</w:t>
            </w:r>
          </w:p>
        </w:tc>
        <w:tc>
          <w:tcPr>
            <w:tcW w:w="2706" w:type="pct"/>
            <w:vAlign w:val="center"/>
          </w:tcPr>
          <w:p w14:paraId="2E8E542E" w14:textId="77777777" w:rsidR="00ED3694" w:rsidRPr="00BF183C" w:rsidRDefault="00ED3694" w:rsidP="00505856">
            <w:pPr>
              <w:pStyle w:val="TableBody"/>
              <w:rPr>
                <w:lang w:eastAsia="en-AU"/>
              </w:rPr>
            </w:pPr>
            <w:r w:rsidRPr="00BF183C">
              <w:rPr>
                <w:lang w:eastAsia="en-AU"/>
              </w:rPr>
              <w:t xml:space="preserve">South Australian </w:t>
            </w:r>
            <w:r w:rsidR="004068A9">
              <w:rPr>
                <w:lang w:eastAsia="en-AU"/>
              </w:rPr>
              <w:t>b</w:t>
            </w:r>
            <w:r w:rsidRPr="00BF183C">
              <w:rPr>
                <w:lang w:eastAsia="en-AU"/>
              </w:rPr>
              <w:t xml:space="preserve">lackout </w:t>
            </w:r>
            <w:r w:rsidR="004068A9">
              <w:rPr>
                <w:lang w:eastAsia="en-AU"/>
              </w:rPr>
              <w:t>(</w:t>
            </w:r>
            <w:r w:rsidRPr="00BF183C">
              <w:rPr>
                <w:lang w:eastAsia="en-AU"/>
              </w:rPr>
              <w:t>2016</w:t>
            </w:r>
            <w:r w:rsidR="004068A9">
              <w:rPr>
                <w:lang w:eastAsia="en-AU"/>
              </w:rPr>
              <w:t>)</w:t>
            </w:r>
          </w:p>
        </w:tc>
      </w:tr>
      <w:tr w:rsidR="00ED3694" w:rsidRPr="00E9705C" w14:paraId="5144E287" w14:textId="77777777" w:rsidTr="006A4F20">
        <w:trPr>
          <w:trHeight w:val="238"/>
        </w:trPr>
        <w:tc>
          <w:tcPr>
            <w:tcW w:w="2294" w:type="pct"/>
            <w:shd w:val="clear" w:color="auto" w:fill="F2F2F2" w:themeFill="background1" w:themeFillShade="F2"/>
            <w:vAlign w:val="center"/>
          </w:tcPr>
          <w:p w14:paraId="2ABC4A20" w14:textId="77777777" w:rsidR="00ED3694" w:rsidRDefault="00ED3694" w:rsidP="00505856">
            <w:pPr>
              <w:pStyle w:val="TableBody"/>
              <w:rPr>
                <w:lang w:eastAsia="en-AU"/>
              </w:rPr>
            </w:pPr>
            <w:r>
              <w:rPr>
                <w:lang w:eastAsia="en-AU"/>
              </w:rPr>
              <w:t>Critical gas assets</w:t>
            </w:r>
          </w:p>
        </w:tc>
        <w:tc>
          <w:tcPr>
            <w:tcW w:w="2706" w:type="pct"/>
            <w:vAlign w:val="center"/>
          </w:tcPr>
          <w:p w14:paraId="14746B4B" w14:textId="77777777" w:rsidR="00ED3694" w:rsidRPr="00BF183C" w:rsidRDefault="004068A9" w:rsidP="00505856">
            <w:pPr>
              <w:pStyle w:val="TableBody"/>
              <w:rPr>
                <w:lang w:eastAsia="en-AU"/>
              </w:rPr>
            </w:pPr>
            <w:r>
              <w:rPr>
                <w:lang w:eastAsia="en-AU"/>
              </w:rPr>
              <w:t>Varanus Island disruption</w:t>
            </w:r>
            <w:r w:rsidR="008C1C2F">
              <w:rPr>
                <w:lang w:eastAsia="en-AU"/>
              </w:rPr>
              <w:t xml:space="preserve"> (2008)</w:t>
            </w:r>
          </w:p>
        </w:tc>
      </w:tr>
      <w:tr w:rsidR="00ED3694" w:rsidRPr="00E9705C" w14:paraId="4C1B751B" w14:textId="77777777" w:rsidTr="006A4F20">
        <w:trPr>
          <w:trHeight w:val="238"/>
        </w:trPr>
        <w:tc>
          <w:tcPr>
            <w:tcW w:w="2294" w:type="pct"/>
            <w:shd w:val="clear" w:color="auto" w:fill="F2F2F2" w:themeFill="background1" w:themeFillShade="F2"/>
            <w:vAlign w:val="center"/>
          </w:tcPr>
          <w:p w14:paraId="5AB33D6B" w14:textId="77777777" w:rsidR="00ED3694" w:rsidRDefault="00ED3694" w:rsidP="00505856">
            <w:pPr>
              <w:pStyle w:val="TableBody"/>
              <w:rPr>
                <w:lang w:eastAsia="en-AU"/>
              </w:rPr>
            </w:pPr>
            <w:r>
              <w:rPr>
                <w:lang w:eastAsia="en-AU"/>
              </w:rPr>
              <w:t>Critical water assets</w:t>
            </w:r>
          </w:p>
        </w:tc>
        <w:tc>
          <w:tcPr>
            <w:tcW w:w="2706" w:type="pct"/>
            <w:vAlign w:val="center"/>
          </w:tcPr>
          <w:p w14:paraId="0B25FB49" w14:textId="1F27717C" w:rsidR="00862C9A" w:rsidRDefault="00862C9A" w:rsidP="00505856">
            <w:pPr>
              <w:pStyle w:val="TableBody"/>
              <w:rPr>
                <w:lang w:eastAsia="en-AU"/>
              </w:rPr>
            </w:pPr>
            <w:r>
              <w:rPr>
                <w:lang w:eastAsia="en-AU"/>
              </w:rPr>
              <w:t>Queensland floods (2011)</w:t>
            </w:r>
          </w:p>
          <w:p w14:paraId="7F22555F" w14:textId="5859F8B0" w:rsidR="00862C9A" w:rsidRDefault="00862C9A" w:rsidP="00505856">
            <w:pPr>
              <w:pStyle w:val="TableBody"/>
              <w:rPr>
                <w:lang w:eastAsia="en-AU"/>
              </w:rPr>
            </w:pPr>
            <w:r>
              <w:rPr>
                <w:lang w:eastAsia="en-AU"/>
              </w:rPr>
              <w:t>Sydney water crisis (1998)</w:t>
            </w:r>
          </w:p>
          <w:p w14:paraId="29480CB0" w14:textId="77777777" w:rsidR="00ED3694" w:rsidRPr="00BF183C" w:rsidRDefault="00B46BA0" w:rsidP="00505856">
            <w:pPr>
              <w:pStyle w:val="TableBody"/>
              <w:rPr>
                <w:lang w:eastAsia="en-AU"/>
              </w:rPr>
            </w:pPr>
            <w:r>
              <w:rPr>
                <w:lang w:eastAsia="en-AU"/>
              </w:rPr>
              <w:t xml:space="preserve">UK water supplier </w:t>
            </w:r>
            <w:r w:rsidR="00FD3232">
              <w:rPr>
                <w:lang w:eastAsia="en-AU"/>
              </w:rPr>
              <w:t>scam (</w:t>
            </w:r>
            <w:r w:rsidR="00880219">
              <w:rPr>
                <w:lang w:eastAsia="en-AU"/>
              </w:rPr>
              <w:t>2017)</w:t>
            </w:r>
          </w:p>
        </w:tc>
      </w:tr>
      <w:tr w:rsidR="00ED3694" w:rsidRPr="00E9705C" w14:paraId="08C70816" w14:textId="77777777" w:rsidTr="006A4F20">
        <w:trPr>
          <w:trHeight w:val="238"/>
        </w:trPr>
        <w:tc>
          <w:tcPr>
            <w:tcW w:w="2294" w:type="pct"/>
            <w:shd w:val="clear" w:color="auto" w:fill="F2F2F2" w:themeFill="background1" w:themeFillShade="F2"/>
            <w:vAlign w:val="center"/>
          </w:tcPr>
          <w:p w14:paraId="54687D5A" w14:textId="77777777" w:rsidR="00ED3694" w:rsidRDefault="00ED3694" w:rsidP="00505856">
            <w:pPr>
              <w:pStyle w:val="TableBody"/>
              <w:rPr>
                <w:lang w:eastAsia="en-AU"/>
              </w:rPr>
            </w:pPr>
            <w:r>
              <w:rPr>
                <w:lang w:eastAsia="en-AU"/>
              </w:rPr>
              <w:t>Critical data processing or storage assets</w:t>
            </w:r>
          </w:p>
        </w:tc>
        <w:tc>
          <w:tcPr>
            <w:tcW w:w="2706" w:type="pct"/>
            <w:vAlign w:val="center"/>
          </w:tcPr>
          <w:p w14:paraId="1D48B4B8" w14:textId="4CF8DBF3" w:rsidR="00862C9A" w:rsidRDefault="00862C9A" w:rsidP="00505856">
            <w:pPr>
              <w:pStyle w:val="TableBody"/>
              <w:rPr>
                <w:lang w:eastAsia="en-AU"/>
              </w:rPr>
            </w:pPr>
            <w:r>
              <w:rPr>
                <w:lang w:eastAsia="en-AU"/>
              </w:rPr>
              <w:t>Kaseya outage (2021)</w:t>
            </w:r>
          </w:p>
          <w:p w14:paraId="479DB8CA" w14:textId="77777777" w:rsidR="00ED3694" w:rsidRPr="00BF183C" w:rsidRDefault="00862448" w:rsidP="00505856">
            <w:pPr>
              <w:pStyle w:val="TableBody"/>
              <w:rPr>
                <w:lang w:eastAsia="en-AU"/>
              </w:rPr>
            </w:pPr>
            <w:r>
              <w:rPr>
                <w:lang w:eastAsia="en-AU"/>
              </w:rPr>
              <w:t>Former e</w:t>
            </w:r>
            <w:r w:rsidR="0055044A">
              <w:rPr>
                <w:lang w:eastAsia="en-AU"/>
              </w:rPr>
              <w:t>mployee</w:t>
            </w:r>
            <w:r w:rsidR="00436021">
              <w:rPr>
                <w:lang w:eastAsia="en-AU"/>
              </w:rPr>
              <w:t xml:space="preserve"> targets Cisco Systems </w:t>
            </w:r>
            <w:r>
              <w:rPr>
                <w:lang w:eastAsia="en-AU"/>
              </w:rPr>
              <w:t>(2018)</w:t>
            </w:r>
          </w:p>
        </w:tc>
      </w:tr>
      <w:tr w:rsidR="00ED3694" w:rsidRPr="00E9705C" w14:paraId="49421556" w14:textId="77777777" w:rsidTr="006A4F20">
        <w:trPr>
          <w:trHeight w:val="238"/>
        </w:trPr>
        <w:tc>
          <w:tcPr>
            <w:tcW w:w="2294" w:type="pct"/>
            <w:shd w:val="clear" w:color="auto" w:fill="F2F2F2" w:themeFill="background1" w:themeFillShade="F2"/>
            <w:vAlign w:val="center"/>
          </w:tcPr>
          <w:p w14:paraId="568DDA48" w14:textId="743CF3D4" w:rsidR="00ED3694" w:rsidRPr="00B919B6" w:rsidRDefault="00ED3694" w:rsidP="00505856">
            <w:pPr>
              <w:pStyle w:val="TableBody"/>
              <w:rPr>
                <w:vertAlign w:val="superscript"/>
                <w:lang w:eastAsia="en-AU"/>
              </w:rPr>
            </w:pPr>
            <w:r>
              <w:rPr>
                <w:lang w:eastAsia="en-AU"/>
              </w:rPr>
              <w:t>Critical broadcasting assets</w:t>
            </w:r>
            <w:r w:rsidR="00D1673A">
              <w:rPr>
                <w:lang w:eastAsia="en-AU"/>
              </w:rPr>
              <w:t xml:space="preserve"> </w:t>
            </w:r>
            <w:r w:rsidR="00D1673A" w:rsidRPr="00D1673A">
              <w:rPr>
                <w:i/>
                <w:iCs/>
                <w:lang w:eastAsia="en-AU"/>
              </w:rPr>
              <w:t>and</w:t>
            </w:r>
            <w:r w:rsidR="00D1673A">
              <w:rPr>
                <w:lang w:eastAsia="en-AU"/>
              </w:rPr>
              <w:t xml:space="preserve"> critical domain name systems</w:t>
            </w:r>
            <w:r w:rsidR="006C62CD" w:rsidRPr="006C62CD">
              <w:rPr>
                <w:vertAlign w:val="superscript"/>
                <w:lang w:eastAsia="en-AU"/>
              </w:rPr>
              <w:t>51</w:t>
            </w:r>
          </w:p>
        </w:tc>
        <w:tc>
          <w:tcPr>
            <w:tcW w:w="2706" w:type="pct"/>
            <w:vAlign w:val="center"/>
          </w:tcPr>
          <w:p w14:paraId="1AFBCF08" w14:textId="77777777" w:rsidR="00ED3694" w:rsidRPr="00BF183C" w:rsidRDefault="00FE687F" w:rsidP="00505856">
            <w:pPr>
              <w:pStyle w:val="TableBody"/>
              <w:rPr>
                <w:lang w:eastAsia="en-AU"/>
              </w:rPr>
            </w:pPr>
            <w:r>
              <w:rPr>
                <w:lang w:eastAsia="en-AU"/>
              </w:rPr>
              <w:t>South Coast transmitter burnout (2020)</w:t>
            </w:r>
          </w:p>
        </w:tc>
      </w:tr>
      <w:tr w:rsidR="00ED3694" w:rsidRPr="00E9705C" w14:paraId="39F95F91" w14:textId="77777777" w:rsidTr="006A4F20">
        <w:trPr>
          <w:trHeight w:val="238"/>
        </w:trPr>
        <w:tc>
          <w:tcPr>
            <w:tcW w:w="2294" w:type="pct"/>
            <w:shd w:val="clear" w:color="auto" w:fill="F2F2F2" w:themeFill="background1" w:themeFillShade="F2"/>
            <w:vAlign w:val="center"/>
          </w:tcPr>
          <w:p w14:paraId="07395D43" w14:textId="77777777" w:rsidR="00ED3694" w:rsidRDefault="00ED3694" w:rsidP="00505856">
            <w:pPr>
              <w:pStyle w:val="TableBody"/>
              <w:rPr>
                <w:lang w:eastAsia="en-AU"/>
              </w:rPr>
            </w:pPr>
            <w:r>
              <w:rPr>
                <w:lang w:eastAsia="en-AU"/>
              </w:rPr>
              <w:t>Critical financial market infrastructure assets (payment systems)</w:t>
            </w:r>
          </w:p>
        </w:tc>
        <w:tc>
          <w:tcPr>
            <w:tcW w:w="2706" w:type="pct"/>
            <w:vAlign w:val="center"/>
          </w:tcPr>
          <w:p w14:paraId="3EBB7EB9" w14:textId="77777777" w:rsidR="00ED3694" w:rsidRPr="00BF183C" w:rsidRDefault="00520596" w:rsidP="00505856">
            <w:pPr>
              <w:pStyle w:val="TableBody"/>
              <w:rPr>
                <w:lang w:eastAsia="en-AU"/>
              </w:rPr>
            </w:pPr>
            <w:r>
              <w:rPr>
                <w:lang w:eastAsia="en-AU"/>
              </w:rPr>
              <w:t>NAB</w:t>
            </w:r>
            <w:r w:rsidR="006A088F">
              <w:rPr>
                <w:lang w:eastAsia="en-AU"/>
              </w:rPr>
              <w:t xml:space="preserve"> </w:t>
            </w:r>
            <w:r>
              <w:rPr>
                <w:lang w:eastAsia="en-AU"/>
              </w:rPr>
              <w:t>s</w:t>
            </w:r>
            <w:r w:rsidR="006A088F">
              <w:rPr>
                <w:lang w:eastAsia="en-AU"/>
              </w:rPr>
              <w:t xml:space="preserve">ervice </w:t>
            </w:r>
            <w:r>
              <w:rPr>
                <w:lang w:eastAsia="en-AU"/>
              </w:rPr>
              <w:t>d</w:t>
            </w:r>
            <w:r w:rsidR="006A088F">
              <w:rPr>
                <w:lang w:eastAsia="en-AU"/>
              </w:rPr>
              <w:t>isruption (2018)</w:t>
            </w:r>
          </w:p>
        </w:tc>
      </w:tr>
      <w:tr w:rsidR="00ED3694" w:rsidRPr="00E9705C" w14:paraId="11A6B0FD" w14:textId="77777777" w:rsidTr="006A4F20">
        <w:trPr>
          <w:trHeight w:val="238"/>
        </w:trPr>
        <w:tc>
          <w:tcPr>
            <w:tcW w:w="2294" w:type="pct"/>
            <w:shd w:val="clear" w:color="auto" w:fill="F2F2F2" w:themeFill="background1" w:themeFillShade="F2"/>
            <w:vAlign w:val="center"/>
          </w:tcPr>
          <w:p w14:paraId="77BBFD61" w14:textId="77777777" w:rsidR="00ED3694" w:rsidRDefault="00ED3694" w:rsidP="00505856">
            <w:pPr>
              <w:pStyle w:val="TableBody"/>
              <w:rPr>
                <w:lang w:eastAsia="en-AU"/>
              </w:rPr>
            </w:pPr>
            <w:r>
              <w:rPr>
                <w:lang w:eastAsia="en-AU"/>
              </w:rPr>
              <w:t>Critical liquid fuels assets</w:t>
            </w:r>
          </w:p>
        </w:tc>
        <w:tc>
          <w:tcPr>
            <w:tcW w:w="2706" w:type="pct"/>
            <w:vAlign w:val="center"/>
          </w:tcPr>
          <w:p w14:paraId="01F46CE7" w14:textId="77777777" w:rsidR="00ED3694" w:rsidRDefault="00955B8D" w:rsidP="00505856">
            <w:pPr>
              <w:pStyle w:val="TableBody"/>
              <w:rPr>
                <w:lang w:eastAsia="en-AU"/>
              </w:rPr>
            </w:pPr>
            <w:r>
              <w:rPr>
                <w:lang w:eastAsia="en-AU"/>
              </w:rPr>
              <w:t>Varanus Island disruption (2008)</w:t>
            </w:r>
          </w:p>
          <w:p w14:paraId="19028B4C" w14:textId="77777777" w:rsidR="0034659B" w:rsidRPr="00BF183C" w:rsidRDefault="0034659B" w:rsidP="00505856">
            <w:pPr>
              <w:pStyle w:val="TableBody"/>
              <w:rPr>
                <w:lang w:eastAsia="en-AU"/>
              </w:rPr>
            </w:pPr>
            <w:r>
              <w:rPr>
                <w:lang w:eastAsia="en-AU"/>
              </w:rPr>
              <w:t xml:space="preserve">Colonial Pipeline </w:t>
            </w:r>
            <w:r w:rsidR="006F3DE4">
              <w:rPr>
                <w:lang w:eastAsia="en-AU"/>
              </w:rPr>
              <w:t>cyber-attack</w:t>
            </w:r>
            <w:r>
              <w:rPr>
                <w:lang w:eastAsia="en-AU"/>
              </w:rPr>
              <w:t xml:space="preserve"> (2021)</w:t>
            </w:r>
          </w:p>
        </w:tc>
      </w:tr>
      <w:tr w:rsidR="00ED3694" w:rsidRPr="00E9705C" w14:paraId="6E46CF41" w14:textId="77777777" w:rsidTr="006A4F20">
        <w:trPr>
          <w:trHeight w:val="238"/>
        </w:trPr>
        <w:tc>
          <w:tcPr>
            <w:tcW w:w="2294" w:type="pct"/>
            <w:shd w:val="clear" w:color="auto" w:fill="F2F2F2" w:themeFill="background1" w:themeFillShade="F2"/>
            <w:vAlign w:val="center"/>
          </w:tcPr>
          <w:p w14:paraId="42E0A43D" w14:textId="77777777" w:rsidR="00ED3694" w:rsidRDefault="00ED3694" w:rsidP="00505856">
            <w:pPr>
              <w:pStyle w:val="TableBody"/>
              <w:rPr>
                <w:lang w:eastAsia="en-AU"/>
              </w:rPr>
            </w:pPr>
            <w:r>
              <w:rPr>
                <w:lang w:eastAsia="en-AU"/>
              </w:rPr>
              <w:t>Critical hospitals</w:t>
            </w:r>
          </w:p>
        </w:tc>
        <w:tc>
          <w:tcPr>
            <w:tcW w:w="2706" w:type="pct"/>
            <w:vAlign w:val="center"/>
          </w:tcPr>
          <w:p w14:paraId="3F099931" w14:textId="77777777" w:rsidR="00ED3694" w:rsidRPr="00BF183C" w:rsidRDefault="00BF4EC3" w:rsidP="00505856">
            <w:pPr>
              <w:pStyle w:val="TableBody"/>
              <w:rPr>
                <w:lang w:eastAsia="en-AU"/>
              </w:rPr>
            </w:pPr>
            <w:r>
              <w:rPr>
                <w:lang w:eastAsia="en-AU"/>
              </w:rPr>
              <w:t xml:space="preserve">NHS </w:t>
            </w:r>
            <w:r w:rsidR="00C26977">
              <w:rPr>
                <w:lang w:eastAsia="en-AU"/>
              </w:rPr>
              <w:t>WannaCry ransomware attack</w:t>
            </w:r>
            <w:r w:rsidR="00805951">
              <w:rPr>
                <w:lang w:eastAsia="en-AU"/>
              </w:rPr>
              <w:t xml:space="preserve"> (2017)</w:t>
            </w:r>
          </w:p>
        </w:tc>
      </w:tr>
      <w:tr w:rsidR="00ED3694" w:rsidRPr="00E9705C" w14:paraId="2D3623FE" w14:textId="77777777" w:rsidTr="006A4F20">
        <w:trPr>
          <w:trHeight w:val="238"/>
        </w:trPr>
        <w:tc>
          <w:tcPr>
            <w:tcW w:w="2294" w:type="pct"/>
            <w:shd w:val="clear" w:color="auto" w:fill="F2F2F2" w:themeFill="background1" w:themeFillShade="F2"/>
            <w:vAlign w:val="center"/>
          </w:tcPr>
          <w:p w14:paraId="2D89E461" w14:textId="77777777" w:rsidR="00ED3694" w:rsidRDefault="00ED3694" w:rsidP="00505856">
            <w:pPr>
              <w:pStyle w:val="TableBody"/>
              <w:rPr>
                <w:lang w:eastAsia="en-AU"/>
              </w:rPr>
            </w:pPr>
            <w:r>
              <w:rPr>
                <w:lang w:eastAsia="en-AU"/>
              </w:rPr>
              <w:t>Critical energy market operator assets</w:t>
            </w:r>
          </w:p>
        </w:tc>
        <w:tc>
          <w:tcPr>
            <w:tcW w:w="2706" w:type="pct"/>
            <w:vAlign w:val="center"/>
          </w:tcPr>
          <w:p w14:paraId="1E0B2925" w14:textId="77777777" w:rsidR="00ED3694" w:rsidRPr="00BF183C" w:rsidRDefault="00264B89" w:rsidP="00505856">
            <w:pPr>
              <w:pStyle w:val="TableBody"/>
              <w:rPr>
                <w:lang w:eastAsia="en-AU"/>
              </w:rPr>
            </w:pPr>
            <w:r>
              <w:rPr>
                <w:lang w:eastAsia="en-AU"/>
              </w:rPr>
              <w:t>South Australian blackout (2016)</w:t>
            </w:r>
          </w:p>
        </w:tc>
      </w:tr>
      <w:tr w:rsidR="00CD3C65" w:rsidRPr="00E9705C" w14:paraId="56552E2B" w14:textId="77777777" w:rsidTr="006A4F20">
        <w:trPr>
          <w:trHeight w:val="238"/>
        </w:trPr>
        <w:tc>
          <w:tcPr>
            <w:tcW w:w="2294" w:type="pct"/>
            <w:shd w:val="clear" w:color="auto" w:fill="F2F2F2" w:themeFill="background1" w:themeFillShade="F2"/>
            <w:vAlign w:val="center"/>
          </w:tcPr>
          <w:p w14:paraId="5936684B" w14:textId="3AAAF476" w:rsidR="00CD3C65" w:rsidRDefault="00CD3C65" w:rsidP="00CD3C65">
            <w:pPr>
              <w:pStyle w:val="TableBody"/>
              <w:rPr>
                <w:lang w:eastAsia="en-AU"/>
              </w:rPr>
            </w:pPr>
            <w:r>
              <w:rPr>
                <w:lang w:eastAsia="en-AU"/>
              </w:rPr>
              <w:t xml:space="preserve">Critical freight infrastructure </w:t>
            </w:r>
            <w:r w:rsidRPr="00DA50ED">
              <w:rPr>
                <w:i/>
                <w:iCs/>
                <w:lang w:eastAsia="en-AU"/>
              </w:rPr>
              <w:t>and</w:t>
            </w:r>
            <w:r>
              <w:rPr>
                <w:lang w:eastAsia="en-AU"/>
              </w:rPr>
              <w:t xml:space="preserve"> critical freight services assets</w:t>
            </w:r>
            <w:r>
              <w:rPr>
                <w:rStyle w:val="FootnoteReference"/>
                <w:rFonts w:ascii="Arial" w:eastAsia="Times New Roman" w:hAnsi="Arial" w:cs="Arial"/>
                <w:bCs/>
                <w:lang w:eastAsia="en-AU"/>
              </w:rPr>
              <w:footnoteReference w:id="52"/>
            </w:r>
          </w:p>
        </w:tc>
        <w:tc>
          <w:tcPr>
            <w:tcW w:w="2706" w:type="pct"/>
            <w:vAlign w:val="center"/>
          </w:tcPr>
          <w:p w14:paraId="4FB8CE55" w14:textId="77777777" w:rsidR="00CD3C65" w:rsidRDefault="00CD3C65" w:rsidP="00CD3C65">
            <w:pPr>
              <w:pStyle w:val="TableBody"/>
              <w:rPr>
                <w:lang w:eastAsia="en-AU"/>
              </w:rPr>
            </w:pPr>
            <w:r>
              <w:rPr>
                <w:lang w:eastAsia="en-AU"/>
              </w:rPr>
              <w:t>TNT Express cyber-attack (2017)</w:t>
            </w:r>
          </w:p>
          <w:p w14:paraId="174BE9CD" w14:textId="7FD062C0" w:rsidR="00CD3C65" w:rsidRDefault="00CD3C65" w:rsidP="00CD3C65">
            <w:pPr>
              <w:pStyle w:val="TableBody"/>
              <w:rPr>
                <w:lang w:eastAsia="en-AU"/>
              </w:rPr>
            </w:pPr>
            <w:r>
              <w:rPr>
                <w:lang w:eastAsia="en-AU"/>
              </w:rPr>
              <w:t>ForwardAir ransomware attack (2020)</w:t>
            </w:r>
          </w:p>
        </w:tc>
      </w:tr>
      <w:tr w:rsidR="000D1C2B" w:rsidRPr="00E9705C" w14:paraId="4E6F4A68" w14:textId="77777777" w:rsidTr="006A4F20">
        <w:trPr>
          <w:trHeight w:val="238"/>
        </w:trPr>
        <w:tc>
          <w:tcPr>
            <w:tcW w:w="2294" w:type="pct"/>
            <w:shd w:val="clear" w:color="auto" w:fill="F2F2F2" w:themeFill="background1" w:themeFillShade="F2"/>
            <w:vAlign w:val="center"/>
          </w:tcPr>
          <w:p w14:paraId="46D6A74F" w14:textId="71A2F68B" w:rsidR="000D1C2B" w:rsidRDefault="000D1C2B" w:rsidP="00CD3C65">
            <w:pPr>
              <w:pStyle w:val="TableBody"/>
              <w:rPr>
                <w:lang w:eastAsia="en-AU"/>
              </w:rPr>
            </w:pPr>
            <w:r>
              <w:rPr>
                <w:lang w:eastAsia="en-AU"/>
              </w:rPr>
              <w:t>Critical food and grocery assets</w:t>
            </w:r>
          </w:p>
        </w:tc>
        <w:tc>
          <w:tcPr>
            <w:tcW w:w="2706" w:type="pct"/>
            <w:vAlign w:val="center"/>
          </w:tcPr>
          <w:p w14:paraId="332BC922" w14:textId="77E64EE2" w:rsidR="000D1C2B" w:rsidRDefault="00664C53" w:rsidP="00CD3C65">
            <w:pPr>
              <w:pStyle w:val="TableBody"/>
              <w:rPr>
                <w:lang w:eastAsia="en-AU"/>
              </w:rPr>
            </w:pPr>
            <w:r w:rsidRPr="008C2B6C">
              <w:rPr>
                <w:lang w:eastAsia="en-AU"/>
              </w:rPr>
              <w:t>Coop Supermarket closures (2021)</w:t>
            </w:r>
          </w:p>
          <w:p w14:paraId="33DD5E16" w14:textId="6B99CA35" w:rsidR="000D1C2B" w:rsidRDefault="00180831" w:rsidP="00CD3C65">
            <w:pPr>
              <w:pStyle w:val="TableBody"/>
              <w:rPr>
                <w:lang w:eastAsia="en-AU"/>
              </w:rPr>
            </w:pPr>
            <w:r>
              <w:rPr>
                <w:lang w:eastAsia="en-AU"/>
              </w:rPr>
              <w:t>JBS meat processing ransomware attack (2021)</w:t>
            </w:r>
          </w:p>
        </w:tc>
      </w:tr>
    </w:tbl>
    <w:p w14:paraId="1C1B3680" w14:textId="77777777" w:rsidR="006A4F20" w:rsidRDefault="006A4F20" w:rsidP="00F4406B">
      <w:pPr>
        <w:pStyle w:val="BodyText"/>
      </w:pPr>
    </w:p>
    <w:p w14:paraId="24EF59E8" w14:textId="77777777" w:rsidR="006A4F20" w:rsidRDefault="006A4F20">
      <w:pPr>
        <w:spacing w:before="80" w:after="80"/>
        <w:rPr>
          <w:rFonts w:cstheme="majorHAnsi"/>
          <w:sz w:val="22"/>
          <w:szCs w:val="28"/>
        </w:rPr>
      </w:pPr>
      <w:r>
        <w:br w:type="page"/>
      </w:r>
    </w:p>
    <w:p w14:paraId="110F9FEB" w14:textId="0CEF300E" w:rsidR="00E9705C" w:rsidRPr="00071A19" w:rsidRDefault="00E9705C" w:rsidP="00F4406B">
      <w:pPr>
        <w:pStyle w:val="BodyText"/>
      </w:pPr>
      <w:r w:rsidRPr="00071A19">
        <w:lastRenderedPageBreak/>
        <w:t>A</w:t>
      </w:r>
      <w:r w:rsidR="003A55B9">
        <w:t>n</w:t>
      </w:r>
      <w:r w:rsidRPr="00071A19">
        <w:t xml:space="preserve"> </w:t>
      </w:r>
      <w:r w:rsidR="007076DC">
        <w:t xml:space="preserve">example </w:t>
      </w:r>
      <w:r w:rsidRPr="00071A19">
        <w:t xml:space="preserve">framework for considering the potential impacts of </w:t>
      </w:r>
      <w:r w:rsidR="00071A19" w:rsidRPr="00071A19">
        <w:t xml:space="preserve">a disruption event </w:t>
      </w:r>
      <w:r w:rsidRPr="00071A19">
        <w:t>following</w:t>
      </w:r>
      <w:r w:rsidR="00071A19">
        <w:t xml:space="preserve"> (or due to)</w:t>
      </w:r>
      <w:r w:rsidRPr="00071A19">
        <w:t xml:space="preserve"> failure of critical infrastructure is provided in </w:t>
      </w:r>
      <w:r w:rsidRPr="00071A19">
        <w:fldChar w:fldCharType="begin"/>
      </w:r>
      <w:r w:rsidRPr="00071A19">
        <w:instrText xml:space="preserve"> REF _Ref78544947 \h  \* MERGEFORMAT </w:instrText>
      </w:r>
      <w:r w:rsidRPr="00071A19">
        <w:fldChar w:fldCharType="separate"/>
      </w:r>
      <w:r w:rsidR="009708D4" w:rsidRPr="009708D4">
        <w:rPr>
          <w:rFonts w:eastAsia="Calibri"/>
        </w:rPr>
        <w:t>Table 14</w:t>
      </w:r>
      <w:r w:rsidRPr="00071A19">
        <w:fldChar w:fldCharType="end"/>
      </w:r>
      <w:r w:rsidR="000C213E">
        <w:t>4</w:t>
      </w:r>
      <w:r w:rsidRPr="00071A19">
        <w:t xml:space="preserve"> below</w:t>
      </w:r>
      <w:r w:rsidR="00E41B50">
        <w:t>:</w:t>
      </w:r>
    </w:p>
    <w:p w14:paraId="1F76A947" w14:textId="3227C5D1" w:rsidR="00E9705C" w:rsidRPr="00E9705C" w:rsidRDefault="00E9705C" w:rsidP="00F4406B">
      <w:pPr>
        <w:pStyle w:val="Caption"/>
      </w:pPr>
      <w:bookmarkStart w:id="262" w:name="_Ref78544947"/>
      <w:bookmarkStart w:id="263" w:name="_Toc78535597"/>
      <w:bookmarkStart w:id="264" w:name="_Ref78544931"/>
      <w:bookmarkStart w:id="265" w:name="_Toc78878022"/>
      <w:bookmarkStart w:id="266" w:name="_Toc79156698"/>
      <w:bookmarkStart w:id="267" w:name="_Toc120115099"/>
      <w:r w:rsidRPr="00E9705C">
        <w:rPr>
          <w:b/>
          <w:bCs/>
        </w:rPr>
        <w:t xml:space="preserve">Table </w:t>
      </w:r>
      <w:r w:rsidRPr="00E9705C">
        <w:rPr>
          <w:b/>
          <w:bCs/>
        </w:rPr>
        <w:fldChar w:fldCharType="begin"/>
      </w:r>
      <w:r w:rsidRPr="00E9705C">
        <w:rPr>
          <w:b/>
          <w:bCs/>
        </w:rPr>
        <w:instrText xml:space="preserve"> SEQ Table \* ARABIC </w:instrText>
      </w:r>
      <w:r w:rsidRPr="00E9705C">
        <w:rPr>
          <w:b/>
          <w:bCs/>
        </w:rPr>
        <w:fldChar w:fldCharType="separate"/>
      </w:r>
      <w:r w:rsidR="009708D4">
        <w:rPr>
          <w:b/>
          <w:bCs/>
          <w:noProof/>
        </w:rPr>
        <w:t>14</w:t>
      </w:r>
      <w:r w:rsidRPr="00E9705C">
        <w:rPr>
          <w:b/>
          <w:bCs/>
        </w:rPr>
        <w:fldChar w:fldCharType="end"/>
      </w:r>
      <w:bookmarkEnd w:id="262"/>
      <w:r w:rsidRPr="00E9705C">
        <w:t xml:space="preserve"> </w:t>
      </w:r>
      <w:r w:rsidR="00F75118">
        <w:t>Example f</w:t>
      </w:r>
      <w:r w:rsidRPr="00E9705C">
        <w:t>ramework for scenario development and sensitivity analysis</w:t>
      </w:r>
      <w:bookmarkEnd w:id="263"/>
      <w:bookmarkEnd w:id="264"/>
      <w:bookmarkEnd w:id="265"/>
      <w:bookmarkEnd w:id="266"/>
      <w:bookmarkEnd w:id="267"/>
    </w:p>
    <w:tbl>
      <w:tblPr>
        <w:tblStyle w:val="TableGrid32"/>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E9705C" w:rsidRPr="00E9705C" w14:paraId="2806519C" w14:textId="77777777" w:rsidTr="006A4F20">
        <w:trPr>
          <w:trHeight w:val="420"/>
        </w:trPr>
        <w:tc>
          <w:tcPr>
            <w:tcW w:w="1250" w:type="pct"/>
            <w:shd w:val="clear" w:color="auto" w:fill="034EA2" w:themeFill="accent1"/>
          </w:tcPr>
          <w:p w14:paraId="2648D765" w14:textId="3E3B9C38" w:rsidR="00E9705C" w:rsidRPr="00E9705C" w:rsidRDefault="00E9705C" w:rsidP="006A4F20">
            <w:pPr>
              <w:pStyle w:val="TableHeading"/>
            </w:pPr>
          </w:p>
        </w:tc>
        <w:tc>
          <w:tcPr>
            <w:tcW w:w="1250" w:type="pct"/>
            <w:shd w:val="clear" w:color="auto" w:fill="034EA2" w:themeFill="accent1"/>
          </w:tcPr>
          <w:p w14:paraId="537C05EC" w14:textId="77777777" w:rsidR="00E9705C" w:rsidRPr="00E9705C" w:rsidRDefault="00E9705C" w:rsidP="006A4F20">
            <w:pPr>
              <w:pStyle w:val="TableHeading"/>
              <w:rPr>
                <w:color w:val="FFFFFF"/>
              </w:rPr>
            </w:pPr>
            <w:r w:rsidRPr="00E9705C">
              <w:rPr>
                <w:color w:val="FFFFFF"/>
              </w:rPr>
              <w:t>Severe scenario</w:t>
            </w:r>
          </w:p>
        </w:tc>
        <w:tc>
          <w:tcPr>
            <w:tcW w:w="1250" w:type="pct"/>
            <w:shd w:val="clear" w:color="auto" w:fill="034EA2" w:themeFill="accent1"/>
          </w:tcPr>
          <w:p w14:paraId="57FC0C78" w14:textId="77777777" w:rsidR="00E9705C" w:rsidRPr="00E9705C" w:rsidRDefault="00E9705C" w:rsidP="006A4F20">
            <w:pPr>
              <w:pStyle w:val="TableHeading"/>
              <w:rPr>
                <w:color w:val="FFFFFF"/>
              </w:rPr>
            </w:pPr>
            <w:r w:rsidRPr="00E9705C">
              <w:rPr>
                <w:color w:val="FFFFFF"/>
              </w:rPr>
              <w:t>Moderate scenario</w:t>
            </w:r>
          </w:p>
        </w:tc>
        <w:tc>
          <w:tcPr>
            <w:tcW w:w="1250" w:type="pct"/>
            <w:shd w:val="clear" w:color="auto" w:fill="034EA2" w:themeFill="accent1"/>
          </w:tcPr>
          <w:p w14:paraId="7B773A59" w14:textId="77777777" w:rsidR="00E9705C" w:rsidRPr="00E9705C" w:rsidRDefault="00E9705C" w:rsidP="006A4F20">
            <w:pPr>
              <w:pStyle w:val="TableHeading"/>
              <w:rPr>
                <w:color w:val="FFFFFF"/>
              </w:rPr>
            </w:pPr>
            <w:r w:rsidRPr="00E9705C">
              <w:rPr>
                <w:bCs/>
                <w:color w:val="FFFFFF"/>
              </w:rPr>
              <w:t>Low</w:t>
            </w:r>
            <w:r w:rsidRPr="00E9705C">
              <w:rPr>
                <w:color w:val="FFFFFF"/>
              </w:rPr>
              <w:t xml:space="preserve"> scenario</w:t>
            </w:r>
          </w:p>
        </w:tc>
      </w:tr>
      <w:tr w:rsidR="00E9705C" w:rsidRPr="00E9705C" w14:paraId="729235D5" w14:textId="77777777" w:rsidTr="006A4F20">
        <w:trPr>
          <w:trHeight w:val="570"/>
        </w:trPr>
        <w:tc>
          <w:tcPr>
            <w:tcW w:w="1250" w:type="pct"/>
            <w:shd w:val="clear" w:color="auto" w:fill="F2F2F2" w:themeFill="background1" w:themeFillShade="F2"/>
          </w:tcPr>
          <w:p w14:paraId="15758918" w14:textId="77777777" w:rsidR="00E9705C" w:rsidRPr="006A4F20" w:rsidRDefault="00E9705C" w:rsidP="006A4F20">
            <w:pPr>
              <w:pStyle w:val="TableBody"/>
            </w:pPr>
            <w:r w:rsidRPr="006A4F20">
              <w:t>Intensity of event</w:t>
            </w:r>
          </w:p>
        </w:tc>
        <w:tc>
          <w:tcPr>
            <w:tcW w:w="1250" w:type="pct"/>
          </w:tcPr>
          <w:p w14:paraId="591912C4" w14:textId="77777777" w:rsidR="00E9705C" w:rsidRPr="00E9705C" w:rsidRDefault="00F75118" w:rsidP="006A4F20">
            <w:pPr>
              <w:pStyle w:val="TableBody"/>
            </w:pPr>
            <w:r>
              <w:rPr>
                <w:rFonts w:eastAsia="Arial"/>
              </w:rPr>
              <w:t>Increased percentage</w:t>
            </w:r>
            <w:r w:rsidR="00E9705C" w:rsidRPr="00E9705C">
              <w:t xml:space="preserve"> of </w:t>
            </w:r>
            <w:r w:rsidR="00071A19">
              <w:t>baseline</w:t>
            </w:r>
            <w:r w:rsidR="00E9705C" w:rsidRPr="00E9705C">
              <w:t xml:space="preserve"> scenario costs</w:t>
            </w:r>
          </w:p>
        </w:tc>
        <w:tc>
          <w:tcPr>
            <w:tcW w:w="1250" w:type="pct"/>
          </w:tcPr>
          <w:p w14:paraId="31F1DA1F" w14:textId="77777777" w:rsidR="00E9705C" w:rsidRPr="00071A19" w:rsidRDefault="00071A19" w:rsidP="006A4F20">
            <w:pPr>
              <w:pStyle w:val="TableBody"/>
              <w:rPr>
                <w:rFonts w:eastAsia="Arial"/>
              </w:rPr>
            </w:pPr>
            <w:r w:rsidRPr="00071A19">
              <w:rPr>
                <w:rFonts w:eastAsia="Arial"/>
              </w:rPr>
              <w:t>Baseline event</w:t>
            </w:r>
          </w:p>
        </w:tc>
        <w:tc>
          <w:tcPr>
            <w:tcW w:w="1250" w:type="pct"/>
          </w:tcPr>
          <w:p w14:paraId="2649A6D6" w14:textId="77777777" w:rsidR="00E9705C" w:rsidRPr="00E9705C" w:rsidRDefault="00F75118" w:rsidP="006A4F20">
            <w:pPr>
              <w:pStyle w:val="TableBody"/>
            </w:pPr>
            <w:r>
              <w:rPr>
                <w:rFonts w:eastAsia="Arial"/>
              </w:rPr>
              <w:t>Lower percentage</w:t>
            </w:r>
            <w:r w:rsidR="00E9705C">
              <w:rPr>
                <w:rFonts w:eastAsia="Arial"/>
              </w:rPr>
              <w:t xml:space="preserve"> of</w:t>
            </w:r>
            <w:r w:rsidR="00E9705C" w:rsidRPr="00E9705C">
              <w:t xml:space="preserve"> </w:t>
            </w:r>
            <w:r w:rsidR="00071A19">
              <w:t>baseline</w:t>
            </w:r>
            <w:r w:rsidR="00E9705C" w:rsidRPr="00E9705C">
              <w:t xml:space="preserve"> scenario costs</w:t>
            </w:r>
          </w:p>
        </w:tc>
      </w:tr>
    </w:tbl>
    <w:p w14:paraId="6E282144" w14:textId="77777777" w:rsidR="00470DF2" w:rsidRPr="00470DF2" w:rsidRDefault="00470DF2" w:rsidP="00F4406B">
      <w:pPr>
        <w:pStyle w:val="Note"/>
      </w:pPr>
      <w:r w:rsidRPr="007076DC">
        <w:rPr>
          <w:b/>
        </w:rPr>
        <w:t>Note</w:t>
      </w:r>
      <w:r w:rsidRPr="00470DF2">
        <w:t xml:space="preserve">: in some </w:t>
      </w:r>
      <w:r w:rsidR="006F3DE4" w:rsidRPr="00470DF2">
        <w:t>cases,</w:t>
      </w:r>
      <w:r w:rsidRPr="00470DF2">
        <w:t xml:space="preserve"> the baseline scenario is </w:t>
      </w:r>
      <w:r w:rsidR="00CD7118">
        <w:t>used</w:t>
      </w:r>
      <w:r w:rsidRPr="00470DF2">
        <w:t xml:space="preserve"> as the ‘severe’ or ‘low’ scenario</w:t>
      </w:r>
      <w:r w:rsidR="007076DC">
        <w:t xml:space="preserve">, and in some </w:t>
      </w:r>
      <w:r w:rsidR="006F3DE4">
        <w:t>cases,</w:t>
      </w:r>
      <w:r w:rsidR="007076DC">
        <w:t xml:space="preserve"> there are multiple baseline scenarios used for a relevant critical infrastructure asset.</w:t>
      </w:r>
    </w:p>
    <w:p w14:paraId="14911555" w14:textId="77777777" w:rsidR="00E9705C" w:rsidRPr="0067272D" w:rsidRDefault="00E9705C" w:rsidP="00F4406B">
      <w:pPr>
        <w:pStyle w:val="BodyText"/>
      </w:pPr>
      <w:r w:rsidRPr="00E9705C">
        <w:t xml:space="preserve">The </w:t>
      </w:r>
      <w:r w:rsidRPr="0067272D">
        <w:t xml:space="preserve">rationale for a more severe scenario than experienced in </w:t>
      </w:r>
      <w:r w:rsidR="00071A19" w:rsidRPr="0067272D">
        <w:rPr>
          <w:rFonts w:eastAsia="Arial"/>
        </w:rPr>
        <w:t>the identified baseline scenario</w:t>
      </w:r>
      <w:r w:rsidRPr="0067272D">
        <w:t xml:space="preserve"> reflects the complexity of the scenarios that could occur. As noted above, the economic impact of an incident will vary due to a range of factors including the location of a disruption, the month and time of day at which the disruption occurs, the day of the week on which the disruption takes place</w:t>
      </w:r>
      <w:r w:rsidR="00E41B50">
        <w:t>,</w:t>
      </w:r>
      <w:r w:rsidRPr="0067272D">
        <w:t xml:space="preserve"> and the duration of disruption. Accounting for an incident that has a greater economic impact than the </w:t>
      </w:r>
      <w:r w:rsidR="00071A19" w:rsidRPr="0067272D">
        <w:rPr>
          <w:rFonts w:eastAsia="Arial"/>
        </w:rPr>
        <w:t>baseline scenario</w:t>
      </w:r>
      <w:r w:rsidRPr="0067272D">
        <w:t xml:space="preserve"> is necessary to reflect the possibility that a disruption of the same scale </w:t>
      </w:r>
      <w:r w:rsidR="00071A19" w:rsidRPr="0067272D">
        <w:t xml:space="preserve">could </w:t>
      </w:r>
      <w:r w:rsidRPr="0067272D">
        <w:t xml:space="preserve">impact areas where there would be greater economic impact than in </w:t>
      </w:r>
      <w:r w:rsidR="00071A19" w:rsidRPr="0067272D">
        <w:rPr>
          <w:rFonts w:eastAsia="Arial"/>
        </w:rPr>
        <w:t>the baseline scenario.</w:t>
      </w:r>
      <w:r w:rsidRPr="0067272D">
        <w:t xml:space="preserve"> While an incident with a much greater impact than the severe scenario </w:t>
      </w:r>
      <w:r w:rsidR="00071A19" w:rsidRPr="0067272D">
        <w:t>could also be</w:t>
      </w:r>
      <w:r w:rsidRPr="0067272D">
        <w:t xml:space="preserve"> conceivable, the defined scenarios and subsequent benefits analysis has taken a deliberately conservative approach to ensure the severe scenario remains demonstrably plausible.</w:t>
      </w:r>
    </w:p>
    <w:p w14:paraId="1CEC1973" w14:textId="12C19EBD" w:rsidR="00E9705C" w:rsidRPr="007F265A" w:rsidRDefault="00E9705C" w:rsidP="00F4406B">
      <w:pPr>
        <w:pStyle w:val="BodyText"/>
        <w:rPr>
          <w:rFonts w:ascii="Arial" w:eastAsia="Calibri" w:hAnsi="Arial" w:cs="Arial"/>
        </w:rPr>
      </w:pPr>
      <w:r w:rsidRPr="007F265A">
        <w:t xml:space="preserve">A summary of the </w:t>
      </w:r>
      <w:r w:rsidR="00CC0E91" w:rsidRPr="007F265A">
        <w:t xml:space="preserve">total avoided cost to the economy </w:t>
      </w:r>
      <w:r w:rsidRPr="007F265A">
        <w:t xml:space="preserve">of </w:t>
      </w:r>
      <w:r w:rsidR="00CC0E91" w:rsidRPr="007F265A">
        <w:t>the incident</w:t>
      </w:r>
      <w:r w:rsidR="00071A19" w:rsidRPr="007F265A">
        <w:t xml:space="preserve"> for each relevant critical infrastructure asset</w:t>
      </w:r>
      <w:r w:rsidRPr="007F265A">
        <w:t xml:space="preserve"> is provided in</w:t>
      </w:r>
      <w:r w:rsidR="007F265A" w:rsidRPr="007F265A">
        <w:t xml:space="preserve"> </w:t>
      </w:r>
      <w:r w:rsidR="007F265A" w:rsidRPr="007F265A">
        <w:fldChar w:fldCharType="begin"/>
      </w:r>
      <w:r w:rsidR="007F265A" w:rsidRPr="007F265A">
        <w:instrText xml:space="preserve"> REF _Ref93506216 \h </w:instrText>
      </w:r>
      <w:r w:rsidR="007F265A">
        <w:instrText xml:space="preserve"> \* MERGEFORMAT </w:instrText>
      </w:r>
      <w:r w:rsidR="007F265A" w:rsidRPr="007F265A">
        <w:fldChar w:fldCharType="separate"/>
      </w:r>
      <w:r w:rsidR="009708D4" w:rsidRPr="009708D4">
        <w:t>Table 15</w:t>
      </w:r>
      <w:r w:rsidR="007F265A" w:rsidRPr="007F265A">
        <w:fldChar w:fldCharType="end"/>
      </w:r>
      <w:r w:rsidRPr="007F265A">
        <w:t>. Direct avoided costs refer to the financial costs directly incurred as a result of an incident, while indirect co</w:t>
      </w:r>
      <w:r w:rsidRPr="007F265A">
        <w:rPr>
          <w:rFonts w:ascii="Arial" w:eastAsia="Calibri" w:hAnsi="Arial" w:cs="Arial"/>
        </w:rPr>
        <w:t>sts refer to flow-on costs to the economy due to supply chain linkages and other feedback responses by all economic agents (</w:t>
      </w:r>
      <w:r w:rsidR="006F3DE4" w:rsidRPr="007F265A">
        <w:rPr>
          <w:rFonts w:ascii="Arial" w:eastAsia="Calibri" w:hAnsi="Arial" w:cs="Arial"/>
        </w:rPr>
        <w:t>e.g.</w:t>
      </w:r>
      <w:r w:rsidRPr="007F265A">
        <w:rPr>
          <w:rFonts w:ascii="Arial" w:eastAsia="Calibri" w:hAnsi="Arial" w:cs="Arial"/>
        </w:rPr>
        <w:t xml:space="preserve"> households, businesses). A break-even analysis of these benefits compared to the total estimated cost of the </w:t>
      </w:r>
      <w:r w:rsidR="00BB0179" w:rsidRPr="007F265A">
        <w:rPr>
          <w:rFonts w:ascii="Arial" w:eastAsia="Calibri" w:hAnsi="Arial" w:cs="Arial"/>
        </w:rPr>
        <w:t>RMP</w:t>
      </w:r>
      <w:r w:rsidRPr="007F265A">
        <w:rPr>
          <w:rFonts w:ascii="Arial" w:eastAsia="Calibri" w:hAnsi="Arial" w:cs="Arial"/>
        </w:rPr>
        <w:t xml:space="preserve"> framework is also included in the table. This break-even analysis is expressed as the number of incidents that would need to be avoided in order for the benefits (that is, the avoided costs) of the </w:t>
      </w:r>
      <w:r w:rsidR="00BB0179" w:rsidRPr="007F265A">
        <w:rPr>
          <w:rFonts w:ascii="Arial" w:eastAsia="Calibri" w:hAnsi="Arial" w:cs="Arial"/>
        </w:rPr>
        <w:t>RMP</w:t>
      </w:r>
      <w:r w:rsidRPr="007F265A">
        <w:rPr>
          <w:rFonts w:ascii="Arial" w:eastAsia="Calibri" w:hAnsi="Arial" w:cs="Arial"/>
        </w:rPr>
        <w:t xml:space="preserve"> framework to equal the costs of implementation and compliance. </w:t>
      </w:r>
    </w:p>
    <w:p w14:paraId="13980885" w14:textId="01A4B0ED" w:rsidR="00E9705C" w:rsidRPr="00E9705C" w:rsidRDefault="00E9705C" w:rsidP="00F4406B">
      <w:pPr>
        <w:pStyle w:val="Caption"/>
      </w:pPr>
      <w:bookmarkStart w:id="268" w:name="_Ref78545002"/>
      <w:bookmarkStart w:id="269" w:name="_Ref79155673"/>
      <w:bookmarkStart w:id="270" w:name="_Ref93506216"/>
      <w:bookmarkStart w:id="271" w:name="_Toc78535598"/>
      <w:bookmarkStart w:id="272" w:name="_Toc78878023"/>
      <w:bookmarkStart w:id="273" w:name="_Toc79156699"/>
      <w:bookmarkStart w:id="274" w:name="_Toc120115100"/>
      <w:r w:rsidRPr="006602D2">
        <w:rPr>
          <w:b/>
          <w:bCs/>
        </w:rPr>
        <w:t xml:space="preserve">Table </w:t>
      </w:r>
      <w:r w:rsidRPr="006602D2">
        <w:rPr>
          <w:b/>
          <w:bCs/>
        </w:rPr>
        <w:fldChar w:fldCharType="begin"/>
      </w:r>
      <w:r w:rsidRPr="006602D2">
        <w:rPr>
          <w:b/>
          <w:bCs/>
        </w:rPr>
        <w:instrText xml:space="preserve"> SEQ Table \* ARABIC </w:instrText>
      </w:r>
      <w:r w:rsidRPr="006602D2">
        <w:rPr>
          <w:b/>
          <w:bCs/>
        </w:rPr>
        <w:fldChar w:fldCharType="separate"/>
      </w:r>
      <w:r w:rsidR="009708D4">
        <w:rPr>
          <w:b/>
          <w:bCs/>
          <w:noProof/>
        </w:rPr>
        <w:t>15</w:t>
      </w:r>
      <w:r w:rsidRPr="006602D2">
        <w:rPr>
          <w:b/>
          <w:bCs/>
        </w:rPr>
        <w:fldChar w:fldCharType="end"/>
      </w:r>
      <w:bookmarkEnd w:id="268"/>
      <w:bookmarkEnd w:id="269"/>
      <w:bookmarkEnd w:id="270"/>
      <w:r w:rsidRPr="00E9705C">
        <w:t xml:space="preserve"> Summary of benefits scenarios</w:t>
      </w:r>
      <w:bookmarkEnd w:id="271"/>
      <w:bookmarkEnd w:id="272"/>
      <w:bookmarkEnd w:id="273"/>
      <w:bookmarkEnd w:id="274"/>
    </w:p>
    <w:tbl>
      <w:tblPr>
        <w:tblStyle w:val="TableGrid1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702"/>
        <w:gridCol w:w="3260"/>
        <w:gridCol w:w="1558"/>
        <w:gridCol w:w="1559"/>
        <w:gridCol w:w="1559"/>
      </w:tblGrid>
      <w:tr w:rsidR="00C82D23" w:rsidRPr="00E9705C" w14:paraId="7DC5A2A3" w14:textId="77777777" w:rsidTr="007145FA">
        <w:trPr>
          <w:cantSplit/>
          <w:trHeight w:val="409"/>
          <w:tblHeader/>
        </w:trPr>
        <w:tc>
          <w:tcPr>
            <w:tcW w:w="2574" w:type="pct"/>
            <w:gridSpan w:val="2"/>
            <w:shd w:val="clear" w:color="auto" w:fill="034EA2" w:themeFill="accent1"/>
          </w:tcPr>
          <w:p w14:paraId="4A8B8047" w14:textId="77777777" w:rsidR="009403D7" w:rsidRPr="007D7511" w:rsidRDefault="009403D7" w:rsidP="007145FA">
            <w:pPr>
              <w:pStyle w:val="TableHeading"/>
            </w:pPr>
            <w:r w:rsidRPr="007D7511">
              <w:t>Critical infrastructure asset</w:t>
            </w:r>
          </w:p>
        </w:tc>
        <w:tc>
          <w:tcPr>
            <w:tcW w:w="808" w:type="pct"/>
            <w:shd w:val="clear" w:color="auto" w:fill="034EA2" w:themeFill="accent1"/>
          </w:tcPr>
          <w:p w14:paraId="64C4F2D7" w14:textId="77777777" w:rsidR="009403D7" w:rsidRPr="007D7511" w:rsidRDefault="009403D7" w:rsidP="007145FA">
            <w:pPr>
              <w:pStyle w:val="TableHeading"/>
            </w:pPr>
            <w:r w:rsidRPr="007D7511">
              <w:t>Scenario 1</w:t>
            </w:r>
            <w:r w:rsidRPr="007D7511">
              <w:rPr>
                <w:rFonts w:ascii="Calibri" w:hAnsi="Calibri"/>
              </w:rPr>
              <w:br/>
            </w:r>
            <w:r w:rsidRPr="007D7511">
              <w:t xml:space="preserve">(Severe), </w:t>
            </w:r>
            <w:r w:rsidR="002C3EB1" w:rsidRPr="007D7511">
              <w:br/>
            </w:r>
            <w:r w:rsidRPr="007D7511">
              <w:t>$ million</w:t>
            </w:r>
          </w:p>
        </w:tc>
        <w:tc>
          <w:tcPr>
            <w:tcW w:w="809" w:type="pct"/>
            <w:shd w:val="clear" w:color="auto" w:fill="034EA2" w:themeFill="accent1"/>
          </w:tcPr>
          <w:p w14:paraId="72A51425" w14:textId="77777777" w:rsidR="009403D7" w:rsidRPr="007D7511" w:rsidRDefault="009403D7" w:rsidP="007145FA">
            <w:pPr>
              <w:pStyle w:val="TableHeading"/>
            </w:pPr>
            <w:r w:rsidRPr="007D7511">
              <w:t>Scenario 2</w:t>
            </w:r>
            <w:r w:rsidRPr="007D7511">
              <w:br/>
              <w:t xml:space="preserve">(Moderate), </w:t>
            </w:r>
            <w:r w:rsidR="002C3EB1" w:rsidRPr="007D7511">
              <w:br/>
            </w:r>
            <w:r w:rsidRPr="007D7511">
              <w:t>$ million</w:t>
            </w:r>
          </w:p>
        </w:tc>
        <w:tc>
          <w:tcPr>
            <w:tcW w:w="809" w:type="pct"/>
            <w:shd w:val="clear" w:color="auto" w:fill="034EA2" w:themeFill="accent1"/>
          </w:tcPr>
          <w:p w14:paraId="4202BAD0" w14:textId="77777777" w:rsidR="009403D7" w:rsidRPr="007D7511" w:rsidRDefault="009403D7" w:rsidP="007145FA">
            <w:pPr>
              <w:pStyle w:val="TableHeading"/>
            </w:pPr>
            <w:r w:rsidRPr="007D7511">
              <w:t>Scenario 3</w:t>
            </w:r>
            <w:r w:rsidRPr="007D7511">
              <w:rPr>
                <w:rFonts w:ascii="Calibri" w:hAnsi="Calibri"/>
              </w:rPr>
              <w:br/>
            </w:r>
            <w:r w:rsidRPr="007D7511">
              <w:t xml:space="preserve">(Low), </w:t>
            </w:r>
            <w:r w:rsidR="002C3EB1" w:rsidRPr="007D7511">
              <w:br/>
            </w:r>
            <w:r w:rsidRPr="007D7511">
              <w:t>$ million</w:t>
            </w:r>
          </w:p>
        </w:tc>
      </w:tr>
      <w:tr w:rsidR="000640C8" w:rsidRPr="00E9705C" w14:paraId="59CE1879" w14:textId="77777777" w:rsidTr="465B8FF3">
        <w:trPr>
          <w:cantSplit/>
        </w:trPr>
        <w:tc>
          <w:tcPr>
            <w:tcW w:w="883" w:type="pct"/>
            <w:vMerge w:val="restart"/>
            <w:shd w:val="clear" w:color="auto" w:fill="F2F2F2" w:themeFill="background2" w:themeFillShade="F2"/>
          </w:tcPr>
          <w:p w14:paraId="21FD48B1" w14:textId="77777777" w:rsidR="000640C8" w:rsidRPr="00B356CE" w:rsidRDefault="000640C8" w:rsidP="007145FA">
            <w:pPr>
              <w:pStyle w:val="TableBody"/>
              <w:rPr>
                <w:lang w:eastAsia="en-AU"/>
              </w:rPr>
            </w:pPr>
            <w:r w:rsidRPr="00B356CE">
              <w:rPr>
                <w:lang w:eastAsia="en-AU"/>
              </w:rPr>
              <w:t>Critical electricity assets</w:t>
            </w:r>
          </w:p>
        </w:tc>
        <w:tc>
          <w:tcPr>
            <w:tcW w:w="1691" w:type="pct"/>
          </w:tcPr>
          <w:p w14:paraId="0CDA8359" w14:textId="77777777" w:rsidR="000640C8" w:rsidRPr="006347A7" w:rsidRDefault="000640C8" w:rsidP="007145FA">
            <w:pPr>
              <w:pStyle w:val="TableBody"/>
            </w:pPr>
            <w:r w:rsidRPr="006347A7">
              <w:t>Total avoided cost to the economy of the incident</w:t>
            </w:r>
          </w:p>
        </w:tc>
        <w:tc>
          <w:tcPr>
            <w:tcW w:w="808" w:type="pct"/>
            <w:shd w:val="clear" w:color="auto" w:fill="auto"/>
          </w:tcPr>
          <w:p w14:paraId="35EDA707" w14:textId="49FBF326" w:rsidR="000640C8" w:rsidRPr="00CE4B35" w:rsidRDefault="00214EB5" w:rsidP="00CE4B35">
            <w:pPr>
              <w:pStyle w:val="Tabletext"/>
              <w:jc w:val="center"/>
              <w:rPr>
                <w:rFonts w:eastAsia="Calibri" w:cstheme="minorHAnsi"/>
              </w:rPr>
            </w:pPr>
            <w:r w:rsidRPr="00CE4B35">
              <w:rPr>
                <w:rFonts w:eastAsia="Calibri" w:cstheme="minorHAnsi"/>
              </w:rPr>
              <w:t>1,280.0</w:t>
            </w:r>
          </w:p>
        </w:tc>
        <w:tc>
          <w:tcPr>
            <w:tcW w:w="809" w:type="pct"/>
            <w:shd w:val="clear" w:color="auto" w:fill="auto"/>
          </w:tcPr>
          <w:p w14:paraId="792D8C22" w14:textId="194C63A4" w:rsidR="000640C8" w:rsidRPr="00CE4B35" w:rsidRDefault="00214EB5" w:rsidP="00CE4B35">
            <w:pPr>
              <w:pStyle w:val="Tabletext"/>
              <w:jc w:val="center"/>
              <w:rPr>
                <w:rFonts w:eastAsia="Calibri" w:cstheme="minorHAnsi"/>
              </w:rPr>
            </w:pPr>
            <w:r w:rsidRPr="00CE4B35">
              <w:rPr>
                <w:rFonts w:eastAsia="Calibri" w:cstheme="minorHAnsi"/>
              </w:rPr>
              <w:t>850.0</w:t>
            </w:r>
          </w:p>
        </w:tc>
        <w:tc>
          <w:tcPr>
            <w:tcW w:w="809" w:type="pct"/>
            <w:shd w:val="clear" w:color="auto" w:fill="auto"/>
          </w:tcPr>
          <w:p w14:paraId="6365F753" w14:textId="2297403B" w:rsidR="000640C8" w:rsidRPr="00CE4B35" w:rsidRDefault="00214EB5" w:rsidP="00CE4B35">
            <w:pPr>
              <w:pStyle w:val="Tabletext"/>
              <w:jc w:val="center"/>
              <w:rPr>
                <w:rFonts w:eastAsia="Calibri" w:cstheme="minorHAnsi"/>
              </w:rPr>
            </w:pPr>
            <w:r w:rsidRPr="00CE4B35">
              <w:rPr>
                <w:rFonts w:eastAsia="Calibri" w:cstheme="minorHAnsi"/>
              </w:rPr>
              <w:t>490.0</w:t>
            </w:r>
          </w:p>
        </w:tc>
      </w:tr>
      <w:tr w:rsidR="000640C8" w:rsidRPr="00E9705C" w14:paraId="56090D5C" w14:textId="77777777" w:rsidTr="465B8FF3">
        <w:trPr>
          <w:cantSplit/>
        </w:trPr>
        <w:tc>
          <w:tcPr>
            <w:tcW w:w="883" w:type="pct"/>
            <w:vMerge/>
          </w:tcPr>
          <w:p w14:paraId="528DB452" w14:textId="77777777" w:rsidR="000640C8" w:rsidRPr="00B356CE" w:rsidRDefault="000640C8" w:rsidP="007145FA">
            <w:pPr>
              <w:pStyle w:val="TableBody"/>
              <w:rPr>
                <w:lang w:eastAsia="en-AU"/>
              </w:rPr>
            </w:pPr>
          </w:p>
        </w:tc>
        <w:tc>
          <w:tcPr>
            <w:tcW w:w="1691" w:type="pct"/>
          </w:tcPr>
          <w:p w14:paraId="214B89E1" w14:textId="77777777" w:rsidR="000640C8" w:rsidRPr="006347A7" w:rsidRDefault="000640C8" w:rsidP="007145FA">
            <w:pPr>
              <w:pStyle w:val="TableBody"/>
            </w:pPr>
            <w:r w:rsidRPr="006347A7">
              <w:t>Approximate number of avoided incidents per annum required for a net benefit</w:t>
            </w:r>
          </w:p>
        </w:tc>
        <w:tc>
          <w:tcPr>
            <w:tcW w:w="808" w:type="pct"/>
            <w:shd w:val="clear" w:color="auto" w:fill="auto"/>
          </w:tcPr>
          <w:p w14:paraId="69F53947" w14:textId="77777777" w:rsidR="000640C8" w:rsidRPr="00DC490A" w:rsidRDefault="000640C8" w:rsidP="00CE4B35">
            <w:pPr>
              <w:pStyle w:val="Tabletext"/>
              <w:jc w:val="center"/>
              <w:rPr>
                <w:rFonts w:eastAsia="Calibri" w:cstheme="minorHAnsi"/>
              </w:rPr>
            </w:pPr>
            <w:r w:rsidRPr="00CE4B35">
              <w:rPr>
                <w:rFonts w:eastAsia="Calibri" w:cstheme="minorHAnsi"/>
              </w:rPr>
              <w:t>0.</w:t>
            </w:r>
            <w:r w:rsidR="00FA5860" w:rsidRPr="00CE4B35">
              <w:rPr>
                <w:rFonts w:eastAsia="Calibri" w:cstheme="minorHAnsi"/>
              </w:rPr>
              <w:t>5</w:t>
            </w:r>
          </w:p>
        </w:tc>
        <w:tc>
          <w:tcPr>
            <w:tcW w:w="809" w:type="pct"/>
            <w:shd w:val="clear" w:color="auto" w:fill="auto"/>
          </w:tcPr>
          <w:p w14:paraId="7FA35000" w14:textId="77777777" w:rsidR="000640C8" w:rsidRPr="00DC490A" w:rsidRDefault="000640C8" w:rsidP="00CE4B35">
            <w:pPr>
              <w:pStyle w:val="Tabletext"/>
              <w:jc w:val="center"/>
              <w:rPr>
                <w:rFonts w:eastAsia="Calibri" w:cstheme="minorHAnsi"/>
              </w:rPr>
            </w:pPr>
            <w:r w:rsidRPr="00CE4B35">
              <w:rPr>
                <w:rFonts w:eastAsia="Calibri" w:cstheme="minorHAnsi"/>
              </w:rPr>
              <w:t>0.7</w:t>
            </w:r>
          </w:p>
        </w:tc>
        <w:tc>
          <w:tcPr>
            <w:tcW w:w="809" w:type="pct"/>
            <w:shd w:val="clear" w:color="auto" w:fill="auto"/>
          </w:tcPr>
          <w:p w14:paraId="37410FD4" w14:textId="77777777" w:rsidR="000640C8" w:rsidRPr="00DC490A" w:rsidRDefault="000640C8" w:rsidP="00CE4B35">
            <w:pPr>
              <w:pStyle w:val="Tabletext"/>
              <w:jc w:val="center"/>
              <w:rPr>
                <w:rFonts w:eastAsia="Calibri" w:cstheme="minorHAnsi"/>
              </w:rPr>
            </w:pPr>
            <w:r w:rsidRPr="00CE4B35">
              <w:rPr>
                <w:rFonts w:eastAsia="Calibri" w:cstheme="minorHAnsi"/>
              </w:rPr>
              <w:t>1.2</w:t>
            </w:r>
          </w:p>
        </w:tc>
      </w:tr>
      <w:tr w:rsidR="000640C8" w:rsidRPr="00E9705C" w14:paraId="6321AD5D" w14:textId="77777777" w:rsidTr="465B8FF3">
        <w:trPr>
          <w:cantSplit/>
        </w:trPr>
        <w:tc>
          <w:tcPr>
            <w:tcW w:w="883" w:type="pct"/>
            <w:vMerge w:val="restart"/>
            <w:shd w:val="clear" w:color="auto" w:fill="F2F2F2" w:themeFill="background2" w:themeFillShade="F2"/>
          </w:tcPr>
          <w:p w14:paraId="345257FE" w14:textId="77777777" w:rsidR="000640C8" w:rsidRPr="00B356CE" w:rsidRDefault="000640C8" w:rsidP="007145FA">
            <w:pPr>
              <w:pStyle w:val="TableBody"/>
              <w:rPr>
                <w:lang w:eastAsia="en-AU"/>
              </w:rPr>
            </w:pPr>
            <w:r w:rsidRPr="00B356CE">
              <w:rPr>
                <w:lang w:eastAsia="en-AU"/>
              </w:rPr>
              <w:t>Critical gas assets</w:t>
            </w:r>
          </w:p>
        </w:tc>
        <w:tc>
          <w:tcPr>
            <w:tcW w:w="1691" w:type="pct"/>
          </w:tcPr>
          <w:p w14:paraId="56066F62" w14:textId="77777777" w:rsidR="000640C8" w:rsidRPr="00E9705C" w:rsidRDefault="000640C8" w:rsidP="007145FA">
            <w:pPr>
              <w:pStyle w:val="TableBody"/>
              <w:rPr>
                <w:sz w:val="22"/>
              </w:rPr>
            </w:pPr>
            <w:r w:rsidRPr="006347A7">
              <w:t>Total avoided cost to the economy of the incident</w:t>
            </w:r>
          </w:p>
        </w:tc>
        <w:tc>
          <w:tcPr>
            <w:tcW w:w="808" w:type="pct"/>
            <w:shd w:val="clear" w:color="auto" w:fill="auto"/>
          </w:tcPr>
          <w:p w14:paraId="4FEBE0B6" w14:textId="10BDFFD5" w:rsidR="000640C8" w:rsidRPr="00CE4B35" w:rsidRDefault="00FC62B9" w:rsidP="00CE4B35">
            <w:pPr>
              <w:pStyle w:val="Tabletext"/>
              <w:jc w:val="center"/>
            </w:pPr>
            <w:r w:rsidRPr="00CE4B35">
              <w:rPr>
                <w:rFonts w:eastAsia="Calibri" w:cstheme="minorHAnsi"/>
              </w:rPr>
              <w:t>1,</w:t>
            </w:r>
            <w:r w:rsidR="00525714" w:rsidRPr="00CE4B35">
              <w:rPr>
                <w:rFonts w:eastAsia="Calibri" w:cstheme="minorHAnsi"/>
              </w:rPr>
              <w:t>913.0</w:t>
            </w:r>
          </w:p>
        </w:tc>
        <w:tc>
          <w:tcPr>
            <w:tcW w:w="809" w:type="pct"/>
            <w:shd w:val="clear" w:color="auto" w:fill="auto"/>
          </w:tcPr>
          <w:p w14:paraId="2718855A" w14:textId="41D01B4D" w:rsidR="000640C8" w:rsidRPr="00DC490A" w:rsidRDefault="000640C8" w:rsidP="00CE4B35">
            <w:pPr>
              <w:pStyle w:val="Tabletext"/>
              <w:jc w:val="center"/>
              <w:rPr>
                <w:rFonts w:eastAsia="Calibri" w:cstheme="minorHAnsi"/>
              </w:rPr>
            </w:pPr>
            <w:r w:rsidRPr="00CE4B35">
              <w:rPr>
                <w:rFonts w:eastAsia="Calibri" w:cstheme="minorHAnsi"/>
              </w:rPr>
              <w:t>1,001.0</w:t>
            </w:r>
          </w:p>
        </w:tc>
        <w:tc>
          <w:tcPr>
            <w:tcW w:w="809" w:type="pct"/>
            <w:shd w:val="clear" w:color="auto" w:fill="auto"/>
          </w:tcPr>
          <w:p w14:paraId="72C0A25D" w14:textId="03E66B94" w:rsidR="000640C8" w:rsidRPr="00DC490A" w:rsidRDefault="00525714" w:rsidP="00CE4B35">
            <w:pPr>
              <w:pStyle w:val="Tabletext"/>
              <w:jc w:val="center"/>
              <w:rPr>
                <w:rFonts w:eastAsia="Calibri" w:cstheme="minorHAnsi"/>
              </w:rPr>
            </w:pPr>
            <w:r w:rsidRPr="00CE4B35">
              <w:rPr>
                <w:rFonts w:eastAsia="Calibri" w:cstheme="minorHAnsi"/>
              </w:rPr>
              <w:t>513.0</w:t>
            </w:r>
          </w:p>
        </w:tc>
      </w:tr>
      <w:tr w:rsidR="000640C8" w:rsidRPr="00E9705C" w14:paraId="7A1DD9DA" w14:textId="77777777" w:rsidTr="465B8FF3">
        <w:trPr>
          <w:cantSplit/>
        </w:trPr>
        <w:tc>
          <w:tcPr>
            <w:tcW w:w="883" w:type="pct"/>
            <w:vMerge/>
          </w:tcPr>
          <w:p w14:paraId="1E04B210" w14:textId="77777777" w:rsidR="000640C8" w:rsidRPr="00B356CE" w:rsidRDefault="000640C8" w:rsidP="007145FA">
            <w:pPr>
              <w:pStyle w:val="TableBody"/>
              <w:rPr>
                <w:lang w:eastAsia="en-AU"/>
              </w:rPr>
            </w:pPr>
          </w:p>
        </w:tc>
        <w:tc>
          <w:tcPr>
            <w:tcW w:w="1691" w:type="pct"/>
          </w:tcPr>
          <w:p w14:paraId="352FCB28" w14:textId="77777777" w:rsidR="000640C8" w:rsidRPr="00E9705C" w:rsidRDefault="000640C8" w:rsidP="007145FA">
            <w:pPr>
              <w:pStyle w:val="TableBody"/>
              <w:rPr>
                <w:sz w:val="22"/>
              </w:rPr>
            </w:pPr>
            <w:r w:rsidRPr="006347A7">
              <w:t>Approximate number of avoided incidents per annum required for a net benefit</w:t>
            </w:r>
          </w:p>
        </w:tc>
        <w:tc>
          <w:tcPr>
            <w:tcW w:w="808" w:type="pct"/>
            <w:shd w:val="clear" w:color="auto" w:fill="auto"/>
          </w:tcPr>
          <w:p w14:paraId="059191FB" w14:textId="77777777" w:rsidR="000640C8" w:rsidRPr="00DC490A" w:rsidRDefault="000640C8" w:rsidP="00CE4B35">
            <w:pPr>
              <w:pStyle w:val="Tabletext"/>
              <w:jc w:val="center"/>
              <w:rPr>
                <w:rFonts w:eastAsia="Calibri" w:cstheme="minorHAnsi"/>
              </w:rPr>
            </w:pPr>
            <w:r w:rsidRPr="00CE4B35">
              <w:rPr>
                <w:rFonts w:eastAsia="Calibri" w:cstheme="minorHAnsi"/>
              </w:rPr>
              <w:t>0.</w:t>
            </w:r>
            <w:r w:rsidR="00FA5860" w:rsidRPr="00CE4B35">
              <w:rPr>
                <w:rFonts w:eastAsia="Calibri" w:cstheme="minorHAnsi"/>
              </w:rPr>
              <w:t>1</w:t>
            </w:r>
          </w:p>
        </w:tc>
        <w:tc>
          <w:tcPr>
            <w:tcW w:w="809" w:type="pct"/>
            <w:shd w:val="clear" w:color="auto" w:fill="auto"/>
          </w:tcPr>
          <w:p w14:paraId="3C99F27F" w14:textId="77777777" w:rsidR="000640C8" w:rsidRPr="00DC490A" w:rsidRDefault="000640C8" w:rsidP="00CE4B35">
            <w:pPr>
              <w:pStyle w:val="Tabletext"/>
              <w:jc w:val="center"/>
              <w:rPr>
                <w:rFonts w:eastAsia="Calibri" w:cstheme="minorHAnsi"/>
              </w:rPr>
            </w:pPr>
            <w:r w:rsidRPr="00CE4B35">
              <w:rPr>
                <w:rFonts w:eastAsia="Calibri" w:cstheme="minorHAnsi"/>
              </w:rPr>
              <w:t>0.</w:t>
            </w:r>
            <w:r w:rsidR="00FA5860" w:rsidRPr="00CE4B35">
              <w:rPr>
                <w:rFonts w:eastAsia="Calibri" w:cstheme="minorHAnsi"/>
              </w:rPr>
              <w:t>2</w:t>
            </w:r>
          </w:p>
        </w:tc>
        <w:tc>
          <w:tcPr>
            <w:tcW w:w="809" w:type="pct"/>
            <w:shd w:val="clear" w:color="auto" w:fill="auto"/>
          </w:tcPr>
          <w:p w14:paraId="78F8C155" w14:textId="77777777" w:rsidR="000640C8" w:rsidRPr="00DC490A" w:rsidRDefault="000640C8" w:rsidP="00CE4B35">
            <w:pPr>
              <w:pStyle w:val="Tabletext"/>
              <w:jc w:val="center"/>
              <w:rPr>
                <w:rFonts w:eastAsia="Calibri" w:cstheme="minorHAnsi"/>
              </w:rPr>
            </w:pPr>
            <w:r w:rsidRPr="00CE4B35">
              <w:rPr>
                <w:rFonts w:eastAsia="Calibri" w:cstheme="minorHAnsi"/>
              </w:rPr>
              <w:t>0.3</w:t>
            </w:r>
          </w:p>
        </w:tc>
      </w:tr>
      <w:tr w:rsidR="000640C8" w:rsidRPr="00E9705C" w14:paraId="7839FB33" w14:textId="77777777" w:rsidTr="465B8FF3">
        <w:trPr>
          <w:cantSplit/>
        </w:trPr>
        <w:tc>
          <w:tcPr>
            <w:tcW w:w="883" w:type="pct"/>
            <w:vMerge w:val="restart"/>
            <w:shd w:val="clear" w:color="auto" w:fill="F2F2F2" w:themeFill="background2" w:themeFillShade="F2"/>
          </w:tcPr>
          <w:p w14:paraId="663B89B0" w14:textId="77777777" w:rsidR="000640C8" w:rsidRPr="00B356CE" w:rsidRDefault="000640C8" w:rsidP="007145FA">
            <w:pPr>
              <w:pStyle w:val="TableBody"/>
              <w:rPr>
                <w:lang w:eastAsia="en-AU"/>
              </w:rPr>
            </w:pPr>
            <w:r w:rsidRPr="00B356CE">
              <w:rPr>
                <w:lang w:eastAsia="en-AU"/>
              </w:rPr>
              <w:t>Critical water assets</w:t>
            </w:r>
          </w:p>
        </w:tc>
        <w:tc>
          <w:tcPr>
            <w:tcW w:w="1691" w:type="pct"/>
          </w:tcPr>
          <w:p w14:paraId="151E0AC5" w14:textId="77777777" w:rsidR="000640C8" w:rsidRPr="00E9705C" w:rsidRDefault="000640C8" w:rsidP="007145FA">
            <w:pPr>
              <w:pStyle w:val="TableBody"/>
              <w:rPr>
                <w:sz w:val="22"/>
              </w:rPr>
            </w:pPr>
            <w:r w:rsidRPr="006347A7">
              <w:t>Total avoided cost to the economy of the incident</w:t>
            </w:r>
          </w:p>
        </w:tc>
        <w:tc>
          <w:tcPr>
            <w:tcW w:w="808" w:type="pct"/>
            <w:shd w:val="clear" w:color="auto" w:fill="auto"/>
          </w:tcPr>
          <w:p w14:paraId="3C8FD546" w14:textId="465713D3" w:rsidR="000640C8" w:rsidRPr="00DC490A" w:rsidRDefault="00CA56CF" w:rsidP="00CE4B35">
            <w:pPr>
              <w:pStyle w:val="Tabletext"/>
              <w:jc w:val="center"/>
              <w:rPr>
                <w:rFonts w:eastAsia="Calibri" w:cstheme="minorHAnsi"/>
              </w:rPr>
            </w:pPr>
            <w:r w:rsidRPr="00CE4B35">
              <w:rPr>
                <w:rFonts w:eastAsia="Calibri" w:cstheme="minorHAnsi"/>
              </w:rPr>
              <w:t>4,099</w:t>
            </w:r>
            <w:r w:rsidR="0030174C" w:rsidRPr="00296987">
              <w:rPr>
                <w:rFonts w:eastAsia="Calibri" w:cstheme="minorHAnsi"/>
              </w:rPr>
              <w:t>.0</w:t>
            </w:r>
          </w:p>
        </w:tc>
        <w:tc>
          <w:tcPr>
            <w:tcW w:w="809" w:type="pct"/>
            <w:shd w:val="clear" w:color="auto" w:fill="auto"/>
          </w:tcPr>
          <w:p w14:paraId="74F5B0A0" w14:textId="41FE1328" w:rsidR="000640C8" w:rsidRPr="00A57625" w:rsidRDefault="00CA56CF" w:rsidP="00CE4B35">
            <w:pPr>
              <w:pStyle w:val="Tabletext"/>
              <w:jc w:val="center"/>
              <w:rPr>
                <w:rFonts w:eastAsia="Calibri" w:cstheme="minorHAnsi"/>
              </w:rPr>
            </w:pPr>
            <w:r w:rsidRPr="00CE4B35">
              <w:rPr>
                <w:rFonts w:eastAsia="Calibri" w:cstheme="minorHAnsi"/>
              </w:rPr>
              <w:t>126.8</w:t>
            </w:r>
          </w:p>
        </w:tc>
        <w:tc>
          <w:tcPr>
            <w:tcW w:w="809" w:type="pct"/>
            <w:shd w:val="clear" w:color="auto" w:fill="auto"/>
          </w:tcPr>
          <w:p w14:paraId="1085CDEF" w14:textId="77777777" w:rsidR="000640C8" w:rsidRPr="00DC490A" w:rsidRDefault="000640C8" w:rsidP="00CE4B35">
            <w:pPr>
              <w:pStyle w:val="Tabletext"/>
              <w:jc w:val="center"/>
              <w:rPr>
                <w:rFonts w:eastAsia="Calibri" w:cstheme="minorHAnsi"/>
              </w:rPr>
            </w:pPr>
            <w:r w:rsidRPr="00CE4B35">
              <w:rPr>
                <w:rFonts w:eastAsia="Calibri" w:cstheme="minorHAnsi"/>
              </w:rPr>
              <w:t>1.</w:t>
            </w:r>
            <w:r w:rsidR="00FA5860" w:rsidRPr="00CE4B35">
              <w:rPr>
                <w:rFonts w:eastAsia="Calibri" w:cstheme="minorHAnsi"/>
              </w:rPr>
              <w:t>2</w:t>
            </w:r>
          </w:p>
        </w:tc>
      </w:tr>
      <w:tr w:rsidR="000640C8" w:rsidRPr="00E9705C" w14:paraId="6FD5D2F5" w14:textId="77777777" w:rsidTr="465B8FF3">
        <w:trPr>
          <w:cantSplit/>
        </w:trPr>
        <w:tc>
          <w:tcPr>
            <w:tcW w:w="883" w:type="pct"/>
            <w:vMerge/>
          </w:tcPr>
          <w:p w14:paraId="6366C844" w14:textId="77777777" w:rsidR="000640C8" w:rsidRPr="00B356CE" w:rsidRDefault="000640C8" w:rsidP="007145FA">
            <w:pPr>
              <w:pStyle w:val="TableBody"/>
              <w:rPr>
                <w:lang w:eastAsia="en-AU"/>
              </w:rPr>
            </w:pPr>
          </w:p>
        </w:tc>
        <w:tc>
          <w:tcPr>
            <w:tcW w:w="1691" w:type="pct"/>
          </w:tcPr>
          <w:p w14:paraId="791DB28A" w14:textId="77777777" w:rsidR="000640C8" w:rsidRPr="00E9705C" w:rsidRDefault="000640C8" w:rsidP="007145FA">
            <w:pPr>
              <w:pStyle w:val="TableBody"/>
              <w:rPr>
                <w:sz w:val="22"/>
              </w:rPr>
            </w:pPr>
            <w:r w:rsidRPr="006347A7">
              <w:t>Approximate number of avoided incidents per annum required for a net benefit</w:t>
            </w:r>
          </w:p>
        </w:tc>
        <w:tc>
          <w:tcPr>
            <w:tcW w:w="808" w:type="pct"/>
            <w:shd w:val="clear" w:color="auto" w:fill="auto"/>
          </w:tcPr>
          <w:p w14:paraId="0357502C" w14:textId="14944AB6" w:rsidR="000640C8" w:rsidRPr="00DC490A" w:rsidRDefault="006F3888" w:rsidP="00CE4B35">
            <w:pPr>
              <w:pStyle w:val="Tabletext"/>
              <w:jc w:val="center"/>
              <w:rPr>
                <w:rFonts w:eastAsia="Calibri" w:cstheme="minorHAnsi"/>
              </w:rPr>
            </w:pPr>
            <w:r w:rsidRPr="00CE4B35">
              <w:rPr>
                <w:rFonts w:eastAsia="Calibri" w:cstheme="minorHAnsi"/>
              </w:rPr>
              <w:t xml:space="preserve">Less than </w:t>
            </w:r>
            <w:r w:rsidR="0030174C" w:rsidRPr="00CE4B35">
              <w:rPr>
                <w:rFonts w:eastAsia="Calibri" w:cstheme="minorHAnsi"/>
              </w:rPr>
              <w:t>0.1</w:t>
            </w:r>
          </w:p>
        </w:tc>
        <w:tc>
          <w:tcPr>
            <w:tcW w:w="809" w:type="pct"/>
            <w:shd w:val="clear" w:color="auto" w:fill="auto"/>
          </w:tcPr>
          <w:p w14:paraId="47AB5B29" w14:textId="437DC78F" w:rsidR="000640C8" w:rsidRPr="00DC490A" w:rsidRDefault="0030174C" w:rsidP="00CE4B35">
            <w:pPr>
              <w:pStyle w:val="Tabletext"/>
              <w:jc w:val="center"/>
              <w:rPr>
                <w:rFonts w:eastAsia="Calibri" w:cstheme="minorHAnsi"/>
              </w:rPr>
            </w:pPr>
            <w:r w:rsidRPr="00CE4B35">
              <w:rPr>
                <w:rFonts w:eastAsia="Calibri" w:cstheme="minorHAnsi"/>
              </w:rPr>
              <w:t>1.8</w:t>
            </w:r>
          </w:p>
        </w:tc>
        <w:tc>
          <w:tcPr>
            <w:tcW w:w="809" w:type="pct"/>
            <w:shd w:val="clear" w:color="auto" w:fill="auto"/>
          </w:tcPr>
          <w:p w14:paraId="13D5100F" w14:textId="4D95FC0C" w:rsidR="000640C8" w:rsidRPr="00A57625" w:rsidRDefault="00CA56CF" w:rsidP="00CE4B35">
            <w:pPr>
              <w:pStyle w:val="Tabletext"/>
              <w:jc w:val="center"/>
              <w:rPr>
                <w:rFonts w:eastAsia="Calibri" w:cstheme="minorHAnsi"/>
              </w:rPr>
            </w:pPr>
            <w:r w:rsidRPr="00CE4B35">
              <w:rPr>
                <w:rFonts w:eastAsia="Calibri" w:cstheme="minorHAnsi"/>
              </w:rPr>
              <w:t>197.5</w:t>
            </w:r>
          </w:p>
        </w:tc>
      </w:tr>
      <w:tr w:rsidR="000640C8" w:rsidRPr="00E9705C" w14:paraId="4DD992A5" w14:textId="77777777" w:rsidTr="465B8FF3">
        <w:trPr>
          <w:cantSplit/>
        </w:trPr>
        <w:tc>
          <w:tcPr>
            <w:tcW w:w="883" w:type="pct"/>
            <w:vMerge w:val="restart"/>
            <w:shd w:val="clear" w:color="auto" w:fill="F2F2F2" w:themeFill="background2" w:themeFillShade="F2"/>
          </w:tcPr>
          <w:p w14:paraId="790AF417" w14:textId="77777777" w:rsidR="000640C8" w:rsidRPr="00B356CE" w:rsidRDefault="000640C8" w:rsidP="007145FA">
            <w:pPr>
              <w:pStyle w:val="TableBody"/>
              <w:rPr>
                <w:lang w:eastAsia="en-AU"/>
              </w:rPr>
            </w:pPr>
            <w:r w:rsidRPr="00B356CE">
              <w:rPr>
                <w:lang w:eastAsia="en-AU"/>
              </w:rPr>
              <w:t>Critical data processing or storage assets</w:t>
            </w:r>
          </w:p>
        </w:tc>
        <w:tc>
          <w:tcPr>
            <w:tcW w:w="1691" w:type="pct"/>
          </w:tcPr>
          <w:p w14:paraId="3443168F" w14:textId="77777777" w:rsidR="000640C8" w:rsidRPr="00E9705C" w:rsidRDefault="000640C8" w:rsidP="007145FA">
            <w:pPr>
              <w:pStyle w:val="TableBody"/>
              <w:rPr>
                <w:sz w:val="22"/>
              </w:rPr>
            </w:pPr>
            <w:r w:rsidRPr="006347A7">
              <w:t>Total avoided cost to the economy of the incident</w:t>
            </w:r>
          </w:p>
        </w:tc>
        <w:tc>
          <w:tcPr>
            <w:tcW w:w="808" w:type="pct"/>
            <w:shd w:val="clear" w:color="auto" w:fill="auto"/>
          </w:tcPr>
          <w:p w14:paraId="0CC53DB3" w14:textId="0DF332A7" w:rsidR="000640C8" w:rsidRPr="00A57625" w:rsidRDefault="0043692B" w:rsidP="00CE4B35">
            <w:pPr>
              <w:pStyle w:val="Tabletext"/>
              <w:jc w:val="center"/>
              <w:rPr>
                <w:rFonts w:eastAsia="Calibri" w:cstheme="minorHAnsi"/>
              </w:rPr>
            </w:pPr>
            <w:r w:rsidRPr="00CE4B35">
              <w:rPr>
                <w:rFonts w:eastAsia="Calibri" w:cstheme="minorHAnsi"/>
              </w:rPr>
              <w:t>19</w:t>
            </w:r>
            <w:r w:rsidR="001C120E" w:rsidRPr="00CE4B35">
              <w:rPr>
                <w:rFonts w:eastAsia="Calibri" w:cstheme="minorHAnsi"/>
              </w:rPr>
              <w:t>6</w:t>
            </w:r>
            <w:r w:rsidRPr="00CE4B35">
              <w:rPr>
                <w:rFonts w:eastAsia="Calibri" w:cstheme="minorHAnsi"/>
              </w:rPr>
              <w:t>.0</w:t>
            </w:r>
          </w:p>
        </w:tc>
        <w:tc>
          <w:tcPr>
            <w:tcW w:w="809" w:type="pct"/>
            <w:shd w:val="clear" w:color="auto" w:fill="auto"/>
          </w:tcPr>
          <w:p w14:paraId="05DCB607" w14:textId="45EADF6C" w:rsidR="000640C8" w:rsidRPr="00A57625" w:rsidRDefault="001C120E" w:rsidP="00CE4B35">
            <w:pPr>
              <w:pStyle w:val="Tabletext"/>
              <w:jc w:val="center"/>
              <w:rPr>
                <w:rFonts w:eastAsia="Calibri" w:cstheme="minorHAnsi"/>
              </w:rPr>
            </w:pPr>
            <w:r w:rsidRPr="00CE4B35">
              <w:rPr>
                <w:rFonts w:eastAsia="Calibri" w:cstheme="minorHAnsi"/>
              </w:rPr>
              <w:t>98.0</w:t>
            </w:r>
          </w:p>
        </w:tc>
        <w:tc>
          <w:tcPr>
            <w:tcW w:w="809" w:type="pct"/>
            <w:shd w:val="clear" w:color="auto" w:fill="auto"/>
          </w:tcPr>
          <w:p w14:paraId="7F3FCE48" w14:textId="5E8A1942" w:rsidR="000640C8" w:rsidRPr="00A57625" w:rsidRDefault="00A43208" w:rsidP="00CE4B35">
            <w:pPr>
              <w:pStyle w:val="Tabletext"/>
              <w:jc w:val="center"/>
              <w:rPr>
                <w:rFonts w:eastAsia="Calibri" w:cstheme="minorHAnsi"/>
              </w:rPr>
            </w:pPr>
            <w:r w:rsidRPr="00CE4B35">
              <w:rPr>
                <w:rFonts w:eastAsia="Calibri" w:cstheme="minorHAnsi"/>
              </w:rPr>
              <w:t>4.</w:t>
            </w:r>
            <w:r w:rsidR="001C120E" w:rsidRPr="00CE4B35">
              <w:rPr>
                <w:rFonts w:eastAsia="Calibri" w:cstheme="minorHAnsi"/>
              </w:rPr>
              <w:t>6</w:t>
            </w:r>
          </w:p>
        </w:tc>
      </w:tr>
      <w:tr w:rsidR="000640C8" w:rsidRPr="00E9705C" w14:paraId="3C55206E" w14:textId="77777777" w:rsidTr="465B8FF3">
        <w:trPr>
          <w:cantSplit/>
        </w:trPr>
        <w:tc>
          <w:tcPr>
            <w:tcW w:w="883" w:type="pct"/>
            <w:vMerge/>
          </w:tcPr>
          <w:p w14:paraId="2EDBB2C3" w14:textId="77777777" w:rsidR="000640C8" w:rsidRPr="00B356CE" w:rsidRDefault="000640C8" w:rsidP="007145FA">
            <w:pPr>
              <w:pStyle w:val="TableBody"/>
              <w:rPr>
                <w:lang w:eastAsia="en-AU"/>
              </w:rPr>
            </w:pPr>
          </w:p>
        </w:tc>
        <w:tc>
          <w:tcPr>
            <w:tcW w:w="1691" w:type="pct"/>
          </w:tcPr>
          <w:p w14:paraId="3D65AF1E" w14:textId="77777777" w:rsidR="000640C8" w:rsidRPr="00E9705C" w:rsidRDefault="000640C8" w:rsidP="007145FA">
            <w:pPr>
              <w:pStyle w:val="TableBody"/>
              <w:rPr>
                <w:sz w:val="22"/>
              </w:rPr>
            </w:pPr>
            <w:r w:rsidRPr="006347A7">
              <w:t>Approximate number of avoided incidents per annum required for a net benefit</w:t>
            </w:r>
          </w:p>
        </w:tc>
        <w:tc>
          <w:tcPr>
            <w:tcW w:w="808" w:type="pct"/>
            <w:shd w:val="clear" w:color="auto" w:fill="auto"/>
          </w:tcPr>
          <w:p w14:paraId="00FBE84C" w14:textId="72F7EFCF" w:rsidR="000640C8" w:rsidRPr="00DC490A" w:rsidRDefault="00AA7FB8" w:rsidP="00CE4B35">
            <w:pPr>
              <w:pStyle w:val="Tabletext"/>
              <w:jc w:val="center"/>
              <w:rPr>
                <w:rFonts w:eastAsia="Calibri" w:cstheme="minorHAnsi"/>
              </w:rPr>
            </w:pPr>
            <w:r w:rsidRPr="00CE4B35">
              <w:rPr>
                <w:rFonts w:eastAsia="Calibri" w:cstheme="minorHAnsi"/>
              </w:rPr>
              <w:t>3.8</w:t>
            </w:r>
          </w:p>
        </w:tc>
        <w:tc>
          <w:tcPr>
            <w:tcW w:w="809" w:type="pct"/>
            <w:shd w:val="clear" w:color="auto" w:fill="auto"/>
          </w:tcPr>
          <w:p w14:paraId="5B0B4948" w14:textId="246E73BC" w:rsidR="000640C8" w:rsidRPr="00A57625" w:rsidRDefault="00846F06" w:rsidP="00CE4B35">
            <w:pPr>
              <w:pStyle w:val="Tabletext"/>
              <w:jc w:val="center"/>
              <w:rPr>
                <w:rFonts w:eastAsia="Calibri" w:cstheme="minorHAnsi"/>
              </w:rPr>
            </w:pPr>
            <w:r w:rsidRPr="00CE4B35">
              <w:rPr>
                <w:rFonts w:eastAsia="Calibri" w:cstheme="minorHAnsi"/>
              </w:rPr>
              <w:t>7.5</w:t>
            </w:r>
          </w:p>
        </w:tc>
        <w:tc>
          <w:tcPr>
            <w:tcW w:w="809" w:type="pct"/>
            <w:shd w:val="clear" w:color="auto" w:fill="auto"/>
          </w:tcPr>
          <w:p w14:paraId="5B07264C" w14:textId="3C5AC006" w:rsidR="000640C8" w:rsidRPr="00A57625" w:rsidRDefault="001C120E" w:rsidP="00CE4B35">
            <w:pPr>
              <w:pStyle w:val="Tabletext"/>
              <w:jc w:val="center"/>
              <w:rPr>
                <w:rFonts w:eastAsia="Calibri" w:cstheme="minorHAnsi"/>
              </w:rPr>
            </w:pPr>
            <w:r w:rsidRPr="00CE4B35">
              <w:rPr>
                <w:rFonts w:eastAsia="Calibri" w:cstheme="minorHAnsi"/>
              </w:rPr>
              <w:t>16</w:t>
            </w:r>
            <w:r w:rsidR="00C60E1E" w:rsidRPr="00CE4B35">
              <w:rPr>
                <w:rFonts w:eastAsia="Calibri" w:cstheme="minorHAnsi"/>
              </w:rPr>
              <w:t>0.</w:t>
            </w:r>
            <w:r w:rsidRPr="00CE4B35">
              <w:rPr>
                <w:rFonts w:eastAsia="Calibri" w:cstheme="minorHAnsi"/>
              </w:rPr>
              <w:t>1</w:t>
            </w:r>
          </w:p>
        </w:tc>
      </w:tr>
      <w:tr w:rsidR="00192C24" w:rsidRPr="00E9705C" w14:paraId="5EDFC1B9" w14:textId="77777777" w:rsidTr="00CE4B35">
        <w:trPr>
          <w:cantSplit/>
        </w:trPr>
        <w:tc>
          <w:tcPr>
            <w:tcW w:w="883" w:type="pct"/>
            <w:shd w:val="clear" w:color="auto" w:fill="F2F2F2" w:themeFill="background2" w:themeFillShade="F2"/>
          </w:tcPr>
          <w:p w14:paraId="28C9E83D" w14:textId="176C711F" w:rsidR="00192C24" w:rsidRPr="00B356CE" w:rsidRDefault="00192C24" w:rsidP="00192C24">
            <w:pPr>
              <w:pStyle w:val="TableBody"/>
              <w:rPr>
                <w:lang w:eastAsia="en-AU"/>
              </w:rPr>
            </w:pPr>
            <w:r w:rsidRPr="00B356CE">
              <w:rPr>
                <w:lang w:eastAsia="en-AU"/>
              </w:rPr>
              <w:t>Critical broadcasting assets</w:t>
            </w:r>
            <w:r>
              <w:rPr>
                <w:lang w:eastAsia="en-AU"/>
              </w:rPr>
              <w:t xml:space="preserve"> and critical domain name systems</w:t>
            </w:r>
          </w:p>
        </w:tc>
        <w:tc>
          <w:tcPr>
            <w:tcW w:w="1691" w:type="pct"/>
          </w:tcPr>
          <w:p w14:paraId="64DF428D" w14:textId="77777777" w:rsidR="00192C24" w:rsidRPr="00E9705C" w:rsidRDefault="00192C24" w:rsidP="00192C24">
            <w:pPr>
              <w:pStyle w:val="TableBody"/>
              <w:rPr>
                <w:sz w:val="22"/>
              </w:rPr>
            </w:pPr>
            <w:r w:rsidRPr="006347A7">
              <w:t>Total avoided cost to the economy of the incident</w:t>
            </w:r>
          </w:p>
        </w:tc>
        <w:tc>
          <w:tcPr>
            <w:tcW w:w="808" w:type="pct"/>
            <w:shd w:val="clear" w:color="auto" w:fill="auto"/>
          </w:tcPr>
          <w:p w14:paraId="6409059E" w14:textId="6AE4C1CC" w:rsidR="00192C24" w:rsidRPr="00973492" w:rsidRDefault="00307B69" w:rsidP="00CE4B35">
            <w:pPr>
              <w:pStyle w:val="Tabletext"/>
              <w:jc w:val="center"/>
            </w:pPr>
            <w:r w:rsidRPr="00CE4B35">
              <w:t>7.7</w:t>
            </w:r>
          </w:p>
        </w:tc>
        <w:tc>
          <w:tcPr>
            <w:tcW w:w="809" w:type="pct"/>
            <w:shd w:val="clear" w:color="auto" w:fill="auto"/>
          </w:tcPr>
          <w:p w14:paraId="49297BE7" w14:textId="40AD11F7" w:rsidR="00192C24" w:rsidRPr="00973492" w:rsidRDefault="00307B69" w:rsidP="00CE4B35">
            <w:pPr>
              <w:pStyle w:val="Tabletext"/>
              <w:jc w:val="center"/>
            </w:pPr>
            <w:r w:rsidRPr="00CE4B35">
              <w:t>3.8</w:t>
            </w:r>
          </w:p>
        </w:tc>
        <w:tc>
          <w:tcPr>
            <w:tcW w:w="809" w:type="pct"/>
            <w:shd w:val="clear" w:color="auto" w:fill="auto"/>
          </w:tcPr>
          <w:p w14:paraId="57833046" w14:textId="20DEE4CE" w:rsidR="00192C24" w:rsidRPr="00973492" w:rsidRDefault="00307B69" w:rsidP="00CE4B35">
            <w:pPr>
              <w:pStyle w:val="Tabletext"/>
              <w:jc w:val="center"/>
              <w:rPr>
                <w:rFonts w:eastAsia="Calibri"/>
              </w:rPr>
            </w:pPr>
            <w:r w:rsidRPr="00CE4B35">
              <w:t>1.9</w:t>
            </w:r>
          </w:p>
        </w:tc>
      </w:tr>
      <w:tr w:rsidR="000640C8" w:rsidRPr="00E9705C" w14:paraId="306F028E" w14:textId="77777777" w:rsidTr="465B8FF3">
        <w:trPr>
          <w:cantSplit/>
        </w:trPr>
        <w:tc>
          <w:tcPr>
            <w:tcW w:w="883" w:type="pct"/>
          </w:tcPr>
          <w:p w14:paraId="4917BD4F" w14:textId="77777777" w:rsidR="000640C8" w:rsidRPr="00B356CE" w:rsidRDefault="000640C8" w:rsidP="007145FA">
            <w:pPr>
              <w:pStyle w:val="TableBody"/>
              <w:rPr>
                <w:lang w:eastAsia="en-AU"/>
              </w:rPr>
            </w:pPr>
          </w:p>
        </w:tc>
        <w:tc>
          <w:tcPr>
            <w:tcW w:w="1691" w:type="pct"/>
          </w:tcPr>
          <w:p w14:paraId="2EC65724" w14:textId="77777777" w:rsidR="000640C8" w:rsidRPr="00E9705C" w:rsidRDefault="000640C8" w:rsidP="007145FA">
            <w:pPr>
              <w:pStyle w:val="TableBody"/>
              <w:rPr>
                <w:sz w:val="22"/>
              </w:rPr>
            </w:pPr>
            <w:r w:rsidRPr="006347A7">
              <w:t>Approximate number of avoided incidents per annum required for a net benefit</w:t>
            </w:r>
          </w:p>
        </w:tc>
        <w:tc>
          <w:tcPr>
            <w:tcW w:w="808" w:type="pct"/>
            <w:shd w:val="clear" w:color="auto" w:fill="auto"/>
          </w:tcPr>
          <w:p w14:paraId="0A09D8F2" w14:textId="6F630964" w:rsidR="000640C8" w:rsidRPr="00973492" w:rsidRDefault="00973492" w:rsidP="00CE4B35">
            <w:pPr>
              <w:pStyle w:val="Tabletext"/>
              <w:jc w:val="center"/>
              <w:rPr>
                <w:rFonts w:eastAsia="Calibri"/>
              </w:rPr>
            </w:pPr>
            <w:r w:rsidRPr="00CE4B35">
              <w:t>0.9</w:t>
            </w:r>
          </w:p>
        </w:tc>
        <w:tc>
          <w:tcPr>
            <w:tcW w:w="809" w:type="pct"/>
            <w:shd w:val="clear" w:color="auto" w:fill="auto"/>
          </w:tcPr>
          <w:p w14:paraId="36D47FBA" w14:textId="456C2848" w:rsidR="000640C8" w:rsidRPr="00973492" w:rsidRDefault="008E4109" w:rsidP="00CE4B35">
            <w:pPr>
              <w:pStyle w:val="Tabletext"/>
              <w:jc w:val="center"/>
              <w:rPr>
                <w:rFonts w:eastAsia="Calibri"/>
              </w:rPr>
            </w:pPr>
            <w:r w:rsidRPr="00CE4B35">
              <w:t>1.</w:t>
            </w:r>
            <w:r w:rsidR="00973492" w:rsidRPr="00CE4B35">
              <w:t>8</w:t>
            </w:r>
          </w:p>
        </w:tc>
        <w:tc>
          <w:tcPr>
            <w:tcW w:w="809" w:type="pct"/>
            <w:shd w:val="clear" w:color="auto" w:fill="auto"/>
          </w:tcPr>
          <w:p w14:paraId="1134C4CF" w14:textId="61521BCF" w:rsidR="000640C8" w:rsidRPr="00973492" w:rsidRDefault="008E4109" w:rsidP="00CE4B35">
            <w:pPr>
              <w:pStyle w:val="Tabletext"/>
              <w:jc w:val="center"/>
            </w:pPr>
            <w:r w:rsidRPr="00CE4B35">
              <w:t>3</w:t>
            </w:r>
            <w:r w:rsidR="00065211" w:rsidRPr="00296987">
              <w:t>.</w:t>
            </w:r>
            <w:r w:rsidR="00307B69" w:rsidRPr="00CE4B35">
              <w:t>6</w:t>
            </w:r>
          </w:p>
        </w:tc>
      </w:tr>
      <w:tr w:rsidR="000640C8" w:rsidRPr="00E9705C" w14:paraId="3E8C0AB4" w14:textId="77777777" w:rsidTr="465B8FF3">
        <w:trPr>
          <w:cantSplit/>
        </w:trPr>
        <w:tc>
          <w:tcPr>
            <w:tcW w:w="883" w:type="pct"/>
            <w:vMerge w:val="restart"/>
            <w:shd w:val="clear" w:color="auto" w:fill="F2F2F2" w:themeFill="background2" w:themeFillShade="F2"/>
          </w:tcPr>
          <w:p w14:paraId="2DC1D4C2" w14:textId="77777777" w:rsidR="000640C8" w:rsidRPr="00B356CE" w:rsidRDefault="000640C8" w:rsidP="007145FA">
            <w:pPr>
              <w:pStyle w:val="TableBody"/>
              <w:rPr>
                <w:lang w:eastAsia="en-AU"/>
              </w:rPr>
            </w:pPr>
            <w:r w:rsidRPr="00B356CE">
              <w:rPr>
                <w:lang w:eastAsia="en-AU"/>
              </w:rPr>
              <w:t>Critical financial market infrastructure assets (payment systems)</w:t>
            </w:r>
          </w:p>
        </w:tc>
        <w:tc>
          <w:tcPr>
            <w:tcW w:w="1691" w:type="pct"/>
          </w:tcPr>
          <w:p w14:paraId="000BE1C9" w14:textId="77777777" w:rsidR="000640C8" w:rsidRPr="00E9705C" w:rsidRDefault="000640C8" w:rsidP="007145FA">
            <w:pPr>
              <w:pStyle w:val="TableBody"/>
              <w:rPr>
                <w:sz w:val="22"/>
              </w:rPr>
            </w:pPr>
            <w:r w:rsidRPr="006347A7">
              <w:t>Total avoided cost to the economy of the incident</w:t>
            </w:r>
          </w:p>
        </w:tc>
        <w:tc>
          <w:tcPr>
            <w:tcW w:w="808" w:type="pct"/>
            <w:shd w:val="clear" w:color="auto" w:fill="auto"/>
          </w:tcPr>
          <w:p w14:paraId="62E17E2F" w14:textId="2CAC02B5" w:rsidR="000640C8" w:rsidRPr="00CE4B35" w:rsidRDefault="006B2C0C" w:rsidP="00CE4B35">
            <w:pPr>
              <w:pStyle w:val="Tabletext"/>
              <w:jc w:val="center"/>
              <w:rPr>
                <w:rFonts w:eastAsia="Calibri" w:cstheme="minorHAnsi"/>
              </w:rPr>
            </w:pPr>
            <w:r w:rsidRPr="00CE4B35">
              <w:rPr>
                <w:rFonts w:eastAsia="Calibri" w:cstheme="minorHAnsi"/>
              </w:rPr>
              <w:t>27.1</w:t>
            </w:r>
          </w:p>
        </w:tc>
        <w:tc>
          <w:tcPr>
            <w:tcW w:w="809" w:type="pct"/>
            <w:shd w:val="clear" w:color="auto" w:fill="auto"/>
          </w:tcPr>
          <w:p w14:paraId="7FB2CAAE" w14:textId="73C81B2D" w:rsidR="000640C8" w:rsidRPr="00CE4B35" w:rsidRDefault="006B2C0C" w:rsidP="00CE4B35">
            <w:pPr>
              <w:pStyle w:val="Tabletext"/>
              <w:jc w:val="center"/>
              <w:rPr>
                <w:rFonts w:eastAsia="Calibri" w:cstheme="minorHAnsi"/>
              </w:rPr>
            </w:pPr>
            <w:r w:rsidRPr="00CE4B35">
              <w:rPr>
                <w:rFonts w:eastAsia="Calibri" w:cstheme="minorHAnsi"/>
              </w:rPr>
              <w:t>13.5</w:t>
            </w:r>
          </w:p>
        </w:tc>
        <w:tc>
          <w:tcPr>
            <w:tcW w:w="809" w:type="pct"/>
            <w:shd w:val="clear" w:color="auto" w:fill="auto"/>
          </w:tcPr>
          <w:p w14:paraId="09167B7C" w14:textId="5EC78049" w:rsidR="000640C8" w:rsidRPr="00CE4B35" w:rsidRDefault="00C7507C" w:rsidP="00CE4B35">
            <w:pPr>
              <w:pStyle w:val="Tabletext"/>
              <w:jc w:val="center"/>
              <w:rPr>
                <w:rFonts w:eastAsia="Calibri" w:cstheme="minorHAnsi"/>
              </w:rPr>
            </w:pPr>
            <w:r w:rsidRPr="00CE4B35">
              <w:rPr>
                <w:rFonts w:eastAsia="Calibri" w:cstheme="minorHAnsi"/>
              </w:rPr>
              <w:t>6.8</w:t>
            </w:r>
          </w:p>
        </w:tc>
      </w:tr>
      <w:tr w:rsidR="000640C8" w:rsidRPr="00E9705C" w14:paraId="75F94982" w14:textId="77777777" w:rsidTr="465B8FF3">
        <w:trPr>
          <w:cantSplit/>
        </w:trPr>
        <w:tc>
          <w:tcPr>
            <w:tcW w:w="883" w:type="pct"/>
            <w:vMerge/>
          </w:tcPr>
          <w:p w14:paraId="1D83803F" w14:textId="77777777" w:rsidR="000640C8" w:rsidRPr="00B356CE" w:rsidRDefault="000640C8" w:rsidP="007145FA">
            <w:pPr>
              <w:pStyle w:val="TableBody"/>
              <w:rPr>
                <w:lang w:eastAsia="en-AU"/>
              </w:rPr>
            </w:pPr>
          </w:p>
        </w:tc>
        <w:tc>
          <w:tcPr>
            <w:tcW w:w="1691" w:type="pct"/>
          </w:tcPr>
          <w:p w14:paraId="58DBB718" w14:textId="77777777" w:rsidR="000640C8" w:rsidRPr="00E9705C" w:rsidRDefault="000640C8" w:rsidP="007145FA">
            <w:pPr>
              <w:pStyle w:val="TableBody"/>
              <w:rPr>
                <w:sz w:val="22"/>
              </w:rPr>
            </w:pPr>
            <w:r w:rsidRPr="006347A7">
              <w:t>Approximate number of avoided incidents per annum required for a net benefit</w:t>
            </w:r>
          </w:p>
        </w:tc>
        <w:tc>
          <w:tcPr>
            <w:tcW w:w="808" w:type="pct"/>
            <w:shd w:val="clear" w:color="auto" w:fill="auto"/>
          </w:tcPr>
          <w:p w14:paraId="000BF521" w14:textId="080390BD" w:rsidR="000640C8" w:rsidRPr="00CE4B35" w:rsidRDefault="006F3888" w:rsidP="00CE4B35">
            <w:pPr>
              <w:pStyle w:val="Tabletext"/>
              <w:jc w:val="center"/>
              <w:rPr>
                <w:rFonts w:eastAsia="Calibri" w:cstheme="minorHAnsi"/>
              </w:rPr>
            </w:pPr>
            <w:r w:rsidRPr="00CE4B35">
              <w:rPr>
                <w:rFonts w:eastAsia="Calibri" w:cstheme="minorHAnsi"/>
              </w:rPr>
              <w:t>0.4</w:t>
            </w:r>
          </w:p>
        </w:tc>
        <w:tc>
          <w:tcPr>
            <w:tcW w:w="809" w:type="pct"/>
            <w:shd w:val="clear" w:color="auto" w:fill="auto"/>
          </w:tcPr>
          <w:p w14:paraId="65C7AB8F" w14:textId="0BD469C5" w:rsidR="000640C8" w:rsidRPr="00CE4B35" w:rsidRDefault="006F3888" w:rsidP="00CE4B35">
            <w:pPr>
              <w:pStyle w:val="Tabletext"/>
              <w:jc w:val="center"/>
              <w:rPr>
                <w:rFonts w:eastAsia="Calibri" w:cstheme="minorHAnsi"/>
              </w:rPr>
            </w:pPr>
            <w:r w:rsidRPr="00CE4B35">
              <w:rPr>
                <w:rFonts w:eastAsia="Calibri" w:cstheme="minorHAnsi"/>
              </w:rPr>
              <w:t>0.9</w:t>
            </w:r>
          </w:p>
        </w:tc>
        <w:tc>
          <w:tcPr>
            <w:tcW w:w="809" w:type="pct"/>
            <w:shd w:val="clear" w:color="auto" w:fill="auto"/>
          </w:tcPr>
          <w:p w14:paraId="380D6C1C" w14:textId="6EEA6C80" w:rsidR="000640C8" w:rsidRPr="00CE4B35" w:rsidRDefault="006F3888" w:rsidP="00CE4B35">
            <w:pPr>
              <w:pStyle w:val="Tabletext"/>
              <w:jc w:val="center"/>
              <w:rPr>
                <w:rFonts w:eastAsia="Calibri" w:cstheme="minorHAnsi"/>
              </w:rPr>
            </w:pPr>
            <w:r w:rsidRPr="00CE4B35">
              <w:rPr>
                <w:rFonts w:eastAsia="Calibri" w:cstheme="minorHAnsi"/>
              </w:rPr>
              <w:t>1.7</w:t>
            </w:r>
          </w:p>
        </w:tc>
      </w:tr>
      <w:tr w:rsidR="00CF6480" w:rsidRPr="00E9705C" w14:paraId="62832714" w14:textId="77777777" w:rsidTr="465B8FF3">
        <w:trPr>
          <w:cantSplit/>
        </w:trPr>
        <w:tc>
          <w:tcPr>
            <w:tcW w:w="883" w:type="pct"/>
            <w:vMerge w:val="restart"/>
            <w:shd w:val="clear" w:color="auto" w:fill="F2F2F2" w:themeFill="background2" w:themeFillShade="F2"/>
          </w:tcPr>
          <w:p w14:paraId="5A93C4BB" w14:textId="77777777" w:rsidR="00CF6480" w:rsidRPr="00B356CE" w:rsidRDefault="00CF6480" w:rsidP="007145FA">
            <w:pPr>
              <w:pStyle w:val="TableBody"/>
              <w:rPr>
                <w:lang w:eastAsia="en-AU"/>
              </w:rPr>
            </w:pPr>
            <w:r w:rsidRPr="00B356CE">
              <w:rPr>
                <w:lang w:eastAsia="en-AU"/>
              </w:rPr>
              <w:t>Critical liquid fuels assets</w:t>
            </w:r>
          </w:p>
        </w:tc>
        <w:tc>
          <w:tcPr>
            <w:tcW w:w="1691" w:type="pct"/>
          </w:tcPr>
          <w:p w14:paraId="71EF2B4C" w14:textId="77777777" w:rsidR="00CF6480" w:rsidRPr="00E9705C" w:rsidRDefault="00CF6480" w:rsidP="007145FA">
            <w:pPr>
              <w:pStyle w:val="TableBody"/>
              <w:rPr>
                <w:sz w:val="22"/>
              </w:rPr>
            </w:pPr>
            <w:r w:rsidRPr="006347A7">
              <w:t>Total avoided cost to the economy of the incident</w:t>
            </w:r>
          </w:p>
        </w:tc>
        <w:tc>
          <w:tcPr>
            <w:tcW w:w="808" w:type="pct"/>
            <w:shd w:val="clear" w:color="auto" w:fill="auto"/>
          </w:tcPr>
          <w:p w14:paraId="7F5CFBFD" w14:textId="328D52AD" w:rsidR="00CF6480" w:rsidRPr="00A57625" w:rsidRDefault="00FE7455" w:rsidP="00CE4B35">
            <w:pPr>
              <w:pStyle w:val="Tabletext"/>
              <w:jc w:val="center"/>
              <w:rPr>
                <w:rFonts w:eastAsia="Calibri" w:cstheme="minorHAnsi"/>
              </w:rPr>
            </w:pPr>
            <w:r w:rsidRPr="00CE4B35">
              <w:rPr>
                <w:rFonts w:eastAsia="Calibri" w:cstheme="minorHAnsi"/>
              </w:rPr>
              <w:t>1,91</w:t>
            </w:r>
            <w:r w:rsidR="0021069F">
              <w:rPr>
                <w:rFonts w:eastAsia="Calibri" w:cstheme="minorHAnsi"/>
              </w:rPr>
              <w:t>3</w:t>
            </w:r>
            <w:r w:rsidRPr="00CE4B35">
              <w:rPr>
                <w:rFonts w:eastAsia="Calibri" w:cstheme="minorHAnsi"/>
              </w:rPr>
              <w:t>.0</w:t>
            </w:r>
          </w:p>
        </w:tc>
        <w:tc>
          <w:tcPr>
            <w:tcW w:w="809" w:type="pct"/>
            <w:shd w:val="clear" w:color="auto" w:fill="auto"/>
          </w:tcPr>
          <w:p w14:paraId="2D3C2301" w14:textId="2970F8D7" w:rsidR="00CF6480" w:rsidRPr="00CE4B35" w:rsidRDefault="004F1F64" w:rsidP="00CE4B35">
            <w:pPr>
              <w:pStyle w:val="Tabletext"/>
              <w:jc w:val="center"/>
              <w:rPr>
                <w:rFonts w:eastAsia="Calibri" w:cstheme="minorHAnsi"/>
              </w:rPr>
            </w:pPr>
            <w:r w:rsidRPr="00CE4B35">
              <w:rPr>
                <w:rFonts w:eastAsia="Calibri" w:cstheme="minorHAnsi"/>
              </w:rPr>
              <w:t>1</w:t>
            </w:r>
            <w:r w:rsidR="00192C24" w:rsidRPr="00CE4B35">
              <w:rPr>
                <w:rFonts w:eastAsia="Calibri" w:cstheme="minorHAnsi"/>
              </w:rPr>
              <w:t>,</w:t>
            </w:r>
            <w:r w:rsidR="00FE7455" w:rsidRPr="00CE4B35">
              <w:rPr>
                <w:rFonts w:eastAsia="Calibri" w:cstheme="minorHAnsi"/>
              </w:rPr>
              <w:t>001</w:t>
            </w:r>
            <w:r w:rsidRPr="00CE4B35">
              <w:rPr>
                <w:rFonts w:eastAsia="Calibri" w:cstheme="minorHAnsi"/>
              </w:rPr>
              <w:t>.0</w:t>
            </w:r>
          </w:p>
        </w:tc>
        <w:tc>
          <w:tcPr>
            <w:tcW w:w="809" w:type="pct"/>
            <w:shd w:val="clear" w:color="auto" w:fill="auto"/>
          </w:tcPr>
          <w:p w14:paraId="7717AE35" w14:textId="5E29A3C5" w:rsidR="00CF6480" w:rsidRPr="00CE4B35" w:rsidRDefault="00F059C0" w:rsidP="00CE4B35">
            <w:pPr>
              <w:pStyle w:val="Tabletext"/>
              <w:jc w:val="center"/>
              <w:rPr>
                <w:rFonts w:eastAsia="Calibri" w:cstheme="minorHAnsi"/>
              </w:rPr>
            </w:pPr>
            <w:r>
              <w:rPr>
                <w:rFonts w:eastAsia="Calibri" w:cstheme="minorHAnsi"/>
              </w:rPr>
              <w:t>14.5</w:t>
            </w:r>
          </w:p>
        </w:tc>
      </w:tr>
      <w:tr w:rsidR="00CF6480" w:rsidRPr="00E9705C" w14:paraId="3FDEB7B6" w14:textId="77777777" w:rsidTr="465B8FF3">
        <w:trPr>
          <w:cantSplit/>
        </w:trPr>
        <w:tc>
          <w:tcPr>
            <w:tcW w:w="883" w:type="pct"/>
            <w:vMerge/>
          </w:tcPr>
          <w:p w14:paraId="5C7F25F9" w14:textId="77777777" w:rsidR="00CF6480" w:rsidRPr="00B356CE" w:rsidRDefault="00CF6480" w:rsidP="007145FA">
            <w:pPr>
              <w:pStyle w:val="TableBody"/>
              <w:rPr>
                <w:lang w:eastAsia="en-AU"/>
              </w:rPr>
            </w:pPr>
          </w:p>
        </w:tc>
        <w:tc>
          <w:tcPr>
            <w:tcW w:w="1691" w:type="pct"/>
          </w:tcPr>
          <w:p w14:paraId="14E09707" w14:textId="77777777" w:rsidR="00CF6480" w:rsidRPr="00E9705C" w:rsidRDefault="00CF6480" w:rsidP="007145FA">
            <w:pPr>
              <w:pStyle w:val="TableBody"/>
              <w:rPr>
                <w:sz w:val="22"/>
              </w:rPr>
            </w:pPr>
            <w:r w:rsidRPr="006347A7">
              <w:t>Approximate number of avoided incidents per annum required for a net benefit</w:t>
            </w:r>
          </w:p>
        </w:tc>
        <w:tc>
          <w:tcPr>
            <w:tcW w:w="808" w:type="pct"/>
            <w:shd w:val="clear" w:color="auto" w:fill="auto"/>
          </w:tcPr>
          <w:p w14:paraId="070EABA8" w14:textId="7E7CA5E9" w:rsidR="00CF6480" w:rsidRPr="00A57625" w:rsidRDefault="004F1F64" w:rsidP="00CE4B35">
            <w:pPr>
              <w:pStyle w:val="Tabletext"/>
              <w:jc w:val="center"/>
              <w:rPr>
                <w:rFonts w:eastAsia="Calibri" w:cstheme="minorHAnsi"/>
              </w:rPr>
            </w:pPr>
            <w:r w:rsidRPr="00CE4B35">
              <w:rPr>
                <w:rFonts w:eastAsia="Calibri" w:cstheme="minorHAnsi"/>
              </w:rPr>
              <w:t>Less than 0.1</w:t>
            </w:r>
          </w:p>
        </w:tc>
        <w:tc>
          <w:tcPr>
            <w:tcW w:w="809" w:type="pct"/>
            <w:shd w:val="clear" w:color="auto" w:fill="auto"/>
          </w:tcPr>
          <w:p w14:paraId="58DC03C7" w14:textId="0EF5EAB0" w:rsidR="00CF6480" w:rsidRPr="00DC490A" w:rsidRDefault="004F1F64" w:rsidP="00CE4B35">
            <w:pPr>
              <w:pStyle w:val="Tabletext"/>
              <w:jc w:val="center"/>
              <w:rPr>
                <w:rFonts w:eastAsia="Calibri" w:cstheme="minorHAnsi"/>
              </w:rPr>
            </w:pPr>
            <w:r w:rsidRPr="00CE4B35">
              <w:rPr>
                <w:rFonts w:eastAsia="Calibri" w:cstheme="minorHAnsi"/>
              </w:rPr>
              <w:t>Less than 0.1</w:t>
            </w:r>
          </w:p>
        </w:tc>
        <w:tc>
          <w:tcPr>
            <w:tcW w:w="809" w:type="pct"/>
            <w:shd w:val="clear" w:color="auto" w:fill="auto"/>
          </w:tcPr>
          <w:p w14:paraId="0B89C888" w14:textId="25D3FD20" w:rsidR="00CF6480" w:rsidRPr="00CE4B35" w:rsidRDefault="00F75779" w:rsidP="00CE4B35">
            <w:pPr>
              <w:pStyle w:val="Tabletext"/>
              <w:jc w:val="center"/>
              <w:rPr>
                <w:rFonts w:eastAsia="Calibri" w:cstheme="minorHAnsi"/>
              </w:rPr>
            </w:pPr>
            <w:r>
              <w:rPr>
                <w:rFonts w:eastAsia="Calibri" w:cstheme="minorHAnsi"/>
              </w:rPr>
              <w:t>1.1</w:t>
            </w:r>
          </w:p>
        </w:tc>
      </w:tr>
      <w:tr w:rsidR="000640C8" w:rsidRPr="00E9705C" w14:paraId="6EE30F66" w14:textId="77777777" w:rsidTr="465B8FF3">
        <w:trPr>
          <w:cantSplit/>
        </w:trPr>
        <w:tc>
          <w:tcPr>
            <w:tcW w:w="883" w:type="pct"/>
            <w:vMerge w:val="restart"/>
            <w:shd w:val="clear" w:color="auto" w:fill="F2F2F2" w:themeFill="background2" w:themeFillShade="F2"/>
          </w:tcPr>
          <w:p w14:paraId="5E3AA4B2" w14:textId="77777777" w:rsidR="000640C8" w:rsidRPr="00B356CE" w:rsidRDefault="000640C8" w:rsidP="007145FA">
            <w:pPr>
              <w:pStyle w:val="TableBody"/>
              <w:rPr>
                <w:lang w:eastAsia="en-AU"/>
              </w:rPr>
            </w:pPr>
            <w:r w:rsidRPr="00B356CE">
              <w:rPr>
                <w:lang w:eastAsia="en-AU"/>
              </w:rPr>
              <w:t>Critical hospitals</w:t>
            </w:r>
          </w:p>
        </w:tc>
        <w:tc>
          <w:tcPr>
            <w:tcW w:w="1691" w:type="pct"/>
          </w:tcPr>
          <w:p w14:paraId="0ACD29DE" w14:textId="77777777" w:rsidR="000640C8" w:rsidRPr="00E9705C" w:rsidRDefault="000640C8" w:rsidP="007145FA">
            <w:pPr>
              <w:pStyle w:val="TableBody"/>
              <w:rPr>
                <w:sz w:val="22"/>
              </w:rPr>
            </w:pPr>
            <w:r w:rsidRPr="006347A7">
              <w:t>Total avoided cost to the economy of the incident</w:t>
            </w:r>
          </w:p>
        </w:tc>
        <w:tc>
          <w:tcPr>
            <w:tcW w:w="808" w:type="pct"/>
            <w:shd w:val="clear" w:color="auto" w:fill="auto"/>
          </w:tcPr>
          <w:p w14:paraId="7BCBDE05" w14:textId="02A5B1EE" w:rsidR="000640C8" w:rsidRPr="00DC490A" w:rsidRDefault="007E6C30" w:rsidP="00CE4B35">
            <w:pPr>
              <w:pStyle w:val="Tabletext"/>
              <w:jc w:val="center"/>
              <w:rPr>
                <w:rFonts w:eastAsia="Calibri" w:cstheme="minorHAnsi"/>
              </w:rPr>
            </w:pPr>
            <w:r w:rsidRPr="00CE4B35">
              <w:rPr>
                <w:rFonts w:eastAsia="Calibri" w:cstheme="minorHAnsi"/>
              </w:rPr>
              <w:t>229</w:t>
            </w:r>
            <w:r w:rsidR="00716AF5" w:rsidRPr="00CE4B35">
              <w:rPr>
                <w:rFonts w:eastAsia="Calibri" w:cstheme="minorHAnsi"/>
              </w:rPr>
              <w:t>.8</w:t>
            </w:r>
          </w:p>
        </w:tc>
        <w:tc>
          <w:tcPr>
            <w:tcW w:w="809" w:type="pct"/>
            <w:shd w:val="clear" w:color="auto" w:fill="auto"/>
          </w:tcPr>
          <w:p w14:paraId="571164BE" w14:textId="208388CB" w:rsidR="000640C8" w:rsidRPr="00DC490A" w:rsidRDefault="00880D36" w:rsidP="00CE4B35">
            <w:pPr>
              <w:pStyle w:val="Tabletext"/>
              <w:jc w:val="center"/>
              <w:rPr>
                <w:rFonts w:eastAsia="Calibri" w:cstheme="minorHAnsi"/>
              </w:rPr>
            </w:pPr>
            <w:r w:rsidRPr="00CE4B35">
              <w:rPr>
                <w:rFonts w:eastAsia="Calibri" w:cstheme="minorHAnsi"/>
              </w:rPr>
              <w:t>114.9</w:t>
            </w:r>
          </w:p>
        </w:tc>
        <w:tc>
          <w:tcPr>
            <w:tcW w:w="809" w:type="pct"/>
            <w:shd w:val="clear" w:color="auto" w:fill="auto"/>
          </w:tcPr>
          <w:p w14:paraId="5152C1D6" w14:textId="7123A890" w:rsidR="000640C8" w:rsidRPr="00CE4B35" w:rsidRDefault="00880D36" w:rsidP="00CE4B35">
            <w:pPr>
              <w:pStyle w:val="Tabletext"/>
              <w:jc w:val="center"/>
              <w:rPr>
                <w:rFonts w:eastAsia="Calibri" w:cstheme="minorHAnsi"/>
              </w:rPr>
            </w:pPr>
            <w:r w:rsidRPr="00CE4B35">
              <w:rPr>
                <w:rFonts w:eastAsia="Calibri" w:cstheme="minorHAnsi"/>
              </w:rPr>
              <w:t>23.0</w:t>
            </w:r>
          </w:p>
        </w:tc>
      </w:tr>
      <w:tr w:rsidR="000640C8" w:rsidRPr="00E9705C" w14:paraId="6F621438" w14:textId="77777777" w:rsidTr="465B8FF3">
        <w:trPr>
          <w:cantSplit/>
        </w:trPr>
        <w:tc>
          <w:tcPr>
            <w:tcW w:w="883" w:type="pct"/>
            <w:vMerge/>
          </w:tcPr>
          <w:p w14:paraId="17D2A209" w14:textId="77777777" w:rsidR="000640C8" w:rsidRPr="007817B0" w:rsidRDefault="000640C8" w:rsidP="007145FA">
            <w:pPr>
              <w:pStyle w:val="TableBody"/>
              <w:rPr>
                <w:lang w:eastAsia="en-AU"/>
              </w:rPr>
            </w:pPr>
          </w:p>
        </w:tc>
        <w:tc>
          <w:tcPr>
            <w:tcW w:w="1691" w:type="pct"/>
          </w:tcPr>
          <w:p w14:paraId="069EEEFE" w14:textId="77777777" w:rsidR="000640C8" w:rsidRPr="00E9705C" w:rsidRDefault="000640C8" w:rsidP="007145FA">
            <w:pPr>
              <w:pStyle w:val="TableBody"/>
              <w:rPr>
                <w:sz w:val="22"/>
              </w:rPr>
            </w:pPr>
            <w:r w:rsidRPr="006347A7">
              <w:t>Approximate number of avoided incidents per annum required for a net benefit</w:t>
            </w:r>
          </w:p>
        </w:tc>
        <w:tc>
          <w:tcPr>
            <w:tcW w:w="808" w:type="pct"/>
            <w:shd w:val="clear" w:color="auto" w:fill="auto"/>
          </w:tcPr>
          <w:p w14:paraId="1A4330D6" w14:textId="167BDF0D" w:rsidR="000640C8" w:rsidRPr="00DC490A" w:rsidRDefault="00716AF5" w:rsidP="00CE4B35">
            <w:pPr>
              <w:pStyle w:val="Tabletext"/>
              <w:jc w:val="center"/>
              <w:rPr>
                <w:rFonts w:eastAsia="Calibri" w:cstheme="minorHAnsi"/>
              </w:rPr>
            </w:pPr>
            <w:r w:rsidRPr="00CE4B35">
              <w:rPr>
                <w:rFonts w:eastAsia="Calibri" w:cstheme="minorHAnsi"/>
              </w:rPr>
              <w:t>4.1</w:t>
            </w:r>
          </w:p>
        </w:tc>
        <w:tc>
          <w:tcPr>
            <w:tcW w:w="809" w:type="pct"/>
            <w:shd w:val="clear" w:color="auto" w:fill="auto"/>
          </w:tcPr>
          <w:p w14:paraId="1EB53BD0" w14:textId="193A79FC" w:rsidR="000640C8" w:rsidRPr="00DC490A" w:rsidRDefault="00716AF5" w:rsidP="00CE4B35">
            <w:pPr>
              <w:pStyle w:val="Tabletext"/>
              <w:jc w:val="center"/>
              <w:rPr>
                <w:rFonts w:eastAsia="Calibri" w:cstheme="minorHAnsi"/>
              </w:rPr>
            </w:pPr>
            <w:r w:rsidRPr="00CE4B35">
              <w:rPr>
                <w:rFonts w:eastAsia="Calibri" w:cstheme="minorHAnsi"/>
              </w:rPr>
              <w:t>8.1</w:t>
            </w:r>
          </w:p>
        </w:tc>
        <w:tc>
          <w:tcPr>
            <w:tcW w:w="809" w:type="pct"/>
            <w:shd w:val="clear" w:color="auto" w:fill="auto"/>
          </w:tcPr>
          <w:p w14:paraId="29C46BA3" w14:textId="3E199385" w:rsidR="000640C8" w:rsidRPr="00CE4B35" w:rsidRDefault="00716AF5" w:rsidP="00CE4B35">
            <w:pPr>
              <w:pStyle w:val="Tabletext"/>
              <w:jc w:val="center"/>
              <w:rPr>
                <w:rFonts w:eastAsia="Calibri" w:cstheme="minorHAnsi"/>
              </w:rPr>
            </w:pPr>
            <w:r w:rsidRPr="00CE4B35">
              <w:rPr>
                <w:rFonts w:eastAsia="Calibri" w:cstheme="minorHAnsi"/>
              </w:rPr>
              <w:t>40.7</w:t>
            </w:r>
          </w:p>
        </w:tc>
      </w:tr>
      <w:tr w:rsidR="00F80739" w:rsidRPr="00E9705C" w14:paraId="4B4F7ADA" w14:textId="77777777" w:rsidTr="465B8FF3">
        <w:trPr>
          <w:cantSplit/>
        </w:trPr>
        <w:tc>
          <w:tcPr>
            <w:tcW w:w="883" w:type="pct"/>
            <w:vMerge w:val="restart"/>
            <w:shd w:val="clear" w:color="auto" w:fill="F2F2F2" w:themeFill="background2" w:themeFillShade="F2"/>
          </w:tcPr>
          <w:p w14:paraId="20AE978A" w14:textId="77777777" w:rsidR="00F80739" w:rsidRPr="007817B0" w:rsidRDefault="00F80739" w:rsidP="007145FA">
            <w:pPr>
              <w:pStyle w:val="TableBody"/>
              <w:rPr>
                <w:lang w:eastAsia="en-AU"/>
              </w:rPr>
            </w:pPr>
            <w:r w:rsidRPr="007817B0">
              <w:rPr>
                <w:lang w:eastAsia="en-AU"/>
              </w:rPr>
              <w:t>Critical energy market operator assets</w:t>
            </w:r>
          </w:p>
        </w:tc>
        <w:tc>
          <w:tcPr>
            <w:tcW w:w="1691" w:type="pct"/>
          </w:tcPr>
          <w:p w14:paraId="64F851E3" w14:textId="77777777" w:rsidR="00F80739" w:rsidRPr="00E9705C" w:rsidRDefault="00F80739" w:rsidP="007145FA">
            <w:pPr>
              <w:pStyle w:val="TableBody"/>
              <w:rPr>
                <w:sz w:val="22"/>
              </w:rPr>
            </w:pPr>
            <w:r w:rsidRPr="006347A7">
              <w:t>Total avoided cost to the economy of the incident</w:t>
            </w:r>
          </w:p>
        </w:tc>
        <w:tc>
          <w:tcPr>
            <w:tcW w:w="808" w:type="pct"/>
            <w:shd w:val="clear" w:color="auto" w:fill="auto"/>
          </w:tcPr>
          <w:p w14:paraId="256A599E" w14:textId="250A5A69" w:rsidR="00F80739" w:rsidRPr="00DC490A" w:rsidRDefault="00C31E25" w:rsidP="00CE4B35">
            <w:pPr>
              <w:pStyle w:val="Tabletext"/>
              <w:jc w:val="center"/>
              <w:rPr>
                <w:rFonts w:eastAsia="Calibri" w:cstheme="minorHAnsi"/>
              </w:rPr>
            </w:pPr>
            <w:r w:rsidRPr="00CE4B35">
              <w:rPr>
                <w:rFonts w:eastAsia="Calibri" w:cstheme="minorHAnsi"/>
              </w:rPr>
              <w:t>1,280.0</w:t>
            </w:r>
          </w:p>
        </w:tc>
        <w:tc>
          <w:tcPr>
            <w:tcW w:w="809" w:type="pct"/>
            <w:shd w:val="clear" w:color="auto" w:fill="auto"/>
          </w:tcPr>
          <w:p w14:paraId="7BFCC84E" w14:textId="193B3BFF" w:rsidR="00F80739" w:rsidRPr="00DC490A" w:rsidRDefault="00C31E25" w:rsidP="00CE4B35">
            <w:pPr>
              <w:pStyle w:val="Tabletext"/>
              <w:jc w:val="center"/>
              <w:rPr>
                <w:rFonts w:eastAsia="Calibri" w:cstheme="minorHAnsi"/>
              </w:rPr>
            </w:pPr>
            <w:r w:rsidRPr="00CE4B35">
              <w:rPr>
                <w:rFonts w:eastAsia="Calibri" w:cstheme="minorHAnsi"/>
              </w:rPr>
              <w:t>850.0</w:t>
            </w:r>
          </w:p>
        </w:tc>
        <w:tc>
          <w:tcPr>
            <w:tcW w:w="809" w:type="pct"/>
            <w:shd w:val="clear" w:color="auto" w:fill="auto"/>
          </w:tcPr>
          <w:p w14:paraId="2B9D443C" w14:textId="107974EA" w:rsidR="00F80739" w:rsidRPr="00DC490A" w:rsidRDefault="00C31E25" w:rsidP="00CE4B35">
            <w:pPr>
              <w:pStyle w:val="Tabletext"/>
              <w:jc w:val="center"/>
              <w:rPr>
                <w:rFonts w:eastAsia="Calibri" w:cstheme="minorHAnsi"/>
              </w:rPr>
            </w:pPr>
            <w:r w:rsidRPr="00CE4B35">
              <w:rPr>
                <w:rFonts w:eastAsia="Calibri" w:cstheme="minorHAnsi"/>
              </w:rPr>
              <w:t>490.0</w:t>
            </w:r>
          </w:p>
        </w:tc>
      </w:tr>
      <w:tr w:rsidR="00F80739" w:rsidRPr="00E9705C" w14:paraId="6592F890" w14:textId="77777777" w:rsidTr="465B8FF3">
        <w:trPr>
          <w:cantSplit/>
        </w:trPr>
        <w:tc>
          <w:tcPr>
            <w:tcW w:w="883" w:type="pct"/>
            <w:vMerge/>
          </w:tcPr>
          <w:p w14:paraId="4328DADB" w14:textId="77777777" w:rsidR="00F80739" w:rsidRPr="00E9705C" w:rsidRDefault="00F80739" w:rsidP="007145FA">
            <w:pPr>
              <w:widowControl w:val="0"/>
              <w:spacing w:before="60" w:after="60"/>
              <w:rPr>
                <w:rFonts w:ascii="Arial" w:eastAsia="Calibri" w:hAnsi="Arial" w:cs="Arial"/>
                <w:sz w:val="22"/>
              </w:rPr>
            </w:pPr>
          </w:p>
        </w:tc>
        <w:tc>
          <w:tcPr>
            <w:tcW w:w="1691" w:type="pct"/>
          </w:tcPr>
          <w:p w14:paraId="1160DF59" w14:textId="77777777" w:rsidR="00F80739" w:rsidRPr="00E9705C" w:rsidRDefault="00F80739" w:rsidP="007145FA">
            <w:pPr>
              <w:pStyle w:val="TableBody"/>
              <w:rPr>
                <w:sz w:val="22"/>
              </w:rPr>
            </w:pPr>
            <w:r w:rsidRPr="006347A7">
              <w:t>Approximate number of avoided incidents per annum required for a net benefit</w:t>
            </w:r>
          </w:p>
        </w:tc>
        <w:tc>
          <w:tcPr>
            <w:tcW w:w="808" w:type="pct"/>
            <w:shd w:val="clear" w:color="auto" w:fill="auto"/>
          </w:tcPr>
          <w:p w14:paraId="4C65205D" w14:textId="77777777" w:rsidR="00F80739" w:rsidRPr="00DC490A" w:rsidRDefault="00ED11D2" w:rsidP="00CE4B35">
            <w:pPr>
              <w:pStyle w:val="Tabletext"/>
              <w:jc w:val="center"/>
              <w:rPr>
                <w:rFonts w:eastAsia="Calibri" w:cstheme="minorHAnsi"/>
              </w:rPr>
            </w:pPr>
            <w:r w:rsidRPr="00CE4B35">
              <w:rPr>
                <w:rFonts w:eastAsia="Calibri" w:cstheme="minorHAnsi"/>
              </w:rPr>
              <w:t xml:space="preserve">Less than </w:t>
            </w:r>
            <w:r w:rsidR="00F80739" w:rsidRPr="00CE4B35">
              <w:rPr>
                <w:rFonts w:eastAsia="Calibri" w:cstheme="minorHAnsi"/>
              </w:rPr>
              <w:t>0.</w:t>
            </w:r>
            <w:r w:rsidR="005C7133" w:rsidRPr="00CE4B35">
              <w:rPr>
                <w:rFonts w:eastAsia="Calibri" w:cstheme="minorHAnsi"/>
              </w:rPr>
              <w:t>1</w:t>
            </w:r>
          </w:p>
        </w:tc>
        <w:tc>
          <w:tcPr>
            <w:tcW w:w="809" w:type="pct"/>
            <w:shd w:val="clear" w:color="auto" w:fill="auto"/>
          </w:tcPr>
          <w:p w14:paraId="5E97711E" w14:textId="77777777" w:rsidR="00F80739" w:rsidRPr="00DC490A" w:rsidRDefault="00ED11D2" w:rsidP="00CE4B35">
            <w:pPr>
              <w:pStyle w:val="Tabletext"/>
              <w:jc w:val="center"/>
              <w:rPr>
                <w:rFonts w:eastAsia="Calibri" w:cstheme="minorHAnsi"/>
              </w:rPr>
            </w:pPr>
            <w:r w:rsidRPr="00CE4B35">
              <w:rPr>
                <w:rFonts w:eastAsia="Calibri" w:cstheme="minorHAnsi"/>
              </w:rPr>
              <w:t xml:space="preserve">Less than </w:t>
            </w:r>
            <w:r w:rsidR="00F80739" w:rsidRPr="00CE4B35">
              <w:rPr>
                <w:rFonts w:eastAsia="Calibri" w:cstheme="minorHAnsi"/>
              </w:rPr>
              <w:t>0.</w:t>
            </w:r>
            <w:r w:rsidR="005C7133" w:rsidRPr="00CE4B35">
              <w:rPr>
                <w:rFonts w:eastAsia="Calibri" w:cstheme="minorHAnsi"/>
              </w:rPr>
              <w:t>1</w:t>
            </w:r>
          </w:p>
        </w:tc>
        <w:tc>
          <w:tcPr>
            <w:tcW w:w="809" w:type="pct"/>
            <w:shd w:val="clear" w:color="auto" w:fill="auto"/>
          </w:tcPr>
          <w:p w14:paraId="72DB63DD" w14:textId="77777777" w:rsidR="00F80739" w:rsidRPr="00DC490A" w:rsidRDefault="00F80739" w:rsidP="00CE4B35">
            <w:pPr>
              <w:pStyle w:val="Tabletext"/>
              <w:jc w:val="center"/>
              <w:rPr>
                <w:rFonts w:eastAsia="Calibri" w:cstheme="minorHAnsi"/>
              </w:rPr>
            </w:pPr>
            <w:r w:rsidRPr="00CE4B35">
              <w:rPr>
                <w:rFonts w:eastAsia="Calibri" w:cstheme="minorHAnsi"/>
              </w:rPr>
              <w:t>0.1</w:t>
            </w:r>
          </w:p>
        </w:tc>
      </w:tr>
      <w:tr w:rsidR="00AA2E3B" w:rsidRPr="00E9705C" w14:paraId="318BF3E4" w14:textId="77777777" w:rsidTr="465B8FF3">
        <w:trPr>
          <w:cantSplit/>
        </w:trPr>
        <w:tc>
          <w:tcPr>
            <w:tcW w:w="883" w:type="pct"/>
            <w:vMerge w:val="restart"/>
            <w:shd w:val="clear" w:color="auto" w:fill="F2F2F2" w:themeFill="background2" w:themeFillShade="F2"/>
          </w:tcPr>
          <w:p w14:paraId="6738C0D5" w14:textId="6BD05680" w:rsidR="00AA2E3B" w:rsidRPr="00E9705C" w:rsidRDefault="00AA2E3B" w:rsidP="00AA2E3B">
            <w:pPr>
              <w:widowControl w:val="0"/>
              <w:spacing w:before="60" w:after="60"/>
              <w:rPr>
                <w:rFonts w:ascii="Arial" w:eastAsia="Calibri" w:hAnsi="Arial" w:cs="Arial"/>
                <w:sz w:val="22"/>
              </w:rPr>
            </w:pPr>
            <w:r w:rsidRPr="00B356CE">
              <w:rPr>
                <w:lang w:eastAsia="en-AU"/>
              </w:rPr>
              <w:t>Critical freight infrastructure and freight services assets</w:t>
            </w:r>
          </w:p>
        </w:tc>
        <w:tc>
          <w:tcPr>
            <w:tcW w:w="1691" w:type="pct"/>
          </w:tcPr>
          <w:p w14:paraId="074A99D4" w14:textId="32936210" w:rsidR="00AA2E3B" w:rsidRPr="006347A7" w:rsidRDefault="00AA2E3B" w:rsidP="00AA2E3B">
            <w:pPr>
              <w:pStyle w:val="TableBody"/>
            </w:pPr>
            <w:r w:rsidRPr="006347A7">
              <w:t>Total avoided cost to the economy of the incident</w:t>
            </w:r>
          </w:p>
        </w:tc>
        <w:tc>
          <w:tcPr>
            <w:tcW w:w="808" w:type="pct"/>
            <w:shd w:val="clear" w:color="auto" w:fill="auto"/>
          </w:tcPr>
          <w:p w14:paraId="53FC0373" w14:textId="39946315" w:rsidR="00AA2E3B" w:rsidRPr="00CE4B35" w:rsidRDefault="0065749E" w:rsidP="00CE4B35">
            <w:pPr>
              <w:pStyle w:val="Tabletext"/>
              <w:jc w:val="center"/>
              <w:rPr>
                <w:rFonts w:eastAsia="Calibri" w:cstheme="minorHAnsi"/>
              </w:rPr>
            </w:pPr>
            <w:r w:rsidRPr="00CE4B35">
              <w:rPr>
                <w:rFonts w:eastAsia="Calibri" w:cstheme="minorHAnsi"/>
              </w:rPr>
              <w:t>724.1</w:t>
            </w:r>
          </w:p>
        </w:tc>
        <w:tc>
          <w:tcPr>
            <w:tcW w:w="809" w:type="pct"/>
            <w:shd w:val="clear" w:color="auto" w:fill="auto"/>
          </w:tcPr>
          <w:p w14:paraId="061D3DC7" w14:textId="6B78D845" w:rsidR="00AA2E3B" w:rsidRPr="00CE4B35" w:rsidRDefault="0065749E" w:rsidP="00CE4B35">
            <w:pPr>
              <w:pStyle w:val="Tabletext"/>
              <w:jc w:val="center"/>
              <w:rPr>
                <w:rFonts w:eastAsia="Calibri" w:cstheme="minorHAnsi"/>
              </w:rPr>
            </w:pPr>
            <w:r w:rsidRPr="00CE4B35">
              <w:rPr>
                <w:rFonts w:eastAsia="Calibri" w:cstheme="minorHAnsi"/>
              </w:rPr>
              <w:t>362.0</w:t>
            </w:r>
          </w:p>
        </w:tc>
        <w:tc>
          <w:tcPr>
            <w:tcW w:w="809" w:type="pct"/>
            <w:shd w:val="clear" w:color="auto" w:fill="auto"/>
          </w:tcPr>
          <w:p w14:paraId="2AD7BD75" w14:textId="219EEA21" w:rsidR="00AA2E3B" w:rsidRPr="00CE4B35" w:rsidRDefault="0065749E" w:rsidP="00CE4B35">
            <w:pPr>
              <w:pStyle w:val="Tabletext"/>
              <w:jc w:val="center"/>
              <w:rPr>
                <w:rFonts w:eastAsia="Calibri" w:cstheme="minorHAnsi"/>
              </w:rPr>
            </w:pPr>
            <w:r w:rsidRPr="00CE4B35">
              <w:rPr>
                <w:rFonts w:eastAsia="Calibri" w:cstheme="minorHAnsi"/>
              </w:rPr>
              <w:t>18.1</w:t>
            </w:r>
          </w:p>
        </w:tc>
      </w:tr>
      <w:tr w:rsidR="00AA2E3B" w:rsidRPr="00E9705C" w14:paraId="42571D63" w14:textId="77777777" w:rsidTr="465B8FF3">
        <w:trPr>
          <w:cantSplit/>
        </w:trPr>
        <w:tc>
          <w:tcPr>
            <w:tcW w:w="883" w:type="pct"/>
            <w:vMerge/>
          </w:tcPr>
          <w:p w14:paraId="6118491E" w14:textId="77777777" w:rsidR="00AA2E3B" w:rsidRPr="00E9705C" w:rsidRDefault="00AA2E3B" w:rsidP="00AA2E3B">
            <w:pPr>
              <w:widowControl w:val="0"/>
              <w:spacing w:before="60" w:after="60"/>
              <w:rPr>
                <w:rFonts w:ascii="Arial" w:eastAsia="Calibri" w:hAnsi="Arial" w:cs="Arial"/>
                <w:sz w:val="22"/>
              </w:rPr>
            </w:pPr>
          </w:p>
        </w:tc>
        <w:tc>
          <w:tcPr>
            <w:tcW w:w="1691" w:type="pct"/>
          </w:tcPr>
          <w:p w14:paraId="7BB9F530" w14:textId="62015374" w:rsidR="00AA2E3B" w:rsidRPr="006347A7" w:rsidRDefault="00AA2E3B" w:rsidP="00AA2E3B">
            <w:pPr>
              <w:pStyle w:val="TableBody"/>
            </w:pPr>
            <w:r w:rsidRPr="006347A7">
              <w:t>Approximate number of avoided incidents per annum required for a net benefit</w:t>
            </w:r>
          </w:p>
        </w:tc>
        <w:tc>
          <w:tcPr>
            <w:tcW w:w="808" w:type="pct"/>
            <w:shd w:val="clear" w:color="auto" w:fill="auto"/>
          </w:tcPr>
          <w:p w14:paraId="280024DB" w14:textId="67EB824C" w:rsidR="00AA2E3B" w:rsidRPr="00CE4B35" w:rsidRDefault="00AA2E3B" w:rsidP="00CE4B35">
            <w:pPr>
              <w:pStyle w:val="Tabletext"/>
              <w:jc w:val="center"/>
              <w:rPr>
                <w:rFonts w:eastAsia="Calibri" w:cstheme="minorHAnsi"/>
              </w:rPr>
            </w:pPr>
            <w:r w:rsidRPr="00CE4B35">
              <w:rPr>
                <w:rFonts w:eastAsia="Calibri" w:cstheme="minorHAnsi"/>
              </w:rPr>
              <w:t>0.4</w:t>
            </w:r>
          </w:p>
        </w:tc>
        <w:tc>
          <w:tcPr>
            <w:tcW w:w="809" w:type="pct"/>
            <w:shd w:val="clear" w:color="auto" w:fill="auto"/>
          </w:tcPr>
          <w:p w14:paraId="2892A71F" w14:textId="064A3CC5" w:rsidR="00AA2E3B" w:rsidRPr="00CE4B35" w:rsidRDefault="00AA2E3B" w:rsidP="00CE4B35">
            <w:pPr>
              <w:pStyle w:val="Tabletext"/>
              <w:jc w:val="center"/>
              <w:rPr>
                <w:rFonts w:eastAsia="Calibri" w:cstheme="minorHAnsi"/>
              </w:rPr>
            </w:pPr>
            <w:r w:rsidRPr="00CE4B35">
              <w:rPr>
                <w:rFonts w:eastAsia="Calibri" w:cstheme="minorHAnsi"/>
              </w:rPr>
              <w:t>0.</w:t>
            </w:r>
            <w:r w:rsidR="000626A0" w:rsidRPr="00CE4B35">
              <w:rPr>
                <w:rFonts w:eastAsia="Calibri" w:cstheme="minorHAnsi"/>
              </w:rPr>
              <w:t>8</w:t>
            </w:r>
          </w:p>
        </w:tc>
        <w:tc>
          <w:tcPr>
            <w:tcW w:w="809" w:type="pct"/>
            <w:shd w:val="clear" w:color="auto" w:fill="auto"/>
          </w:tcPr>
          <w:p w14:paraId="1D2227A1" w14:textId="430B2AAA" w:rsidR="00AA2E3B" w:rsidRPr="00CE4B35" w:rsidRDefault="00AA2E3B" w:rsidP="00CE4B35">
            <w:pPr>
              <w:pStyle w:val="Tabletext"/>
              <w:jc w:val="center"/>
              <w:rPr>
                <w:rFonts w:eastAsia="Calibri" w:cstheme="minorHAnsi"/>
              </w:rPr>
            </w:pPr>
            <w:r w:rsidRPr="00CE4B35">
              <w:rPr>
                <w:rFonts w:eastAsia="Calibri" w:cstheme="minorHAnsi"/>
              </w:rPr>
              <w:t>1</w:t>
            </w:r>
            <w:r w:rsidR="0086751E" w:rsidRPr="00CE4B35">
              <w:rPr>
                <w:rFonts w:eastAsia="Calibri" w:cstheme="minorHAnsi"/>
              </w:rPr>
              <w:t>5.6</w:t>
            </w:r>
          </w:p>
        </w:tc>
      </w:tr>
      <w:tr w:rsidR="00624932" w:rsidRPr="00C153B7" w14:paraId="57B7EC31" w14:textId="77777777" w:rsidTr="00996C6D">
        <w:trPr>
          <w:cantSplit/>
        </w:trPr>
        <w:tc>
          <w:tcPr>
            <w:tcW w:w="883" w:type="pct"/>
            <w:vMerge w:val="restart"/>
            <w:shd w:val="clear" w:color="auto" w:fill="F2F2F2" w:themeFill="background2" w:themeFillShade="F2"/>
          </w:tcPr>
          <w:p w14:paraId="374C9B77" w14:textId="24348C0B" w:rsidR="00624932" w:rsidRPr="00E9705C" w:rsidRDefault="00624932" w:rsidP="00624932">
            <w:pPr>
              <w:widowControl w:val="0"/>
              <w:spacing w:before="60" w:after="60"/>
              <w:rPr>
                <w:rFonts w:ascii="Arial" w:eastAsia="Calibri" w:hAnsi="Arial" w:cs="Arial"/>
                <w:sz w:val="22"/>
              </w:rPr>
            </w:pPr>
            <w:r w:rsidRPr="00B356CE">
              <w:rPr>
                <w:lang w:eastAsia="en-AU"/>
              </w:rPr>
              <w:t>Critical f</w:t>
            </w:r>
            <w:r>
              <w:rPr>
                <w:lang w:eastAsia="en-AU"/>
              </w:rPr>
              <w:t>ood and grocery</w:t>
            </w:r>
            <w:r w:rsidRPr="00B356CE">
              <w:rPr>
                <w:lang w:eastAsia="en-AU"/>
              </w:rPr>
              <w:t xml:space="preserve"> assets</w:t>
            </w:r>
          </w:p>
        </w:tc>
        <w:tc>
          <w:tcPr>
            <w:tcW w:w="1691" w:type="pct"/>
          </w:tcPr>
          <w:p w14:paraId="10F4EABE" w14:textId="77777777" w:rsidR="00624932" w:rsidRPr="006347A7" w:rsidRDefault="00624932" w:rsidP="00624932">
            <w:pPr>
              <w:pStyle w:val="TableBody"/>
            </w:pPr>
            <w:r w:rsidRPr="006347A7">
              <w:t>Total avoided cost to the economy of the incident</w:t>
            </w:r>
          </w:p>
        </w:tc>
        <w:tc>
          <w:tcPr>
            <w:tcW w:w="808" w:type="pct"/>
            <w:shd w:val="clear" w:color="auto" w:fill="auto"/>
          </w:tcPr>
          <w:p w14:paraId="1EDE2B94" w14:textId="6888B88C" w:rsidR="00624932" w:rsidRPr="00CE4B35" w:rsidRDefault="00413FD4" w:rsidP="00CE4B35">
            <w:pPr>
              <w:pStyle w:val="Tabletext"/>
              <w:jc w:val="center"/>
              <w:rPr>
                <w:rFonts w:eastAsia="Calibri" w:cstheme="minorHAnsi"/>
              </w:rPr>
            </w:pPr>
            <w:r w:rsidRPr="00CE4B35">
              <w:rPr>
                <w:rFonts w:eastAsia="Calibri" w:cstheme="minorHAnsi"/>
              </w:rPr>
              <w:t>72.0</w:t>
            </w:r>
          </w:p>
        </w:tc>
        <w:tc>
          <w:tcPr>
            <w:tcW w:w="809" w:type="pct"/>
            <w:shd w:val="clear" w:color="auto" w:fill="auto"/>
          </w:tcPr>
          <w:p w14:paraId="4C3A9B37" w14:textId="601CB46A" w:rsidR="00624932" w:rsidRPr="00CE4B35" w:rsidRDefault="00413FD4" w:rsidP="00CE4B35">
            <w:pPr>
              <w:pStyle w:val="Tabletext"/>
              <w:jc w:val="center"/>
              <w:rPr>
                <w:rFonts w:eastAsia="Calibri" w:cstheme="minorHAnsi"/>
              </w:rPr>
            </w:pPr>
            <w:r w:rsidRPr="00CE4B35">
              <w:rPr>
                <w:rFonts w:eastAsia="Calibri" w:cstheme="minorHAnsi"/>
              </w:rPr>
              <w:t>48.0</w:t>
            </w:r>
          </w:p>
        </w:tc>
        <w:tc>
          <w:tcPr>
            <w:tcW w:w="809" w:type="pct"/>
            <w:shd w:val="clear" w:color="auto" w:fill="auto"/>
          </w:tcPr>
          <w:p w14:paraId="7F616DA2" w14:textId="48423361" w:rsidR="00624932" w:rsidRPr="00CE4B35" w:rsidRDefault="00413FD4" w:rsidP="00CE4B35">
            <w:pPr>
              <w:pStyle w:val="Tabletext"/>
              <w:jc w:val="center"/>
              <w:rPr>
                <w:rFonts w:eastAsia="Calibri" w:cstheme="minorHAnsi"/>
              </w:rPr>
            </w:pPr>
            <w:r w:rsidRPr="00CE4B35">
              <w:rPr>
                <w:rFonts w:eastAsia="Calibri" w:cstheme="minorHAnsi"/>
              </w:rPr>
              <w:t>24.3</w:t>
            </w:r>
          </w:p>
        </w:tc>
      </w:tr>
      <w:tr w:rsidR="00624932" w:rsidRPr="00C153B7" w14:paraId="5DA1258A" w14:textId="77777777" w:rsidTr="00996C6D">
        <w:trPr>
          <w:cantSplit/>
        </w:trPr>
        <w:tc>
          <w:tcPr>
            <w:tcW w:w="883" w:type="pct"/>
            <w:vMerge/>
          </w:tcPr>
          <w:p w14:paraId="45ECF5E2" w14:textId="77777777" w:rsidR="00624932" w:rsidRPr="00E9705C" w:rsidRDefault="00624932" w:rsidP="00624932">
            <w:pPr>
              <w:widowControl w:val="0"/>
              <w:spacing w:before="60" w:after="60"/>
              <w:rPr>
                <w:rFonts w:ascii="Arial" w:eastAsia="Calibri" w:hAnsi="Arial" w:cs="Arial"/>
                <w:sz w:val="22"/>
              </w:rPr>
            </w:pPr>
          </w:p>
        </w:tc>
        <w:tc>
          <w:tcPr>
            <w:tcW w:w="1691" w:type="pct"/>
          </w:tcPr>
          <w:p w14:paraId="2EA1B007" w14:textId="77777777" w:rsidR="00624932" w:rsidRPr="006347A7" w:rsidRDefault="00624932" w:rsidP="00624932">
            <w:pPr>
              <w:pStyle w:val="TableBody"/>
            </w:pPr>
            <w:r w:rsidRPr="006347A7">
              <w:t>Approximate number of avoided incidents per annum required for a net benefit</w:t>
            </w:r>
          </w:p>
        </w:tc>
        <w:tc>
          <w:tcPr>
            <w:tcW w:w="808" w:type="pct"/>
            <w:shd w:val="clear" w:color="auto" w:fill="auto"/>
          </w:tcPr>
          <w:p w14:paraId="0BEAB69E" w14:textId="2EB9E728" w:rsidR="00624932" w:rsidRPr="00CE4B35" w:rsidRDefault="00E05904" w:rsidP="00CE4B35">
            <w:pPr>
              <w:pStyle w:val="Tabletext"/>
              <w:jc w:val="center"/>
              <w:rPr>
                <w:rFonts w:eastAsia="Calibri" w:cstheme="minorHAnsi"/>
              </w:rPr>
            </w:pPr>
            <w:r w:rsidRPr="00CE4B35">
              <w:rPr>
                <w:rFonts w:eastAsia="Calibri" w:cstheme="minorHAnsi"/>
              </w:rPr>
              <w:t>Less than 0.2</w:t>
            </w:r>
          </w:p>
        </w:tc>
        <w:tc>
          <w:tcPr>
            <w:tcW w:w="809" w:type="pct"/>
            <w:shd w:val="clear" w:color="auto" w:fill="auto"/>
          </w:tcPr>
          <w:p w14:paraId="466C761C" w14:textId="2CE5B7FC" w:rsidR="00624932" w:rsidRPr="00CE4B35" w:rsidRDefault="00E05904" w:rsidP="00CE4B35">
            <w:pPr>
              <w:pStyle w:val="Tabletext"/>
              <w:jc w:val="center"/>
              <w:rPr>
                <w:rFonts w:eastAsia="Calibri" w:cstheme="minorHAnsi"/>
              </w:rPr>
            </w:pPr>
            <w:r w:rsidRPr="00CE4B35">
              <w:rPr>
                <w:rFonts w:eastAsia="Calibri" w:cstheme="minorHAnsi"/>
              </w:rPr>
              <w:t>Less than 0.3</w:t>
            </w:r>
          </w:p>
        </w:tc>
        <w:tc>
          <w:tcPr>
            <w:tcW w:w="809" w:type="pct"/>
            <w:shd w:val="clear" w:color="auto" w:fill="auto"/>
          </w:tcPr>
          <w:p w14:paraId="49FBD82D" w14:textId="03CFF8D8" w:rsidR="00624932" w:rsidRPr="00CE4B35" w:rsidRDefault="00413FD4" w:rsidP="00CE4B35">
            <w:pPr>
              <w:pStyle w:val="Tabletext"/>
              <w:jc w:val="center"/>
              <w:rPr>
                <w:rFonts w:eastAsia="Calibri" w:cstheme="minorHAnsi"/>
              </w:rPr>
            </w:pPr>
            <w:r w:rsidRPr="00CE4B35">
              <w:rPr>
                <w:rFonts w:eastAsia="Calibri" w:cstheme="minorHAnsi"/>
              </w:rPr>
              <w:t>0.5</w:t>
            </w:r>
          </w:p>
        </w:tc>
      </w:tr>
    </w:tbl>
    <w:p w14:paraId="6047EB17" w14:textId="4D64282B" w:rsidR="009B59E8" w:rsidRDefault="009B59E8" w:rsidP="00F857EB">
      <w:pPr>
        <w:pStyle w:val="BodyText"/>
        <w:spacing w:before="240"/>
      </w:pPr>
      <w:r w:rsidRPr="003B1C91">
        <w:t xml:space="preserve">Consideration of the feasibility of achieving </w:t>
      </w:r>
      <w:r>
        <w:t xml:space="preserve">a </w:t>
      </w:r>
      <w:r w:rsidRPr="003B1C91">
        <w:t>breakeven</w:t>
      </w:r>
      <w:r>
        <w:t xml:space="preserve"> point</w:t>
      </w:r>
      <w:r w:rsidRPr="003B1C91">
        <w:t xml:space="preserve"> </w:t>
      </w:r>
      <w:r w:rsidR="00070F71">
        <w:t xml:space="preserve">for each critical infrastructure asset </w:t>
      </w:r>
      <w:r w:rsidRPr="003B1C91">
        <w:t>is</w:t>
      </w:r>
      <w:r>
        <w:t xml:space="preserve"> not only</w:t>
      </w:r>
      <w:r w:rsidRPr="003B1C91">
        <w:t xml:space="preserve"> </w:t>
      </w:r>
      <w:r>
        <w:t>dependent on</w:t>
      </w:r>
      <w:r w:rsidRPr="003B1C91">
        <w:t xml:space="preserve"> the number of incidents</w:t>
      </w:r>
      <w:r>
        <w:t xml:space="preserve"> required to breakeven</w:t>
      </w:r>
      <w:r w:rsidRPr="003B1C91">
        <w:t xml:space="preserve">, </w:t>
      </w:r>
      <w:r w:rsidRPr="009807CA">
        <w:t>but also</w:t>
      </w:r>
      <w:r>
        <w:t xml:space="preserve"> on</w:t>
      </w:r>
      <w:r w:rsidRPr="003B1C91">
        <w:t xml:space="preserve"> the likelihood </w:t>
      </w:r>
      <w:r>
        <w:t>of an incident occurring</w:t>
      </w:r>
      <w:r w:rsidR="00FC3D85">
        <w:t xml:space="preserve"> as well as the scale of the sector</w:t>
      </w:r>
      <w:r>
        <w:t xml:space="preserve">. </w:t>
      </w:r>
      <w:r w:rsidR="00FC4EE2">
        <w:t xml:space="preserve">For example, for </w:t>
      </w:r>
      <w:r w:rsidR="00FC3D85">
        <w:t>critical data processing and storage assets</w:t>
      </w:r>
      <w:r w:rsidR="003B1C91">
        <w:t xml:space="preserve">, </w:t>
      </w:r>
      <w:r w:rsidR="00FC3D85">
        <w:t xml:space="preserve">the nature of the modelled </w:t>
      </w:r>
      <w:r w:rsidR="00FC4EE2">
        <w:t xml:space="preserve">the ‘low’ impact </w:t>
      </w:r>
      <w:r w:rsidR="00FC3D85">
        <w:t>incident</w:t>
      </w:r>
      <w:r w:rsidR="007D7511">
        <w:t xml:space="preserve"> affected a single organisation and </w:t>
      </w:r>
      <w:r w:rsidR="00711A13">
        <w:t>its</w:t>
      </w:r>
      <w:r w:rsidR="007D7511">
        <w:t xml:space="preserve"> customers. </w:t>
      </w:r>
      <w:r w:rsidR="0099425D">
        <w:t xml:space="preserve">The </w:t>
      </w:r>
      <w:r w:rsidR="00A23B95">
        <w:t>quantum of responsible entities in that</w:t>
      </w:r>
      <w:r w:rsidR="0099425D">
        <w:t xml:space="preserve"> asset class means that the number of </w:t>
      </w:r>
      <w:r w:rsidR="007F0569">
        <w:t>incidents avoided required to yield a net benefit is</w:t>
      </w:r>
      <w:r w:rsidR="000C6485">
        <w:t xml:space="preserve"> spread across </w:t>
      </w:r>
      <w:r w:rsidR="00A23B95">
        <w:t>a large</w:t>
      </w:r>
      <w:r w:rsidR="007B07C0">
        <w:t>r</w:t>
      </w:r>
      <w:r w:rsidR="00A23B95">
        <w:t xml:space="preserve"> number</w:t>
      </w:r>
      <w:r w:rsidR="00711A13">
        <w:t xml:space="preserve"> of </w:t>
      </w:r>
      <w:r w:rsidR="00711A13">
        <w:lastRenderedPageBreak/>
        <w:t>entities</w:t>
      </w:r>
      <w:r w:rsidR="007B07C0">
        <w:t xml:space="preserve"> than other asset classes (</w:t>
      </w:r>
      <w:r w:rsidR="00C47B60">
        <w:t>the Department estimates the number of responsible entities for critical data storage or processing assets exceeds 300)</w:t>
      </w:r>
      <w:r w:rsidR="00E95BF8">
        <w:t>.</w:t>
      </w:r>
      <w:r w:rsidRPr="003B1C91">
        <w:t xml:space="preserve"> </w:t>
      </w:r>
      <w:r w:rsidR="00E95BF8">
        <w:t>T</w:t>
      </w:r>
      <w:r w:rsidRPr="003B1C91">
        <w:t>herefore</w:t>
      </w:r>
      <w:r w:rsidR="00E95BF8">
        <w:t>, although there are a significant number of incidents required for a net benefit</w:t>
      </w:r>
      <w:r w:rsidR="00FC4EE2">
        <w:t xml:space="preserve"> in the ‘low’ impact scenario</w:t>
      </w:r>
      <w:r w:rsidR="00E95BF8">
        <w:t>, the evidence indicates that a</w:t>
      </w:r>
      <w:r w:rsidRPr="003B1C91">
        <w:t xml:space="preserve"> positive net benefit is achievable</w:t>
      </w:r>
      <w:r w:rsidR="00E95BF8">
        <w:t xml:space="preserve"> and likely</w:t>
      </w:r>
      <w:r w:rsidR="00FC4EE2">
        <w:t xml:space="preserve"> given </w:t>
      </w:r>
      <w:r w:rsidR="004170EE">
        <w:t>that the nature of the incidents experiences frequently involves a large number of entities</w:t>
      </w:r>
      <w:r w:rsidRPr="003B1C91">
        <w:t>.</w:t>
      </w:r>
      <w:r w:rsidR="00B21608">
        <w:t xml:space="preserve"> The breakdown of direct and indirect costs (which make up the total avoided cost to the economy of the incident) for each relevant critical infrastructure asset is contained in appendices </w:t>
      </w:r>
      <w:r w:rsidR="00CA02C3">
        <w:t>S</w:t>
      </w:r>
      <w:r w:rsidR="00AA63AB">
        <w:t xml:space="preserve"> – </w:t>
      </w:r>
      <w:r w:rsidR="00CA02C3">
        <w:t>CC</w:t>
      </w:r>
      <w:r w:rsidR="00B21608">
        <w:t xml:space="preserve">. </w:t>
      </w:r>
    </w:p>
    <w:p w14:paraId="4212CAAA" w14:textId="3AA8B048" w:rsidR="0074687C" w:rsidRDefault="0074687C" w:rsidP="00F4406B">
      <w:pPr>
        <w:pStyle w:val="BodyText"/>
      </w:pPr>
      <w:r>
        <w:t xml:space="preserve">For critical water assets and critical hospitals, the economic benefit of avoiding incidents should </w:t>
      </w:r>
      <w:r w:rsidR="00485DBD">
        <w:t xml:space="preserve">also </w:t>
      </w:r>
      <w:r>
        <w:t xml:space="preserve">be considered alongside the avoided cost to human life. </w:t>
      </w:r>
      <w:r w:rsidR="006867B9" w:rsidRPr="006867B9">
        <w:t xml:space="preserve"> </w:t>
      </w:r>
      <w:r w:rsidR="006867B9">
        <w:t>The estimated value of a statistical life (the value society places on reducing the risk of dying) is $5.1 million, and the value of a statistical life year (the value society places on a year of life) is $</w:t>
      </w:r>
      <w:r w:rsidR="00077047">
        <w:t>0.2 million</w:t>
      </w:r>
      <w:r w:rsidR="006867B9">
        <w:t>.</w:t>
      </w:r>
      <w:r w:rsidR="006867B9">
        <w:rPr>
          <w:rStyle w:val="FootnoteReference"/>
          <w:rFonts w:ascii="Arial" w:eastAsia="Calibri" w:hAnsi="Arial" w:cs="Arial"/>
        </w:rPr>
        <w:footnoteReference w:id="53"/>
      </w:r>
      <w:r w:rsidR="006867B9">
        <w:t xml:space="preserve"> As both critical water assets and critical hospitals are critical to human life, any avoidance of a disruption to critical hospitals that could have otherwise increased the likelihood of disease, illness or death will have a benefit beyond that of the avoided cost to the economy able to be modelled.</w:t>
      </w:r>
    </w:p>
    <w:p w14:paraId="65F5B884" w14:textId="77777777" w:rsidR="00E9705C" w:rsidRPr="00E9705C" w:rsidRDefault="00E9705C" w:rsidP="00F4406B">
      <w:pPr>
        <w:pStyle w:val="BodyText"/>
        <w:rPr>
          <w:rFonts w:eastAsia="Arial"/>
        </w:rPr>
      </w:pPr>
      <w:r w:rsidRPr="00E9705C">
        <w:t>It is important to note that the economic analysis of the above scenarios does not incorporate all direct avoided costs incurred by all future incidents. The avoided costs included are only those which were directly and immediately incurred as a result of the</w:t>
      </w:r>
      <w:r w:rsidR="00FE4DF5">
        <w:t xml:space="preserve"> identified baseline scenario for that asset</w:t>
      </w:r>
      <w:r w:rsidRPr="0BEF8EA5">
        <w:t>.</w:t>
      </w:r>
      <w:r w:rsidRPr="00E9705C">
        <w:t xml:space="preserve"> In the broader context of a potential future disruption, in addition to the above estimate of benefits </w:t>
      </w:r>
      <w:r w:rsidR="003B1C91">
        <w:t>could</w:t>
      </w:r>
      <w:r w:rsidRPr="00E9705C">
        <w:t xml:space="preserve"> be the avoided costs of recovery (repair costs, costs of resulting mitigations) from high value, specific circumstances which were not experienced </w:t>
      </w:r>
      <w:r w:rsidR="00F14CB2">
        <w:t>as part of</w:t>
      </w:r>
      <w:r w:rsidR="00F14CB2" w:rsidRPr="00E9705C">
        <w:t xml:space="preserve"> </w:t>
      </w:r>
      <w:r w:rsidRPr="00E9705C">
        <w:t xml:space="preserve">the </w:t>
      </w:r>
      <w:r w:rsidR="00FE4DF5">
        <w:t xml:space="preserve">identified baseline </w:t>
      </w:r>
      <w:r w:rsidR="00F14CB2">
        <w:t>case study</w:t>
      </w:r>
      <w:r w:rsidRPr="0BEF8EA5">
        <w:t xml:space="preserve">. </w:t>
      </w:r>
    </w:p>
    <w:p w14:paraId="1EB49B36" w14:textId="77777777" w:rsidR="00E9705C" w:rsidRPr="00E9705C" w:rsidRDefault="00E9705C" w:rsidP="00F4406B">
      <w:pPr>
        <w:pStyle w:val="BodyText"/>
        <w:rPr>
          <w:rFonts w:eastAsia="Calibri"/>
        </w:rPr>
      </w:pPr>
      <w:r w:rsidRPr="00E9705C">
        <w:t xml:space="preserve">Further, the increasing frequency of incidents as described in section 1.1 makes the proposed </w:t>
      </w:r>
      <w:r w:rsidR="00BB0179">
        <w:t>RMP</w:t>
      </w:r>
      <w:r w:rsidRPr="00E9705C">
        <w:t xml:space="preserve"> framework more certain over time to exceed the anticipated costs. </w:t>
      </w:r>
      <w:r w:rsidRPr="00E9705C">
        <w:rPr>
          <w:rFonts w:eastAsia="Calibri"/>
        </w:rPr>
        <w:t xml:space="preserve">The examples referred to in that section demonstrate the increasing need for adequate protections against the security and resilience of </w:t>
      </w:r>
      <w:r w:rsidR="008056F4">
        <w:rPr>
          <w:rFonts w:eastAsia="Calibri"/>
        </w:rPr>
        <w:t>critical infrastructure assets</w:t>
      </w:r>
      <w:r w:rsidRPr="00E9705C">
        <w:rPr>
          <w:rFonts w:eastAsia="Calibri"/>
        </w:rPr>
        <w:t xml:space="preserve">, and the increased likelihood that the benefits of the draft </w:t>
      </w:r>
      <w:r w:rsidR="00BB0179">
        <w:rPr>
          <w:rFonts w:eastAsia="Calibri"/>
        </w:rPr>
        <w:t>RMP</w:t>
      </w:r>
      <w:r w:rsidRPr="00E9705C">
        <w:rPr>
          <w:rFonts w:eastAsia="Calibri"/>
        </w:rPr>
        <w:t xml:space="preserve"> framework will exceed the costs outlined in this section.</w:t>
      </w:r>
    </w:p>
    <w:p w14:paraId="11B338BE" w14:textId="77777777" w:rsidR="00E9705C" w:rsidRPr="00180A8F" w:rsidRDefault="00E9705C" w:rsidP="00F4406B">
      <w:pPr>
        <w:pStyle w:val="Heading4"/>
      </w:pPr>
      <w:r w:rsidRPr="00180A8F">
        <w:t>Assessment of likely net benefit</w:t>
      </w:r>
    </w:p>
    <w:p w14:paraId="23948780" w14:textId="747F8ADA" w:rsidR="00E9705C" w:rsidRPr="00E9705C" w:rsidRDefault="00E9705C" w:rsidP="00F4406B">
      <w:pPr>
        <w:pStyle w:val="BodyText"/>
      </w:pPr>
      <w:r w:rsidRPr="00E9705C">
        <w:t>The likely benefits of option 2 will be at least (and are expected to be more than) the costs of the regulation. This is primarily because, as described above and throughout this RIS, the frequency and severity of all</w:t>
      </w:r>
      <w:r w:rsidR="00B31229">
        <w:t>-</w:t>
      </w:r>
      <w:r w:rsidRPr="00E9705C">
        <w:t xml:space="preserve">hazard risks for </w:t>
      </w:r>
      <w:r w:rsidR="008056F4">
        <w:t>critical infrastructure assets</w:t>
      </w:r>
      <w:r w:rsidRPr="00E9705C">
        <w:t xml:space="preserve">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w:t>
      </w:r>
      <w:r w:rsidR="00BB0179">
        <w:t>RMP</w:t>
      </w:r>
      <w:r w:rsidRPr="00E9705C">
        <w:t xml:space="preserve"> framework more likely to exceed the anticipated costs over time. </w:t>
      </w:r>
    </w:p>
    <w:p w14:paraId="141EEF00" w14:textId="77777777" w:rsidR="00E9705C" w:rsidRPr="00E9705C" w:rsidRDefault="00E9705C" w:rsidP="00F4406B">
      <w:pPr>
        <w:pStyle w:val="BodyText"/>
      </w:pPr>
      <w:r w:rsidRPr="00E9705C">
        <w:t xml:space="preserve">Further, through pursuit of option 2, the identification, </w:t>
      </w:r>
      <w:r w:rsidR="006F3DE4" w:rsidRPr="00E9705C">
        <w:t>mitigation,</w:t>
      </w:r>
      <w:r w:rsidRPr="00E9705C">
        <w:t xml:space="preserve"> and remediation of such hazards, should they occur, will be improved through:</w:t>
      </w:r>
    </w:p>
    <w:p w14:paraId="01C3A101" w14:textId="77777777" w:rsidR="00E9705C" w:rsidRPr="00E9705C" w:rsidRDefault="00E9705C" w:rsidP="00F4406B">
      <w:pPr>
        <w:pStyle w:val="Bullet1stlevel"/>
      </w:pPr>
      <w:r w:rsidRPr="00E9705C">
        <w:t>Lowering the material risk of hazards</w:t>
      </w:r>
      <w:r w:rsidR="00B31229">
        <w:t>,</w:t>
      </w:r>
      <w:r w:rsidRPr="00E9705C">
        <w:t xml:space="preserve"> and subsequent impacts of those hazards, as they manifest for </w:t>
      </w:r>
      <w:r w:rsidR="008056F4">
        <w:t>critical infrastructure assets</w:t>
      </w:r>
      <w:r w:rsidRPr="00E9705C">
        <w:t xml:space="preserve">; </w:t>
      </w:r>
    </w:p>
    <w:p w14:paraId="49045A36" w14:textId="77777777" w:rsidR="00E9705C" w:rsidRPr="00E9705C" w:rsidRDefault="00E9705C" w:rsidP="00F4406B">
      <w:pPr>
        <w:pStyle w:val="Bullet1stlevel"/>
      </w:pPr>
      <w:r w:rsidRPr="00E9705C">
        <w:t xml:space="preserve">Ensuring that adoption of the </w:t>
      </w:r>
      <w:r w:rsidR="00BB0179">
        <w:t>RMP</w:t>
      </w:r>
      <w:r w:rsidRPr="00E9705C">
        <w:t xml:space="preserve"> framework for </w:t>
      </w:r>
      <w:r w:rsidR="008056F4">
        <w:t>critical infrastructure assets</w:t>
      </w:r>
      <w:r w:rsidRPr="00E9705C">
        <w:t xml:space="preserve"> is reasonable and proportionate to the purpose of the program; </w:t>
      </w:r>
    </w:p>
    <w:p w14:paraId="4705A1F6" w14:textId="77777777" w:rsidR="00E9705C" w:rsidRPr="00E9705C" w:rsidRDefault="00E9705C" w:rsidP="00F4406B">
      <w:pPr>
        <w:pStyle w:val="Bullet1stlevel"/>
      </w:pPr>
      <w:r w:rsidRPr="00E9705C">
        <w:t xml:space="preserve">Avoiding regulatory duplication and facilitating a coordinated uplift in responsible entities’ compliance with relevant standards; and </w:t>
      </w:r>
    </w:p>
    <w:p w14:paraId="3E232AC4" w14:textId="77777777" w:rsidR="00E9705C" w:rsidRPr="00E9705C" w:rsidRDefault="00E9705C" w:rsidP="00F4406B">
      <w:pPr>
        <w:pStyle w:val="Bullet1stlevel"/>
      </w:pPr>
      <w:r w:rsidRPr="00E9705C">
        <w:t xml:space="preserve">Improving Government’s visibility over the security and resilience of </w:t>
      </w:r>
      <w:r w:rsidR="008056F4">
        <w:t>critical infrastructure assets</w:t>
      </w:r>
      <w:r w:rsidRPr="00E9705C">
        <w:t xml:space="preserve">. </w:t>
      </w:r>
    </w:p>
    <w:p w14:paraId="662C7738" w14:textId="5BFEBF16" w:rsidR="00E9705C" w:rsidRPr="00E9705C" w:rsidRDefault="00E9705C" w:rsidP="00F4406B">
      <w:pPr>
        <w:pStyle w:val="BodyText"/>
        <w:rPr>
          <w:rFonts w:eastAsia="Times New Roman"/>
        </w:rPr>
      </w:pPr>
      <w:r w:rsidRPr="00E9705C">
        <w:lastRenderedPageBreak/>
        <w:t>Overall these factors</w:t>
      </w:r>
      <w:r w:rsidR="00B31229">
        <w:t>,</w:t>
      </w:r>
      <w:r w:rsidRPr="00E9705C">
        <w:t xml:space="preserve"> and the specific costs and benefits described above</w:t>
      </w:r>
      <w:r w:rsidR="00B31229">
        <w:t>,</w:t>
      </w:r>
      <w:r w:rsidRPr="00E9705C">
        <w:t xml:space="preserve"> mean the likely net benefit associated with option 2 is high. </w:t>
      </w:r>
    </w:p>
    <w:p w14:paraId="52E68D43" w14:textId="3F4E24DC" w:rsidR="00E9705C" w:rsidRPr="00E9705C" w:rsidRDefault="00E9705C" w:rsidP="004C0EFC">
      <w:pPr>
        <w:pStyle w:val="Heading3numbered"/>
      </w:pPr>
      <w:bookmarkStart w:id="275" w:name="_Toc78272019"/>
      <w:bookmarkStart w:id="276" w:name="_Toc79149653"/>
      <w:r w:rsidRPr="00E9705C">
        <w:t xml:space="preserve">Likely net benefit: </w:t>
      </w:r>
      <w:r w:rsidR="003500AB">
        <w:t>O</w:t>
      </w:r>
      <w:r w:rsidRPr="00E9705C">
        <w:t>ption 3</w:t>
      </w:r>
      <w:bookmarkEnd w:id="275"/>
      <w:bookmarkEnd w:id="276"/>
    </w:p>
    <w:p w14:paraId="71C62F16" w14:textId="77777777" w:rsidR="00E9705C" w:rsidRPr="00E9705C" w:rsidRDefault="00E9705C" w:rsidP="00F4406B">
      <w:pPr>
        <w:pStyle w:val="BodyText"/>
      </w:pPr>
      <w:r w:rsidRPr="00E9705C">
        <w:t xml:space="preserve">The following section details the costs and benefits associated with option 3 (voluntary </w:t>
      </w:r>
      <w:r w:rsidR="00BB0179">
        <w:t>RMP</w:t>
      </w:r>
      <w:r w:rsidRPr="00E9705C">
        <w:t xml:space="preserve"> and guidance), before assessing the overall likely net benefit presented by this option. </w:t>
      </w:r>
    </w:p>
    <w:p w14:paraId="5B094079" w14:textId="77777777" w:rsidR="00E9705C" w:rsidRPr="00180A8F" w:rsidRDefault="00E9705C" w:rsidP="00F4406B">
      <w:pPr>
        <w:pStyle w:val="Heading4"/>
        <w:rPr>
          <w:i/>
          <w:iCs/>
        </w:rPr>
      </w:pPr>
      <w:r w:rsidRPr="00180A8F">
        <w:t xml:space="preserve">Costs </w:t>
      </w:r>
    </w:p>
    <w:p w14:paraId="0CFB47F0" w14:textId="77777777" w:rsidR="00E9705C" w:rsidRPr="00E9705C" w:rsidRDefault="00E9705C" w:rsidP="00F4406B">
      <w:pPr>
        <w:pStyle w:val="BodyText"/>
      </w:pPr>
      <w:r w:rsidRPr="00E9705C">
        <w:t xml:space="preserve">Responsible entities who choose to voluntarily implement parts of the </w:t>
      </w:r>
      <w:r w:rsidR="00BB0179">
        <w:t>RMP</w:t>
      </w:r>
      <w:r w:rsidRPr="00E9705C">
        <w:t xml:space="preserve"> or associated guidance will incur costs of anywhere between option 1 (status quo) and option 2 (regulation), depending on the degree to which they decide to implement these parts. </w:t>
      </w:r>
    </w:p>
    <w:p w14:paraId="1F037DD5" w14:textId="20720450" w:rsidR="00E9705C" w:rsidRPr="00E9705C" w:rsidRDefault="00E9705C" w:rsidP="00F4406B">
      <w:pPr>
        <w:pStyle w:val="BodyText"/>
      </w:pPr>
      <w:r w:rsidRPr="00E9705C">
        <w:t xml:space="preserve">The maximum, average expected cost of compliance for an entity who chooses to voluntarily meet the guidance is </w:t>
      </w:r>
      <w:r w:rsidRPr="00DD6DC6">
        <w:t xml:space="preserve">estimated </w:t>
      </w:r>
      <w:r w:rsidRPr="003D1CCE">
        <w:t>as $</w:t>
      </w:r>
      <w:r w:rsidR="00192C24">
        <w:t>7.9</w:t>
      </w:r>
      <w:r w:rsidRPr="003D1CCE">
        <w:t xml:space="preserve"> million </w:t>
      </w:r>
      <w:r w:rsidRPr="003D1CCE">
        <w:rPr>
          <w:bCs/>
        </w:rPr>
        <w:t xml:space="preserve">in one-off costs and </w:t>
      </w:r>
      <w:r w:rsidRPr="001A2AEF">
        <w:t>$</w:t>
      </w:r>
      <w:r w:rsidR="0070720C" w:rsidRPr="00F427A7">
        <w:t>3.</w:t>
      </w:r>
      <w:r w:rsidR="00192C24">
        <w:t>6</w:t>
      </w:r>
      <w:r w:rsidRPr="003D1CCE">
        <w:rPr>
          <w:bCs/>
        </w:rPr>
        <w:t xml:space="preserve"> million</w:t>
      </w:r>
      <w:r w:rsidRPr="00DD6DC6">
        <w:rPr>
          <w:bCs/>
        </w:rPr>
        <w:t xml:space="preserve"> per year in ongoing costs</w:t>
      </w:r>
      <w:r w:rsidRPr="00DD6DC6">
        <w:t xml:space="preserve">, noting that there is a wide range </w:t>
      </w:r>
      <w:r w:rsidRPr="00E9705C">
        <w:t xml:space="preserve">provided in submissions from industry. </w:t>
      </w:r>
      <w:r w:rsidR="002B74DD">
        <w:t xml:space="preserve">A further breakdown of the costs </w:t>
      </w:r>
      <w:r w:rsidR="00BC4E9F">
        <w:rPr>
          <w:rFonts w:eastAsia="Arial"/>
        </w:rPr>
        <w:t>is provided</w:t>
      </w:r>
      <w:r w:rsidR="002B74DD">
        <w:rPr>
          <w:rFonts w:eastAsia="Arial"/>
        </w:rPr>
        <w:t xml:space="preserve"> in appendices </w:t>
      </w:r>
      <w:r w:rsidR="00CA02C3">
        <w:rPr>
          <w:rFonts w:eastAsia="Arial"/>
        </w:rPr>
        <w:t>S</w:t>
      </w:r>
      <w:r w:rsidR="00AA63AB">
        <w:rPr>
          <w:rFonts w:eastAsia="Arial"/>
        </w:rPr>
        <w:t xml:space="preserve"> –</w:t>
      </w:r>
      <w:r w:rsidR="00F241D9">
        <w:rPr>
          <w:rFonts w:eastAsia="Arial"/>
        </w:rPr>
        <w:t xml:space="preserve"> </w:t>
      </w:r>
      <w:r w:rsidR="00F87CF5">
        <w:rPr>
          <w:rFonts w:eastAsia="Arial"/>
        </w:rPr>
        <w:t>CC</w:t>
      </w:r>
      <w:r w:rsidR="002B74DD">
        <w:rPr>
          <w:rFonts w:eastAsia="Arial"/>
        </w:rPr>
        <w:t xml:space="preserve"> for each relevant critical infrastructure asset.</w:t>
      </w:r>
    </w:p>
    <w:p w14:paraId="63FF1E55" w14:textId="474029DD" w:rsidR="00E9705C" w:rsidRPr="00E9705C" w:rsidRDefault="00E9705C" w:rsidP="00F4406B">
      <w:pPr>
        <w:pStyle w:val="BodyText"/>
      </w:pPr>
      <w:r w:rsidRPr="00E9705C">
        <w:t xml:space="preserve">For responsible entities who choose not to voluntarily implement the </w:t>
      </w:r>
      <w:r w:rsidR="00BB0179">
        <w:t>RMP</w:t>
      </w:r>
      <w:r w:rsidRPr="00E9705C">
        <w:t xml:space="preserve"> framework, the costs incurred will be the same as those costs associated with option 1 above. This is because such entities would continue to operate under the status quo regulatory environment</w:t>
      </w:r>
      <w:r w:rsidR="002224E3">
        <w:t xml:space="preserve"> with an unchanged exposure to the </w:t>
      </w:r>
      <w:r w:rsidR="00CB39AC">
        <w:t xml:space="preserve">risks identified in Section </w:t>
      </w:r>
      <w:r w:rsidR="00502EBA">
        <w:t>1 of this RIS</w:t>
      </w:r>
      <w:r w:rsidRPr="00E9705C">
        <w:t xml:space="preserve">. These risks are rapidly outpacing the current regulatory environment. </w:t>
      </w:r>
      <w:r w:rsidR="003500AB" w:rsidRPr="00645805">
        <w:rPr>
          <w:color w:val="000000" w:themeColor="text1"/>
        </w:rPr>
        <w:fldChar w:fldCharType="begin"/>
      </w:r>
      <w:r w:rsidR="003500AB" w:rsidRPr="00645805">
        <w:rPr>
          <w:color w:val="000000" w:themeColor="text1"/>
        </w:rPr>
        <w:instrText xml:space="preserve"> REF _Ref93476634 \h  \* MERGEFORMAT </w:instrText>
      </w:r>
      <w:r w:rsidR="003500AB" w:rsidRPr="00645805">
        <w:rPr>
          <w:color w:val="000000" w:themeColor="text1"/>
        </w:rPr>
      </w:r>
      <w:r w:rsidR="003500AB" w:rsidRPr="00645805">
        <w:rPr>
          <w:color w:val="000000" w:themeColor="text1"/>
        </w:rPr>
        <w:fldChar w:fldCharType="separate"/>
      </w:r>
      <w:r w:rsidR="009708D4" w:rsidRPr="009708D4">
        <w:rPr>
          <w:rStyle w:val="BodyTextChar"/>
          <w:color w:val="000000" w:themeColor="text1"/>
          <w:szCs w:val="22"/>
        </w:rPr>
        <w:t>Table</w:t>
      </w:r>
      <w:r w:rsidR="009708D4" w:rsidRPr="009708D4">
        <w:rPr>
          <w:color w:val="000000" w:themeColor="text1"/>
        </w:rPr>
        <w:t xml:space="preserve"> </w:t>
      </w:r>
      <w:r w:rsidR="009708D4" w:rsidRPr="009708D4">
        <w:rPr>
          <w:noProof/>
          <w:color w:val="000000" w:themeColor="text1"/>
        </w:rPr>
        <w:t>16</w:t>
      </w:r>
      <w:r w:rsidR="003500AB" w:rsidRPr="00645805">
        <w:rPr>
          <w:color w:val="000000" w:themeColor="text1"/>
        </w:rPr>
        <w:fldChar w:fldCharType="end"/>
      </w:r>
      <w:r w:rsidR="003500AB" w:rsidRPr="00645805">
        <w:rPr>
          <w:color w:val="000000" w:themeColor="text1"/>
        </w:rPr>
        <w:t xml:space="preserve"> </w:t>
      </w:r>
      <w:r w:rsidRPr="00E9705C">
        <w:t>below indicates the potential costs associated with the realisation of all</w:t>
      </w:r>
      <w:r w:rsidR="004135E0">
        <w:t>-</w:t>
      </w:r>
      <w:r w:rsidRPr="00E9705C">
        <w:t xml:space="preserve">hazard threats for </w:t>
      </w:r>
      <w:r w:rsidR="008056F4">
        <w:t>critical infrastructure assets</w:t>
      </w:r>
      <w:r w:rsidRPr="00E9705C">
        <w:t>.</w:t>
      </w:r>
    </w:p>
    <w:p w14:paraId="4D3B876F" w14:textId="196FA836" w:rsidR="004B5422" w:rsidRPr="00E9705C" w:rsidRDefault="004B5422" w:rsidP="00F4406B">
      <w:pPr>
        <w:pStyle w:val="Caption"/>
      </w:pPr>
      <w:bookmarkStart w:id="277" w:name="_Ref93476634"/>
      <w:bookmarkStart w:id="278" w:name="_Toc120115101"/>
      <w:r w:rsidRPr="00E9705C">
        <w:rPr>
          <w:b/>
        </w:rPr>
        <w:t xml:space="preserve">Table </w:t>
      </w:r>
      <w:r w:rsidRPr="00E9705C">
        <w:rPr>
          <w:b/>
        </w:rPr>
        <w:fldChar w:fldCharType="begin"/>
      </w:r>
      <w:r w:rsidRPr="00E9705C">
        <w:rPr>
          <w:b/>
        </w:rPr>
        <w:instrText xml:space="preserve"> SEQ Table \* ARABIC </w:instrText>
      </w:r>
      <w:r w:rsidRPr="00E9705C">
        <w:rPr>
          <w:b/>
        </w:rPr>
        <w:fldChar w:fldCharType="separate"/>
      </w:r>
      <w:r w:rsidR="009708D4">
        <w:rPr>
          <w:b/>
          <w:noProof/>
        </w:rPr>
        <w:t>16</w:t>
      </w:r>
      <w:r w:rsidRPr="00E9705C">
        <w:rPr>
          <w:b/>
        </w:rPr>
        <w:fldChar w:fldCharType="end"/>
      </w:r>
      <w:bookmarkEnd w:id="277"/>
      <w:r w:rsidRPr="00E9705C">
        <w:t xml:space="preserve"> </w:t>
      </w:r>
      <w:r>
        <w:t>Total potential cost to the economy (direct and indirect costs) of the incidents, by critical infrastructure asset</w:t>
      </w:r>
      <w:bookmarkEnd w:id="278"/>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3125"/>
        <w:gridCol w:w="2172"/>
        <w:gridCol w:w="2172"/>
        <w:gridCol w:w="2169"/>
      </w:tblGrid>
      <w:tr w:rsidR="00C153B7" w:rsidRPr="00F857EB" w14:paraId="7B34EAF7" w14:textId="77777777" w:rsidTr="000F3780">
        <w:trPr>
          <w:cantSplit/>
          <w:trHeight w:val="401"/>
          <w:tblHeader/>
        </w:trPr>
        <w:tc>
          <w:tcPr>
            <w:tcW w:w="1621" w:type="pct"/>
            <w:shd w:val="clear" w:color="auto" w:fill="034EA2" w:themeFill="accent1"/>
          </w:tcPr>
          <w:p w14:paraId="7FC77E05" w14:textId="77777777" w:rsidR="004B5422" w:rsidRPr="00F857EB" w:rsidRDefault="004B5422" w:rsidP="007145FA">
            <w:pPr>
              <w:pStyle w:val="TableHeading"/>
              <w:rPr>
                <w:rFonts w:asciiTheme="minorHAnsi" w:hAnsiTheme="minorHAnsi" w:cstheme="minorHAnsi"/>
              </w:rPr>
            </w:pPr>
            <w:r w:rsidRPr="00F857EB">
              <w:rPr>
                <w:rFonts w:asciiTheme="minorHAnsi" w:hAnsiTheme="minorHAnsi" w:cstheme="minorHAnsi"/>
              </w:rPr>
              <w:t>Critical infrastructure asset</w:t>
            </w:r>
          </w:p>
        </w:tc>
        <w:tc>
          <w:tcPr>
            <w:tcW w:w="1127" w:type="pct"/>
            <w:shd w:val="clear" w:color="auto" w:fill="034EA2" w:themeFill="accent1"/>
            <w:hideMark/>
          </w:tcPr>
          <w:p w14:paraId="233A77B6" w14:textId="77777777" w:rsidR="004B5422" w:rsidRPr="00F857EB" w:rsidRDefault="004B5422" w:rsidP="007145FA">
            <w:pPr>
              <w:pStyle w:val="TableHeading"/>
              <w:rPr>
                <w:rFonts w:asciiTheme="minorHAnsi" w:hAnsiTheme="minorHAnsi" w:cstheme="minorHAnsi"/>
              </w:rPr>
            </w:pPr>
            <w:r w:rsidRPr="00F857EB">
              <w:rPr>
                <w:rFonts w:asciiTheme="minorHAnsi" w:hAnsiTheme="minorHAnsi" w:cstheme="minorHAnsi"/>
              </w:rPr>
              <w:t>Scenario 1</w:t>
            </w:r>
            <w:r w:rsidRPr="00F857EB">
              <w:rPr>
                <w:rFonts w:asciiTheme="minorHAnsi" w:hAnsiTheme="minorHAnsi" w:cstheme="minorHAnsi"/>
              </w:rPr>
              <w:br/>
              <w:t>(Severe, $ million)</w:t>
            </w:r>
          </w:p>
        </w:tc>
        <w:tc>
          <w:tcPr>
            <w:tcW w:w="1127" w:type="pct"/>
            <w:shd w:val="clear" w:color="auto" w:fill="034EA2" w:themeFill="accent1"/>
            <w:hideMark/>
          </w:tcPr>
          <w:p w14:paraId="150F3831" w14:textId="77777777" w:rsidR="004B5422" w:rsidRPr="00F857EB" w:rsidRDefault="004B5422" w:rsidP="007145FA">
            <w:pPr>
              <w:pStyle w:val="TableHeading"/>
              <w:rPr>
                <w:rFonts w:asciiTheme="minorHAnsi" w:hAnsiTheme="minorHAnsi" w:cstheme="minorHAnsi"/>
              </w:rPr>
            </w:pPr>
            <w:r w:rsidRPr="00F857EB">
              <w:rPr>
                <w:rFonts w:asciiTheme="minorHAnsi" w:hAnsiTheme="minorHAnsi" w:cstheme="minorHAnsi"/>
              </w:rPr>
              <w:t>Scenario 2</w:t>
            </w:r>
            <w:r w:rsidRPr="00F857EB">
              <w:rPr>
                <w:rFonts w:asciiTheme="minorHAnsi" w:hAnsiTheme="minorHAnsi" w:cstheme="minorHAnsi"/>
              </w:rPr>
              <w:br/>
              <w:t>(Moderate, $ million)</w:t>
            </w:r>
          </w:p>
        </w:tc>
        <w:tc>
          <w:tcPr>
            <w:tcW w:w="1125" w:type="pct"/>
            <w:shd w:val="clear" w:color="auto" w:fill="034EA2" w:themeFill="accent1"/>
            <w:hideMark/>
          </w:tcPr>
          <w:p w14:paraId="03EB76B0" w14:textId="77777777" w:rsidR="004B5422" w:rsidRPr="00F857EB" w:rsidRDefault="004B5422" w:rsidP="007145FA">
            <w:pPr>
              <w:pStyle w:val="TableHeading"/>
              <w:rPr>
                <w:rFonts w:asciiTheme="minorHAnsi" w:hAnsiTheme="minorHAnsi" w:cstheme="minorHAnsi"/>
              </w:rPr>
            </w:pPr>
            <w:r w:rsidRPr="00F857EB">
              <w:rPr>
                <w:rFonts w:asciiTheme="minorHAnsi" w:hAnsiTheme="minorHAnsi" w:cstheme="minorHAnsi"/>
              </w:rPr>
              <w:t>Scenario 3</w:t>
            </w:r>
            <w:r w:rsidRPr="00F857EB">
              <w:rPr>
                <w:rFonts w:asciiTheme="minorHAnsi" w:hAnsiTheme="minorHAnsi" w:cstheme="minorHAnsi"/>
              </w:rPr>
              <w:br/>
              <w:t>(Low, $ million)</w:t>
            </w:r>
          </w:p>
        </w:tc>
      </w:tr>
      <w:tr w:rsidR="00C153B7" w:rsidRPr="00F857EB" w14:paraId="7C5AD241" w14:textId="77777777" w:rsidTr="000F3780">
        <w:trPr>
          <w:cantSplit/>
          <w:trHeight w:val="361"/>
        </w:trPr>
        <w:tc>
          <w:tcPr>
            <w:tcW w:w="1621" w:type="pct"/>
            <w:shd w:val="clear" w:color="auto" w:fill="F2F2F2" w:themeFill="background2" w:themeFillShade="F2"/>
          </w:tcPr>
          <w:p w14:paraId="38270C4D" w14:textId="77777777" w:rsidR="005F3C46" w:rsidRPr="00F857EB" w:rsidRDefault="005F3C46" w:rsidP="007145FA">
            <w:pPr>
              <w:pStyle w:val="TableBody"/>
              <w:rPr>
                <w:rFonts w:asciiTheme="minorHAnsi" w:hAnsiTheme="minorHAnsi" w:cstheme="minorHAnsi"/>
              </w:rPr>
            </w:pPr>
            <w:r w:rsidRPr="00F857EB">
              <w:rPr>
                <w:rFonts w:asciiTheme="minorHAnsi" w:hAnsiTheme="minorHAnsi" w:cstheme="minorHAnsi"/>
                <w:lang w:eastAsia="en-AU"/>
              </w:rPr>
              <w:t>Critical electricity assets</w:t>
            </w:r>
          </w:p>
        </w:tc>
        <w:tc>
          <w:tcPr>
            <w:tcW w:w="1127" w:type="pct"/>
            <w:shd w:val="clear" w:color="auto" w:fill="auto"/>
          </w:tcPr>
          <w:p w14:paraId="4D0FC881" w14:textId="442AA055" w:rsidR="005F3C46" w:rsidRPr="00CE4B35" w:rsidRDefault="00A0701B"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1,280.0</w:t>
            </w:r>
          </w:p>
        </w:tc>
        <w:tc>
          <w:tcPr>
            <w:tcW w:w="1127" w:type="pct"/>
            <w:shd w:val="clear" w:color="auto" w:fill="auto"/>
          </w:tcPr>
          <w:p w14:paraId="718BD13B" w14:textId="1EA87300" w:rsidR="005F3C46" w:rsidRPr="00CE4B35" w:rsidRDefault="00A0701B"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850.0</w:t>
            </w:r>
          </w:p>
        </w:tc>
        <w:tc>
          <w:tcPr>
            <w:tcW w:w="1125" w:type="pct"/>
            <w:shd w:val="clear" w:color="auto" w:fill="auto"/>
          </w:tcPr>
          <w:p w14:paraId="1BE6B281" w14:textId="3F507E39" w:rsidR="005F3C46" w:rsidRPr="00CE4B35" w:rsidRDefault="00A0701B"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490.0</w:t>
            </w:r>
          </w:p>
        </w:tc>
      </w:tr>
      <w:tr w:rsidR="00C153B7" w:rsidRPr="00F857EB" w14:paraId="609849B1" w14:textId="77777777" w:rsidTr="000F3780">
        <w:trPr>
          <w:cantSplit/>
          <w:trHeight w:val="361"/>
        </w:trPr>
        <w:tc>
          <w:tcPr>
            <w:tcW w:w="1621" w:type="pct"/>
            <w:shd w:val="clear" w:color="auto" w:fill="F2F2F2" w:themeFill="background2" w:themeFillShade="F2"/>
          </w:tcPr>
          <w:p w14:paraId="43410E2F" w14:textId="77777777" w:rsidR="005F3C46" w:rsidRPr="00F857EB" w:rsidRDefault="005F3C46" w:rsidP="007145FA">
            <w:pPr>
              <w:pStyle w:val="TableBody"/>
              <w:rPr>
                <w:rFonts w:asciiTheme="minorHAnsi" w:hAnsiTheme="minorHAnsi" w:cstheme="minorHAnsi"/>
              </w:rPr>
            </w:pPr>
            <w:r w:rsidRPr="00F857EB">
              <w:rPr>
                <w:rFonts w:asciiTheme="minorHAnsi" w:hAnsiTheme="minorHAnsi" w:cstheme="minorHAnsi"/>
                <w:lang w:eastAsia="en-AU"/>
              </w:rPr>
              <w:t>Critical gas assets</w:t>
            </w:r>
          </w:p>
        </w:tc>
        <w:tc>
          <w:tcPr>
            <w:tcW w:w="1127" w:type="pct"/>
            <w:shd w:val="clear" w:color="auto" w:fill="auto"/>
          </w:tcPr>
          <w:p w14:paraId="31CA039B" w14:textId="43377732" w:rsidR="005F3C46" w:rsidRPr="00CE4B35" w:rsidRDefault="00A126F6"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1,91</w:t>
            </w:r>
            <w:r w:rsidR="0021069F">
              <w:rPr>
                <w:rFonts w:eastAsia="Calibri" w:cstheme="minorHAnsi"/>
                <w:color w:val="auto"/>
                <w:szCs w:val="18"/>
                <w:lang w:val="en-AU"/>
              </w:rPr>
              <w:t>3</w:t>
            </w:r>
            <w:r w:rsidRPr="00CE4B35">
              <w:rPr>
                <w:rFonts w:eastAsia="Calibri" w:cstheme="minorHAnsi"/>
                <w:color w:val="auto"/>
                <w:szCs w:val="18"/>
                <w:lang w:val="en-AU"/>
              </w:rPr>
              <w:t>.0</w:t>
            </w:r>
          </w:p>
        </w:tc>
        <w:tc>
          <w:tcPr>
            <w:tcW w:w="1127" w:type="pct"/>
            <w:shd w:val="clear" w:color="auto" w:fill="auto"/>
          </w:tcPr>
          <w:p w14:paraId="2DF925AE" w14:textId="71B40145" w:rsidR="005F3C46" w:rsidRPr="00CE4B35" w:rsidRDefault="00A126F6"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1,001.0</w:t>
            </w:r>
          </w:p>
        </w:tc>
        <w:tc>
          <w:tcPr>
            <w:tcW w:w="1125" w:type="pct"/>
            <w:shd w:val="clear" w:color="auto" w:fill="auto"/>
          </w:tcPr>
          <w:p w14:paraId="4A274BEB" w14:textId="5165A5A5" w:rsidR="005F3C46" w:rsidRPr="00CE4B35" w:rsidRDefault="00A126F6"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513.0</w:t>
            </w:r>
          </w:p>
        </w:tc>
      </w:tr>
      <w:tr w:rsidR="00C153B7" w:rsidRPr="00F857EB" w14:paraId="45392223" w14:textId="77777777" w:rsidTr="000F3780">
        <w:trPr>
          <w:cantSplit/>
          <w:trHeight w:val="361"/>
        </w:trPr>
        <w:tc>
          <w:tcPr>
            <w:tcW w:w="1621" w:type="pct"/>
            <w:shd w:val="clear" w:color="auto" w:fill="F2F2F2" w:themeFill="background2" w:themeFillShade="F2"/>
          </w:tcPr>
          <w:p w14:paraId="4D4FE48A" w14:textId="77777777" w:rsidR="005F3C46" w:rsidRPr="00F857EB" w:rsidRDefault="005F3C46" w:rsidP="007145FA">
            <w:pPr>
              <w:pStyle w:val="TableBody"/>
              <w:rPr>
                <w:rFonts w:asciiTheme="minorHAnsi" w:hAnsiTheme="minorHAnsi" w:cstheme="minorHAnsi"/>
              </w:rPr>
            </w:pPr>
            <w:r w:rsidRPr="00F857EB">
              <w:rPr>
                <w:rFonts w:asciiTheme="minorHAnsi" w:hAnsiTheme="minorHAnsi" w:cstheme="minorHAnsi"/>
                <w:lang w:eastAsia="en-AU"/>
              </w:rPr>
              <w:t>Critical water assets</w:t>
            </w:r>
          </w:p>
        </w:tc>
        <w:tc>
          <w:tcPr>
            <w:tcW w:w="1127" w:type="pct"/>
            <w:shd w:val="clear" w:color="auto" w:fill="auto"/>
          </w:tcPr>
          <w:p w14:paraId="0CFF68CA" w14:textId="52AB0762" w:rsidR="005F3C46" w:rsidRPr="00CE4B35" w:rsidRDefault="00A126F6"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4,099.0</w:t>
            </w:r>
          </w:p>
        </w:tc>
        <w:tc>
          <w:tcPr>
            <w:tcW w:w="1127" w:type="pct"/>
            <w:shd w:val="clear" w:color="auto" w:fill="auto"/>
          </w:tcPr>
          <w:p w14:paraId="3D63BB04" w14:textId="73C4D83B" w:rsidR="005F3C46" w:rsidRPr="00CE4B35" w:rsidRDefault="00A126F6"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126.8</w:t>
            </w:r>
          </w:p>
        </w:tc>
        <w:tc>
          <w:tcPr>
            <w:tcW w:w="1125" w:type="pct"/>
            <w:shd w:val="clear" w:color="auto" w:fill="auto"/>
          </w:tcPr>
          <w:p w14:paraId="360A53AF" w14:textId="1137AFA3" w:rsidR="005F3C46" w:rsidRPr="00CE4B35" w:rsidRDefault="00A126F6"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1.2</w:t>
            </w:r>
          </w:p>
        </w:tc>
      </w:tr>
      <w:tr w:rsidR="00C153B7" w:rsidRPr="00F857EB" w14:paraId="76DC3373" w14:textId="77777777" w:rsidTr="000F3780">
        <w:trPr>
          <w:cantSplit/>
          <w:trHeight w:val="372"/>
        </w:trPr>
        <w:tc>
          <w:tcPr>
            <w:tcW w:w="1621" w:type="pct"/>
            <w:shd w:val="clear" w:color="auto" w:fill="F2F2F2" w:themeFill="background2" w:themeFillShade="F2"/>
          </w:tcPr>
          <w:p w14:paraId="3BDF7015" w14:textId="77777777" w:rsidR="005F3C46" w:rsidRPr="00F857EB" w:rsidRDefault="005F3C46" w:rsidP="007145FA">
            <w:pPr>
              <w:pStyle w:val="TableBody"/>
              <w:rPr>
                <w:rFonts w:asciiTheme="minorHAnsi" w:hAnsiTheme="minorHAnsi" w:cstheme="minorHAnsi"/>
              </w:rPr>
            </w:pPr>
            <w:r w:rsidRPr="00F857EB">
              <w:rPr>
                <w:rFonts w:asciiTheme="minorHAnsi" w:hAnsiTheme="minorHAnsi" w:cstheme="minorHAnsi"/>
                <w:lang w:eastAsia="en-AU"/>
              </w:rPr>
              <w:t>Critical data processing or storage assets</w:t>
            </w:r>
          </w:p>
        </w:tc>
        <w:tc>
          <w:tcPr>
            <w:tcW w:w="1127" w:type="pct"/>
            <w:shd w:val="clear" w:color="auto" w:fill="auto"/>
          </w:tcPr>
          <w:p w14:paraId="05DBA788" w14:textId="2059BCC2" w:rsidR="005F3C46" w:rsidRPr="00CE4B35" w:rsidRDefault="00E70C74"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196.0</w:t>
            </w:r>
          </w:p>
        </w:tc>
        <w:tc>
          <w:tcPr>
            <w:tcW w:w="1127" w:type="pct"/>
            <w:shd w:val="clear" w:color="auto" w:fill="auto"/>
          </w:tcPr>
          <w:p w14:paraId="56B6ADF9" w14:textId="2DAB2F53" w:rsidR="005F3C46" w:rsidRPr="00CE4B35" w:rsidRDefault="00E70C74"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98.0</w:t>
            </w:r>
          </w:p>
        </w:tc>
        <w:tc>
          <w:tcPr>
            <w:tcW w:w="1125" w:type="pct"/>
            <w:shd w:val="clear" w:color="auto" w:fill="auto"/>
          </w:tcPr>
          <w:p w14:paraId="393D11AF" w14:textId="0244EE99" w:rsidR="005F3C46" w:rsidRPr="00CE4B35" w:rsidRDefault="00E70C74"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4.6</w:t>
            </w:r>
          </w:p>
        </w:tc>
      </w:tr>
      <w:tr w:rsidR="00192C24" w:rsidRPr="00F857EB" w14:paraId="5D14F26A" w14:textId="77777777" w:rsidTr="000F3780">
        <w:trPr>
          <w:cantSplit/>
          <w:trHeight w:val="361"/>
        </w:trPr>
        <w:tc>
          <w:tcPr>
            <w:tcW w:w="1621" w:type="pct"/>
            <w:shd w:val="clear" w:color="auto" w:fill="F2F2F2" w:themeFill="background2" w:themeFillShade="F2"/>
          </w:tcPr>
          <w:p w14:paraId="78AEAA8D" w14:textId="298204DA" w:rsidR="00192C24" w:rsidRPr="00F857EB" w:rsidRDefault="00192C24" w:rsidP="00192C24">
            <w:pPr>
              <w:pStyle w:val="TableBody"/>
              <w:rPr>
                <w:rFonts w:asciiTheme="minorHAnsi" w:hAnsiTheme="minorHAnsi" w:cstheme="minorHAnsi"/>
              </w:rPr>
            </w:pPr>
            <w:r w:rsidRPr="00A57625">
              <w:rPr>
                <w:rFonts w:cstheme="minorHAnsi"/>
                <w:lang w:eastAsia="en-AU"/>
              </w:rPr>
              <w:t>Critical broadcasting assets</w:t>
            </w:r>
            <w:r w:rsidRPr="00DC490A">
              <w:rPr>
                <w:rFonts w:cstheme="minorHAnsi"/>
                <w:lang w:eastAsia="en-AU"/>
              </w:rPr>
              <w:t xml:space="preserve"> and critical domain name systems</w:t>
            </w:r>
          </w:p>
        </w:tc>
        <w:tc>
          <w:tcPr>
            <w:tcW w:w="1127" w:type="pct"/>
            <w:shd w:val="clear" w:color="auto" w:fill="auto"/>
          </w:tcPr>
          <w:p w14:paraId="5FD1D317" w14:textId="1FF79896" w:rsidR="00192C24" w:rsidRPr="008C2B6C" w:rsidRDefault="0021069F" w:rsidP="008C2B6C">
            <w:pPr>
              <w:pStyle w:val="TableBody"/>
              <w:jc w:val="center"/>
              <w:rPr>
                <w:rFonts w:asciiTheme="minorHAnsi" w:eastAsia="Calibri" w:hAnsiTheme="minorHAnsi" w:cstheme="minorHAnsi"/>
                <w:color w:val="auto"/>
                <w:szCs w:val="18"/>
                <w:lang w:val="en-AU"/>
              </w:rPr>
            </w:pPr>
            <w:r>
              <w:rPr>
                <w:rFonts w:eastAsia="Calibri" w:cstheme="minorHAnsi"/>
                <w:color w:val="auto"/>
                <w:szCs w:val="18"/>
                <w:lang w:val="en-AU"/>
              </w:rPr>
              <w:t>7.7</w:t>
            </w:r>
          </w:p>
        </w:tc>
        <w:tc>
          <w:tcPr>
            <w:tcW w:w="1127" w:type="pct"/>
            <w:shd w:val="clear" w:color="auto" w:fill="auto"/>
          </w:tcPr>
          <w:p w14:paraId="0F9BFA8A" w14:textId="6E9BA21E" w:rsidR="00192C24" w:rsidRPr="00CE4B35" w:rsidRDefault="001A28FB" w:rsidP="008C2B6C">
            <w:pPr>
              <w:pStyle w:val="TableBody"/>
              <w:jc w:val="center"/>
              <w:rPr>
                <w:rFonts w:asciiTheme="minorHAnsi" w:eastAsia="Calibri" w:hAnsiTheme="minorHAnsi" w:cstheme="minorHAnsi"/>
                <w:color w:val="auto"/>
                <w:szCs w:val="18"/>
                <w:lang w:val="en-AU"/>
              </w:rPr>
            </w:pPr>
            <w:r w:rsidRPr="00840784">
              <w:rPr>
                <w:rFonts w:eastAsia="Calibri" w:cstheme="minorHAnsi"/>
                <w:color w:val="auto"/>
                <w:szCs w:val="18"/>
                <w:lang w:val="en-AU"/>
              </w:rPr>
              <w:t>3.8</w:t>
            </w:r>
          </w:p>
        </w:tc>
        <w:tc>
          <w:tcPr>
            <w:tcW w:w="1125" w:type="pct"/>
            <w:shd w:val="clear" w:color="auto" w:fill="auto"/>
          </w:tcPr>
          <w:p w14:paraId="6DE74A29" w14:textId="0A65AB86" w:rsidR="00192C24" w:rsidRPr="00CE4B35" w:rsidRDefault="00E70C74" w:rsidP="008C2B6C">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1.9</w:t>
            </w:r>
          </w:p>
        </w:tc>
      </w:tr>
      <w:tr w:rsidR="00C153B7" w:rsidRPr="00F857EB" w14:paraId="1F689858" w14:textId="77777777" w:rsidTr="000F3780">
        <w:trPr>
          <w:cantSplit/>
          <w:trHeight w:val="361"/>
        </w:trPr>
        <w:tc>
          <w:tcPr>
            <w:tcW w:w="1621" w:type="pct"/>
            <w:shd w:val="clear" w:color="auto" w:fill="F2F2F2" w:themeFill="background2" w:themeFillShade="F2"/>
          </w:tcPr>
          <w:p w14:paraId="07A4BF87" w14:textId="77777777" w:rsidR="005F3C46" w:rsidRPr="00F857EB" w:rsidRDefault="005F3C46" w:rsidP="007145FA">
            <w:pPr>
              <w:pStyle w:val="TableBody"/>
              <w:rPr>
                <w:rFonts w:asciiTheme="minorHAnsi" w:hAnsiTheme="minorHAnsi" w:cstheme="minorHAnsi"/>
              </w:rPr>
            </w:pPr>
            <w:r w:rsidRPr="00F857EB">
              <w:rPr>
                <w:rFonts w:asciiTheme="minorHAnsi" w:hAnsiTheme="minorHAnsi" w:cstheme="minorHAnsi"/>
                <w:lang w:eastAsia="en-AU"/>
              </w:rPr>
              <w:t>Critical financial market infrastructure assets (payment systems)</w:t>
            </w:r>
          </w:p>
        </w:tc>
        <w:tc>
          <w:tcPr>
            <w:tcW w:w="1127" w:type="pct"/>
            <w:shd w:val="clear" w:color="auto" w:fill="auto"/>
          </w:tcPr>
          <w:p w14:paraId="56544A8D" w14:textId="222AF64A" w:rsidR="005F3C46" w:rsidRPr="00CE4B35" w:rsidRDefault="00E91AC3"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27.1</w:t>
            </w:r>
          </w:p>
        </w:tc>
        <w:tc>
          <w:tcPr>
            <w:tcW w:w="1127" w:type="pct"/>
            <w:shd w:val="clear" w:color="auto" w:fill="auto"/>
          </w:tcPr>
          <w:p w14:paraId="7ABCD903" w14:textId="1549E717" w:rsidR="005F3C46" w:rsidRPr="00CE4B35" w:rsidRDefault="00E91AC3"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13.5</w:t>
            </w:r>
          </w:p>
        </w:tc>
        <w:tc>
          <w:tcPr>
            <w:tcW w:w="1125" w:type="pct"/>
            <w:shd w:val="clear" w:color="auto" w:fill="auto"/>
          </w:tcPr>
          <w:p w14:paraId="39DE4778" w14:textId="4F331660" w:rsidR="005F3C46" w:rsidRPr="00CE4B35" w:rsidRDefault="00E91AC3"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6.8</w:t>
            </w:r>
          </w:p>
        </w:tc>
      </w:tr>
      <w:tr w:rsidR="00192C24" w:rsidRPr="00F857EB" w14:paraId="236138E8" w14:textId="77777777" w:rsidTr="000F3780">
        <w:trPr>
          <w:cantSplit/>
          <w:trHeight w:val="361"/>
        </w:trPr>
        <w:tc>
          <w:tcPr>
            <w:tcW w:w="1621" w:type="pct"/>
            <w:shd w:val="clear" w:color="auto" w:fill="F2F2F2" w:themeFill="background2" w:themeFillShade="F2"/>
          </w:tcPr>
          <w:p w14:paraId="204ED268" w14:textId="75EE437A" w:rsidR="00192C24" w:rsidRPr="00F857EB" w:rsidRDefault="00192C24" w:rsidP="00192C24">
            <w:pPr>
              <w:pStyle w:val="TableBody"/>
              <w:rPr>
                <w:rFonts w:asciiTheme="minorHAnsi" w:hAnsiTheme="minorHAnsi" w:cstheme="minorHAnsi"/>
              </w:rPr>
            </w:pPr>
            <w:r w:rsidRPr="00F857EB">
              <w:rPr>
                <w:rFonts w:asciiTheme="minorHAnsi" w:hAnsiTheme="minorHAnsi" w:cstheme="minorHAnsi"/>
                <w:lang w:eastAsia="en-AU"/>
              </w:rPr>
              <w:t>Critical liquid fuels assets</w:t>
            </w:r>
          </w:p>
        </w:tc>
        <w:tc>
          <w:tcPr>
            <w:tcW w:w="1127" w:type="pct"/>
            <w:shd w:val="clear" w:color="auto" w:fill="auto"/>
          </w:tcPr>
          <w:p w14:paraId="0AEAA3E5" w14:textId="3C6BE0C5" w:rsidR="00192C24" w:rsidRPr="00CE4B35" w:rsidRDefault="001E0EE7"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w:t>
            </w:r>
            <w:r w:rsidR="00192C24" w:rsidRPr="00CE4B35" w:rsidDel="002B1B15">
              <w:rPr>
                <w:rFonts w:eastAsia="Calibri" w:cstheme="minorHAnsi"/>
                <w:color w:val="auto"/>
                <w:szCs w:val="18"/>
                <w:lang w:val="en-AU"/>
              </w:rPr>
              <w:t>,91</w:t>
            </w:r>
            <w:r w:rsidR="0021069F">
              <w:rPr>
                <w:rFonts w:eastAsia="Calibri" w:cstheme="minorHAnsi"/>
                <w:color w:val="auto"/>
                <w:szCs w:val="18"/>
                <w:lang w:val="en-AU"/>
              </w:rPr>
              <w:t>3</w:t>
            </w:r>
            <w:r w:rsidR="00192C24" w:rsidRPr="00CE4B35" w:rsidDel="002B1B15">
              <w:rPr>
                <w:rFonts w:eastAsia="Calibri" w:cstheme="minorHAnsi"/>
                <w:color w:val="auto"/>
                <w:szCs w:val="18"/>
                <w:lang w:val="en-AU"/>
              </w:rPr>
              <w:t>.</w:t>
            </w:r>
            <w:r w:rsidRPr="00CE4B35">
              <w:rPr>
                <w:rFonts w:eastAsia="Calibri" w:cstheme="minorHAnsi"/>
                <w:color w:val="auto"/>
                <w:szCs w:val="18"/>
                <w:lang w:val="en-AU"/>
              </w:rPr>
              <w:t>0</w:t>
            </w:r>
          </w:p>
        </w:tc>
        <w:tc>
          <w:tcPr>
            <w:tcW w:w="1127" w:type="pct"/>
            <w:shd w:val="clear" w:color="auto" w:fill="auto"/>
          </w:tcPr>
          <w:p w14:paraId="669E3FF0" w14:textId="4BA9C267" w:rsidR="00192C24" w:rsidRPr="00CE4B35" w:rsidRDefault="0021069F" w:rsidP="0021069F">
            <w:pPr>
              <w:pStyle w:val="TableBody"/>
              <w:jc w:val="center"/>
              <w:rPr>
                <w:rFonts w:asciiTheme="minorHAnsi" w:eastAsia="Calibri" w:hAnsiTheme="minorHAnsi" w:cstheme="minorHAnsi"/>
                <w:color w:val="auto"/>
                <w:szCs w:val="18"/>
                <w:lang w:val="en-AU"/>
              </w:rPr>
            </w:pPr>
            <w:r>
              <w:rPr>
                <w:rFonts w:eastAsia="Calibri" w:cstheme="minorHAnsi"/>
                <w:color w:val="auto"/>
                <w:szCs w:val="18"/>
                <w:lang w:val="en-AU"/>
              </w:rPr>
              <w:t>1,001.0</w:t>
            </w:r>
          </w:p>
        </w:tc>
        <w:tc>
          <w:tcPr>
            <w:tcW w:w="1125" w:type="pct"/>
            <w:shd w:val="clear" w:color="auto" w:fill="auto"/>
          </w:tcPr>
          <w:p w14:paraId="6007B96B" w14:textId="10DDF89E" w:rsidR="00192C24" w:rsidRPr="00CE4B35" w:rsidRDefault="00F059C0"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14.5</w:t>
            </w:r>
          </w:p>
        </w:tc>
      </w:tr>
      <w:tr w:rsidR="00340241" w:rsidRPr="00F857EB" w14:paraId="0852580E" w14:textId="77777777" w:rsidTr="000F3780">
        <w:trPr>
          <w:cantSplit/>
          <w:trHeight w:val="361"/>
        </w:trPr>
        <w:tc>
          <w:tcPr>
            <w:tcW w:w="1621" w:type="pct"/>
            <w:shd w:val="clear" w:color="auto" w:fill="F2F2F2" w:themeFill="background2" w:themeFillShade="F2"/>
          </w:tcPr>
          <w:p w14:paraId="63D0D97F" w14:textId="2E9782C4" w:rsidR="00DA55C6" w:rsidRPr="00F857EB" w:rsidRDefault="00D077EF" w:rsidP="007145FA">
            <w:pPr>
              <w:pStyle w:val="TableBody"/>
              <w:rPr>
                <w:rFonts w:asciiTheme="minorHAnsi" w:hAnsiTheme="minorHAnsi" w:cstheme="minorHAnsi"/>
              </w:rPr>
            </w:pPr>
            <w:r w:rsidRPr="00F857EB">
              <w:rPr>
                <w:rFonts w:asciiTheme="minorHAnsi" w:hAnsiTheme="minorHAnsi" w:cstheme="minorHAnsi"/>
                <w:lang w:eastAsia="en-AU"/>
              </w:rPr>
              <w:t>Critical hospitals</w:t>
            </w:r>
          </w:p>
        </w:tc>
        <w:tc>
          <w:tcPr>
            <w:tcW w:w="1127" w:type="pct"/>
            <w:shd w:val="clear" w:color="auto" w:fill="auto"/>
          </w:tcPr>
          <w:p w14:paraId="5E34C656" w14:textId="698AF2BD" w:rsidR="00DA55C6" w:rsidRPr="00CE4B35" w:rsidRDefault="008D57D3"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229.8</w:t>
            </w:r>
          </w:p>
        </w:tc>
        <w:tc>
          <w:tcPr>
            <w:tcW w:w="1127" w:type="pct"/>
            <w:shd w:val="clear" w:color="auto" w:fill="auto"/>
          </w:tcPr>
          <w:p w14:paraId="29A9ABFB" w14:textId="1955DC08" w:rsidR="00DA55C6" w:rsidRPr="00CE4B35" w:rsidRDefault="008D57D3"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114.9</w:t>
            </w:r>
          </w:p>
        </w:tc>
        <w:tc>
          <w:tcPr>
            <w:tcW w:w="1125" w:type="pct"/>
            <w:shd w:val="clear" w:color="auto" w:fill="auto"/>
          </w:tcPr>
          <w:p w14:paraId="6D3794BF" w14:textId="6EBF61A1" w:rsidR="00DA55C6" w:rsidRPr="00CE4B35" w:rsidRDefault="008D57D3"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23.0</w:t>
            </w:r>
          </w:p>
        </w:tc>
      </w:tr>
      <w:tr w:rsidR="00C153B7" w:rsidRPr="00F857EB" w14:paraId="1383A3BA" w14:textId="77777777" w:rsidTr="000F3780">
        <w:trPr>
          <w:cantSplit/>
          <w:trHeight w:val="372"/>
        </w:trPr>
        <w:tc>
          <w:tcPr>
            <w:tcW w:w="1621" w:type="pct"/>
            <w:shd w:val="clear" w:color="auto" w:fill="F2F2F2" w:themeFill="background2" w:themeFillShade="F2"/>
          </w:tcPr>
          <w:p w14:paraId="5A08BD84" w14:textId="3F11469D" w:rsidR="005F3C46" w:rsidRPr="00F857EB" w:rsidRDefault="00D077EF" w:rsidP="007145FA">
            <w:pPr>
              <w:pStyle w:val="TableBody"/>
              <w:rPr>
                <w:rFonts w:asciiTheme="minorHAnsi" w:hAnsiTheme="minorHAnsi" w:cstheme="minorHAnsi"/>
              </w:rPr>
            </w:pPr>
            <w:r w:rsidRPr="00F857EB">
              <w:rPr>
                <w:rFonts w:asciiTheme="minorHAnsi" w:hAnsiTheme="minorHAnsi" w:cstheme="minorHAnsi"/>
                <w:lang w:eastAsia="en-AU"/>
              </w:rPr>
              <w:t>Critical energy market operator assets</w:t>
            </w:r>
          </w:p>
        </w:tc>
        <w:tc>
          <w:tcPr>
            <w:tcW w:w="1127" w:type="pct"/>
            <w:shd w:val="clear" w:color="auto" w:fill="auto"/>
          </w:tcPr>
          <w:p w14:paraId="1C5B6625" w14:textId="14CEC8E2" w:rsidR="005F3C46" w:rsidRPr="00CE4B35" w:rsidRDefault="008132E7"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1,280.0</w:t>
            </w:r>
          </w:p>
        </w:tc>
        <w:tc>
          <w:tcPr>
            <w:tcW w:w="1127" w:type="pct"/>
            <w:shd w:val="clear" w:color="auto" w:fill="auto"/>
          </w:tcPr>
          <w:p w14:paraId="796A5036" w14:textId="5BFD4364" w:rsidR="005F3C46" w:rsidRPr="00CE4B35" w:rsidRDefault="008132E7"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850.0</w:t>
            </w:r>
          </w:p>
        </w:tc>
        <w:tc>
          <w:tcPr>
            <w:tcW w:w="1125" w:type="pct"/>
            <w:shd w:val="clear" w:color="auto" w:fill="auto"/>
          </w:tcPr>
          <w:p w14:paraId="7E941F59" w14:textId="1E0F4380" w:rsidR="005F3C46" w:rsidRPr="00CE4B35" w:rsidRDefault="008132E7" w:rsidP="00CE4B35">
            <w:pPr>
              <w:pStyle w:val="TableBody"/>
              <w:jc w:val="center"/>
              <w:rPr>
                <w:rFonts w:asciiTheme="minorHAnsi" w:eastAsia="Calibri" w:hAnsiTheme="minorHAnsi" w:cstheme="minorHAnsi"/>
                <w:color w:val="auto"/>
                <w:szCs w:val="18"/>
                <w:lang w:val="en-AU"/>
              </w:rPr>
            </w:pPr>
            <w:r w:rsidRPr="00CE4B35">
              <w:rPr>
                <w:rFonts w:eastAsia="Calibri" w:cstheme="minorHAnsi"/>
                <w:color w:val="auto"/>
                <w:szCs w:val="18"/>
                <w:lang w:val="en-AU"/>
              </w:rPr>
              <w:t>490.0</w:t>
            </w:r>
          </w:p>
        </w:tc>
      </w:tr>
      <w:tr w:rsidR="00340241" w:rsidRPr="00F857EB" w14:paraId="3404177C" w14:textId="77777777" w:rsidTr="000F3780">
        <w:trPr>
          <w:cantSplit/>
          <w:trHeight w:val="361"/>
        </w:trPr>
        <w:tc>
          <w:tcPr>
            <w:tcW w:w="1621" w:type="pct"/>
            <w:shd w:val="clear" w:color="auto" w:fill="F2F2F2" w:themeFill="background2" w:themeFillShade="F2"/>
          </w:tcPr>
          <w:p w14:paraId="3C2CDCEE" w14:textId="4A9D35C1" w:rsidR="005F3C46" w:rsidRPr="00F857EB" w:rsidRDefault="00D077EF" w:rsidP="007145FA">
            <w:pPr>
              <w:pStyle w:val="TableBody"/>
              <w:rPr>
                <w:rFonts w:asciiTheme="minorHAnsi" w:hAnsiTheme="minorHAnsi" w:cstheme="minorHAnsi"/>
              </w:rPr>
            </w:pPr>
            <w:r w:rsidRPr="00F857EB">
              <w:rPr>
                <w:rFonts w:asciiTheme="minorHAnsi" w:hAnsiTheme="minorHAnsi" w:cstheme="minorHAnsi"/>
                <w:lang w:eastAsia="en-AU"/>
              </w:rPr>
              <w:t xml:space="preserve">Critical freight infrastructure </w:t>
            </w:r>
            <w:r w:rsidRPr="00F857EB">
              <w:rPr>
                <w:rFonts w:asciiTheme="minorHAnsi" w:hAnsiTheme="minorHAnsi" w:cstheme="minorHAnsi"/>
                <w:i/>
                <w:lang w:eastAsia="en-AU"/>
              </w:rPr>
              <w:t>and</w:t>
            </w:r>
            <w:r w:rsidRPr="00F857EB">
              <w:rPr>
                <w:rFonts w:asciiTheme="minorHAnsi" w:hAnsiTheme="minorHAnsi" w:cstheme="minorHAnsi"/>
                <w:lang w:eastAsia="en-AU"/>
              </w:rPr>
              <w:t xml:space="preserve"> critical freight services assets</w:t>
            </w:r>
            <w:r w:rsidRPr="00F857EB">
              <w:rPr>
                <w:rStyle w:val="FootnoteReference"/>
                <w:rFonts w:asciiTheme="minorHAnsi" w:eastAsia="Times New Roman" w:hAnsiTheme="minorHAnsi" w:cstheme="minorHAnsi"/>
                <w:lang w:eastAsia="en-AU"/>
              </w:rPr>
              <w:footnoteReference w:id="54"/>
            </w:r>
          </w:p>
        </w:tc>
        <w:tc>
          <w:tcPr>
            <w:tcW w:w="1127" w:type="pct"/>
            <w:shd w:val="clear" w:color="auto" w:fill="auto"/>
          </w:tcPr>
          <w:p w14:paraId="20245F72" w14:textId="0C24060F" w:rsidR="005F3C46" w:rsidRPr="00CE4B35" w:rsidRDefault="008C7B82" w:rsidP="00CE4B35">
            <w:pPr>
              <w:pStyle w:val="TableBody"/>
              <w:jc w:val="center"/>
              <w:rPr>
                <w:rFonts w:asciiTheme="minorHAnsi" w:eastAsia="Calibri" w:hAnsiTheme="minorHAnsi" w:cstheme="minorHAnsi"/>
                <w:color w:val="auto"/>
                <w:szCs w:val="18"/>
                <w:lang w:val="en-AU"/>
              </w:rPr>
            </w:pPr>
            <w:r w:rsidRPr="0056128C">
              <w:rPr>
                <w:rFonts w:eastAsia="Calibri" w:cstheme="minorHAnsi"/>
                <w:color w:val="auto"/>
                <w:szCs w:val="18"/>
                <w:lang w:val="en-AU"/>
              </w:rPr>
              <w:t>724.1</w:t>
            </w:r>
          </w:p>
        </w:tc>
        <w:tc>
          <w:tcPr>
            <w:tcW w:w="1127" w:type="pct"/>
            <w:shd w:val="clear" w:color="auto" w:fill="auto"/>
          </w:tcPr>
          <w:p w14:paraId="2E6E48BF" w14:textId="5D0911DD" w:rsidR="005F3C46" w:rsidRPr="00CE4B35" w:rsidRDefault="008C7B82" w:rsidP="00CE4B35">
            <w:pPr>
              <w:pStyle w:val="TableBody"/>
              <w:jc w:val="center"/>
              <w:rPr>
                <w:rFonts w:asciiTheme="minorHAnsi" w:eastAsia="Calibri" w:hAnsiTheme="minorHAnsi" w:cstheme="minorHAnsi"/>
                <w:color w:val="auto"/>
                <w:szCs w:val="18"/>
                <w:lang w:val="en-AU"/>
              </w:rPr>
            </w:pPr>
            <w:r w:rsidRPr="0056128C">
              <w:rPr>
                <w:rFonts w:eastAsia="Calibri" w:cstheme="minorHAnsi"/>
                <w:color w:val="auto"/>
                <w:szCs w:val="18"/>
                <w:lang w:val="en-AU"/>
              </w:rPr>
              <w:t>362.0</w:t>
            </w:r>
          </w:p>
        </w:tc>
        <w:tc>
          <w:tcPr>
            <w:tcW w:w="1125" w:type="pct"/>
            <w:shd w:val="clear" w:color="auto" w:fill="auto"/>
          </w:tcPr>
          <w:p w14:paraId="57E980EE" w14:textId="3FFF2FC4" w:rsidR="005F3C46" w:rsidRPr="00CE4B35" w:rsidRDefault="008C7B82" w:rsidP="00CE4B35">
            <w:pPr>
              <w:pStyle w:val="TableBody"/>
              <w:jc w:val="center"/>
              <w:rPr>
                <w:rFonts w:asciiTheme="minorHAnsi" w:eastAsia="Calibri" w:hAnsiTheme="minorHAnsi" w:cstheme="minorHAnsi"/>
                <w:color w:val="auto"/>
                <w:szCs w:val="18"/>
                <w:lang w:val="en-AU"/>
              </w:rPr>
            </w:pPr>
            <w:r w:rsidRPr="0056128C">
              <w:rPr>
                <w:rFonts w:eastAsia="Calibri" w:cstheme="minorHAnsi"/>
                <w:color w:val="auto"/>
                <w:szCs w:val="18"/>
                <w:lang w:val="en-AU"/>
              </w:rPr>
              <w:t>18.1</w:t>
            </w:r>
          </w:p>
        </w:tc>
      </w:tr>
      <w:tr w:rsidR="00BB5736" w:rsidRPr="00F857EB" w14:paraId="17AA70A1" w14:textId="77777777" w:rsidTr="000F3780">
        <w:trPr>
          <w:cantSplit/>
          <w:trHeight w:val="361"/>
        </w:trPr>
        <w:tc>
          <w:tcPr>
            <w:tcW w:w="1621" w:type="pct"/>
            <w:shd w:val="clear" w:color="auto" w:fill="F2F2F2" w:themeFill="background2" w:themeFillShade="F2"/>
          </w:tcPr>
          <w:p w14:paraId="63865829" w14:textId="68C8F45E" w:rsidR="00BB5736" w:rsidRPr="0021069F" w:rsidRDefault="00D077EF" w:rsidP="00BB5736">
            <w:pPr>
              <w:pStyle w:val="TableBody"/>
              <w:rPr>
                <w:rFonts w:asciiTheme="minorHAnsi" w:hAnsiTheme="minorHAnsi" w:cstheme="minorHAnsi"/>
                <w:lang w:eastAsia="en-AU"/>
              </w:rPr>
            </w:pPr>
            <w:r w:rsidRPr="0021069F">
              <w:rPr>
                <w:rFonts w:asciiTheme="minorHAnsi" w:hAnsiTheme="minorHAnsi" w:cstheme="minorHAnsi"/>
                <w:lang w:eastAsia="en-AU"/>
              </w:rPr>
              <w:t>Critical food and grocery assets</w:t>
            </w:r>
          </w:p>
        </w:tc>
        <w:tc>
          <w:tcPr>
            <w:tcW w:w="1127" w:type="pct"/>
            <w:shd w:val="clear" w:color="auto" w:fill="auto"/>
          </w:tcPr>
          <w:p w14:paraId="33F11B73" w14:textId="0053B017" w:rsidR="00BB5736" w:rsidRPr="00CE4B35" w:rsidRDefault="0056128C" w:rsidP="00CE4B35">
            <w:pPr>
              <w:pStyle w:val="TableBody"/>
              <w:jc w:val="center"/>
              <w:rPr>
                <w:rFonts w:asciiTheme="minorHAnsi" w:hAnsiTheme="minorHAnsi" w:cstheme="minorHAnsi"/>
              </w:rPr>
            </w:pPr>
            <w:r w:rsidRPr="0056128C">
              <w:rPr>
                <w:rFonts w:cstheme="minorHAnsi"/>
              </w:rPr>
              <w:t>72.0</w:t>
            </w:r>
          </w:p>
        </w:tc>
        <w:tc>
          <w:tcPr>
            <w:tcW w:w="1127" w:type="pct"/>
            <w:shd w:val="clear" w:color="auto" w:fill="auto"/>
          </w:tcPr>
          <w:p w14:paraId="43B6DC99" w14:textId="25971216" w:rsidR="00BB5736" w:rsidRPr="00CE4B35" w:rsidRDefault="0056128C" w:rsidP="00CE4B35">
            <w:pPr>
              <w:pStyle w:val="TableBody"/>
              <w:spacing w:line="259" w:lineRule="auto"/>
              <w:jc w:val="center"/>
              <w:rPr>
                <w:rFonts w:asciiTheme="minorHAnsi" w:hAnsiTheme="minorHAnsi" w:cstheme="minorHAnsi"/>
              </w:rPr>
            </w:pPr>
            <w:r w:rsidRPr="0056128C">
              <w:rPr>
                <w:rFonts w:cstheme="minorHAnsi"/>
              </w:rPr>
              <w:t>48.0</w:t>
            </w:r>
          </w:p>
        </w:tc>
        <w:tc>
          <w:tcPr>
            <w:tcW w:w="1125" w:type="pct"/>
            <w:shd w:val="clear" w:color="auto" w:fill="auto"/>
          </w:tcPr>
          <w:p w14:paraId="5939C0E8" w14:textId="4DBD51F7" w:rsidR="00BB5736" w:rsidRPr="00CE4B35" w:rsidRDefault="008C7B82" w:rsidP="00CE4B35">
            <w:pPr>
              <w:pStyle w:val="TableBody"/>
              <w:jc w:val="center"/>
              <w:rPr>
                <w:rFonts w:asciiTheme="minorHAnsi" w:hAnsiTheme="minorHAnsi" w:cstheme="minorHAnsi"/>
              </w:rPr>
            </w:pPr>
            <w:r w:rsidRPr="0056128C">
              <w:rPr>
                <w:rFonts w:cstheme="minorHAnsi"/>
              </w:rPr>
              <w:t>24.3</w:t>
            </w:r>
          </w:p>
        </w:tc>
      </w:tr>
    </w:tbl>
    <w:p w14:paraId="1C05AE8A" w14:textId="20FB2F27" w:rsidR="004B5422" w:rsidRPr="004B5422" w:rsidRDefault="004B5422" w:rsidP="00F4406B">
      <w:pPr>
        <w:pStyle w:val="Note"/>
        <w:rPr>
          <w:sz w:val="22"/>
        </w:rPr>
      </w:pPr>
      <w:r w:rsidRPr="00DA55C6">
        <w:rPr>
          <w:b/>
        </w:rPr>
        <w:t>Note</w:t>
      </w:r>
      <w:r w:rsidRPr="004B5422">
        <w:t>: for a description of the baseline scenario</w:t>
      </w:r>
      <w:r w:rsidR="00DA55C6">
        <w:t>s</w:t>
      </w:r>
      <w:r w:rsidRPr="004B5422">
        <w:t xml:space="preserve"> used</w:t>
      </w:r>
      <w:r w:rsidR="00DA55C6">
        <w:t xml:space="preserve"> for each critical infrastructure asset</w:t>
      </w:r>
      <w:r w:rsidRPr="004B5422">
        <w:t xml:space="preserve">, see appendices </w:t>
      </w:r>
      <w:r w:rsidR="00F87CF5">
        <w:t>S</w:t>
      </w:r>
      <w:r w:rsidR="00AA63AB">
        <w:t xml:space="preserve"> –</w:t>
      </w:r>
      <w:r w:rsidR="00F23F89">
        <w:t xml:space="preserve"> </w:t>
      </w:r>
      <w:r w:rsidR="00F87CF5">
        <w:t>CC</w:t>
      </w:r>
      <w:r w:rsidRPr="004B5422">
        <w:t>.</w:t>
      </w:r>
      <w:r w:rsidRPr="004B5422">
        <w:rPr>
          <w:sz w:val="22"/>
        </w:rPr>
        <w:t xml:space="preserve"> </w:t>
      </w:r>
    </w:p>
    <w:p w14:paraId="2105AA58" w14:textId="77777777" w:rsidR="00E9705C" w:rsidRPr="00E9705C" w:rsidRDefault="00E9705C" w:rsidP="00F4406B">
      <w:pPr>
        <w:pStyle w:val="BodyText"/>
      </w:pPr>
      <w:r w:rsidRPr="00E9705C">
        <w:lastRenderedPageBreak/>
        <w:t>Without adequate protections, industry and the Australian economy as a whole may incur costs in line with those described above, dependent on the severity and frequency of the disruption.</w:t>
      </w:r>
    </w:p>
    <w:p w14:paraId="7164AD02" w14:textId="2F45CFB6" w:rsidR="00E9705C" w:rsidRPr="00E9705C" w:rsidRDefault="00E9705C" w:rsidP="00F4406B">
      <w:pPr>
        <w:pStyle w:val="BodyText"/>
      </w:pPr>
      <w:r w:rsidRPr="00E9705C">
        <w:t>In the current regulatory environment, Government has limited visibility of current risk management practices to support industry in the identification and mitigation of potential all</w:t>
      </w:r>
      <w:r w:rsidR="00C84B3B">
        <w:t>-</w:t>
      </w:r>
      <w:r w:rsidRPr="00E9705C">
        <w:t xml:space="preserve">hazard threats. Further, should such a threat be realised, Government has little opportunity to support industry in managing remediation efforts. This limited visibility and limited ability to ensure risks are appropriately managed compounds the costs described above. </w:t>
      </w:r>
    </w:p>
    <w:p w14:paraId="3E4E2B06" w14:textId="77777777" w:rsidR="00E9705C" w:rsidRPr="00180A8F" w:rsidRDefault="00E9705C" w:rsidP="00F4406B">
      <w:pPr>
        <w:pStyle w:val="Heading4"/>
      </w:pPr>
      <w:r w:rsidRPr="00180A8F">
        <w:t>Benefits</w:t>
      </w:r>
    </w:p>
    <w:p w14:paraId="57D5646A" w14:textId="243E507C" w:rsidR="00E9705C" w:rsidRPr="00E9705C" w:rsidRDefault="00E9705C" w:rsidP="00E9705C">
      <w:pPr>
        <w:spacing w:after="160"/>
        <w:rPr>
          <w:rFonts w:ascii="Arial" w:eastAsia="Calibri" w:hAnsi="Arial" w:cs="Arial"/>
          <w:sz w:val="22"/>
        </w:rPr>
      </w:pPr>
      <w:r w:rsidRPr="00E9705C">
        <w:rPr>
          <w:rFonts w:ascii="Arial" w:eastAsia="Calibri" w:hAnsi="Arial" w:cs="Arial"/>
          <w:sz w:val="22"/>
        </w:rPr>
        <w:t xml:space="preserve">Under option 3, industry will experience some of the benefits associated with option 2 above, and the qualitative benefits discussed in this section, to the extent that industry chooses to comply with the voluntary </w:t>
      </w:r>
      <w:r w:rsidR="00BB0179">
        <w:rPr>
          <w:rFonts w:ascii="Arial" w:eastAsia="Calibri" w:hAnsi="Arial" w:cs="Arial"/>
          <w:sz w:val="22"/>
        </w:rPr>
        <w:t>RMP</w:t>
      </w:r>
      <w:r w:rsidRPr="00E9705C">
        <w:rPr>
          <w:rFonts w:ascii="Arial" w:eastAsia="Calibri" w:hAnsi="Arial" w:cs="Arial"/>
          <w:sz w:val="22"/>
        </w:rPr>
        <w:t xml:space="preserve"> framework. Consequently, there may be some degree of uplift in all hazards risk management across some </w:t>
      </w:r>
      <w:r w:rsidR="008056F4">
        <w:rPr>
          <w:rFonts w:ascii="Arial" w:eastAsia="Calibri" w:hAnsi="Arial" w:cs="Arial"/>
          <w:sz w:val="22"/>
        </w:rPr>
        <w:t>critical infrastructure assets</w:t>
      </w:r>
      <w:r w:rsidRPr="00E9705C">
        <w:rPr>
          <w:rFonts w:ascii="Arial" w:eastAsia="Calibri" w:hAnsi="Arial" w:cs="Arial"/>
          <w:sz w:val="22"/>
        </w:rPr>
        <w:t xml:space="preserve">, for those who choose to implement aspects of the </w:t>
      </w:r>
      <w:r w:rsidR="00BB0179">
        <w:rPr>
          <w:rFonts w:ascii="Arial" w:eastAsia="Calibri" w:hAnsi="Arial" w:cs="Arial"/>
          <w:sz w:val="22"/>
        </w:rPr>
        <w:t>RMP</w:t>
      </w:r>
      <w:r w:rsidRPr="00E9705C">
        <w:rPr>
          <w:rFonts w:ascii="Arial" w:eastAsia="Calibri" w:hAnsi="Arial" w:cs="Arial"/>
          <w:sz w:val="22"/>
        </w:rPr>
        <w:t xml:space="preserve"> framework. Further, the voluntary approach offers some flexibility for industry in choosing its approach to risk management. This may assist in managing deviations between responsible </w:t>
      </w:r>
      <w:r w:rsidR="00877DED" w:rsidRPr="00E9705C">
        <w:rPr>
          <w:rFonts w:ascii="Arial" w:eastAsia="Calibri" w:hAnsi="Arial" w:cs="Arial"/>
          <w:sz w:val="22"/>
        </w:rPr>
        <w:t>entities</w:t>
      </w:r>
      <w:r w:rsidRPr="00E9705C">
        <w:rPr>
          <w:rFonts w:ascii="Arial" w:eastAsia="Calibri" w:hAnsi="Arial" w:cs="Arial"/>
          <w:sz w:val="22"/>
        </w:rPr>
        <w:t xml:space="preserve"> and Government’s risk appetites. However, as the benefits of option 2 predominantly relate to benefits resulting from a sector-wide uplift, the benefits accruing to individual organisations that comply with the voluntary </w:t>
      </w:r>
      <w:r w:rsidR="00BB0179">
        <w:rPr>
          <w:rFonts w:ascii="Arial" w:eastAsia="Calibri" w:hAnsi="Arial" w:cs="Arial"/>
          <w:sz w:val="22"/>
        </w:rPr>
        <w:t>RMP</w:t>
      </w:r>
      <w:r w:rsidRPr="00E9705C">
        <w:rPr>
          <w:rFonts w:ascii="Arial" w:eastAsia="Calibri" w:hAnsi="Arial" w:cs="Arial"/>
          <w:sz w:val="22"/>
        </w:rPr>
        <w:t xml:space="preserve"> framework will be reduced</w:t>
      </w:r>
      <w:r w:rsidR="00050A1D" w:rsidRPr="00050A1D">
        <w:rPr>
          <w:rFonts w:ascii="Arial" w:eastAsia="Calibri" w:hAnsi="Arial" w:cs="Arial"/>
          <w:sz w:val="22"/>
        </w:rPr>
        <w:t xml:space="preserve"> </w:t>
      </w:r>
      <w:r w:rsidR="00050A1D" w:rsidRPr="00E9705C">
        <w:rPr>
          <w:rFonts w:ascii="Arial" w:eastAsia="Calibri" w:hAnsi="Arial" w:cs="Arial"/>
          <w:sz w:val="22"/>
        </w:rPr>
        <w:t>substantially</w:t>
      </w:r>
      <w:r w:rsidRPr="00E9705C">
        <w:rPr>
          <w:rFonts w:ascii="Arial" w:eastAsia="Calibri" w:hAnsi="Arial" w:cs="Arial"/>
          <w:sz w:val="22"/>
        </w:rPr>
        <w:t>.</w:t>
      </w:r>
    </w:p>
    <w:p w14:paraId="307A0B2E" w14:textId="77777777" w:rsidR="00E9705C" w:rsidRPr="00180A8F" w:rsidRDefault="00E9705C" w:rsidP="00F4406B">
      <w:pPr>
        <w:pStyle w:val="Heading4"/>
      </w:pPr>
      <w:r w:rsidRPr="00180A8F">
        <w:t>Assessment of likely net benefit</w:t>
      </w:r>
    </w:p>
    <w:p w14:paraId="550BA0ED" w14:textId="05A276F3" w:rsidR="00E9705C" w:rsidRPr="00E9705C" w:rsidRDefault="00E9705C" w:rsidP="00E9705C">
      <w:pPr>
        <w:spacing w:after="160"/>
        <w:rPr>
          <w:rFonts w:ascii="Arial" w:eastAsia="Calibri" w:hAnsi="Arial" w:cs="Arial"/>
          <w:sz w:val="22"/>
        </w:rPr>
      </w:pPr>
      <w:r w:rsidRPr="00E9705C">
        <w:rPr>
          <w:rFonts w:ascii="Arial" w:eastAsia="Calibri" w:hAnsi="Arial" w:cs="Arial"/>
          <w:sz w:val="22"/>
        </w:rPr>
        <w:t xml:space="preserve">The costs and benefits set out above demonstrate that responsible entities who choose not to voluntarily implement the </w:t>
      </w:r>
      <w:r w:rsidR="00BB0179">
        <w:rPr>
          <w:rFonts w:ascii="Arial" w:eastAsia="Calibri" w:hAnsi="Arial" w:cs="Arial"/>
          <w:sz w:val="22"/>
        </w:rPr>
        <w:t>RMP</w:t>
      </w:r>
      <w:r w:rsidRPr="00E9705C">
        <w:rPr>
          <w:rFonts w:ascii="Arial" w:eastAsia="Calibri" w:hAnsi="Arial" w:cs="Arial"/>
          <w:sz w:val="22"/>
        </w:rPr>
        <w:t xml:space="preserve"> framework will not contribute to </w:t>
      </w:r>
      <w:r w:rsidR="00C84B3B">
        <w:rPr>
          <w:rFonts w:ascii="Arial" w:eastAsia="Calibri" w:hAnsi="Arial" w:cs="Arial"/>
          <w:sz w:val="22"/>
        </w:rPr>
        <w:t>achieving a</w:t>
      </w:r>
      <w:r w:rsidRPr="00E9705C">
        <w:rPr>
          <w:rFonts w:ascii="Arial" w:eastAsia="Calibri" w:hAnsi="Arial" w:cs="Arial"/>
          <w:sz w:val="22"/>
        </w:rPr>
        <w:t xml:space="preserve"> coordinated uplift in all hazards risk management across </w:t>
      </w:r>
      <w:r w:rsidR="008056F4">
        <w:rPr>
          <w:rFonts w:ascii="Arial" w:eastAsia="Calibri" w:hAnsi="Arial" w:cs="Arial"/>
          <w:sz w:val="22"/>
        </w:rPr>
        <w:t>critical infrastructure assets</w:t>
      </w:r>
      <w:r w:rsidRPr="00E9705C">
        <w:rPr>
          <w:rFonts w:ascii="Arial" w:eastAsia="Calibri" w:hAnsi="Arial" w:cs="Arial"/>
          <w:sz w:val="22"/>
        </w:rPr>
        <w:t xml:space="preserve">. </w:t>
      </w:r>
    </w:p>
    <w:p w14:paraId="3A298D4C" w14:textId="277C5855" w:rsidR="004400BB" w:rsidRDefault="00E9705C" w:rsidP="004400BB">
      <w:pPr>
        <w:spacing w:after="160"/>
        <w:rPr>
          <w:rFonts w:ascii="Arial" w:eastAsia="Calibri" w:hAnsi="Arial" w:cs="Arial"/>
          <w:sz w:val="22"/>
        </w:rPr>
      </w:pPr>
      <w:r w:rsidRPr="00E9705C">
        <w:rPr>
          <w:rFonts w:ascii="Arial" w:eastAsia="Calibri" w:hAnsi="Arial" w:cs="Arial"/>
          <w:sz w:val="22"/>
        </w:rPr>
        <w:t xml:space="preserve">In considering the costs and benefits described above, the likely net benefit of option 3 is likely higher than pursuing option 1, but lower than the likely net benefit offered by option 2. This is because the voluntary format of option 3 means that it is unlikely to achieve an uplift in all hazards risk management across </w:t>
      </w:r>
      <w:r w:rsidR="008056F4">
        <w:rPr>
          <w:rFonts w:ascii="Arial" w:eastAsia="Calibri" w:hAnsi="Arial" w:cs="Arial"/>
          <w:sz w:val="22"/>
        </w:rPr>
        <w:t>critical infrastructure assets</w:t>
      </w:r>
      <w:r w:rsidRPr="00E9705C">
        <w:rPr>
          <w:rFonts w:ascii="Arial" w:eastAsia="Calibri" w:hAnsi="Arial" w:cs="Arial"/>
          <w:sz w:val="22"/>
        </w:rPr>
        <w:t xml:space="preserve">. Despite the benefits received by those responsible entities who choose to voluntarily implement the </w:t>
      </w:r>
      <w:r w:rsidR="00BB0179">
        <w:rPr>
          <w:rFonts w:ascii="Arial" w:eastAsia="Calibri" w:hAnsi="Arial" w:cs="Arial"/>
          <w:sz w:val="22"/>
        </w:rPr>
        <w:t>RMP</w:t>
      </w:r>
      <w:r w:rsidRPr="00E9705C">
        <w:rPr>
          <w:rFonts w:ascii="Arial" w:eastAsia="Calibri" w:hAnsi="Arial" w:cs="Arial"/>
          <w:sz w:val="22"/>
        </w:rPr>
        <w:t xml:space="preserve"> framework, it is unlikely that compliance will be achieved across </w:t>
      </w:r>
      <w:r w:rsidR="00C84B3B">
        <w:rPr>
          <w:rFonts w:ascii="Arial" w:eastAsia="Calibri" w:hAnsi="Arial" w:cs="Arial"/>
          <w:sz w:val="22"/>
        </w:rPr>
        <w:t xml:space="preserve">sector </w:t>
      </w:r>
      <w:r w:rsidR="008056F4">
        <w:rPr>
          <w:rFonts w:ascii="Arial" w:eastAsia="Calibri" w:hAnsi="Arial" w:cs="Arial"/>
          <w:sz w:val="22"/>
        </w:rPr>
        <w:t>critical infrastructure assets</w:t>
      </w:r>
      <w:r w:rsidRPr="00E9705C">
        <w:rPr>
          <w:rFonts w:ascii="Arial" w:eastAsia="Calibri" w:hAnsi="Arial" w:cs="Arial"/>
          <w:sz w:val="22"/>
        </w:rPr>
        <w:t xml:space="preserve">. In addition to leaving </w:t>
      </w:r>
      <w:r w:rsidR="008056F4">
        <w:rPr>
          <w:rFonts w:ascii="Arial" w:eastAsia="Calibri" w:hAnsi="Arial" w:cs="Arial"/>
          <w:sz w:val="22"/>
        </w:rPr>
        <w:t>critical infrastructure assets</w:t>
      </w:r>
      <w:r w:rsidRPr="00E9705C">
        <w:rPr>
          <w:rFonts w:ascii="Arial" w:eastAsia="Calibri" w:hAnsi="Arial" w:cs="Arial"/>
          <w:sz w:val="22"/>
        </w:rPr>
        <w:t xml:space="preserve"> vulnerable to the consequences of all</w:t>
      </w:r>
      <w:r w:rsidR="00C84B3B">
        <w:rPr>
          <w:rFonts w:ascii="Arial" w:eastAsia="Calibri" w:hAnsi="Arial" w:cs="Arial"/>
          <w:sz w:val="22"/>
        </w:rPr>
        <w:t>-</w:t>
      </w:r>
      <w:r w:rsidRPr="00E9705C">
        <w:rPr>
          <w:rFonts w:ascii="Arial" w:eastAsia="Calibri" w:hAnsi="Arial" w:cs="Arial"/>
          <w:sz w:val="22"/>
        </w:rPr>
        <w:t xml:space="preserve">hazard threats, option 3 therefore presents less economy-wide benefit. </w:t>
      </w:r>
    </w:p>
    <w:p w14:paraId="68557132" w14:textId="30E46D79" w:rsidR="00E73273" w:rsidRDefault="00E73273">
      <w:pPr>
        <w:spacing w:before="80" w:after="80"/>
        <w:rPr>
          <w:rFonts w:ascii="Arial" w:eastAsia="Calibri" w:hAnsi="Arial" w:cs="Arial"/>
          <w:sz w:val="22"/>
        </w:rPr>
      </w:pPr>
      <w:r>
        <w:rPr>
          <w:rFonts w:ascii="Arial" w:eastAsia="Calibri" w:hAnsi="Arial" w:cs="Arial"/>
          <w:sz w:val="22"/>
        </w:rPr>
        <w:br w:type="page"/>
      </w:r>
    </w:p>
    <w:p w14:paraId="150D3C37" w14:textId="77777777" w:rsidR="00E73273" w:rsidRDefault="00E73273" w:rsidP="00E73273">
      <w:pPr>
        <w:pStyle w:val="BodyText"/>
      </w:pPr>
    </w:p>
    <w:p w14:paraId="37CBBB5C" w14:textId="287CD6D5" w:rsidR="00E73273" w:rsidRPr="00E73273" w:rsidRDefault="00E73273" w:rsidP="00E73273">
      <w:pPr>
        <w:pStyle w:val="Divider"/>
      </w:pPr>
      <w:r w:rsidRPr="00E73273">
        <w:rPr>
          <w:noProof/>
          <w:lang w:eastAsia="en-AU"/>
        </w:rPr>
        <mc:AlternateContent>
          <mc:Choice Requires="wps">
            <w:drawing>
              <wp:anchor distT="0" distB="0" distL="114300" distR="114300" simplePos="0" relativeHeight="251645952" behindDoc="1" locked="0" layoutInCell="1" allowOverlap="1" wp14:anchorId="1DDF86CD" wp14:editId="234319CD">
                <wp:simplePos x="0" y="0"/>
                <wp:positionH relativeFrom="page">
                  <wp:posOffset>0</wp:posOffset>
                </wp:positionH>
                <wp:positionV relativeFrom="page">
                  <wp:posOffset>939114</wp:posOffset>
                </wp:positionV>
                <wp:extent cx="7560000" cy="9000000"/>
                <wp:effectExtent l="0" t="0" r="3175" b="0"/>
                <wp:wrapNone/>
                <wp:docPr id="57" name="Rectangle 57"/>
                <wp:cNvGraphicFramePr/>
                <a:graphic xmlns:a="http://schemas.openxmlformats.org/drawingml/2006/main">
                  <a:graphicData uri="http://schemas.microsoft.com/office/word/2010/wordprocessingShape">
                    <wps:wsp>
                      <wps:cNvSpPr/>
                      <wps:spPr>
                        <a:xfrm>
                          <a:off x="0" y="0"/>
                          <a:ext cx="7560000" cy="9000000"/>
                        </a:xfrm>
                        <a:prstGeom prst="rect">
                          <a:avLst/>
                        </a:prstGeom>
                        <a:gradFill flip="none" rotWithShape="1">
                          <a:gsLst>
                            <a:gs pos="0">
                              <a:schemeClr val="accent1"/>
                            </a:gs>
                            <a:gs pos="100000">
                              <a:schemeClr val="accent2"/>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4BEA17" id="Rectangle 57" o:spid="_x0000_s1026" style="position:absolute;margin-left:0;margin-top:73.95pt;width:595.3pt;height:708.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" fillcolor="#034ea2 [3204]" stroked="f" strokeweight="2pt">
                <v:fill color2="#007bc3 [3205]" rotate="t" angle="45" focus="100%" type="gradient"/>
                <w10:wrap anchorx="page" anchory="page"/>
              </v:rect>
            </w:pict>
          </mc:Fallback>
        </mc:AlternateContent>
      </w:r>
      <w:r>
        <w:t>5. Consultation and feedback</w:t>
      </w:r>
      <w:r w:rsidRPr="00E73273">
        <w:br w:type="page"/>
      </w:r>
    </w:p>
    <w:p w14:paraId="671E7758" w14:textId="748623B3" w:rsidR="00E9705C" w:rsidRPr="003645A2" w:rsidRDefault="003645A2" w:rsidP="00F4406B">
      <w:pPr>
        <w:pStyle w:val="Heading1numbered"/>
      </w:pPr>
      <w:bookmarkStart w:id="279" w:name="_Toc121397399"/>
      <w:r w:rsidRPr="003645A2">
        <w:lastRenderedPageBreak/>
        <w:t>Consultation and feedback</w:t>
      </w:r>
      <w:bookmarkEnd w:id="279"/>
    </w:p>
    <w:p w14:paraId="16D569E6" w14:textId="2B4CEBB2" w:rsidR="003645A2" w:rsidRPr="003645A2" w:rsidRDefault="003645A2" w:rsidP="00F4406B">
      <w:pPr>
        <w:pStyle w:val="BodyText"/>
      </w:pPr>
      <w:r w:rsidRPr="003645A2">
        <w:t xml:space="preserve">This section provides an overview of the Department’s consultation process for </w:t>
      </w:r>
      <w:r w:rsidR="00BB0179">
        <w:t>RMP</w:t>
      </w:r>
      <w:r w:rsidRPr="003645A2">
        <w:t xml:space="preserve"> obligations, including an explanation of the purpose and objectives of the consultation, key feedback themes </w:t>
      </w:r>
      <w:r w:rsidR="00D7345E">
        <w:t>that</w:t>
      </w:r>
      <w:r w:rsidR="004F7845">
        <w:t xml:space="preserve"> </w:t>
      </w:r>
      <w:r w:rsidRPr="003645A2">
        <w:t>emerged and how these have been, and are being</w:t>
      </w:r>
      <w:r w:rsidR="003B20EA">
        <w:t>,</w:t>
      </w:r>
      <w:r w:rsidRPr="003645A2">
        <w:t xml:space="preserve"> considered in policy design. </w:t>
      </w:r>
    </w:p>
    <w:p w14:paraId="144C6ADC" w14:textId="3D29B03C" w:rsidR="003645A2" w:rsidRPr="003645A2" w:rsidRDefault="003645A2" w:rsidP="004C0EFC">
      <w:pPr>
        <w:pStyle w:val="Heading2numbered"/>
      </w:pPr>
      <w:bookmarkStart w:id="280" w:name="_Toc79149655"/>
      <w:bookmarkStart w:id="281" w:name="_Toc121397400"/>
      <w:r w:rsidRPr="003645A2">
        <w:t>Purpose and objectives of consultation</w:t>
      </w:r>
      <w:bookmarkEnd w:id="280"/>
      <w:bookmarkEnd w:id="281"/>
      <w:r w:rsidRPr="003645A2">
        <w:t xml:space="preserve"> </w:t>
      </w:r>
    </w:p>
    <w:p w14:paraId="52AC2647" w14:textId="40FAD88A" w:rsidR="003645A2" w:rsidRPr="003645A2" w:rsidRDefault="003645A2" w:rsidP="00F4406B">
      <w:pPr>
        <w:pStyle w:val="BodyText"/>
      </w:pPr>
      <w:r w:rsidRPr="003645A2">
        <w:t xml:space="preserve">Continuous and broad-based consultation is an essential component of the Department’s </w:t>
      </w:r>
      <w:r w:rsidR="00EA321B">
        <w:t>consultation</w:t>
      </w:r>
      <w:r w:rsidRPr="003645A2">
        <w:t xml:space="preserve"> process for </w:t>
      </w:r>
      <w:r w:rsidR="0016603A">
        <w:t>RMP rules</w:t>
      </w:r>
      <w:r w:rsidRPr="003645A2">
        <w:t xml:space="preserve">. </w:t>
      </w:r>
      <w:r w:rsidR="000824A5">
        <w:t>Effective consultation</w:t>
      </w:r>
      <w:r w:rsidRPr="003645A2">
        <w:t xml:space="preserve"> ensures that all enacted reforms are implemented in a manner that secures desired outcomes, while minimising any unnecessary or disproportionate regulatory burden </w:t>
      </w:r>
      <w:r w:rsidR="003B20EA">
        <w:t xml:space="preserve">or duplication </w:t>
      </w:r>
      <w:r w:rsidRPr="003645A2">
        <w:t>on the affected sector.</w:t>
      </w:r>
      <w:r w:rsidRPr="003645A2">
        <w:rPr>
          <w:vertAlign w:val="superscript"/>
        </w:rPr>
        <w:footnoteReference w:id="55"/>
      </w:r>
      <w:r w:rsidRPr="003645A2">
        <w:t xml:space="preserve"> </w:t>
      </w:r>
    </w:p>
    <w:p w14:paraId="31456004" w14:textId="2949B9C3" w:rsidR="003645A2" w:rsidRPr="003645A2" w:rsidRDefault="003645A2" w:rsidP="00F4406B">
      <w:pPr>
        <w:pStyle w:val="BodyText"/>
      </w:pPr>
      <w:r w:rsidRPr="003645A2">
        <w:t xml:space="preserve">The </w:t>
      </w:r>
      <w:r w:rsidR="00DA1A05">
        <w:t xml:space="preserve">sector-specific elements of the </w:t>
      </w:r>
      <w:r w:rsidRPr="003645A2">
        <w:t>c</w:t>
      </w:r>
      <w:r w:rsidR="00B86D59">
        <w:t>onsultation</w:t>
      </w:r>
      <w:r w:rsidRPr="003645A2">
        <w:t xml:space="preserve"> process</w:t>
      </w:r>
      <w:r w:rsidR="004F7845">
        <w:t xml:space="preserve"> </w:t>
      </w:r>
      <w:r w:rsidRPr="003645A2">
        <w:t>reflect the Department’s view that each industry manages risk in a unique way</w:t>
      </w:r>
      <w:r w:rsidR="003B20EA">
        <w:t>,</w:t>
      </w:r>
      <w:r w:rsidRPr="003645A2">
        <w:t xml:space="preserve"> and that industry stakeholders themselves are best</w:t>
      </w:r>
      <w:r w:rsidR="003B20EA">
        <w:t>-</w:t>
      </w:r>
      <w:r w:rsidRPr="003645A2">
        <w:t>placed to identify, evaluate</w:t>
      </w:r>
      <w:r w:rsidR="00E22D93">
        <w:t>,</w:t>
      </w:r>
      <w:r w:rsidRPr="003645A2">
        <w:t xml:space="preserve"> and mitigate the risks which manifest in their particular sector. The Department acknowledges and seeks to avoid prescriptive </w:t>
      </w:r>
      <w:r w:rsidR="00BB0179">
        <w:t>RMP</w:t>
      </w:r>
      <w:r w:rsidRPr="003645A2">
        <w:t xml:space="preserve"> obligations, which have the potential to disrupt industry’s ability to respond to risks in a nuanced manner. Effective consultation was critical for the Department</w:t>
      </w:r>
      <w:r w:rsidR="00D7345E">
        <w:t>; it</w:t>
      </w:r>
      <w:r w:rsidRPr="003645A2">
        <w:t xml:space="preserve"> validat</w:t>
      </w:r>
      <w:r w:rsidR="00D7345E">
        <w:t>ed</w:t>
      </w:r>
      <w:r w:rsidRPr="003645A2">
        <w:t xml:space="preserve"> that a principles-based approach was preferred by industry, </w:t>
      </w:r>
      <w:r w:rsidR="00E22D93">
        <w:t>and</w:t>
      </w:r>
      <w:r w:rsidR="00D7345E">
        <w:t xml:space="preserve"> which will</w:t>
      </w:r>
      <w:r w:rsidRPr="003645A2">
        <w:t xml:space="preserve"> allow organisations to continue managing their risks in a manner most appropriate for their operating context. </w:t>
      </w:r>
    </w:p>
    <w:p w14:paraId="4D813459" w14:textId="5F4CACE1" w:rsidR="003645A2" w:rsidRPr="003645A2" w:rsidRDefault="003645A2" w:rsidP="00F4406B">
      <w:pPr>
        <w:pStyle w:val="BodyText"/>
      </w:pPr>
      <w:r w:rsidRPr="003645A2">
        <w:t xml:space="preserve">Avoiding regulatory duplication is an additional goal for the Department in delivering the </w:t>
      </w:r>
      <w:r w:rsidR="0034073A">
        <w:t xml:space="preserve">SLACIP </w:t>
      </w:r>
      <w:r w:rsidR="00DB4922">
        <w:t>Act</w:t>
      </w:r>
      <w:r w:rsidRPr="003645A2">
        <w:t xml:space="preserve">’s </w:t>
      </w:r>
      <w:r w:rsidR="00BB0179">
        <w:t>RMP</w:t>
      </w:r>
      <w:r w:rsidRPr="003645A2">
        <w:t xml:space="preserve"> obligations. In developing new regulation, including the proposed </w:t>
      </w:r>
      <w:r w:rsidR="0016603A">
        <w:t>RMP rules</w:t>
      </w:r>
      <w:r w:rsidRPr="003645A2">
        <w:t xml:space="preserve">, the </w:t>
      </w:r>
      <w:r w:rsidR="0034073A">
        <w:t xml:space="preserve">SLACIP </w:t>
      </w:r>
      <w:r w:rsidR="00DB4922">
        <w:t>Act</w:t>
      </w:r>
      <w:r w:rsidR="00DB4922" w:rsidRPr="003645A2">
        <w:t xml:space="preserve"> </w:t>
      </w:r>
      <w:r w:rsidRPr="003645A2">
        <w:t xml:space="preserve">requires the Minister </w:t>
      </w:r>
      <w:r w:rsidR="00F02737">
        <w:t>of Home Affairs</w:t>
      </w:r>
      <w:r w:rsidRPr="003645A2">
        <w:t xml:space="preserve"> to consider any existing regulatory systems by </w:t>
      </w:r>
      <w:r w:rsidR="00D7345E" w:rsidRPr="003645A2">
        <w:t>the</w:t>
      </w:r>
      <w:r w:rsidR="00D7345E">
        <w:t xml:space="preserve"> federal government</w:t>
      </w:r>
      <w:r w:rsidRPr="003645A2">
        <w:t xml:space="preserve">, a </w:t>
      </w:r>
      <w:r w:rsidR="004F7845">
        <w:t>S</w:t>
      </w:r>
      <w:r w:rsidRPr="003645A2">
        <w:t xml:space="preserve">tate or a Territory </w:t>
      </w:r>
      <w:r w:rsidR="00AB20C7">
        <w:t>Government</w:t>
      </w:r>
      <w:r w:rsidR="00D7345E">
        <w:t xml:space="preserve"> </w:t>
      </w:r>
      <w:r w:rsidRPr="003645A2">
        <w:t>that impose</w:t>
      </w:r>
      <w:r w:rsidR="00D7345E">
        <w:t>s</w:t>
      </w:r>
      <w:r w:rsidRPr="003645A2">
        <w:t xml:space="preserve"> obligations on responsible entities. Government’s position remains that where a critical infrastructure sector or asset is already subject to a regulatory regime which comprehensively addresses (and through which entities achieve) the same outcomes sought by the implementation of </w:t>
      </w:r>
      <w:r w:rsidR="00BB0179">
        <w:t>RMP</w:t>
      </w:r>
      <w:r w:rsidRPr="003645A2">
        <w:t xml:space="preserve"> obligations, these will not be duplicated.</w:t>
      </w:r>
      <w:r w:rsidRPr="003645A2">
        <w:rPr>
          <w:vertAlign w:val="superscript"/>
        </w:rPr>
        <w:footnoteReference w:id="56"/>
      </w:r>
    </w:p>
    <w:p w14:paraId="2227F460" w14:textId="77777777" w:rsidR="00F263F4" w:rsidRDefault="00F263F4">
      <w:pPr>
        <w:spacing w:before="80" w:after="80"/>
        <w:rPr>
          <w:rFonts w:cstheme="majorHAnsi"/>
          <w:sz w:val="22"/>
          <w:szCs w:val="28"/>
        </w:rPr>
      </w:pPr>
      <w:r>
        <w:br w:type="page"/>
      </w:r>
    </w:p>
    <w:p w14:paraId="70C20B54" w14:textId="29CA5EBF" w:rsidR="003645A2" w:rsidRPr="003645A2" w:rsidRDefault="003645A2" w:rsidP="00F4406B">
      <w:pPr>
        <w:pStyle w:val="BodyText"/>
      </w:pPr>
      <w:r w:rsidRPr="003645A2">
        <w:lastRenderedPageBreak/>
        <w:fldChar w:fldCharType="begin"/>
      </w:r>
      <w:r w:rsidRPr="003645A2">
        <w:instrText xml:space="preserve"> REF _Ref78469012 \h  \* MERGEFORMAT </w:instrText>
      </w:r>
      <w:r w:rsidRPr="003645A2">
        <w:fldChar w:fldCharType="separate"/>
      </w:r>
      <w:r w:rsidR="009708D4" w:rsidRPr="009708D4">
        <w:t xml:space="preserve">Table </w:t>
      </w:r>
      <w:r w:rsidR="009708D4" w:rsidRPr="009708D4">
        <w:rPr>
          <w:noProof/>
        </w:rPr>
        <w:t>17</w:t>
      </w:r>
      <w:r w:rsidRPr="003645A2">
        <w:fldChar w:fldCharType="end"/>
      </w:r>
      <w:r w:rsidRPr="003645A2">
        <w:t xml:space="preserve"> below contains an overview of the stakeholder organisations consulted during </w:t>
      </w:r>
      <w:r w:rsidR="00EA321B">
        <w:t>the consultation process</w:t>
      </w:r>
      <w:r w:rsidR="00511640">
        <w:t xml:space="preserve"> across all critical infrastructure sectors</w:t>
      </w:r>
      <w:r w:rsidR="00D55B6F">
        <w:t>:</w:t>
      </w:r>
      <w:r w:rsidRPr="003645A2">
        <w:t xml:space="preserve"> </w:t>
      </w:r>
    </w:p>
    <w:p w14:paraId="5F397CEA" w14:textId="3D2D2250" w:rsidR="003645A2" w:rsidRPr="003645A2" w:rsidRDefault="003645A2" w:rsidP="006602D2">
      <w:pPr>
        <w:pStyle w:val="Caption"/>
      </w:pPr>
      <w:bookmarkStart w:id="282" w:name="_Ref78469012"/>
      <w:bookmarkStart w:id="283" w:name="_Toc78878025"/>
      <w:bookmarkStart w:id="284" w:name="_Toc79156701"/>
      <w:bookmarkStart w:id="285" w:name="_Toc120115102"/>
      <w:r w:rsidRPr="003645A2">
        <w:rPr>
          <w:b/>
        </w:rPr>
        <w:t xml:space="preserve">Table </w:t>
      </w:r>
      <w:r w:rsidRPr="003645A2">
        <w:rPr>
          <w:b/>
        </w:rPr>
        <w:fldChar w:fldCharType="begin"/>
      </w:r>
      <w:r w:rsidRPr="003645A2">
        <w:rPr>
          <w:b/>
        </w:rPr>
        <w:instrText xml:space="preserve"> SEQ Table \* ARABIC </w:instrText>
      </w:r>
      <w:r w:rsidRPr="003645A2">
        <w:rPr>
          <w:b/>
        </w:rPr>
        <w:fldChar w:fldCharType="separate"/>
      </w:r>
      <w:r w:rsidR="009708D4">
        <w:rPr>
          <w:b/>
          <w:noProof/>
        </w:rPr>
        <w:t>17</w:t>
      </w:r>
      <w:r w:rsidRPr="003645A2">
        <w:rPr>
          <w:b/>
        </w:rPr>
        <w:fldChar w:fldCharType="end"/>
      </w:r>
      <w:bookmarkEnd w:id="282"/>
      <w:r w:rsidRPr="003645A2">
        <w:rPr>
          <w:b/>
        </w:rPr>
        <w:t xml:space="preserve"> </w:t>
      </w:r>
      <w:r w:rsidRPr="003645A2">
        <w:t xml:space="preserve">Overview of </w:t>
      </w:r>
      <w:r w:rsidR="00D003AB">
        <w:t>responsible entities</w:t>
      </w:r>
      <w:r w:rsidRPr="003645A2">
        <w:t xml:space="preserve"> consulted</w:t>
      </w:r>
      <w:bookmarkEnd w:id="283"/>
      <w:bookmarkEnd w:id="284"/>
      <w:bookmarkEnd w:id="285"/>
    </w:p>
    <w:tbl>
      <w:tblPr>
        <w:tblStyle w:val="TableGrid5"/>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4821"/>
        <w:gridCol w:w="4817"/>
      </w:tblGrid>
      <w:tr w:rsidR="00340241" w:rsidRPr="003645A2" w14:paraId="72413513" w14:textId="77777777" w:rsidTr="000743B8">
        <w:tc>
          <w:tcPr>
            <w:tcW w:w="2501" w:type="pct"/>
            <w:shd w:val="clear" w:color="auto" w:fill="034EA2" w:themeFill="accent1"/>
          </w:tcPr>
          <w:p w14:paraId="3B7A1053" w14:textId="77777777" w:rsidR="00530344" w:rsidRDefault="00530344" w:rsidP="00F263F4">
            <w:pPr>
              <w:pStyle w:val="TableHeading"/>
            </w:pPr>
            <w:r>
              <w:t>Asset Class</w:t>
            </w:r>
            <w:r w:rsidRPr="003645A2">
              <w:t xml:space="preserve"> </w:t>
            </w:r>
          </w:p>
        </w:tc>
        <w:tc>
          <w:tcPr>
            <w:tcW w:w="2499" w:type="pct"/>
            <w:shd w:val="clear" w:color="auto" w:fill="034EA2" w:themeFill="accent1"/>
          </w:tcPr>
          <w:p w14:paraId="54D10888" w14:textId="77777777" w:rsidR="003645A2" w:rsidRPr="003645A2" w:rsidRDefault="00530344" w:rsidP="00F263F4">
            <w:pPr>
              <w:pStyle w:val="TableHeading"/>
            </w:pPr>
            <w:r>
              <w:t xml:space="preserve">Number of </w:t>
            </w:r>
            <w:r w:rsidR="003645A2" w:rsidRPr="003645A2">
              <w:t xml:space="preserve">Stakeholders Consulted </w:t>
            </w:r>
            <w:r w:rsidR="00A666EC">
              <w:t>(approx.)</w:t>
            </w:r>
          </w:p>
        </w:tc>
      </w:tr>
      <w:tr w:rsidR="00D171CC" w:rsidRPr="003645A2" w14:paraId="06DBB418" w14:textId="77777777" w:rsidTr="000743B8">
        <w:tc>
          <w:tcPr>
            <w:tcW w:w="2501" w:type="pct"/>
            <w:shd w:val="clear" w:color="auto" w:fill="F2F2F2" w:themeFill="background1" w:themeFillShade="F2"/>
            <w:vAlign w:val="center"/>
          </w:tcPr>
          <w:p w14:paraId="4A9E1AC7" w14:textId="77777777" w:rsidR="00D171CC" w:rsidRDefault="00282A2D" w:rsidP="00F263F4">
            <w:pPr>
              <w:pStyle w:val="TableBody"/>
            </w:pPr>
            <w:r>
              <w:t>Electricity</w:t>
            </w:r>
          </w:p>
        </w:tc>
        <w:tc>
          <w:tcPr>
            <w:tcW w:w="2499" w:type="pct"/>
            <w:vAlign w:val="center"/>
          </w:tcPr>
          <w:p w14:paraId="2E762E51" w14:textId="77777777" w:rsidR="00D171CC" w:rsidRDefault="00282A2D" w:rsidP="00F263F4">
            <w:pPr>
              <w:pStyle w:val="TableBody"/>
            </w:pPr>
            <w:r>
              <w:t>67</w:t>
            </w:r>
          </w:p>
        </w:tc>
      </w:tr>
      <w:tr w:rsidR="003645A2" w:rsidRPr="003645A2" w14:paraId="31D84E29" w14:textId="77777777" w:rsidTr="000743B8">
        <w:tc>
          <w:tcPr>
            <w:tcW w:w="2501" w:type="pct"/>
            <w:shd w:val="clear" w:color="auto" w:fill="F2F2F2" w:themeFill="background1" w:themeFillShade="F2"/>
            <w:vAlign w:val="center"/>
          </w:tcPr>
          <w:p w14:paraId="3598A7F4" w14:textId="77777777" w:rsidR="003645A2" w:rsidRPr="003645A2" w:rsidRDefault="00713104" w:rsidP="00F263F4">
            <w:pPr>
              <w:pStyle w:val="TableBody"/>
            </w:pPr>
            <w:r>
              <w:t>Gas</w:t>
            </w:r>
          </w:p>
        </w:tc>
        <w:tc>
          <w:tcPr>
            <w:tcW w:w="2499" w:type="pct"/>
            <w:vAlign w:val="center"/>
          </w:tcPr>
          <w:p w14:paraId="3C700E10" w14:textId="77777777" w:rsidR="003645A2" w:rsidRPr="003645A2" w:rsidRDefault="00713104" w:rsidP="00F263F4">
            <w:pPr>
              <w:pStyle w:val="TableBody"/>
            </w:pPr>
            <w:r>
              <w:t>10</w:t>
            </w:r>
          </w:p>
        </w:tc>
      </w:tr>
      <w:tr w:rsidR="00D171CC" w:rsidRPr="003645A2" w14:paraId="75270B95" w14:textId="77777777" w:rsidTr="000743B8">
        <w:tc>
          <w:tcPr>
            <w:tcW w:w="2501" w:type="pct"/>
            <w:shd w:val="clear" w:color="auto" w:fill="F2F2F2" w:themeFill="background1" w:themeFillShade="F2"/>
            <w:vAlign w:val="center"/>
          </w:tcPr>
          <w:p w14:paraId="523B4646" w14:textId="77777777" w:rsidR="00D171CC" w:rsidRDefault="0014276B" w:rsidP="00F263F4">
            <w:pPr>
              <w:pStyle w:val="TableBody"/>
            </w:pPr>
            <w:r>
              <w:t>Water</w:t>
            </w:r>
          </w:p>
        </w:tc>
        <w:tc>
          <w:tcPr>
            <w:tcW w:w="2499" w:type="pct"/>
            <w:vAlign w:val="center"/>
          </w:tcPr>
          <w:p w14:paraId="4703BAEE" w14:textId="77777777" w:rsidR="00D171CC" w:rsidRDefault="0014276B" w:rsidP="00F263F4">
            <w:pPr>
              <w:pStyle w:val="TableBody"/>
            </w:pPr>
            <w:r>
              <w:t>28</w:t>
            </w:r>
          </w:p>
        </w:tc>
      </w:tr>
      <w:tr w:rsidR="0014276B" w:rsidRPr="003645A2" w14:paraId="4F35E60E" w14:textId="77777777" w:rsidTr="000743B8">
        <w:tc>
          <w:tcPr>
            <w:tcW w:w="2501" w:type="pct"/>
            <w:shd w:val="clear" w:color="auto" w:fill="F2F2F2" w:themeFill="background1" w:themeFillShade="F2"/>
            <w:vAlign w:val="center"/>
          </w:tcPr>
          <w:p w14:paraId="75F44C23" w14:textId="77777777" w:rsidR="0014276B" w:rsidRDefault="00377550" w:rsidP="00F263F4">
            <w:pPr>
              <w:pStyle w:val="TableBody"/>
            </w:pPr>
            <w:r>
              <w:t>Data</w:t>
            </w:r>
          </w:p>
        </w:tc>
        <w:tc>
          <w:tcPr>
            <w:tcW w:w="2499" w:type="pct"/>
            <w:vAlign w:val="center"/>
          </w:tcPr>
          <w:p w14:paraId="3819C20B" w14:textId="45D67877" w:rsidR="0014276B" w:rsidRDefault="00377550" w:rsidP="00F263F4">
            <w:pPr>
              <w:pStyle w:val="TableBody"/>
            </w:pPr>
            <w:r>
              <w:t>52</w:t>
            </w:r>
          </w:p>
        </w:tc>
      </w:tr>
      <w:tr w:rsidR="0014276B" w:rsidRPr="003645A2" w14:paraId="1A199741" w14:textId="77777777" w:rsidTr="000743B8">
        <w:tc>
          <w:tcPr>
            <w:tcW w:w="2501" w:type="pct"/>
            <w:shd w:val="clear" w:color="auto" w:fill="F2F2F2" w:themeFill="background1" w:themeFillShade="F2"/>
            <w:vAlign w:val="center"/>
          </w:tcPr>
          <w:p w14:paraId="61C77A8E" w14:textId="77777777" w:rsidR="0014276B" w:rsidRDefault="00377550" w:rsidP="00F263F4">
            <w:pPr>
              <w:pStyle w:val="TableBody"/>
            </w:pPr>
            <w:r>
              <w:t>Broadcasting</w:t>
            </w:r>
          </w:p>
        </w:tc>
        <w:tc>
          <w:tcPr>
            <w:tcW w:w="2499" w:type="pct"/>
            <w:vAlign w:val="center"/>
          </w:tcPr>
          <w:p w14:paraId="3CB580C3" w14:textId="4263DA9D" w:rsidR="0014276B" w:rsidRDefault="00377550" w:rsidP="00F263F4">
            <w:pPr>
              <w:pStyle w:val="TableBody"/>
            </w:pPr>
            <w:r>
              <w:t>2</w:t>
            </w:r>
            <w:r w:rsidR="00050A1D">
              <w:t xml:space="preserve"> (all entities captured)</w:t>
            </w:r>
          </w:p>
        </w:tc>
      </w:tr>
      <w:tr w:rsidR="0014276B" w:rsidRPr="003645A2" w14:paraId="29DE255E" w14:textId="77777777" w:rsidTr="000743B8">
        <w:tc>
          <w:tcPr>
            <w:tcW w:w="2501" w:type="pct"/>
            <w:shd w:val="clear" w:color="auto" w:fill="F2F2F2" w:themeFill="background1" w:themeFillShade="F2"/>
            <w:vAlign w:val="center"/>
          </w:tcPr>
          <w:p w14:paraId="62CC46FE" w14:textId="77777777" w:rsidR="0014276B" w:rsidRDefault="00CC003C" w:rsidP="00F263F4">
            <w:pPr>
              <w:pStyle w:val="TableBody"/>
            </w:pPr>
            <w:r>
              <w:t>Financial Market Infrastructure (</w:t>
            </w:r>
            <w:r w:rsidR="00337532">
              <w:t>Payment Systems</w:t>
            </w:r>
            <w:r>
              <w:t>)</w:t>
            </w:r>
          </w:p>
        </w:tc>
        <w:tc>
          <w:tcPr>
            <w:tcW w:w="2499" w:type="pct"/>
            <w:vAlign w:val="center"/>
          </w:tcPr>
          <w:p w14:paraId="51CC68D2" w14:textId="77777777" w:rsidR="0014276B" w:rsidRDefault="00D003AB" w:rsidP="00F263F4">
            <w:pPr>
              <w:pStyle w:val="TableBody"/>
            </w:pPr>
            <w:r>
              <w:t>4</w:t>
            </w:r>
            <w:r w:rsidR="00337532">
              <w:t xml:space="preserve"> (all entities captured)</w:t>
            </w:r>
          </w:p>
        </w:tc>
      </w:tr>
      <w:tr w:rsidR="00337532" w:rsidRPr="003645A2" w14:paraId="1198D092" w14:textId="77777777" w:rsidTr="000743B8">
        <w:tc>
          <w:tcPr>
            <w:tcW w:w="2501" w:type="pct"/>
            <w:shd w:val="clear" w:color="auto" w:fill="F2F2F2" w:themeFill="background1" w:themeFillShade="F2"/>
            <w:vAlign w:val="center"/>
          </w:tcPr>
          <w:p w14:paraId="7A091C23" w14:textId="77777777" w:rsidR="00337532" w:rsidRDefault="00337532" w:rsidP="00F263F4">
            <w:pPr>
              <w:pStyle w:val="TableBody"/>
            </w:pPr>
            <w:r>
              <w:t xml:space="preserve">Domain Name Systems </w:t>
            </w:r>
          </w:p>
        </w:tc>
        <w:tc>
          <w:tcPr>
            <w:tcW w:w="2499" w:type="pct"/>
            <w:vAlign w:val="center"/>
          </w:tcPr>
          <w:p w14:paraId="4A895543" w14:textId="77777777" w:rsidR="00337532" w:rsidRDefault="00337532" w:rsidP="00F263F4">
            <w:pPr>
              <w:pStyle w:val="TableBody"/>
            </w:pPr>
            <w:r>
              <w:t>1 (all entities captured)</w:t>
            </w:r>
          </w:p>
        </w:tc>
      </w:tr>
      <w:tr w:rsidR="00337532" w:rsidRPr="003645A2" w14:paraId="2A6EA452" w14:textId="77777777" w:rsidTr="000743B8">
        <w:tc>
          <w:tcPr>
            <w:tcW w:w="2501" w:type="pct"/>
            <w:shd w:val="clear" w:color="auto" w:fill="F2F2F2" w:themeFill="background1" w:themeFillShade="F2"/>
            <w:vAlign w:val="center"/>
          </w:tcPr>
          <w:p w14:paraId="2E8633BA" w14:textId="77777777" w:rsidR="00337532" w:rsidRDefault="00337532" w:rsidP="00F263F4">
            <w:pPr>
              <w:pStyle w:val="TableBody"/>
            </w:pPr>
            <w:r>
              <w:t>Liquid Fuels</w:t>
            </w:r>
          </w:p>
        </w:tc>
        <w:tc>
          <w:tcPr>
            <w:tcW w:w="2499" w:type="pct"/>
            <w:vAlign w:val="center"/>
          </w:tcPr>
          <w:p w14:paraId="6D7B335F" w14:textId="77777777" w:rsidR="00337532" w:rsidRDefault="00337532" w:rsidP="00F263F4">
            <w:pPr>
              <w:pStyle w:val="TableBody"/>
            </w:pPr>
            <w:r>
              <w:t>7</w:t>
            </w:r>
          </w:p>
        </w:tc>
      </w:tr>
      <w:tr w:rsidR="00337532" w:rsidRPr="003645A2" w14:paraId="312BC15E" w14:textId="77777777" w:rsidTr="000743B8">
        <w:tc>
          <w:tcPr>
            <w:tcW w:w="2501" w:type="pct"/>
            <w:shd w:val="clear" w:color="auto" w:fill="F2F2F2" w:themeFill="background1" w:themeFillShade="F2"/>
            <w:vAlign w:val="center"/>
          </w:tcPr>
          <w:p w14:paraId="71A2AB56" w14:textId="77777777" w:rsidR="00337532" w:rsidRDefault="00A666EC" w:rsidP="00F263F4">
            <w:pPr>
              <w:pStyle w:val="TableBody"/>
            </w:pPr>
            <w:r>
              <w:t>Critical Hospitals</w:t>
            </w:r>
          </w:p>
        </w:tc>
        <w:tc>
          <w:tcPr>
            <w:tcW w:w="2499" w:type="pct"/>
            <w:vAlign w:val="center"/>
          </w:tcPr>
          <w:p w14:paraId="08940260" w14:textId="77777777" w:rsidR="00337532" w:rsidRDefault="00A666EC" w:rsidP="00F263F4">
            <w:pPr>
              <w:pStyle w:val="TableBody"/>
            </w:pPr>
            <w:r>
              <w:t>85</w:t>
            </w:r>
          </w:p>
        </w:tc>
      </w:tr>
      <w:tr w:rsidR="004424A5" w:rsidRPr="003645A2" w14:paraId="655DF4E1" w14:textId="77777777" w:rsidTr="000743B8">
        <w:tc>
          <w:tcPr>
            <w:tcW w:w="2501" w:type="pct"/>
            <w:shd w:val="clear" w:color="auto" w:fill="F2F2F2" w:themeFill="background1" w:themeFillShade="F2"/>
            <w:vAlign w:val="center"/>
          </w:tcPr>
          <w:p w14:paraId="76A5F83B" w14:textId="77777777" w:rsidR="00613A45" w:rsidRDefault="00613A45" w:rsidP="00F263F4">
            <w:pPr>
              <w:pStyle w:val="TableBody"/>
            </w:pPr>
            <w:r>
              <w:t>Energy Market Operator</w:t>
            </w:r>
          </w:p>
        </w:tc>
        <w:tc>
          <w:tcPr>
            <w:tcW w:w="2499" w:type="pct"/>
            <w:vAlign w:val="center"/>
          </w:tcPr>
          <w:p w14:paraId="5830DB67" w14:textId="14E0EF0C" w:rsidR="00613A45" w:rsidRDefault="00292AF8" w:rsidP="00F263F4">
            <w:pPr>
              <w:pStyle w:val="TableBody"/>
            </w:pPr>
            <w:r>
              <w:t>4</w:t>
            </w:r>
            <w:r w:rsidR="00050A1D">
              <w:t xml:space="preserve"> (all entities captured)</w:t>
            </w:r>
          </w:p>
        </w:tc>
      </w:tr>
      <w:tr w:rsidR="006E0237" w:rsidRPr="003645A2" w14:paraId="6CEDCFA4" w14:textId="77777777" w:rsidTr="000743B8">
        <w:tc>
          <w:tcPr>
            <w:tcW w:w="2501" w:type="pct"/>
            <w:shd w:val="clear" w:color="auto" w:fill="F2F2F2" w:themeFill="background1" w:themeFillShade="F2"/>
            <w:vAlign w:val="center"/>
          </w:tcPr>
          <w:p w14:paraId="51F15107" w14:textId="1BBA6DE8" w:rsidR="006E0237" w:rsidRDefault="006E0237" w:rsidP="006E0237">
            <w:pPr>
              <w:pStyle w:val="TableBody"/>
            </w:pPr>
            <w:r>
              <w:t>Freight Infrastructure / Freight Services</w:t>
            </w:r>
          </w:p>
        </w:tc>
        <w:tc>
          <w:tcPr>
            <w:tcW w:w="2499" w:type="pct"/>
            <w:vAlign w:val="center"/>
          </w:tcPr>
          <w:p w14:paraId="31BE4F1D" w14:textId="5A171208" w:rsidR="006E0237" w:rsidRDefault="006E0237" w:rsidP="006E0237">
            <w:pPr>
              <w:pStyle w:val="TableBody"/>
            </w:pPr>
            <w:r>
              <w:t>10</w:t>
            </w:r>
          </w:p>
        </w:tc>
      </w:tr>
      <w:tr w:rsidR="00914341" w:rsidRPr="003645A2" w14:paraId="288B6CEB" w14:textId="77777777" w:rsidTr="000743B8">
        <w:tc>
          <w:tcPr>
            <w:tcW w:w="2501" w:type="pct"/>
            <w:shd w:val="clear" w:color="auto" w:fill="F2F2F2" w:themeFill="background1" w:themeFillShade="F2"/>
            <w:vAlign w:val="center"/>
          </w:tcPr>
          <w:p w14:paraId="5D516974" w14:textId="510BCB28" w:rsidR="00914341" w:rsidRDefault="00692CB9" w:rsidP="006E0237">
            <w:pPr>
              <w:pStyle w:val="TableBody"/>
            </w:pPr>
            <w:r>
              <w:t>Food and grocery</w:t>
            </w:r>
          </w:p>
        </w:tc>
        <w:tc>
          <w:tcPr>
            <w:tcW w:w="2499" w:type="pct"/>
            <w:vAlign w:val="center"/>
          </w:tcPr>
          <w:p w14:paraId="1747621B" w14:textId="6E595A88" w:rsidR="00914341" w:rsidRDefault="000F2097" w:rsidP="006E0237">
            <w:pPr>
              <w:pStyle w:val="TableBody"/>
            </w:pPr>
            <w:r>
              <w:t>4 (all entities captured)</w:t>
            </w:r>
          </w:p>
        </w:tc>
      </w:tr>
      <w:tr w:rsidR="006E0237" w:rsidRPr="00F263F4" w14:paraId="6135C989" w14:textId="77777777" w:rsidTr="000743B8">
        <w:tc>
          <w:tcPr>
            <w:tcW w:w="2501" w:type="pct"/>
            <w:shd w:val="clear" w:color="auto" w:fill="034EA2" w:themeFill="accent1"/>
            <w:vAlign w:val="center"/>
          </w:tcPr>
          <w:p w14:paraId="657C14ED" w14:textId="5E7F578A" w:rsidR="006E0237" w:rsidRPr="00F263F4" w:rsidRDefault="006E0237" w:rsidP="006E0237">
            <w:pPr>
              <w:pStyle w:val="TableHeading"/>
            </w:pPr>
            <w:r w:rsidRPr="00F263F4">
              <w:t xml:space="preserve">Total </w:t>
            </w:r>
          </w:p>
        </w:tc>
        <w:tc>
          <w:tcPr>
            <w:tcW w:w="2499" w:type="pct"/>
            <w:shd w:val="clear" w:color="auto" w:fill="034EA2" w:themeFill="accent1"/>
            <w:vAlign w:val="center"/>
          </w:tcPr>
          <w:p w14:paraId="643BB258" w14:textId="08B4BBCC" w:rsidR="006E0237" w:rsidRPr="00F263F4" w:rsidRDefault="00A921FD" w:rsidP="006E0237">
            <w:pPr>
              <w:pStyle w:val="TableHeading"/>
            </w:pPr>
            <w:r>
              <w:t>274</w:t>
            </w:r>
          </w:p>
        </w:tc>
      </w:tr>
    </w:tbl>
    <w:p w14:paraId="0B3A5EF5" w14:textId="4B4C8FE4" w:rsidR="002F2A34" w:rsidRDefault="002F2A34" w:rsidP="002F2A34">
      <w:pPr>
        <w:pStyle w:val="BodyText"/>
      </w:pPr>
      <w:bookmarkStart w:id="286" w:name="_Toc74756842"/>
      <w:bookmarkStart w:id="287" w:name="_Toc79149656"/>
    </w:p>
    <w:p w14:paraId="53390C1F" w14:textId="77777777" w:rsidR="002F2A34" w:rsidRDefault="002F2A34">
      <w:pPr>
        <w:spacing w:before="80" w:after="80"/>
        <w:rPr>
          <w:rFonts w:cstheme="majorHAnsi"/>
          <w:sz w:val="22"/>
          <w:szCs w:val="28"/>
        </w:rPr>
      </w:pPr>
      <w:r>
        <w:br w:type="page"/>
      </w:r>
    </w:p>
    <w:p w14:paraId="6781785D" w14:textId="589FF301" w:rsidR="003645A2" w:rsidRPr="003645A2" w:rsidRDefault="003645A2" w:rsidP="004C0EFC">
      <w:pPr>
        <w:pStyle w:val="Heading2numbered"/>
      </w:pPr>
      <w:bookmarkStart w:id="288" w:name="_Toc121397401"/>
      <w:r w:rsidRPr="003645A2">
        <w:lastRenderedPageBreak/>
        <w:t>Consultation process</w:t>
      </w:r>
      <w:bookmarkEnd w:id="286"/>
      <w:bookmarkEnd w:id="287"/>
      <w:bookmarkEnd w:id="288"/>
      <w:r w:rsidRPr="003645A2">
        <w:t xml:space="preserve"> </w:t>
      </w:r>
    </w:p>
    <w:p w14:paraId="6CF381B1" w14:textId="03695C78" w:rsidR="0011104B" w:rsidRPr="00A5650A" w:rsidRDefault="003645A2" w:rsidP="00F4406B">
      <w:pPr>
        <w:pStyle w:val="BodyText"/>
      </w:pPr>
      <w:r w:rsidRPr="00A5650A">
        <w:t xml:space="preserve">This section provides an overview of previous consultation, including brief discussion of consultation for </w:t>
      </w:r>
      <w:r w:rsidR="00797763">
        <w:t xml:space="preserve">the </w:t>
      </w:r>
      <w:r w:rsidR="00E47328">
        <w:t xml:space="preserve">2020 </w:t>
      </w:r>
      <w:r w:rsidR="005605ED" w:rsidRPr="00A5650A">
        <w:t>SLACI</w:t>
      </w:r>
      <w:r w:rsidR="00797763">
        <w:t xml:space="preserve"> Bill</w:t>
      </w:r>
      <w:r w:rsidR="005605ED" w:rsidRPr="00A5650A">
        <w:t xml:space="preserve">, the </w:t>
      </w:r>
      <w:r w:rsidR="008E1DE8">
        <w:t xml:space="preserve">(then) </w:t>
      </w:r>
      <w:r w:rsidR="005605ED" w:rsidRPr="00A5650A">
        <w:t xml:space="preserve">governance rules </w:t>
      </w:r>
      <w:r w:rsidR="008E1DE8">
        <w:t xml:space="preserve">(now general rules) </w:t>
      </w:r>
      <w:r w:rsidR="005605ED" w:rsidRPr="00A5650A">
        <w:t xml:space="preserve">and the </w:t>
      </w:r>
      <w:r w:rsidR="0016603A" w:rsidRPr="00A5650A">
        <w:t>RMP rules</w:t>
      </w:r>
      <w:r w:rsidR="004E5A28" w:rsidRPr="00A5650A">
        <w:t xml:space="preserve">, and </w:t>
      </w:r>
      <w:r w:rsidRPr="00A5650A">
        <w:t xml:space="preserve">a roadmap for future consultation, as summarised by </w:t>
      </w:r>
      <w:r w:rsidR="00A5650A" w:rsidRPr="00A5650A">
        <w:fldChar w:fldCharType="begin"/>
      </w:r>
      <w:r w:rsidR="00A5650A" w:rsidRPr="00A5650A">
        <w:instrText xml:space="preserve"> REF _Ref92871915 \h  \* MERGEFORMAT </w:instrText>
      </w:r>
      <w:r w:rsidR="00A5650A" w:rsidRPr="00A5650A">
        <w:fldChar w:fldCharType="separate"/>
      </w:r>
      <w:r w:rsidR="009708D4" w:rsidRPr="009708D4">
        <w:t xml:space="preserve">Figure </w:t>
      </w:r>
      <w:r w:rsidR="009708D4" w:rsidRPr="009708D4">
        <w:rPr>
          <w:noProof/>
        </w:rPr>
        <w:t>3</w:t>
      </w:r>
      <w:r w:rsidR="00A5650A" w:rsidRPr="00A5650A">
        <w:fldChar w:fldCharType="end"/>
      </w:r>
      <w:r w:rsidRPr="00A5650A">
        <w:t xml:space="preserve"> below. </w:t>
      </w:r>
      <w:bookmarkStart w:id="289" w:name="_Toc78525181"/>
    </w:p>
    <w:p w14:paraId="54C35172" w14:textId="49958276" w:rsidR="003645A2" w:rsidRPr="003645A2" w:rsidRDefault="003645A2" w:rsidP="00F4406B">
      <w:pPr>
        <w:pStyle w:val="Caption"/>
      </w:pPr>
      <w:bookmarkStart w:id="290" w:name="_Ref92871915"/>
      <w:bookmarkStart w:id="291" w:name="_Ref92871899"/>
      <w:bookmarkStart w:id="292" w:name="_Toc94519464"/>
      <w:r w:rsidRPr="007D5C6E">
        <w:rPr>
          <w:b/>
          <w:bCs/>
        </w:rPr>
        <w:t xml:space="preserve">Figure </w:t>
      </w:r>
      <w:r w:rsidRPr="007D5C6E">
        <w:rPr>
          <w:b/>
          <w:bCs/>
        </w:rPr>
        <w:fldChar w:fldCharType="begin"/>
      </w:r>
      <w:r w:rsidRPr="007D5C6E">
        <w:rPr>
          <w:b/>
          <w:bCs/>
        </w:rPr>
        <w:instrText xml:space="preserve"> SEQ Figure \* ARABIC </w:instrText>
      </w:r>
      <w:r w:rsidRPr="007D5C6E">
        <w:rPr>
          <w:b/>
          <w:bCs/>
        </w:rPr>
        <w:fldChar w:fldCharType="separate"/>
      </w:r>
      <w:r w:rsidR="009708D4">
        <w:rPr>
          <w:b/>
          <w:bCs/>
          <w:noProof/>
        </w:rPr>
        <w:t>3</w:t>
      </w:r>
      <w:r w:rsidRPr="007D5C6E">
        <w:rPr>
          <w:b/>
          <w:bCs/>
        </w:rPr>
        <w:fldChar w:fldCharType="end"/>
      </w:r>
      <w:bookmarkEnd w:id="290"/>
      <w:r w:rsidR="007D5C6E" w:rsidRPr="007D5C6E">
        <w:rPr>
          <w:b/>
          <w:bCs/>
        </w:rPr>
        <w:t>:</w:t>
      </w:r>
      <w:r w:rsidRPr="003645A2">
        <w:t xml:space="preserve"> Consultation timeline</w:t>
      </w:r>
      <w:bookmarkStart w:id="293" w:name="_Toc73609425"/>
      <w:bookmarkStart w:id="294" w:name="_Toc74212054"/>
      <w:bookmarkStart w:id="295" w:name="_Toc74212329"/>
      <w:bookmarkStart w:id="296" w:name="_Toc74661603"/>
      <w:bookmarkStart w:id="297" w:name="_Toc74755254"/>
      <w:bookmarkStart w:id="298" w:name="_Toc74756843"/>
      <w:bookmarkStart w:id="299" w:name="_Toc74756966"/>
      <w:bookmarkStart w:id="300" w:name="_Toc74832203"/>
      <w:bookmarkStart w:id="301" w:name="_Toc74841208"/>
      <w:bookmarkStart w:id="302" w:name="_Toc74913988"/>
      <w:bookmarkStart w:id="303" w:name="_Toc76050841"/>
      <w:bookmarkEnd w:id="289"/>
      <w:bookmarkEnd w:id="291"/>
      <w:bookmarkEnd w:id="292"/>
    </w:p>
    <w:p w14:paraId="64185CDA" w14:textId="39B4B20E" w:rsidR="003645A2" w:rsidRPr="00092B74" w:rsidRDefault="004E253A" w:rsidP="00092B74">
      <w:pPr>
        <w:pStyle w:val="BodyText"/>
      </w:pPr>
      <w:r>
        <w:rPr>
          <w:noProof/>
          <w:lang w:eastAsia="en-AU"/>
        </w:rPr>
        <w:drawing>
          <wp:inline distT="0" distB="0" distL="0" distR="0" wp14:anchorId="7D321CAA" wp14:editId="537B3BDF">
            <wp:extent cx="6012180" cy="6393180"/>
            <wp:effectExtent l="0" t="0" r="762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2180" cy="6393180"/>
                    </a:xfrm>
                    <a:prstGeom prst="rect">
                      <a:avLst/>
                    </a:prstGeom>
                    <a:noFill/>
                  </pic:spPr>
                </pic:pic>
              </a:graphicData>
            </a:graphic>
          </wp:inline>
        </w:drawing>
      </w:r>
    </w:p>
    <w:p w14:paraId="15AEFA41" w14:textId="43AB6C56" w:rsidR="003645A2" w:rsidRPr="003645A2" w:rsidRDefault="003645A2" w:rsidP="004C0EFC">
      <w:pPr>
        <w:pStyle w:val="Heading3numbered"/>
      </w:pPr>
      <w:bookmarkStart w:id="304" w:name="_Toc77755133"/>
      <w:bookmarkStart w:id="305" w:name="_Toc79149657"/>
      <w:r w:rsidRPr="003645A2">
        <w:t>Previous consultation</w:t>
      </w:r>
      <w:bookmarkEnd w:id="293"/>
      <w:bookmarkEnd w:id="294"/>
      <w:bookmarkEnd w:id="295"/>
      <w:bookmarkEnd w:id="296"/>
      <w:bookmarkEnd w:id="297"/>
      <w:bookmarkEnd w:id="298"/>
      <w:bookmarkEnd w:id="299"/>
      <w:bookmarkEnd w:id="300"/>
      <w:bookmarkEnd w:id="301"/>
      <w:bookmarkEnd w:id="302"/>
      <w:bookmarkEnd w:id="303"/>
      <w:bookmarkEnd w:id="304"/>
      <w:bookmarkEnd w:id="305"/>
      <w:r w:rsidRPr="003645A2">
        <w:t xml:space="preserve"> </w:t>
      </w:r>
    </w:p>
    <w:p w14:paraId="74C34808" w14:textId="3D153CDC" w:rsidR="003645A2" w:rsidRPr="00C768BC" w:rsidRDefault="003645A2" w:rsidP="00F4406B">
      <w:pPr>
        <w:pStyle w:val="Heading4"/>
      </w:pPr>
      <w:r w:rsidRPr="00F4406B">
        <w:t>Consultation</w:t>
      </w:r>
      <w:r w:rsidRPr="00C768BC">
        <w:t xml:space="preserve">: </w:t>
      </w:r>
      <w:r w:rsidR="00D55B6F">
        <w:t>SLACI</w:t>
      </w:r>
    </w:p>
    <w:p w14:paraId="02AF527F" w14:textId="434F52C3" w:rsidR="003645A2" w:rsidRPr="003645A2" w:rsidRDefault="003645A2" w:rsidP="00F4406B">
      <w:pPr>
        <w:pStyle w:val="BodyText"/>
      </w:pPr>
      <w:r w:rsidRPr="003645A2">
        <w:t xml:space="preserve">Consultation on the regulatory measures within this RIS builds upon and leverages previous and comprehensive engagement conducted in relation to </w:t>
      </w:r>
      <w:r w:rsidR="00445123">
        <w:t xml:space="preserve">the 2020 </w:t>
      </w:r>
      <w:r w:rsidR="00D171CC">
        <w:t>SLACI</w:t>
      </w:r>
      <w:r w:rsidR="000D2052">
        <w:t xml:space="preserve"> </w:t>
      </w:r>
      <w:r w:rsidR="00445123">
        <w:t xml:space="preserve">Bill, the 2021 SLACI </w:t>
      </w:r>
      <w:r w:rsidR="00D721DC">
        <w:t xml:space="preserve">Act </w:t>
      </w:r>
      <w:r w:rsidR="00D171CC">
        <w:t xml:space="preserve">and </w:t>
      </w:r>
      <w:r w:rsidRPr="003645A2">
        <w:t xml:space="preserve">the </w:t>
      </w:r>
      <w:r w:rsidR="000D2052">
        <w:t xml:space="preserve">SLACIP </w:t>
      </w:r>
      <w:r w:rsidR="00D721DC">
        <w:t>Act</w:t>
      </w:r>
      <w:r w:rsidRPr="003645A2">
        <w:t xml:space="preserve">. Extensive consultation preceded the introduction of </w:t>
      </w:r>
      <w:r w:rsidR="00797763">
        <w:t xml:space="preserve">the </w:t>
      </w:r>
      <w:r w:rsidR="00D171CC">
        <w:t>SLACI</w:t>
      </w:r>
      <w:r w:rsidR="000D2052">
        <w:t xml:space="preserve"> Bill</w:t>
      </w:r>
      <w:r w:rsidRPr="003645A2">
        <w:t xml:space="preserve">, as captured in the 2020 RIS. Consultation </w:t>
      </w:r>
      <w:r w:rsidR="00D55B6F">
        <w:t>through a</w:t>
      </w:r>
      <w:r w:rsidR="004F7845">
        <w:t xml:space="preserve"> </w:t>
      </w:r>
      <w:r w:rsidRPr="003645A2">
        <w:t xml:space="preserve">paper titled ‘Protecting Critical Infrastructure and Systems of </w:t>
      </w:r>
      <w:r w:rsidRPr="003645A2">
        <w:lastRenderedPageBreak/>
        <w:t>National Significance’, which proposed regulatory and non-regulatory proposals to protect Australia’s critical infrastructure from all</w:t>
      </w:r>
      <w:r w:rsidR="00D55B6F">
        <w:t>-</w:t>
      </w:r>
      <w:r w:rsidRPr="003645A2">
        <w:t xml:space="preserve">hazard threats, occurred in August and September 2020. The Department met with over 2,000 industry stakeholders from over 54 entities and received 194 submissions in response to the consultation paper, including from all states and territories, </w:t>
      </w:r>
      <w:r w:rsidR="000C5D31">
        <w:t>by</w:t>
      </w:r>
      <w:r w:rsidRPr="003645A2">
        <w:t xml:space="preserve"> the close of the submission period on 16 September 2020. Non-confidential submissions are available on the Home Affairs’ website. </w:t>
      </w:r>
    </w:p>
    <w:p w14:paraId="1AFC81B8" w14:textId="370C8D9A" w:rsidR="003645A2" w:rsidRPr="003645A2" w:rsidRDefault="003645A2" w:rsidP="003645A2">
      <w:pPr>
        <w:spacing w:after="160"/>
        <w:rPr>
          <w:rFonts w:ascii="Calibri" w:eastAsia="Calibri" w:hAnsi="Calibri" w:cs="Times New Roman"/>
          <w:sz w:val="22"/>
        </w:rPr>
      </w:pPr>
      <w:r w:rsidRPr="003645A2">
        <w:rPr>
          <w:rFonts w:ascii="Arial" w:eastAsia="Calibri" w:hAnsi="Arial" w:cs="Arial"/>
          <w:sz w:val="22"/>
        </w:rPr>
        <w:t xml:space="preserve">Key concerns raised, and how they were addressed in response to the consultation paper, are highlighted in </w:t>
      </w:r>
      <w:r w:rsidR="00180A8F" w:rsidRPr="00180A8F">
        <w:rPr>
          <w:rFonts w:ascii="Arial" w:eastAsia="Calibri" w:hAnsi="Arial" w:cs="Arial"/>
          <w:sz w:val="28"/>
        </w:rPr>
        <w:fldChar w:fldCharType="begin"/>
      </w:r>
      <w:r w:rsidR="00180A8F" w:rsidRPr="00180A8F">
        <w:rPr>
          <w:rFonts w:ascii="Arial" w:eastAsia="Calibri" w:hAnsi="Arial" w:cs="Arial"/>
          <w:sz w:val="28"/>
        </w:rPr>
        <w:instrText xml:space="preserve"> REF _Ref79159257 \h  \* MERGEFORMAT </w:instrText>
      </w:r>
      <w:r w:rsidR="00180A8F" w:rsidRPr="00180A8F">
        <w:rPr>
          <w:rFonts w:ascii="Arial" w:eastAsia="Calibri" w:hAnsi="Arial" w:cs="Arial"/>
          <w:sz w:val="28"/>
        </w:rPr>
      </w:r>
      <w:r w:rsidR="00180A8F" w:rsidRPr="00180A8F">
        <w:rPr>
          <w:rFonts w:ascii="Arial" w:eastAsia="Calibri" w:hAnsi="Arial" w:cs="Arial"/>
          <w:sz w:val="28"/>
        </w:rPr>
        <w:fldChar w:fldCharType="separate"/>
      </w:r>
      <w:r w:rsidR="009708D4" w:rsidRPr="009708D4">
        <w:rPr>
          <w:rFonts w:ascii="Arial" w:eastAsia="Calibri" w:hAnsi="Arial" w:cs="Arial"/>
          <w:iCs/>
          <w:sz w:val="22"/>
          <w:szCs w:val="18"/>
        </w:rPr>
        <w:t xml:space="preserve">Table </w:t>
      </w:r>
      <w:r w:rsidR="009708D4" w:rsidRPr="009708D4">
        <w:rPr>
          <w:rFonts w:ascii="Arial" w:eastAsia="Calibri" w:hAnsi="Arial" w:cs="Arial"/>
          <w:iCs/>
          <w:noProof/>
          <w:sz w:val="22"/>
          <w:szCs w:val="18"/>
        </w:rPr>
        <w:t>18</w:t>
      </w:r>
      <w:r w:rsidR="00180A8F" w:rsidRPr="00180A8F">
        <w:rPr>
          <w:rFonts w:ascii="Arial" w:eastAsia="Calibri" w:hAnsi="Arial" w:cs="Arial"/>
          <w:sz w:val="28"/>
        </w:rPr>
        <w:fldChar w:fldCharType="end"/>
      </w:r>
      <w:r w:rsidRPr="00180A8F">
        <w:rPr>
          <w:rFonts w:ascii="Arial" w:eastAsia="Calibri" w:hAnsi="Arial" w:cs="Arial"/>
          <w:sz w:val="28"/>
        </w:rPr>
        <w:t xml:space="preserve"> </w:t>
      </w:r>
      <w:r w:rsidRPr="003645A2">
        <w:rPr>
          <w:rFonts w:ascii="Arial" w:eastAsia="Calibri" w:hAnsi="Arial" w:cs="Arial"/>
          <w:sz w:val="22"/>
        </w:rPr>
        <w:t>below.</w:t>
      </w:r>
    </w:p>
    <w:p w14:paraId="6409306F" w14:textId="2B2C2267" w:rsidR="003645A2" w:rsidRPr="003645A2" w:rsidRDefault="003645A2" w:rsidP="00F4406B">
      <w:pPr>
        <w:pStyle w:val="Caption"/>
      </w:pPr>
      <w:bookmarkStart w:id="306" w:name="_Ref78469205"/>
      <w:bookmarkStart w:id="307" w:name="_Ref79159257"/>
      <w:bookmarkStart w:id="308" w:name="_Toc78878026"/>
      <w:bookmarkStart w:id="309" w:name="_Toc79156702"/>
      <w:bookmarkStart w:id="310" w:name="_Toc120115103"/>
      <w:r w:rsidRPr="003645A2">
        <w:rPr>
          <w:b/>
        </w:rPr>
        <w:t xml:space="preserve">Table </w:t>
      </w:r>
      <w:r w:rsidRPr="003645A2">
        <w:rPr>
          <w:b/>
        </w:rPr>
        <w:fldChar w:fldCharType="begin"/>
      </w:r>
      <w:r w:rsidRPr="003645A2">
        <w:rPr>
          <w:b/>
        </w:rPr>
        <w:instrText xml:space="preserve"> SEQ Table \* ARABIC </w:instrText>
      </w:r>
      <w:r w:rsidRPr="003645A2">
        <w:rPr>
          <w:b/>
        </w:rPr>
        <w:fldChar w:fldCharType="separate"/>
      </w:r>
      <w:r w:rsidR="009708D4">
        <w:rPr>
          <w:b/>
          <w:noProof/>
        </w:rPr>
        <w:t>18</w:t>
      </w:r>
      <w:r w:rsidRPr="003645A2">
        <w:rPr>
          <w:b/>
        </w:rPr>
        <w:fldChar w:fldCharType="end"/>
      </w:r>
      <w:bookmarkEnd w:id="306"/>
      <w:bookmarkEnd w:id="307"/>
      <w:r w:rsidRPr="003645A2">
        <w:t xml:space="preserve"> Concerns and responses to consultation paper ‘Protecting Critical Infrastructure and Systems of National Significance’</w:t>
      </w:r>
      <w:bookmarkEnd w:id="308"/>
      <w:bookmarkEnd w:id="309"/>
      <w:bookmarkEnd w:id="310"/>
    </w:p>
    <w:tbl>
      <w:tblPr>
        <w:tblStyle w:val="TableGrid5"/>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3784"/>
        <w:gridCol w:w="5854"/>
      </w:tblGrid>
      <w:tr w:rsidR="003645A2" w:rsidRPr="003645A2" w14:paraId="6224CC1E" w14:textId="77777777" w:rsidTr="00F263F4">
        <w:tc>
          <w:tcPr>
            <w:tcW w:w="1963" w:type="pct"/>
            <w:shd w:val="clear" w:color="auto" w:fill="034EA2" w:themeFill="accent1"/>
          </w:tcPr>
          <w:p w14:paraId="4F93F2D5" w14:textId="77777777" w:rsidR="003645A2" w:rsidRPr="003645A2" w:rsidRDefault="003645A2" w:rsidP="00F263F4">
            <w:pPr>
              <w:pStyle w:val="TableHeading"/>
            </w:pPr>
            <w:r w:rsidRPr="003645A2">
              <w:t>Stakeholder Concern</w:t>
            </w:r>
          </w:p>
        </w:tc>
        <w:tc>
          <w:tcPr>
            <w:tcW w:w="3037" w:type="pct"/>
            <w:shd w:val="clear" w:color="auto" w:fill="034EA2" w:themeFill="accent1"/>
          </w:tcPr>
          <w:p w14:paraId="79D7AD6B" w14:textId="77777777" w:rsidR="003645A2" w:rsidRPr="003645A2" w:rsidRDefault="003645A2" w:rsidP="00F263F4">
            <w:pPr>
              <w:pStyle w:val="TableHeading"/>
            </w:pPr>
            <w:r w:rsidRPr="003645A2">
              <w:t>Action by Department</w:t>
            </w:r>
          </w:p>
        </w:tc>
      </w:tr>
      <w:tr w:rsidR="003645A2" w:rsidRPr="003645A2" w14:paraId="61628657" w14:textId="77777777" w:rsidTr="00F263F4">
        <w:tc>
          <w:tcPr>
            <w:tcW w:w="1963" w:type="pct"/>
            <w:shd w:val="clear" w:color="auto" w:fill="F2F2F2"/>
          </w:tcPr>
          <w:p w14:paraId="38B78A9E" w14:textId="77777777" w:rsidR="003645A2" w:rsidRPr="000F20CF" w:rsidRDefault="003645A2" w:rsidP="00F263F4">
            <w:pPr>
              <w:pStyle w:val="TableBody"/>
            </w:pPr>
            <w:r w:rsidRPr="000F20CF">
              <w:t>Lack of clarity about what assets were to be critical infrastructure assets.</w:t>
            </w:r>
          </w:p>
        </w:tc>
        <w:tc>
          <w:tcPr>
            <w:tcW w:w="3037" w:type="pct"/>
          </w:tcPr>
          <w:p w14:paraId="744DA291" w14:textId="77777777" w:rsidR="003645A2" w:rsidRPr="003645A2" w:rsidRDefault="003645A2" w:rsidP="00F263F4">
            <w:pPr>
              <w:pStyle w:val="TableBody"/>
            </w:pPr>
            <w:r w:rsidRPr="003645A2">
              <w:t xml:space="preserve">The Department sought to gain a more detailed understanding of each sector, permitting a more nuanced approach to identifying captured assets. </w:t>
            </w:r>
          </w:p>
        </w:tc>
      </w:tr>
      <w:tr w:rsidR="003645A2" w:rsidRPr="003645A2" w14:paraId="714E8E8C" w14:textId="77777777" w:rsidTr="00F263F4">
        <w:tc>
          <w:tcPr>
            <w:tcW w:w="1963" w:type="pct"/>
            <w:shd w:val="clear" w:color="auto" w:fill="F2F2F2"/>
          </w:tcPr>
          <w:p w14:paraId="1BC8A694" w14:textId="77777777" w:rsidR="003645A2" w:rsidRPr="000F20CF" w:rsidRDefault="003645A2" w:rsidP="00F263F4">
            <w:pPr>
              <w:pStyle w:val="TableBody"/>
            </w:pPr>
            <w:r w:rsidRPr="000F20CF">
              <w:t>The potential for duplication of existing regulatory frameworks.</w:t>
            </w:r>
          </w:p>
        </w:tc>
        <w:tc>
          <w:tcPr>
            <w:tcW w:w="3037" w:type="pct"/>
          </w:tcPr>
          <w:p w14:paraId="7BAB2F9D" w14:textId="77777777" w:rsidR="003645A2" w:rsidRPr="003645A2" w:rsidRDefault="003645A2" w:rsidP="00F263F4">
            <w:pPr>
              <w:pStyle w:val="TableBody"/>
            </w:pPr>
            <w:r w:rsidRPr="003645A2">
              <w:t xml:space="preserve">‘On switches’ were developed for positive security obligations, ensuring such obligations were only imposed where there is no comparable, existing regulatory framework. </w:t>
            </w:r>
          </w:p>
        </w:tc>
      </w:tr>
      <w:tr w:rsidR="003645A2" w:rsidRPr="003645A2" w14:paraId="5D4550FF" w14:textId="77777777" w:rsidTr="00F263F4">
        <w:tc>
          <w:tcPr>
            <w:tcW w:w="1963" w:type="pct"/>
            <w:shd w:val="clear" w:color="auto" w:fill="F2F2F2"/>
          </w:tcPr>
          <w:p w14:paraId="6DBF7C14" w14:textId="77777777" w:rsidR="003645A2" w:rsidRPr="000F20CF" w:rsidRDefault="003645A2" w:rsidP="00F263F4">
            <w:pPr>
              <w:pStyle w:val="TableBody"/>
            </w:pPr>
            <w:r w:rsidRPr="000F20CF">
              <w:t>The potential for regulatory impost and the proportionality of requirements.</w:t>
            </w:r>
          </w:p>
        </w:tc>
        <w:tc>
          <w:tcPr>
            <w:tcW w:w="3037" w:type="pct"/>
          </w:tcPr>
          <w:p w14:paraId="660808C5" w14:textId="77777777" w:rsidR="003645A2" w:rsidRPr="003645A2" w:rsidRDefault="003645A2" w:rsidP="00F263F4">
            <w:pPr>
              <w:pStyle w:val="TableBody"/>
            </w:pPr>
            <w:r w:rsidRPr="003645A2">
              <w:t>Co</w:t>
            </w:r>
            <w:r w:rsidR="00202249">
              <w:t xml:space="preserve">nsultation on the </w:t>
            </w:r>
            <w:r w:rsidR="0016603A">
              <w:t>RMP rules</w:t>
            </w:r>
            <w:r w:rsidRPr="003645A2">
              <w:t xml:space="preserve"> was proposed, to ensure robust discussion as to the manner and form of proposed rules to ensure that rules are reasonable and proportionate. </w:t>
            </w:r>
          </w:p>
        </w:tc>
      </w:tr>
      <w:tr w:rsidR="003645A2" w:rsidRPr="003645A2" w14:paraId="2930FA96" w14:textId="77777777" w:rsidTr="00F263F4">
        <w:tc>
          <w:tcPr>
            <w:tcW w:w="1963" w:type="pct"/>
            <w:shd w:val="clear" w:color="auto" w:fill="F2F2F2"/>
          </w:tcPr>
          <w:p w14:paraId="474121E6" w14:textId="77777777" w:rsidR="003645A2" w:rsidRPr="000F20CF" w:rsidRDefault="003645A2" w:rsidP="00F263F4">
            <w:pPr>
              <w:pStyle w:val="TableBody"/>
            </w:pPr>
            <w:r w:rsidRPr="000F20CF">
              <w:t>The threshold for engaging Government assistance was too low.</w:t>
            </w:r>
          </w:p>
        </w:tc>
        <w:tc>
          <w:tcPr>
            <w:tcW w:w="3037" w:type="pct"/>
          </w:tcPr>
          <w:p w14:paraId="28BE5789" w14:textId="77777777" w:rsidR="003645A2" w:rsidRPr="003645A2" w:rsidRDefault="003645A2" w:rsidP="00F263F4">
            <w:pPr>
              <w:pStyle w:val="TableBody"/>
            </w:pPr>
            <w:r w:rsidRPr="003645A2">
              <w:t>The Department introduced additional safeguards, to position Government’s powers to intervene as a last resort method of intervention.</w:t>
            </w:r>
          </w:p>
        </w:tc>
      </w:tr>
    </w:tbl>
    <w:p w14:paraId="570A21D6" w14:textId="77777777" w:rsidR="003645A2" w:rsidRPr="003645A2" w:rsidRDefault="003645A2" w:rsidP="00F4406B">
      <w:pPr>
        <w:pStyle w:val="BodyText"/>
      </w:pPr>
      <w:r w:rsidRPr="003645A2">
        <w:t xml:space="preserve">Some stakeholders proposed alternative approaches to building critical infrastructure security and resilience, which the Department has not progressed. These included, for example, a vulnerability disclosure scheme; a </w:t>
      </w:r>
      <w:r w:rsidR="00E436F6" w:rsidRPr="003645A2">
        <w:t>national critical service</w:t>
      </w:r>
      <w:r w:rsidRPr="003645A2">
        <w:t xml:space="preserve"> overlay network; and the use of environmental surveillance network instrumentation to show changes to risk leading indicators in near real time. </w:t>
      </w:r>
    </w:p>
    <w:p w14:paraId="3AC0E450" w14:textId="6038FDCA" w:rsidR="003645A2" w:rsidRDefault="003645A2" w:rsidP="00F4406B">
      <w:pPr>
        <w:pStyle w:val="BodyText"/>
      </w:pPr>
      <w:r w:rsidRPr="003645A2">
        <w:t xml:space="preserve">Further, on 9 November 2020, an exposure draft of </w:t>
      </w:r>
      <w:r w:rsidR="004E22B6">
        <w:t>S</w:t>
      </w:r>
      <w:r w:rsidR="000D2052">
        <w:t xml:space="preserve">LACI </w:t>
      </w:r>
      <w:r w:rsidRPr="003645A2">
        <w:t>Bill was released (accompanied by an explanatory document) for public consultation. At the conclusion of consultation on 27 November 2020, discussions with 1,000 individuals occurred in response to the exposure draft, and 129 submissions were received. Non-confidential submissions are available on the Home Affairs’ website.</w:t>
      </w:r>
    </w:p>
    <w:p w14:paraId="056D0AA0" w14:textId="33954CF9" w:rsidR="00F263F4" w:rsidRDefault="00F263F4" w:rsidP="00F4406B">
      <w:pPr>
        <w:pStyle w:val="BodyText"/>
      </w:pPr>
    </w:p>
    <w:p w14:paraId="01B6C45A" w14:textId="77777777" w:rsidR="00A174CE" w:rsidRPr="003645A2" w:rsidRDefault="00A174CE" w:rsidP="00F4406B">
      <w:pPr>
        <w:pStyle w:val="BodyText"/>
      </w:pPr>
    </w:p>
    <w:p w14:paraId="1503952D" w14:textId="407A851D" w:rsidR="003645A2" w:rsidRPr="003645A2" w:rsidRDefault="003645A2" w:rsidP="00F263F4">
      <w:pPr>
        <w:pStyle w:val="BodyText"/>
        <w:keepNext/>
      </w:pPr>
      <w:r w:rsidRPr="003645A2">
        <w:fldChar w:fldCharType="begin"/>
      </w:r>
      <w:r w:rsidRPr="003645A2">
        <w:instrText xml:space="preserve"> REF _Ref78469476 \h  \* MERGEFORMAT </w:instrText>
      </w:r>
      <w:r w:rsidRPr="003645A2">
        <w:fldChar w:fldCharType="separate"/>
      </w:r>
      <w:r w:rsidR="009708D4" w:rsidRPr="009708D4">
        <w:t xml:space="preserve">Table </w:t>
      </w:r>
      <w:r w:rsidR="009708D4" w:rsidRPr="009708D4">
        <w:rPr>
          <w:noProof/>
        </w:rPr>
        <w:t>19</w:t>
      </w:r>
      <w:r w:rsidRPr="003645A2">
        <w:fldChar w:fldCharType="end"/>
      </w:r>
      <w:r w:rsidRPr="003645A2">
        <w:t xml:space="preserve"> below outlines the key changes made in response to consultation. </w:t>
      </w:r>
    </w:p>
    <w:p w14:paraId="247752F4" w14:textId="799A35AC" w:rsidR="003645A2" w:rsidRPr="003645A2" w:rsidRDefault="003645A2" w:rsidP="00F4406B">
      <w:pPr>
        <w:pStyle w:val="Caption"/>
      </w:pPr>
      <w:bookmarkStart w:id="311" w:name="_Ref78469476"/>
      <w:bookmarkStart w:id="312" w:name="_Toc78878027"/>
      <w:bookmarkStart w:id="313" w:name="_Toc79156703"/>
      <w:bookmarkStart w:id="314" w:name="_Toc120115104"/>
      <w:r w:rsidRPr="003645A2">
        <w:rPr>
          <w:b/>
        </w:rPr>
        <w:t xml:space="preserve">Table </w:t>
      </w:r>
      <w:r w:rsidRPr="003645A2">
        <w:rPr>
          <w:b/>
        </w:rPr>
        <w:fldChar w:fldCharType="begin"/>
      </w:r>
      <w:r w:rsidRPr="003645A2">
        <w:rPr>
          <w:b/>
        </w:rPr>
        <w:instrText xml:space="preserve"> SEQ Table \* ARABIC </w:instrText>
      </w:r>
      <w:r w:rsidRPr="003645A2">
        <w:rPr>
          <w:b/>
        </w:rPr>
        <w:fldChar w:fldCharType="separate"/>
      </w:r>
      <w:r w:rsidR="009708D4">
        <w:rPr>
          <w:b/>
          <w:noProof/>
        </w:rPr>
        <w:t>19</w:t>
      </w:r>
      <w:r w:rsidRPr="003645A2">
        <w:rPr>
          <w:b/>
        </w:rPr>
        <w:fldChar w:fldCharType="end"/>
      </w:r>
      <w:bookmarkEnd w:id="311"/>
      <w:r w:rsidRPr="003645A2">
        <w:t xml:space="preserve"> Concerns and responses – exposure draft of the </w:t>
      </w:r>
      <w:r w:rsidR="000D2052">
        <w:t xml:space="preserve">SLACI </w:t>
      </w:r>
      <w:r w:rsidRPr="003645A2">
        <w:t>Bill</w:t>
      </w:r>
      <w:bookmarkEnd w:id="312"/>
      <w:bookmarkEnd w:id="313"/>
      <w:bookmarkEnd w:id="314"/>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3277"/>
        <w:gridCol w:w="6361"/>
      </w:tblGrid>
      <w:tr w:rsidR="003645A2" w:rsidRPr="003645A2" w14:paraId="4F6D05FE" w14:textId="77777777" w:rsidTr="00A174CE">
        <w:tc>
          <w:tcPr>
            <w:tcW w:w="1700" w:type="pct"/>
            <w:shd w:val="clear" w:color="auto" w:fill="034EA2" w:themeFill="accent1"/>
          </w:tcPr>
          <w:p w14:paraId="10B62F50" w14:textId="77777777" w:rsidR="003645A2" w:rsidRPr="003645A2" w:rsidRDefault="003645A2" w:rsidP="00F263F4">
            <w:pPr>
              <w:pStyle w:val="TableHeading"/>
            </w:pPr>
            <w:r w:rsidRPr="003645A2">
              <w:t>Stakeholder concern</w:t>
            </w:r>
          </w:p>
        </w:tc>
        <w:tc>
          <w:tcPr>
            <w:tcW w:w="3300" w:type="pct"/>
            <w:shd w:val="clear" w:color="auto" w:fill="034EA2" w:themeFill="accent1"/>
          </w:tcPr>
          <w:p w14:paraId="3841CD48" w14:textId="77777777" w:rsidR="003645A2" w:rsidRPr="003645A2" w:rsidRDefault="003645A2" w:rsidP="00F263F4">
            <w:pPr>
              <w:pStyle w:val="TableHeading"/>
            </w:pPr>
            <w:r w:rsidRPr="003645A2">
              <w:t>Action by Department</w:t>
            </w:r>
          </w:p>
        </w:tc>
      </w:tr>
      <w:tr w:rsidR="003645A2" w:rsidRPr="003645A2" w14:paraId="73914D99" w14:textId="77777777" w:rsidTr="00A174CE">
        <w:tc>
          <w:tcPr>
            <w:tcW w:w="1700" w:type="pct"/>
          </w:tcPr>
          <w:p w14:paraId="248BBC03" w14:textId="77777777" w:rsidR="003645A2" w:rsidRPr="000F20CF" w:rsidRDefault="003645A2" w:rsidP="00F263F4">
            <w:pPr>
              <w:pStyle w:val="TableBody"/>
            </w:pPr>
            <w:r w:rsidRPr="009807CA">
              <w:t>Some assets that are not critical may be captured by the Bill.</w:t>
            </w:r>
          </w:p>
        </w:tc>
        <w:tc>
          <w:tcPr>
            <w:tcW w:w="3300" w:type="pct"/>
            <w:shd w:val="clear" w:color="auto" w:fill="auto"/>
          </w:tcPr>
          <w:p w14:paraId="1FB897A8" w14:textId="77777777" w:rsidR="003645A2" w:rsidRPr="003645A2" w:rsidRDefault="003645A2" w:rsidP="00A174CE">
            <w:pPr>
              <w:pStyle w:val="TableBody"/>
            </w:pPr>
            <w:r w:rsidRPr="003645A2">
              <w:t xml:space="preserve">Asset definitions were refined to reflect only those assets that are truly critical. </w:t>
            </w:r>
          </w:p>
          <w:p w14:paraId="079ED656" w14:textId="77777777" w:rsidR="003645A2" w:rsidRPr="003645A2" w:rsidRDefault="003645A2" w:rsidP="00A174CE">
            <w:pPr>
              <w:pStyle w:val="TableBody"/>
            </w:pPr>
            <w:r w:rsidRPr="003645A2">
              <w:t xml:space="preserve">Provisions were also added that allow for the rules to provide that particular elements of the positive security obligations do not apply to an asset, even if it is classified as a critical infrastructure asset. </w:t>
            </w:r>
          </w:p>
        </w:tc>
      </w:tr>
      <w:tr w:rsidR="003645A2" w:rsidRPr="003645A2" w14:paraId="075F56EA" w14:textId="77777777" w:rsidTr="00A174CE">
        <w:tc>
          <w:tcPr>
            <w:tcW w:w="1700" w:type="pct"/>
          </w:tcPr>
          <w:p w14:paraId="285AD4CE" w14:textId="77777777" w:rsidR="003645A2" w:rsidRPr="000F20CF" w:rsidRDefault="003645A2" w:rsidP="00F263F4">
            <w:pPr>
              <w:pStyle w:val="TableBody"/>
            </w:pPr>
            <w:r w:rsidRPr="009807CA">
              <w:t>Consultation requirements are insufficient.</w:t>
            </w:r>
          </w:p>
        </w:tc>
        <w:tc>
          <w:tcPr>
            <w:tcW w:w="3300" w:type="pct"/>
            <w:shd w:val="clear" w:color="auto" w:fill="auto"/>
          </w:tcPr>
          <w:p w14:paraId="3FA29DCE" w14:textId="37FA1D8E" w:rsidR="003645A2" w:rsidRPr="003645A2" w:rsidRDefault="003645A2" w:rsidP="00A174CE">
            <w:pPr>
              <w:pStyle w:val="TableBody"/>
            </w:pPr>
            <w:r w:rsidRPr="003645A2">
              <w:t>Broader and extended timeframes for consultation was embedded in the legislation including</w:t>
            </w:r>
            <w:r w:rsidR="004E22B6">
              <w:t>,</w:t>
            </w:r>
            <w:r w:rsidRPr="003645A2">
              <w:t xml:space="preserve"> for example: </w:t>
            </w:r>
          </w:p>
          <w:p w14:paraId="5C8CBFCD" w14:textId="77777777" w:rsidR="003645A2" w:rsidRPr="003645A2" w:rsidRDefault="003645A2" w:rsidP="00A174CE">
            <w:pPr>
              <w:pStyle w:val="TableBullet"/>
              <w:rPr>
                <w:rFonts w:eastAsia="Calibri"/>
              </w:rPr>
            </w:pPr>
            <w:r w:rsidRPr="003645A2">
              <w:rPr>
                <w:rFonts w:eastAsia="Calibri"/>
              </w:rPr>
              <w:t xml:space="preserve">Before making or amending the rules, the Minister must publish these on the Home Affairs website for 28 days and consider any submissions made within this period. </w:t>
            </w:r>
          </w:p>
          <w:p w14:paraId="1EA6FEC1" w14:textId="77777777" w:rsidR="003645A2" w:rsidRPr="003645A2" w:rsidRDefault="003645A2" w:rsidP="00A174CE">
            <w:pPr>
              <w:pStyle w:val="TableBullet"/>
              <w:rPr>
                <w:rFonts w:eastAsia="Calibri"/>
              </w:rPr>
            </w:pPr>
            <w:r w:rsidRPr="003645A2">
              <w:rPr>
                <w:rFonts w:eastAsia="Calibri"/>
              </w:rPr>
              <w:lastRenderedPageBreak/>
              <w:t xml:space="preserve">Before making any rules relating to the critical infrastructure </w:t>
            </w:r>
            <w:r w:rsidR="00BB0179">
              <w:rPr>
                <w:rFonts w:eastAsia="Calibri"/>
              </w:rPr>
              <w:t>RMP</w:t>
            </w:r>
            <w:r w:rsidRPr="003645A2">
              <w:rPr>
                <w:rFonts w:eastAsia="Calibri"/>
              </w:rPr>
              <w:t xml:space="preserve">, the Minister must have regard to any existing regulatory system of the Commonwealth, a State or Territory that imposes obligations on responsible entities. </w:t>
            </w:r>
          </w:p>
          <w:p w14:paraId="0787FF71" w14:textId="77777777" w:rsidR="003645A2" w:rsidRPr="003645A2" w:rsidRDefault="003645A2" w:rsidP="00A174CE">
            <w:pPr>
              <w:pStyle w:val="TableBullet"/>
              <w:rPr>
                <w:rFonts w:eastAsia="Calibri"/>
              </w:rPr>
            </w:pPr>
            <w:r w:rsidRPr="003645A2">
              <w:rPr>
                <w:rFonts w:eastAsia="Calibri"/>
              </w:rPr>
              <w:t xml:space="preserve">Before giving a notice to an entity under the enhanced cyber security obligations, the Secretary must consult the relevant entity, and, if there is a relevant Commonwealth regulator that has functions relating to the security of that system – the relevant Commonwealth regulator. </w:t>
            </w:r>
          </w:p>
        </w:tc>
      </w:tr>
      <w:tr w:rsidR="003645A2" w:rsidRPr="003645A2" w14:paraId="08C8BE5B" w14:textId="77777777" w:rsidTr="00A174CE">
        <w:tc>
          <w:tcPr>
            <w:tcW w:w="1700" w:type="pct"/>
          </w:tcPr>
          <w:p w14:paraId="6F95FFB5" w14:textId="114CA5EF" w:rsidR="003645A2" w:rsidRPr="000F20CF" w:rsidRDefault="003645A2" w:rsidP="00F263F4">
            <w:pPr>
              <w:pStyle w:val="TableBody"/>
            </w:pPr>
            <w:r w:rsidRPr="009807CA">
              <w:lastRenderedPageBreak/>
              <w:t xml:space="preserve">It is unclear how </w:t>
            </w:r>
            <w:r w:rsidR="004E22B6">
              <w:t>The Department</w:t>
            </w:r>
            <w:r w:rsidRPr="009807CA">
              <w:t xml:space="preserve"> will identify an entity as a system of national significance.</w:t>
            </w:r>
          </w:p>
        </w:tc>
        <w:tc>
          <w:tcPr>
            <w:tcW w:w="3300" w:type="pct"/>
            <w:shd w:val="clear" w:color="auto" w:fill="auto"/>
          </w:tcPr>
          <w:p w14:paraId="687FC580" w14:textId="2089FEB0" w:rsidR="003645A2" w:rsidRPr="003645A2" w:rsidRDefault="003645A2" w:rsidP="00445123">
            <w:pPr>
              <w:pStyle w:val="TableBody"/>
            </w:pPr>
            <w:r w:rsidRPr="003645A2">
              <w:t xml:space="preserve">Greater clarity on the criteria for declaring a system as a system of national significance was included in </w:t>
            </w:r>
            <w:r w:rsidR="004E22B6">
              <w:t>SLACI</w:t>
            </w:r>
            <w:r w:rsidR="00445123">
              <w:t>P</w:t>
            </w:r>
            <w:r w:rsidR="00445BE2">
              <w:t xml:space="preserve"> </w:t>
            </w:r>
            <w:r w:rsidR="00445123">
              <w:t>Act</w:t>
            </w:r>
            <w:r w:rsidRPr="003645A2">
              <w:t>. Additions included specifying that in determining whether an asset is a system of nation</w:t>
            </w:r>
            <w:r w:rsidR="00050A1D">
              <w:t>al</w:t>
            </w:r>
            <w:r w:rsidRPr="003645A2">
              <w:t xml:space="preserve"> significance, the Minister must have regard to the consequences that would arise for the social or economic stability of Australia or its people; or the defence of Australia; or national security if a hazard were to occur that had a significant relevant impact on the asset. </w:t>
            </w:r>
          </w:p>
        </w:tc>
      </w:tr>
      <w:tr w:rsidR="003645A2" w:rsidRPr="003645A2" w14:paraId="0DDBF678" w14:textId="77777777" w:rsidTr="00A174CE">
        <w:tc>
          <w:tcPr>
            <w:tcW w:w="1700" w:type="pct"/>
          </w:tcPr>
          <w:p w14:paraId="183B7065" w14:textId="77777777" w:rsidR="003645A2" w:rsidRPr="000F20CF" w:rsidRDefault="003645A2" w:rsidP="00F263F4">
            <w:pPr>
              <w:pStyle w:val="TableBody"/>
            </w:pPr>
            <w:r w:rsidRPr="009807CA">
              <w:t>Timeframes for reporting cyber security incidents as part of the notification of cyber security incidents obligation are too short.</w:t>
            </w:r>
          </w:p>
        </w:tc>
        <w:tc>
          <w:tcPr>
            <w:tcW w:w="3300" w:type="pct"/>
            <w:shd w:val="clear" w:color="auto" w:fill="auto"/>
          </w:tcPr>
          <w:p w14:paraId="3B53832C" w14:textId="77777777" w:rsidR="003645A2" w:rsidRPr="003645A2" w:rsidRDefault="003645A2" w:rsidP="00A174CE">
            <w:pPr>
              <w:pStyle w:val="TableBody"/>
            </w:pPr>
            <w:r w:rsidRPr="003645A2">
              <w:t xml:space="preserve">Reporting timeframes for cyber security incidents were extended from 24 hours to 72 hours for some types of cyber security incidents. </w:t>
            </w:r>
          </w:p>
        </w:tc>
      </w:tr>
    </w:tbl>
    <w:p w14:paraId="4A8B1802" w14:textId="3C2D0F1B" w:rsidR="003645A2" w:rsidRPr="003645A2" w:rsidRDefault="003645A2" w:rsidP="00F4406B">
      <w:pPr>
        <w:pStyle w:val="BodyText"/>
      </w:pPr>
      <w:r w:rsidRPr="003645A2">
        <w:t xml:space="preserve">Feedback received on the </w:t>
      </w:r>
      <w:r w:rsidR="00D171CC">
        <w:t xml:space="preserve">original </w:t>
      </w:r>
      <w:r w:rsidR="00D57BBC">
        <w:t>SLACI</w:t>
      </w:r>
      <w:r w:rsidR="00D57BBC" w:rsidRPr="003645A2">
        <w:t xml:space="preserve"> </w:t>
      </w:r>
      <w:r w:rsidRPr="003645A2">
        <w:t xml:space="preserve">exposure draft </w:t>
      </w:r>
      <w:r w:rsidR="000C5D31">
        <w:t>of</w:t>
      </w:r>
      <w:r w:rsidRPr="003645A2">
        <w:t xml:space="preserve"> </w:t>
      </w:r>
      <w:r w:rsidR="000C5D31">
        <w:t>the Bill</w:t>
      </w:r>
      <w:r w:rsidR="006D7EB6">
        <w:t xml:space="preserve"> </w:t>
      </w:r>
      <w:r w:rsidRPr="003645A2">
        <w:t xml:space="preserve">remained consistent with that received on the consultation paper, with broad in-principle support for the uplift to the security and resilience of critical infrastructure and </w:t>
      </w:r>
      <w:r w:rsidR="004E22B6">
        <w:t xml:space="preserve">the </w:t>
      </w:r>
      <w:r w:rsidRPr="003645A2">
        <w:t>need to enhance Government’s security-focused relationship with industry. Further</w:t>
      </w:r>
      <w:r w:rsidR="004E22B6">
        <w:t>,</w:t>
      </w:r>
      <w:r w:rsidRPr="003645A2">
        <w:t xml:space="preserve"> information on other suggestions made by stakeholders in response to the exposure draft </w:t>
      </w:r>
      <w:r w:rsidR="004E22B6">
        <w:t>for SLACI</w:t>
      </w:r>
      <w:r w:rsidR="00445BE2">
        <w:t xml:space="preserve"> Bill</w:t>
      </w:r>
      <w:r w:rsidRPr="003645A2">
        <w:t xml:space="preserve">, and how the Government responded to these, is available in the 2020 RIS. </w:t>
      </w:r>
    </w:p>
    <w:p w14:paraId="5524EA54" w14:textId="5B9766A4" w:rsidR="008A7B84" w:rsidRDefault="000C5D31" w:rsidP="00F4406B">
      <w:pPr>
        <w:pStyle w:val="BodyText"/>
      </w:pPr>
      <w:r>
        <w:t xml:space="preserve">The </w:t>
      </w:r>
      <w:r w:rsidR="00D171CC">
        <w:t>SLACI</w:t>
      </w:r>
      <w:r w:rsidR="003645A2" w:rsidRPr="003645A2">
        <w:t xml:space="preserve"> </w:t>
      </w:r>
      <w:r w:rsidR="000D2052">
        <w:t xml:space="preserve">Bill </w:t>
      </w:r>
      <w:r w:rsidR="003645A2" w:rsidRPr="003645A2">
        <w:t xml:space="preserve">was </w:t>
      </w:r>
      <w:r w:rsidR="00D57BBC">
        <w:t>then</w:t>
      </w:r>
      <w:r w:rsidR="003645A2" w:rsidRPr="003645A2">
        <w:t xml:space="preserve"> introduced to Parliament on 10 December 2020.</w:t>
      </w:r>
    </w:p>
    <w:p w14:paraId="043E7E0C" w14:textId="1B91190B" w:rsidR="003645A2" w:rsidRPr="00C768BC" w:rsidRDefault="003645A2" w:rsidP="00F4406B">
      <w:pPr>
        <w:pStyle w:val="Heading4"/>
      </w:pPr>
      <w:r w:rsidRPr="00C768BC">
        <w:t>Consultation: G</w:t>
      </w:r>
      <w:r w:rsidR="002243BC">
        <w:t>eneral</w:t>
      </w:r>
      <w:r w:rsidRPr="00C768BC">
        <w:t xml:space="preserve"> rules </w:t>
      </w:r>
    </w:p>
    <w:p w14:paraId="6C764A8E" w14:textId="7F3FC358" w:rsidR="003645A2" w:rsidRPr="003645A2" w:rsidRDefault="003645A2" w:rsidP="00F4406B">
      <w:pPr>
        <w:pStyle w:val="BodyText"/>
      </w:pPr>
      <w:r w:rsidRPr="003645A2">
        <w:t xml:space="preserve">Following </w:t>
      </w:r>
      <w:r w:rsidR="004E22B6">
        <w:t>the</w:t>
      </w:r>
      <w:r w:rsidR="006D7EB6">
        <w:t xml:space="preserve"> </w:t>
      </w:r>
      <w:r w:rsidRPr="003645A2">
        <w:t xml:space="preserve">introduction </w:t>
      </w:r>
      <w:r w:rsidR="004E22B6">
        <w:t xml:space="preserve">of </w:t>
      </w:r>
      <w:r w:rsidR="00190498">
        <w:t>the</w:t>
      </w:r>
      <w:r w:rsidR="004E22B6">
        <w:t xml:space="preserve"> SLACI</w:t>
      </w:r>
      <w:r w:rsidRPr="003645A2">
        <w:t xml:space="preserve"> </w:t>
      </w:r>
      <w:r w:rsidR="00445BE2">
        <w:t xml:space="preserve">Bill </w:t>
      </w:r>
      <w:r w:rsidRPr="003645A2">
        <w:t xml:space="preserve">to Parliament, engagement with industry continued. The Department commenced its industry </w:t>
      </w:r>
      <w:r w:rsidR="00EA321B">
        <w:t>consultation</w:t>
      </w:r>
      <w:r w:rsidRPr="003645A2">
        <w:t xml:space="preserve"> process in March 2021, with the development of sector-agnostic </w:t>
      </w:r>
      <w:r w:rsidR="002243BC">
        <w:t>general</w:t>
      </w:r>
      <w:r w:rsidRPr="003645A2">
        <w:t xml:space="preserve"> rules. Given the sector-agnostic design of the </w:t>
      </w:r>
      <w:r w:rsidR="006D196E">
        <w:t>general</w:t>
      </w:r>
      <w:r w:rsidRPr="003645A2">
        <w:t xml:space="preserve"> rules, consultation did not occur on a sector-specific basis.</w:t>
      </w:r>
      <w:r w:rsidR="00A35754">
        <w:t xml:space="preserve"> As stated earlier, at the time of consultation, these were referred to as governance rules.</w:t>
      </w:r>
    </w:p>
    <w:p w14:paraId="11170C45" w14:textId="77777777" w:rsidR="003645A2" w:rsidRPr="003645A2" w:rsidRDefault="003645A2" w:rsidP="00F4406B">
      <w:pPr>
        <w:pStyle w:val="BodyText"/>
      </w:pPr>
      <w:r w:rsidRPr="003645A2">
        <w:t xml:space="preserve">Consultation occurred in three key stages: </w:t>
      </w:r>
    </w:p>
    <w:p w14:paraId="3C3E6F16" w14:textId="4C360E83" w:rsidR="003645A2" w:rsidRPr="003645A2" w:rsidRDefault="003645A2" w:rsidP="005F1AF8">
      <w:pPr>
        <w:numPr>
          <w:ilvl w:val="0"/>
          <w:numId w:val="37"/>
        </w:numPr>
        <w:spacing w:after="160" w:line="259" w:lineRule="auto"/>
        <w:ind w:left="357" w:hanging="357"/>
        <w:rPr>
          <w:rFonts w:ascii="Arial" w:eastAsia="Calibri" w:hAnsi="Arial" w:cs="Arial"/>
          <w:sz w:val="22"/>
        </w:rPr>
      </w:pPr>
      <w:r w:rsidRPr="003645A2">
        <w:rPr>
          <w:rFonts w:ascii="Arial" w:eastAsia="Calibri" w:hAnsi="Arial" w:cs="Arial"/>
          <w:b/>
          <w:bCs/>
          <w:sz w:val="22"/>
        </w:rPr>
        <w:t xml:space="preserve">Two virtual town halls, </w:t>
      </w:r>
      <w:r w:rsidRPr="003645A2">
        <w:rPr>
          <w:rFonts w:ascii="Arial" w:eastAsia="Calibri" w:hAnsi="Arial" w:cs="Arial"/>
          <w:sz w:val="22"/>
        </w:rPr>
        <w:t xml:space="preserve">held on 2 and 4 March 2021 and attended by approximately 850 participants, introduced the idea of the </w:t>
      </w:r>
      <w:r w:rsidR="006D196E">
        <w:rPr>
          <w:rFonts w:ascii="Arial" w:eastAsia="Calibri" w:hAnsi="Arial" w:cs="Arial"/>
          <w:sz w:val="22"/>
        </w:rPr>
        <w:t>general</w:t>
      </w:r>
      <w:r w:rsidRPr="003645A2">
        <w:rPr>
          <w:rFonts w:ascii="Arial" w:eastAsia="Calibri" w:hAnsi="Arial" w:cs="Arial"/>
          <w:sz w:val="22"/>
        </w:rPr>
        <w:t xml:space="preserve"> rules. The town halls aimed to provide industry with a greater understanding of what they will need to consider in the development of their </w:t>
      </w:r>
      <w:r w:rsidR="00BB0179">
        <w:rPr>
          <w:rFonts w:ascii="Arial" w:eastAsia="Calibri" w:hAnsi="Arial" w:cs="Arial"/>
          <w:sz w:val="22"/>
        </w:rPr>
        <w:t>RMP</w:t>
      </w:r>
      <w:r w:rsidRPr="003645A2">
        <w:rPr>
          <w:rFonts w:ascii="Arial" w:eastAsia="Calibri" w:hAnsi="Arial" w:cs="Arial"/>
          <w:sz w:val="22"/>
        </w:rPr>
        <w:t xml:space="preserve">. </w:t>
      </w:r>
    </w:p>
    <w:p w14:paraId="4238656D" w14:textId="23EE19F9" w:rsidR="003645A2" w:rsidRPr="003645A2" w:rsidRDefault="003645A2" w:rsidP="005F1AF8">
      <w:pPr>
        <w:numPr>
          <w:ilvl w:val="0"/>
          <w:numId w:val="37"/>
        </w:numPr>
        <w:spacing w:after="160" w:line="259" w:lineRule="auto"/>
        <w:ind w:left="357" w:hanging="357"/>
        <w:rPr>
          <w:rFonts w:ascii="Arial" w:eastAsia="Calibri" w:hAnsi="Arial" w:cs="Arial"/>
          <w:sz w:val="22"/>
        </w:rPr>
      </w:pPr>
      <w:r w:rsidRPr="003645A2">
        <w:rPr>
          <w:rFonts w:ascii="Arial" w:eastAsia="Calibri" w:hAnsi="Arial" w:cs="Arial"/>
          <w:b/>
          <w:bCs/>
          <w:sz w:val="22"/>
        </w:rPr>
        <w:t>Through a series of seven workshops</w:t>
      </w:r>
      <w:r w:rsidRPr="003645A2">
        <w:rPr>
          <w:rFonts w:ascii="Arial" w:eastAsia="Calibri" w:hAnsi="Arial" w:cs="Arial"/>
          <w:sz w:val="22"/>
        </w:rPr>
        <w:t>, held over a two-week period from 8 March 2021, Government and industry worked collaboratively to agree on key areas that should be codified through rules including context identification processes, siloes</w:t>
      </w:r>
      <w:r w:rsidR="004E22B6">
        <w:rPr>
          <w:rFonts w:ascii="Arial" w:eastAsia="Calibri" w:hAnsi="Arial" w:cs="Arial"/>
          <w:sz w:val="22"/>
        </w:rPr>
        <w:t>,</w:t>
      </w:r>
      <w:r w:rsidRPr="003645A2">
        <w:rPr>
          <w:rFonts w:ascii="Arial" w:eastAsia="Calibri" w:hAnsi="Arial" w:cs="Arial"/>
          <w:sz w:val="22"/>
        </w:rPr>
        <w:t xml:space="preserve"> and accountability and risk methodology and reviews. Over 500 industry and government stakeholders attended the workshop series. </w:t>
      </w:r>
    </w:p>
    <w:p w14:paraId="0897D68D" w14:textId="77777777" w:rsidR="003645A2" w:rsidRPr="003645A2" w:rsidRDefault="003645A2" w:rsidP="005F1AF8">
      <w:pPr>
        <w:numPr>
          <w:ilvl w:val="0"/>
          <w:numId w:val="37"/>
        </w:numPr>
        <w:spacing w:after="160" w:line="259" w:lineRule="auto"/>
        <w:ind w:left="357" w:hanging="357"/>
        <w:rPr>
          <w:rFonts w:ascii="Arial" w:eastAsia="Calibri" w:hAnsi="Arial" w:cs="Arial"/>
          <w:sz w:val="22"/>
        </w:rPr>
      </w:pPr>
      <w:r w:rsidRPr="003645A2">
        <w:rPr>
          <w:rFonts w:ascii="Arial" w:eastAsia="Calibri" w:hAnsi="Arial" w:cs="Arial"/>
          <w:b/>
          <w:bCs/>
          <w:sz w:val="22"/>
        </w:rPr>
        <w:t>Two concluding town halls</w:t>
      </w:r>
      <w:r w:rsidRPr="003645A2">
        <w:rPr>
          <w:rFonts w:ascii="Arial" w:eastAsia="Calibri" w:hAnsi="Arial" w:cs="Arial"/>
          <w:sz w:val="22"/>
        </w:rPr>
        <w:t xml:space="preserve"> were conducted on 29 and 30 March 2021 to present and finalise the outcomes of the co-design process.</w:t>
      </w:r>
      <w:r w:rsidRPr="003645A2">
        <w:rPr>
          <w:rFonts w:ascii="Arial" w:eastAsia="Calibri" w:hAnsi="Arial" w:cs="Arial"/>
          <w:sz w:val="22"/>
          <w:vertAlign w:val="superscript"/>
        </w:rPr>
        <w:footnoteReference w:id="57"/>
      </w:r>
    </w:p>
    <w:p w14:paraId="440E8B6E" w14:textId="184152AD" w:rsidR="003645A2" w:rsidRPr="003645A2" w:rsidRDefault="003645A2" w:rsidP="00F4406B">
      <w:pPr>
        <w:pStyle w:val="BodyText"/>
        <w:rPr>
          <w:i/>
          <w:iCs/>
          <w:color w:val="44546A"/>
          <w:sz w:val="18"/>
          <w:szCs w:val="18"/>
        </w:rPr>
      </w:pPr>
      <w:r w:rsidRPr="003645A2">
        <w:lastRenderedPageBreak/>
        <w:fldChar w:fldCharType="begin"/>
      </w:r>
      <w:r w:rsidRPr="003645A2">
        <w:instrText xml:space="preserve"> REF _Ref78469573 \h  \* MERGEFORMAT </w:instrText>
      </w:r>
      <w:r w:rsidRPr="003645A2">
        <w:fldChar w:fldCharType="separate"/>
      </w:r>
      <w:r w:rsidR="009708D4" w:rsidRPr="009708D4">
        <w:t xml:space="preserve">Table </w:t>
      </w:r>
      <w:r w:rsidR="009708D4" w:rsidRPr="009708D4">
        <w:rPr>
          <w:noProof/>
        </w:rPr>
        <w:t>20</w:t>
      </w:r>
      <w:r w:rsidRPr="003645A2">
        <w:fldChar w:fldCharType="end"/>
      </w:r>
      <w:r w:rsidRPr="003645A2">
        <w:t xml:space="preserve"> below </w:t>
      </w:r>
      <w:r w:rsidR="004E22B6">
        <w:t>details the</w:t>
      </w:r>
      <w:r w:rsidR="004E22B6" w:rsidRPr="003645A2">
        <w:t xml:space="preserve"> </w:t>
      </w:r>
      <w:r w:rsidRPr="003645A2">
        <w:t xml:space="preserve">discussion on key themes which emerged during industry co-design of </w:t>
      </w:r>
      <w:r w:rsidR="00A35754">
        <w:t>general</w:t>
      </w:r>
      <w:r w:rsidR="00A35754" w:rsidRPr="003645A2">
        <w:t xml:space="preserve"> </w:t>
      </w:r>
      <w:r w:rsidRPr="003645A2">
        <w:t>rules</w:t>
      </w:r>
      <w:r w:rsidR="004E22B6">
        <w:t>:</w:t>
      </w:r>
      <w:r w:rsidRPr="003645A2">
        <w:t xml:space="preserve"> </w:t>
      </w:r>
    </w:p>
    <w:p w14:paraId="7D07DB3E" w14:textId="04BA078F" w:rsidR="003645A2" w:rsidRPr="003645A2" w:rsidRDefault="003645A2" w:rsidP="00F4406B">
      <w:pPr>
        <w:pStyle w:val="Caption"/>
      </w:pPr>
      <w:bookmarkStart w:id="315" w:name="_Ref78469573"/>
      <w:bookmarkStart w:id="316" w:name="_Toc78878028"/>
      <w:bookmarkStart w:id="317" w:name="_Toc79156704"/>
      <w:bookmarkStart w:id="318" w:name="_Toc120115105"/>
      <w:r w:rsidRPr="003645A2">
        <w:rPr>
          <w:b/>
        </w:rPr>
        <w:t xml:space="preserve">Table </w:t>
      </w:r>
      <w:r w:rsidRPr="003645A2">
        <w:rPr>
          <w:b/>
        </w:rPr>
        <w:fldChar w:fldCharType="begin"/>
      </w:r>
      <w:r w:rsidRPr="003645A2">
        <w:rPr>
          <w:b/>
        </w:rPr>
        <w:instrText xml:space="preserve"> SEQ Table \* ARABIC </w:instrText>
      </w:r>
      <w:r w:rsidRPr="003645A2">
        <w:rPr>
          <w:b/>
        </w:rPr>
        <w:fldChar w:fldCharType="separate"/>
      </w:r>
      <w:r w:rsidR="009708D4">
        <w:rPr>
          <w:b/>
          <w:noProof/>
        </w:rPr>
        <w:t>20</w:t>
      </w:r>
      <w:r w:rsidRPr="003645A2">
        <w:rPr>
          <w:b/>
        </w:rPr>
        <w:fldChar w:fldCharType="end"/>
      </w:r>
      <w:bookmarkEnd w:id="315"/>
      <w:r>
        <w:rPr>
          <w:b/>
        </w:rPr>
        <w:t xml:space="preserve"> </w:t>
      </w:r>
      <w:r w:rsidRPr="003645A2">
        <w:t xml:space="preserve">Key themes from </w:t>
      </w:r>
      <w:r w:rsidR="00A35754">
        <w:t>general</w:t>
      </w:r>
      <w:r w:rsidR="00A35754" w:rsidRPr="003645A2">
        <w:t xml:space="preserve"> </w:t>
      </w:r>
      <w:r w:rsidRPr="003645A2">
        <w:t>rule consultation</w:t>
      </w:r>
      <w:bookmarkEnd w:id="316"/>
      <w:bookmarkEnd w:id="317"/>
      <w:bookmarkEnd w:id="318"/>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550"/>
        <w:gridCol w:w="4354"/>
        <w:gridCol w:w="3734"/>
      </w:tblGrid>
      <w:tr w:rsidR="003645A2" w:rsidRPr="003645A2" w14:paraId="4C7FDECB" w14:textId="77777777" w:rsidTr="00A174CE">
        <w:trPr>
          <w:trHeight w:val="277"/>
        </w:trPr>
        <w:tc>
          <w:tcPr>
            <w:tcW w:w="804" w:type="pct"/>
            <w:shd w:val="clear" w:color="auto" w:fill="034EA2" w:themeFill="accent1"/>
          </w:tcPr>
          <w:p w14:paraId="3172C306" w14:textId="77777777" w:rsidR="003645A2" w:rsidRPr="003645A2" w:rsidRDefault="003645A2" w:rsidP="00A174CE">
            <w:pPr>
              <w:pStyle w:val="TableHeading"/>
            </w:pPr>
            <w:r w:rsidRPr="003645A2">
              <w:t>Rule category</w:t>
            </w:r>
          </w:p>
        </w:tc>
        <w:tc>
          <w:tcPr>
            <w:tcW w:w="2259" w:type="pct"/>
            <w:shd w:val="clear" w:color="auto" w:fill="034EA2" w:themeFill="accent1"/>
          </w:tcPr>
          <w:p w14:paraId="1AB08D6E" w14:textId="77777777" w:rsidR="003645A2" w:rsidRPr="003645A2" w:rsidRDefault="003645A2" w:rsidP="00A174CE">
            <w:pPr>
              <w:pStyle w:val="TableHeading"/>
            </w:pPr>
            <w:r w:rsidRPr="003645A2">
              <w:t>Identified themes</w:t>
            </w:r>
          </w:p>
        </w:tc>
        <w:tc>
          <w:tcPr>
            <w:tcW w:w="1937" w:type="pct"/>
            <w:shd w:val="clear" w:color="auto" w:fill="034EA2" w:themeFill="accent1"/>
          </w:tcPr>
          <w:p w14:paraId="022E7D0C" w14:textId="77777777" w:rsidR="003645A2" w:rsidRPr="003645A2" w:rsidRDefault="003645A2" w:rsidP="00A174CE">
            <w:pPr>
              <w:pStyle w:val="TableHeading"/>
            </w:pPr>
            <w:r w:rsidRPr="003645A2">
              <w:t>Impact on development of rules</w:t>
            </w:r>
          </w:p>
        </w:tc>
      </w:tr>
      <w:tr w:rsidR="003645A2" w:rsidRPr="003645A2" w14:paraId="2DBC68E8" w14:textId="77777777" w:rsidTr="00A174CE">
        <w:trPr>
          <w:trHeight w:val="1138"/>
        </w:trPr>
        <w:tc>
          <w:tcPr>
            <w:tcW w:w="804" w:type="pct"/>
          </w:tcPr>
          <w:p w14:paraId="6092FCBF" w14:textId="663FCCF7" w:rsidR="003645A2" w:rsidRPr="003645A2" w:rsidRDefault="00A35754" w:rsidP="00A174CE">
            <w:pPr>
              <w:pStyle w:val="TableBody"/>
            </w:pPr>
            <w:r>
              <w:t>General</w:t>
            </w:r>
            <w:r w:rsidRPr="003645A2">
              <w:t xml:space="preserve"> </w:t>
            </w:r>
            <w:r w:rsidR="003645A2" w:rsidRPr="003645A2">
              <w:t>rules</w:t>
            </w:r>
          </w:p>
        </w:tc>
        <w:tc>
          <w:tcPr>
            <w:tcW w:w="2259" w:type="pct"/>
            <w:shd w:val="clear" w:color="auto" w:fill="auto"/>
          </w:tcPr>
          <w:p w14:paraId="01F7048E" w14:textId="77777777" w:rsidR="003645A2" w:rsidRPr="003645A2" w:rsidRDefault="003645A2" w:rsidP="00A174CE">
            <w:pPr>
              <w:pStyle w:val="TableBullet"/>
              <w:rPr>
                <w:rFonts w:eastAsia="Calibri"/>
              </w:rPr>
            </w:pPr>
            <w:r w:rsidRPr="003645A2">
              <w:rPr>
                <w:rFonts w:eastAsia="Calibri"/>
              </w:rPr>
              <w:t xml:space="preserve">Industry suggested their </w:t>
            </w:r>
            <w:r w:rsidRPr="003645A2">
              <w:rPr>
                <w:rFonts w:eastAsia="Calibri"/>
                <w:b/>
              </w:rPr>
              <w:t xml:space="preserve">current business practices broadly achieve the objectives of the proposed </w:t>
            </w:r>
            <w:r w:rsidR="00BB0179">
              <w:rPr>
                <w:rFonts w:eastAsia="Calibri"/>
                <w:b/>
              </w:rPr>
              <w:t>RMP</w:t>
            </w:r>
            <w:r w:rsidRPr="003645A2">
              <w:rPr>
                <w:rFonts w:eastAsia="Calibri"/>
              </w:rPr>
              <w:t>. Participants advised they had already implemented risk management plans either for business continuity purposes or as a requirement of existing regulation.</w:t>
            </w:r>
          </w:p>
          <w:p w14:paraId="7C7674E7" w14:textId="77777777" w:rsidR="003645A2" w:rsidRPr="003645A2" w:rsidRDefault="003645A2" w:rsidP="00A174CE">
            <w:pPr>
              <w:pStyle w:val="TableBullet"/>
              <w:rPr>
                <w:rFonts w:eastAsia="Calibri"/>
              </w:rPr>
            </w:pPr>
            <w:r w:rsidRPr="003645A2">
              <w:rPr>
                <w:rFonts w:eastAsia="Calibri"/>
              </w:rPr>
              <w:t xml:space="preserve">Industry participants expressed concern with apparent overlap of </w:t>
            </w:r>
            <w:r w:rsidR="00BB0179">
              <w:rPr>
                <w:rFonts w:eastAsia="Calibri"/>
              </w:rPr>
              <w:t>RMP</w:t>
            </w:r>
            <w:r w:rsidRPr="003645A2">
              <w:rPr>
                <w:rFonts w:eastAsia="Calibri"/>
              </w:rPr>
              <w:t xml:space="preserve"> requirements and existing regulation</w:t>
            </w:r>
            <w:r w:rsidR="00EA321B">
              <w:rPr>
                <w:rFonts w:eastAsia="Calibri"/>
              </w:rPr>
              <w:t>.</w:t>
            </w:r>
          </w:p>
          <w:p w14:paraId="676FC066" w14:textId="38A7033C" w:rsidR="003645A2" w:rsidRPr="003645A2" w:rsidRDefault="003645A2" w:rsidP="00A174CE">
            <w:pPr>
              <w:pStyle w:val="TableBullet"/>
              <w:rPr>
                <w:rFonts w:eastAsia="Calibri"/>
              </w:rPr>
            </w:pPr>
            <w:r w:rsidRPr="003645A2">
              <w:rPr>
                <w:rFonts w:eastAsia="Calibri"/>
              </w:rPr>
              <w:t xml:space="preserve">There was general agreement among industry that </w:t>
            </w:r>
            <w:r w:rsidR="00C26CF1">
              <w:rPr>
                <w:rFonts w:eastAsia="Calibri"/>
                <w:b/>
              </w:rPr>
              <w:t>general</w:t>
            </w:r>
            <w:r w:rsidR="00C26CF1" w:rsidRPr="003645A2">
              <w:rPr>
                <w:rFonts w:eastAsia="Calibri"/>
                <w:b/>
              </w:rPr>
              <w:t xml:space="preserve"> </w:t>
            </w:r>
            <w:r w:rsidRPr="003645A2">
              <w:rPr>
                <w:rFonts w:eastAsia="Calibri"/>
                <w:b/>
              </w:rPr>
              <w:t>rules must not be overly prescriptive</w:t>
            </w:r>
            <w:r w:rsidRPr="003645A2">
              <w:rPr>
                <w:rFonts w:eastAsia="Calibri"/>
              </w:rPr>
              <w:t>. Participants advised that each industry sector manages risks in a unique way. Broadly applied prescriptive rules may disrupt industry’s ability to respond to unique challenges. By following a more principles-based approach, each business could continue to manage their own risks in the way that works best for its context.</w:t>
            </w:r>
          </w:p>
        </w:tc>
        <w:tc>
          <w:tcPr>
            <w:tcW w:w="1937" w:type="pct"/>
            <w:shd w:val="clear" w:color="auto" w:fill="auto"/>
          </w:tcPr>
          <w:p w14:paraId="4534EAFC" w14:textId="7A33F706" w:rsidR="003645A2" w:rsidRPr="003645A2" w:rsidRDefault="003645A2" w:rsidP="00A174CE">
            <w:pPr>
              <w:pStyle w:val="TableBody"/>
            </w:pPr>
            <w:r w:rsidRPr="003645A2">
              <w:t xml:space="preserve">In response to feedback received during consultation for </w:t>
            </w:r>
            <w:r w:rsidR="008F1458">
              <w:t>general</w:t>
            </w:r>
            <w:r w:rsidR="008F1458" w:rsidRPr="003645A2">
              <w:t xml:space="preserve"> </w:t>
            </w:r>
            <w:r w:rsidRPr="003645A2">
              <w:t xml:space="preserve">rules, the Department committed to: </w:t>
            </w:r>
          </w:p>
          <w:p w14:paraId="1A27AEE6" w14:textId="77777777" w:rsidR="003645A2" w:rsidRPr="003645A2" w:rsidRDefault="003645A2" w:rsidP="00A174CE">
            <w:pPr>
              <w:pStyle w:val="TableBullet"/>
              <w:rPr>
                <w:rFonts w:eastAsia="Calibri"/>
              </w:rPr>
            </w:pPr>
            <w:r w:rsidRPr="003645A2">
              <w:rPr>
                <w:rFonts w:eastAsia="Calibri"/>
              </w:rPr>
              <w:t>ensuring that minimising regulatory duplication remains a top priority;</w:t>
            </w:r>
          </w:p>
          <w:p w14:paraId="7F6D6FDD" w14:textId="5C2AA676" w:rsidR="003645A2" w:rsidRPr="003645A2" w:rsidRDefault="003645A2" w:rsidP="00A174CE">
            <w:pPr>
              <w:pStyle w:val="TableBullet"/>
              <w:rPr>
                <w:rFonts w:eastAsia="Calibri"/>
              </w:rPr>
            </w:pPr>
            <w:r w:rsidRPr="003645A2">
              <w:rPr>
                <w:rFonts w:eastAsia="Calibri"/>
              </w:rPr>
              <w:t>striv</w:t>
            </w:r>
            <w:r w:rsidR="00F54206">
              <w:rPr>
                <w:rFonts w:eastAsia="Calibri"/>
              </w:rPr>
              <w:t>ing</w:t>
            </w:r>
            <w:r w:rsidRPr="003645A2">
              <w:rPr>
                <w:rFonts w:eastAsia="Calibri"/>
              </w:rPr>
              <w:t xml:space="preserve"> for clarity whilst avoiding prescriptiveness where appropriate, providing industry with sufficient flexibility to recognise the unique circumstances of their business;</w:t>
            </w:r>
          </w:p>
          <w:p w14:paraId="246967F9" w14:textId="3D596C11" w:rsidR="003645A2" w:rsidRPr="003645A2" w:rsidRDefault="003645A2" w:rsidP="00A174CE">
            <w:pPr>
              <w:pStyle w:val="TableBullet"/>
              <w:rPr>
                <w:rFonts w:eastAsia="Calibri"/>
              </w:rPr>
            </w:pPr>
            <w:r w:rsidRPr="003645A2">
              <w:rPr>
                <w:rFonts w:eastAsia="Calibri"/>
              </w:rPr>
              <w:t>provid</w:t>
            </w:r>
            <w:r w:rsidR="00F54206">
              <w:rPr>
                <w:rFonts w:eastAsia="Calibri"/>
              </w:rPr>
              <w:t>ing</w:t>
            </w:r>
            <w:r w:rsidRPr="003645A2">
              <w:rPr>
                <w:rFonts w:eastAsia="Calibri"/>
              </w:rPr>
              <w:t xml:space="preserve"> guidance material to industry to ensure smooth implementation of the requirements under the Program; and</w:t>
            </w:r>
          </w:p>
          <w:p w14:paraId="7AC68A81" w14:textId="77777777" w:rsidR="003645A2" w:rsidRPr="003645A2" w:rsidRDefault="003645A2" w:rsidP="00A174CE">
            <w:pPr>
              <w:pStyle w:val="TableBullet"/>
              <w:rPr>
                <w:rFonts w:eastAsia="Calibri"/>
              </w:rPr>
            </w:pPr>
            <w:r w:rsidRPr="003645A2">
              <w:rPr>
                <w:rFonts w:eastAsia="Calibri"/>
              </w:rPr>
              <w:t>designing rules so as not to disrupt existing good practices in mature entities, but to uplift practices within less mature entities.</w:t>
            </w:r>
          </w:p>
        </w:tc>
      </w:tr>
    </w:tbl>
    <w:p w14:paraId="30115171" w14:textId="0D1B2F46" w:rsidR="003645A2" w:rsidRPr="003645A2" w:rsidRDefault="003645A2" w:rsidP="00F4406B">
      <w:pPr>
        <w:pStyle w:val="BodyText"/>
      </w:pPr>
      <w:bookmarkStart w:id="319" w:name="_Toc74661604"/>
      <w:bookmarkStart w:id="320" w:name="_Toc74755255"/>
      <w:bookmarkStart w:id="321" w:name="_Toc74756844"/>
      <w:bookmarkStart w:id="322" w:name="_Toc74756967"/>
      <w:bookmarkStart w:id="323" w:name="_Toc74832204"/>
      <w:bookmarkStart w:id="324" w:name="_Toc74841209"/>
      <w:bookmarkStart w:id="325" w:name="_Toc74913989"/>
      <w:bookmarkStart w:id="326" w:name="_Toc76050842"/>
      <w:bookmarkStart w:id="327" w:name="_Toc73609426"/>
      <w:bookmarkStart w:id="328" w:name="_Toc74212055"/>
      <w:bookmarkStart w:id="329" w:name="_Toc74212330"/>
      <w:r w:rsidRPr="003645A2">
        <w:t xml:space="preserve">As demonstrated in </w:t>
      </w:r>
      <w:r w:rsidRPr="009739FE">
        <w:rPr>
          <w:sz w:val="28"/>
        </w:rPr>
        <w:fldChar w:fldCharType="begin"/>
      </w:r>
      <w:r w:rsidRPr="003645A2">
        <w:instrText xml:space="preserve"> REF _Ref78469573 \h  \* MERGEFORMAT </w:instrText>
      </w:r>
      <w:r w:rsidRPr="009739FE">
        <w:rPr>
          <w:sz w:val="28"/>
        </w:rPr>
      </w:r>
      <w:r w:rsidRPr="009739FE">
        <w:rPr>
          <w:sz w:val="28"/>
        </w:rPr>
        <w:fldChar w:fldCharType="separate"/>
      </w:r>
      <w:r w:rsidR="009708D4" w:rsidRPr="009708D4">
        <w:t xml:space="preserve">Table </w:t>
      </w:r>
      <w:r w:rsidR="009708D4" w:rsidRPr="009708D4">
        <w:rPr>
          <w:noProof/>
        </w:rPr>
        <w:t>20</w:t>
      </w:r>
      <w:r w:rsidRPr="009739FE">
        <w:rPr>
          <w:sz w:val="28"/>
        </w:rPr>
        <w:fldChar w:fldCharType="end"/>
      </w:r>
      <w:r w:rsidRPr="009739FE">
        <w:rPr>
          <w:sz w:val="28"/>
        </w:rPr>
        <w:t xml:space="preserve"> </w:t>
      </w:r>
      <w:r w:rsidRPr="003645A2">
        <w:t xml:space="preserve">above, consultation saw industry emphasise the need to leverage existing regulatory frameworks and risk management processes, in order to avoid duplication. A key mechanism for avoiding regulatory duplication is Government’s ability to identify those critical infrastructure assets which are subject to existing obligations comparable to the obligations contained in the </w:t>
      </w:r>
      <w:r w:rsidR="00BB0179">
        <w:t>RMP</w:t>
      </w:r>
      <w:r w:rsidRPr="003645A2">
        <w:t xml:space="preserve"> and</w:t>
      </w:r>
      <w:r w:rsidR="00367BFB">
        <w:t>,</w:t>
      </w:r>
      <w:r w:rsidRPr="003645A2">
        <w:t xml:space="preserve"> therefore, choose not to ‘switch on’ the relevant </w:t>
      </w:r>
      <w:r w:rsidR="00BB0179">
        <w:t>RMP</w:t>
      </w:r>
      <w:r w:rsidRPr="003645A2">
        <w:t xml:space="preserve"> obligations for those assets.</w:t>
      </w:r>
      <w:bookmarkEnd w:id="319"/>
      <w:bookmarkEnd w:id="320"/>
      <w:bookmarkEnd w:id="321"/>
      <w:bookmarkEnd w:id="322"/>
      <w:bookmarkEnd w:id="323"/>
      <w:bookmarkEnd w:id="324"/>
      <w:bookmarkEnd w:id="325"/>
      <w:bookmarkEnd w:id="326"/>
      <w:r w:rsidRPr="003645A2">
        <w:t xml:space="preserve"> </w:t>
      </w:r>
    </w:p>
    <w:p w14:paraId="236E28A1" w14:textId="1923CB61" w:rsidR="003645A2" w:rsidRPr="003645A2" w:rsidRDefault="0016603A" w:rsidP="004C0EFC">
      <w:pPr>
        <w:pStyle w:val="Heading3numbered"/>
      </w:pPr>
      <w:bookmarkStart w:id="330" w:name="_Toc74661605"/>
      <w:bookmarkStart w:id="331" w:name="_Toc74755256"/>
      <w:bookmarkStart w:id="332" w:name="_Toc74756845"/>
      <w:bookmarkStart w:id="333" w:name="_Toc74756968"/>
      <w:bookmarkStart w:id="334" w:name="_Toc74832205"/>
      <w:bookmarkStart w:id="335" w:name="_Toc74841210"/>
      <w:bookmarkStart w:id="336" w:name="_Toc74913990"/>
      <w:bookmarkStart w:id="337" w:name="_Toc76050843"/>
      <w:bookmarkStart w:id="338" w:name="_Toc77755134"/>
      <w:bookmarkStart w:id="339" w:name="_Toc79149658"/>
      <w:r>
        <w:t>RMP rules</w:t>
      </w:r>
      <w:r w:rsidR="003645A2" w:rsidRPr="003645A2">
        <w:t xml:space="preserve"> consultation</w:t>
      </w:r>
      <w:bookmarkEnd w:id="327"/>
      <w:bookmarkEnd w:id="328"/>
      <w:bookmarkEnd w:id="329"/>
      <w:bookmarkEnd w:id="330"/>
      <w:bookmarkEnd w:id="331"/>
      <w:bookmarkEnd w:id="332"/>
      <w:bookmarkEnd w:id="333"/>
      <w:bookmarkEnd w:id="334"/>
      <w:bookmarkEnd w:id="335"/>
      <w:bookmarkEnd w:id="336"/>
      <w:bookmarkEnd w:id="337"/>
      <w:bookmarkEnd w:id="338"/>
      <w:bookmarkEnd w:id="339"/>
      <w:r w:rsidR="003645A2" w:rsidRPr="003645A2">
        <w:t xml:space="preserve"> </w:t>
      </w:r>
    </w:p>
    <w:p w14:paraId="54197464" w14:textId="77777777" w:rsidR="003645A2" w:rsidRPr="003645A2" w:rsidRDefault="003645A2" w:rsidP="00F4406B">
      <w:pPr>
        <w:pStyle w:val="BodyText"/>
      </w:pPr>
      <w:r w:rsidRPr="003645A2">
        <w:t xml:space="preserve">The Department undertook extensive consultation with industry for the design </w:t>
      </w:r>
      <w:r w:rsidR="00202249">
        <w:t>of</w:t>
      </w:r>
      <w:r w:rsidRPr="003645A2">
        <w:t xml:space="preserve"> </w:t>
      </w:r>
      <w:r w:rsidR="0016603A">
        <w:t>RMP rules</w:t>
      </w:r>
      <w:r w:rsidRPr="003645A2">
        <w:t xml:space="preserve">, with the objectives of:  </w:t>
      </w:r>
    </w:p>
    <w:p w14:paraId="6F92FA3D" w14:textId="3698A667" w:rsidR="003645A2" w:rsidRPr="003645A2" w:rsidRDefault="003645A2" w:rsidP="00F4406B">
      <w:pPr>
        <w:pStyle w:val="Bullet1stlevel"/>
      </w:pPr>
      <w:r w:rsidRPr="003645A2">
        <w:t xml:space="preserve">Assessing whether there are existing regulations that meet the </w:t>
      </w:r>
      <w:r w:rsidR="00BB0179">
        <w:t>RMP</w:t>
      </w:r>
      <w:r w:rsidRPr="003645A2">
        <w:t xml:space="preserve"> objectives, to ensure the regulatory burden is reduced where possible; and </w:t>
      </w:r>
    </w:p>
    <w:p w14:paraId="5E48219A" w14:textId="6CE01F7F" w:rsidR="00321D52" w:rsidRDefault="003645A2" w:rsidP="00F4406B">
      <w:pPr>
        <w:pStyle w:val="Bullet1stlevel"/>
      </w:pPr>
      <w:r w:rsidRPr="003645A2">
        <w:t xml:space="preserve">Ensuring there are rules in place that will drive an uplift in the security and resilience of </w:t>
      </w:r>
      <w:r w:rsidR="008056F4">
        <w:t>critical infrastructure assets</w:t>
      </w:r>
      <w:r w:rsidRPr="003645A2">
        <w:t>.</w:t>
      </w:r>
      <w:r w:rsidRPr="003645A2">
        <w:rPr>
          <w:vertAlign w:val="superscript"/>
        </w:rPr>
        <w:footnoteReference w:id="58"/>
      </w:r>
    </w:p>
    <w:p w14:paraId="4AB11B63" w14:textId="77777777" w:rsidR="00F4406B" w:rsidRDefault="00F4406B" w:rsidP="00F4406B">
      <w:pPr>
        <w:pStyle w:val="BodyText"/>
      </w:pPr>
    </w:p>
    <w:p w14:paraId="103DE697" w14:textId="0801A78F" w:rsidR="003645A2" w:rsidRPr="003645A2" w:rsidRDefault="003645A2" w:rsidP="00F4406B">
      <w:pPr>
        <w:pStyle w:val="BodyText"/>
      </w:pPr>
      <w:r w:rsidRPr="003645A2">
        <w:t xml:space="preserve">Consultation with industry stakeholders occurred </w:t>
      </w:r>
      <w:r w:rsidR="00A26D17">
        <w:t>across the following</w:t>
      </w:r>
      <w:r w:rsidRPr="003645A2">
        <w:t xml:space="preserve"> stages: </w:t>
      </w:r>
    </w:p>
    <w:p w14:paraId="31C3F9EF" w14:textId="77777777" w:rsidR="00AF5E73" w:rsidRPr="00936133" w:rsidRDefault="00A27717" w:rsidP="00E06C13">
      <w:pPr>
        <w:pStyle w:val="Bullet1stlevel"/>
      </w:pPr>
      <w:r>
        <w:rPr>
          <w:b/>
          <w:bCs/>
        </w:rPr>
        <w:t>A series of sector</w:t>
      </w:r>
      <w:r w:rsidR="009E2CF4" w:rsidRPr="00966DB0">
        <w:rPr>
          <w:b/>
        </w:rPr>
        <w:t xml:space="preserve">-specific </w:t>
      </w:r>
      <w:r>
        <w:rPr>
          <w:b/>
          <w:bCs/>
        </w:rPr>
        <w:t>workshops</w:t>
      </w:r>
      <w:r w:rsidR="00E229EE">
        <w:rPr>
          <w:b/>
          <w:bCs/>
        </w:rPr>
        <w:t xml:space="preserve"> </w:t>
      </w:r>
      <w:r w:rsidR="006B24DC">
        <w:t>across four asset classes</w:t>
      </w:r>
      <w:r w:rsidR="009E2CF4">
        <w:t xml:space="preserve"> (electricity, gas, </w:t>
      </w:r>
      <w:r w:rsidR="00E436F6">
        <w:t>water,</w:t>
      </w:r>
      <w:r w:rsidR="009E2CF4">
        <w:t xml:space="preserve"> and data), held from April to </w:t>
      </w:r>
      <w:r w:rsidR="00966DB0">
        <w:t>August 2021</w:t>
      </w:r>
      <w:r w:rsidR="00B04C81">
        <w:t xml:space="preserve">. These workshops </w:t>
      </w:r>
      <w:r w:rsidR="00AF5E73" w:rsidRPr="00936133">
        <w:t xml:space="preserve">provided a forum to design </w:t>
      </w:r>
      <w:r w:rsidR="00CB4C64">
        <w:t xml:space="preserve">the </w:t>
      </w:r>
      <w:r w:rsidR="00AF5E73" w:rsidRPr="00936133">
        <w:t xml:space="preserve">RMP Rules and assisted in understanding the costs and benefits associated with implementing the risk management program framework. Workshops were designed to provide: </w:t>
      </w:r>
    </w:p>
    <w:p w14:paraId="46581FD0" w14:textId="77777777" w:rsidR="00AF5E73" w:rsidRPr="00936133" w:rsidRDefault="00AF5E73" w:rsidP="00F4406B">
      <w:pPr>
        <w:pStyle w:val="Bullet2ndlevel"/>
      </w:pPr>
      <w:r w:rsidRPr="00936133">
        <w:t xml:space="preserve">Several opportunities for discussion and feedback to gather industry perspectives; </w:t>
      </w:r>
    </w:p>
    <w:p w14:paraId="3DC94E2C" w14:textId="77777777" w:rsidR="00AF5E73" w:rsidRPr="00936133" w:rsidRDefault="00AF5E73" w:rsidP="00F4406B">
      <w:pPr>
        <w:pStyle w:val="Bullet2ndlevel"/>
      </w:pPr>
      <w:r w:rsidRPr="00936133">
        <w:lastRenderedPageBreak/>
        <w:t xml:space="preserve">Polling, in-session surveys and facilitated discussions; and </w:t>
      </w:r>
    </w:p>
    <w:p w14:paraId="6EC8BF21" w14:textId="77777777" w:rsidR="00EA63D4" w:rsidRDefault="00AF5E73" w:rsidP="00F4406B">
      <w:pPr>
        <w:pStyle w:val="Bullet2ndlevel"/>
      </w:pPr>
      <w:r w:rsidRPr="00936133">
        <w:t xml:space="preserve">‘Break out room’ discussions, to ensure comprehensive discussion occurred across all subsets of industry. </w:t>
      </w:r>
    </w:p>
    <w:p w14:paraId="26594A54" w14:textId="5D74B571" w:rsidR="00891432" w:rsidRPr="00891432" w:rsidRDefault="00CB4C64" w:rsidP="00F4406B">
      <w:pPr>
        <w:pStyle w:val="Bullet2ndlevel"/>
      </w:pPr>
      <w:r w:rsidRPr="00A223DF">
        <w:rPr>
          <w:b/>
          <w:bCs/>
        </w:rPr>
        <w:t xml:space="preserve">Two </w:t>
      </w:r>
      <w:r>
        <w:rPr>
          <w:b/>
          <w:bCs/>
        </w:rPr>
        <w:t xml:space="preserve">sector-specific </w:t>
      </w:r>
      <w:r w:rsidRPr="00A223DF">
        <w:rPr>
          <w:b/>
          <w:bCs/>
        </w:rPr>
        <w:t xml:space="preserve">Information Sessions </w:t>
      </w:r>
      <w:r w:rsidRPr="00A223DF">
        <w:t xml:space="preserve">held in </w:t>
      </w:r>
      <w:r w:rsidR="00F54206">
        <w:t>October</w:t>
      </w:r>
      <w:r w:rsidR="00F54206" w:rsidRPr="00A223DF">
        <w:t xml:space="preserve"> </w:t>
      </w:r>
      <w:r w:rsidRPr="00A223DF">
        <w:t xml:space="preserve">and </w:t>
      </w:r>
      <w:r w:rsidR="00F54206">
        <w:t>November</w:t>
      </w:r>
      <w:r w:rsidR="00F54206" w:rsidRPr="00A223DF">
        <w:t xml:space="preserve"> </w:t>
      </w:r>
      <w:r w:rsidRPr="00A223DF">
        <w:t>202</w:t>
      </w:r>
      <w:r w:rsidR="00FF5DB5">
        <w:t>1</w:t>
      </w:r>
      <w:r>
        <w:t xml:space="preserve"> </w:t>
      </w:r>
      <w:r w:rsidR="00367BFB">
        <w:t xml:space="preserve">for each sector, </w:t>
      </w:r>
      <w:r>
        <w:t xml:space="preserve">across all critical infrastructure </w:t>
      </w:r>
      <w:r w:rsidR="00F54206">
        <w:t>asset classes which would be subject to the RMP obligation</w:t>
      </w:r>
      <w:r w:rsidRPr="00A223DF">
        <w:t xml:space="preserve">. The purpose of the information sessions was to provide an update for industry on the move from sector-specific to sector-agnostic </w:t>
      </w:r>
      <w:r>
        <w:t>RMP rules</w:t>
      </w:r>
      <w:r w:rsidR="00367BFB">
        <w:t>,</w:t>
      </w:r>
      <w:r w:rsidRPr="00A223DF">
        <w:t xml:space="preserve"> and to gain sector-specific feedback on the updated </w:t>
      </w:r>
      <w:r>
        <w:t>RMP rules</w:t>
      </w:r>
      <w:r w:rsidRPr="00A223DF">
        <w:t xml:space="preserve">. </w:t>
      </w:r>
    </w:p>
    <w:p w14:paraId="749062F0" w14:textId="569976C6" w:rsidR="00CB4C64" w:rsidRPr="00A23383" w:rsidRDefault="00AE65BA" w:rsidP="00E06C13">
      <w:pPr>
        <w:pStyle w:val="Bullet1stlevel"/>
      </w:pPr>
      <w:r>
        <w:rPr>
          <w:b/>
          <w:bCs/>
        </w:rPr>
        <w:t>Two</w:t>
      </w:r>
      <w:r w:rsidR="00CB4C64">
        <w:rPr>
          <w:b/>
          <w:bCs/>
        </w:rPr>
        <w:t xml:space="preserve"> industry</w:t>
      </w:r>
      <w:r>
        <w:rPr>
          <w:b/>
          <w:bCs/>
        </w:rPr>
        <w:t>-</w:t>
      </w:r>
      <w:r w:rsidR="00CB4C64">
        <w:rPr>
          <w:b/>
          <w:bCs/>
        </w:rPr>
        <w:t>agnostic Town Hall</w:t>
      </w:r>
      <w:r w:rsidR="00863928">
        <w:rPr>
          <w:b/>
          <w:bCs/>
        </w:rPr>
        <w:t xml:space="preserve">s </w:t>
      </w:r>
      <w:r w:rsidR="008B1E6F">
        <w:t xml:space="preserve">held in October and </w:t>
      </w:r>
      <w:r w:rsidR="00F54206">
        <w:t xml:space="preserve">November </w:t>
      </w:r>
      <w:r w:rsidR="008B1E6F">
        <w:t>202</w:t>
      </w:r>
      <w:r w:rsidR="00A46B5E">
        <w:t>1</w:t>
      </w:r>
      <w:r w:rsidR="0082091E">
        <w:t xml:space="preserve">. </w:t>
      </w:r>
      <w:r w:rsidR="00CB4C64" w:rsidRPr="00A223DF">
        <w:t xml:space="preserve">The purpose of the </w:t>
      </w:r>
      <w:r w:rsidR="00A77543">
        <w:t>first</w:t>
      </w:r>
      <w:r w:rsidR="00CB4C64" w:rsidRPr="00A223DF">
        <w:t xml:space="preserve"> Town Hall was </w:t>
      </w:r>
      <w:r w:rsidR="00A77543" w:rsidRPr="00936133">
        <w:t>to provide an update for industry on the move from sector-specific to sector-agnostic RMP Rule</w:t>
      </w:r>
      <w:r w:rsidR="00EF65B4">
        <w:t xml:space="preserve">s. The purpose of the second Town Hall was to present </w:t>
      </w:r>
      <w:r w:rsidR="00CB4C64" w:rsidRPr="00A223DF">
        <w:t xml:space="preserve">the updated </w:t>
      </w:r>
      <w:r w:rsidR="00CB4C64">
        <w:t>RMP rules</w:t>
      </w:r>
      <w:r w:rsidR="00367BFB">
        <w:t>,</w:t>
      </w:r>
      <w:r w:rsidR="00CB4C64" w:rsidRPr="00A223DF">
        <w:t xml:space="preserve"> and provide information on the further consultation period. The </w:t>
      </w:r>
      <w:r w:rsidR="00EF65B4">
        <w:t>second</w:t>
      </w:r>
      <w:r w:rsidR="00CB4C64" w:rsidRPr="00A223DF">
        <w:t xml:space="preserve"> Town Hall was attended by approximately 800 industry and Government stakeholders across the </w:t>
      </w:r>
      <w:r w:rsidR="00367BFB">
        <w:t>1</w:t>
      </w:r>
      <w:r w:rsidR="001C53CE">
        <w:t>1</w:t>
      </w:r>
      <w:r w:rsidR="00367BFB" w:rsidRPr="00A223DF">
        <w:t xml:space="preserve"> </w:t>
      </w:r>
      <w:r w:rsidR="00CB4C64" w:rsidRPr="00A223DF">
        <w:t>critical infrastructure sectors</w:t>
      </w:r>
      <w:r>
        <w:t xml:space="preserve">. </w:t>
      </w:r>
    </w:p>
    <w:p w14:paraId="623093F0" w14:textId="0D73418B" w:rsidR="003645A2" w:rsidRPr="003645A2" w:rsidRDefault="003645A2" w:rsidP="00E06C13">
      <w:pPr>
        <w:pStyle w:val="Bullet1stlevel"/>
      </w:pPr>
      <w:r w:rsidRPr="003645A2">
        <w:rPr>
          <w:b/>
          <w:bCs/>
        </w:rPr>
        <w:t>Out</w:t>
      </w:r>
      <w:r w:rsidR="00367BFB">
        <w:rPr>
          <w:b/>
          <w:bCs/>
        </w:rPr>
        <w:t>-</w:t>
      </w:r>
      <w:r w:rsidRPr="003645A2">
        <w:rPr>
          <w:b/>
          <w:bCs/>
        </w:rPr>
        <w:t>of</w:t>
      </w:r>
      <w:r w:rsidR="00367BFB">
        <w:rPr>
          <w:b/>
          <w:bCs/>
        </w:rPr>
        <w:t>-</w:t>
      </w:r>
      <w:r w:rsidRPr="003645A2">
        <w:rPr>
          <w:b/>
          <w:bCs/>
        </w:rPr>
        <w:t>session consultation</w:t>
      </w:r>
      <w:r w:rsidRPr="003645A2">
        <w:t xml:space="preserve">, including </w:t>
      </w:r>
      <w:r w:rsidR="00705797" w:rsidRPr="00705797">
        <w:t>meetings with a number of stakeholders and email communication.</w:t>
      </w:r>
      <w:r w:rsidR="00705797">
        <w:rPr>
          <w:color w:val="FF9933"/>
        </w:rPr>
        <w:t xml:space="preserve"> </w:t>
      </w:r>
    </w:p>
    <w:p w14:paraId="7CA836AD" w14:textId="13546836" w:rsidR="003645A2" w:rsidRPr="003645A2" w:rsidRDefault="003645A2" w:rsidP="00E06C13">
      <w:pPr>
        <w:pStyle w:val="Bullet2ndlevel"/>
      </w:pPr>
      <w:r w:rsidRPr="003645A2">
        <w:t>Stakeholders were encouraged to contact the Department out</w:t>
      </w:r>
      <w:r w:rsidR="00367BFB">
        <w:t>-</w:t>
      </w:r>
      <w:r w:rsidRPr="003645A2">
        <w:t>of</w:t>
      </w:r>
      <w:r w:rsidR="00367BFB">
        <w:t>-</w:t>
      </w:r>
      <w:r w:rsidRPr="003645A2">
        <w:t xml:space="preserve">session. The Department availed itself to stakeholders to discuss their concerns, working to ensure stakeholders’ understanding of the rules and the rules’ proportionality. </w:t>
      </w:r>
    </w:p>
    <w:p w14:paraId="5C46788B" w14:textId="1DB112B0" w:rsidR="003645A2" w:rsidRPr="003645A2" w:rsidRDefault="003645A2" w:rsidP="00E06C13">
      <w:pPr>
        <w:pStyle w:val="Bullet2ndlevel"/>
      </w:pPr>
      <w:r w:rsidRPr="003645A2">
        <w:t>Out</w:t>
      </w:r>
      <w:r w:rsidR="00367BFB">
        <w:t>-</w:t>
      </w:r>
      <w:r w:rsidRPr="003645A2">
        <w:t>of</w:t>
      </w:r>
      <w:r w:rsidR="00367BFB">
        <w:t>-</w:t>
      </w:r>
      <w:r w:rsidRPr="003645A2">
        <w:t xml:space="preserve">session engagement also assisted in the iterative development of rules between workshops, through addressing concerns raised by individual stakeholders and proposing a solution. </w:t>
      </w:r>
    </w:p>
    <w:p w14:paraId="168B4357" w14:textId="77777777" w:rsidR="00A223DF" w:rsidRDefault="003645A2" w:rsidP="00E06C13">
      <w:pPr>
        <w:pStyle w:val="Bullet2ndlevel"/>
      </w:pPr>
      <w:r w:rsidRPr="003645A2">
        <w:t>This engagement strengthened the relationship between the Department and industry, while providing insights on implementation costs, entities’ operating environments and the overall impacts of the proposed regulatory changes.</w:t>
      </w:r>
    </w:p>
    <w:p w14:paraId="4D2BE789" w14:textId="2B310F6A" w:rsidR="00DF6DF2" w:rsidRPr="00CE4B35" w:rsidRDefault="00504126" w:rsidP="00CE4B35">
      <w:pPr>
        <w:pStyle w:val="Bullet1stlevel"/>
        <w:numPr>
          <w:ilvl w:val="0"/>
          <w:numId w:val="0"/>
        </w:numPr>
        <w:ind w:left="340"/>
        <w:rPr>
          <w:shd w:val="clear" w:color="auto" w:fill="FFFFFF"/>
        </w:rPr>
      </w:pPr>
      <w:r w:rsidRPr="00E42907">
        <w:rPr>
          <w:b/>
          <w:bCs/>
        </w:rPr>
        <w:t>Mandatory Public Consultation</w:t>
      </w:r>
      <w:r w:rsidRPr="0065403A">
        <w:t>,</w:t>
      </w:r>
      <w:r w:rsidRPr="00E42907">
        <w:rPr>
          <w:b/>
          <w:bCs/>
        </w:rPr>
        <w:t xml:space="preserve"> </w:t>
      </w:r>
      <w:r w:rsidR="0065403A">
        <w:t xml:space="preserve">following the Minister commencing </w:t>
      </w:r>
      <w:r w:rsidR="007B12FD">
        <w:t xml:space="preserve">a 45-day </w:t>
      </w:r>
      <w:r w:rsidR="0065403A">
        <w:t xml:space="preserve">consultation </w:t>
      </w:r>
      <w:r w:rsidR="00685484">
        <w:t xml:space="preserve">period </w:t>
      </w:r>
      <w:r w:rsidR="0065403A">
        <w:t xml:space="preserve">on </w:t>
      </w:r>
      <w:r w:rsidR="00A560BE">
        <w:t>5</w:t>
      </w:r>
      <w:r w:rsidR="0065403A">
        <w:t xml:space="preserve"> October 2022</w:t>
      </w:r>
      <w:r w:rsidR="00685484">
        <w:t xml:space="preserve"> (the mandatory </w:t>
      </w:r>
      <w:r w:rsidR="00A84B89">
        <w:t xml:space="preserve">period is </w:t>
      </w:r>
      <w:r w:rsidR="00685484">
        <w:t>28</w:t>
      </w:r>
      <w:r w:rsidR="00A84B89">
        <w:t xml:space="preserve"> </w:t>
      </w:r>
      <w:r w:rsidR="00685484">
        <w:t>day</w:t>
      </w:r>
      <w:r w:rsidR="00A84B89">
        <w:t>s</w:t>
      </w:r>
      <w:r w:rsidR="00685484">
        <w:t>)</w:t>
      </w:r>
      <w:r w:rsidR="0065403A">
        <w:t xml:space="preserve">. Consultation included </w:t>
      </w:r>
      <w:r>
        <w:t xml:space="preserve">two </w:t>
      </w:r>
      <w:r w:rsidR="00775BCB" w:rsidRPr="00504126">
        <w:t xml:space="preserve">Town </w:t>
      </w:r>
      <w:r w:rsidR="00775BCB" w:rsidRPr="00E42907">
        <w:rPr>
          <w:rFonts w:eastAsia="Calibri"/>
        </w:rPr>
        <w:t>Hall</w:t>
      </w:r>
      <w:r w:rsidR="00775BCB" w:rsidRPr="00504126">
        <w:t xml:space="preserve"> Sessions</w:t>
      </w:r>
      <w:r w:rsidR="00775BCB" w:rsidRPr="00E42907">
        <w:rPr>
          <w:b/>
          <w:bCs/>
        </w:rPr>
        <w:t xml:space="preserve"> </w:t>
      </w:r>
      <w:r w:rsidR="00775BCB">
        <w:t>held on 10 October and 12 October 2022, attended by approximately 550 industry and Government stakeholders (across both sessions). The sessions provided information on the proposed RMP Rules as well as the broader obligation</w:t>
      </w:r>
      <w:r w:rsidR="0091244E">
        <w:t xml:space="preserve"> and supporting guidance material</w:t>
      </w:r>
      <w:r w:rsidR="00775BCB">
        <w:t xml:space="preserve">. </w:t>
      </w:r>
      <w:r w:rsidR="00DF6DF2" w:rsidRPr="00E42907">
        <w:rPr>
          <w:shd w:val="clear" w:color="auto" w:fill="FFFFFF"/>
        </w:rPr>
        <w:t>At the meetings, the CISC provided information on the formal consultation process and the proposed RMP Rules, RMP Guidance, AusCheck background check for critical infrastructure, Protected Information Guidance and RMP Annual Report Submission fo</w:t>
      </w:r>
      <w:r w:rsidR="00DF6DF2" w:rsidRPr="00A25094">
        <w:rPr>
          <w:shd w:val="clear" w:color="auto" w:fill="FFFFFF"/>
        </w:rPr>
        <w:t>rm. Over the course of the 45</w:t>
      </w:r>
      <w:r w:rsidR="0033749C" w:rsidRPr="00A25094">
        <w:rPr>
          <w:shd w:val="clear" w:color="auto" w:fill="FFFFFF"/>
        </w:rPr>
        <w:t>-</w:t>
      </w:r>
      <w:r w:rsidR="00DF6DF2" w:rsidRPr="00A25094">
        <w:rPr>
          <w:shd w:val="clear" w:color="auto" w:fill="FFFFFF"/>
        </w:rPr>
        <w:t>day consultation period the CISC held </w:t>
      </w:r>
      <w:r w:rsidR="00DF6DF2" w:rsidRPr="00A25094">
        <w:rPr>
          <w:rStyle w:val="Strong"/>
          <w:rFonts w:ascii="Arial" w:hAnsi="Arial" w:cs="Arial"/>
          <w:color w:val="333333"/>
          <w:shd w:val="clear" w:color="auto" w:fill="FFFFFF"/>
        </w:rPr>
        <w:t>four Q&amp;A sessions </w:t>
      </w:r>
      <w:r w:rsidR="00DF6DF2" w:rsidRPr="00A25094">
        <w:rPr>
          <w:shd w:val="clear" w:color="auto" w:fill="FFFFFF"/>
        </w:rPr>
        <w:t>to hear the specific issues that industry raised.</w:t>
      </w:r>
    </w:p>
    <w:p w14:paraId="4945B8C5" w14:textId="7065B9C5" w:rsidR="003645A2" w:rsidRPr="00A9746B" w:rsidRDefault="003645A2" w:rsidP="00E06C13">
      <w:pPr>
        <w:pStyle w:val="BodyText"/>
        <w:rPr>
          <w:rFonts w:ascii="Arial" w:eastAsia="Calibri" w:hAnsi="Arial" w:cs="Arial"/>
        </w:rPr>
      </w:pPr>
      <w:r w:rsidRPr="00A9746B">
        <w:t xml:space="preserve">The consultation roadmap on the </w:t>
      </w:r>
      <w:r w:rsidR="0016603A" w:rsidRPr="00A9746B">
        <w:t>RMP rules</w:t>
      </w:r>
      <w:r w:rsidRPr="00A9746B">
        <w:t xml:space="preserve">, pictured in </w:t>
      </w:r>
      <w:r w:rsidR="00A9746B" w:rsidRPr="00A9746B">
        <w:fldChar w:fldCharType="begin"/>
      </w:r>
      <w:r w:rsidR="00A9746B" w:rsidRPr="00A9746B">
        <w:instrText xml:space="preserve"> REF _Ref93506501 \h  \* MERGEFORMAT </w:instrText>
      </w:r>
      <w:r w:rsidR="00A9746B" w:rsidRPr="00A9746B">
        <w:fldChar w:fldCharType="separate"/>
      </w:r>
      <w:r w:rsidR="009708D4" w:rsidRPr="009708D4">
        <w:t>Figure 4</w:t>
      </w:r>
      <w:r w:rsidR="00A9746B" w:rsidRPr="00A9746B">
        <w:fldChar w:fldCharType="end"/>
      </w:r>
      <w:r w:rsidRPr="00A9746B">
        <w:t xml:space="preserve"> below, provides additional insights</w:t>
      </w:r>
      <w:r w:rsidRPr="00A9746B">
        <w:rPr>
          <w:rFonts w:ascii="Arial" w:eastAsia="Calibri" w:hAnsi="Arial" w:cs="Arial"/>
        </w:rPr>
        <w:t xml:space="preserve"> on the topics for discussion at each consultation phase. </w:t>
      </w:r>
    </w:p>
    <w:p w14:paraId="12CE433F" w14:textId="7FD133A0" w:rsidR="003645A2" w:rsidRPr="009807CA" w:rsidRDefault="00E0360B" w:rsidP="00522C67">
      <w:pPr>
        <w:pStyle w:val="Caption"/>
        <w:rPr>
          <w:noProof/>
        </w:rPr>
      </w:pPr>
      <w:bookmarkStart w:id="340" w:name="_Ref93506501"/>
      <w:bookmarkStart w:id="341" w:name="_Toc94519465"/>
      <w:r w:rsidRPr="00522C67">
        <w:rPr>
          <w:b/>
          <w:bCs/>
          <w:lang w:eastAsia="en-US"/>
        </w:rPr>
        <w:lastRenderedPageBreak/>
        <w:t xml:space="preserve">Figure </w:t>
      </w:r>
      <w:r w:rsidRPr="00522C67">
        <w:rPr>
          <w:b/>
          <w:bCs/>
          <w:lang w:eastAsia="en-US"/>
        </w:rPr>
        <w:fldChar w:fldCharType="begin"/>
      </w:r>
      <w:r w:rsidRPr="00522C67">
        <w:rPr>
          <w:b/>
          <w:bCs/>
          <w:lang w:eastAsia="en-US"/>
        </w:rPr>
        <w:instrText xml:space="preserve"> SEQ Figure \* ARABIC </w:instrText>
      </w:r>
      <w:r w:rsidRPr="00522C67">
        <w:rPr>
          <w:b/>
          <w:bCs/>
          <w:lang w:eastAsia="en-US"/>
        </w:rPr>
        <w:fldChar w:fldCharType="separate"/>
      </w:r>
      <w:r w:rsidR="009708D4">
        <w:rPr>
          <w:b/>
          <w:bCs/>
          <w:noProof/>
          <w:lang w:eastAsia="en-US"/>
        </w:rPr>
        <w:t>4</w:t>
      </w:r>
      <w:r w:rsidRPr="00522C67">
        <w:rPr>
          <w:b/>
          <w:bCs/>
          <w:lang w:eastAsia="en-US"/>
        </w:rPr>
        <w:fldChar w:fldCharType="end"/>
      </w:r>
      <w:bookmarkEnd w:id="340"/>
      <w:r>
        <w:rPr>
          <w:lang w:eastAsia="en-US"/>
        </w:rPr>
        <w:t>:</w:t>
      </w:r>
      <w:r w:rsidRPr="000F20CF">
        <w:rPr>
          <w:lang w:eastAsia="en-US"/>
        </w:rPr>
        <w:t xml:space="preserve"> </w:t>
      </w:r>
      <w:r w:rsidRPr="00522C67">
        <w:t>Consultation</w:t>
      </w:r>
      <w:r w:rsidRPr="000F20CF">
        <w:rPr>
          <w:lang w:eastAsia="en-US"/>
        </w:rPr>
        <w:t xml:space="preserve"> roadmap for RMP rules consultation</w:t>
      </w:r>
      <w:bookmarkEnd w:id="341"/>
    </w:p>
    <w:p w14:paraId="0DF68E06" w14:textId="14292EE6" w:rsidR="00007EA8" w:rsidRPr="003645A2" w:rsidRDefault="0076297B" w:rsidP="00E06C13">
      <w:pPr>
        <w:pStyle w:val="BodyText"/>
        <w:rPr>
          <w:rFonts w:ascii="Arial" w:eastAsia="Calibri" w:hAnsi="Arial" w:cs="Arial"/>
        </w:rPr>
      </w:pPr>
      <w:r>
        <w:rPr>
          <w:rFonts w:ascii="Arial" w:eastAsia="Calibri" w:hAnsi="Arial" w:cs="Arial"/>
          <w:noProof/>
          <w:lang w:eastAsia="en-AU"/>
        </w:rPr>
        <w:drawing>
          <wp:inline distT="0" distB="0" distL="0" distR="0" wp14:anchorId="50AA0E3B" wp14:editId="60458564">
            <wp:extent cx="6149340" cy="58674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9340" cy="5867400"/>
                    </a:xfrm>
                    <a:prstGeom prst="rect">
                      <a:avLst/>
                    </a:prstGeom>
                    <a:noFill/>
                  </pic:spPr>
                </pic:pic>
              </a:graphicData>
            </a:graphic>
          </wp:inline>
        </w:drawing>
      </w:r>
    </w:p>
    <w:p w14:paraId="46B33041" w14:textId="77777777" w:rsidR="003645A2" w:rsidRPr="00C768BC" w:rsidRDefault="003645A2" w:rsidP="00E06C13">
      <w:pPr>
        <w:pStyle w:val="Heading4"/>
      </w:pPr>
      <w:r w:rsidRPr="00C768BC">
        <w:t xml:space="preserve">Outcomes and themes from consultation on </w:t>
      </w:r>
      <w:r w:rsidR="0016603A">
        <w:t>RMP rules</w:t>
      </w:r>
    </w:p>
    <w:p w14:paraId="634F10AB" w14:textId="77777777" w:rsidR="00724FAD" w:rsidRPr="00767DC9" w:rsidRDefault="00724FAD" w:rsidP="00E06C13">
      <w:pPr>
        <w:pStyle w:val="BodyText"/>
      </w:pPr>
      <w:bookmarkStart w:id="342" w:name="_Ref78469825"/>
      <w:bookmarkStart w:id="343" w:name="_Toc78878029"/>
      <w:bookmarkStart w:id="344" w:name="_Toc79156705"/>
      <w:r w:rsidRPr="00767DC9">
        <w:t xml:space="preserve">The Department commenced the consultation process with a broad understanding of the business priorities and operational function of the responsible entities and their critical infrastructure asset. </w:t>
      </w:r>
    </w:p>
    <w:p w14:paraId="6B3F4EE7" w14:textId="1728A38C" w:rsidR="00724FAD" w:rsidRPr="00767DC9" w:rsidRDefault="00724FAD" w:rsidP="00E06C13">
      <w:pPr>
        <w:pStyle w:val="BodyText"/>
      </w:pPr>
      <w:r w:rsidRPr="00767DC9">
        <w:t xml:space="preserve">From here, the Department adopted an approach to the RMP rules which developed over the course of the industry consultation period. This approach was to be adaptive and responsive to industry as the subject matter experts in their field, as well as maintaining an awareness of the economic, security and environmental impacts affecting their businesses from the subject matter expertise and understanding of the Department. The Department has always remained strongly aligned to the key objective of uplifting security and resilience of these critical infrastructure </w:t>
      </w:r>
      <w:r w:rsidR="00E0360B" w:rsidRPr="00767DC9">
        <w:t>assets</w:t>
      </w:r>
      <w:r w:rsidR="00367BFB">
        <w:t>,</w:t>
      </w:r>
      <w:r w:rsidR="00E0360B" w:rsidRPr="00767DC9">
        <w:t xml:space="preserve"> and</w:t>
      </w:r>
      <w:r w:rsidRPr="00767DC9">
        <w:t xml:space="preserve"> reiterated the necessity for these reforms due to </w:t>
      </w:r>
      <w:r w:rsidR="00367BFB">
        <w:t>the evolving</w:t>
      </w:r>
      <w:r w:rsidRPr="00767DC9">
        <w:t xml:space="preserve"> risk and threat environment </w:t>
      </w:r>
      <w:r w:rsidR="00367BFB">
        <w:t>that</w:t>
      </w:r>
      <w:r w:rsidRPr="00767DC9">
        <w:t xml:space="preserve"> Australia </w:t>
      </w:r>
      <w:r w:rsidR="00367BFB">
        <w:t xml:space="preserve">continues </w:t>
      </w:r>
      <w:r w:rsidR="00D07EBC">
        <w:t>to face</w:t>
      </w:r>
      <w:r w:rsidRPr="00767DC9">
        <w:t>.</w:t>
      </w:r>
    </w:p>
    <w:p w14:paraId="76C2EB80" w14:textId="1F22DFCB" w:rsidR="00724FAD" w:rsidRPr="00767DC9" w:rsidRDefault="00724FAD" w:rsidP="00E06C13">
      <w:pPr>
        <w:pStyle w:val="BodyText"/>
      </w:pPr>
      <w:r w:rsidRPr="00767DC9">
        <w:t xml:space="preserve">The Department initially began the design process </w:t>
      </w:r>
      <w:r w:rsidR="00367BFB">
        <w:t>for</w:t>
      </w:r>
      <w:r w:rsidR="00367BFB" w:rsidRPr="00767DC9">
        <w:t xml:space="preserve"> </w:t>
      </w:r>
      <w:r w:rsidRPr="00767DC9">
        <w:t>the RMP rules via sector-specific sessions, producing a set of draft rules which could be discussed and altered through in-depth workshops and out</w:t>
      </w:r>
      <w:r w:rsidR="00367BFB">
        <w:t>-</w:t>
      </w:r>
      <w:r w:rsidRPr="00767DC9">
        <w:t>of</w:t>
      </w:r>
      <w:r w:rsidR="00367BFB">
        <w:t>-</w:t>
      </w:r>
      <w:r w:rsidRPr="00767DC9">
        <w:t xml:space="preserve">session engagement. Following detailed consultation with the electricity sector over a </w:t>
      </w:r>
      <w:r w:rsidR="00E0360B" w:rsidRPr="00767DC9">
        <w:t>five-month</w:t>
      </w:r>
      <w:r w:rsidRPr="00767DC9">
        <w:t xml:space="preserve"> period, and in conjunction with </w:t>
      </w:r>
      <w:r>
        <w:t xml:space="preserve">the </w:t>
      </w:r>
      <w:r w:rsidRPr="00767DC9">
        <w:t xml:space="preserve">concurrent consultation with the gas, water, data and </w:t>
      </w:r>
      <w:r w:rsidRPr="00767DC9">
        <w:lastRenderedPageBreak/>
        <w:t xml:space="preserve">payment systems </w:t>
      </w:r>
      <w:r w:rsidR="00F54206">
        <w:t>asset classes</w:t>
      </w:r>
      <w:r>
        <w:t>,</w:t>
      </w:r>
      <w:r w:rsidRPr="00767DC9">
        <w:t xml:space="preserve"> the Department identified significant commonalities across sectors regarding standards and principles, </w:t>
      </w:r>
      <w:r w:rsidR="00C06F83" w:rsidRPr="00767DC9">
        <w:t>timing,</w:t>
      </w:r>
      <w:r w:rsidRPr="00767DC9">
        <w:t xml:space="preserve"> and business impact. </w:t>
      </w:r>
    </w:p>
    <w:p w14:paraId="2ED189CF" w14:textId="561EB996" w:rsidR="00724FAD" w:rsidRPr="00767DC9" w:rsidRDefault="00724FAD" w:rsidP="00E06C13">
      <w:pPr>
        <w:pStyle w:val="BodyText"/>
      </w:pPr>
      <w:r w:rsidRPr="00767DC9">
        <w:t>Building on th</w:t>
      </w:r>
      <w:r w:rsidR="00FC370B">
        <w:t>is</w:t>
      </w:r>
      <w:r w:rsidRPr="00767DC9">
        <w:t xml:space="preserve"> consultation</w:t>
      </w:r>
      <w:r w:rsidR="00FC370B">
        <w:t xml:space="preserve">, having identified </w:t>
      </w:r>
      <w:r w:rsidRPr="00767DC9">
        <w:t xml:space="preserve">clear </w:t>
      </w:r>
      <w:r w:rsidR="00E0360B" w:rsidRPr="00767DC9">
        <w:t xml:space="preserve">commonalities </w:t>
      </w:r>
      <w:r w:rsidR="00FC370B">
        <w:t>across critical infrastructure sectors,</w:t>
      </w:r>
      <w:r w:rsidR="00E0360B" w:rsidRPr="00767DC9">
        <w:t xml:space="preserve"> and</w:t>
      </w:r>
      <w:r w:rsidRPr="00767DC9">
        <w:t xml:space="preserve"> </w:t>
      </w:r>
      <w:r w:rsidR="00D07EBC">
        <w:t>acknowledging</w:t>
      </w:r>
      <w:r w:rsidR="00FC370B">
        <w:t xml:space="preserve"> </w:t>
      </w:r>
      <w:r w:rsidRPr="00767DC9">
        <w:t xml:space="preserve">the clear call from industry to the </w:t>
      </w:r>
      <w:r w:rsidR="00FC370B">
        <w:t>PJCIS</w:t>
      </w:r>
      <w:r w:rsidRPr="00767DC9">
        <w:t xml:space="preserve">, the Department developed a set of sector-agnostic rules to sit across all sectors. The sector-agnostic rules amalgamated the standards and principles </w:t>
      </w:r>
      <w:r w:rsidR="00FC370B">
        <w:t>derived through engagement on</w:t>
      </w:r>
      <w:r w:rsidRPr="00767DC9">
        <w:t xml:space="preserve"> sector-specific RMP rule hazard vectors into a consolidated and considered principles-based approach. </w:t>
      </w:r>
    </w:p>
    <w:p w14:paraId="37A08ADD" w14:textId="0B038F78" w:rsidR="00724FAD" w:rsidRPr="00767DC9" w:rsidRDefault="00724FAD" w:rsidP="00E06C13">
      <w:pPr>
        <w:pStyle w:val="BodyText"/>
      </w:pPr>
      <w:r w:rsidRPr="00767DC9">
        <w:t xml:space="preserve">The </w:t>
      </w:r>
      <w:r w:rsidR="00C06F83" w:rsidRPr="00767DC9">
        <w:t>sector agnostic</w:t>
      </w:r>
      <w:r w:rsidRPr="00767DC9">
        <w:t xml:space="preserve"> RMP rules established a baseline threshold that all of </w:t>
      </w:r>
      <w:r w:rsidR="00AB345D">
        <w:t>i</w:t>
      </w:r>
      <w:r w:rsidRPr="00767DC9">
        <w:t>ndustry could meet, which would ensure an overall uplift in the security and resilience of critical infrastructure assets in Australia. The Department provided industry with options to ensure that the RMP rules would be fit for purpose and adaptive for all responsible entities. The Department explained that this process would be iterative</w:t>
      </w:r>
      <w:r w:rsidR="00AB345D">
        <w:t>,</w:t>
      </w:r>
      <w:r w:rsidRPr="00767DC9">
        <w:t xml:space="preserve"> and wanted to ensure that entities currently falling below the baseline threshold could meet the required obligations without a prohibitive cost to their business. </w:t>
      </w:r>
    </w:p>
    <w:p w14:paraId="24FC10C3" w14:textId="4F20FB73" w:rsidR="00724FAD" w:rsidRDefault="00724FAD" w:rsidP="00E06C13">
      <w:pPr>
        <w:pStyle w:val="BodyText"/>
      </w:pPr>
      <w:r w:rsidRPr="00767DC9">
        <w:t xml:space="preserve">During consultation around the </w:t>
      </w:r>
      <w:r w:rsidR="00E0360B" w:rsidRPr="00767DC9">
        <w:t>sector agnostic</w:t>
      </w:r>
      <w:r w:rsidRPr="00767DC9">
        <w:t xml:space="preserve"> RMP </w:t>
      </w:r>
      <w:r w:rsidR="00AB345D">
        <w:t>r</w:t>
      </w:r>
      <w:r w:rsidRPr="00767DC9">
        <w:t xml:space="preserve">ules, industry appreciated the need for a common approach to risk management across critical infrastructure sectors. There was also a general appreciation for the increased flexibility and certainty provided by the sector-agnostic rules, in response to feedback received </w:t>
      </w:r>
      <w:r w:rsidR="00AB345D">
        <w:t>from industry</w:t>
      </w:r>
      <w:r w:rsidRPr="00767DC9">
        <w:t xml:space="preserve">. Industry confirmed that the rules were implementable, </w:t>
      </w:r>
      <w:r w:rsidR="00AB345D">
        <w:t>and provided for</w:t>
      </w:r>
      <w:r w:rsidR="00AB345D" w:rsidRPr="00767DC9">
        <w:t xml:space="preserve"> </w:t>
      </w:r>
      <w:r w:rsidRPr="00767DC9">
        <w:t xml:space="preserve">baseline standards and principles to support the security and resilience of Australia’s critical infrastructure. Industry was appreciative of the Government’s commitment to working </w:t>
      </w:r>
      <w:r w:rsidR="00AB345D">
        <w:t>collaboratively</w:t>
      </w:r>
      <w:r w:rsidRPr="00767DC9">
        <w:t xml:space="preserve"> to provide guidance material.</w:t>
      </w:r>
    </w:p>
    <w:p w14:paraId="751BBF76" w14:textId="07BFA7EA" w:rsidR="003645A2" w:rsidRPr="003645A2" w:rsidRDefault="003645A2" w:rsidP="00E06C13">
      <w:pPr>
        <w:pStyle w:val="Caption"/>
      </w:pPr>
      <w:bookmarkStart w:id="345" w:name="_Ref93575676"/>
      <w:bookmarkStart w:id="346" w:name="_Toc120115106"/>
      <w:r w:rsidRPr="006602D2">
        <w:rPr>
          <w:b/>
          <w:bCs/>
        </w:rPr>
        <w:t xml:space="preserve">Table </w:t>
      </w:r>
      <w:r w:rsidRPr="006602D2">
        <w:rPr>
          <w:b/>
          <w:bCs/>
        </w:rPr>
        <w:fldChar w:fldCharType="begin"/>
      </w:r>
      <w:r w:rsidRPr="006602D2">
        <w:rPr>
          <w:b/>
          <w:bCs/>
        </w:rPr>
        <w:instrText xml:space="preserve"> SEQ Table \* ARABIC </w:instrText>
      </w:r>
      <w:r w:rsidRPr="006602D2">
        <w:rPr>
          <w:b/>
          <w:bCs/>
        </w:rPr>
        <w:fldChar w:fldCharType="separate"/>
      </w:r>
      <w:r w:rsidR="009708D4">
        <w:rPr>
          <w:b/>
          <w:bCs/>
          <w:noProof/>
        </w:rPr>
        <w:t>21</w:t>
      </w:r>
      <w:r w:rsidRPr="006602D2">
        <w:rPr>
          <w:b/>
          <w:bCs/>
        </w:rPr>
        <w:fldChar w:fldCharType="end"/>
      </w:r>
      <w:bookmarkEnd w:id="342"/>
      <w:bookmarkEnd w:id="345"/>
      <w:r>
        <w:rPr>
          <w:b/>
        </w:rPr>
        <w:t xml:space="preserve"> </w:t>
      </w:r>
      <w:r w:rsidRPr="003645A2">
        <w:t>Key themes from consultation</w:t>
      </w:r>
      <w:bookmarkEnd w:id="343"/>
      <w:bookmarkEnd w:id="344"/>
      <w:bookmarkEnd w:id="346"/>
    </w:p>
    <w:tbl>
      <w:tblPr>
        <w:tblStyle w:val="TableGrid5"/>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114"/>
        <w:gridCol w:w="588"/>
        <w:gridCol w:w="3580"/>
        <w:gridCol w:w="4356"/>
      </w:tblGrid>
      <w:tr w:rsidR="003645A2" w:rsidRPr="003645A2" w14:paraId="45C0F979" w14:textId="77777777" w:rsidTr="00FA3D52">
        <w:trPr>
          <w:cantSplit/>
          <w:trHeight w:val="518"/>
          <w:tblHeader/>
        </w:trPr>
        <w:tc>
          <w:tcPr>
            <w:tcW w:w="578" w:type="pct"/>
            <w:shd w:val="clear" w:color="auto" w:fill="034EA2" w:themeFill="accent1"/>
          </w:tcPr>
          <w:p w14:paraId="448CFBAA" w14:textId="77777777" w:rsidR="003645A2" w:rsidRPr="003645A2" w:rsidRDefault="003645A2" w:rsidP="00FA3D52">
            <w:pPr>
              <w:pStyle w:val="TableHeading"/>
            </w:pPr>
            <w:r w:rsidRPr="003645A2">
              <w:t>Rule category</w:t>
            </w:r>
          </w:p>
        </w:tc>
        <w:tc>
          <w:tcPr>
            <w:tcW w:w="2161" w:type="pct"/>
            <w:gridSpan w:val="2"/>
            <w:shd w:val="clear" w:color="auto" w:fill="034EA2" w:themeFill="accent1"/>
          </w:tcPr>
          <w:p w14:paraId="6F9F94E0" w14:textId="77777777" w:rsidR="003645A2" w:rsidRPr="003645A2" w:rsidRDefault="003645A2" w:rsidP="00FA3D52">
            <w:pPr>
              <w:pStyle w:val="TableHeading"/>
            </w:pPr>
            <w:r w:rsidRPr="003645A2">
              <w:t>Identified themes</w:t>
            </w:r>
          </w:p>
        </w:tc>
        <w:tc>
          <w:tcPr>
            <w:tcW w:w="2261" w:type="pct"/>
            <w:shd w:val="clear" w:color="auto" w:fill="034EA2" w:themeFill="accent1"/>
          </w:tcPr>
          <w:p w14:paraId="581F59B2" w14:textId="77777777" w:rsidR="003645A2" w:rsidRPr="003645A2" w:rsidRDefault="003645A2" w:rsidP="00FA3D52">
            <w:pPr>
              <w:pStyle w:val="TableHeading"/>
            </w:pPr>
            <w:r w:rsidRPr="003645A2">
              <w:t>Impact on development of rules</w:t>
            </w:r>
          </w:p>
        </w:tc>
      </w:tr>
      <w:tr w:rsidR="00BC20F7" w:rsidRPr="003645A2" w14:paraId="08D607E4" w14:textId="77777777" w:rsidTr="00FA3D52">
        <w:trPr>
          <w:cantSplit/>
          <w:trHeight w:val="1990"/>
        </w:trPr>
        <w:tc>
          <w:tcPr>
            <w:tcW w:w="578" w:type="pct"/>
            <w:shd w:val="clear" w:color="auto" w:fill="BBDAFD" w:themeFill="accent1" w:themeFillTint="33"/>
          </w:tcPr>
          <w:p w14:paraId="172F81CF" w14:textId="77777777" w:rsidR="00BC20F7" w:rsidRPr="00FA3D52" w:rsidRDefault="00BC20F7" w:rsidP="00FA3D52">
            <w:pPr>
              <w:pStyle w:val="TableBody"/>
              <w:rPr>
                <w:b/>
                <w:bCs/>
              </w:rPr>
            </w:pPr>
            <w:r w:rsidRPr="00FA3D52">
              <w:rPr>
                <w:b/>
                <w:bCs/>
              </w:rPr>
              <w:t xml:space="preserve">Sector-agnostic </w:t>
            </w:r>
            <w:r w:rsidR="0016603A" w:rsidRPr="00FA3D52">
              <w:rPr>
                <w:b/>
                <w:bCs/>
              </w:rPr>
              <w:t>RMP rules</w:t>
            </w:r>
            <w:r w:rsidRPr="00FA3D52">
              <w:rPr>
                <w:b/>
                <w:bCs/>
              </w:rPr>
              <w:t xml:space="preserve"> </w:t>
            </w:r>
          </w:p>
        </w:tc>
        <w:tc>
          <w:tcPr>
            <w:tcW w:w="305" w:type="pct"/>
            <w:shd w:val="clear" w:color="auto" w:fill="EDEDED"/>
            <w:textDirection w:val="btLr"/>
          </w:tcPr>
          <w:p w14:paraId="1493966D" w14:textId="77777777" w:rsidR="00BC20F7" w:rsidRPr="00FA3D52" w:rsidRDefault="00BC20F7" w:rsidP="00FA3D52">
            <w:pPr>
              <w:pStyle w:val="TableBody"/>
              <w:jc w:val="center"/>
              <w:rPr>
                <w:b/>
                <w:bCs/>
              </w:rPr>
            </w:pPr>
            <w:r w:rsidRPr="00FA3D52">
              <w:t>Information</w:t>
            </w:r>
            <w:r w:rsidRPr="00FA3D52">
              <w:rPr>
                <w:b/>
                <w:bCs/>
              </w:rPr>
              <w:t xml:space="preserve"> </w:t>
            </w:r>
            <w:r w:rsidRPr="00FA3D52">
              <w:t>Sessions</w:t>
            </w:r>
          </w:p>
        </w:tc>
        <w:tc>
          <w:tcPr>
            <w:tcW w:w="1857" w:type="pct"/>
          </w:tcPr>
          <w:p w14:paraId="7CFE9E39" w14:textId="77777777" w:rsidR="00BC20F7" w:rsidRPr="002C16E6" w:rsidRDefault="00BC20F7" w:rsidP="00FA3D52">
            <w:pPr>
              <w:pStyle w:val="TableBullet"/>
              <w:rPr>
                <w:rFonts w:eastAsia="Calibri"/>
              </w:rPr>
            </w:pPr>
            <w:r w:rsidRPr="002C16E6">
              <w:rPr>
                <w:rFonts w:eastAsia="Calibri"/>
              </w:rPr>
              <w:t xml:space="preserve">Industry believes the </w:t>
            </w:r>
            <w:r w:rsidR="0016603A">
              <w:rPr>
                <w:rFonts w:eastAsia="Calibri"/>
              </w:rPr>
              <w:t>RMP rules</w:t>
            </w:r>
            <w:r w:rsidRPr="002C16E6">
              <w:rPr>
                <w:rFonts w:eastAsia="Calibri"/>
              </w:rPr>
              <w:t xml:space="preserve"> provide a baseline for sector resilience and security.</w:t>
            </w:r>
          </w:p>
          <w:p w14:paraId="4F08ED9D" w14:textId="77777777" w:rsidR="00BC20F7" w:rsidRPr="00A86EA2" w:rsidRDefault="00BC20F7" w:rsidP="00FA3D52">
            <w:pPr>
              <w:pStyle w:val="TableBullet"/>
              <w:rPr>
                <w:rFonts w:eastAsia="Calibri"/>
              </w:rPr>
            </w:pPr>
            <w:r w:rsidRPr="002C16E6">
              <w:rPr>
                <w:rFonts w:eastAsia="Calibri"/>
              </w:rPr>
              <w:t xml:space="preserve">There is an appetite for guidance material to support sector-specific uplift in security and resilience.  </w:t>
            </w:r>
          </w:p>
        </w:tc>
        <w:tc>
          <w:tcPr>
            <w:tcW w:w="2261" w:type="pct"/>
          </w:tcPr>
          <w:p w14:paraId="24907215" w14:textId="77777777" w:rsidR="00BC20F7" w:rsidRPr="002C16E6" w:rsidRDefault="00BC20F7" w:rsidP="00FA3D52">
            <w:pPr>
              <w:pStyle w:val="TableBody"/>
            </w:pPr>
            <w:r w:rsidRPr="002C16E6">
              <w:t xml:space="preserve">In response to feedback received during the information sessions, the Department committed to: </w:t>
            </w:r>
          </w:p>
          <w:p w14:paraId="36C3991F" w14:textId="42782852" w:rsidR="005044AD" w:rsidRPr="00FA3D52" w:rsidRDefault="00BC20F7" w:rsidP="00FA3D52">
            <w:pPr>
              <w:pStyle w:val="TableBullet"/>
              <w:rPr>
                <w:rFonts w:eastAsia="Calibri"/>
              </w:rPr>
            </w:pPr>
            <w:r w:rsidRPr="00A86EA2">
              <w:rPr>
                <w:rFonts w:eastAsia="Calibri"/>
              </w:rPr>
              <w:t xml:space="preserve">The development of guidance materials </w:t>
            </w:r>
            <w:r w:rsidR="00AB345D">
              <w:rPr>
                <w:rFonts w:eastAsia="Calibri"/>
              </w:rPr>
              <w:t>that</w:t>
            </w:r>
            <w:r w:rsidRPr="00A86EA2">
              <w:rPr>
                <w:rFonts w:eastAsia="Calibri"/>
              </w:rPr>
              <w:t xml:space="preserve"> would highlight aspects of risk management that should be prioritised by responsible entities</w:t>
            </w:r>
            <w:r w:rsidR="00AB345D">
              <w:rPr>
                <w:rFonts w:eastAsia="Calibri"/>
              </w:rPr>
              <w:t>,</w:t>
            </w:r>
            <w:r w:rsidRPr="00A86EA2">
              <w:rPr>
                <w:rFonts w:eastAsia="Calibri"/>
              </w:rPr>
              <w:t xml:space="preserve"> and assist industry in interpreting and implementing the rules to achieve an uplift in security and resilience.  </w:t>
            </w:r>
          </w:p>
        </w:tc>
      </w:tr>
    </w:tbl>
    <w:p w14:paraId="15F97033" w14:textId="1ED143D1" w:rsidR="003645A2" w:rsidRDefault="003645A2" w:rsidP="00FA3D52">
      <w:pPr>
        <w:pStyle w:val="BodyText"/>
        <w:spacing w:before="240"/>
      </w:pPr>
      <w:r w:rsidRPr="007F265A">
        <w:t>The themes outlined in</w:t>
      </w:r>
      <w:r w:rsidR="00E25133" w:rsidRPr="007F265A">
        <w:t xml:space="preserve"> </w:t>
      </w:r>
      <w:r w:rsidR="000B1BCF" w:rsidRPr="001656B3">
        <w:rPr>
          <w:szCs w:val="22"/>
        </w:rPr>
        <w:fldChar w:fldCharType="begin"/>
      </w:r>
      <w:r w:rsidR="000B1BCF" w:rsidRPr="001656B3">
        <w:rPr>
          <w:szCs w:val="22"/>
        </w:rPr>
        <w:instrText xml:space="preserve"> REF _Ref93575676 \h </w:instrText>
      </w:r>
      <w:r w:rsidR="000B1BCF" w:rsidRPr="009739FE">
        <w:rPr>
          <w:szCs w:val="22"/>
        </w:rPr>
        <w:instrText xml:space="preserve"> \* MERGEFORMAT </w:instrText>
      </w:r>
      <w:r w:rsidR="000B1BCF" w:rsidRPr="001656B3">
        <w:rPr>
          <w:szCs w:val="22"/>
        </w:rPr>
      </w:r>
      <w:r w:rsidR="000B1BCF" w:rsidRPr="001656B3">
        <w:rPr>
          <w:szCs w:val="22"/>
        </w:rPr>
        <w:fldChar w:fldCharType="separate"/>
      </w:r>
      <w:r w:rsidR="009708D4" w:rsidRPr="009708D4">
        <w:rPr>
          <w:iCs/>
          <w:szCs w:val="22"/>
        </w:rPr>
        <w:t xml:space="preserve">Table </w:t>
      </w:r>
      <w:r w:rsidR="009708D4" w:rsidRPr="009708D4">
        <w:rPr>
          <w:iCs/>
          <w:noProof/>
          <w:szCs w:val="22"/>
        </w:rPr>
        <w:t>21</w:t>
      </w:r>
      <w:r w:rsidR="000B1BCF" w:rsidRPr="001656B3">
        <w:rPr>
          <w:szCs w:val="22"/>
        </w:rPr>
        <w:fldChar w:fldCharType="end"/>
      </w:r>
      <w:r w:rsidR="00EC3972">
        <w:rPr>
          <w:szCs w:val="22"/>
        </w:rPr>
        <w:t xml:space="preserve"> </w:t>
      </w:r>
      <w:r w:rsidRPr="007F265A">
        <w:t>demonstra</w:t>
      </w:r>
      <w:r w:rsidR="009F1F31" w:rsidRPr="007F265A">
        <w:t xml:space="preserve">te </w:t>
      </w:r>
      <w:r w:rsidR="009C7B6B" w:rsidRPr="007F265A">
        <w:t xml:space="preserve">a continued receptiveness from industry </w:t>
      </w:r>
      <w:r w:rsidR="00FF53E9" w:rsidRPr="007F265A">
        <w:t xml:space="preserve">for the </w:t>
      </w:r>
      <w:r w:rsidR="00AB345D">
        <w:t>RMP</w:t>
      </w:r>
      <w:r w:rsidR="00FF53E9" w:rsidRPr="007F265A">
        <w:t xml:space="preserve"> </w:t>
      </w:r>
      <w:r w:rsidR="00D840EE">
        <w:t>r</w:t>
      </w:r>
      <w:r w:rsidR="00FF53E9" w:rsidRPr="007F265A">
        <w:t xml:space="preserve">ules, and a continued </w:t>
      </w:r>
      <w:r w:rsidR="00FF53E9" w:rsidRPr="00E06C13">
        <w:t>desire</w:t>
      </w:r>
      <w:r w:rsidR="00FF53E9" w:rsidRPr="007F265A">
        <w:t xml:space="preserve"> to work in partnership with the Department to </w:t>
      </w:r>
      <w:r w:rsidR="005E0CEE" w:rsidRPr="007F265A">
        <w:t>support the security and resilience of Australia’s critical infrastructure</w:t>
      </w:r>
      <w:r w:rsidR="005E0CEE" w:rsidRPr="00FA3D52">
        <w:t xml:space="preserve">. </w:t>
      </w:r>
      <w:r w:rsidR="003B6A36" w:rsidRPr="00FA3D52">
        <w:t xml:space="preserve"> </w:t>
      </w:r>
    </w:p>
    <w:p w14:paraId="1627ED1B" w14:textId="14BFE76C" w:rsidR="009B52BA" w:rsidRPr="009B52BA" w:rsidRDefault="009B52BA" w:rsidP="009B52BA">
      <w:pPr>
        <w:pStyle w:val="BodyText"/>
      </w:pPr>
    </w:p>
    <w:p w14:paraId="211DE012" w14:textId="77777777" w:rsidR="009B52BA" w:rsidRPr="009B52BA" w:rsidRDefault="009B52BA" w:rsidP="009B52BA">
      <w:pPr>
        <w:pStyle w:val="BodyText"/>
      </w:pPr>
    </w:p>
    <w:p w14:paraId="1D521B1D" w14:textId="77777777" w:rsidR="003645A2" w:rsidRPr="00C768BC" w:rsidRDefault="003645A2" w:rsidP="00E06C13">
      <w:pPr>
        <w:pStyle w:val="Heading4"/>
      </w:pPr>
      <w:bookmarkStart w:id="347" w:name="_Toc73609428"/>
      <w:bookmarkStart w:id="348" w:name="_Toc74212057"/>
      <w:bookmarkStart w:id="349" w:name="_Toc74212332"/>
      <w:bookmarkStart w:id="350" w:name="_Toc74661607"/>
      <w:bookmarkStart w:id="351" w:name="_Toc74755258"/>
      <w:bookmarkStart w:id="352" w:name="_Toc74756847"/>
      <w:bookmarkStart w:id="353" w:name="_Toc74756970"/>
      <w:bookmarkStart w:id="354" w:name="_Toc74832207"/>
      <w:bookmarkStart w:id="355" w:name="_Toc74841212"/>
      <w:bookmarkStart w:id="356" w:name="_Toc74913992"/>
      <w:bookmarkStart w:id="357" w:name="_Toc76050845"/>
      <w:r w:rsidRPr="00C768BC">
        <w:t xml:space="preserve">Consultation on costs </w:t>
      </w:r>
    </w:p>
    <w:p w14:paraId="71E6DF0E" w14:textId="77777777" w:rsidR="003645A2" w:rsidRPr="003645A2" w:rsidRDefault="003645A2" w:rsidP="00E06C13">
      <w:pPr>
        <w:pStyle w:val="BodyText"/>
      </w:pPr>
      <w:r w:rsidRPr="003645A2">
        <w:t xml:space="preserve">Throughout </w:t>
      </w:r>
      <w:r w:rsidR="001F3BF1">
        <w:t>consultation,</w:t>
      </w:r>
      <w:r w:rsidRPr="003645A2">
        <w:t xml:space="preserve"> industry was invited to provide feedback which would assist the Department in understanding the potential costs associated with the proposed </w:t>
      </w:r>
      <w:r w:rsidR="00BB0179">
        <w:t>RMP</w:t>
      </w:r>
      <w:r w:rsidRPr="003645A2">
        <w:t xml:space="preserve"> framework. Industry was informed that their insights would be used to assess the impact of the proposed reforms during the rules’ development</w:t>
      </w:r>
      <w:r w:rsidR="00D840EE">
        <w:t>,</w:t>
      </w:r>
      <w:r w:rsidRPr="003645A2">
        <w:t xml:space="preserve"> and support the drafting of this RIS and its cost benefit analysis. </w:t>
      </w:r>
    </w:p>
    <w:p w14:paraId="41080CC7" w14:textId="77777777" w:rsidR="003645A2" w:rsidRPr="003645A2" w:rsidRDefault="00155F26" w:rsidP="00E06C13">
      <w:pPr>
        <w:pStyle w:val="BodyText"/>
      </w:pPr>
      <w:r>
        <w:t>In</w:t>
      </w:r>
      <w:r w:rsidR="003645A2" w:rsidRPr="003645A2">
        <w:t xml:space="preserve"> </w:t>
      </w:r>
      <w:r w:rsidR="00B25C45">
        <w:t xml:space="preserve">the </w:t>
      </w:r>
      <w:r>
        <w:t xml:space="preserve">third workshop (for the electricity, </w:t>
      </w:r>
      <w:r w:rsidR="00C06F83">
        <w:t>gas,</w:t>
      </w:r>
      <w:r>
        <w:t xml:space="preserve"> and water sectors)</w:t>
      </w:r>
      <w:r w:rsidR="00B25C45">
        <w:t xml:space="preserve"> </w:t>
      </w:r>
      <w:r>
        <w:t xml:space="preserve">and </w:t>
      </w:r>
      <w:r w:rsidR="00B25C45">
        <w:t>second information session</w:t>
      </w:r>
      <w:r>
        <w:t xml:space="preserve"> (for all remaining sectors)</w:t>
      </w:r>
      <w:r w:rsidR="00B25C45">
        <w:t>,</w:t>
      </w:r>
      <w:r w:rsidR="003645A2" w:rsidRPr="003645A2">
        <w:t xml:space="preserve">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t>
      </w:r>
      <w:r w:rsidR="00C06F83" w:rsidRPr="003645A2">
        <w:t>was</w:t>
      </w:r>
      <w:r w:rsidR="003645A2" w:rsidRPr="003645A2">
        <w:t xml:space="preserve"> asked to provide:</w:t>
      </w:r>
    </w:p>
    <w:p w14:paraId="6CDF0F53" w14:textId="77777777" w:rsidR="003645A2" w:rsidRPr="003645A2" w:rsidRDefault="003645A2" w:rsidP="00E06C13">
      <w:pPr>
        <w:pStyle w:val="Bullet1stlevel"/>
      </w:pPr>
      <w:r w:rsidRPr="003645A2">
        <w:lastRenderedPageBreak/>
        <w:t xml:space="preserve">Their demographic information; </w:t>
      </w:r>
    </w:p>
    <w:p w14:paraId="445BC59C" w14:textId="77777777" w:rsidR="003645A2" w:rsidRPr="003645A2" w:rsidRDefault="003645A2" w:rsidP="00E06C13">
      <w:pPr>
        <w:pStyle w:val="Bullet1stlevel"/>
      </w:pPr>
      <w:r w:rsidRPr="003645A2">
        <w:t xml:space="preserve">Effort and cost estimates split by one-off and ongoing costs, staff effort, capital and other operating costs, and an estimated range between expected costs and highest possible costs; and </w:t>
      </w:r>
    </w:p>
    <w:p w14:paraId="0FB8BF3A" w14:textId="77777777" w:rsidR="00EB7D6F" w:rsidRPr="00145DEA" w:rsidRDefault="003645A2" w:rsidP="00E06C13">
      <w:pPr>
        <w:pStyle w:val="Bullet1stlevel"/>
      </w:pPr>
      <w:r w:rsidRPr="003645A2">
        <w:t xml:space="preserve">Any comments on key boundaries, assumptions and cost drivers attached to the costing estimates provided. </w:t>
      </w:r>
    </w:p>
    <w:p w14:paraId="5CCD37A9" w14:textId="5B158C87" w:rsidR="003645A2" w:rsidRPr="003645A2" w:rsidRDefault="00EE6719" w:rsidP="00FA3D52">
      <w:pPr>
        <w:pStyle w:val="BodyText"/>
        <w:spacing w:before="240"/>
      </w:pPr>
      <w:r>
        <w:t xml:space="preserve">Each </w:t>
      </w:r>
      <w:r w:rsidR="000B1BCF">
        <w:t>asset class</w:t>
      </w:r>
      <w:r w:rsidR="003645A2" w:rsidRPr="003645A2">
        <w:t xml:space="preserve"> was provided with </w:t>
      </w:r>
      <w:r>
        <w:t>a</w:t>
      </w:r>
      <w:r w:rsidR="003645A2" w:rsidRPr="003645A2">
        <w:t xml:space="preserve"> </w:t>
      </w:r>
      <w:r w:rsidR="00D840EE">
        <w:t xml:space="preserve">cost impact </w:t>
      </w:r>
      <w:r w:rsidR="003645A2" w:rsidRPr="003645A2">
        <w:t xml:space="preserve">template </w:t>
      </w:r>
      <w:r>
        <w:t>for completion</w:t>
      </w:r>
      <w:r w:rsidR="00EB7D6F">
        <w:t xml:space="preserve">, </w:t>
      </w:r>
      <w:r w:rsidR="003645A2" w:rsidRPr="003645A2">
        <w:t xml:space="preserve">with </w:t>
      </w:r>
      <w:r w:rsidR="003645A2" w:rsidRPr="007A0D81">
        <w:t xml:space="preserve">submissions open for a period of </w:t>
      </w:r>
      <w:r w:rsidR="007A0D81" w:rsidRPr="007A0D81">
        <w:rPr>
          <w:bCs/>
        </w:rPr>
        <w:t xml:space="preserve">four </w:t>
      </w:r>
      <w:r w:rsidR="003645A2" w:rsidRPr="007A0D81">
        <w:t xml:space="preserve">weeks. </w:t>
      </w:r>
    </w:p>
    <w:p w14:paraId="47DD2BE8" w14:textId="77777777" w:rsidR="00533D0B" w:rsidRDefault="003645A2" w:rsidP="00E06C13">
      <w:pPr>
        <w:pStyle w:val="BodyText"/>
      </w:pPr>
      <w:r w:rsidRPr="00531F25">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sidRPr="00531F25">
        <w:rPr>
          <w:vertAlign w:val="superscript"/>
        </w:rPr>
        <w:footnoteReference w:id="59"/>
      </w:r>
      <w:r w:rsidRPr="00531F25">
        <w:t xml:space="preserve"> </w:t>
      </w:r>
    </w:p>
    <w:p w14:paraId="657787B1" w14:textId="113E155E" w:rsidR="005E64DD" w:rsidRDefault="005E64DD" w:rsidP="00E06C13">
      <w:pPr>
        <w:pStyle w:val="Heading4"/>
      </w:pPr>
      <w:r>
        <w:t xml:space="preserve">Mandatory </w:t>
      </w:r>
      <w:r w:rsidR="007B3DE8">
        <w:t>consultation period</w:t>
      </w:r>
    </w:p>
    <w:p w14:paraId="2BCC7A71" w14:textId="5E821737" w:rsidR="008703A9" w:rsidRDefault="008703A9" w:rsidP="00953691">
      <w:pPr>
        <w:pStyle w:val="BodyText"/>
        <w:spacing w:before="240"/>
      </w:pPr>
      <w:r>
        <w:t>Under the SLACIP Act, t</w:t>
      </w:r>
      <w:r w:rsidRPr="003645A2">
        <w:t xml:space="preserve">he Minister is required to publish a notice on the Department’s website which contains draft </w:t>
      </w:r>
      <w:r>
        <w:t>RMP rules</w:t>
      </w:r>
      <w:r w:rsidRPr="003645A2">
        <w:t xml:space="preserve"> and invite</w:t>
      </w:r>
      <w:r>
        <w:t>s</w:t>
      </w:r>
      <w:r w:rsidRPr="003645A2">
        <w:t xml:space="preserve"> industry stakeholders to make submissions. These submissions offer a further opportunity for feedback</w:t>
      </w:r>
      <w:r>
        <w:t xml:space="preserve">, which </w:t>
      </w:r>
      <w:r w:rsidRPr="003645A2">
        <w:t xml:space="preserve">must be provided to the Minister within 28 days </w:t>
      </w:r>
      <w:r>
        <w:t>(or on another date of the Minister’s choosing, in excess of the 28-day minimum consultation period)</w:t>
      </w:r>
      <w:r w:rsidRPr="003645A2">
        <w:t xml:space="preserve"> of the notice’s publication. The Minister is required to consider any submissions received within this timeframe.</w:t>
      </w:r>
    </w:p>
    <w:p w14:paraId="0EAAAF0F" w14:textId="5FD0010D" w:rsidR="00BA7C29" w:rsidRDefault="006558F7" w:rsidP="00CE4B35">
      <w:pPr>
        <w:pStyle w:val="BodyText"/>
        <w:spacing w:before="240"/>
      </w:pPr>
      <w:r>
        <w:t>The Minister announced a 45-day consultation period on the proposed RMP Rules from 5 October – 18 November 2022. Among other things, the consul</w:t>
      </w:r>
      <w:r w:rsidR="006D15CB">
        <w:t xml:space="preserve">tation period </w:t>
      </w:r>
      <w:r w:rsidR="003B02B0">
        <w:t xml:space="preserve">has included two Town Halls and four question and answer sessions. </w:t>
      </w:r>
      <w:r w:rsidR="004E2C9D">
        <w:t>T</w:t>
      </w:r>
      <w:r w:rsidR="00485393">
        <w:t xml:space="preserve">he majority of questions </w:t>
      </w:r>
      <w:r w:rsidR="002E2338">
        <w:t xml:space="preserve">received were </w:t>
      </w:r>
      <w:r w:rsidR="00485393">
        <w:t xml:space="preserve">clarifying questions on the application of the Rules and </w:t>
      </w:r>
      <w:r w:rsidR="00D541A5">
        <w:t xml:space="preserve">the RMP obligation more broadly. </w:t>
      </w:r>
    </w:p>
    <w:p w14:paraId="0AEA3123" w14:textId="48381D65" w:rsidR="003645A2" w:rsidRPr="00C50B98" w:rsidRDefault="003645A2" w:rsidP="00E06C13">
      <w:pPr>
        <w:pStyle w:val="Heading4"/>
        <w:rPr>
          <w:sz w:val="28"/>
          <w:szCs w:val="26"/>
        </w:rPr>
      </w:pPr>
      <w:r w:rsidRPr="00C50B98">
        <w:t xml:space="preserve">Roadmap for </w:t>
      </w:r>
      <w:r w:rsidR="0016603A">
        <w:t>RMP rules</w:t>
      </w:r>
      <w:r w:rsidRPr="00C50B98">
        <w:t xml:space="preserve"> consultation</w:t>
      </w:r>
      <w:bookmarkEnd w:id="347"/>
      <w:bookmarkEnd w:id="348"/>
      <w:bookmarkEnd w:id="349"/>
      <w:bookmarkEnd w:id="350"/>
      <w:bookmarkEnd w:id="351"/>
      <w:bookmarkEnd w:id="352"/>
      <w:bookmarkEnd w:id="353"/>
      <w:bookmarkEnd w:id="354"/>
      <w:bookmarkEnd w:id="355"/>
      <w:bookmarkEnd w:id="356"/>
      <w:bookmarkEnd w:id="357"/>
      <w:r w:rsidRPr="00C50B98">
        <w:t xml:space="preserve"> </w:t>
      </w:r>
    </w:p>
    <w:p w14:paraId="39827C17" w14:textId="1FBDA0D9" w:rsidR="00E73273" w:rsidRDefault="003645A2" w:rsidP="00CE4B35">
      <w:pPr>
        <w:pStyle w:val="BodyText"/>
      </w:pPr>
      <w:r w:rsidRPr="003645A2">
        <w:t xml:space="preserve">Section 6 </w:t>
      </w:r>
      <w:r w:rsidR="00635D88">
        <w:t>and 7</w:t>
      </w:r>
      <w:r w:rsidRPr="003645A2">
        <w:t xml:space="preserve"> below outlines further avenues for discussion with</w:t>
      </w:r>
      <w:r w:rsidR="00D840EE">
        <w:t>,</w:t>
      </w:r>
      <w:r w:rsidRPr="003645A2">
        <w:t xml:space="preserve"> and </w:t>
      </w:r>
      <w:r w:rsidR="00D840EE">
        <w:t>for the provision of</w:t>
      </w:r>
      <w:r w:rsidRPr="003645A2">
        <w:t xml:space="preserve"> feedback from</w:t>
      </w:r>
      <w:r w:rsidR="00D840EE">
        <w:t>,</w:t>
      </w:r>
      <w:r w:rsidRPr="003645A2">
        <w:t xml:space="preserve"> industry, which would occur as part of the implementation and evaluation process for the proposed </w:t>
      </w:r>
      <w:r w:rsidR="00BB0179">
        <w:t>RMP</w:t>
      </w:r>
      <w:r w:rsidRPr="003645A2">
        <w:t xml:space="preserve"> framework.</w:t>
      </w:r>
      <w:r w:rsidR="00E73273">
        <w:br w:type="page"/>
      </w:r>
    </w:p>
    <w:p w14:paraId="204E207F" w14:textId="77777777" w:rsidR="00E73273" w:rsidRDefault="00E73273" w:rsidP="00E73273">
      <w:pPr>
        <w:pStyle w:val="BodyText"/>
      </w:pPr>
    </w:p>
    <w:p w14:paraId="704158FD" w14:textId="4A353993" w:rsidR="00E73273" w:rsidRPr="00E73273" w:rsidRDefault="00E73273" w:rsidP="00E73273">
      <w:pPr>
        <w:pStyle w:val="Divider"/>
      </w:pPr>
      <w:r w:rsidRPr="00E73273">
        <w:rPr>
          <w:noProof/>
          <w:lang w:eastAsia="en-AU"/>
        </w:rPr>
        <mc:AlternateContent>
          <mc:Choice Requires="wps">
            <w:drawing>
              <wp:anchor distT="0" distB="0" distL="114300" distR="114300" simplePos="0" relativeHeight="251650048" behindDoc="1" locked="0" layoutInCell="1" allowOverlap="1" wp14:anchorId="15FFCC3C" wp14:editId="114AEA0C">
                <wp:simplePos x="0" y="0"/>
                <wp:positionH relativeFrom="page">
                  <wp:posOffset>0</wp:posOffset>
                </wp:positionH>
                <wp:positionV relativeFrom="page">
                  <wp:posOffset>939114</wp:posOffset>
                </wp:positionV>
                <wp:extent cx="7560000" cy="9000000"/>
                <wp:effectExtent l="0" t="0" r="3175" b="0"/>
                <wp:wrapNone/>
                <wp:docPr id="58" name="Rectangle 58"/>
                <wp:cNvGraphicFramePr/>
                <a:graphic xmlns:a="http://schemas.openxmlformats.org/drawingml/2006/main">
                  <a:graphicData uri="http://schemas.microsoft.com/office/word/2010/wordprocessingShape">
                    <wps:wsp>
                      <wps:cNvSpPr/>
                      <wps:spPr>
                        <a:xfrm>
                          <a:off x="0" y="0"/>
                          <a:ext cx="7560000" cy="9000000"/>
                        </a:xfrm>
                        <a:prstGeom prst="rect">
                          <a:avLst/>
                        </a:prstGeom>
                        <a:gradFill flip="none" rotWithShape="1">
                          <a:gsLst>
                            <a:gs pos="0">
                              <a:schemeClr val="accent1"/>
                            </a:gs>
                            <a:gs pos="100000">
                              <a:schemeClr val="accent2"/>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AE92FC" id="Rectangle 58" o:spid="_x0000_s1026" style="position:absolute;margin-left:0;margin-top:73.95pt;width:595.3pt;height:708.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" fillcolor="#034ea2 [3204]" stroked="f" strokeweight="2pt">
                <v:fill color2="#007bc3 [3205]" rotate="t" angle="45" focus="100%" type="gradient"/>
                <w10:wrap anchorx="page" anchory="page"/>
              </v:rect>
            </w:pict>
          </mc:Fallback>
        </mc:AlternateContent>
      </w:r>
      <w:r>
        <w:t>6. Best option from those considered</w:t>
      </w:r>
      <w:r w:rsidRPr="00E73273">
        <w:br w:type="page"/>
      </w:r>
    </w:p>
    <w:p w14:paraId="3F0112F8" w14:textId="5D6D3488" w:rsidR="00374A1D" w:rsidRDefault="003645A2" w:rsidP="00E06C13">
      <w:pPr>
        <w:pStyle w:val="Heading1numbered"/>
      </w:pPr>
      <w:bookmarkStart w:id="358" w:name="_Toc121397402"/>
      <w:r w:rsidRPr="003645A2">
        <w:lastRenderedPageBreak/>
        <w:t>Best option from those considered</w:t>
      </w:r>
      <w:bookmarkEnd w:id="358"/>
    </w:p>
    <w:p w14:paraId="27417DAD" w14:textId="75B973ED" w:rsidR="003645A2" w:rsidRPr="003645A2" w:rsidRDefault="003645A2" w:rsidP="00E06C13">
      <w:pPr>
        <w:pStyle w:val="BodyText"/>
      </w:pPr>
      <w:r w:rsidRPr="003645A2">
        <w:t xml:space="preserve">The preceding consultation outcomes and analysis has demonstrated that </w:t>
      </w:r>
      <w:r w:rsidRPr="003645A2">
        <w:rPr>
          <w:b/>
          <w:bCs/>
        </w:rPr>
        <w:t xml:space="preserve">option 2: Mandatory </w:t>
      </w:r>
      <w:r w:rsidR="00BB0179">
        <w:rPr>
          <w:b/>
          <w:bCs/>
        </w:rPr>
        <w:t>RMP</w:t>
      </w:r>
      <w:r w:rsidRPr="003645A2">
        <w:rPr>
          <w:b/>
          <w:bCs/>
        </w:rPr>
        <w:t xml:space="preserve"> framework </w:t>
      </w:r>
      <w:r w:rsidRPr="003645A2">
        <w:t xml:space="preserve">is the most suitable option from those considered.  </w:t>
      </w:r>
    </w:p>
    <w:p w14:paraId="167F1790" w14:textId="39EBEF43" w:rsidR="003645A2" w:rsidRPr="003645A2" w:rsidRDefault="003645A2" w:rsidP="00E06C13">
      <w:pPr>
        <w:pStyle w:val="BodyText"/>
      </w:pPr>
      <w:r w:rsidRPr="003645A2">
        <w:t xml:space="preserve">Section 3 of this RIS identified the objectives of Government action, as they relate to the </w:t>
      </w:r>
      <w:r w:rsidR="00BB0179">
        <w:t>RMP</w:t>
      </w:r>
      <w:r w:rsidRPr="003645A2">
        <w:t xml:space="preserve"> obligations contained in the </w:t>
      </w:r>
      <w:r w:rsidR="00FC036D">
        <w:t xml:space="preserve">SLACIP </w:t>
      </w:r>
      <w:r w:rsidR="00D721DC">
        <w:t>Act</w:t>
      </w:r>
      <w:r w:rsidRPr="003645A2">
        <w:t xml:space="preserve">. These objectives align with, and seek to address, the elements of the problem discussed in Section 1. </w:t>
      </w:r>
      <w:r w:rsidRPr="003645A2">
        <w:fldChar w:fldCharType="begin"/>
      </w:r>
      <w:r w:rsidRPr="003645A2">
        <w:instrText xml:space="preserve"> REF _Ref78469988 \h  \* MERGEFORMAT </w:instrText>
      </w:r>
      <w:r w:rsidRPr="003645A2">
        <w:fldChar w:fldCharType="separate"/>
      </w:r>
      <w:r w:rsidR="009708D4" w:rsidRPr="009708D4">
        <w:t xml:space="preserve">Table </w:t>
      </w:r>
      <w:r w:rsidR="009708D4" w:rsidRPr="009708D4">
        <w:rPr>
          <w:noProof/>
        </w:rPr>
        <w:t>22</w:t>
      </w:r>
      <w:r w:rsidRPr="003645A2">
        <w:fldChar w:fldCharType="end"/>
      </w:r>
      <w:r w:rsidRPr="003645A2">
        <w:t xml:space="preserve"> below demonstrates that implementing the </w:t>
      </w:r>
      <w:r w:rsidR="00BB0179">
        <w:t>RMP</w:t>
      </w:r>
      <w:r w:rsidRPr="003645A2">
        <w:t xml:space="preserve"> framework for </w:t>
      </w:r>
      <w:r w:rsidR="008056F4">
        <w:t>critical infrastructure assets</w:t>
      </w:r>
      <w:r w:rsidRPr="003645A2">
        <w:t xml:space="preserve"> will support each of Government’s objectives for intervention and </w:t>
      </w:r>
      <w:r w:rsidR="00C46743">
        <w:t>to</w:t>
      </w:r>
      <w:r w:rsidRPr="003645A2">
        <w:t xml:space="preserve"> comprehensively address the problems identified and discussed throughout this RIS</w:t>
      </w:r>
      <w:r w:rsidR="00C46743">
        <w:t>:</w:t>
      </w:r>
    </w:p>
    <w:p w14:paraId="24B7AE41" w14:textId="7FB0ED5A" w:rsidR="003645A2" w:rsidRPr="003645A2" w:rsidRDefault="003645A2" w:rsidP="00E06C13">
      <w:pPr>
        <w:pStyle w:val="Caption"/>
      </w:pPr>
      <w:bookmarkStart w:id="359" w:name="_Ref78469988"/>
      <w:bookmarkStart w:id="360" w:name="_Toc78878030"/>
      <w:bookmarkStart w:id="361" w:name="_Toc79156706"/>
      <w:bookmarkStart w:id="362" w:name="_Toc120115107"/>
      <w:r w:rsidRPr="003645A2">
        <w:rPr>
          <w:b/>
        </w:rPr>
        <w:t xml:space="preserve">Table </w:t>
      </w:r>
      <w:r w:rsidRPr="003645A2">
        <w:rPr>
          <w:b/>
        </w:rPr>
        <w:fldChar w:fldCharType="begin"/>
      </w:r>
      <w:r w:rsidRPr="003645A2">
        <w:rPr>
          <w:b/>
        </w:rPr>
        <w:instrText xml:space="preserve"> SEQ Table \* ARABIC </w:instrText>
      </w:r>
      <w:r w:rsidRPr="003645A2">
        <w:rPr>
          <w:b/>
        </w:rPr>
        <w:fldChar w:fldCharType="separate"/>
      </w:r>
      <w:r w:rsidR="009708D4">
        <w:rPr>
          <w:b/>
          <w:noProof/>
        </w:rPr>
        <w:t>22</w:t>
      </w:r>
      <w:r w:rsidRPr="003645A2">
        <w:rPr>
          <w:b/>
        </w:rPr>
        <w:fldChar w:fldCharType="end"/>
      </w:r>
      <w:bookmarkEnd w:id="359"/>
      <w:r w:rsidRPr="003645A2">
        <w:t xml:space="preserve"> Chosen option’s alignment with problem and objectives</w:t>
      </w:r>
      <w:bookmarkEnd w:id="360"/>
      <w:bookmarkEnd w:id="361"/>
      <w:bookmarkEnd w:id="362"/>
    </w:p>
    <w:tbl>
      <w:tblPr>
        <w:tblStyle w:val="TableGrid33"/>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690"/>
        <w:gridCol w:w="2469"/>
        <w:gridCol w:w="519"/>
        <w:gridCol w:w="4960"/>
      </w:tblGrid>
      <w:tr w:rsidR="003645A2" w:rsidRPr="003645A2" w14:paraId="21203312" w14:textId="77777777" w:rsidTr="00FE26C0">
        <w:trPr>
          <w:cantSplit/>
          <w:tblHeader/>
        </w:trPr>
        <w:tc>
          <w:tcPr>
            <w:tcW w:w="877" w:type="pct"/>
            <w:shd w:val="clear" w:color="auto" w:fill="034EA2" w:themeFill="accent1"/>
          </w:tcPr>
          <w:p w14:paraId="35A4BD45" w14:textId="77777777" w:rsidR="003645A2" w:rsidRPr="003645A2" w:rsidRDefault="003645A2" w:rsidP="00FA3D52">
            <w:pPr>
              <w:pStyle w:val="TableHeading"/>
            </w:pPr>
            <w:r w:rsidRPr="003645A2">
              <w:t>Problem area</w:t>
            </w:r>
          </w:p>
        </w:tc>
        <w:tc>
          <w:tcPr>
            <w:tcW w:w="1281" w:type="pct"/>
            <w:shd w:val="clear" w:color="auto" w:fill="034EA2" w:themeFill="accent1"/>
          </w:tcPr>
          <w:p w14:paraId="0BFDC8C0" w14:textId="77777777" w:rsidR="003645A2" w:rsidRPr="003645A2" w:rsidRDefault="003645A2" w:rsidP="00FA3D52">
            <w:pPr>
              <w:pStyle w:val="TableHeading"/>
            </w:pPr>
            <w:r w:rsidRPr="003645A2">
              <w:t>Government’s objective</w:t>
            </w:r>
          </w:p>
        </w:tc>
        <w:tc>
          <w:tcPr>
            <w:tcW w:w="2842" w:type="pct"/>
            <w:gridSpan w:val="2"/>
            <w:shd w:val="clear" w:color="auto" w:fill="034EA2" w:themeFill="accent1"/>
          </w:tcPr>
          <w:p w14:paraId="220B2892" w14:textId="77777777" w:rsidR="003645A2" w:rsidRPr="003645A2" w:rsidRDefault="003645A2" w:rsidP="00FA3D52">
            <w:pPr>
              <w:pStyle w:val="TableHeading"/>
            </w:pPr>
            <w:r w:rsidRPr="003645A2">
              <w:t>Why option 2?</w:t>
            </w:r>
          </w:p>
        </w:tc>
      </w:tr>
      <w:tr w:rsidR="003645A2" w:rsidRPr="003645A2" w14:paraId="356B1AA6" w14:textId="77777777" w:rsidTr="7EBB1CEE">
        <w:trPr>
          <w:cantSplit/>
          <w:trHeight w:val="3273"/>
        </w:trPr>
        <w:tc>
          <w:tcPr>
            <w:tcW w:w="877" w:type="pct"/>
            <w:shd w:val="clear" w:color="auto" w:fill="F2F2F2" w:themeFill="background2" w:themeFillShade="F2"/>
          </w:tcPr>
          <w:p w14:paraId="6B53FEB2" w14:textId="77777777" w:rsidR="003645A2" w:rsidRPr="003645A2" w:rsidRDefault="003645A2" w:rsidP="00FA3D52">
            <w:pPr>
              <w:pStyle w:val="TableBody"/>
            </w:pPr>
            <w:r w:rsidRPr="003645A2">
              <w:t xml:space="preserve">There are risks to </w:t>
            </w:r>
            <w:r w:rsidR="008056F4">
              <w:t>critical infrastructure assets</w:t>
            </w:r>
            <w:r w:rsidRPr="003645A2">
              <w:t>.</w:t>
            </w:r>
          </w:p>
        </w:tc>
        <w:tc>
          <w:tcPr>
            <w:tcW w:w="1281" w:type="pct"/>
            <w:shd w:val="clear" w:color="auto" w:fill="DEEAF6"/>
          </w:tcPr>
          <w:p w14:paraId="105EE59B" w14:textId="77777777" w:rsidR="003645A2" w:rsidRPr="003645A2" w:rsidRDefault="003645A2" w:rsidP="00FA3D52">
            <w:pPr>
              <w:pStyle w:val="TableBullet"/>
              <w:rPr>
                <w:rFonts w:eastAsia="Calibri"/>
              </w:rPr>
            </w:pPr>
            <w:r w:rsidRPr="003645A2">
              <w:rPr>
                <w:rFonts w:eastAsia="Calibri"/>
                <w:b/>
                <w:bCs/>
              </w:rPr>
              <w:t>Lower the material risk</w:t>
            </w:r>
            <w:r w:rsidRPr="003645A2">
              <w:rPr>
                <w:rFonts w:eastAsia="Calibri"/>
              </w:rPr>
              <w:t xml:space="preserve"> of hazards and impacts of those hazards, as they manifest for </w:t>
            </w:r>
            <w:r w:rsidR="008056F4">
              <w:rPr>
                <w:rFonts w:eastAsia="Calibri"/>
              </w:rPr>
              <w:t>critical infrastructure assets</w:t>
            </w:r>
            <w:r w:rsidRPr="003645A2">
              <w:rPr>
                <w:rFonts w:eastAsia="Calibri"/>
              </w:rPr>
              <w:t>.</w:t>
            </w:r>
          </w:p>
          <w:p w14:paraId="239B375D" w14:textId="77777777" w:rsidR="003645A2" w:rsidRPr="003645A2" w:rsidRDefault="003645A2" w:rsidP="00FA3D52">
            <w:pPr>
              <w:pStyle w:val="TableBullet"/>
              <w:rPr>
                <w:rFonts w:eastAsia="Calibri"/>
              </w:rPr>
            </w:pPr>
            <w:r w:rsidRPr="003645A2">
              <w:rPr>
                <w:rFonts w:eastAsia="Calibri"/>
              </w:rPr>
              <w:t xml:space="preserve">Ensure that adoption of the </w:t>
            </w:r>
            <w:r w:rsidR="00BB0179">
              <w:rPr>
                <w:rFonts w:eastAsia="Calibri"/>
              </w:rPr>
              <w:t>RMP</w:t>
            </w:r>
            <w:r w:rsidRPr="003645A2">
              <w:rPr>
                <w:rFonts w:eastAsia="Calibri"/>
              </w:rPr>
              <w:t xml:space="preserve"> for </w:t>
            </w:r>
            <w:r w:rsidR="008056F4">
              <w:rPr>
                <w:rFonts w:eastAsia="Calibri"/>
              </w:rPr>
              <w:t>critical infrastructure assets</w:t>
            </w:r>
            <w:r w:rsidRPr="003645A2">
              <w:rPr>
                <w:rFonts w:eastAsia="Calibri"/>
              </w:rPr>
              <w:t xml:space="preserve"> is </w:t>
            </w:r>
            <w:r w:rsidRPr="003645A2">
              <w:rPr>
                <w:rFonts w:eastAsia="Calibri"/>
                <w:b/>
                <w:bCs/>
              </w:rPr>
              <w:t>reasonable and proportionate</w:t>
            </w:r>
            <w:r w:rsidRPr="003645A2">
              <w:rPr>
                <w:rFonts w:eastAsia="Calibri"/>
              </w:rPr>
              <w:t xml:space="preserve"> to the purpose of the program.  </w:t>
            </w:r>
          </w:p>
        </w:tc>
        <w:tc>
          <w:tcPr>
            <w:tcW w:w="269" w:type="pct"/>
            <w:shd w:val="clear" w:color="auto" w:fill="E2EFD9"/>
          </w:tcPr>
          <w:p w14:paraId="7F88C9D3" w14:textId="77777777" w:rsidR="003645A2" w:rsidRPr="003645A2" w:rsidRDefault="003645A2" w:rsidP="00FA3D52">
            <w:pPr>
              <w:pStyle w:val="TableBody"/>
            </w:pPr>
            <w:r w:rsidRPr="003645A2">
              <w:rPr>
                <w:noProof/>
                <w:lang w:val="en-AU" w:eastAsia="en-AU"/>
              </w:rPr>
              <mc:AlternateContent>
                <mc:Choice Requires="wps">
                  <w:drawing>
                    <wp:inline distT="0" distB="0" distL="0" distR="0" wp14:anchorId="63CD312C" wp14:editId="6A5A6C3E">
                      <wp:extent cx="252000" cy="196770"/>
                      <wp:effectExtent l="0" t="0" r="0" b="0"/>
                      <wp:docPr id="10" name="Graphic 2" descr="Checkmark"/>
                      <wp:cNvGraphicFramePr/>
                      <a:graphic xmlns:a="http://schemas.openxmlformats.org/drawingml/2006/main">
                        <a:graphicData uri="http://schemas.microsoft.com/office/word/2010/wordprocessingShape">
                          <wps:wsp>
                            <wps:cNvSpPr/>
                            <wps:spPr>
                              <a:xfrm>
                                <a:off x="0" y="0"/>
                                <a:ext cx="252000" cy="196770"/>
                              </a:xfrm>
                              <a:custGeom>
                                <a:avLst/>
                                <a:gdLst>
                                  <a:gd name="connsiteX0" fmla="*/ 195721 w 214526"/>
                                  <a:gd name="connsiteY0" fmla="*/ 0 h 150679"/>
                                  <a:gd name="connsiteX1" fmla="*/ 76849 w 214526"/>
                                  <a:gd name="connsiteY1" fmla="*/ 112371 h 150679"/>
                                  <a:gd name="connsiteX2" fmla="*/ 19735 w 214526"/>
                                  <a:gd name="connsiteY2" fmla="*/ 53864 h 150679"/>
                                  <a:gd name="connsiteX3" fmla="*/ 0 w 214526"/>
                                  <a:gd name="connsiteY3" fmla="*/ 72670 h 150679"/>
                                  <a:gd name="connsiteX4" fmla="*/ 75920 w 214526"/>
                                  <a:gd name="connsiteY4" fmla="*/ 150680 h 150679"/>
                                  <a:gd name="connsiteX5" fmla="*/ 95887 w 214526"/>
                                  <a:gd name="connsiteY5" fmla="*/ 132106 h 150679"/>
                                  <a:gd name="connsiteX6" fmla="*/ 214527 w 214526"/>
                                  <a:gd name="connsiteY6" fmla="*/ 19502 h 150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4526" h="150679">
                                    <a:moveTo>
                                      <a:pt x="195721" y="0"/>
                                    </a:moveTo>
                                    <a:lnTo>
                                      <a:pt x="76849" y="112371"/>
                                    </a:lnTo>
                                    <a:lnTo>
                                      <a:pt x="19735" y="53864"/>
                                    </a:lnTo>
                                    <a:lnTo>
                                      <a:pt x="0" y="72670"/>
                                    </a:lnTo>
                                    <a:lnTo>
                                      <a:pt x="75920" y="150680"/>
                                    </a:lnTo>
                                    <a:lnTo>
                                      <a:pt x="95887" y="132106"/>
                                    </a:lnTo>
                                    <a:lnTo>
                                      <a:pt x="214527" y="19502"/>
                                    </a:lnTo>
                                    <a:close/>
                                  </a:path>
                                </a:pathLst>
                              </a:custGeom>
                              <a:solidFill>
                                <a:srgbClr val="70AD47"/>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20BE91" id="Graphic 2" o:spid="_x0000_s1026" alt="Checkmark" style="width:19.85pt;height:15.5pt;visibility:visible;mso-wrap-style:square;mso-left-percent:-10001;mso-top-percent:-10001;mso-position-horizontal:absolute;mso-position-horizontal-relative:char;mso-position-vertical:absolute;mso-position-vertical-relative:line;mso-left-percent:-10001;mso-top-percent:-10001;v-text-anchor:middle" coordsize="214526,15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" path="m195721,l76849,112371,19735,53864,,72670r75920,78010l95887,132106,214527,19502,195721,xe" fillcolor="#70ad47" stroked="f" strokeweight=".06339mm">
                      <v:stroke joinstyle="miter"/>
                      <v:path arrowok="t" o:connecttype="custom" o:connectlocs="229910,0;90273,146744;23182,70340;0,94899;89182,196771;112637,172516;252001,25467" o:connectangles="0,0,0,0,0,0,0"/>
                      <w10:anchorlock/>
                    </v:shape>
                  </w:pict>
                </mc:Fallback>
              </mc:AlternateContent>
            </w:r>
          </w:p>
        </w:tc>
        <w:tc>
          <w:tcPr>
            <w:tcW w:w="2573" w:type="pct"/>
            <w:shd w:val="clear" w:color="auto" w:fill="FFFFFF" w:themeFill="background2"/>
          </w:tcPr>
          <w:p w14:paraId="3DB3A009" w14:textId="77777777" w:rsidR="003645A2" w:rsidRPr="003645A2" w:rsidRDefault="003645A2" w:rsidP="00FA3D52">
            <w:pPr>
              <w:pStyle w:val="TableBody"/>
            </w:pPr>
            <w:r w:rsidRPr="003645A2">
              <w:t xml:space="preserve">The introduction of the mandatory </w:t>
            </w:r>
            <w:r w:rsidR="00BB0179">
              <w:t>RMP</w:t>
            </w:r>
            <w:r w:rsidRPr="003645A2">
              <w:t xml:space="preserve"> framework under option 2 will directly address existing risks, and corresponding Government objectives, through: </w:t>
            </w:r>
          </w:p>
          <w:p w14:paraId="2F0F40D4" w14:textId="1116A20D" w:rsidR="003645A2" w:rsidRPr="003645A2" w:rsidRDefault="003645A2" w:rsidP="00FA3D52">
            <w:pPr>
              <w:pStyle w:val="TableBullet"/>
              <w:rPr>
                <w:rFonts w:eastAsia="Calibri"/>
              </w:rPr>
            </w:pPr>
            <w:r w:rsidRPr="4C43552D">
              <w:rPr>
                <w:rFonts w:eastAsia="Calibri"/>
              </w:rPr>
              <w:t xml:space="preserve">Enabling, across all </w:t>
            </w:r>
            <w:r w:rsidR="008056F4">
              <w:rPr>
                <w:rFonts w:eastAsia="Calibri"/>
              </w:rPr>
              <w:t>critical infrastructure assets</w:t>
            </w:r>
            <w:r w:rsidRPr="4C43552D">
              <w:rPr>
                <w:rFonts w:eastAsia="Calibri"/>
              </w:rPr>
              <w:t xml:space="preserve">, an uplift in security and resilience. The framework will establish a common baseline for </w:t>
            </w:r>
            <w:r w:rsidR="008056F4">
              <w:rPr>
                <w:rFonts w:eastAsia="Calibri"/>
              </w:rPr>
              <w:t>critical infrastructure assets</w:t>
            </w:r>
            <w:r w:rsidRPr="4C43552D">
              <w:rPr>
                <w:rFonts w:eastAsia="Calibri"/>
              </w:rPr>
              <w:t xml:space="preserve">’ security and resilience. Risk management practices, including preparedness, </w:t>
            </w:r>
            <w:r w:rsidR="00C06F83" w:rsidRPr="4C43552D">
              <w:rPr>
                <w:rFonts w:eastAsia="Calibri"/>
              </w:rPr>
              <w:t>prevention,</w:t>
            </w:r>
            <w:r w:rsidRPr="4C43552D">
              <w:rPr>
                <w:rFonts w:eastAsia="Calibri"/>
              </w:rPr>
              <w:t xml:space="preserve"> and mitigation, will become business as usual for all owners and operators of </w:t>
            </w:r>
            <w:r w:rsidR="008056F4">
              <w:rPr>
                <w:rFonts w:eastAsia="Calibri"/>
              </w:rPr>
              <w:t>critical infrastructure assets</w:t>
            </w:r>
            <w:r w:rsidR="00C46743">
              <w:rPr>
                <w:rFonts w:eastAsia="Calibri"/>
              </w:rPr>
              <w:t>.</w:t>
            </w:r>
          </w:p>
          <w:p w14:paraId="7736CA65" w14:textId="77777777" w:rsidR="00F13FB4" w:rsidRPr="00F13FB4" w:rsidRDefault="003645A2" w:rsidP="00FA3D52">
            <w:pPr>
              <w:pStyle w:val="TableBullet"/>
              <w:rPr>
                <w:rFonts w:eastAsia="Calibri"/>
              </w:rPr>
            </w:pPr>
            <w:r w:rsidRPr="4C43552D">
              <w:rPr>
                <w:rFonts w:eastAsia="Calibri"/>
              </w:rPr>
              <w:t xml:space="preserve">Ensuring responsible entities identify, </w:t>
            </w:r>
            <w:r w:rsidR="00C06F83" w:rsidRPr="4C43552D">
              <w:rPr>
                <w:rFonts w:eastAsia="Calibri"/>
              </w:rPr>
              <w:t>assess,</w:t>
            </w:r>
            <w:r w:rsidRPr="4C43552D">
              <w:rPr>
                <w:rFonts w:eastAsia="Calibri"/>
              </w:rPr>
              <w:t xml:space="preserve"> and mitigate all hazards presenting a material risk to their critical infrastructure assets, in turn lowering the material risk of hazards and their subsequent impacts.</w:t>
            </w:r>
          </w:p>
          <w:p w14:paraId="0BFF8C8A" w14:textId="77777777" w:rsidR="003645A2" w:rsidRPr="00F13FB4" w:rsidRDefault="00F13FB4" w:rsidP="00FA3D52">
            <w:pPr>
              <w:pStyle w:val="TableBullet"/>
              <w:rPr>
                <w:rFonts w:eastAsia="Calibri"/>
              </w:rPr>
            </w:pPr>
            <w:r w:rsidRPr="4C43552D">
              <w:rPr>
                <w:rFonts w:eastAsia="Calibri"/>
              </w:rPr>
              <w:t>The introduction of a risk management program framework which ensures risks are considered and</w:t>
            </w:r>
            <w:r w:rsidR="00C46743">
              <w:rPr>
                <w:rFonts w:eastAsia="Calibri"/>
              </w:rPr>
              <w:t>,</w:t>
            </w:r>
            <w:r w:rsidRPr="4C43552D">
              <w:rPr>
                <w:rFonts w:eastAsia="Calibri"/>
              </w:rPr>
              <w:t xml:space="preserve"> where appropriate, addressed. This will enable the adoption of an </w:t>
            </w:r>
            <w:r w:rsidR="00C06F83" w:rsidRPr="4C43552D">
              <w:rPr>
                <w:rFonts w:eastAsia="Calibri"/>
              </w:rPr>
              <w:t>all-hazards</w:t>
            </w:r>
            <w:r w:rsidRPr="4C43552D">
              <w:rPr>
                <w:rFonts w:eastAsia="Calibri"/>
              </w:rPr>
              <w:t xml:space="preserve"> approach to risk management for </w:t>
            </w:r>
            <w:r w:rsidR="008056F4">
              <w:rPr>
                <w:rFonts w:eastAsia="Calibri"/>
              </w:rPr>
              <w:t>critical infrastructure assets</w:t>
            </w:r>
            <w:r w:rsidRPr="4C43552D">
              <w:rPr>
                <w:rFonts w:eastAsia="Calibri"/>
              </w:rPr>
              <w:t xml:space="preserve">, increasing the resilience of </w:t>
            </w:r>
            <w:r w:rsidR="4C9792E5" w:rsidRPr="4C43552D">
              <w:rPr>
                <w:rFonts w:eastAsia="Calibri"/>
              </w:rPr>
              <w:t xml:space="preserve">these assets. </w:t>
            </w:r>
          </w:p>
          <w:p w14:paraId="65BF49BF" w14:textId="7D3A3076" w:rsidR="003645A2" w:rsidRPr="003645A2" w:rsidRDefault="003645A2" w:rsidP="00FA3D52">
            <w:pPr>
              <w:pStyle w:val="TableBody"/>
            </w:pPr>
            <w:r w:rsidRPr="003645A2">
              <w:t>Addressing these risks will result in substantial avoided costs for industry</w:t>
            </w:r>
            <w:r w:rsidR="00645A12">
              <w:t xml:space="preserve"> and the Australian economy</w:t>
            </w:r>
            <w:r w:rsidRPr="003645A2">
              <w:t xml:space="preserve">, through </w:t>
            </w:r>
            <w:r w:rsidR="005B3566">
              <w:t>mitigating</w:t>
            </w:r>
            <w:r w:rsidR="005B3566" w:rsidRPr="003645A2">
              <w:t xml:space="preserve"> </w:t>
            </w:r>
            <w:r w:rsidRPr="003645A2">
              <w:t xml:space="preserve">the realisation of </w:t>
            </w:r>
            <w:r w:rsidR="005B3566" w:rsidRPr="003645A2">
              <w:t>disrupt</w:t>
            </w:r>
            <w:r w:rsidR="005B3566">
              <w:t>ive</w:t>
            </w:r>
            <w:r w:rsidR="005B3566" w:rsidRPr="003645A2">
              <w:t xml:space="preserve"> </w:t>
            </w:r>
            <w:r w:rsidRPr="003645A2">
              <w:t xml:space="preserve">incidents to </w:t>
            </w:r>
            <w:r w:rsidR="008056F4">
              <w:t>critical infrastructure assets</w:t>
            </w:r>
            <w:r w:rsidRPr="003645A2">
              <w:t xml:space="preserve">. </w:t>
            </w:r>
            <w:r w:rsidR="009F183D">
              <w:t xml:space="preserve">The range of </w:t>
            </w:r>
            <w:r w:rsidR="00627FB4">
              <w:t xml:space="preserve">avoided </w:t>
            </w:r>
            <w:r w:rsidR="009F183D">
              <w:t xml:space="preserve">costs to critical infrastructure assets is </w:t>
            </w:r>
            <w:r w:rsidR="00821ECB">
              <w:t>across</w:t>
            </w:r>
            <w:r w:rsidR="00627FB4">
              <w:t xml:space="preserve"> critical infrastructure assets</w:t>
            </w:r>
            <w:r w:rsidR="00C46743">
              <w:t>,</w:t>
            </w:r>
            <w:r w:rsidR="00627FB4">
              <w:t xml:space="preserve"> and is summarised in Section 4.2.</w:t>
            </w:r>
            <w:r w:rsidR="00E43360">
              <w:t>2</w:t>
            </w:r>
            <w:r w:rsidR="00627FB4">
              <w:t xml:space="preserve"> and detailed</w:t>
            </w:r>
            <w:r w:rsidR="009F183D">
              <w:t xml:space="preserve"> in appendices </w:t>
            </w:r>
            <w:r w:rsidR="00685944">
              <w:t>S</w:t>
            </w:r>
            <w:r w:rsidR="00AA63AB">
              <w:t xml:space="preserve"> – </w:t>
            </w:r>
            <w:r w:rsidR="00685944">
              <w:t>CC</w:t>
            </w:r>
            <w:r w:rsidR="009F183D">
              <w:t xml:space="preserve">. </w:t>
            </w:r>
          </w:p>
          <w:p w14:paraId="767D0664" w14:textId="7D4A5CED" w:rsidR="003645A2" w:rsidRPr="003645A2" w:rsidRDefault="003645A2" w:rsidP="00FA3D52">
            <w:pPr>
              <w:pStyle w:val="TableBody"/>
              <w:rPr>
                <w:i/>
                <w:iCs/>
              </w:rPr>
            </w:pPr>
            <w:r w:rsidRPr="003645A2">
              <w:t xml:space="preserve">Extensive consultation on option 2 has ensured the </w:t>
            </w:r>
            <w:r w:rsidR="00C46743">
              <w:t>f</w:t>
            </w:r>
            <w:r w:rsidRPr="003645A2">
              <w:t xml:space="preserve">ramework remains reasonable and proportional, both in terms of costs and practical compliance activities. </w:t>
            </w:r>
            <w:r w:rsidRPr="003645A2" w:rsidDel="00A04D5A">
              <w:t xml:space="preserve"> </w:t>
            </w:r>
          </w:p>
        </w:tc>
      </w:tr>
      <w:tr w:rsidR="003645A2" w:rsidRPr="003645A2" w14:paraId="585D7B1B" w14:textId="77777777" w:rsidTr="7EBB1CEE">
        <w:trPr>
          <w:cantSplit/>
          <w:trHeight w:val="3817"/>
        </w:trPr>
        <w:tc>
          <w:tcPr>
            <w:tcW w:w="877" w:type="pct"/>
            <w:shd w:val="clear" w:color="auto" w:fill="F2F2F2" w:themeFill="background2" w:themeFillShade="F2"/>
          </w:tcPr>
          <w:p w14:paraId="68EA1091" w14:textId="77777777" w:rsidR="003645A2" w:rsidRPr="003645A2" w:rsidRDefault="003645A2" w:rsidP="00FA3D52">
            <w:pPr>
              <w:pStyle w:val="TableBody"/>
            </w:pPr>
            <w:r w:rsidRPr="003645A2">
              <w:lastRenderedPageBreak/>
              <w:t>Existing legislative arrangements are insufficient for the current threat environment.</w:t>
            </w:r>
          </w:p>
        </w:tc>
        <w:tc>
          <w:tcPr>
            <w:tcW w:w="1281" w:type="pct"/>
            <w:shd w:val="clear" w:color="auto" w:fill="DEEAF6"/>
          </w:tcPr>
          <w:p w14:paraId="768A88B4" w14:textId="77777777" w:rsidR="003645A2" w:rsidRPr="003645A2" w:rsidRDefault="003645A2" w:rsidP="00FA3D52">
            <w:pPr>
              <w:pStyle w:val="TableBullet"/>
              <w:rPr>
                <w:rFonts w:eastAsia="Calibri"/>
              </w:rPr>
            </w:pPr>
            <w:r w:rsidRPr="003645A2">
              <w:rPr>
                <w:rFonts w:eastAsia="Calibri"/>
                <w:b/>
                <w:bCs/>
              </w:rPr>
              <w:t>Lower the material risk</w:t>
            </w:r>
            <w:r w:rsidRPr="003645A2">
              <w:rPr>
                <w:rFonts w:eastAsia="Calibri"/>
              </w:rPr>
              <w:t xml:space="preserve"> of hazards and impacts of those hazards, as they manifest for </w:t>
            </w:r>
            <w:r w:rsidR="008056F4">
              <w:rPr>
                <w:rFonts w:eastAsia="Calibri"/>
              </w:rPr>
              <w:t>critical infrastructure assets</w:t>
            </w:r>
            <w:r w:rsidRPr="003645A2">
              <w:rPr>
                <w:rFonts w:eastAsia="Calibri"/>
              </w:rPr>
              <w:t>.</w:t>
            </w:r>
          </w:p>
          <w:p w14:paraId="3BAB4F29" w14:textId="77777777" w:rsidR="003645A2" w:rsidRPr="003645A2" w:rsidRDefault="003645A2" w:rsidP="00FA3D52">
            <w:pPr>
              <w:pStyle w:val="TableBullet"/>
              <w:rPr>
                <w:rFonts w:eastAsia="Calibri"/>
              </w:rPr>
            </w:pPr>
            <w:r w:rsidRPr="003645A2">
              <w:rPr>
                <w:rFonts w:eastAsia="Calibri"/>
                <w:b/>
                <w:bCs/>
              </w:rPr>
              <w:t>Avoid regulatory duplication</w:t>
            </w:r>
            <w:r w:rsidRPr="003645A2">
              <w:rPr>
                <w:rFonts w:eastAsia="Calibri"/>
              </w:rPr>
              <w:t xml:space="preserve"> and facilitate a </w:t>
            </w:r>
            <w:r w:rsidRPr="003645A2">
              <w:rPr>
                <w:rFonts w:eastAsia="Calibri"/>
                <w:b/>
                <w:bCs/>
              </w:rPr>
              <w:t>coordinated</w:t>
            </w:r>
            <w:r w:rsidRPr="003645A2">
              <w:rPr>
                <w:rFonts w:eastAsia="Calibri"/>
              </w:rPr>
              <w:t xml:space="preserve"> </w:t>
            </w:r>
            <w:r w:rsidRPr="003645A2">
              <w:rPr>
                <w:rFonts w:eastAsia="Calibri"/>
                <w:b/>
                <w:bCs/>
              </w:rPr>
              <w:t>uplift</w:t>
            </w:r>
            <w:r w:rsidRPr="003645A2">
              <w:rPr>
                <w:rFonts w:eastAsia="Calibri"/>
              </w:rPr>
              <w:t xml:space="preserve"> in responsible entities’ compliance with relevant standards. </w:t>
            </w:r>
          </w:p>
        </w:tc>
        <w:tc>
          <w:tcPr>
            <w:tcW w:w="269" w:type="pct"/>
            <w:shd w:val="clear" w:color="auto" w:fill="E2EFD9"/>
          </w:tcPr>
          <w:p w14:paraId="3608B5C8" w14:textId="729795F6" w:rsidR="003645A2" w:rsidRPr="003645A2" w:rsidRDefault="00FA3D52" w:rsidP="00FA3D52">
            <w:pPr>
              <w:pStyle w:val="TableBody"/>
            </w:pPr>
            <w:r w:rsidRPr="003645A2">
              <w:rPr>
                <w:noProof/>
                <w:lang w:val="en-AU" w:eastAsia="en-AU"/>
              </w:rPr>
              <mc:AlternateContent>
                <mc:Choice Requires="wps">
                  <w:drawing>
                    <wp:inline distT="0" distB="0" distL="0" distR="0" wp14:anchorId="0C36F81F" wp14:editId="23D8F67E">
                      <wp:extent cx="252000" cy="196770"/>
                      <wp:effectExtent l="0" t="0" r="0" b="0"/>
                      <wp:docPr id="8" name="Graphic 2" descr="Checkmark"/>
                      <wp:cNvGraphicFramePr/>
                      <a:graphic xmlns:a="http://schemas.openxmlformats.org/drawingml/2006/main">
                        <a:graphicData uri="http://schemas.microsoft.com/office/word/2010/wordprocessingShape">
                          <wps:wsp>
                            <wps:cNvSpPr/>
                            <wps:spPr>
                              <a:xfrm>
                                <a:off x="0" y="0"/>
                                <a:ext cx="252000" cy="196770"/>
                              </a:xfrm>
                              <a:custGeom>
                                <a:avLst/>
                                <a:gdLst>
                                  <a:gd name="connsiteX0" fmla="*/ 195721 w 214526"/>
                                  <a:gd name="connsiteY0" fmla="*/ 0 h 150679"/>
                                  <a:gd name="connsiteX1" fmla="*/ 76849 w 214526"/>
                                  <a:gd name="connsiteY1" fmla="*/ 112371 h 150679"/>
                                  <a:gd name="connsiteX2" fmla="*/ 19735 w 214526"/>
                                  <a:gd name="connsiteY2" fmla="*/ 53864 h 150679"/>
                                  <a:gd name="connsiteX3" fmla="*/ 0 w 214526"/>
                                  <a:gd name="connsiteY3" fmla="*/ 72670 h 150679"/>
                                  <a:gd name="connsiteX4" fmla="*/ 75920 w 214526"/>
                                  <a:gd name="connsiteY4" fmla="*/ 150680 h 150679"/>
                                  <a:gd name="connsiteX5" fmla="*/ 95887 w 214526"/>
                                  <a:gd name="connsiteY5" fmla="*/ 132106 h 150679"/>
                                  <a:gd name="connsiteX6" fmla="*/ 214527 w 214526"/>
                                  <a:gd name="connsiteY6" fmla="*/ 19502 h 150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4526" h="150679">
                                    <a:moveTo>
                                      <a:pt x="195721" y="0"/>
                                    </a:moveTo>
                                    <a:lnTo>
                                      <a:pt x="76849" y="112371"/>
                                    </a:lnTo>
                                    <a:lnTo>
                                      <a:pt x="19735" y="53864"/>
                                    </a:lnTo>
                                    <a:lnTo>
                                      <a:pt x="0" y="72670"/>
                                    </a:lnTo>
                                    <a:lnTo>
                                      <a:pt x="75920" y="150680"/>
                                    </a:lnTo>
                                    <a:lnTo>
                                      <a:pt x="95887" y="132106"/>
                                    </a:lnTo>
                                    <a:lnTo>
                                      <a:pt x="214527" y="19502"/>
                                    </a:lnTo>
                                    <a:close/>
                                  </a:path>
                                </a:pathLst>
                              </a:custGeom>
                              <a:solidFill>
                                <a:srgbClr val="70AD47"/>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2042E5" id="Graphic 2" o:spid="_x0000_s1026" alt="Checkmark" style="width:19.85pt;height:15.5pt;visibility:visible;mso-wrap-style:square;mso-left-percent:-10001;mso-top-percent:-10001;mso-position-horizontal:absolute;mso-position-horizontal-relative:char;mso-position-vertical:absolute;mso-position-vertical-relative:line;mso-left-percent:-10001;mso-top-percent:-10001;v-text-anchor:middle" coordsize="214526,15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" path="m195721,l76849,112371,19735,53864,,72670r75920,78010l95887,132106,214527,19502,195721,xe" fillcolor="#70ad47" stroked="f" strokeweight=".06339mm">
                      <v:stroke joinstyle="miter"/>
                      <v:path arrowok="t" o:connecttype="custom" o:connectlocs="229910,0;90273,146744;23182,70340;0,94899;89182,196771;112637,172516;252001,25467" o:connectangles="0,0,0,0,0,0,0"/>
                      <w10:anchorlock/>
                    </v:shape>
                  </w:pict>
                </mc:Fallback>
              </mc:AlternateContent>
            </w:r>
          </w:p>
        </w:tc>
        <w:tc>
          <w:tcPr>
            <w:tcW w:w="2573" w:type="pct"/>
            <w:shd w:val="clear" w:color="auto" w:fill="FFFFFF" w:themeFill="background2"/>
          </w:tcPr>
          <w:p w14:paraId="073283FD" w14:textId="77777777" w:rsidR="003645A2" w:rsidRPr="003645A2" w:rsidRDefault="003645A2" w:rsidP="00FA3D52">
            <w:pPr>
              <w:pStyle w:val="TableBody"/>
            </w:pPr>
            <w:r w:rsidRPr="003645A2">
              <w:t xml:space="preserve">Option 2 addresses the insufficiency of existing legislative arrangements, and corresponding Government objectives, in a number of ways: </w:t>
            </w:r>
          </w:p>
          <w:p w14:paraId="37FE3B94" w14:textId="1A043616" w:rsidR="003645A2" w:rsidRPr="009B52BA" w:rsidRDefault="003645A2" w:rsidP="00FA3D52">
            <w:pPr>
              <w:pStyle w:val="TableBullet"/>
              <w:rPr>
                <w:rFonts w:eastAsiaTheme="minorEastAsia"/>
                <w:spacing w:val="-4"/>
              </w:rPr>
            </w:pPr>
            <w:r w:rsidRPr="009B52BA">
              <w:rPr>
                <w:rFonts w:eastAsia="Calibri"/>
                <w:spacing w:val="-4"/>
              </w:rPr>
              <w:t xml:space="preserve">The </w:t>
            </w:r>
            <w:r w:rsidR="00BB0179" w:rsidRPr="009B52BA">
              <w:rPr>
                <w:rFonts w:eastAsia="Calibri"/>
                <w:spacing w:val="-4"/>
              </w:rPr>
              <w:t>RMP</w:t>
            </w:r>
            <w:r w:rsidRPr="009B52BA">
              <w:rPr>
                <w:rFonts w:eastAsia="Calibri"/>
                <w:spacing w:val="-4"/>
              </w:rPr>
              <w:t xml:space="preserve"> framework will introduce nuanced</w:t>
            </w:r>
            <w:r w:rsidR="00EA321B" w:rsidRPr="009B52BA">
              <w:rPr>
                <w:rFonts w:eastAsia="Calibri"/>
                <w:spacing w:val="-4"/>
              </w:rPr>
              <w:t xml:space="preserve"> </w:t>
            </w:r>
            <w:r w:rsidRPr="009B52BA">
              <w:rPr>
                <w:rFonts w:eastAsia="Calibri"/>
                <w:spacing w:val="-4"/>
              </w:rPr>
              <w:t xml:space="preserve">regulation, which acknowledges that industry is best placed to identify and lower the material risk of hazards, as they present to the responsible entity. This </w:t>
            </w:r>
            <w:r w:rsidR="00645A12" w:rsidRPr="009B52BA">
              <w:rPr>
                <w:rFonts w:eastAsia="Calibri"/>
                <w:spacing w:val="-4"/>
              </w:rPr>
              <w:t>will</w:t>
            </w:r>
            <w:r w:rsidRPr="009B52BA">
              <w:rPr>
                <w:rFonts w:eastAsia="Calibri"/>
                <w:spacing w:val="-4"/>
              </w:rPr>
              <w:t xml:space="preserve"> result in avoided costs for industry, as well as avoided costs for the Australian economy as a whole</w:t>
            </w:r>
            <w:r w:rsidR="00645A12" w:rsidRPr="009B52BA">
              <w:rPr>
                <w:rFonts w:eastAsia="Calibri"/>
                <w:spacing w:val="-4"/>
              </w:rPr>
              <w:t>. Th</w:t>
            </w:r>
            <w:r w:rsidR="00627FB4" w:rsidRPr="009B52BA">
              <w:rPr>
                <w:rFonts w:eastAsia="Calibri"/>
                <w:spacing w:val="-4"/>
              </w:rPr>
              <w:t>e</w:t>
            </w:r>
            <w:r w:rsidR="00645A12" w:rsidRPr="009B52BA">
              <w:rPr>
                <w:rFonts w:eastAsia="Calibri"/>
                <w:spacing w:val="-4"/>
              </w:rPr>
              <w:t xml:space="preserve"> size of the avoided costs varies </w:t>
            </w:r>
            <w:r w:rsidRPr="009B52BA">
              <w:rPr>
                <w:rFonts w:eastAsia="Calibri"/>
                <w:spacing w:val="-4"/>
              </w:rPr>
              <w:t xml:space="preserve">between </w:t>
            </w:r>
            <w:r w:rsidR="00645A12" w:rsidRPr="009B52BA">
              <w:rPr>
                <w:rFonts w:eastAsia="Calibri"/>
                <w:spacing w:val="-4"/>
              </w:rPr>
              <w:t>critical infrastructure assets</w:t>
            </w:r>
            <w:r w:rsidRPr="009B52BA">
              <w:rPr>
                <w:rFonts w:eastAsia="Calibri"/>
                <w:spacing w:val="-4"/>
              </w:rPr>
              <w:t xml:space="preserve"> and </w:t>
            </w:r>
            <w:r w:rsidR="00645A12" w:rsidRPr="009B52BA">
              <w:rPr>
                <w:rFonts w:eastAsia="Calibri"/>
                <w:spacing w:val="-4"/>
              </w:rPr>
              <w:t>is summarised in Section 4.2.</w:t>
            </w:r>
            <w:r w:rsidR="00E43360" w:rsidRPr="009B52BA">
              <w:rPr>
                <w:rFonts w:eastAsia="Calibri"/>
                <w:spacing w:val="-4"/>
              </w:rPr>
              <w:t>2</w:t>
            </w:r>
            <w:r w:rsidR="00627FB4" w:rsidRPr="009B52BA">
              <w:rPr>
                <w:rFonts w:eastAsia="Calibri"/>
                <w:spacing w:val="-4"/>
              </w:rPr>
              <w:t xml:space="preserve"> and detailed in appendices </w:t>
            </w:r>
            <w:r w:rsidR="00611D81">
              <w:rPr>
                <w:rFonts w:eastAsia="Calibri"/>
              </w:rPr>
              <w:t>S</w:t>
            </w:r>
            <w:r w:rsidR="00AA63AB">
              <w:rPr>
                <w:rFonts w:eastAsia="Calibri"/>
                <w:spacing w:val="-4"/>
              </w:rPr>
              <w:t xml:space="preserve"> – </w:t>
            </w:r>
            <w:r w:rsidR="00611D81" w:rsidRPr="6288A955">
              <w:rPr>
                <w:rFonts w:eastAsia="Calibri"/>
              </w:rPr>
              <w:t>CC</w:t>
            </w:r>
            <w:r w:rsidRPr="009B52BA">
              <w:rPr>
                <w:rFonts w:eastAsia="Calibri"/>
                <w:spacing w:val="-4"/>
              </w:rPr>
              <w:t xml:space="preserve">; and </w:t>
            </w:r>
          </w:p>
          <w:p w14:paraId="2F407F39" w14:textId="77777777" w:rsidR="003645A2" w:rsidRPr="003645A2" w:rsidRDefault="003645A2" w:rsidP="00FA3D52">
            <w:pPr>
              <w:pStyle w:val="TableBullet"/>
              <w:rPr>
                <w:rFonts w:ascii="Calibri" w:eastAsia="Calibri" w:hAnsi="Calibri"/>
                <w:sz w:val="22"/>
                <w:szCs w:val="22"/>
              </w:rPr>
            </w:pPr>
            <w:r w:rsidRPr="003645A2">
              <w:rPr>
                <w:rFonts w:eastAsia="Calibri"/>
              </w:rPr>
              <w:t>The Framework’s ‘on switch’ mechanism means it will not be imposed on assets already subject to a comparable, adequate regulatory scheme. This will ensure industry’s compliance obligations are not duplicated and any unnecessary regulatory burden is avoided.</w:t>
            </w:r>
          </w:p>
        </w:tc>
      </w:tr>
      <w:tr w:rsidR="003645A2" w:rsidRPr="003645A2" w14:paraId="7C465EA7" w14:textId="77777777" w:rsidTr="7EBB1CEE">
        <w:trPr>
          <w:cantSplit/>
        </w:trPr>
        <w:tc>
          <w:tcPr>
            <w:tcW w:w="877" w:type="pct"/>
            <w:shd w:val="clear" w:color="auto" w:fill="F2F2F2" w:themeFill="background2" w:themeFillShade="F2"/>
          </w:tcPr>
          <w:p w14:paraId="1548AD01" w14:textId="32626B3D" w:rsidR="003645A2" w:rsidRPr="003645A2" w:rsidRDefault="003645A2" w:rsidP="00FA3D52">
            <w:pPr>
              <w:pStyle w:val="TableBody"/>
            </w:pPr>
            <w:r w:rsidRPr="003645A2">
              <w:t>The Government has limited visibility of current risk management practices</w:t>
            </w:r>
            <w:r w:rsidR="007A4F17">
              <w:t>,</w:t>
            </w:r>
            <w:r w:rsidRPr="003645A2">
              <w:t xml:space="preserve"> and limited ability to ensure risks are appropriately managed across sectors.</w:t>
            </w:r>
          </w:p>
        </w:tc>
        <w:tc>
          <w:tcPr>
            <w:tcW w:w="1281" w:type="pct"/>
            <w:shd w:val="clear" w:color="auto" w:fill="DEEAF6"/>
          </w:tcPr>
          <w:p w14:paraId="2021ABF3" w14:textId="77777777" w:rsidR="003645A2" w:rsidRPr="003645A2" w:rsidRDefault="003645A2" w:rsidP="00FA3D52">
            <w:pPr>
              <w:pStyle w:val="TableBullet"/>
              <w:rPr>
                <w:rFonts w:eastAsia="Calibri"/>
              </w:rPr>
            </w:pPr>
            <w:r w:rsidRPr="003645A2">
              <w:rPr>
                <w:rFonts w:eastAsia="Calibri"/>
              </w:rPr>
              <w:t xml:space="preserve">Improve Government’s </w:t>
            </w:r>
            <w:r w:rsidRPr="003645A2">
              <w:rPr>
                <w:rFonts w:eastAsia="Calibri"/>
                <w:b/>
                <w:bCs/>
              </w:rPr>
              <w:t>visibility</w:t>
            </w:r>
            <w:r w:rsidRPr="003645A2">
              <w:rPr>
                <w:rFonts w:eastAsia="Calibri"/>
              </w:rPr>
              <w:t xml:space="preserve"> over the security and resilience of </w:t>
            </w:r>
            <w:r w:rsidR="008056F4">
              <w:rPr>
                <w:rFonts w:eastAsia="Calibri"/>
              </w:rPr>
              <w:t>critical infrastructure assets</w:t>
            </w:r>
            <w:r w:rsidRPr="003645A2">
              <w:rPr>
                <w:rFonts w:eastAsia="Calibri"/>
              </w:rPr>
              <w:t>.</w:t>
            </w:r>
          </w:p>
          <w:p w14:paraId="46CE3FAD" w14:textId="77777777" w:rsidR="003645A2" w:rsidRPr="003645A2" w:rsidRDefault="003645A2" w:rsidP="00FA3D52">
            <w:pPr>
              <w:pStyle w:val="TableBullet"/>
              <w:rPr>
                <w:rFonts w:eastAsia="Calibri"/>
              </w:rPr>
            </w:pPr>
            <w:r w:rsidRPr="003645A2">
              <w:rPr>
                <w:rFonts w:eastAsia="Calibri"/>
              </w:rPr>
              <w:t xml:space="preserve">Provide Government with a range of graduated powers to support an uplift in resilience and security across Australia’s </w:t>
            </w:r>
            <w:r w:rsidR="008056F4">
              <w:rPr>
                <w:rFonts w:eastAsia="Calibri"/>
              </w:rPr>
              <w:t>critical infrastructure assets</w:t>
            </w:r>
            <w:r w:rsidRPr="003645A2">
              <w:rPr>
                <w:rFonts w:eastAsia="Calibri"/>
              </w:rPr>
              <w:t>.</w:t>
            </w:r>
          </w:p>
        </w:tc>
        <w:tc>
          <w:tcPr>
            <w:tcW w:w="269" w:type="pct"/>
            <w:shd w:val="clear" w:color="auto" w:fill="E2EFD9"/>
          </w:tcPr>
          <w:p w14:paraId="716DA4BD" w14:textId="3C60F3B5" w:rsidR="003645A2" w:rsidRPr="003645A2" w:rsidRDefault="00FA3D52" w:rsidP="00FA3D52">
            <w:pPr>
              <w:pStyle w:val="TableBody"/>
              <w:rPr>
                <w:rFonts w:ascii="Arial" w:eastAsia="Calibri" w:hAnsi="Arial" w:cs="Arial"/>
              </w:rPr>
            </w:pPr>
            <w:r w:rsidRPr="003645A2">
              <w:rPr>
                <w:noProof/>
                <w:lang w:val="en-AU" w:eastAsia="en-AU"/>
              </w:rPr>
              <mc:AlternateContent>
                <mc:Choice Requires="wps">
                  <w:drawing>
                    <wp:inline distT="0" distB="0" distL="0" distR="0" wp14:anchorId="7323796C" wp14:editId="7EDED78A">
                      <wp:extent cx="252000" cy="196770"/>
                      <wp:effectExtent l="0" t="0" r="0" b="0"/>
                      <wp:docPr id="9" name="Graphic 2" descr="Checkmark"/>
                      <wp:cNvGraphicFramePr/>
                      <a:graphic xmlns:a="http://schemas.openxmlformats.org/drawingml/2006/main">
                        <a:graphicData uri="http://schemas.microsoft.com/office/word/2010/wordprocessingShape">
                          <wps:wsp>
                            <wps:cNvSpPr/>
                            <wps:spPr>
                              <a:xfrm>
                                <a:off x="0" y="0"/>
                                <a:ext cx="252000" cy="196770"/>
                              </a:xfrm>
                              <a:custGeom>
                                <a:avLst/>
                                <a:gdLst>
                                  <a:gd name="connsiteX0" fmla="*/ 195721 w 214526"/>
                                  <a:gd name="connsiteY0" fmla="*/ 0 h 150679"/>
                                  <a:gd name="connsiteX1" fmla="*/ 76849 w 214526"/>
                                  <a:gd name="connsiteY1" fmla="*/ 112371 h 150679"/>
                                  <a:gd name="connsiteX2" fmla="*/ 19735 w 214526"/>
                                  <a:gd name="connsiteY2" fmla="*/ 53864 h 150679"/>
                                  <a:gd name="connsiteX3" fmla="*/ 0 w 214526"/>
                                  <a:gd name="connsiteY3" fmla="*/ 72670 h 150679"/>
                                  <a:gd name="connsiteX4" fmla="*/ 75920 w 214526"/>
                                  <a:gd name="connsiteY4" fmla="*/ 150680 h 150679"/>
                                  <a:gd name="connsiteX5" fmla="*/ 95887 w 214526"/>
                                  <a:gd name="connsiteY5" fmla="*/ 132106 h 150679"/>
                                  <a:gd name="connsiteX6" fmla="*/ 214527 w 214526"/>
                                  <a:gd name="connsiteY6" fmla="*/ 19502 h 150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4526" h="150679">
                                    <a:moveTo>
                                      <a:pt x="195721" y="0"/>
                                    </a:moveTo>
                                    <a:lnTo>
                                      <a:pt x="76849" y="112371"/>
                                    </a:lnTo>
                                    <a:lnTo>
                                      <a:pt x="19735" y="53864"/>
                                    </a:lnTo>
                                    <a:lnTo>
                                      <a:pt x="0" y="72670"/>
                                    </a:lnTo>
                                    <a:lnTo>
                                      <a:pt x="75920" y="150680"/>
                                    </a:lnTo>
                                    <a:lnTo>
                                      <a:pt x="95887" y="132106"/>
                                    </a:lnTo>
                                    <a:lnTo>
                                      <a:pt x="214527" y="19502"/>
                                    </a:lnTo>
                                    <a:close/>
                                  </a:path>
                                </a:pathLst>
                              </a:custGeom>
                              <a:solidFill>
                                <a:srgbClr val="70AD47"/>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0F6F42" id="Graphic 2" o:spid="_x0000_s1026" alt="Checkmark" style="width:19.85pt;height:15.5pt;visibility:visible;mso-wrap-style:square;mso-left-percent:-10001;mso-top-percent:-10001;mso-position-horizontal:absolute;mso-position-horizontal-relative:char;mso-position-vertical:absolute;mso-position-vertical-relative:line;mso-left-percent:-10001;mso-top-percent:-10001;v-text-anchor:middle" coordsize="214526,15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" path="m195721,l76849,112371,19735,53864,,72670r75920,78010l95887,132106,214527,19502,195721,xe" fillcolor="#70ad47" stroked="f" strokeweight=".06339mm">
                      <v:stroke joinstyle="miter"/>
                      <v:path arrowok="t" o:connecttype="custom" o:connectlocs="229910,0;90273,146744;23182,70340;0,94899;89182,196771;112637,172516;252001,25467" o:connectangles="0,0,0,0,0,0,0"/>
                      <w10:anchorlock/>
                    </v:shape>
                  </w:pict>
                </mc:Fallback>
              </mc:AlternateContent>
            </w:r>
          </w:p>
        </w:tc>
        <w:tc>
          <w:tcPr>
            <w:tcW w:w="2573" w:type="pct"/>
            <w:shd w:val="clear" w:color="auto" w:fill="FFFFFF" w:themeFill="background2"/>
          </w:tcPr>
          <w:p w14:paraId="1655DF26" w14:textId="28DBE3CA" w:rsidR="00BD4D44" w:rsidRPr="00BD4D44" w:rsidRDefault="003645A2" w:rsidP="00FA3D52">
            <w:pPr>
              <w:pStyle w:val="TableBody"/>
            </w:pPr>
            <w:r w:rsidRPr="003645A2">
              <w:t>The introduction of mandatory reporting requirements under option 2, including an annual report</w:t>
            </w:r>
            <w:r w:rsidR="007A4F17">
              <w:t xml:space="preserve"> detailing the effectiveness of/compliance with an entity’s RMP</w:t>
            </w:r>
            <w:r w:rsidRPr="003645A2">
              <w:t xml:space="preserve">, will improve Government’s visibility over the security and resilience of </w:t>
            </w:r>
            <w:r w:rsidR="008056F4">
              <w:t>critical infrastructure assets</w:t>
            </w:r>
            <w:r w:rsidRPr="003645A2">
              <w:t xml:space="preserve">, by providing </w:t>
            </w:r>
            <w:r w:rsidRPr="00BD4D44">
              <w:t>Government with a clear visibility of each responsible entities’ approach to uplifting the security and resilience of their asset</w:t>
            </w:r>
            <w:r w:rsidR="007A4F17">
              <w:t>/s</w:t>
            </w:r>
            <w:r w:rsidRPr="00BD4D44">
              <w:t xml:space="preserve">. </w:t>
            </w:r>
          </w:p>
          <w:p w14:paraId="775E6B46" w14:textId="77777777" w:rsidR="003645A2" w:rsidRPr="00531F25" w:rsidRDefault="00BD4D44" w:rsidP="00FA3D52">
            <w:pPr>
              <w:pStyle w:val="TableBody"/>
            </w:pPr>
            <w:r w:rsidRPr="00531F25">
              <w:t>The risk management program framework will ensure risk management considerations are appropriately prioritised by responsible entities. Government will also have a range of graduated powers to support an uplift in resilience and security across Australia’s critical electricity assets.</w:t>
            </w:r>
          </w:p>
        </w:tc>
      </w:tr>
      <w:tr w:rsidR="003645A2" w:rsidRPr="003645A2" w14:paraId="44BD556B" w14:textId="77777777" w:rsidTr="7EBB1CEE">
        <w:trPr>
          <w:cantSplit/>
        </w:trPr>
        <w:tc>
          <w:tcPr>
            <w:tcW w:w="877" w:type="pct"/>
            <w:shd w:val="clear" w:color="auto" w:fill="F2F2F2" w:themeFill="background2" w:themeFillShade="F2"/>
          </w:tcPr>
          <w:p w14:paraId="32AA212F" w14:textId="68803F5F" w:rsidR="003645A2" w:rsidRPr="003645A2" w:rsidRDefault="003645A2" w:rsidP="00FA3D52">
            <w:pPr>
              <w:pStyle w:val="TableBody"/>
              <w:rPr>
                <w:sz w:val="22"/>
              </w:rPr>
            </w:pPr>
            <w:bookmarkStart w:id="363" w:name="_Toc74212059"/>
            <w:bookmarkStart w:id="364" w:name="_Toc74212334"/>
            <w:bookmarkStart w:id="365" w:name="_Toc74661609"/>
            <w:bookmarkStart w:id="366" w:name="_Toc74755260"/>
            <w:bookmarkStart w:id="367" w:name="_Toc74756972"/>
            <w:bookmarkStart w:id="368" w:name="_Toc74832209"/>
            <w:bookmarkStart w:id="369" w:name="_Toc74841214"/>
            <w:bookmarkStart w:id="370" w:name="_Toc74913994"/>
            <w:bookmarkStart w:id="371" w:name="_Toc76050847"/>
            <w:r w:rsidRPr="003645A2">
              <w:t>A stronger partnership between Government and industry is needed to drive a wholesale uplift in security and resilience.</w:t>
            </w:r>
            <w:bookmarkEnd w:id="363"/>
            <w:bookmarkEnd w:id="364"/>
            <w:bookmarkEnd w:id="365"/>
            <w:bookmarkEnd w:id="366"/>
            <w:bookmarkEnd w:id="367"/>
            <w:bookmarkEnd w:id="368"/>
            <w:bookmarkEnd w:id="369"/>
            <w:bookmarkEnd w:id="370"/>
            <w:bookmarkEnd w:id="371"/>
          </w:p>
        </w:tc>
        <w:tc>
          <w:tcPr>
            <w:tcW w:w="1281" w:type="pct"/>
            <w:shd w:val="clear" w:color="auto" w:fill="DEEAF6"/>
          </w:tcPr>
          <w:p w14:paraId="43C7CCEF" w14:textId="77777777" w:rsidR="003645A2" w:rsidRPr="003645A2" w:rsidRDefault="003645A2" w:rsidP="00FA3D52">
            <w:pPr>
              <w:pStyle w:val="TableBullet"/>
              <w:rPr>
                <w:rFonts w:eastAsia="Calibri"/>
              </w:rPr>
            </w:pPr>
            <w:r w:rsidRPr="003645A2">
              <w:rPr>
                <w:rFonts w:eastAsia="Calibri"/>
              </w:rPr>
              <w:t xml:space="preserve">Avoid regulatory duplication and facilitate a </w:t>
            </w:r>
            <w:r w:rsidRPr="003645A2">
              <w:rPr>
                <w:rFonts w:eastAsia="Calibri"/>
                <w:b/>
                <w:bCs/>
              </w:rPr>
              <w:t>coordinated</w:t>
            </w:r>
            <w:r w:rsidRPr="003645A2">
              <w:rPr>
                <w:rFonts w:eastAsia="Calibri"/>
              </w:rPr>
              <w:t xml:space="preserve"> </w:t>
            </w:r>
            <w:r w:rsidRPr="003645A2">
              <w:rPr>
                <w:rFonts w:eastAsia="Calibri"/>
                <w:b/>
                <w:bCs/>
              </w:rPr>
              <w:t>uplift</w:t>
            </w:r>
            <w:r w:rsidRPr="003645A2">
              <w:rPr>
                <w:rFonts w:eastAsia="Calibri"/>
              </w:rPr>
              <w:t xml:space="preserve"> in responsible entities’ compliance with relevant standards.</w:t>
            </w:r>
          </w:p>
        </w:tc>
        <w:tc>
          <w:tcPr>
            <w:tcW w:w="269" w:type="pct"/>
            <w:shd w:val="clear" w:color="auto" w:fill="E2EFD9"/>
          </w:tcPr>
          <w:p w14:paraId="630DC3E4" w14:textId="739DAAFB" w:rsidR="003645A2" w:rsidRPr="003645A2" w:rsidRDefault="00FA3D52" w:rsidP="00FA3D52">
            <w:pPr>
              <w:pStyle w:val="TableBody"/>
              <w:rPr>
                <w:rFonts w:ascii="Arial" w:eastAsia="Calibri" w:hAnsi="Arial" w:cs="Arial"/>
              </w:rPr>
            </w:pPr>
            <w:r w:rsidRPr="003645A2">
              <w:rPr>
                <w:noProof/>
                <w:lang w:val="en-AU" w:eastAsia="en-AU"/>
              </w:rPr>
              <mc:AlternateContent>
                <mc:Choice Requires="wps">
                  <w:drawing>
                    <wp:inline distT="0" distB="0" distL="0" distR="0" wp14:anchorId="02B5458A" wp14:editId="60B7B87D">
                      <wp:extent cx="252000" cy="196770"/>
                      <wp:effectExtent l="0" t="0" r="0" b="0"/>
                      <wp:docPr id="11" name="Graphic 2" descr="Checkmark"/>
                      <wp:cNvGraphicFramePr/>
                      <a:graphic xmlns:a="http://schemas.openxmlformats.org/drawingml/2006/main">
                        <a:graphicData uri="http://schemas.microsoft.com/office/word/2010/wordprocessingShape">
                          <wps:wsp>
                            <wps:cNvSpPr/>
                            <wps:spPr>
                              <a:xfrm>
                                <a:off x="0" y="0"/>
                                <a:ext cx="252000" cy="196770"/>
                              </a:xfrm>
                              <a:custGeom>
                                <a:avLst/>
                                <a:gdLst>
                                  <a:gd name="connsiteX0" fmla="*/ 195721 w 214526"/>
                                  <a:gd name="connsiteY0" fmla="*/ 0 h 150679"/>
                                  <a:gd name="connsiteX1" fmla="*/ 76849 w 214526"/>
                                  <a:gd name="connsiteY1" fmla="*/ 112371 h 150679"/>
                                  <a:gd name="connsiteX2" fmla="*/ 19735 w 214526"/>
                                  <a:gd name="connsiteY2" fmla="*/ 53864 h 150679"/>
                                  <a:gd name="connsiteX3" fmla="*/ 0 w 214526"/>
                                  <a:gd name="connsiteY3" fmla="*/ 72670 h 150679"/>
                                  <a:gd name="connsiteX4" fmla="*/ 75920 w 214526"/>
                                  <a:gd name="connsiteY4" fmla="*/ 150680 h 150679"/>
                                  <a:gd name="connsiteX5" fmla="*/ 95887 w 214526"/>
                                  <a:gd name="connsiteY5" fmla="*/ 132106 h 150679"/>
                                  <a:gd name="connsiteX6" fmla="*/ 214527 w 214526"/>
                                  <a:gd name="connsiteY6" fmla="*/ 19502 h 150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4526" h="150679">
                                    <a:moveTo>
                                      <a:pt x="195721" y="0"/>
                                    </a:moveTo>
                                    <a:lnTo>
                                      <a:pt x="76849" y="112371"/>
                                    </a:lnTo>
                                    <a:lnTo>
                                      <a:pt x="19735" y="53864"/>
                                    </a:lnTo>
                                    <a:lnTo>
                                      <a:pt x="0" y="72670"/>
                                    </a:lnTo>
                                    <a:lnTo>
                                      <a:pt x="75920" y="150680"/>
                                    </a:lnTo>
                                    <a:lnTo>
                                      <a:pt x="95887" y="132106"/>
                                    </a:lnTo>
                                    <a:lnTo>
                                      <a:pt x="214527" y="19502"/>
                                    </a:lnTo>
                                    <a:close/>
                                  </a:path>
                                </a:pathLst>
                              </a:custGeom>
                              <a:solidFill>
                                <a:srgbClr val="70AD47"/>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C56D6B" id="Graphic 2" o:spid="_x0000_s1026" alt="Checkmark" style="width:19.85pt;height:15.5pt;visibility:visible;mso-wrap-style:square;mso-left-percent:-10001;mso-top-percent:-10001;mso-position-horizontal:absolute;mso-position-horizontal-relative:char;mso-position-vertical:absolute;mso-position-vertical-relative:line;mso-left-percent:-10001;mso-top-percent:-10001;v-text-anchor:middle" coordsize="214526,15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" path="m195721,l76849,112371,19735,53864,,72670r75920,78010l95887,132106,214527,19502,195721,xe" fillcolor="#70ad47" stroked="f" strokeweight=".06339mm">
                      <v:stroke joinstyle="miter"/>
                      <v:path arrowok="t" o:connecttype="custom" o:connectlocs="229910,0;90273,146744;23182,70340;0,94899;89182,196771;112637,172516;252001,25467" o:connectangles="0,0,0,0,0,0,0"/>
                      <w10:anchorlock/>
                    </v:shape>
                  </w:pict>
                </mc:Fallback>
              </mc:AlternateContent>
            </w:r>
          </w:p>
        </w:tc>
        <w:tc>
          <w:tcPr>
            <w:tcW w:w="2573" w:type="pct"/>
            <w:shd w:val="clear" w:color="auto" w:fill="FFFFFF" w:themeFill="background2"/>
          </w:tcPr>
          <w:p w14:paraId="2220DE38" w14:textId="77777777" w:rsidR="003645A2" w:rsidRPr="003645A2" w:rsidRDefault="003645A2" w:rsidP="00FA3D52">
            <w:pPr>
              <w:pStyle w:val="TableBody"/>
            </w:pPr>
            <w:r w:rsidRPr="003645A2">
              <w:t xml:space="preserve">The </w:t>
            </w:r>
            <w:r w:rsidR="00EA321B">
              <w:t>consultation</w:t>
            </w:r>
            <w:r w:rsidRPr="003645A2">
              <w:t xml:space="preserve"> process, involving collaboration between Government and industry and consultation on the manner and form of option 2, has marked the continuation of a strengthened partnership between Government and industry, leveraging the pre-existing relationships with some sectors through the TISN, and the engagements which commenced on the reforms in August 2020. </w:t>
            </w:r>
          </w:p>
          <w:p w14:paraId="61F9BC65" w14:textId="5C4AC482" w:rsidR="003645A2" w:rsidRPr="009B52BA" w:rsidRDefault="003645A2" w:rsidP="00FA3D52">
            <w:pPr>
              <w:pStyle w:val="TableBody"/>
              <w:rPr>
                <w:color w:val="auto"/>
                <w:spacing w:val="-4"/>
                <w:szCs w:val="24"/>
              </w:rPr>
            </w:pPr>
            <w:r w:rsidRPr="009B52BA">
              <w:rPr>
                <w:color w:val="auto"/>
                <w:spacing w:val="-4"/>
                <w:szCs w:val="24"/>
              </w:rPr>
              <w:t xml:space="preserve">Further, option 2’s accompanying guidance materials and continued use of communication tools (including the TISN) will allow Government to strengthen its partnership with industry, by gaining an understanding of each asset’s operating environment and each responsible entity’s risk management practices. Similarly, a stronger partnership </w:t>
            </w:r>
            <w:r w:rsidR="000D1D1E" w:rsidRPr="009B52BA">
              <w:rPr>
                <w:color w:val="auto"/>
                <w:spacing w:val="-4"/>
                <w:szCs w:val="24"/>
              </w:rPr>
              <w:t>will ensure</w:t>
            </w:r>
            <w:r w:rsidRPr="009B52BA">
              <w:rPr>
                <w:color w:val="auto"/>
                <w:spacing w:val="-4"/>
                <w:szCs w:val="24"/>
              </w:rPr>
              <w:t xml:space="preserve"> industry’s awareness and understanding of the need to uplift the security and resilience of </w:t>
            </w:r>
            <w:r w:rsidR="008056F4" w:rsidRPr="009B52BA">
              <w:rPr>
                <w:color w:val="auto"/>
                <w:spacing w:val="-4"/>
                <w:szCs w:val="24"/>
              </w:rPr>
              <w:t>critical infrastructure assets</w:t>
            </w:r>
            <w:r w:rsidRPr="009B52BA">
              <w:rPr>
                <w:color w:val="auto"/>
                <w:spacing w:val="-4"/>
                <w:szCs w:val="24"/>
              </w:rPr>
              <w:t xml:space="preserve"> has been enhanced.</w:t>
            </w:r>
          </w:p>
        </w:tc>
      </w:tr>
    </w:tbl>
    <w:p w14:paraId="2E82C4D6" w14:textId="75910B50" w:rsidR="003645A2" w:rsidRPr="003645A2" w:rsidRDefault="00D954C7" w:rsidP="005F305C">
      <w:pPr>
        <w:pStyle w:val="BodyText"/>
        <w:spacing w:before="240"/>
      </w:pPr>
      <w:r w:rsidRPr="003645A2">
        <w:t xml:space="preserve">The summary contained in </w:t>
      </w:r>
      <w:r w:rsidRPr="003645A2">
        <w:fldChar w:fldCharType="begin"/>
      </w:r>
      <w:r w:rsidRPr="003645A2">
        <w:instrText xml:space="preserve"> REF _Ref78469988 \h  \* MERGEFORMAT </w:instrText>
      </w:r>
      <w:r w:rsidRPr="003645A2">
        <w:fldChar w:fldCharType="separate"/>
      </w:r>
      <w:r w:rsidR="009708D4" w:rsidRPr="009708D4">
        <w:t xml:space="preserve">Table </w:t>
      </w:r>
      <w:r w:rsidR="009708D4" w:rsidRPr="009708D4">
        <w:rPr>
          <w:noProof/>
        </w:rPr>
        <w:t>22</w:t>
      </w:r>
      <w:r w:rsidRPr="003645A2">
        <w:fldChar w:fldCharType="end"/>
      </w:r>
      <w:r w:rsidRPr="003645A2">
        <w:t xml:space="preserve"> above indicates that option </w:t>
      </w:r>
      <w:r w:rsidRPr="00D954C7">
        <w:t xml:space="preserve">2 is the best option. </w:t>
      </w:r>
      <w:r w:rsidRPr="00531F25">
        <w:t xml:space="preserve">This is primarily because the introduction of a risk management program framework is the only option capable of addressing each problem area identified in this RIS, </w:t>
      </w:r>
      <w:r w:rsidRPr="00D954C7">
        <w:t>as described in</w:t>
      </w:r>
      <w:r>
        <w:t xml:space="preserve"> </w:t>
      </w:r>
      <w:r>
        <w:fldChar w:fldCharType="begin"/>
      </w:r>
      <w:r>
        <w:instrText xml:space="preserve"> REF _Ref79156022 \h  \* MERGEFORMAT </w:instrText>
      </w:r>
      <w:r>
        <w:fldChar w:fldCharType="separate"/>
      </w:r>
      <w:r w:rsidR="009708D4" w:rsidRPr="009708D4">
        <w:t>Table 23</w:t>
      </w:r>
      <w:r>
        <w:fldChar w:fldCharType="end"/>
      </w:r>
      <w:r>
        <w:t xml:space="preserve"> below. </w:t>
      </w:r>
      <w:r w:rsidR="00A12532">
        <w:t>It</w:t>
      </w:r>
      <w:r w:rsidR="00600419">
        <w:t xml:space="preserve"> </w:t>
      </w:r>
      <w:r w:rsidR="00600419">
        <w:lastRenderedPageBreak/>
        <w:t>achieves t</w:t>
      </w:r>
      <w:r w:rsidR="003645A2" w:rsidRPr="003645A2">
        <w:t xml:space="preserve">he objectives of Government </w:t>
      </w:r>
      <w:r w:rsidR="00CB186F" w:rsidRPr="003645A2">
        <w:t>intervention and</w:t>
      </w:r>
      <w:r w:rsidR="003645A2" w:rsidRPr="003645A2">
        <w:t xml:space="preserve"> stands to deliver substantial benefits to industry and the Australian economy as a whole. Conversely, </w:t>
      </w:r>
      <w:r w:rsidR="003645A2" w:rsidRPr="003645A2">
        <w:rPr>
          <w:sz w:val="28"/>
        </w:rPr>
        <w:fldChar w:fldCharType="begin"/>
      </w:r>
      <w:r w:rsidR="003645A2" w:rsidRPr="003645A2">
        <w:rPr>
          <w:sz w:val="28"/>
        </w:rPr>
        <w:instrText xml:space="preserve"> REF _Ref79156022 \h  \* MERGEFORMAT </w:instrText>
      </w:r>
      <w:r w:rsidR="003645A2" w:rsidRPr="003645A2">
        <w:rPr>
          <w:sz w:val="28"/>
        </w:rPr>
      </w:r>
      <w:r w:rsidR="003645A2" w:rsidRPr="003645A2">
        <w:rPr>
          <w:sz w:val="28"/>
        </w:rPr>
        <w:fldChar w:fldCharType="separate"/>
      </w:r>
      <w:r w:rsidR="009708D4" w:rsidRPr="009708D4">
        <w:rPr>
          <w:iCs/>
          <w:szCs w:val="18"/>
        </w:rPr>
        <w:t xml:space="preserve">Table </w:t>
      </w:r>
      <w:r w:rsidR="009708D4" w:rsidRPr="009708D4">
        <w:rPr>
          <w:iCs/>
          <w:noProof/>
          <w:szCs w:val="18"/>
        </w:rPr>
        <w:t>23</w:t>
      </w:r>
      <w:r w:rsidR="003645A2" w:rsidRPr="003645A2">
        <w:rPr>
          <w:sz w:val="28"/>
        </w:rPr>
        <w:fldChar w:fldCharType="end"/>
      </w:r>
      <w:r w:rsidR="003645A2">
        <w:t xml:space="preserve"> </w:t>
      </w:r>
      <w:r w:rsidR="003645A2" w:rsidRPr="003645A2">
        <w:t>below draws on the analysis undertaken in Section 4 above, to highlight option 1 and 3’s inability to address the identified problem areas and meet Government’s objectives for intervention.</w:t>
      </w:r>
    </w:p>
    <w:p w14:paraId="6DE7C921" w14:textId="10D0DFC7" w:rsidR="003645A2" w:rsidRPr="003645A2" w:rsidRDefault="003645A2" w:rsidP="00E06C13">
      <w:pPr>
        <w:pStyle w:val="Caption"/>
      </w:pPr>
      <w:bookmarkStart w:id="372" w:name="_Ref78470097"/>
      <w:bookmarkStart w:id="373" w:name="_Ref79156022"/>
      <w:bookmarkStart w:id="374" w:name="_Toc78878031"/>
      <w:bookmarkStart w:id="375" w:name="_Toc79156707"/>
      <w:bookmarkStart w:id="376" w:name="_Toc120115108"/>
      <w:r w:rsidRPr="003645A2">
        <w:rPr>
          <w:b/>
        </w:rPr>
        <w:t xml:space="preserve">Table </w:t>
      </w:r>
      <w:r w:rsidRPr="003645A2">
        <w:rPr>
          <w:b/>
        </w:rPr>
        <w:fldChar w:fldCharType="begin"/>
      </w:r>
      <w:r w:rsidRPr="003645A2">
        <w:rPr>
          <w:b/>
        </w:rPr>
        <w:instrText xml:space="preserve"> SEQ Table \* ARABIC </w:instrText>
      </w:r>
      <w:r w:rsidRPr="003645A2">
        <w:rPr>
          <w:b/>
        </w:rPr>
        <w:fldChar w:fldCharType="separate"/>
      </w:r>
      <w:r w:rsidR="009708D4">
        <w:rPr>
          <w:b/>
          <w:noProof/>
        </w:rPr>
        <w:t>23</w:t>
      </w:r>
      <w:r w:rsidRPr="003645A2">
        <w:rPr>
          <w:b/>
        </w:rPr>
        <w:fldChar w:fldCharType="end"/>
      </w:r>
      <w:bookmarkEnd w:id="372"/>
      <w:bookmarkEnd w:id="373"/>
      <w:r w:rsidRPr="003645A2">
        <w:t xml:space="preserve"> Option 1 and 3 lack of alignment with problem areas and Government objectives</w:t>
      </w:r>
      <w:bookmarkEnd w:id="374"/>
      <w:bookmarkEnd w:id="375"/>
      <w:bookmarkEnd w:id="376"/>
    </w:p>
    <w:tbl>
      <w:tblPr>
        <w:tblStyle w:val="TableGrid33"/>
        <w:tblW w:w="5000" w:type="pct"/>
        <w:jc w:val="center"/>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1482"/>
        <w:gridCol w:w="2435"/>
        <w:gridCol w:w="478"/>
        <w:gridCol w:w="5243"/>
      </w:tblGrid>
      <w:tr w:rsidR="003645A2" w:rsidRPr="003645A2" w14:paraId="4FAA912C" w14:textId="77777777" w:rsidTr="00C116FB">
        <w:trPr>
          <w:cantSplit/>
          <w:tblHeader/>
          <w:jc w:val="center"/>
        </w:trPr>
        <w:tc>
          <w:tcPr>
            <w:tcW w:w="769" w:type="pct"/>
            <w:shd w:val="clear" w:color="auto" w:fill="034EA2" w:themeFill="accent1"/>
            <w:hideMark/>
          </w:tcPr>
          <w:p w14:paraId="701BF132" w14:textId="77777777" w:rsidR="003645A2" w:rsidRPr="003645A2" w:rsidRDefault="003645A2" w:rsidP="00E435BD">
            <w:pPr>
              <w:pStyle w:val="TableHeading"/>
            </w:pPr>
            <w:r w:rsidRPr="003645A2">
              <w:t>Problem area</w:t>
            </w:r>
          </w:p>
        </w:tc>
        <w:tc>
          <w:tcPr>
            <w:tcW w:w="1263" w:type="pct"/>
            <w:shd w:val="clear" w:color="auto" w:fill="034EA2" w:themeFill="accent1"/>
            <w:hideMark/>
          </w:tcPr>
          <w:p w14:paraId="7B00EEE4" w14:textId="77777777" w:rsidR="003645A2" w:rsidRPr="003645A2" w:rsidRDefault="003645A2" w:rsidP="00E435BD">
            <w:pPr>
              <w:pStyle w:val="TableHeading"/>
            </w:pPr>
            <w:r w:rsidRPr="003645A2">
              <w:t>Government’s objective</w:t>
            </w:r>
          </w:p>
        </w:tc>
        <w:tc>
          <w:tcPr>
            <w:tcW w:w="2968" w:type="pct"/>
            <w:gridSpan w:val="2"/>
            <w:shd w:val="clear" w:color="auto" w:fill="034EA2" w:themeFill="accent1"/>
            <w:hideMark/>
          </w:tcPr>
          <w:p w14:paraId="6DD99809" w14:textId="77777777" w:rsidR="003645A2" w:rsidRPr="003645A2" w:rsidRDefault="003645A2" w:rsidP="00E435BD">
            <w:pPr>
              <w:pStyle w:val="TableHeading"/>
            </w:pPr>
            <w:r w:rsidRPr="003645A2">
              <w:t>Why not option 1 or 3?</w:t>
            </w:r>
          </w:p>
        </w:tc>
      </w:tr>
      <w:tr w:rsidR="00232E4B" w:rsidRPr="003645A2" w14:paraId="4C0B6F64" w14:textId="77777777" w:rsidTr="7EBB1CEE">
        <w:trPr>
          <w:cantSplit/>
          <w:trHeight w:val="2442"/>
          <w:jc w:val="center"/>
        </w:trPr>
        <w:tc>
          <w:tcPr>
            <w:tcW w:w="769" w:type="pct"/>
            <w:vMerge w:val="restart"/>
            <w:shd w:val="clear" w:color="auto" w:fill="F2F2F2" w:themeFill="background2" w:themeFillShade="F2"/>
            <w:hideMark/>
          </w:tcPr>
          <w:p w14:paraId="5D902138" w14:textId="77777777" w:rsidR="003645A2" w:rsidRPr="003645A2" w:rsidRDefault="003645A2" w:rsidP="00E435BD">
            <w:pPr>
              <w:pStyle w:val="TableBody"/>
            </w:pPr>
            <w:r w:rsidRPr="003645A2">
              <w:t xml:space="preserve">There are risks to </w:t>
            </w:r>
            <w:r w:rsidR="008056F4">
              <w:t>critical infrastructure assets</w:t>
            </w:r>
            <w:r w:rsidRPr="003645A2">
              <w:t>.</w:t>
            </w:r>
          </w:p>
        </w:tc>
        <w:tc>
          <w:tcPr>
            <w:tcW w:w="1263" w:type="pct"/>
            <w:vMerge w:val="restart"/>
            <w:shd w:val="clear" w:color="auto" w:fill="DEEAF6"/>
            <w:hideMark/>
          </w:tcPr>
          <w:p w14:paraId="7D57522F" w14:textId="77777777" w:rsidR="003645A2" w:rsidRPr="003645A2" w:rsidRDefault="003645A2" w:rsidP="00D86E9D">
            <w:pPr>
              <w:pStyle w:val="TableBullet"/>
              <w:rPr>
                <w:rFonts w:eastAsia="Calibri"/>
              </w:rPr>
            </w:pPr>
            <w:r w:rsidRPr="003645A2">
              <w:rPr>
                <w:rFonts w:eastAsia="Calibri"/>
                <w:b/>
                <w:bCs/>
              </w:rPr>
              <w:t>Lower the material risk</w:t>
            </w:r>
            <w:r w:rsidRPr="003645A2">
              <w:rPr>
                <w:rFonts w:eastAsia="Calibri"/>
              </w:rPr>
              <w:t xml:space="preserve"> of hazards and impacts of those hazards, as they manifest for </w:t>
            </w:r>
            <w:r w:rsidR="008056F4">
              <w:rPr>
                <w:rFonts w:eastAsia="Calibri"/>
              </w:rPr>
              <w:t>critical infrastructure assets</w:t>
            </w:r>
            <w:r w:rsidRPr="003645A2">
              <w:rPr>
                <w:rFonts w:eastAsia="Calibri"/>
              </w:rPr>
              <w:t>.</w:t>
            </w:r>
          </w:p>
          <w:p w14:paraId="19F8C40C" w14:textId="77777777" w:rsidR="003645A2" w:rsidRPr="003645A2" w:rsidRDefault="003645A2" w:rsidP="00D86E9D">
            <w:pPr>
              <w:pStyle w:val="TableBullet"/>
              <w:rPr>
                <w:rFonts w:eastAsia="Calibri"/>
              </w:rPr>
            </w:pPr>
            <w:r w:rsidRPr="003645A2">
              <w:rPr>
                <w:rFonts w:eastAsia="Calibri"/>
              </w:rPr>
              <w:t xml:space="preserve">Ensure that adoption of the </w:t>
            </w:r>
            <w:r w:rsidR="00BB0179">
              <w:rPr>
                <w:rFonts w:eastAsia="Calibri"/>
              </w:rPr>
              <w:t>RMP</w:t>
            </w:r>
            <w:r w:rsidRPr="003645A2">
              <w:rPr>
                <w:rFonts w:eastAsia="Calibri"/>
              </w:rPr>
              <w:t xml:space="preserve"> for </w:t>
            </w:r>
            <w:r w:rsidR="008056F4">
              <w:rPr>
                <w:rFonts w:eastAsia="Calibri"/>
              </w:rPr>
              <w:t>critical infrastructure assets</w:t>
            </w:r>
            <w:r w:rsidRPr="003645A2">
              <w:rPr>
                <w:rFonts w:eastAsia="Calibri"/>
              </w:rPr>
              <w:t xml:space="preserve"> is </w:t>
            </w:r>
            <w:r w:rsidRPr="003645A2">
              <w:rPr>
                <w:rFonts w:eastAsia="Calibri"/>
                <w:b/>
                <w:bCs/>
              </w:rPr>
              <w:t>reasonable and proportional</w:t>
            </w:r>
            <w:r w:rsidRPr="003645A2">
              <w:rPr>
                <w:rFonts w:eastAsia="Calibri"/>
              </w:rPr>
              <w:t xml:space="preserve"> to the purpose of the program.  </w:t>
            </w:r>
          </w:p>
        </w:tc>
        <w:tc>
          <w:tcPr>
            <w:tcW w:w="248" w:type="pct"/>
            <w:tcBorders>
              <w:top w:val="single" w:sz="4" w:space="0" w:color="BFBFBF" w:themeColor="background2" w:themeShade="BF"/>
              <w:bottom w:val="nil"/>
            </w:tcBorders>
            <w:shd w:val="clear" w:color="auto" w:fill="FBE4D5"/>
          </w:tcPr>
          <w:p w14:paraId="5F6229A3" w14:textId="784799FF" w:rsidR="003645A2" w:rsidRPr="003645A2" w:rsidRDefault="003645A2" w:rsidP="00232E4B">
            <w:pPr>
              <w:pStyle w:val="TableBody"/>
              <w:rPr>
                <w:rFonts w:ascii="Arial" w:hAnsi="Arial" w:cs="Arial"/>
              </w:rPr>
            </w:pPr>
            <w:r w:rsidRPr="003645A2">
              <w:rPr>
                <w:noProof/>
                <w:lang w:val="en-AU" w:eastAsia="en-AU"/>
              </w:rPr>
              <mc:AlternateContent>
                <mc:Choice Requires="wps">
                  <w:drawing>
                    <wp:inline distT="0" distB="0" distL="0" distR="0" wp14:anchorId="05B3E6B1" wp14:editId="11B4EE97">
                      <wp:extent cx="222871" cy="237663"/>
                      <wp:effectExtent l="0" t="0" r="0" b="0"/>
                      <wp:docPr id="12" name="Multiplication Sign 12" descr="Checkmark"/>
                      <wp:cNvGraphicFramePr/>
                      <a:graphic xmlns:a="http://schemas.openxmlformats.org/drawingml/2006/main">
                        <a:graphicData uri="http://schemas.microsoft.com/office/word/2010/wordprocessingShape">
                          <wps:wsp>
                            <wps:cNvSpPr/>
                            <wps:spPr>
                              <a:xfrm>
                                <a:off x="0" y="0"/>
                                <a:ext cx="222871" cy="237663"/>
                              </a:xfrm>
                              <a:prstGeom prst="mathMultiply">
                                <a:avLst/>
                              </a:prstGeom>
                              <a:solidFill>
                                <a:srgbClr val="ED7D31"/>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0AD786" id="Multiplication Sign 12" o:spid="_x0000_s1026" alt="Checkmark" style="width:17.55pt;height:18.7pt;visibility:visible;mso-wrap-style:square;mso-left-percent:-10001;mso-top-percent:-10001;mso-position-horizontal:absolute;mso-position-horizontal-relative:char;mso-position-vertical:absolute;mso-position-vertical-relative:line;mso-left-percent:-10001;mso-top-percent:-10001;v-text-anchor:middle" coordsize="222871,23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" path="m34410,75009l72646,39152r38790,41364l150225,39152r38236,35857l147367,118832r41094,43822l150225,198511,111436,157147,72646,198511,34410,162654,75504,118832,34410,75009xe" fillcolor="#ed7d31" stroked="f" strokeweight=".06339mm">
                      <v:stroke joinstyle="miter"/>
                      <v:path arrowok="t" o:connecttype="custom" o:connectlocs="34410,75009;72646,39152;111436,80516;150225,39152;188461,75009;147367,118832;188461,162654;150225,198511;111436,157147;72646,198511;34410,162654;75504,118832;34410,75009" o:connectangles="0,0,0,0,0,0,0,0,0,0,0,0,0"/>
                      <w10:anchorlock/>
                    </v:shape>
                  </w:pict>
                </mc:Fallback>
              </mc:AlternateContent>
            </w:r>
          </w:p>
        </w:tc>
        <w:tc>
          <w:tcPr>
            <w:tcW w:w="2720" w:type="pct"/>
            <w:shd w:val="clear" w:color="auto" w:fill="FFFFFF" w:themeFill="background2"/>
            <w:hideMark/>
          </w:tcPr>
          <w:p w14:paraId="53E4393E" w14:textId="77777777" w:rsidR="003645A2" w:rsidRPr="00E435BD" w:rsidRDefault="003645A2" w:rsidP="00E435BD">
            <w:pPr>
              <w:pStyle w:val="TableBody"/>
              <w:rPr>
                <w:b/>
                <w:bCs/>
              </w:rPr>
            </w:pPr>
            <w:r w:rsidRPr="00E435BD">
              <w:rPr>
                <w:b/>
                <w:bCs/>
              </w:rPr>
              <w:t xml:space="preserve">Option 1: </w:t>
            </w:r>
          </w:p>
          <w:p w14:paraId="7574CFFE" w14:textId="77777777" w:rsidR="003645A2" w:rsidRPr="003645A2" w:rsidRDefault="003645A2" w:rsidP="00E435BD">
            <w:pPr>
              <w:pStyle w:val="TableBody"/>
            </w:pPr>
            <w:r w:rsidRPr="003645A2">
              <w:t>If the status quo is maintained, none of the identified existing risks or corresponding Government objectives can be met. This means:</w:t>
            </w:r>
          </w:p>
          <w:p w14:paraId="1D5C46A0" w14:textId="77777777" w:rsidR="003645A2" w:rsidRPr="003645A2" w:rsidRDefault="003645A2" w:rsidP="00D86E9D">
            <w:pPr>
              <w:pStyle w:val="TableBullet"/>
              <w:rPr>
                <w:rFonts w:eastAsia="Calibri"/>
              </w:rPr>
            </w:pPr>
            <w:r w:rsidRPr="003645A2">
              <w:rPr>
                <w:rFonts w:eastAsia="Calibri"/>
              </w:rPr>
              <w:t xml:space="preserve">There will be no common baseline for </w:t>
            </w:r>
            <w:r w:rsidR="008056F4">
              <w:rPr>
                <w:rFonts w:eastAsia="Calibri"/>
              </w:rPr>
              <w:t>critical infrastructure assets</w:t>
            </w:r>
            <w:r w:rsidRPr="003645A2">
              <w:rPr>
                <w:rFonts w:eastAsia="Calibri"/>
              </w:rPr>
              <w:t>’ security and resilience</w:t>
            </w:r>
            <w:r w:rsidR="00B96390">
              <w:rPr>
                <w:rFonts w:eastAsia="Calibri"/>
              </w:rPr>
              <w:t>,</w:t>
            </w:r>
            <w:r w:rsidRPr="003645A2">
              <w:rPr>
                <w:rFonts w:eastAsia="Calibri"/>
              </w:rPr>
              <w:t xml:space="preserve"> and a </w:t>
            </w:r>
            <w:r w:rsidR="00CB186F" w:rsidRPr="003645A2">
              <w:rPr>
                <w:rFonts w:eastAsia="Calibri"/>
              </w:rPr>
              <w:t>business-as-usual</w:t>
            </w:r>
            <w:r w:rsidRPr="003645A2">
              <w:rPr>
                <w:rFonts w:eastAsia="Calibri"/>
              </w:rPr>
              <w:t xml:space="preserve"> approach to risk management practices will not be achieved. </w:t>
            </w:r>
          </w:p>
          <w:p w14:paraId="780E2BA2" w14:textId="77777777" w:rsidR="003645A2" w:rsidRPr="003645A2" w:rsidRDefault="003645A2" w:rsidP="00D86E9D">
            <w:pPr>
              <w:pStyle w:val="TableBullet"/>
              <w:rPr>
                <w:rFonts w:eastAsia="Calibri"/>
              </w:rPr>
            </w:pPr>
            <w:r w:rsidRPr="003645A2">
              <w:rPr>
                <w:rFonts w:eastAsia="Calibri"/>
              </w:rPr>
              <w:t>Responsible entities will not be compelled to identify and mitigate the material risk of hazards</w:t>
            </w:r>
            <w:r w:rsidR="00B96390">
              <w:rPr>
                <w:rFonts w:eastAsia="Calibri"/>
              </w:rPr>
              <w:t>,</w:t>
            </w:r>
            <w:r w:rsidRPr="003645A2">
              <w:rPr>
                <w:rFonts w:eastAsia="Calibri"/>
              </w:rPr>
              <w:t xml:space="preserve"> or their subsequent impacts. </w:t>
            </w:r>
          </w:p>
          <w:p w14:paraId="52ACD8F1" w14:textId="24EBDFA3" w:rsidR="003645A2" w:rsidRPr="003645A2" w:rsidRDefault="003645A2" w:rsidP="00D86E9D">
            <w:pPr>
              <w:pStyle w:val="TableBullet"/>
              <w:rPr>
                <w:rFonts w:eastAsia="Calibri"/>
              </w:rPr>
            </w:pPr>
            <w:r w:rsidRPr="003645A2">
              <w:rPr>
                <w:rFonts w:eastAsia="Calibri"/>
              </w:rPr>
              <w:t xml:space="preserve">Organisations, and the economy as a whole, may incur substantial costs should disruptions affecting the operation of </w:t>
            </w:r>
            <w:r w:rsidR="008056F4">
              <w:rPr>
                <w:rFonts w:eastAsia="Calibri"/>
              </w:rPr>
              <w:t>critical infrastructure assets</w:t>
            </w:r>
            <w:r w:rsidRPr="003645A2">
              <w:rPr>
                <w:rFonts w:eastAsia="Calibri"/>
              </w:rPr>
              <w:t xml:space="preserve"> occur. </w:t>
            </w:r>
            <w:r w:rsidR="00627FB4">
              <w:rPr>
                <w:rFonts w:eastAsia="Calibri"/>
              </w:rPr>
              <w:t>T</w:t>
            </w:r>
            <w:r w:rsidRPr="003645A2">
              <w:rPr>
                <w:rFonts w:eastAsia="Calibri"/>
              </w:rPr>
              <w:t>he severity and frequency of future disruptions</w:t>
            </w:r>
            <w:r w:rsidR="00EF493B">
              <w:rPr>
                <w:rFonts w:eastAsia="Calibri"/>
              </w:rPr>
              <w:t xml:space="preserve"> and the associated</w:t>
            </w:r>
            <w:r w:rsidRPr="003645A2">
              <w:rPr>
                <w:rFonts w:eastAsia="Calibri"/>
              </w:rPr>
              <w:t xml:space="preserve"> whole-of-economy costs incurred </w:t>
            </w:r>
            <w:r w:rsidR="00EF493B">
              <w:rPr>
                <w:rFonts w:eastAsia="Calibri"/>
              </w:rPr>
              <w:t>varies between critical infrastructure assets. The potential costs of each</w:t>
            </w:r>
            <w:r w:rsidRPr="003645A2">
              <w:rPr>
                <w:rFonts w:eastAsia="Calibri"/>
              </w:rPr>
              <w:t xml:space="preserve"> incident</w:t>
            </w:r>
            <w:r w:rsidR="00EF493B">
              <w:rPr>
                <w:rFonts w:eastAsia="Calibri"/>
              </w:rPr>
              <w:t xml:space="preserve"> are summarised in Section 4.2.</w:t>
            </w:r>
            <w:r w:rsidR="00E43360">
              <w:rPr>
                <w:rFonts w:eastAsia="Calibri"/>
              </w:rPr>
              <w:t>1</w:t>
            </w:r>
            <w:r w:rsidR="00EF493B">
              <w:rPr>
                <w:rFonts w:eastAsia="Calibri"/>
              </w:rPr>
              <w:t xml:space="preserve"> and detailed in appendices</w:t>
            </w:r>
            <w:r w:rsidR="00AE28BC">
              <w:rPr>
                <w:rFonts w:eastAsia="Calibri"/>
              </w:rPr>
              <w:t xml:space="preserve"> </w:t>
            </w:r>
            <w:r w:rsidR="00083D1D">
              <w:rPr>
                <w:rFonts w:eastAsia="Calibri"/>
              </w:rPr>
              <w:t>S</w:t>
            </w:r>
            <w:r w:rsidR="00AE28BC">
              <w:rPr>
                <w:rFonts w:eastAsia="Calibri"/>
              </w:rPr>
              <w:t xml:space="preserve"> </w:t>
            </w:r>
            <w:r w:rsidR="00AA63AB">
              <w:rPr>
                <w:rFonts w:eastAsia="Calibri"/>
              </w:rPr>
              <w:t xml:space="preserve">– </w:t>
            </w:r>
            <w:r w:rsidR="00083D1D">
              <w:rPr>
                <w:rFonts w:eastAsia="Calibri"/>
              </w:rPr>
              <w:t>CC</w:t>
            </w:r>
            <w:r w:rsidRPr="003645A2">
              <w:rPr>
                <w:rFonts w:eastAsia="Calibri"/>
              </w:rPr>
              <w:t>.</w:t>
            </w:r>
          </w:p>
        </w:tc>
      </w:tr>
      <w:tr w:rsidR="00232E4B" w:rsidRPr="003645A2" w14:paraId="2D3AB888" w14:textId="77777777" w:rsidTr="7EBB1CEE">
        <w:trPr>
          <w:cantSplit/>
          <w:trHeight w:val="2442"/>
          <w:jc w:val="center"/>
        </w:trPr>
        <w:tc>
          <w:tcPr>
            <w:tcW w:w="769" w:type="pct"/>
            <w:vMerge/>
          </w:tcPr>
          <w:p w14:paraId="6DBD20FF" w14:textId="77777777" w:rsidR="003645A2" w:rsidRPr="003645A2" w:rsidRDefault="003645A2" w:rsidP="00E435BD">
            <w:pPr>
              <w:spacing w:beforeLines="40" w:before="96" w:after="40" w:line="259" w:lineRule="auto"/>
              <w:rPr>
                <w:rFonts w:ascii="Arial" w:eastAsia="Calibri" w:hAnsi="Arial" w:cs="Arial"/>
                <w:b/>
                <w:bCs/>
                <w:szCs w:val="20"/>
              </w:rPr>
            </w:pPr>
          </w:p>
        </w:tc>
        <w:tc>
          <w:tcPr>
            <w:tcW w:w="1263" w:type="pct"/>
            <w:vMerge/>
          </w:tcPr>
          <w:p w14:paraId="0BA7D665" w14:textId="77777777" w:rsidR="003645A2" w:rsidRPr="003645A2" w:rsidRDefault="003645A2" w:rsidP="00E435BD">
            <w:pPr>
              <w:numPr>
                <w:ilvl w:val="0"/>
                <w:numId w:val="19"/>
              </w:numPr>
              <w:spacing w:beforeLines="40" w:before="96" w:after="40" w:line="259" w:lineRule="auto"/>
              <w:ind w:left="1080"/>
              <w:rPr>
                <w:rFonts w:ascii="Arial" w:eastAsia="Calibri" w:hAnsi="Arial" w:cs="Arial"/>
                <w:b/>
                <w:bCs/>
                <w:szCs w:val="20"/>
              </w:rPr>
            </w:pPr>
          </w:p>
        </w:tc>
        <w:tc>
          <w:tcPr>
            <w:tcW w:w="248" w:type="pct"/>
            <w:tcBorders>
              <w:top w:val="nil"/>
              <w:bottom w:val="single" w:sz="4" w:space="0" w:color="BFBFBF" w:themeColor="background2" w:themeShade="BF"/>
            </w:tcBorders>
            <w:shd w:val="clear" w:color="auto" w:fill="FBE4D5"/>
          </w:tcPr>
          <w:p w14:paraId="40D888A1" w14:textId="69D6224E" w:rsidR="003645A2" w:rsidRPr="003645A2" w:rsidRDefault="00232E4B" w:rsidP="00232E4B">
            <w:pPr>
              <w:pStyle w:val="TableBody"/>
              <w:rPr>
                <w:rFonts w:ascii="Arial" w:eastAsia="Calibri" w:hAnsi="Arial" w:cs="Arial"/>
                <w:b/>
                <w:bCs/>
              </w:rPr>
            </w:pPr>
            <w:r w:rsidRPr="003645A2">
              <w:rPr>
                <w:noProof/>
                <w:lang w:val="en-AU" w:eastAsia="en-AU"/>
              </w:rPr>
              <mc:AlternateContent>
                <mc:Choice Requires="wps">
                  <w:drawing>
                    <wp:inline distT="0" distB="0" distL="0" distR="0" wp14:anchorId="56EEF6D5" wp14:editId="288023D2">
                      <wp:extent cx="222871" cy="237663"/>
                      <wp:effectExtent l="0" t="0" r="0" b="0"/>
                      <wp:docPr id="16" name="Multiplication Sign 16" descr="Checkmark"/>
                      <wp:cNvGraphicFramePr/>
                      <a:graphic xmlns:a="http://schemas.openxmlformats.org/drawingml/2006/main">
                        <a:graphicData uri="http://schemas.microsoft.com/office/word/2010/wordprocessingShape">
                          <wps:wsp>
                            <wps:cNvSpPr/>
                            <wps:spPr>
                              <a:xfrm>
                                <a:off x="0" y="0"/>
                                <a:ext cx="222871" cy="237663"/>
                              </a:xfrm>
                              <a:prstGeom prst="mathMultiply">
                                <a:avLst/>
                              </a:prstGeom>
                              <a:solidFill>
                                <a:srgbClr val="ED7D31"/>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A4F3C3" id="Multiplication Sign 16" o:spid="_x0000_s1026" alt="Checkmark" style="width:17.55pt;height:18.7pt;visibility:visible;mso-wrap-style:square;mso-left-percent:-10001;mso-top-percent:-10001;mso-position-horizontal:absolute;mso-position-horizontal-relative:char;mso-position-vertical:absolute;mso-position-vertical-relative:line;mso-left-percent:-10001;mso-top-percent:-10001;v-text-anchor:middle" coordsize="222871,23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" path="m34410,75009l72646,39152r38790,41364l150225,39152r38236,35857l147367,118832r41094,43822l150225,198511,111436,157147,72646,198511,34410,162654,75504,118832,34410,75009xe" fillcolor="#ed7d31" stroked="f" strokeweight=".06339mm">
                      <v:stroke joinstyle="miter"/>
                      <v:path arrowok="t" o:connecttype="custom" o:connectlocs="34410,75009;72646,39152;111436,80516;150225,39152;188461,75009;147367,118832;188461,162654;150225,198511;111436,157147;72646,198511;34410,162654;75504,118832;34410,75009" o:connectangles="0,0,0,0,0,0,0,0,0,0,0,0,0"/>
                      <w10:anchorlock/>
                    </v:shape>
                  </w:pict>
                </mc:Fallback>
              </mc:AlternateContent>
            </w:r>
          </w:p>
        </w:tc>
        <w:tc>
          <w:tcPr>
            <w:tcW w:w="2720" w:type="pct"/>
            <w:shd w:val="clear" w:color="auto" w:fill="FFFFFF" w:themeFill="background2"/>
          </w:tcPr>
          <w:p w14:paraId="4DFE5B35" w14:textId="77777777" w:rsidR="003645A2" w:rsidRPr="00D86E9D" w:rsidRDefault="003645A2" w:rsidP="00D86E9D">
            <w:pPr>
              <w:pStyle w:val="TableBody"/>
              <w:rPr>
                <w:b/>
                <w:bCs/>
              </w:rPr>
            </w:pPr>
            <w:r w:rsidRPr="00D86E9D">
              <w:rPr>
                <w:b/>
                <w:bCs/>
              </w:rPr>
              <w:t>Option 3:</w:t>
            </w:r>
          </w:p>
          <w:p w14:paraId="31FDEE79" w14:textId="77777777" w:rsidR="003645A2" w:rsidRPr="003645A2" w:rsidRDefault="003645A2" w:rsidP="00D86E9D">
            <w:pPr>
              <w:pStyle w:val="TableBody"/>
            </w:pPr>
            <w:r w:rsidRPr="003645A2">
              <w:t xml:space="preserve">Under a voluntary arrangement, identified risks and associated Government objectives can only be addressed to the extent that responsible entities choose to participate in the framework. As a result:  </w:t>
            </w:r>
          </w:p>
          <w:p w14:paraId="75B27936" w14:textId="7DBC2D50" w:rsidR="003645A2" w:rsidRPr="003645A2" w:rsidRDefault="003645A2" w:rsidP="00D86E9D">
            <w:pPr>
              <w:pStyle w:val="TableBullet"/>
              <w:rPr>
                <w:rFonts w:eastAsia="Calibri"/>
              </w:rPr>
            </w:pPr>
            <w:r w:rsidRPr="003645A2">
              <w:rPr>
                <w:rFonts w:eastAsia="Calibri"/>
              </w:rPr>
              <w:t xml:space="preserve">There will </w:t>
            </w:r>
            <w:r w:rsidR="00B96390">
              <w:rPr>
                <w:rFonts w:eastAsia="Calibri"/>
              </w:rPr>
              <w:t xml:space="preserve">be </w:t>
            </w:r>
            <w:r w:rsidRPr="003645A2">
              <w:rPr>
                <w:rFonts w:eastAsia="Calibri"/>
              </w:rPr>
              <w:t xml:space="preserve">an inconsistent baseline for </w:t>
            </w:r>
            <w:r w:rsidR="008056F4">
              <w:rPr>
                <w:rFonts w:eastAsia="Calibri"/>
              </w:rPr>
              <w:t>critical infrastructure assets</w:t>
            </w:r>
            <w:r w:rsidRPr="003645A2">
              <w:rPr>
                <w:rFonts w:eastAsia="Calibri"/>
              </w:rPr>
              <w:t>’ security and resilience</w:t>
            </w:r>
            <w:r w:rsidR="00B96390">
              <w:rPr>
                <w:rFonts w:eastAsia="Calibri"/>
              </w:rPr>
              <w:t>,</w:t>
            </w:r>
            <w:r w:rsidRPr="003645A2">
              <w:rPr>
                <w:rFonts w:eastAsia="Calibri"/>
              </w:rPr>
              <w:t xml:space="preserve"> and a </w:t>
            </w:r>
            <w:r w:rsidR="00CB186F" w:rsidRPr="003645A2">
              <w:rPr>
                <w:rFonts w:eastAsia="Calibri"/>
              </w:rPr>
              <w:t>business-as-usual</w:t>
            </w:r>
            <w:r w:rsidRPr="003645A2">
              <w:rPr>
                <w:rFonts w:eastAsia="Calibri"/>
              </w:rPr>
              <w:t xml:space="preserve"> approach to risk management practices is unlikely to be achieved on a sector-wide basis. </w:t>
            </w:r>
          </w:p>
          <w:p w14:paraId="5AE103FA" w14:textId="77777777" w:rsidR="003645A2" w:rsidRPr="003645A2" w:rsidRDefault="003645A2" w:rsidP="00D86E9D">
            <w:pPr>
              <w:pStyle w:val="TableBullet"/>
              <w:rPr>
                <w:rFonts w:eastAsia="Calibri"/>
              </w:rPr>
            </w:pPr>
            <w:r w:rsidRPr="003645A2">
              <w:rPr>
                <w:rFonts w:eastAsia="Calibri"/>
              </w:rPr>
              <w:t xml:space="preserve">Only some responsible entities will identify and mitigate the material risk of hazards and their subsequent impacts. </w:t>
            </w:r>
          </w:p>
          <w:p w14:paraId="0562754D" w14:textId="7D4FE26D" w:rsidR="003645A2" w:rsidRPr="003645A2" w:rsidRDefault="003645A2" w:rsidP="00D86E9D">
            <w:pPr>
              <w:pStyle w:val="TableBullet"/>
              <w:rPr>
                <w:rFonts w:eastAsia="Calibri"/>
              </w:rPr>
            </w:pPr>
            <w:r w:rsidRPr="003645A2">
              <w:rPr>
                <w:rFonts w:eastAsia="Calibri"/>
              </w:rPr>
              <w:t xml:space="preserve">Organisations, and the economy as a whole, may incur substantial costs should disruptions affecting the operation of </w:t>
            </w:r>
            <w:r w:rsidR="008056F4">
              <w:rPr>
                <w:rFonts w:eastAsia="Calibri"/>
              </w:rPr>
              <w:t>critical infrastructure assets</w:t>
            </w:r>
            <w:r w:rsidRPr="003645A2">
              <w:rPr>
                <w:rFonts w:eastAsia="Calibri"/>
              </w:rPr>
              <w:t xml:space="preserve"> occur. </w:t>
            </w:r>
            <w:r w:rsidR="00EF493B">
              <w:rPr>
                <w:rFonts w:eastAsia="Calibri"/>
              </w:rPr>
              <w:t>T</w:t>
            </w:r>
            <w:r w:rsidR="00EF493B" w:rsidRPr="003645A2">
              <w:rPr>
                <w:rFonts w:eastAsia="Calibri"/>
              </w:rPr>
              <w:t>he</w:t>
            </w:r>
            <w:r w:rsidRPr="003645A2">
              <w:rPr>
                <w:rFonts w:eastAsia="Calibri"/>
              </w:rPr>
              <w:t xml:space="preserve"> severity and frequency of future disruptions</w:t>
            </w:r>
            <w:r w:rsidR="00EF493B">
              <w:rPr>
                <w:rFonts w:eastAsia="Calibri"/>
              </w:rPr>
              <w:t xml:space="preserve"> and the associated</w:t>
            </w:r>
            <w:r w:rsidRPr="003645A2">
              <w:rPr>
                <w:rFonts w:eastAsia="Calibri"/>
              </w:rPr>
              <w:t xml:space="preserve"> whole-of-economy costs incurred </w:t>
            </w:r>
            <w:r w:rsidR="00EF493B">
              <w:rPr>
                <w:rFonts w:eastAsia="Calibri"/>
              </w:rPr>
              <w:t>varies between critical infrastructure assets. The potential costs of each</w:t>
            </w:r>
            <w:r w:rsidRPr="003645A2">
              <w:rPr>
                <w:rFonts w:eastAsia="Calibri"/>
              </w:rPr>
              <w:t xml:space="preserve"> incident</w:t>
            </w:r>
            <w:r w:rsidR="00EF493B">
              <w:rPr>
                <w:rFonts w:eastAsia="Calibri"/>
              </w:rPr>
              <w:t xml:space="preserve"> are summarised in Section 4.2.3 and detailed in appendices </w:t>
            </w:r>
            <w:r w:rsidR="00FF04FA">
              <w:rPr>
                <w:rFonts w:eastAsia="Calibri"/>
              </w:rPr>
              <w:t>S</w:t>
            </w:r>
            <w:r w:rsidR="00AA63AB">
              <w:rPr>
                <w:rFonts w:eastAsia="Calibri"/>
              </w:rPr>
              <w:t xml:space="preserve"> – </w:t>
            </w:r>
            <w:r w:rsidR="00FF04FA">
              <w:rPr>
                <w:rFonts w:eastAsia="Calibri"/>
              </w:rPr>
              <w:t>CC</w:t>
            </w:r>
            <w:r w:rsidRPr="003645A2">
              <w:rPr>
                <w:rFonts w:eastAsia="Calibri"/>
              </w:rPr>
              <w:t>.</w:t>
            </w:r>
          </w:p>
        </w:tc>
      </w:tr>
      <w:tr w:rsidR="00232E4B" w:rsidRPr="003645A2" w14:paraId="5EA6269D" w14:textId="77777777" w:rsidTr="7EBB1CEE">
        <w:trPr>
          <w:cantSplit/>
          <w:trHeight w:val="2544"/>
          <w:jc w:val="center"/>
        </w:trPr>
        <w:tc>
          <w:tcPr>
            <w:tcW w:w="769" w:type="pct"/>
            <w:tcBorders>
              <w:top w:val="single" w:sz="4" w:space="0" w:color="BFBFBF" w:themeColor="background2" w:themeShade="BF"/>
              <w:bottom w:val="nil"/>
            </w:tcBorders>
            <w:shd w:val="clear" w:color="auto" w:fill="F2F2F2" w:themeFill="background2" w:themeFillShade="F2"/>
            <w:hideMark/>
          </w:tcPr>
          <w:p w14:paraId="40C5FDAB" w14:textId="77777777" w:rsidR="003645A2" w:rsidRPr="003645A2" w:rsidRDefault="003645A2" w:rsidP="00D86E9D">
            <w:pPr>
              <w:pStyle w:val="TableBody"/>
            </w:pPr>
            <w:r w:rsidRPr="003645A2">
              <w:lastRenderedPageBreak/>
              <w:t>Existing legislative arrangements are insufficient for the current threat environment.</w:t>
            </w:r>
          </w:p>
        </w:tc>
        <w:tc>
          <w:tcPr>
            <w:tcW w:w="1263" w:type="pct"/>
            <w:tcBorders>
              <w:top w:val="single" w:sz="4" w:space="0" w:color="BFBFBF" w:themeColor="background2" w:themeShade="BF"/>
              <w:bottom w:val="nil"/>
            </w:tcBorders>
            <w:shd w:val="clear" w:color="auto" w:fill="DEEAF6"/>
            <w:hideMark/>
          </w:tcPr>
          <w:p w14:paraId="06A14ECF" w14:textId="77777777" w:rsidR="003645A2" w:rsidRPr="003645A2" w:rsidRDefault="003645A2" w:rsidP="00D86E9D">
            <w:pPr>
              <w:pStyle w:val="TableBullet"/>
              <w:rPr>
                <w:rFonts w:eastAsia="Calibri"/>
              </w:rPr>
            </w:pPr>
            <w:r w:rsidRPr="003645A2">
              <w:rPr>
                <w:rFonts w:eastAsia="Calibri"/>
                <w:b/>
                <w:bCs/>
              </w:rPr>
              <w:t>Lower the material risk</w:t>
            </w:r>
            <w:r w:rsidRPr="003645A2">
              <w:rPr>
                <w:rFonts w:eastAsia="Calibri"/>
              </w:rPr>
              <w:t xml:space="preserve"> of hazards and impacts of those hazards, as they manifest for </w:t>
            </w:r>
            <w:r w:rsidR="008056F4">
              <w:rPr>
                <w:rFonts w:eastAsia="Calibri"/>
              </w:rPr>
              <w:t>critical infrastructure assets</w:t>
            </w:r>
            <w:r w:rsidRPr="003645A2">
              <w:rPr>
                <w:rFonts w:eastAsia="Calibri"/>
              </w:rPr>
              <w:t>.</w:t>
            </w:r>
          </w:p>
          <w:p w14:paraId="75590BD3" w14:textId="77777777" w:rsidR="003645A2" w:rsidRPr="003645A2" w:rsidRDefault="003645A2" w:rsidP="00D86E9D">
            <w:pPr>
              <w:pStyle w:val="TableBullet"/>
              <w:rPr>
                <w:rFonts w:eastAsia="Calibri"/>
              </w:rPr>
            </w:pPr>
            <w:r w:rsidRPr="003645A2">
              <w:rPr>
                <w:rFonts w:eastAsia="Calibri"/>
                <w:b/>
                <w:bCs/>
              </w:rPr>
              <w:t>Avoid regulatory duplication</w:t>
            </w:r>
            <w:r w:rsidRPr="003645A2">
              <w:rPr>
                <w:rFonts w:eastAsia="Calibri"/>
              </w:rPr>
              <w:t xml:space="preserve"> and facilitate a </w:t>
            </w:r>
            <w:r w:rsidRPr="003645A2">
              <w:rPr>
                <w:rFonts w:eastAsia="Calibri"/>
                <w:b/>
                <w:bCs/>
              </w:rPr>
              <w:t>coordinated</w:t>
            </w:r>
            <w:r w:rsidRPr="003645A2">
              <w:rPr>
                <w:rFonts w:eastAsia="Calibri"/>
              </w:rPr>
              <w:t xml:space="preserve"> </w:t>
            </w:r>
            <w:r w:rsidRPr="003645A2">
              <w:rPr>
                <w:rFonts w:eastAsia="Calibri"/>
                <w:b/>
                <w:bCs/>
              </w:rPr>
              <w:t>uplift</w:t>
            </w:r>
            <w:r w:rsidRPr="003645A2">
              <w:rPr>
                <w:rFonts w:eastAsia="Calibri"/>
              </w:rPr>
              <w:t xml:space="preserve"> in responsible entities’ compliance with relevant standards. </w:t>
            </w:r>
          </w:p>
        </w:tc>
        <w:tc>
          <w:tcPr>
            <w:tcW w:w="248" w:type="pct"/>
            <w:tcBorders>
              <w:top w:val="single" w:sz="4" w:space="0" w:color="BFBFBF" w:themeColor="background2" w:themeShade="BF"/>
              <w:bottom w:val="nil"/>
            </w:tcBorders>
            <w:shd w:val="clear" w:color="auto" w:fill="FBE4D5"/>
            <w:hideMark/>
          </w:tcPr>
          <w:p w14:paraId="5CAB7696" w14:textId="0DE83ACA" w:rsidR="003645A2" w:rsidRPr="003645A2" w:rsidRDefault="00A34790" w:rsidP="00E435BD">
            <w:pPr>
              <w:spacing w:after="160" w:line="259" w:lineRule="auto"/>
              <w:rPr>
                <w:rFonts w:ascii="Calibri" w:eastAsia="Calibri" w:hAnsi="Calibri" w:cs="Times New Roman"/>
                <w:sz w:val="22"/>
              </w:rPr>
            </w:pPr>
            <w:r w:rsidRPr="003645A2">
              <w:rPr>
                <w:noProof/>
                <w:lang w:eastAsia="en-AU"/>
              </w:rPr>
              <mc:AlternateContent>
                <mc:Choice Requires="wps">
                  <w:drawing>
                    <wp:inline distT="0" distB="0" distL="0" distR="0" wp14:anchorId="212406E4" wp14:editId="7E291272">
                      <wp:extent cx="222871" cy="237663"/>
                      <wp:effectExtent l="0" t="0" r="0" b="0"/>
                      <wp:docPr id="18" name="Multiplication Sign 18" descr="Checkmark"/>
                      <wp:cNvGraphicFramePr/>
                      <a:graphic xmlns:a="http://schemas.openxmlformats.org/drawingml/2006/main">
                        <a:graphicData uri="http://schemas.microsoft.com/office/word/2010/wordprocessingShape">
                          <wps:wsp>
                            <wps:cNvSpPr/>
                            <wps:spPr>
                              <a:xfrm>
                                <a:off x="0" y="0"/>
                                <a:ext cx="222871" cy="237663"/>
                              </a:xfrm>
                              <a:prstGeom prst="mathMultiply">
                                <a:avLst/>
                              </a:prstGeom>
                              <a:solidFill>
                                <a:srgbClr val="ED7D31"/>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665830" id="Multiplication Sign 18" o:spid="_x0000_s1026" alt="Checkmark" style="width:17.55pt;height:18.7pt;visibility:visible;mso-wrap-style:square;mso-left-percent:-10001;mso-top-percent:-10001;mso-position-horizontal:absolute;mso-position-horizontal-relative:char;mso-position-vertical:absolute;mso-position-vertical-relative:line;mso-left-percent:-10001;mso-top-percent:-10001;v-text-anchor:middle" coordsize="222871,23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" path="m34410,75009l72646,39152r38790,41364l150225,39152r38236,35857l147367,118832r41094,43822l150225,198511,111436,157147,72646,198511,34410,162654,75504,118832,34410,75009xe" fillcolor="#ed7d31" stroked="f" strokeweight=".06339mm">
                      <v:stroke joinstyle="miter"/>
                      <v:path arrowok="t" o:connecttype="custom" o:connectlocs="34410,75009;72646,39152;111436,80516;150225,39152;188461,75009;147367,118832;188461,162654;150225,198511;111436,157147;72646,198511;34410,162654;75504,118832;34410,75009" o:connectangles="0,0,0,0,0,0,0,0,0,0,0,0,0"/>
                      <w10:anchorlock/>
                    </v:shape>
                  </w:pict>
                </mc:Fallback>
              </mc:AlternateContent>
            </w:r>
          </w:p>
        </w:tc>
        <w:tc>
          <w:tcPr>
            <w:tcW w:w="2720" w:type="pct"/>
            <w:shd w:val="clear" w:color="auto" w:fill="FFFFFF" w:themeFill="background2"/>
            <w:hideMark/>
          </w:tcPr>
          <w:p w14:paraId="38F146CA" w14:textId="77777777" w:rsidR="003645A2" w:rsidRPr="00D86E9D" w:rsidRDefault="003645A2" w:rsidP="00D86E9D">
            <w:pPr>
              <w:pStyle w:val="TableBody"/>
              <w:rPr>
                <w:b/>
                <w:bCs/>
              </w:rPr>
            </w:pPr>
            <w:r w:rsidRPr="00D86E9D">
              <w:rPr>
                <w:b/>
                <w:bCs/>
              </w:rPr>
              <w:t>Option 1:</w:t>
            </w:r>
          </w:p>
          <w:p w14:paraId="6CDFBEC3" w14:textId="488899E0" w:rsidR="003645A2" w:rsidRPr="00D86E9D" w:rsidRDefault="003645A2" w:rsidP="00D86E9D">
            <w:pPr>
              <w:pStyle w:val="TableBody"/>
            </w:pPr>
            <w:r w:rsidRPr="003645A2">
              <w:t xml:space="preserve">Status quo legislative arrangements do not provide nuanced regulations, which support entities in identifying and lowering the material risk of hazards. There would be no material uplift in risk management practices, or the security and resilience of </w:t>
            </w:r>
            <w:r w:rsidR="008056F4">
              <w:t>critical infrastructure assets</w:t>
            </w:r>
            <w:r w:rsidRPr="003645A2">
              <w:t xml:space="preserve">. Without concerted efforts to lower the material risk of hazards and an asset-wide uplift in the security and resilience of </w:t>
            </w:r>
            <w:r w:rsidR="008056F4">
              <w:t>critical infrastructure assets</w:t>
            </w:r>
            <w:r w:rsidRPr="003645A2">
              <w:t>, the Australian economy as a whole may incur significant cost</w:t>
            </w:r>
            <w:r w:rsidR="0087111C">
              <w:t>. The costs will</w:t>
            </w:r>
            <w:r w:rsidRPr="003645A2">
              <w:t xml:space="preserve"> depend on </w:t>
            </w:r>
            <w:r w:rsidR="0087111C">
              <w:t>an incident’s</w:t>
            </w:r>
            <w:r w:rsidRPr="003645A2">
              <w:t xml:space="preserve"> frequency</w:t>
            </w:r>
            <w:r w:rsidR="00BB7935">
              <w:t xml:space="preserve">, </w:t>
            </w:r>
            <w:r w:rsidRPr="003645A2">
              <w:t>severity</w:t>
            </w:r>
            <w:r w:rsidR="00BB7935">
              <w:t xml:space="preserve"> and </w:t>
            </w:r>
            <w:r w:rsidR="00D3660F">
              <w:t>critical infrastructure asset</w:t>
            </w:r>
            <w:r w:rsidR="00C23CA5">
              <w:t>s</w:t>
            </w:r>
            <w:r w:rsidR="00D3660F">
              <w:t xml:space="preserve"> </w:t>
            </w:r>
            <w:r w:rsidR="005A4DBF">
              <w:t>affect</w:t>
            </w:r>
            <w:r w:rsidR="00D3660F">
              <w:t>ed</w:t>
            </w:r>
            <w:r w:rsidRPr="003645A2">
              <w:t>.</w:t>
            </w:r>
            <w:r w:rsidR="00E43360">
              <w:t xml:space="preserve"> The potential costs of each incident are summarised in Section 4.2.1 and detailed in appendices </w:t>
            </w:r>
            <w:r w:rsidR="00FF04FA">
              <w:t>S</w:t>
            </w:r>
            <w:r w:rsidR="00AA63AB">
              <w:t xml:space="preserve"> – </w:t>
            </w:r>
            <w:r w:rsidR="00FF04FA">
              <w:t>CC</w:t>
            </w:r>
            <w:r w:rsidR="00E43360">
              <w:t>.</w:t>
            </w:r>
          </w:p>
        </w:tc>
      </w:tr>
      <w:tr w:rsidR="00A34790" w:rsidRPr="003645A2" w14:paraId="0DF8B0E0" w14:textId="77777777" w:rsidTr="7EBB1CEE">
        <w:trPr>
          <w:cantSplit/>
          <w:trHeight w:val="2544"/>
          <w:jc w:val="center"/>
        </w:trPr>
        <w:tc>
          <w:tcPr>
            <w:tcW w:w="769" w:type="pct"/>
            <w:tcBorders>
              <w:top w:val="nil"/>
            </w:tcBorders>
            <w:shd w:val="clear" w:color="auto" w:fill="F2F2F2" w:themeFill="background2" w:themeFillShade="F2"/>
          </w:tcPr>
          <w:p w14:paraId="272444E8" w14:textId="77777777" w:rsidR="003645A2" w:rsidRPr="003645A2" w:rsidRDefault="003645A2" w:rsidP="00D86E9D">
            <w:pPr>
              <w:pStyle w:val="TableBody"/>
            </w:pPr>
          </w:p>
        </w:tc>
        <w:tc>
          <w:tcPr>
            <w:tcW w:w="1263" w:type="pct"/>
            <w:tcBorders>
              <w:top w:val="nil"/>
            </w:tcBorders>
            <w:shd w:val="clear" w:color="auto" w:fill="DEEAF6"/>
          </w:tcPr>
          <w:p w14:paraId="35743307" w14:textId="77777777" w:rsidR="003645A2" w:rsidRPr="003645A2" w:rsidRDefault="003645A2" w:rsidP="00D86E9D">
            <w:pPr>
              <w:pStyle w:val="TableBody"/>
            </w:pPr>
          </w:p>
        </w:tc>
        <w:tc>
          <w:tcPr>
            <w:tcW w:w="248" w:type="pct"/>
            <w:tcBorders>
              <w:top w:val="nil"/>
            </w:tcBorders>
            <w:shd w:val="clear" w:color="auto" w:fill="FBE4D5"/>
          </w:tcPr>
          <w:p w14:paraId="45D6569B" w14:textId="395319C0" w:rsidR="003645A2" w:rsidRPr="003645A2" w:rsidRDefault="00A34790" w:rsidP="00D86E9D">
            <w:pPr>
              <w:pStyle w:val="TableBody"/>
              <w:rPr>
                <w:rFonts w:ascii="Calibri" w:hAnsi="Calibri"/>
                <w:noProof/>
                <w:sz w:val="22"/>
              </w:rPr>
            </w:pPr>
            <w:r w:rsidRPr="003645A2">
              <w:rPr>
                <w:noProof/>
                <w:lang w:val="en-AU" w:eastAsia="en-AU"/>
              </w:rPr>
              <mc:AlternateContent>
                <mc:Choice Requires="wps">
                  <w:drawing>
                    <wp:inline distT="0" distB="0" distL="0" distR="0" wp14:anchorId="440FB8A3" wp14:editId="2A2B0F8C">
                      <wp:extent cx="222871" cy="237663"/>
                      <wp:effectExtent l="0" t="0" r="0" b="0"/>
                      <wp:docPr id="21" name="Multiplication Sign 21" descr="Checkmark"/>
                      <wp:cNvGraphicFramePr/>
                      <a:graphic xmlns:a="http://schemas.openxmlformats.org/drawingml/2006/main">
                        <a:graphicData uri="http://schemas.microsoft.com/office/word/2010/wordprocessingShape">
                          <wps:wsp>
                            <wps:cNvSpPr/>
                            <wps:spPr>
                              <a:xfrm>
                                <a:off x="0" y="0"/>
                                <a:ext cx="222871" cy="237663"/>
                              </a:xfrm>
                              <a:prstGeom prst="mathMultiply">
                                <a:avLst/>
                              </a:prstGeom>
                              <a:solidFill>
                                <a:srgbClr val="ED7D31"/>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1A23B4" id="Multiplication Sign 21" o:spid="_x0000_s1026" alt="Checkmark" style="width:17.55pt;height:18.7pt;visibility:visible;mso-wrap-style:square;mso-left-percent:-10001;mso-top-percent:-10001;mso-position-horizontal:absolute;mso-position-horizontal-relative:char;mso-position-vertical:absolute;mso-position-vertical-relative:line;mso-left-percent:-10001;mso-top-percent:-10001;v-text-anchor:middle" coordsize="222871,23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" path="m34410,75009l72646,39152r38790,41364l150225,39152r38236,35857l147367,118832r41094,43822l150225,198511,111436,157147,72646,198511,34410,162654,75504,118832,34410,75009xe" fillcolor="#ed7d31" stroked="f" strokeweight=".06339mm">
                      <v:stroke joinstyle="miter"/>
                      <v:path arrowok="t" o:connecttype="custom" o:connectlocs="34410,75009;72646,39152;111436,80516;150225,39152;188461,75009;147367,118832;188461,162654;150225,198511;111436,157147;72646,198511;34410,162654;75504,118832;34410,75009" o:connectangles="0,0,0,0,0,0,0,0,0,0,0,0,0"/>
                      <w10:anchorlock/>
                    </v:shape>
                  </w:pict>
                </mc:Fallback>
              </mc:AlternateContent>
            </w:r>
          </w:p>
        </w:tc>
        <w:tc>
          <w:tcPr>
            <w:tcW w:w="2720" w:type="pct"/>
            <w:shd w:val="clear" w:color="auto" w:fill="FFFFFF" w:themeFill="background2"/>
          </w:tcPr>
          <w:p w14:paraId="4AC54197" w14:textId="77777777" w:rsidR="003645A2" w:rsidRPr="00D86E9D" w:rsidRDefault="003645A2" w:rsidP="00D86E9D">
            <w:pPr>
              <w:pStyle w:val="TableBody"/>
              <w:rPr>
                <w:b/>
                <w:bCs/>
              </w:rPr>
            </w:pPr>
            <w:r w:rsidRPr="00D86E9D">
              <w:rPr>
                <w:b/>
                <w:bCs/>
              </w:rPr>
              <w:t xml:space="preserve">Option 3: </w:t>
            </w:r>
          </w:p>
          <w:p w14:paraId="0C720A10" w14:textId="52930972" w:rsidR="003645A2" w:rsidRPr="003645A2" w:rsidRDefault="003645A2" w:rsidP="00D86E9D">
            <w:pPr>
              <w:pStyle w:val="TableBody"/>
            </w:pPr>
            <w:r w:rsidRPr="003645A2">
              <w:t xml:space="preserve">A voluntary framework means the material risk of hazards will only be lowered to the extent that organisations choose to participate in the framework. This will lead to an inconsistent uplift in responsible entities’ compliance with relevant standards. Given the interconnected nature of </w:t>
            </w:r>
            <w:r w:rsidR="008056F4">
              <w:t>critical infrastructure assets</w:t>
            </w:r>
            <w:r w:rsidRPr="003645A2">
              <w:t xml:space="preserve"> improvements to the security and resilience of such assets will be limited, where the framework is not implemented on a sector-wide, mandatory basis. </w:t>
            </w:r>
            <w:r w:rsidR="00E43360" w:rsidRPr="003645A2">
              <w:t>Without concerted efforts to lower the material risk of hazards and</w:t>
            </w:r>
            <w:r w:rsidRPr="003645A2">
              <w:t xml:space="preserve"> an asset-wide uplift in the security and resilience of </w:t>
            </w:r>
            <w:r w:rsidR="008056F4">
              <w:t>critical infrastructure assets</w:t>
            </w:r>
            <w:r w:rsidRPr="003645A2">
              <w:t>, the Australian economy as a whole may incur significant cost</w:t>
            </w:r>
            <w:r w:rsidR="00E43360">
              <w:t>. The costs will</w:t>
            </w:r>
            <w:r w:rsidR="00E43360" w:rsidRPr="003645A2">
              <w:t xml:space="preserve"> depend</w:t>
            </w:r>
            <w:r w:rsidRPr="003645A2">
              <w:t xml:space="preserve"> on </w:t>
            </w:r>
            <w:r w:rsidR="00E43360">
              <w:t>an incident’s</w:t>
            </w:r>
            <w:r w:rsidRPr="003645A2">
              <w:t xml:space="preserve"> frequency</w:t>
            </w:r>
            <w:r w:rsidR="005A4DBF">
              <w:t xml:space="preserve">, </w:t>
            </w:r>
            <w:r w:rsidRPr="003645A2">
              <w:t>severity</w:t>
            </w:r>
            <w:r w:rsidR="005A4DBF">
              <w:t xml:space="preserve"> and critical infrastructure asset</w:t>
            </w:r>
            <w:r w:rsidR="00C23CA5">
              <w:t>s affected</w:t>
            </w:r>
            <w:r w:rsidR="00E43360" w:rsidRPr="003645A2">
              <w:t>.</w:t>
            </w:r>
            <w:r w:rsidR="00E43360">
              <w:t xml:space="preserve"> The potential costs of each incident are summarised in Section 4.2.3 and detailed in appendices </w:t>
            </w:r>
            <w:r w:rsidR="00FF04FA">
              <w:t>S</w:t>
            </w:r>
            <w:r w:rsidR="00AA63AB">
              <w:t xml:space="preserve"> – </w:t>
            </w:r>
            <w:r w:rsidR="00FF04FA">
              <w:t>CC</w:t>
            </w:r>
            <w:r w:rsidR="00E43360">
              <w:t>.</w:t>
            </w:r>
          </w:p>
        </w:tc>
      </w:tr>
      <w:tr w:rsidR="00232E4B" w:rsidRPr="003645A2" w14:paraId="47BAD72D" w14:textId="77777777" w:rsidTr="7EBB1CEE">
        <w:trPr>
          <w:cantSplit/>
          <w:trHeight w:val="1266"/>
          <w:jc w:val="center"/>
        </w:trPr>
        <w:tc>
          <w:tcPr>
            <w:tcW w:w="769" w:type="pct"/>
            <w:shd w:val="clear" w:color="auto" w:fill="F2F2F2" w:themeFill="background2" w:themeFillShade="F2"/>
            <w:hideMark/>
          </w:tcPr>
          <w:p w14:paraId="18A64989" w14:textId="734FCCAE" w:rsidR="003645A2" w:rsidRPr="003645A2" w:rsidRDefault="000D1D1E" w:rsidP="00D86E9D">
            <w:pPr>
              <w:pStyle w:val="TableBody"/>
            </w:pPr>
            <w:r>
              <w:t>T</w:t>
            </w:r>
            <w:r w:rsidR="00354D28" w:rsidRPr="003645A2">
              <w:t>he</w:t>
            </w:r>
            <w:r w:rsidR="003645A2" w:rsidRPr="003645A2">
              <w:t xml:space="preserve"> Government</w:t>
            </w:r>
            <w:r>
              <w:t xml:space="preserve"> </w:t>
            </w:r>
            <w:r w:rsidR="003645A2" w:rsidRPr="003645A2">
              <w:t>has limited visibility of current risk management practices and limited ability to ensure risks are appropriately managed across sectors.</w:t>
            </w:r>
          </w:p>
        </w:tc>
        <w:tc>
          <w:tcPr>
            <w:tcW w:w="1263" w:type="pct"/>
            <w:shd w:val="clear" w:color="auto" w:fill="DEEAF6"/>
            <w:hideMark/>
          </w:tcPr>
          <w:p w14:paraId="3E5FBD2C" w14:textId="77777777" w:rsidR="003645A2" w:rsidRPr="003645A2" w:rsidRDefault="003645A2" w:rsidP="00D86E9D">
            <w:pPr>
              <w:pStyle w:val="TableBullet"/>
              <w:rPr>
                <w:rFonts w:eastAsia="Calibri"/>
              </w:rPr>
            </w:pPr>
            <w:r w:rsidRPr="003645A2">
              <w:rPr>
                <w:rFonts w:eastAsia="Calibri"/>
              </w:rPr>
              <w:t xml:space="preserve">Improve Government’s </w:t>
            </w:r>
            <w:r w:rsidRPr="003645A2">
              <w:rPr>
                <w:rFonts w:eastAsia="Calibri"/>
                <w:b/>
                <w:bCs/>
              </w:rPr>
              <w:t>visibility</w:t>
            </w:r>
            <w:r w:rsidRPr="003645A2">
              <w:rPr>
                <w:rFonts w:eastAsia="Calibri"/>
              </w:rPr>
              <w:t xml:space="preserve"> over the security and resilience of </w:t>
            </w:r>
            <w:r w:rsidR="008056F4">
              <w:rPr>
                <w:rFonts w:eastAsia="Calibri"/>
              </w:rPr>
              <w:t>critical infrastructure assets</w:t>
            </w:r>
            <w:r w:rsidRPr="003645A2">
              <w:rPr>
                <w:rFonts w:eastAsia="Calibri"/>
              </w:rPr>
              <w:t>.</w:t>
            </w:r>
          </w:p>
          <w:p w14:paraId="79E927DC" w14:textId="77777777" w:rsidR="003645A2" w:rsidRPr="003645A2" w:rsidRDefault="003645A2" w:rsidP="00D86E9D">
            <w:pPr>
              <w:pStyle w:val="TableBullet"/>
              <w:rPr>
                <w:rFonts w:eastAsia="Calibri"/>
              </w:rPr>
            </w:pPr>
            <w:r w:rsidRPr="003645A2">
              <w:rPr>
                <w:rFonts w:eastAsia="Calibri"/>
              </w:rPr>
              <w:t xml:space="preserve">Provide Government with a range of graduated powers to support an uplift in resilience and security across Australia’s </w:t>
            </w:r>
            <w:r w:rsidR="008056F4">
              <w:rPr>
                <w:rFonts w:eastAsia="Calibri"/>
              </w:rPr>
              <w:t>critical infrastructure assets</w:t>
            </w:r>
            <w:r w:rsidRPr="003645A2">
              <w:rPr>
                <w:rFonts w:eastAsia="Calibri"/>
              </w:rPr>
              <w:t xml:space="preserve">. </w:t>
            </w:r>
          </w:p>
        </w:tc>
        <w:tc>
          <w:tcPr>
            <w:tcW w:w="248" w:type="pct"/>
            <w:shd w:val="clear" w:color="auto" w:fill="FBE4D5"/>
            <w:hideMark/>
          </w:tcPr>
          <w:p w14:paraId="73446733" w14:textId="6F1CECE6" w:rsidR="003645A2" w:rsidRPr="003645A2" w:rsidRDefault="00A34790" w:rsidP="00E435BD">
            <w:pPr>
              <w:spacing w:after="160" w:line="259" w:lineRule="auto"/>
              <w:rPr>
                <w:rFonts w:ascii="Calibri" w:eastAsia="Calibri" w:hAnsi="Calibri" w:cs="Times New Roman"/>
                <w:sz w:val="22"/>
              </w:rPr>
            </w:pPr>
            <w:r w:rsidRPr="003645A2">
              <w:rPr>
                <w:noProof/>
                <w:lang w:eastAsia="en-AU"/>
              </w:rPr>
              <mc:AlternateContent>
                <mc:Choice Requires="wps">
                  <w:drawing>
                    <wp:inline distT="0" distB="0" distL="0" distR="0" wp14:anchorId="43B925BF" wp14:editId="30E9E355">
                      <wp:extent cx="222871" cy="237663"/>
                      <wp:effectExtent l="0" t="0" r="0" b="0"/>
                      <wp:docPr id="24" name="Multiplication Sign 24" descr="Checkmark"/>
                      <wp:cNvGraphicFramePr/>
                      <a:graphic xmlns:a="http://schemas.openxmlformats.org/drawingml/2006/main">
                        <a:graphicData uri="http://schemas.microsoft.com/office/word/2010/wordprocessingShape">
                          <wps:wsp>
                            <wps:cNvSpPr/>
                            <wps:spPr>
                              <a:xfrm>
                                <a:off x="0" y="0"/>
                                <a:ext cx="222871" cy="237663"/>
                              </a:xfrm>
                              <a:prstGeom prst="mathMultiply">
                                <a:avLst/>
                              </a:prstGeom>
                              <a:solidFill>
                                <a:srgbClr val="ED7D31"/>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46EC88" id="Multiplication Sign 24" o:spid="_x0000_s1026" alt="Checkmark" style="width:17.55pt;height:18.7pt;visibility:visible;mso-wrap-style:square;mso-left-percent:-10001;mso-top-percent:-10001;mso-position-horizontal:absolute;mso-position-horizontal-relative:char;mso-position-vertical:absolute;mso-position-vertical-relative:line;mso-left-percent:-10001;mso-top-percent:-10001;v-text-anchor:middle" coordsize="222871,23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" path="m34410,75009l72646,39152r38790,41364l150225,39152r38236,35857l147367,118832r41094,43822l150225,198511,111436,157147,72646,198511,34410,162654,75504,118832,34410,75009xe" fillcolor="#ed7d31" stroked="f" strokeweight=".06339mm">
                      <v:stroke joinstyle="miter"/>
                      <v:path arrowok="t" o:connecttype="custom" o:connectlocs="34410,75009;72646,39152;111436,80516;150225,39152;188461,75009;147367,118832;188461,162654;150225,198511;111436,157147;72646,198511;34410,162654;75504,118832;34410,75009" o:connectangles="0,0,0,0,0,0,0,0,0,0,0,0,0"/>
                      <w10:anchorlock/>
                    </v:shape>
                  </w:pict>
                </mc:Fallback>
              </mc:AlternateContent>
            </w:r>
          </w:p>
        </w:tc>
        <w:tc>
          <w:tcPr>
            <w:tcW w:w="2720" w:type="pct"/>
            <w:shd w:val="clear" w:color="auto" w:fill="FFFFFF" w:themeFill="background2"/>
          </w:tcPr>
          <w:p w14:paraId="223812A7" w14:textId="77777777" w:rsidR="003645A2" w:rsidRPr="00D86E9D" w:rsidRDefault="003645A2" w:rsidP="00D86E9D">
            <w:pPr>
              <w:pStyle w:val="TableBody"/>
              <w:rPr>
                <w:b/>
                <w:bCs/>
              </w:rPr>
            </w:pPr>
            <w:r w:rsidRPr="00D86E9D">
              <w:rPr>
                <w:b/>
                <w:bCs/>
              </w:rPr>
              <w:t>Option 1:</w:t>
            </w:r>
          </w:p>
          <w:p w14:paraId="5C3065B6" w14:textId="77777777" w:rsidR="003645A2" w:rsidRPr="003645A2" w:rsidRDefault="003645A2" w:rsidP="00D86E9D">
            <w:pPr>
              <w:pStyle w:val="TableBody"/>
            </w:pPr>
            <w:r w:rsidRPr="003645A2">
              <w:t xml:space="preserve">If the status quo is maintained, there will be no improvement to Government’s visibility over the security and resilience of </w:t>
            </w:r>
            <w:r w:rsidR="008056F4">
              <w:t>critical infrastructure assets</w:t>
            </w:r>
            <w:r w:rsidRPr="003645A2">
              <w:t xml:space="preserve">, nor greater power for Government to act. </w:t>
            </w:r>
          </w:p>
        </w:tc>
      </w:tr>
      <w:tr w:rsidR="00A34790" w:rsidRPr="003645A2" w14:paraId="29E18CBC" w14:textId="77777777" w:rsidTr="7EBB1CEE">
        <w:trPr>
          <w:cantSplit/>
          <w:trHeight w:val="1266"/>
          <w:jc w:val="center"/>
        </w:trPr>
        <w:tc>
          <w:tcPr>
            <w:tcW w:w="769" w:type="pct"/>
            <w:tcBorders>
              <w:bottom w:val="single" w:sz="4" w:space="0" w:color="BFBFBF" w:themeColor="background2" w:themeShade="BF"/>
            </w:tcBorders>
            <w:shd w:val="clear" w:color="auto" w:fill="F2F2F2" w:themeFill="background2" w:themeFillShade="F2"/>
          </w:tcPr>
          <w:p w14:paraId="65DDADF1" w14:textId="77777777" w:rsidR="003645A2" w:rsidRPr="003645A2" w:rsidRDefault="003645A2" w:rsidP="00D86E9D">
            <w:pPr>
              <w:pStyle w:val="TableBody"/>
            </w:pPr>
          </w:p>
        </w:tc>
        <w:tc>
          <w:tcPr>
            <w:tcW w:w="1263" w:type="pct"/>
            <w:tcBorders>
              <w:bottom w:val="single" w:sz="4" w:space="0" w:color="BFBFBF" w:themeColor="background2" w:themeShade="BF"/>
            </w:tcBorders>
            <w:shd w:val="clear" w:color="auto" w:fill="DEEAF6"/>
          </w:tcPr>
          <w:p w14:paraId="0466D32B" w14:textId="77777777" w:rsidR="003645A2" w:rsidRPr="003645A2" w:rsidRDefault="003645A2" w:rsidP="00D86E9D">
            <w:pPr>
              <w:pStyle w:val="TableBody"/>
            </w:pPr>
          </w:p>
        </w:tc>
        <w:tc>
          <w:tcPr>
            <w:tcW w:w="248" w:type="pct"/>
            <w:tcBorders>
              <w:bottom w:val="single" w:sz="4" w:space="0" w:color="BFBFBF" w:themeColor="background2" w:themeShade="BF"/>
            </w:tcBorders>
            <w:shd w:val="clear" w:color="auto" w:fill="FBE4D5"/>
          </w:tcPr>
          <w:p w14:paraId="77BFB936" w14:textId="201D4C15" w:rsidR="003645A2" w:rsidRPr="003645A2" w:rsidRDefault="00A34790" w:rsidP="00D86E9D">
            <w:pPr>
              <w:pStyle w:val="TableBody"/>
              <w:rPr>
                <w:rFonts w:ascii="Calibri" w:hAnsi="Calibri"/>
                <w:noProof/>
                <w:sz w:val="22"/>
              </w:rPr>
            </w:pPr>
            <w:r w:rsidRPr="003645A2">
              <w:rPr>
                <w:noProof/>
                <w:lang w:val="en-AU" w:eastAsia="en-AU"/>
              </w:rPr>
              <mc:AlternateContent>
                <mc:Choice Requires="wps">
                  <w:drawing>
                    <wp:inline distT="0" distB="0" distL="0" distR="0" wp14:anchorId="1EFC781B" wp14:editId="5698594E">
                      <wp:extent cx="222871" cy="237663"/>
                      <wp:effectExtent l="0" t="0" r="0" b="0"/>
                      <wp:docPr id="28" name="Multiplication Sign 28" descr="Checkmark"/>
                      <wp:cNvGraphicFramePr/>
                      <a:graphic xmlns:a="http://schemas.openxmlformats.org/drawingml/2006/main">
                        <a:graphicData uri="http://schemas.microsoft.com/office/word/2010/wordprocessingShape">
                          <wps:wsp>
                            <wps:cNvSpPr/>
                            <wps:spPr>
                              <a:xfrm>
                                <a:off x="0" y="0"/>
                                <a:ext cx="222871" cy="237663"/>
                              </a:xfrm>
                              <a:prstGeom prst="mathMultiply">
                                <a:avLst/>
                              </a:prstGeom>
                              <a:solidFill>
                                <a:srgbClr val="ED7D31"/>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EE06B0" id="Multiplication Sign 28" o:spid="_x0000_s1026" alt="Checkmark" style="width:17.55pt;height:18.7pt;visibility:visible;mso-wrap-style:square;mso-left-percent:-10001;mso-top-percent:-10001;mso-position-horizontal:absolute;mso-position-horizontal-relative:char;mso-position-vertical:absolute;mso-position-vertical-relative:line;mso-left-percent:-10001;mso-top-percent:-10001;v-text-anchor:middle" coordsize="222871,23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" path="m34410,75009l72646,39152r38790,41364l150225,39152r38236,35857l147367,118832r41094,43822l150225,198511,111436,157147,72646,198511,34410,162654,75504,118832,34410,75009xe" fillcolor="#ed7d31" stroked="f" strokeweight=".06339mm">
                      <v:stroke joinstyle="miter"/>
                      <v:path arrowok="t" o:connecttype="custom" o:connectlocs="34410,75009;72646,39152;111436,80516;150225,39152;188461,75009;147367,118832;188461,162654;150225,198511;111436,157147;72646,198511;34410,162654;75504,118832;34410,75009" o:connectangles="0,0,0,0,0,0,0,0,0,0,0,0,0"/>
                      <w10:anchorlock/>
                    </v:shape>
                  </w:pict>
                </mc:Fallback>
              </mc:AlternateContent>
            </w:r>
          </w:p>
        </w:tc>
        <w:tc>
          <w:tcPr>
            <w:tcW w:w="2720" w:type="pct"/>
            <w:shd w:val="clear" w:color="auto" w:fill="FFFFFF" w:themeFill="background2"/>
          </w:tcPr>
          <w:p w14:paraId="11314D59" w14:textId="77777777" w:rsidR="003645A2" w:rsidRPr="00D86E9D" w:rsidRDefault="003645A2" w:rsidP="00D86E9D">
            <w:pPr>
              <w:pStyle w:val="TableBody"/>
              <w:rPr>
                <w:b/>
                <w:bCs/>
              </w:rPr>
            </w:pPr>
            <w:r w:rsidRPr="00D86E9D">
              <w:rPr>
                <w:b/>
                <w:bCs/>
              </w:rPr>
              <w:t>Option 3:</w:t>
            </w:r>
          </w:p>
          <w:p w14:paraId="2B710535" w14:textId="77777777" w:rsidR="003645A2" w:rsidRPr="003645A2" w:rsidRDefault="003645A2" w:rsidP="00D86E9D">
            <w:pPr>
              <w:pStyle w:val="TableBody"/>
            </w:pPr>
            <w:r w:rsidRPr="003645A2">
              <w:t xml:space="preserve">If the framework is implemented on a voluntary basis, improvement to Government’s visibility and graduated powers to support an uplift in resilience and security across </w:t>
            </w:r>
            <w:r w:rsidR="008056F4">
              <w:t>critical infrastructure assets</w:t>
            </w:r>
            <w:r w:rsidRPr="003645A2">
              <w:t xml:space="preserve"> will be limited, as compliance with reporting requirements will not occur on a whole-of-sector basis. </w:t>
            </w:r>
          </w:p>
        </w:tc>
      </w:tr>
      <w:tr w:rsidR="00232E4B" w:rsidRPr="003645A2" w14:paraId="310FEA24" w14:textId="77777777" w:rsidTr="7EBB1CEE">
        <w:trPr>
          <w:cantSplit/>
          <w:trHeight w:val="2412"/>
          <w:jc w:val="center"/>
        </w:trPr>
        <w:tc>
          <w:tcPr>
            <w:tcW w:w="769" w:type="pct"/>
            <w:tcBorders>
              <w:top w:val="single" w:sz="4" w:space="0" w:color="BFBFBF" w:themeColor="background2" w:themeShade="BF"/>
              <w:bottom w:val="nil"/>
            </w:tcBorders>
            <w:shd w:val="clear" w:color="auto" w:fill="F2F2F2" w:themeFill="background2" w:themeFillShade="F2"/>
            <w:hideMark/>
          </w:tcPr>
          <w:p w14:paraId="4CE0D0E7" w14:textId="77777777" w:rsidR="003645A2" w:rsidRPr="003645A2" w:rsidRDefault="003645A2" w:rsidP="00D86E9D">
            <w:pPr>
              <w:pStyle w:val="TableBody"/>
              <w:rPr>
                <w:sz w:val="22"/>
              </w:rPr>
            </w:pPr>
            <w:r w:rsidRPr="003645A2">
              <w:lastRenderedPageBreak/>
              <w:t xml:space="preserve">A stronger partnership between Government and industry is needed to drive a </w:t>
            </w:r>
            <w:r w:rsidRPr="00D86E9D">
              <w:rPr>
                <w:rStyle w:val="superscript"/>
              </w:rPr>
              <w:t>wholesale</w:t>
            </w:r>
            <w:r w:rsidRPr="003645A2">
              <w:t xml:space="preserve"> uplift in security and resilience.</w:t>
            </w:r>
          </w:p>
        </w:tc>
        <w:tc>
          <w:tcPr>
            <w:tcW w:w="1263" w:type="pct"/>
            <w:tcBorders>
              <w:top w:val="single" w:sz="4" w:space="0" w:color="BFBFBF" w:themeColor="background2" w:themeShade="BF"/>
              <w:bottom w:val="nil"/>
            </w:tcBorders>
            <w:shd w:val="clear" w:color="auto" w:fill="DEEAF6"/>
            <w:hideMark/>
          </w:tcPr>
          <w:p w14:paraId="67BB0821" w14:textId="77777777" w:rsidR="003645A2" w:rsidRPr="003645A2" w:rsidRDefault="003645A2" w:rsidP="00D86E9D">
            <w:pPr>
              <w:pStyle w:val="TableBullet"/>
              <w:rPr>
                <w:rFonts w:eastAsia="Calibri"/>
              </w:rPr>
            </w:pPr>
            <w:r w:rsidRPr="003645A2">
              <w:rPr>
                <w:rFonts w:eastAsia="Calibri"/>
              </w:rPr>
              <w:t xml:space="preserve">Avoid regulatory duplication and facilitate a </w:t>
            </w:r>
            <w:r w:rsidRPr="003645A2">
              <w:rPr>
                <w:rFonts w:eastAsia="Calibri"/>
                <w:b/>
                <w:bCs/>
              </w:rPr>
              <w:t>coordinated</w:t>
            </w:r>
            <w:r w:rsidRPr="003645A2">
              <w:rPr>
                <w:rFonts w:eastAsia="Calibri"/>
              </w:rPr>
              <w:t xml:space="preserve"> </w:t>
            </w:r>
            <w:r w:rsidRPr="003645A2">
              <w:rPr>
                <w:rFonts w:eastAsia="Calibri"/>
                <w:b/>
                <w:bCs/>
              </w:rPr>
              <w:t>uplift</w:t>
            </w:r>
            <w:r w:rsidRPr="003645A2">
              <w:rPr>
                <w:rFonts w:eastAsia="Calibri"/>
              </w:rPr>
              <w:t xml:space="preserve"> in responsible entities’ compliance with relevant standards.</w:t>
            </w:r>
          </w:p>
        </w:tc>
        <w:tc>
          <w:tcPr>
            <w:tcW w:w="248" w:type="pct"/>
            <w:tcBorders>
              <w:top w:val="single" w:sz="4" w:space="0" w:color="BFBFBF" w:themeColor="background2" w:themeShade="BF"/>
              <w:bottom w:val="nil"/>
            </w:tcBorders>
            <w:shd w:val="clear" w:color="auto" w:fill="FBE4D5"/>
            <w:hideMark/>
          </w:tcPr>
          <w:p w14:paraId="1785EFA6" w14:textId="418F6D80" w:rsidR="003645A2" w:rsidRPr="003645A2" w:rsidRDefault="00A34790" w:rsidP="00D86E9D">
            <w:pPr>
              <w:pStyle w:val="TableBody"/>
            </w:pPr>
            <w:r w:rsidRPr="003645A2">
              <w:rPr>
                <w:noProof/>
                <w:lang w:val="en-AU" w:eastAsia="en-AU"/>
              </w:rPr>
              <mc:AlternateContent>
                <mc:Choice Requires="wps">
                  <w:drawing>
                    <wp:inline distT="0" distB="0" distL="0" distR="0" wp14:anchorId="3668A756" wp14:editId="67E84DEE">
                      <wp:extent cx="222871" cy="237663"/>
                      <wp:effectExtent l="0" t="0" r="0" b="0"/>
                      <wp:docPr id="35" name="Multiplication Sign 35" descr="Checkmark"/>
                      <wp:cNvGraphicFramePr/>
                      <a:graphic xmlns:a="http://schemas.openxmlformats.org/drawingml/2006/main">
                        <a:graphicData uri="http://schemas.microsoft.com/office/word/2010/wordprocessingShape">
                          <wps:wsp>
                            <wps:cNvSpPr/>
                            <wps:spPr>
                              <a:xfrm>
                                <a:off x="0" y="0"/>
                                <a:ext cx="222871" cy="237663"/>
                              </a:xfrm>
                              <a:prstGeom prst="mathMultiply">
                                <a:avLst/>
                              </a:prstGeom>
                              <a:solidFill>
                                <a:srgbClr val="ED7D31"/>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3B276E" id="Multiplication Sign 35" o:spid="_x0000_s1026" alt="Checkmark" style="width:17.55pt;height:18.7pt;visibility:visible;mso-wrap-style:square;mso-left-percent:-10001;mso-top-percent:-10001;mso-position-horizontal:absolute;mso-position-horizontal-relative:char;mso-position-vertical:absolute;mso-position-vertical-relative:line;mso-left-percent:-10001;mso-top-percent:-10001;v-text-anchor:middle" coordsize="222871,23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" path="m34410,75009l72646,39152r38790,41364l150225,39152r38236,35857l147367,118832r41094,43822l150225,198511,111436,157147,72646,198511,34410,162654,75504,118832,34410,75009xe" fillcolor="#ed7d31" stroked="f" strokeweight=".06339mm">
                      <v:stroke joinstyle="miter"/>
                      <v:path arrowok="t" o:connecttype="custom" o:connectlocs="34410,75009;72646,39152;111436,80516;150225,39152;188461,75009;147367,118832;188461,162654;150225,198511;111436,157147;72646,198511;34410,162654;75504,118832;34410,75009" o:connectangles="0,0,0,0,0,0,0,0,0,0,0,0,0"/>
                      <w10:anchorlock/>
                    </v:shape>
                  </w:pict>
                </mc:Fallback>
              </mc:AlternateContent>
            </w:r>
          </w:p>
        </w:tc>
        <w:tc>
          <w:tcPr>
            <w:tcW w:w="2720" w:type="pct"/>
            <w:shd w:val="clear" w:color="auto" w:fill="FFFFFF" w:themeFill="background2"/>
          </w:tcPr>
          <w:p w14:paraId="08478368" w14:textId="77777777" w:rsidR="003645A2" w:rsidRPr="00C116FB" w:rsidRDefault="003645A2" w:rsidP="00D86E9D">
            <w:pPr>
              <w:pStyle w:val="TableBody"/>
              <w:rPr>
                <w:b/>
                <w:bCs/>
                <w:spacing w:val="-2"/>
              </w:rPr>
            </w:pPr>
            <w:r w:rsidRPr="00C116FB">
              <w:rPr>
                <w:b/>
                <w:bCs/>
                <w:spacing w:val="-2"/>
              </w:rPr>
              <w:t xml:space="preserve">Option 1: </w:t>
            </w:r>
          </w:p>
          <w:p w14:paraId="3A88E6ED" w14:textId="7F903E67" w:rsidR="003645A2" w:rsidRPr="00C116FB" w:rsidRDefault="003645A2" w:rsidP="00D86E9D">
            <w:pPr>
              <w:pStyle w:val="TableBody"/>
              <w:rPr>
                <w:spacing w:val="-2"/>
              </w:rPr>
            </w:pPr>
            <w:r w:rsidRPr="00C116FB">
              <w:rPr>
                <w:spacing w:val="-2"/>
              </w:rPr>
              <w:t xml:space="preserve">Under the status quo, no additional mechanisms or discussion avenues will be created to strengthen the partnership between industry and Government. While the TISN will still be available for critical infrastructure entities, this substantially limits option 1’s ability to facilitate a wholesale uplift in the security and resilience of </w:t>
            </w:r>
            <w:r w:rsidR="008056F4" w:rsidRPr="00C116FB">
              <w:rPr>
                <w:spacing w:val="-2"/>
              </w:rPr>
              <w:t>critical infrastructure assets</w:t>
            </w:r>
            <w:r w:rsidRPr="00C116FB">
              <w:rPr>
                <w:spacing w:val="-2"/>
              </w:rPr>
              <w:t xml:space="preserve">. </w:t>
            </w:r>
            <w:r w:rsidR="00E43360" w:rsidRPr="00C116FB">
              <w:rPr>
                <w:spacing w:val="-2"/>
              </w:rPr>
              <w:t>Without concerted efforts to lower the material risk of hazards and</w:t>
            </w:r>
            <w:r w:rsidRPr="00C116FB">
              <w:rPr>
                <w:spacing w:val="-2"/>
              </w:rPr>
              <w:t xml:space="preserve"> an asset-wide uplift in the security and resilience of </w:t>
            </w:r>
            <w:r w:rsidR="008056F4" w:rsidRPr="00C116FB">
              <w:rPr>
                <w:spacing w:val="-2"/>
              </w:rPr>
              <w:t>critical infrastructure assets</w:t>
            </w:r>
            <w:r w:rsidRPr="00C116FB">
              <w:rPr>
                <w:spacing w:val="-2"/>
              </w:rPr>
              <w:t>, the Australian economy as a whole may incur significant cost</w:t>
            </w:r>
            <w:r w:rsidR="00E43360" w:rsidRPr="00C116FB">
              <w:rPr>
                <w:spacing w:val="-2"/>
              </w:rPr>
              <w:t>. The costs will depend</w:t>
            </w:r>
            <w:r w:rsidRPr="00C116FB">
              <w:rPr>
                <w:spacing w:val="-2"/>
              </w:rPr>
              <w:t xml:space="preserve"> on </w:t>
            </w:r>
            <w:r w:rsidR="00E43360" w:rsidRPr="00C116FB">
              <w:rPr>
                <w:spacing w:val="-2"/>
              </w:rPr>
              <w:t>an incident’s</w:t>
            </w:r>
            <w:r w:rsidRPr="00C116FB">
              <w:rPr>
                <w:spacing w:val="-2"/>
              </w:rPr>
              <w:t xml:space="preserve"> frequency</w:t>
            </w:r>
            <w:r w:rsidR="00C23CA5" w:rsidRPr="00C116FB">
              <w:rPr>
                <w:spacing w:val="-2"/>
              </w:rPr>
              <w:t>,</w:t>
            </w:r>
            <w:r w:rsidRPr="00C116FB">
              <w:rPr>
                <w:spacing w:val="-2"/>
              </w:rPr>
              <w:t xml:space="preserve"> severity</w:t>
            </w:r>
            <w:r w:rsidR="00C23CA5" w:rsidRPr="00C116FB">
              <w:rPr>
                <w:spacing w:val="-2"/>
              </w:rPr>
              <w:t xml:space="preserve"> and critical infrastructure assets affected</w:t>
            </w:r>
            <w:r w:rsidR="00E43360" w:rsidRPr="00C116FB">
              <w:rPr>
                <w:spacing w:val="-2"/>
              </w:rPr>
              <w:t xml:space="preserve">. The potential costs of each incident are summarised in Section 4.2.1 and detailed in appendices </w:t>
            </w:r>
            <w:r w:rsidR="00BC4ED0">
              <w:rPr>
                <w:spacing w:val="-2"/>
              </w:rPr>
              <w:t>S</w:t>
            </w:r>
            <w:r w:rsidR="00AA63AB">
              <w:rPr>
                <w:spacing w:val="-2"/>
              </w:rPr>
              <w:t xml:space="preserve"> – </w:t>
            </w:r>
            <w:r w:rsidR="00BC4ED0">
              <w:rPr>
                <w:spacing w:val="-2"/>
              </w:rPr>
              <w:t>CC</w:t>
            </w:r>
            <w:r w:rsidR="00E43360" w:rsidRPr="00C116FB">
              <w:rPr>
                <w:spacing w:val="-2"/>
              </w:rPr>
              <w:t>.</w:t>
            </w:r>
          </w:p>
        </w:tc>
      </w:tr>
      <w:tr w:rsidR="00A34790" w:rsidRPr="003645A2" w14:paraId="2FD20F21" w14:textId="77777777" w:rsidTr="7EBB1CEE">
        <w:trPr>
          <w:cantSplit/>
          <w:trHeight w:val="2412"/>
          <w:jc w:val="center"/>
        </w:trPr>
        <w:tc>
          <w:tcPr>
            <w:tcW w:w="769" w:type="pct"/>
            <w:tcBorders>
              <w:top w:val="nil"/>
            </w:tcBorders>
            <w:shd w:val="clear" w:color="auto" w:fill="F2F2F2" w:themeFill="background2" w:themeFillShade="F2"/>
          </w:tcPr>
          <w:p w14:paraId="4A962AF6" w14:textId="77777777" w:rsidR="003645A2" w:rsidRPr="003645A2" w:rsidRDefault="003645A2" w:rsidP="00D86E9D">
            <w:pPr>
              <w:pStyle w:val="TableBody"/>
            </w:pPr>
          </w:p>
        </w:tc>
        <w:tc>
          <w:tcPr>
            <w:tcW w:w="1263" w:type="pct"/>
            <w:tcBorders>
              <w:top w:val="nil"/>
            </w:tcBorders>
            <w:shd w:val="clear" w:color="auto" w:fill="DEEAF6"/>
          </w:tcPr>
          <w:p w14:paraId="7DFB0EEF" w14:textId="77777777" w:rsidR="003645A2" w:rsidRPr="003645A2" w:rsidRDefault="003645A2" w:rsidP="00D86E9D">
            <w:pPr>
              <w:pStyle w:val="TableBody"/>
            </w:pPr>
          </w:p>
        </w:tc>
        <w:tc>
          <w:tcPr>
            <w:tcW w:w="248" w:type="pct"/>
            <w:tcBorders>
              <w:top w:val="nil"/>
            </w:tcBorders>
            <w:shd w:val="clear" w:color="auto" w:fill="FBE4D5"/>
          </w:tcPr>
          <w:p w14:paraId="2378D26C" w14:textId="354D553F" w:rsidR="003645A2" w:rsidRPr="003645A2" w:rsidRDefault="00A34790" w:rsidP="00D86E9D">
            <w:pPr>
              <w:pStyle w:val="TableBody"/>
              <w:rPr>
                <w:noProof/>
              </w:rPr>
            </w:pPr>
            <w:r w:rsidRPr="003645A2">
              <w:rPr>
                <w:noProof/>
                <w:lang w:val="en-AU" w:eastAsia="en-AU"/>
              </w:rPr>
              <mc:AlternateContent>
                <mc:Choice Requires="wps">
                  <w:drawing>
                    <wp:inline distT="0" distB="0" distL="0" distR="0" wp14:anchorId="72CC1F0F" wp14:editId="1BD0861A">
                      <wp:extent cx="222871" cy="237663"/>
                      <wp:effectExtent l="0" t="0" r="0" b="0"/>
                      <wp:docPr id="37" name="Multiplication Sign 37" descr="Checkmark"/>
                      <wp:cNvGraphicFramePr/>
                      <a:graphic xmlns:a="http://schemas.openxmlformats.org/drawingml/2006/main">
                        <a:graphicData uri="http://schemas.microsoft.com/office/word/2010/wordprocessingShape">
                          <wps:wsp>
                            <wps:cNvSpPr/>
                            <wps:spPr>
                              <a:xfrm>
                                <a:off x="0" y="0"/>
                                <a:ext cx="222871" cy="237663"/>
                              </a:xfrm>
                              <a:prstGeom prst="mathMultiply">
                                <a:avLst/>
                              </a:prstGeom>
                              <a:solidFill>
                                <a:srgbClr val="ED7D31"/>
                              </a:solidFill>
                              <a:ln w="22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695A44" id="Multiplication Sign 37" o:spid="_x0000_s1026" alt="Checkmark" style="width:17.55pt;height:18.7pt;visibility:visible;mso-wrap-style:square;mso-left-percent:-10001;mso-top-percent:-10001;mso-position-horizontal:absolute;mso-position-horizontal-relative:char;mso-position-vertical:absolute;mso-position-vertical-relative:line;mso-left-percent:-10001;mso-top-percent:-10001;v-text-anchor:middle" coordsize="222871,23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" path="m34410,75009l72646,39152r38790,41364l150225,39152r38236,35857l147367,118832r41094,43822l150225,198511,111436,157147,72646,198511,34410,162654,75504,118832,34410,75009xe" fillcolor="#ed7d31" stroked="f" strokeweight=".06339mm">
                      <v:stroke joinstyle="miter"/>
                      <v:path arrowok="t" o:connecttype="custom" o:connectlocs="34410,75009;72646,39152;111436,80516;150225,39152;188461,75009;147367,118832;188461,162654;150225,198511;111436,157147;72646,198511;34410,162654;75504,118832;34410,75009" o:connectangles="0,0,0,0,0,0,0,0,0,0,0,0,0"/>
                      <w10:anchorlock/>
                    </v:shape>
                  </w:pict>
                </mc:Fallback>
              </mc:AlternateContent>
            </w:r>
          </w:p>
        </w:tc>
        <w:tc>
          <w:tcPr>
            <w:tcW w:w="2720" w:type="pct"/>
            <w:shd w:val="clear" w:color="auto" w:fill="FFFFFF" w:themeFill="background2"/>
          </w:tcPr>
          <w:p w14:paraId="6D2D4CC7" w14:textId="77777777" w:rsidR="003645A2" w:rsidRPr="0001662D" w:rsidRDefault="003645A2" w:rsidP="00D86E9D">
            <w:pPr>
              <w:pStyle w:val="TableBody"/>
              <w:rPr>
                <w:b/>
                <w:bCs/>
              </w:rPr>
            </w:pPr>
            <w:r w:rsidRPr="0001662D">
              <w:rPr>
                <w:b/>
                <w:bCs/>
              </w:rPr>
              <w:t>Option 3:</w:t>
            </w:r>
          </w:p>
          <w:p w14:paraId="7DE75C6F" w14:textId="16471782" w:rsidR="003645A2" w:rsidRPr="003645A2" w:rsidRDefault="003645A2" w:rsidP="00D86E9D">
            <w:pPr>
              <w:pStyle w:val="TableBody"/>
            </w:pPr>
            <w:r w:rsidRPr="003645A2">
              <w:t xml:space="preserve">Under option 3, a stronger relationship may form between some industry stakeholders and Government. However, this will not be achieved on a sector-wide basis. While accompanying guidance material would be made available to critical infrastructure entities, regardless of their compliance with the voluntary framework, and continued use of </w:t>
            </w:r>
            <w:r w:rsidR="005F76CC" w:rsidRPr="005F76CC">
              <w:t>TISN</w:t>
            </w:r>
            <w:r w:rsidR="005F76CC">
              <w:rPr>
                <w:color w:val="FF9933"/>
              </w:rPr>
              <w:t xml:space="preserve"> </w:t>
            </w:r>
            <w:r w:rsidRPr="003645A2">
              <w:t xml:space="preserve">may facilitate communication, Government’s understanding of each asset’s operating environment and risk management practices will be limited. There would be inconsistent awareness and understanding among industry of the need to uplift the security and resilience of </w:t>
            </w:r>
            <w:r w:rsidR="008056F4">
              <w:t>critical infrastructure assets</w:t>
            </w:r>
            <w:r w:rsidRPr="003645A2">
              <w:t xml:space="preserve">. Given the interconnected nature of </w:t>
            </w:r>
            <w:r w:rsidR="008056F4">
              <w:t>critical infrastructure assets</w:t>
            </w:r>
            <w:r w:rsidRPr="003645A2">
              <w:t>, an inconsistent uplift in security and resilience across such assets may result in significant cost</w:t>
            </w:r>
            <w:r w:rsidR="00E43360">
              <w:t xml:space="preserve">. </w:t>
            </w:r>
            <w:r w:rsidR="00E43360" w:rsidRPr="003645A2">
              <w:t xml:space="preserve">Without concerted efforts to lower the material risk of hazards and an asset-wide uplift in the security and resilience of </w:t>
            </w:r>
            <w:r w:rsidR="00E43360">
              <w:t>critical infrastructure assets</w:t>
            </w:r>
            <w:r w:rsidR="00E43360" w:rsidRPr="003645A2">
              <w:t>, the Australian economy as a whole may incur significant cost</w:t>
            </w:r>
            <w:r w:rsidR="00E43360">
              <w:t>. The costs will</w:t>
            </w:r>
            <w:r w:rsidR="00E43360" w:rsidRPr="003645A2">
              <w:t xml:space="preserve"> depend on </w:t>
            </w:r>
            <w:r w:rsidR="00E43360">
              <w:t>an incident’s</w:t>
            </w:r>
            <w:r w:rsidR="00E43360" w:rsidRPr="003645A2">
              <w:t xml:space="preserve"> frequency</w:t>
            </w:r>
            <w:r w:rsidR="00E43360">
              <w:t xml:space="preserve">, </w:t>
            </w:r>
            <w:r w:rsidR="00E43360" w:rsidRPr="003645A2">
              <w:t>severity</w:t>
            </w:r>
            <w:r w:rsidR="00E43360">
              <w:t xml:space="preserve"> and critical infrastructure assets affected</w:t>
            </w:r>
            <w:r w:rsidR="00E43360" w:rsidRPr="003645A2">
              <w:t>.</w:t>
            </w:r>
            <w:r w:rsidR="00E43360">
              <w:t xml:space="preserve"> The potential costs of each incident are summarised in Section 4.2.1 and detailed in appendices </w:t>
            </w:r>
            <w:r w:rsidR="00BC4ED0">
              <w:t>S</w:t>
            </w:r>
            <w:r w:rsidR="004501AD">
              <w:t xml:space="preserve"> </w:t>
            </w:r>
            <w:r w:rsidR="00AA63AB">
              <w:t xml:space="preserve">– </w:t>
            </w:r>
            <w:r w:rsidR="00E55FB4">
              <w:t>CC</w:t>
            </w:r>
            <w:r w:rsidR="00E43360">
              <w:t>.</w:t>
            </w:r>
          </w:p>
        </w:tc>
      </w:tr>
    </w:tbl>
    <w:p w14:paraId="22A996CB" w14:textId="77777777" w:rsidR="00C116FB" w:rsidRDefault="00C116FB" w:rsidP="00E435BD">
      <w:pPr>
        <w:pStyle w:val="BodyText"/>
        <w:spacing w:before="240"/>
      </w:pPr>
    </w:p>
    <w:p w14:paraId="360D5C11" w14:textId="77777777" w:rsidR="00C116FB" w:rsidRDefault="00C116FB" w:rsidP="00E435BD">
      <w:pPr>
        <w:pStyle w:val="BodyText"/>
        <w:spacing w:before="240"/>
      </w:pPr>
    </w:p>
    <w:p w14:paraId="626ACEDD" w14:textId="010857CD" w:rsidR="003645A2" w:rsidRPr="00AA55DD" w:rsidRDefault="003645A2" w:rsidP="00E435BD">
      <w:pPr>
        <w:pStyle w:val="BodyText"/>
        <w:spacing w:before="240"/>
        <w:rPr>
          <w:rFonts w:ascii="Arial" w:eastAsia="Calibri" w:hAnsi="Arial" w:cs="Arial"/>
        </w:rPr>
      </w:pPr>
      <w:r w:rsidRPr="00AA55DD">
        <w:t xml:space="preserve">As demonstrated in </w:t>
      </w:r>
      <w:r w:rsidRPr="00AA55DD">
        <w:fldChar w:fldCharType="begin"/>
      </w:r>
      <w:r w:rsidRPr="00AA55DD">
        <w:rPr>
          <w:rFonts w:ascii="Arial" w:eastAsia="Calibri" w:hAnsi="Arial" w:cs="Arial"/>
        </w:rPr>
        <w:instrText xml:space="preserve"> REF _Ref78469988 \h  \* MERGEFORMAT </w:instrText>
      </w:r>
      <w:r w:rsidRPr="00AA55DD">
        <w:fldChar w:fldCharType="separate"/>
      </w:r>
      <w:r w:rsidR="009708D4" w:rsidRPr="009708D4">
        <w:rPr>
          <w:rFonts w:ascii="Arial" w:eastAsia="Calibri" w:hAnsi="Arial" w:cs="Arial"/>
        </w:rPr>
        <w:t>Table 22</w:t>
      </w:r>
      <w:r w:rsidRPr="00AA55DD">
        <w:fldChar w:fldCharType="end"/>
      </w:r>
      <w:r w:rsidRPr="00AA55DD">
        <w:t xml:space="preserve"> and </w:t>
      </w:r>
      <w:r w:rsidR="00AA55DD" w:rsidRPr="00AA55DD">
        <w:fldChar w:fldCharType="begin"/>
      </w:r>
      <w:r w:rsidR="00AA55DD" w:rsidRPr="00AA55DD">
        <w:instrText xml:space="preserve"> REF _Ref79156022 \h  \* MERGEFORMAT </w:instrText>
      </w:r>
      <w:r w:rsidR="00AA55DD" w:rsidRPr="00AA55DD">
        <w:fldChar w:fldCharType="separate"/>
      </w:r>
      <w:r w:rsidR="009708D4" w:rsidRPr="009708D4">
        <w:t>Table 23</w:t>
      </w:r>
      <w:r w:rsidR="00AA55DD" w:rsidRPr="00AA55DD">
        <w:fldChar w:fldCharType="end"/>
      </w:r>
      <w:r w:rsidR="00AA55DD" w:rsidRPr="00AA55DD">
        <w:t xml:space="preserve"> </w:t>
      </w:r>
      <w:r w:rsidRPr="00AA55DD">
        <w:rPr>
          <w:rFonts w:ascii="Arial" w:eastAsia="Calibri" w:hAnsi="Arial" w:cs="Arial"/>
        </w:rPr>
        <w:t>above, options 1 and 3 are not capable of solving the policy problem</w:t>
      </w:r>
      <w:r w:rsidR="00B96390">
        <w:rPr>
          <w:rFonts w:ascii="Arial" w:eastAsia="Calibri" w:hAnsi="Arial" w:cs="Arial"/>
        </w:rPr>
        <w:t>,</w:t>
      </w:r>
      <w:r w:rsidRPr="00AA55DD">
        <w:rPr>
          <w:rFonts w:ascii="Arial" w:eastAsia="Calibri" w:hAnsi="Arial" w:cs="Arial"/>
        </w:rPr>
        <w:t xml:space="preserve"> nor </w:t>
      </w:r>
      <w:r w:rsidR="00B96390">
        <w:rPr>
          <w:rFonts w:ascii="Arial" w:eastAsia="Calibri" w:hAnsi="Arial" w:cs="Arial"/>
        </w:rPr>
        <w:t>the</w:t>
      </w:r>
      <w:r w:rsidRPr="00AA55DD">
        <w:rPr>
          <w:rFonts w:ascii="Arial" w:eastAsia="Calibri" w:hAnsi="Arial" w:cs="Arial"/>
        </w:rPr>
        <w:t xml:space="preserve"> Government objectives for intervention outlined by this RIS. Without implementing the </w:t>
      </w:r>
      <w:r w:rsidR="00BB0179" w:rsidRPr="00AA55DD">
        <w:rPr>
          <w:rFonts w:ascii="Arial" w:eastAsia="Calibri" w:hAnsi="Arial" w:cs="Arial"/>
        </w:rPr>
        <w:t>RMP</w:t>
      </w:r>
      <w:r w:rsidRPr="00AA55DD">
        <w:rPr>
          <w:rFonts w:ascii="Arial" w:eastAsia="Calibri" w:hAnsi="Arial" w:cs="Arial"/>
        </w:rPr>
        <w:t xml:space="preserve"> framework, as proposed by option 2, the identified problem areas cannot be addressed, Government’s objectives for intervention cannot be met, and industry and the Australian economy as a whole will not experience, to the full extent, the avoided costs outlined above. </w:t>
      </w:r>
    </w:p>
    <w:p w14:paraId="368EE7C0" w14:textId="580698E2" w:rsidR="003645A2" w:rsidRDefault="003645A2" w:rsidP="003645A2">
      <w:pPr>
        <w:spacing w:after="160"/>
        <w:rPr>
          <w:rFonts w:ascii="Arial" w:eastAsia="Calibri" w:hAnsi="Arial" w:cs="Arial"/>
          <w:sz w:val="22"/>
        </w:rPr>
      </w:pPr>
      <w:r w:rsidRPr="003645A2">
        <w:rPr>
          <w:rFonts w:ascii="Arial" w:eastAsia="Calibri" w:hAnsi="Arial" w:cs="Arial"/>
          <w:sz w:val="22"/>
        </w:rPr>
        <w:t xml:space="preserve">Although it offers the best option from those considered, option 2 is not without risks. Effective implementation of the </w:t>
      </w:r>
      <w:r w:rsidR="00BB0179">
        <w:rPr>
          <w:rFonts w:ascii="Arial" w:eastAsia="Calibri" w:hAnsi="Arial" w:cs="Arial"/>
          <w:sz w:val="22"/>
        </w:rPr>
        <w:t>RMP</w:t>
      </w:r>
      <w:r w:rsidRPr="003645A2">
        <w:rPr>
          <w:rFonts w:ascii="Arial" w:eastAsia="Calibri" w:hAnsi="Arial" w:cs="Arial"/>
          <w:sz w:val="22"/>
        </w:rPr>
        <w:t xml:space="preserve"> framework is essential for ensuring option 2’s benefits are realised in their entirety. The risks associated with option 2, as well as a proposed implementation, monitoring and evaluation plan are discussed in Section 7 below.  </w:t>
      </w:r>
    </w:p>
    <w:p w14:paraId="1023EF92" w14:textId="397AA24B" w:rsidR="00E73273" w:rsidRDefault="00E73273">
      <w:pPr>
        <w:spacing w:before="80" w:after="80"/>
        <w:rPr>
          <w:rFonts w:ascii="Arial" w:eastAsia="Calibri" w:hAnsi="Arial" w:cs="Arial"/>
          <w:sz w:val="22"/>
        </w:rPr>
      </w:pPr>
      <w:r>
        <w:rPr>
          <w:rFonts w:ascii="Arial" w:eastAsia="Calibri" w:hAnsi="Arial" w:cs="Arial"/>
          <w:sz w:val="22"/>
        </w:rPr>
        <w:lastRenderedPageBreak/>
        <w:br w:type="page"/>
      </w:r>
    </w:p>
    <w:p w14:paraId="5E1FDA8F" w14:textId="77777777" w:rsidR="00E73273" w:rsidRDefault="00E73273" w:rsidP="00E73273">
      <w:pPr>
        <w:pStyle w:val="BodyText"/>
      </w:pPr>
    </w:p>
    <w:p w14:paraId="07108601" w14:textId="4DC57229" w:rsidR="00E73273" w:rsidRPr="00E73273" w:rsidRDefault="00E73273" w:rsidP="00E73273">
      <w:pPr>
        <w:pStyle w:val="Divider"/>
      </w:pPr>
      <w:r w:rsidRPr="00E73273">
        <w:rPr>
          <w:noProof/>
          <w:lang w:eastAsia="en-AU"/>
        </w:rPr>
        <mc:AlternateContent>
          <mc:Choice Requires="wps">
            <w:drawing>
              <wp:anchor distT="0" distB="0" distL="114300" distR="114300" simplePos="0" relativeHeight="251654144" behindDoc="1" locked="0" layoutInCell="1" allowOverlap="1" wp14:anchorId="1FF196FA" wp14:editId="1239BAA8">
                <wp:simplePos x="0" y="0"/>
                <wp:positionH relativeFrom="page">
                  <wp:posOffset>0</wp:posOffset>
                </wp:positionH>
                <wp:positionV relativeFrom="page">
                  <wp:posOffset>939114</wp:posOffset>
                </wp:positionV>
                <wp:extent cx="7560000" cy="9000000"/>
                <wp:effectExtent l="0" t="0" r="3175" b="0"/>
                <wp:wrapNone/>
                <wp:docPr id="60" name="Rectangle 60"/>
                <wp:cNvGraphicFramePr/>
                <a:graphic xmlns:a="http://schemas.openxmlformats.org/drawingml/2006/main">
                  <a:graphicData uri="http://schemas.microsoft.com/office/word/2010/wordprocessingShape">
                    <wps:wsp>
                      <wps:cNvSpPr/>
                      <wps:spPr>
                        <a:xfrm>
                          <a:off x="0" y="0"/>
                          <a:ext cx="7560000" cy="9000000"/>
                        </a:xfrm>
                        <a:prstGeom prst="rect">
                          <a:avLst/>
                        </a:prstGeom>
                        <a:gradFill flip="none" rotWithShape="1">
                          <a:gsLst>
                            <a:gs pos="0">
                              <a:schemeClr val="accent1"/>
                            </a:gs>
                            <a:gs pos="100000">
                              <a:schemeClr val="accent2"/>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C2BEC6" id="Rectangle 60" o:spid="_x0000_s1026" style="position:absolute;margin-left:0;margin-top:73.95pt;width:595.3pt;height:708.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" fillcolor="#034ea2 [3204]" stroked="f" strokeweight="2pt">
                <v:fill color2="#007bc3 [3205]" rotate="t" angle="45" focus="100%" type="gradient"/>
                <w10:wrap anchorx="page" anchory="page"/>
              </v:rect>
            </w:pict>
          </mc:Fallback>
        </mc:AlternateContent>
      </w:r>
      <w:r>
        <w:t>7. Implementation and evaluation</w:t>
      </w:r>
      <w:r w:rsidRPr="00E73273">
        <w:br w:type="page"/>
      </w:r>
    </w:p>
    <w:p w14:paraId="56137A9B" w14:textId="10D03AB2" w:rsidR="003645A2" w:rsidRPr="00C768BC" w:rsidRDefault="003645A2" w:rsidP="00E06C13">
      <w:pPr>
        <w:pStyle w:val="Heading1numbered"/>
      </w:pPr>
      <w:bookmarkStart w:id="377" w:name="_Toc79149660"/>
      <w:bookmarkStart w:id="378" w:name="_Toc121397403"/>
      <w:r w:rsidRPr="00C768BC">
        <w:lastRenderedPageBreak/>
        <w:t>Implementation and evaluation</w:t>
      </w:r>
      <w:bookmarkEnd w:id="377"/>
      <w:bookmarkEnd w:id="378"/>
    </w:p>
    <w:p w14:paraId="44536792" w14:textId="638C011E" w:rsidR="003645A2" w:rsidRPr="003645A2" w:rsidRDefault="003645A2" w:rsidP="00E06C13">
      <w:pPr>
        <w:pStyle w:val="BodyText"/>
      </w:pPr>
      <w:r w:rsidRPr="003645A2">
        <w:t>This section outlines the Department’s proposed implementation and evaluation plan, including an outline of key implementation tasks</w:t>
      </w:r>
      <w:r w:rsidR="00A518B6">
        <w:t>,</w:t>
      </w:r>
      <w:r w:rsidRPr="003645A2">
        <w:t xml:space="preserve"> and the challenges or risks associated with implementing the proposed </w:t>
      </w:r>
      <w:r w:rsidR="00BB0179">
        <w:t>RMP</w:t>
      </w:r>
      <w:r w:rsidRPr="003645A2">
        <w:t xml:space="preserve"> framework. </w:t>
      </w:r>
    </w:p>
    <w:p w14:paraId="4EB92F05" w14:textId="28640CF5" w:rsidR="003645A2" w:rsidRPr="003645A2" w:rsidRDefault="003645A2" w:rsidP="004C0EFC">
      <w:pPr>
        <w:pStyle w:val="Heading2numbered"/>
      </w:pPr>
      <w:bookmarkStart w:id="379" w:name="_Toc79149661"/>
      <w:bookmarkStart w:id="380" w:name="_Toc121397404"/>
      <w:r w:rsidRPr="003645A2">
        <w:t>Implementation overview</w:t>
      </w:r>
      <w:bookmarkEnd w:id="379"/>
      <w:bookmarkEnd w:id="380"/>
    </w:p>
    <w:p w14:paraId="314DAAA2" w14:textId="77777777" w:rsidR="003645A2" w:rsidRPr="003645A2" w:rsidRDefault="003645A2" w:rsidP="00E06C13">
      <w:pPr>
        <w:pStyle w:val="BodyText"/>
      </w:pPr>
      <w:r w:rsidRPr="003645A2">
        <w:t xml:space="preserve">Government’s objectives for implementation are to introduce the </w:t>
      </w:r>
      <w:r w:rsidR="00BB0179">
        <w:t>RMP</w:t>
      </w:r>
      <w:r w:rsidRPr="003645A2">
        <w:t xml:space="preserve"> framework, in a manner which ensures affected industry stakeholders:</w:t>
      </w:r>
    </w:p>
    <w:p w14:paraId="0B97DE33" w14:textId="77777777" w:rsidR="003645A2" w:rsidRPr="003645A2" w:rsidRDefault="003645A2" w:rsidP="00E06C13">
      <w:pPr>
        <w:pStyle w:val="Bullet1stlevel"/>
      </w:pPr>
      <w:r w:rsidRPr="003645A2">
        <w:t xml:space="preserve">Understand and comply with their obligations under the </w:t>
      </w:r>
      <w:r w:rsidR="00BB0179">
        <w:t>RMP</w:t>
      </w:r>
      <w:r w:rsidRPr="003645A2">
        <w:t xml:space="preserve">; </w:t>
      </w:r>
    </w:p>
    <w:p w14:paraId="5C33F9BB" w14:textId="77777777" w:rsidR="003645A2" w:rsidRPr="003645A2" w:rsidRDefault="003645A2" w:rsidP="00E06C13">
      <w:pPr>
        <w:pStyle w:val="Bullet1stlevel"/>
      </w:pPr>
      <w:r w:rsidRPr="003645A2">
        <w:t>Engage with Government to identify, understand and mitigate risks which exist in the sector</w:t>
      </w:r>
      <w:r w:rsidR="00C979D3">
        <w:t>,</w:t>
      </w:r>
      <w:r w:rsidRPr="003645A2">
        <w:t xml:space="preserve"> and collaborate to drive the implementation of effective baseline security standards; and</w:t>
      </w:r>
    </w:p>
    <w:p w14:paraId="51006568" w14:textId="77777777" w:rsidR="003645A2" w:rsidRPr="003645A2" w:rsidRDefault="003645A2" w:rsidP="00E06C13">
      <w:pPr>
        <w:pStyle w:val="Bullet1stlevel"/>
      </w:pPr>
      <w:r w:rsidRPr="003645A2">
        <w:t xml:space="preserve">Receive appropriate and consistent direction, </w:t>
      </w:r>
      <w:r w:rsidR="004221D0" w:rsidRPr="003645A2">
        <w:t>assistance,</w:t>
      </w:r>
      <w:r w:rsidRPr="003645A2">
        <w:t xml:space="preserve"> and guidance from Government, to allow for compliance with </w:t>
      </w:r>
      <w:r w:rsidR="00BB0179">
        <w:t>RMP</w:t>
      </w:r>
      <w:r w:rsidRPr="003645A2">
        <w:t xml:space="preserve"> obligations and support an uplift in security posture across the sector. </w:t>
      </w:r>
    </w:p>
    <w:p w14:paraId="173F24E5" w14:textId="77777777" w:rsidR="003645A2" w:rsidRPr="003645A2" w:rsidRDefault="003645A2" w:rsidP="00E06C13">
      <w:pPr>
        <w:pStyle w:val="BodyText"/>
      </w:pPr>
      <w:r w:rsidRPr="003645A2">
        <w:t xml:space="preserve">The Implementation Plan discussed below seeks to ensure these objectives are achieved. </w:t>
      </w:r>
    </w:p>
    <w:p w14:paraId="6C771E0F" w14:textId="2ACF22FA" w:rsidR="003645A2" w:rsidRPr="003645A2" w:rsidRDefault="003645A2" w:rsidP="004C0EFC">
      <w:pPr>
        <w:pStyle w:val="Heading3numbered"/>
      </w:pPr>
      <w:bookmarkStart w:id="381" w:name="_Toc74661612"/>
      <w:bookmarkStart w:id="382" w:name="_Toc74755265"/>
      <w:bookmarkStart w:id="383" w:name="_Toc74756977"/>
      <w:bookmarkStart w:id="384" w:name="_Toc74832214"/>
      <w:bookmarkStart w:id="385" w:name="_Toc74841219"/>
      <w:bookmarkStart w:id="386" w:name="_Toc74913999"/>
      <w:bookmarkStart w:id="387" w:name="_Toc76050851"/>
      <w:bookmarkStart w:id="388" w:name="_Toc77755138"/>
      <w:bookmarkStart w:id="389" w:name="_Toc79149662"/>
      <w:r w:rsidRPr="003645A2">
        <w:t>Implementation plan</w:t>
      </w:r>
      <w:bookmarkEnd w:id="381"/>
      <w:bookmarkEnd w:id="382"/>
      <w:bookmarkEnd w:id="383"/>
      <w:bookmarkEnd w:id="384"/>
      <w:bookmarkEnd w:id="385"/>
      <w:bookmarkEnd w:id="386"/>
      <w:bookmarkEnd w:id="387"/>
      <w:bookmarkEnd w:id="388"/>
      <w:bookmarkEnd w:id="389"/>
    </w:p>
    <w:p w14:paraId="30C9207C" w14:textId="1F6D8C0F" w:rsidR="003645A2" w:rsidRPr="00A9746B" w:rsidRDefault="003645A2" w:rsidP="00E06C13">
      <w:pPr>
        <w:pStyle w:val="BodyText"/>
      </w:pPr>
      <w:bookmarkStart w:id="390" w:name="_Toc74661613"/>
      <w:bookmarkStart w:id="391" w:name="_Toc74755266"/>
      <w:bookmarkStart w:id="392" w:name="_Toc74756978"/>
      <w:bookmarkStart w:id="393" w:name="_Toc74832215"/>
      <w:bookmarkStart w:id="394" w:name="_Toc74841220"/>
      <w:bookmarkStart w:id="395" w:name="_Toc74914000"/>
      <w:bookmarkStart w:id="396" w:name="_Toc76050852"/>
      <w:r w:rsidRPr="00A9746B">
        <w:t xml:space="preserve">As </w:t>
      </w:r>
      <w:r w:rsidRPr="00E06C13">
        <w:t>outlined</w:t>
      </w:r>
      <w:r w:rsidRPr="00A9746B">
        <w:t xml:space="preserve"> in </w:t>
      </w:r>
      <w:r w:rsidR="00A9746B" w:rsidRPr="00A9746B">
        <w:fldChar w:fldCharType="begin"/>
      </w:r>
      <w:r w:rsidR="00A9746B" w:rsidRPr="00A9746B">
        <w:instrText xml:space="preserve"> REF _Ref93506471 \h  \* MERGEFORMAT </w:instrText>
      </w:r>
      <w:r w:rsidR="00A9746B" w:rsidRPr="00A9746B">
        <w:fldChar w:fldCharType="separate"/>
      </w:r>
      <w:r w:rsidR="009708D4" w:rsidRPr="009708D4">
        <w:t>Figure 5</w:t>
      </w:r>
      <w:r w:rsidR="00A9746B" w:rsidRPr="00A9746B">
        <w:fldChar w:fldCharType="end"/>
      </w:r>
      <w:r w:rsidRPr="00A9746B">
        <w:t xml:space="preserve"> below, the effective implementation of the </w:t>
      </w:r>
      <w:r w:rsidR="00BB0179" w:rsidRPr="00A9746B">
        <w:t>RMP</w:t>
      </w:r>
      <w:r w:rsidRPr="00A9746B">
        <w:t xml:space="preserve"> framework would be achieved through a six-stage implementation process. This includes the completion of the mandatory regulatory process, including public consultation on finalised, legal </w:t>
      </w:r>
      <w:r w:rsidR="0016603A" w:rsidRPr="00A9746B">
        <w:t>RMP rules</w:t>
      </w:r>
      <w:r w:rsidRPr="00A9746B">
        <w:t>, and a defined transition period.</w:t>
      </w:r>
      <w:bookmarkEnd w:id="390"/>
      <w:bookmarkEnd w:id="391"/>
      <w:bookmarkEnd w:id="392"/>
      <w:bookmarkEnd w:id="393"/>
      <w:bookmarkEnd w:id="394"/>
      <w:bookmarkEnd w:id="395"/>
      <w:bookmarkEnd w:id="396"/>
      <w:r w:rsidRPr="00A9746B">
        <w:t xml:space="preserve"> </w:t>
      </w:r>
    </w:p>
    <w:p w14:paraId="770C4266" w14:textId="55C4139C" w:rsidR="00E06C13" w:rsidRPr="009E6DAB" w:rsidRDefault="00E06C13" w:rsidP="00E06C13">
      <w:pPr>
        <w:pStyle w:val="Caption"/>
        <w:rPr>
          <w:noProof/>
        </w:rPr>
      </w:pPr>
      <w:bookmarkStart w:id="397" w:name="_Ref93506471"/>
      <w:bookmarkStart w:id="398" w:name="_Toc78525183"/>
      <w:bookmarkStart w:id="399" w:name="_Toc94519466"/>
      <w:r w:rsidRPr="00522C67">
        <w:rPr>
          <w:b/>
          <w:bCs/>
        </w:rPr>
        <w:lastRenderedPageBreak/>
        <w:t xml:space="preserve">Figure </w:t>
      </w:r>
      <w:r w:rsidRPr="00522C67">
        <w:rPr>
          <w:b/>
          <w:bCs/>
        </w:rPr>
        <w:fldChar w:fldCharType="begin"/>
      </w:r>
      <w:r w:rsidRPr="00522C67">
        <w:rPr>
          <w:b/>
          <w:bCs/>
        </w:rPr>
        <w:instrText xml:space="preserve"> SEQ Figure \* ARABIC </w:instrText>
      </w:r>
      <w:r w:rsidRPr="00522C67">
        <w:rPr>
          <w:b/>
          <w:bCs/>
        </w:rPr>
        <w:fldChar w:fldCharType="separate"/>
      </w:r>
      <w:r w:rsidR="009708D4">
        <w:rPr>
          <w:b/>
          <w:bCs/>
          <w:noProof/>
        </w:rPr>
        <w:t>5</w:t>
      </w:r>
      <w:r w:rsidRPr="00522C67">
        <w:rPr>
          <w:b/>
          <w:bCs/>
        </w:rPr>
        <w:fldChar w:fldCharType="end"/>
      </w:r>
      <w:bookmarkEnd w:id="397"/>
      <w:r w:rsidR="00522C67">
        <w:t>:</w:t>
      </w:r>
      <w:r w:rsidRPr="009E6DAB">
        <w:t xml:space="preserve"> </w:t>
      </w:r>
      <w:r w:rsidRPr="00E06C13">
        <w:t>Overview</w:t>
      </w:r>
      <w:r w:rsidRPr="009E6DAB">
        <w:rPr>
          <w:bCs/>
        </w:rPr>
        <w:t xml:space="preserve"> of Implementation Process</w:t>
      </w:r>
      <w:bookmarkEnd w:id="398"/>
      <w:bookmarkEnd w:id="399"/>
    </w:p>
    <w:p w14:paraId="46339D48" w14:textId="02D5A5B0" w:rsidR="001D33DB" w:rsidRDefault="00B7787E" w:rsidP="00E06C13">
      <w:pPr>
        <w:pStyle w:val="BodyText"/>
      </w:pPr>
      <w:r>
        <w:rPr>
          <w:noProof/>
          <w:lang w:eastAsia="en-AU"/>
        </w:rPr>
        <w:drawing>
          <wp:inline distT="0" distB="0" distL="0" distR="0" wp14:anchorId="40D93C98" wp14:editId="0D2E6BD0">
            <wp:extent cx="6004560" cy="61645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4560" cy="6164580"/>
                    </a:xfrm>
                    <a:prstGeom prst="rect">
                      <a:avLst/>
                    </a:prstGeom>
                    <a:noFill/>
                  </pic:spPr>
                </pic:pic>
              </a:graphicData>
            </a:graphic>
          </wp:inline>
        </w:drawing>
      </w:r>
    </w:p>
    <w:p w14:paraId="476E1ACE" w14:textId="405268AD" w:rsidR="003645A2" w:rsidRDefault="003645A2" w:rsidP="00E06C13">
      <w:pPr>
        <w:pStyle w:val="BodyText"/>
      </w:pPr>
      <w:r w:rsidRPr="003645A2">
        <w:t xml:space="preserve">Effective implementation would require the completion of several key activities across each of the six stages indicated in Figure </w:t>
      </w:r>
      <w:r w:rsidR="00C979D3">
        <w:t>5</w:t>
      </w:r>
      <w:r w:rsidRPr="003645A2">
        <w:t xml:space="preserve"> above. An overview of these activities </w:t>
      </w:r>
      <w:r w:rsidR="004A0BE3" w:rsidRPr="003645A2">
        <w:t>is</w:t>
      </w:r>
      <w:r w:rsidRPr="003645A2">
        <w:t xml:space="preserve"> included in </w:t>
      </w:r>
      <w:r w:rsidRPr="003645A2">
        <w:fldChar w:fldCharType="begin"/>
      </w:r>
      <w:r w:rsidRPr="003645A2">
        <w:instrText xml:space="preserve"> REF _Ref78525186 \h  \* MERGEFORMAT </w:instrText>
      </w:r>
      <w:r w:rsidRPr="003645A2">
        <w:fldChar w:fldCharType="separate"/>
      </w:r>
      <w:r w:rsidR="009708D4" w:rsidRPr="009708D4">
        <w:rPr>
          <w:bCs/>
        </w:rPr>
        <w:t xml:space="preserve">Table </w:t>
      </w:r>
      <w:r w:rsidR="009708D4" w:rsidRPr="009708D4">
        <w:rPr>
          <w:bCs/>
          <w:noProof/>
        </w:rPr>
        <w:t>24</w:t>
      </w:r>
      <w:r w:rsidRPr="003645A2">
        <w:fldChar w:fldCharType="end"/>
      </w:r>
      <w:r w:rsidRPr="003645A2">
        <w:t xml:space="preserve"> below.  </w:t>
      </w:r>
    </w:p>
    <w:p w14:paraId="18F1E696" w14:textId="1327D4EC" w:rsidR="004A6026" w:rsidRDefault="004A6026" w:rsidP="00E06C13">
      <w:pPr>
        <w:pStyle w:val="BodyText"/>
      </w:pPr>
    </w:p>
    <w:p w14:paraId="7A201FB2" w14:textId="77777777" w:rsidR="004A6026" w:rsidRPr="003645A2" w:rsidRDefault="004A6026" w:rsidP="00E06C13">
      <w:pPr>
        <w:pStyle w:val="BodyText"/>
      </w:pPr>
    </w:p>
    <w:p w14:paraId="660720B5" w14:textId="64EA52B0" w:rsidR="003645A2" w:rsidRPr="003645A2" w:rsidRDefault="003645A2" w:rsidP="00E06C13">
      <w:pPr>
        <w:pStyle w:val="Caption"/>
      </w:pPr>
      <w:bookmarkStart w:id="400" w:name="_Ref78525186"/>
      <w:bookmarkStart w:id="401" w:name="_Toc78878032"/>
      <w:bookmarkStart w:id="402" w:name="_Toc79156708"/>
      <w:bookmarkStart w:id="403" w:name="_Toc120115109"/>
      <w:r w:rsidRPr="006602D2">
        <w:rPr>
          <w:b/>
          <w:bCs/>
        </w:rPr>
        <w:t xml:space="preserve">Table </w:t>
      </w:r>
      <w:r w:rsidRPr="006602D2">
        <w:rPr>
          <w:b/>
          <w:bCs/>
        </w:rPr>
        <w:fldChar w:fldCharType="begin"/>
      </w:r>
      <w:r w:rsidRPr="006602D2">
        <w:rPr>
          <w:b/>
          <w:bCs/>
        </w:rPr>
        <w:instrText xml:space="preserve"> SEQ Table \* ARABIC </w:instrText>
      </w:r>
      <w:r w:rsidRPr="006602D2">
        <w:rPr>
          <w:b/>
          <w:bCs/>
        </w:rPr>
        <w:fldChar w:fldCharType="separate"/>
      </w:r>
      <w:r w:rsidR="009708D4">
        <w:rPr>
          <w:b/>
          <w:bCs/>
          <w:noProof/>
        </w:rPr>
        <w:t>24</w:t>
      </w:r>
      <w:r w:rsidRPr="006602D2">
        <w:rPr>
          <w:b/>
          <w:bCs/>
        </w:rPr>
        <w:fldChar w:fldCharType="end"/>
      </w:r>
      <w:bookmarkEnd w:id="400"/>
      <w:r w:rsidRPr="003645A2">
        <w:t xml:space="preserve"> Key implementation activities</w:t>
      </w:r>
      <w:bookmarkEnd w:id="401"/>
      <w:bookmarkEnd w:id="402"/>
      <w:bookmarkEnd w:id="403"/>
    </w:p>
    <w:tbl>
      <w:tblPr>
        <w:tblStyle w:val="TableGrid34"/>
        <w:tblW w:w="5000" w:type="pct"/>
        <w:jc w:val="center"/>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133"/>
        <w:gridCol w:w="8505"/>
      </w:tblGrid>
      <w:tr w:rsidR="003645A2" w:rsidRPr="003645A2" w14:paraId="7F998E02" w14:textId="77777777" w:rsidTr="0001662D">
        <w:trPr>
          <w:cantSplit/>
          <w:jc w:val="center"/>
        </w:trPr>
        <w:tc>
          <w:tcPr>
            <w:tcW w:w="588" w:type="pct"/>
            <w:shd w:val="clear" w:color="auto" w:fill="034EA2" w:themeFill="accent1"/>
          </w:tcPr>
          <w:p w14:paraId="3A7EB1B8" w14:textId="77777777" w:rsidR="003645A2" w:rsidRPr="003645A2" w:rsidRDefault="003645A2" w:rsidP="0001662D">
            <w:pPr>
              <w:pStyle w:val="TableHeading"/>
            </w:pPr>
            <w:r w:rsidRPr="003645A2">
              <w:t>Stage</w:t>
            </w:r>
          </w:p>
        </w:tc>
        <w:tc>
          <w:tcPr>
            <w:tcW w:w="4412" w:type="pct"/>
            <w:shd w:val="clear" w:color="auto" w:fill="034EA2" w:themeFill="accent1"/>
          </w:tcPr>
          <w:p w14:paraId="2974C440" w14:textId="77777777" w:rsidR="003645A2" w:rsidRPr="003645A2" w:rsidRDefault="003645A2" w:rsidP="0001662D">
            <w:pPr>
              <w:pStyle w:val="TableHeading"/>
            </w:pPr>
            <w:r w:rsidRPr="003645A2">
              <w:t>Activity</w:t>
            </w:r>
          </w:p>
        </w:tc>
      </w:tr>
      <w:tr w:rsidR="003645A2" w:rsidRPr="003645A2" w14:paraId="0B51AE58" w14:textId="77777777" w:rsidTr="7EBB1CEE">
        <w:trPr>
          <w:cantSplit/>
          <w:jc w:val="center"/>
        </w:trPr>
        <w:tc>
          <w:tcPr>
            <w:tcW w:w="588" w:type="pct"/>
            <w:tcBorders>
              <w:bottom w:val="single" w:sz="4" w:space="0" w:color="BFBFBF" w:themeColor="background2" w:themeShade="BF"/>
            </w:tcBorders>
            <w:shd w:val="clear" w:color="auto" w:fill="F2F2F2" w:themeFill="background2" w:themeFillShade="F2"/>
          </w:tcPr>
          <w:p w14:paraId="40E9DCDC" w14:textId="77777777" w:rsidR="003645A2" w:rsidRPr="0001662D" w:rsidRDefault="003645A2" w:rsidP="0001662D">
            <w:pPr>
              <w:pStyle w:val="TableBody"/>
            </w:pPr>
            <w:r w:rsidRPr="0001662D">
              <w:t>Stage 1</w:t>
            </w:r>
          </w:p>
        </w:tc>
        <w:tc>
          <w:tcPr>
            <w:tcW w:w="4412" w:type="pct"/>
            <w:shd w:val="clear" w:color="auto" w:fill="auto"/>
          </w:tcPr>
          <w:p w14:paraId="66CAC0C2" w14:textId="0ACAFE7A" w:rsidR="003645A2" w:rsidRPr="0001662D" w:rsidRDefault="003645A2" w:rsidP="0001662D">
            <w:pPr>
              <w:pStyle w:val="TableBody"/>
            </w:pPr>
            <w:r w:rsidRPr="0001662D">
              <w:t>Complet</w:t>
            </w:r>
            <w:r w:rsidR="00F71AF3" w:rsidRPr="0001662D">
              <w:t>e</w:t>
            </w:r>
            <w:r w:rsidRPr="0001662D">
              <w:t xml:space="preserve"> consultation with industry, including consultation on costing methodology, </w:t>
            </w:r>
            <w:r w:rsidR="004221D0" w:rsidRPr="0001662D">
              <w:t>inputs,</w:t>
            </w:r>
            <w:r w:rsidRPr="0001662D">
              <w:t xml:space="preserve"> and outputs.</w:t>
            </w:r>
          </w:p>
        </w:tc>
      </w:tr>
      <w:tr w:rsidR="003645A2" w:rsidRPr="003645A2" w14:paraId="093456A9" w14:textId="77777777" w:rsidTr="7EBB1CEE">
        <w:trPr>
          <w:cantSplit/>
          <w:jc w:val="center"/>
        </w:trPr>
        <w:tc>
          <w:tcPr>
            <w:tcW w:w="588" w:type="pct"/>
            <w:vMerge w:val="restart"/>
            <w:tcBorders>
              <w:top w:val="single" w:sz="4" w:space="0" w:color="BFBFBF" w:themeColor="background2" w:themeShade="BF"/>
              <w:bottom w:val="nil"/>
            </w:tcBorders>
            <w:shd w:val="clear" w:color="auto" w:fill="F2F2F2" w:themeFill="background2" w:themeFillShade="F2"/>
          </w:tcPr>
          <w:p w14:paraId="579A0D9B" w14:textId="77777777" w:rsidR="003645A2" w:rsidRPr="0001662D" w:rsidRDefault="003645A2" w:rsidP="0001662D">
            <w:pPr>
              <w:pStyle w:val="TableBody"/>
            </w:pPr>
            <w:r w:rsidRPr="0001662D">
              <w:lastRenderedPageBreak/>
              <w:t>Stage 2</w:t>
            </w:r>
          </w:p>
        </w:tc>
        <w:tc>
          <w:tcPr>
            <w:tcW w:w="4412" w:type="pct"/>
            <w:shd w:val="clear" w:color="auto" w:fill="auto"/>
          </w:tcPr>
          <w:p w14:paraId="071C21ED" w14:textId="77777777" w:rsidR="003645A2" w:rsidRDefault="00F71AF3" w:rsidP="0001662D">
            <w:pPr>
              <w:pStyle w:val="TableBody"/>
            </w:pPr>
            <w:r w:rsidRPr="0001662D">
              <w:t xml:space="preserve">PJCIS </w:t>
            </w:r>
            <w:r w:rsidR="003645A2" w:rsidRPr="0001662D">
              <w:t xml:space="preserve">review into </w:t>
            </w:r>
            <w:r w:rsidRPr="0001662D">
              <w:t>SLACI</w:t>
            </w:r>
            <w:r w:rsidR="00150F75">
              <w:t xml:space="preserve"> Bill</w:t>
            </w:r>
            <w:r w:rsidR="003645A2" w:rsidRPr="0001662D">
              <w:t xml:space="preserve">, PJCIS publication of </w:t>
            </w:r>
            <w:r w:rsidR="00FD5708" w:rsidRPr="0001662D">
              <w:t>outcomes and recommendations</w:t>
            </w:r>
            <w:r w:rsidR="003645A2" w:rsidRPr="0001662D">
              <w:t xml:space="preserve">, and </w:t>
            </w:r>
            <w:r w:rsidRPr="0001662D">
              <w:t>the Department’s</w:t>
            </w:r>
            <w:r w:rsidR="003645A2" w:rsidRPr="0001662D">
              <w:t xml:space="preserve"> preparation of a Government response and proposed Government amendments.</w:t>
            </w:r>
          </w:p>
          <w:p w14:paraId="773050D2" w14:textId="77777777" w:rsidR="007C503A" w:rsidRDefault="007C503A" w:rsidP="0001662D">
            <w:pPr>
              <w:pStyle w:val="TableBody"/>
            </w:pPr>
          </w:p>
          <w:p w14:paraId="4C08D085" w14:textId="68AFBBA3" w:rsidR="007C503A" w:rsidRPr="0001662D" w:rsidRDefault="007C503A" w:rsidP="0001662D">
            <w:pPr>
              <w:pStyle w:val="TableBody"/>
            </w:pPr>
            <w:r>
              <w:t xml:space="preserve">PJCIS review of the SLACIP Bill, </w:t>
            </w:r>
            <w:r w:rsidRPr="0001662D">
              <w:t>PJCIS publication of outcomes and recommendations, and the Department’s preparation of a Government response and proposed Government amendments.</w:t>
            </w:r>
          </w:p>
        </w:tc>
      </w:tr>
      <w:tr w:rsidR="003645A2" w:rsidRPr="003645A2" w14:paraId="3013F054" w14:textId="77777777" w:rsidTr="7EBB1CEE">
        <w:trPr>
          <w:cantSplit/>
          <w:jc w:val="center"/>
        </w:trPr>
        <w:tc>
          <w:tcPr>
            <w:tcW w:w="588" w:type="pct"/>
            <w:vMerge/>
          </w:tcPr>
          <w:p w14:paraId="37ED4ACA" w14:textId="77777777" w:rsidR="003645A2" w:rsidRPr="0001662D" w:rsidRDefault="003645A2" w:rsidP="0001662D">
            <w:pPr>
              <w:pStyle w:val="TableBody"/>
            </w:pPr>
          </w:p>
        </w:tc>
        <w:tc>
          <w:tcPr>
            <w:tcW w:w="4412" w:type="pct"/>
            <w:shd w:val="clear" w:color="auto" w:fill="auto"/>
          </w:tcPr>
          <w:p w14:paraId="255B0678" w14:textId="5A6EA77E" w:rsidR="003645A2" w:rsidRPr="0001662D" w:rsidRDefault="003645A2">
            <w:pPr>
              <w:pStyle w:val="TableBody"/>
            </w:pPr>
            <w:r w:rsidRPr="0001662D">
              <w:t xml:space="preserve">Passage of the </w:t>
            </w:r>
            <w:r w:rsidR="00F71AF3" w:rsidRPr="0001662D">
              <w:t>SLACIP</w:t>
            </w:r>
            <w:r w:rsidR="00D00E06" w:rsidRPr="0001662D">
              <w:t xml:space="preserve"> </w:t>
            </w:r>
            <w:r w:rsidR="00D721DC">
              <w:t>Act</w:t>
            </w:r>
            <w:r w:rsidRPr="0001662D">
              <w:t>.</w:t>
            </w:r>
          </w:p>
        </w:tc>
      </w:tr>
      <w:tr w:rsidR="003645A2" w:rsidRPr="003645A2" w14:paraId="28B92110" w14:textId="77777777" w:rsidTr="7EBB1CEE">
        <w:trPr>
          <w:cantSplit/>
          <w:jc w:val="center"/>
        </w:trPr>
        <w:tc>
          <w:tcPr>
            <w:tcW w:w="588" w:type="pct"/>
            <w:tcBorders>
              <w:top w:val="nil"/>
              <w:bottom w:val="nil"/>
            </w:tcBorders>
            <w:shd w:val="clear" w:color="auto" w:fill="F2F2F2" w:themeFill="background2" w:themeFillShade="F2"/>
          </w:tcPr>
          <w:p w14:paraId="07F78BFA" w14:textId="77777777" w:rsidR="003645A2" w:rsidRPr="0001662D" w:rsidRDefault="003645A2" w:rsidP="0001662D">
            <w:pPr>
              <w:pStyle w:val="TableBody"/>
            </w:pPr>
          </w:p>
        </w:tc>
        <w:tc>
          <w:tcPr>
            <w:tcW w:w="4412" w:type="pct"/>
            <w:shd w:val="clear" w:color="auto" w:fill="auto"/>
          </w:tcPr>
          <w:p w14:paraId="3EC1B7E8" w14:textId="7204D25F" w:rsidR="003645A2" w:rsidRPr="0001662D" w:rsidRDefault="003645A2" w:rsidP="0001662D">
            <w:pPr>
              <w:pStyle w:val="TableBody"/>
            </w:pPr>
            <w:r w:rsidRPr="0001662D">
              <w:t xml:space="preserve">Publication of legal, draft </w:t>
            </w:r>
            <w:r w:rsidR="0016603A" w:rsidRPr="0001662D">
              <w:t>RMP rules</w:t>
            </w:r>
            <w:r w:rsidRPr="0001662D">
              <w:t xml:space="preserve"> for</w:t>
            </w:r>
            <w:r w:rsidR="00150F75">
              <w:t xml:space="preserve"> a minimum</w:t>
            </w:r>
            <w:r w:rsidRPr="0001662D">
              <w:t xml:space="preserve"> 28-day public consultation period.</w:t>
            </w:r>
            <w:r w:rsidR="00B7787E">
              <w:t xml:space="preserve"> The mandatory consultation period has been undertaken over a 45-day.</w:t>
            </w:r>
          </w:p>
        </w:tc>
      </w:tr>
      <w:tr w:rsidR="003645A2" w:rsidRPr="003645A2" w14:paraId="71760847" w14:textId="77777777" w:rsidTr="7EBB1CEE">
        <w:trPr>
          <w:cantSplit/>
          <w:jc w:val="center"/>
        </w:trPr>
        <w:tc>
          <w:tcPr>
            <w:tcW w:w="588" w:type="pct"/>
            <w:tcBorders>
              <w:top w:val="nil"/>
              <w:bottom w:val="single" w:sz="4" w:space="0" w:color="BFBFBF" w:themeColor="background2" w:themeShade="BF"/>
            </w:tcBorders>
            <w:shd w:val="clear" w:color="auto" w:fill="F2F2F2" w:themeFill="background2" w:themeFillShade="F2"/>
          </w:tcPr>
          <w:p w14:paraId="61363E39" w14:textId="77777777" w:rsidR="003645A2" w:rsidRPr="003645A2" w:rsidRDefault="003645A2" w:rsidP="0001662D">
            <w:pPr>
              <w:pStyle w:val="TableBody"/>
            </w:pPr>
          </w:p>
        </w:tc>
        <w:tc>
          <w:tcPr>
            <w:tcW w:w="4412" w:type="pct"/>
            <w:shd w:val="clear" w:color="auto" w:fill="auto"/>
          </w:tcPr>
          <w:p w14:paraId="78FE019F" w14:textId="77777777" w:rsidR="003645A2" w:rsidRPr="003645A2" w:rsidRDefault="003645A2" w:rsidP="0001662D">
            <w:pPr>
              <w:pStyle w:val="TableBody"/>
            </w:pPr>
            <w:r w:rsidRPr="003645A2">
              <w:t xml:space="preserve">Preparation and publication of guidance material for industry on compliance with risk management plan obligations, which may include: </w:t>
            </w:r>
          </w:p>
          <w:p w14:paraId="439126B3" w14:textId="77777777" w:rsidR="003645A2" w:rsidRPr="003645A2" w:rsidRDefault="003645A2" w:rsidP="0001662D">
            <w:pPr>
              <w:pStyle w:val="TableBullet"/>
              <w:rPr>
                <w:rFonts w:eastAsia="Calibri"/>
              </w:rPr>
            </w:pPr>
            <w:r w:rsidRPr="003645A2">
              <w:rPr>
                <w:rFonts w:eastAsia="Calibri"/>
              </w:rPr>
              <w:t xml:space="preserve">Case studies; </w:t>
            </w:r>
          </w:p>
          <w:p w14:paraId="32867745" w14:textId="77777777" w:rsidR="003645A2" w:rsidRPr="003645A2" w:rsidRDefault="003645A2" w:rsidP="0001662D">
            <w:pPr>
              <w:pStyle w:val="TableBullet"/>
              <w:rPr>
                <w:rFonts w:eastAsia="Calibri"/>
              </w:rPr>
            </w:pPr>
            <w:r w:rsidRPr="003645A2">
              <w:rPr>
                <w:rFonts w:eastAsia="Calibri"/>
              </w:rPr>
              <w:t xml:space="preserve">Frequently asked questions; </w:t>
            </w:r>
          </w:p>
          <w:p w14:paraId="6B9A6E87" w14:textId="08DEBCEA" w:rsidR="003645A2" w:rsidRPr="003645A2" w:rsidRDefault="003645A2" w:rsidP="0001662D">
            <w:pPr>
              <w:pStyle w:val="TableBullet"/>
              <w:rPr>
                <w:rFonts w:eastAsia="Calibri"/>
              </w:rPr>
            </w:pPr>
            <w:r w:rsidRPr="003645A2">
              <w:rPr>
                <w:rFonts w:eastAsia="Calibri"/>
              </w:rPr>
              <w:t xml:space="preserve">Threat information and risk advice through the enhanced </w:t>
            </w:r>
            <w:r w:rsidR="00F51218">
              <w:rPr>
                <w:rFonts w:eastAsia="Calibri"/>
              </w:rPr>
              <w:t>TISN</w:t>
            </w:r>
            <w:r w:rsidRPr="003645A2">
              <w:rPr>
                <w:rFonts w:eastAsia="Calibri"/>
              </w:rPr>
              <w:t>;</w:t>
            </w:r>
          </w:p>
          <w:p w14:paraId="1E8F106E" w14:textId="77777777" w:rsidR="003645A2" w:rsidRPr="003645A2" w:rsidRDefault="003645A2" w:rsidP="0001662D">
            <w:pPr>
              <w:pStyle w:val="TableBullet"/>
              <w:rPr>
                <w:rFonts w:eastAsia="Calibri"/>
              </w:rPr>
            </w:pPr>
            <w:r w:rsidRPr="003645A2">
              <w:rPr>
                <w:rFonts w:eastAsia="Calibri"/>
              </w:rPr>
              <w:t xml:space="preserve">Insights into best practice and Government’s expectations. </w:t>
            </w:r>
          </w:p>
        </w:tc>
      </w:tr>
      <w:tr w:rsidR="003645A2" w:rsidRPr="003645A2" w14:paraId="0B87B0B8" w14:textId="77777777" w:rsidTr="7EBB1CEE">
        <w:trPr>
          <w:cantSplit/>
          <w:jc w:val="center"/>
        </w:trPr>
        <w:tc>
          <w:tcPr>
            <w:tcW w:w="588" w:type="pct"/>
            <w:tcBorders>
              <w:top w:val="single" w:sz="4" w:space="0" w:color="BFBFBF" w:themeColor="background2" w:themeShade="BF"/>
              <w:bottom w:val="nil"/>
            </w:tcBorders>
            <w:shd w:val="clear" w:color="auto" w:fill="F2F2F2" w:themeFill="background2" w:themeFillShade="F2"/>
          </w:tcPr>
          <w:p w14:paraId="58286E19" w14:textId="77777777" w:rsidR="003645A2" w:rsidRPr="003645A2" w:rsidRDefault="003645A2" w:rsidP="0001662D">
            <w:pPr>
              <w:pStyle w:val="TableBody"/>
            </w:pPr>
            <w:r w:rsidRPr="003645A2">
              <w:t>Stage 3</w:t>
            </w:r>
          </w:p>
        </w:tc>
        <w:tc>
          <w:tcPr>
            <w:tcW w:w="4412" w:type="pct"/>
            <w:shd w:val="clear" w:color="auto" w:fill="auto"/>
          </w:tcPr>
          <w:p w14:paraId="22149AE9" w14:textId="482745B8" w:rsidR="003645A2" w:rsidRPr="003645A2" w:rsidRDefault="003645A2" w:rsidP="0001662D">
            <w:pPr>
              <w:pStyle w:val="TableBody"/>
            </w:pPr>
            <w:r w:rsidRPr="003645A2">
              <w:t xml:space="preserve">Rules made – Minister may ‘switch on’ </w:t>
            </w:r>
            <w:r w:rsidR="00BB0179">
              <w:t>RMP</w:t>
            </w:r>
            <w:r w:rsidRPr="003645A2">
              <w:t xml:space="preserve"> obligations for </w:t>
            </w:r>
            <w:r w:rsidR="008056F4">
              <w:t>critical infrastructure assets</w:t>
            </w:r>
            <w:r w:rsidRPr="003645A2">
              <w:t xml:space="preserve">, supported by finalised </w:t>
            </w:r>
            <w:r w:rsidR="0016603A">
              <w:t>RMP rules</w:t>
            </w:r>
            <w:r w:rsidRPr="003645A2">
              <w:t>.</w:t>
            </w:r>
          </w:p>
        </w:tc>
      </w:tr>
      <w:tr w:rsidR="003645A2" w:rsidRPr="003645A2" w14:paraId="50A48C69" w14:textId="77777777" w:rsidTr="7EBB1CEE">
        <w:trPr>
          <w:cantSplit/>
          <w:jc w:val="center"/>
        </w:trPr>
        <w:tc>
          <w:tcPr>
            <w:tcW w:w="588" w:type="pct"/>
            <w:tcBorders>
              <w:top w:val="nil"/>
              <w:bottom w:val="nil"/>
            </w:tcBorders>
            <w:shd w:val="clear" w:color="auto" w:fill="F2F2F2" w:themeFill="background2" w:themeFillShade="F2"/>
          </w:tcPr>
          <w:p w14:paraId="6F932EAD" w14:textId="77777777" w:rsidR="003645A2" w:rsidRPr="003645A2" w:rsidRDefault="003645A2" w:rsidP="0001662D">
            <w:pPr>
              <w:pStyle w:val="TableBody"/>
            </w:pPr>
          </w:p>
        </w:tc>
        <w:tc>
          <w:tcPr>
            <w:tcW w:w="4412" w:type="pct"/>
            <w:shd w:val="clear" w:color="auto" w:fill="auto"/>
          </w:tcPr>
          <w:p w14:paraId="7C7286A6" w14:textId="5822441E" w:rsidR="003645A2" w:rsidRPr="003645A2" w:rsidRDefault="003645A2">
            <w:pPr>
              <w:pStyle w:val="TableBody"/>
            </w:pPr>
            <w:r w:rsidRPr="003645A2">
              <w:t xml:space="preserve">Commencement of transition period where industry begins to undertake activities to become compliant with </w:t>
            </w:r>
            <w:r w:rsidR="00BB0179">
              <w:t>RMP</w:t>
            </w:r>
            <w:r w:rsidRPr="003645A2">
              <w:t xml:space="preserve"> obligations, including by beginning to develop a </w:t>
            </w:r>
            <w:r w:rsidR="00BB0179">
              <w:t>RMP</w:t>
            </w:r>
            <w:r w:rsidRPr="003645A2">
              <w:t xml:space="preserve"> in line with Part 2A of the </w:t>
            </w:r>
            <w:r w:rsidR="00D00E06">
              <w:t xml:space="preserve">SLACIP </w:t>
            </w:r>
            <w:r w:rsidR="00D721DC">
              <w:t>Act</w:t>
            </w:r>
            <w:r w:rsidR="00D00E06">
              <w:t>.</w:t>
            </w:r>
          </w:p>
        </w:tc>
      </w:tr>
      <w:tr w:rsidR="003645A2" w:rsidRPr="003645A2" w14:paraId="17CD385B" w14:textId="77777777" w:rsidTr="7EBB1CEE">
        <w:trPr>
          <w:cantSplit/>
          <w:jc w:val="center"/>
        </w:trPr>
        <w:tc>
          <w:tcPr>
            <w:tcW w:w="588" w:type="pct"/>
            <w:tcBorders>
              <w:top w:val="nil"/>
            </w:tcBorders>
            <w:shd w:val="clear" w:color="auto" w:fill="F2F2F2" w:themeFill="background2" w:themeFillShade="F2"/>
          </w:tcPr>
          <w:p w14:paraId="53AB6698" w14:textId="77777777" w:rsidR="003645A2" w:rsidRPr="003645A2" w:rsidRDefault="003645A2" w:rsidP="0001662D">
            <w:pPr>
              <w:pStyle w:val="TableBody"/>
            </w:pPr>
          </w:p>
        </w:tc>
        <w:tc>
          <w:tcPr>
            <w:tcW w:w="4412" w:type="pct"/>
            <w:shd w:val="clear" w:color="auto" w:fill="auto"/>
          </w:tcPr>
          <w:p w14:paraId="718BB5E0" w14:textId="77777777" w:rsidR="003645A2" w:rsidRPr="003645A2" w:rsidRDefault="003645A2" w:rsidP="0001662D">
            <w:pPr>
              <w:pStyle w:val="TableBody"/>
            </w:pPr>
            <w:r w:rsidRPr="003645A2">
              <w:t xml:space="preserve">Preparation for enforcement of </w:t>
            </w:r>
            <w:r w:rsidR="00BB0179">
              <w:t>RMP</w:t>
            </w:r>
            <w:r w:rsidRPr="003645A2">
              <w:t xml:space="preserve"> obligations.</w:t>
            </w:r>
          </w:p>
        </w:tc>
      </w:tr>
      <w:tr w:rsidR="003645A2" w:rsidRPr="003645A2" w14:paraId="21A03B6A" w14:textId="77777777" w:rsidTr="7EBB1CEE">
        <w:trPr>
          <w:cantSplit/>
          <w:jc w:val="center"/>
        </w:trPr>
        <w:tc>
          <w:tcPr>
            <w:tcW w:w="588" w:type="pct"/>
            <w:shd w:val="clear" w:color="auto" w:fill="F2F2F2" w:themeFill="background2" w:themeFillShade="F2"/>
          </w:tcPr>
          <w:p w14:paraId="36F7B6C7" w14:textId="77777777" w:rsidR="003645A2" w:rsidRPr="003645A2" w:rsidRDefault="003645A2" w:rsidP="0001662D">
            <w:pPr>
              <w:pStyle w:val="TableBody"/>
            </w:pPr>
            <w:r w:rsidRPr="003645A2">
              <w:t>Stage 4</w:t>
            </w:r>
          </w:p>
        </w:tc>
        <w:tc>
          <w:tcPr>
            <w:tcW w:w="4412" w:type="pct"/>
            <w:shd w:val="clear" w:color="auto" w:fill="auto"/>
          </w:tcPr>
          <w:p w14:paraId="582BC137" w14:textId="77777777" w:rsidR="003645A2" w:rsidRPr="003645A2" w:rsidRDefault="003645A2" w:rsidP="0001662D">
            <w:pPr>
              <w:pStyle w:val="TableBody"/>
            </w:pPr>
            <w:r w:rsidRPr="003645A2">
              <w:t xml:space="preserve">Enforcement of </w:t>
            </w:r>
            <w:r w:rsidR="00BB0179">
              <w:t>RMP</w:t>
            </w:r>
            <w:r w:rsidRPr="003645A2">
              <w:t xml:space="preserve"> obligations commences. </w:t>
            </w:r>
          </w:p>
        </w:tc>
      </w:tr>
      <w:tr w:rsidR="003645A2" w:rsidRPr="003645A2" w14:paraId="2AE3E58C" w14:textId="77777777" w:rsidTr="7EBB1CEE">
        <w:trPr>
          <w:cantSplit/>
          <w:jc w:val="center"/>
        </w:trPr>
        <w:tc>
          <w:tcPr>
            <w:tcW w:w="588" w:type="pct"/>
            <w:shd w:val="clear" w:color="auto" w:fill="F2F2F2" w:themeFill="background2" w:themeFillShade="F2"/>
          </w:tcPr>
          <w:p w14:paraId="1B142295" w14:textId="77777777" w:rsidR="003645A2" w:rsidRPr="003645A2" w:rsidRDefault="003645A2" w:rsidP="0001662D">
            <w:pPr>
              <w:pStyle w:val="TableBody"/>
            </w:pPr>
            <w:r w:rsidRPr="003645A2">
              <w:t>Stage 5</w:t>
            </w:r>
          </w:p>
        </w:tc>
        <w:tc>
          <w:tcPr>
            <w:tcW w:w="4412" w:type="pct"/>
            <w:shd w:val="clear" w:color="auto" w:fill="auto"/>
          </w:tcPr>
          <w:p w14:paraId="6E7F7622" w14:textId="77777777" w:rsidR="003645A2" w:rsidRPr="003645A2" w:rsidRDefault="003645A2" w:rsidP="0001662D">
            <w:pPr>
              <w:pStyle w:val="TableBody"/>
            </w:pPr>
            <w:r w:rsidRPr="003645A2">
              <w:t xml:space="preserve">Post-implementation review of effectiveness and practicality of </w:t>
            </w:r>
            <w:r w:rsidR="00BB0179">
              <w:t>RMP</w:t>
            </w:r>
            <w:r w:rsidRPr="003645A2">
              <w:t xml:space="preserve"> obligations and rules for </w:t>
            </w:r>
            <w:r w:rsidR="008056F4">
              <w:t>critical infrastructure assets</w:t>
            </w:r>
            <w:r w:rsidRPr="003645A2">
              <w:t>, expected in 2026.</w:t>
            </w:r>
          </w:p>
        </w:tc>
      </w:tr>
      <w:tr w:rsidR="00FB31C2" w:rsidRPr="003645A2" w14:paraId="379EDE59" w14:textId="77777777" w:rsidTr="7EBB1CEE">
        <w:trPr>
          <w:cantSplit/>
          <w:jc w:val="center"/>
        </w:trPr>
        <w:tc>
          <w:tcPr>
            <w:tcW w:w="588" w:type="pct"/>
            <w:shd w:val="clear" w:color="auto" w:fill="F2F2F2" w:themeFill="background2" w:themeFillShade="F2"/>
          </w:tcPr>
          <w:p w14:paraId="03E9F49E" w14:textId="77777777" w:rsidR="00FB31C2" w:rsidRPr="003645A2" w:rsidRDefault="00FB31C2" w:rsidP="0001662D">
            <w:pPr>
              <w:pStyle w:val="TableBody"/>
            </w:pPr>
            <w:r>
              <w:t>Stage 6</w:t>
            </w:r>
          </w:p>
        </w:tc>
        <w:tc>
          <w:tcPr>
            <w:tcW w:w="4412" w:type="pct"/>
            <w:shd w:val="clear" w:color="auto" w:fill="auto"/>
          </w:tcPr>
          <w:p w14:paraId="415A1330" w14:textId="3CFAEA9D" w:rsidR="00350F99" w:rsidRPr="003645A2" w:rsidRDefault="00350F99" w:rsidP="0001662D">
            <w:pPr>
              <w:pStyle w:val="TableBody"/>
            </w:pPr>
            <w:r>
              <w:t>Implementation of formal</w:t>
            </w:r>
            <w:r w:rsidR="00EB7BD2">
              <w:t xml:space="preserve"> and informal </w:t>
            </w:r>
            <w:r w:rsidR="00356FB7">
              <w:t xml:space="preserve">regular </w:t>
            </w:r>
            <w:r w:rsidR="00EB7BD2">
              <w:t xml:space="preserve">feedback mechanisms, </w:t>
            </w:r>
            <w:r w:rsidR="00940104">
              <w:t xml:space="preserve">with possible updates to guidance material and / or </w:t>
            </w:r>
            <w:r w:rsidR="00D00E06">
              <w:t>RMP r</w:t>
            </w:r>
            <w:r w:rsidR="00940104">
              <w:t>ules in response.</w:t>
            </w:r>
          </w:p>
        </w:tc>
      </w:tr>
    </w:tbl>
    <w:p w14:paraId="64C4C1DD" w14:textId="1D126790" w:rsidR="003645A2" w:rsidRPr="003645A2" w:rsidRDefault="003645A2" w:rsidP="004C0EFC">
      <w:pPr>
        <w:pStyle w:val="Heading3numbered"/>
      </w:pPr>
      <w:bookmarkStart w:id="404" w:name="_Toc74661614"/>
      <w:bookmarkStart w:id="405" w:name="_Toc74755267"/>
      <w:bookmarkStart w:id="406" w:name="_Toc74756979"/>
      <w:bookmarkStart w:id="407" w:name="_Toc74832216"/>
      <w:bookmarkStart w:id="408" w:name="_Toc74841221"/>
      <w:bookmarkStart w:id="409" w:name="_Toc74914001"/>
      <w:bookmarkStart w:id="410" w:name="_Toc76050853"/>
      <w:bookmarkStart w:id="411" w:name="_Toc77755139"/>
      <w:bookmarkStart w:id="412" w:name="_Toc79149663"/>
      <w:r w:rsidRPr="003645A2">
        <w:t>Establishing regulatory functions</w:t>
      </w:r>
      <w:bookmarkEnd w:id="404"/>
      <w:bookmarkEnd w:id="405"/>
      <w:bookmarkEnd w:id="406"/>
      <w:bookmarkEnd w:id="407"/>
      <w:bookmarkEnd w:id="408"/>
      <w:bookmarkEnd w:id="409"/>
      <w:bookmarkEnd w:id="410"/>
      <w:bookmarkEnd w:id="411"/>
      <w:bookmarkEnd w:id="412"/>
      <w:r w:rsidRPr="003645A2">
        <w:t xml:space="preserve"> </w:t>
      </w:r>
    </w:p>
    <w:p w14:paraId="6B4E2AB4" w14:textId="5AD41466" w:rsidR="003645A2" w:rsidRPr="003645A2" w:rsidRDefault="003645A2" w:rsidP="00E06C13">
      <w:pPr>
        <w:pStyle w:val="BodyText"/>
      </w:pPr>
      <w:r w:rsidRPr="003645A2">
        <w:t xml:space="preserve">The Department’s regulatory powers with respect to the </w:t>
      </w:r>
      <w:r w:rsidR="00384419">
        <w:t>SOCI Act</w:t>
      </w:r>
      <w:r w:rsidRPr="003645A2">
        <w:t xml:space="preserve"> arise from provisions in the </w:t>
      </w:r>
      <w:r w:rsidRPr="003645A2">
        <w:rPr>
          <w:i/>
        </w:rPr>
        <w:t>Regulatory Powers (Standard Provisions) Act 2014</w:t>
      </w:r>
      <w:r w:rsidRPr="003645A2">
        <w:t xml:space="preserve">. To implement the proposed </w:t>
      </w:r>
      <w:r w:rsidR="00BB0179">
        <w:t>RMP</w:t>
      </w:r>
      <w:r w:rsidRPr="003645A2">
        <w:t xml:space="preserve"> framework, the Department would discharge the relevant regulatory function</w:t>
      </w:r>
      <w:r w:rsidR="00730B04">
        <w:t xml:space="preserve"> </w:t>
      </w:r>
      <w:r w:rsidR="003D0490">
        <w:t xml:space="preserve">(for all asset classes except critical payment systems). </w:t>
      </w:r>
      <w:r w:rsidRPr="003645A2">
        <w:t xml:space="preserve">The 2021-22 Federal Budget announced that Government will commit $42.4 million over two years to improve security arrangements for critical infrastructure assets, in accordance with the </w:t>
      </w:r>
      <w:r w:rsidR="00E30AB1">
        <w:t xml:space="preserve">SLACIP </w:t>
      </w:r>
      <w:r w:rsidR="00D721DC">
        <w:t>Act</w:t>
      </w:r>
      <w:r w:rsidRPr="003645A2">
        <w:t xml:space="preserve">. This announcement </w:t>
      </w:r>
      <w:r w:rsidR="003D0490" w:rsidRPr="003645A2">
        <w:t>mean</w:t>
      </w:r>
      <w:r w:rsidR="003D0490">
        <w:t>t</w:t>
      </w:r>
      <w:r w:rsidRPr="003645A2">
        <w:t xml:space="preserve"> additional funding would be available for the implementation of the </w:t>
      </w:r>
      <w:r w:rsidR="00BB0179">
        <w:t>RMP</w:t>
      </w:r>
      <w:r w:rsidRPr="003645A2">
        <w:t xml:space="preserve"> framework. </w:t>
      </w:r>
    </w:p>
    <w:p w14:paraId="30C9190D" w14:textId="0253B125" w:rsidR="003645A2" w:rsidRPr="003645A2" w:rsidRDefault="003645A2" w:rsidP="00E06C13">
      <w:pPr>
        <w:pStyle w:val="BodyText"/>
      </w:pPr>
      <w:r w:rsidRPr="003645A2">
        <w:t>The Department w</w:t>
      </w:r>
      <w:r w:rsidR="003B5F9E">
        <w:t>ill</w:t>
      </w:r>
      <w:r w:rsidRPr="003645A2">
        <w:t xml:space="preserve"> continue to engage and coordinate with existing regulators in the sector. </w:t>
      </w:r>
      <w:r w:rsidR="004A0BE3">
        <w:t>For example, t</w:t>
      </w:r>
      <w:r w:rsidR="00B47877">
        <w:t>hroughout the</w:t>
      </w:r>
      <w:r w:rsidRPr="003645A2">
        <w:t xml:space="preserve"> </w:t>
      </w:r>
      <w:r w:rsidR="00EA321B">
        <w:t>consultation</w:t>
      </w:r>
      <w:r w:rsidRPr="003645A2">
        <w:t xml:space="preserve"> and drafting of </w:t>
      </w:r>
      <w:r w:rsidR="00E21721">
        <w:t xml:space="preserve">RMP </w:t>
      </w:r>
      <w:r w:rsidR="00E30AB1">
        <w:t>r</w:t>
      </w:r>
      <w:r w:rsidR="00E21721">
        <w:t>ules</w:t>
      </w:r>
      <w:r w:rsidRPr="003645A2">
        <w:t xml:space="preserve">, the Department has worked with </w:t>
      </w:r>
      <w:r w:rsidR="00BC4032">
        <w:t xml:space="preserve">the Reserve Bank of Australia </w:t>
      </w:r>
      <w:r w:rsidR="00300018">
        <w:t>to identify gaps in existing legislation</w:t>
      </w:r>
      <w:r w:rsidR="00E30AB1">
        <w:t>,</w:t>
      </w:r>
      <w:r w:rsidR="00300018">
        <w:t xml:space="preserve"> and ensure that the RMP rules are fit-for-purpose for the </w:t>
      </w:r>
      <w:r w:rsidR="00B06CA8">
        <w:t xml:space="preserve">payment systems </w:t>
      </w:r>
      <w:r w:rsidR="00300018">
        <w:t xml:space="preserve">sector. </w:t>
      </w:r>
      <w:r w:rsidRPr="003645A2">
        <w:t xml:space="preserve">Through this process it was determined that the </w:t>
      </w:r>
      <w:r w:rsidR="00300018">
        <w:t>Reserve Bank of Australia</w:t>
      </w:r>
      <w:r w:rsidRPr="003645A2">
        <w:t xml:space="preserve"> would be best placed to operate as the regulator, for the purposes of ensuring compliance with the </w:t>
      </w:r>
      <w:r w:rsidR="00E30AB1">
        <w:t xml:space="preserve">SLACIP </w:t>
      </w:r>
      <w:r w:rsidR="00D721DC">
        <w:t>Act’s</w:t>
      </w:r>
      <w:r w:rsidR="00D721DC" w:rsidRPr="003645A2">
        <w:t xml:space="preserve"> </w:t>
      </w:r>
      <w:r w:rsidR="00BB0179">
        <w:t>RMP</w:t>
      </w:r>
      <w:r w:rsidRPr="003645A2">
        <w:t xml:space="preserve"> obligations across </w:t>
      </w:r>
      <w:r w:rsidR="003D0490">
        <w:t>this asset class.</w:t>
      </w:r>
      <w:r w:rsidR="00B06CA8">
        <w:t xml:space="preserve"> All other relevant critical infrastructure assets will be regulated by the Department. </w:t>
      </w:r>
    </w:p>
    <w:p w14:paraId="2DD2E3A9" w14:textId="77777777" w:rsidR="006D54BF" w:rsidRPr="003645A2" w:rsidRDefault="003645A2" w:rsidP="00E06C13">
      <w:pPr>
        <w:pStyle w:val="BodyText"/>
      </w:pPr>
      <w:r w:rsidRPr="003645A2">
        <w:t>The Department would also work with Commonwealth agencies</w:t>
      </w:r>
      <w:r w:rsidR="5D39286D" w:rsidRPr="32822138">
        <w:t xml:space="preserve"> </w:t>
      </w:r>
      <w:r w:rsidRPr="003645A2">
        <w:t xml:space="preserve">where the </w:t>
      </w:r>
      <w:r w:rsidR="00BB0179">
        <w:t>RMP</w:t>
      </w:r>
      <w:r w:rsidRPr="003645A2">
        <w:t xml:space="preserve"> framework will have a direct impact on those entities</w:t>
      </w:r>
      <w:r w:rsidR="006D54BF">
        <w:t>.</w:t>
      </w:r>
    </w:p>
    <w:p w14:paraId="0E749F5E" w14:textId="44ED21BD" w:rsidR="003645A2" w:rsidRPr="003645A2" w:rsidRDefault="003645A2" w:rsidP="00E06C13">
      <w:pPr>
        <w:pStyle w:val="BodyText"/>
      </w:pPr>
      <w:r w:rsidRPr="003645A2">
        <w:t xml:space="preserve">The Department will report on the implementation of the </w:t>
      </w:r>
      <w:r w:rsidR="00BB0179">
        <w:t>RMP</w:t>
      </w:r>
      <w:r w:rsidRPr="003645A2">
        <w:t xml:space="preserve"> obligations in its annual report to Parliament, in accordance with section 60 of the Act.</w:t>
      </w:r>
    </w:p>
    <w:p w14:paraId="2B128BE0" w14:textId="698BA61F" w:rsidR="003645A2" w:rsidRPr="003645A2" w:rsidRDefault="003645A2" w:rsidP="004C0EFC">
      <w:pPr>
        <w:pStyle w:val="Heading3numbered"/>
      </w:pPr>
      <w:bookmarkStart w:id="413" w:name="_Toc74661615"/>
      <w:bookmarkStart w:id="414" w:name="_Toc74755268"/>
      <w:bookmarkStart w:id="415" w:name="_Toc74756980"/>
      <w:bookmarkStart w:id="416" w:name="_Toc74832217"/>
      <w:bookmarkStart w:id="417" w:name="_Toc74841222"/>
      <w:bookmarkStart w:id="418" w:name="_Toc74914002"/>
      <w:bookmarkStart w:id="419" w:name="_Toc76050854"/>
      <w:bookmarkStart w:id="420" w:name="_Toc77755140"/>
      <w:bookmarkStart w:id="421" w:name="_Toc79149664"/>
      <w:r w:rsidRPr="003645A2">
        <w:lastRenderedPageBreak/>
        <w:t>Compliance approach</w:t>
      </w:r>
      <w:bookmarkEnd w:id="413"/>
      <w:bookmarkEnd w:id="414"/>
      <w:bookmarkEnd w:id="415"/>
      <w:bookmarkEnd w:id="416"/>
      <w:bookmarkEnd w:id="417"/>
      <w:bookmarkEnd w:id="418"/>
      <w:bookmarkEnd w:id="419"/>
      <w:bookmarkEnd w:id="420"/>
      <w:bookmarkEnd w:id="421"/>
      <w:r w:rsidRPr="003645A2">
        <w:t xml:space="preserve"> </w:t>
      </w:r>
    </w:p>
    <w:p w14:paraId="018CE918" w14:textId="6AFBFE24" w:rsidR="003645A2" w:rsidRPr="003645A2" w:rsidRDefault="003645A2" w:rsidP="00E06C13">
      <w:pPr>
        <w:pStyle w:val="BodyText"/>
      </w:pPr>
      <w:r w:rsidRPr="003645A2">
        <w:rPr>
          <w:lang w:val="en"/>
        </w:rPr>
        <w:t>The Department</w:t>
      </w:r>
      <w:r w:rsidR="006B41EE">
        <w:rPr>
          <w:lang w:val="en"/>
        </w:rPr>
        <w:t xml:space="preserve"> </w:t>
      </w:r>
      <w:r w:rsidRPr="003645A2">
        <w:t>w</w:t>
      </w:r>
      <w:r w:rsidR="003D0490">
        <w:t xml:space="preserve">ill </w:t>
      </w:r>
      <w:r w:rsidRPr="003645A2">
        <w:t>support responsible entities in driving an uplift in asset security and resilience, through regulation and compliance</w:t>
      </w:r>
      <w:r w:rsidR="001933B4">
        <w:t xml:space="preserve">. In doing so, it will </w:t>
      </w:r>
      <w:r w:rsidRPr="003645A2">
        <w:t>work closely with the ACSC, responsible entities and industry regulators</w:t>
      </w:r>
      <w:r w:rsidR="00E30AB1">
        <w:t>,</w:t>
      </w:r>
      <w:r w:rsidRPr="003645A2">
        <w:t xml:space="preserve"> to minimise regulatory duplication and cost to industry. </w:t>
      </w:r>
    </w:p>
    <w:p w14:paraId="15D6F398" w14:textId="1C553843" w:rsidR="003645A2" w:rsidRPr="003645A2" w:rsidRDefault="003645A2" w:rsidP="00E06C13">
      <w:pPr>
        <w:pStyle w:val="BodyText"/>
      </w:pPr>
      <w:r w:rsidRPr="003645A2">
        <w:t xml:space="preserve">A strong and effective government-industry partnership is central to achieving the Australian Government’s vision for critical infrastructure security and resilience. This partnership is supported by the Critical Infrastructure Resilience Strategy </w:t>
      </w:r>
      <w:r w:rsidR="001933B4">
        <w:t xml:space="preserve">(CIRS) </w:t>
      </w:r>
      <w:r w:rsidRPr="003645A2">
        <w:t xml:space="preserve">and the TISN – both non-regulatory measures.  The Strategy is focussed on the continued operation of critical infrastructure in the face of all hazards. More resilient critical infrastructure will also help to support the continued provision of essential services (provided by critical infrastructure) to businesses, </w:t>
      </w:r>
      <w:r w:rsidR="00723967" w:rsidRPr="003645A2">
        <w:t>governments,</w:t>
      </w:r>
      <w:r w:rsidRPr="003645A2">
        <w:t xml:space="preserve"> and the community, as well as to other critical infrastructure sectors. The Government is currently in the process of updating the Strategy</w:t>
      </w:r>
      <w:r w:rsidR="00C97B64">
        <w:t>.</w:t>
      </w:r>
      <w:r w:rsidRPr="003645A2">
        <w:t xml:space="preserve">    </w:t>
      </w:r>
    </w:p>
    <w:p w14:paraId="724BD8B2" w14:textId="584EA5D4" w:rsidR="003645A2" w:rsidRPr="003645A2" w:rsidRDefault="003645A2" w:rsidP="00E06C13">
      <w:pPr>
        <w:pStyle w:val="BodyText"/>
      </w:pPr>
      <w:r w:rsidRPr="003645A2">
        <w:t xml:space="preserve">Government is currently updating the TISN, </w:t>
      </w:r>
      <w:r w:rsidR="001933B4">
        <w:t xml:space="preserve">through expanding </w:t>
      </w:r>
      <w:r w:rsidR="009A6B78">
        <w:t>its sector groups and creating an online platform for engagement,</w:t>
      </w:r>
      <w:r w:rsidRPr="003645A2">
        <w:t xml:space="preserve"> which will support </w:t>
      </w:r>
      <w:r w:rsidR="001933B4">
        <w:t>F</w:t>
      </w:r>
      <w:r w:rsidRPr="003645A2">
        <w:t xml:space="preserve">ederal, </w:t>
      </w:r>
      <w:r w:rsidR="007F48BC">
        <w:t>s</w:t>
      </w:r>
      <w:r w:rsidRPr="003645A2">
        <w:t xml:space="preserve">tate and </w:t>
      </w:r>
      <w:r w:rsidR="001933B4">
        <w:t>t</w:t>
      </w:r>
      <w:r w:rsidRPr="003645A2">
        <w:t xml:space="preserve">erritory </w:t>
      </w:r>
      <w:r w:rsidR="001933B4">
        <w:t>a</w:t>
      </w:r>
      <w:r w:rsidRPr="003645A2">
        <w:t>gencies and industry groups to work with critical infrastructure entities of all levels of maturity to deliver the Strategy’s vision.</w:t>
      </w:r>
    </w:p>
    <w:p w14:paraId="62C51F22" w14:textId="77777777" w:rsidR="003645A2" w:rsidRPr="00C768BC" w:rsidRDefault="003645A2" w:rsidP="00E06C13">
      <w:pPr>
        <w:pStyle w:val="Heading4"/>
      </w:pPr>
      <w:r w:rsidRPr="00C768BC">
        <w:t>Draft regulatory principles</w:t>
      </w:r>
    </w:p>
    <w:p w14:paraId="3F484454" w14:textId="77777777" w:rsidR="003645A2" w:rsidRPr="003645A2" w:rsidRDefault="003645A2" w:rsidP="00E06C13">
      <w:pPr>
        <w:pStyle w:val="BodyText"/>
      </w:pPr>
      <w:r w:rsidRPr="003645A2">
        <w:t>Regulatory functions and activities undertaken by the Department and its representatives may be guided by the following draft principles:</w:t>
      </w:r>
    </w:p>
    <w:p w14:paraId="52721059" w14:textId="77777777" w:rsidR="003645A2" w:rsidRPr="003645A2" w:rsidRDefault="003645A2" w:rsidP="00E06C13">
      <w:pPr>
        <w:pStyle w:val="Bullet1stlevel"/>
      </w:pPr>
      <w:r w:rsidRPr="003645A2">
        <w:rPr>
          <w:b/>
        </w:rPr>
        <w:t>Promotion of voluntary compliance</w:t>
      </w:r>
      <w:r w:rsidRPr="003645A2">
        <w:t xml:space="preserve"> through effective engagement with industry and its regulators, with clear guidance on legislative requirements and how to comply.</w:t>
      </w:r>
    </w:p>
    <w:p w14:paraId="7CEA0B42" w14:textId="77777777" w:rsidR="003645A2" w:rsidRPr="003645A2" w:rsidRDefault="003645A2" w:rsidP="00E06C13">
      <w:pPr>
        <w:pStyle w:val="Bullet1stlevel"/>
      </w:pPr>
      <w:r w:rsidRPr="003645A2">
        <w:rPr>
          <w:b/>
        </w:rPr>
        <w:t>Evidence-based compliance and enforcement actions</w:t>
      </w:r>
      <w:r w:rsidRPr="003645A2">
        <w:t xml:space="preserve"> that adjust to respond to the nature and seriousness of non-compliance, and the potential risk to the security of Australian critical infrastructure.</w:t>
      </w:r>
    </w:p>
    <w:p w14:paraId="39BED684" w14:textId="0C5C1751" w:rsidR="003645A2" w:rsidRPr="003645A2" w:rsidRDefault="003645A2" w:rsidP="00E06C13">
      <w:pPr>
        <w:pStyle w:val="Bullet1stlevel"/>
      </w:pPr>
      <w:r w:rsidRPr="003645A2">
        <w:rPr>
          <w:b/>
        </w:rPr>
        <w:t>Commitment to an industry and Government partnership.</w:t>
      </w:r>
      <w:r w:rsidRPr="003645A2">
        <w:t xml:space="preserve"> The Department will work closely with industry and other government bodies, including TISN, </w:t>
      </w:r>
      <w:r w:rsidR="00D74133">
        <w:t xml:space="preserve">National </w:t>
      </w:r>
      <w:r w:rsidRPr="003645A2">
        <w:t>Emergency Management A</w:t>
      </w:r>
      <w:r w:rsidR="00D74133">
        <w:t>gency</w:t>
      </w:r>
      <w:r w:rsidRPr="003645A2">
        <w:t>, industry regulators and law enforcement agencies, to share threat information about security risk to Australia’s critical infrastructure, and work collaboratively to monitor and ensure compliance functions.</w:t>
      </w:r>
    </w:p>
    <w:p w14:paraId="69386363" w14:textId="269B9145" w:rsidR="003645A2" w:rsidRPr="003645A2" w:rsidRDefault="003645A2" w:rsidP="00E06C13">
      <w:pPr>
        <w:pStyle w:val="Bullet1stlevel"/>
      </w:pPr>
      <w:r w:rsidRPr="003645A2">
        <w:rPr>
          <w:b/>
        </w:rPr>
        <w:t>Commitment to transparency and reporting on compliance action.</w:t>
      </w:r>
      <w:r w:rsidRPr="003645A2">
        <w:t xml:space="preserve"> The </w:t>
      </w:r>
      <w:r w:rsidR="00384419">
        <w:t>SOCI Act</w:t>
      </w:r>
      <w:r w:rsidRPr="003645A2">
        <w:t xml:space="preserve"> requires the Minister for Home Affairs to table an annual report to Parliament, affording greater oversight to any decision or action taken under the </w:t>
      </w:r>
      <w:r w:rsidR="00384419">
        <w:t>SOCI Act</w:t>
      </w:r>
      <w:r w:rsidRPr="003645A2">
        <w:t xml:space="preserve"> or the regulations.</w:t>
      </w:r>
    </w:p>
    <w:p w14:paraId="3349BA36" w14:textId="77777777" w:rsidR="003645A2" w:rsidRPr="003645A2" w:rsidRDefault="003645A2" w:rsidP="00E06C13">
      <w:pPr>
        <w:pStyle w:val="Bullet1stlevel"/>
      </w:pPr>
      <w:r w:rsidRPr="003645A2">
        <w:rPr>
          <w:b/>
        </w:rPr>
        <w:t>Integrity, professionalism and procedural fairness to compliance and enforcement.</w:t>
      </w:r>
      <w:r w:rsidRPr="003645A2">
        <w:t xml:space="preserve"> Compliance, </w:t>
      </w:r>
      <w:r w:rsidR="00F85A66" w:rsidRPr="003645A2">
        <w:t>monitoring,</w:t>
      </w:r>
      <w:r w:rsidRPr="003645A2">
        <w:t xml:space="preserve"> and enforcement activities will be undertaken with integrity, professionalism and with due regard to procedural fairness, </w:t>
      </w:r>
      <w:r w:rsidR="00F85A66" w:rsidRPr="003645A2">
        <w:t>privacy,</w:t>
      </w:r>
      <w:r w:rsidRPr="003645A2">
        <w:t xml:space="preserve"> and information sensitivity.</w:t>
      </w:r>
    </w:p>
    <w:p w14:paraId="2E797D04" w14:textId="77777777" w:rsidR="003645A2" w:rsidRPr="00C768BC" w:rsidRDefault="003645A2" w:rsidP="00E06C13">
      <w:pPr>
        <w:pStyle w:val="Heading4"/>
      </w:pPr>
      <w:r w:rsidRPr="00C768BC">
        <w:t>Possible regulatory responses</w:t>
      </w:r>
    </w:p>
    <w:p w14:paraId="05BDBC4D" w14:textId="1707312B" w:rsidR="003645A2" w:rsidRPr="003645A2" w:rsidRDefault="003645A2" w:rsidP="00E06C13">
      <w:pPr>
        <w:pStyle w:val="BodyText"/>
      </w:pPr>
      <w:r w:rsidRPr="003645A2">
        <w:t xml:space="preserve">If responsible entities were to fail to comply with their obligations under the </w:t>
      </w:r>
      <w:r w:rsidR="00BB0179">
        <w:t>RMP</w:t>
      </w:r>
      <w:r w:rsidRPr="003645A2">
        <w:t xml:space="preserve">, following the finalisation and ‘switching on’ of </w:t>
      </w:r>
      <w:r w:rsidR="00BB0179">
        <w:t>RMP</w:t>
      </w:r>
      <w:r w:rsidRPr="003645A2">
        <w:t xml:space="preserve"> obligations and the end of the transition period, such organisations may be subject to a regulatory response. The Department would work to educate and guide entities towards best practice security management, wherever possible, to encourage voluntary compliance. This would include educating responsible entities to ensure they understand their administrative and legislative obligations, as well as maintaining strong links with entities to promote ongoing best practice behaviours.</w:t>
      </w:r>
    </w:p>
    <w:p w14:paraId="5AED9224" w14:textId="0021D593" w:rsidR="003645A2" w:rsidRPr="003645A2" w:rsidRDefault="00A9746B" w:rsidP="00E06C13">
      <w:pPr>
        <w:pStyle w:val="BodyText"/>
        <w:rPr>
          <w:rFonts w:ascii="Arial" w:hAnsi="Arial" w:cs="Arial"/>
        </w:rPr>
      </w:pPr>
      <w:r w:rsidRPr="00A9746B">
        <w:fldChar w:fldCharType="begin"/>
      </w:r>
      <w:r w:rsidRPr="00A9746B">
        <w:instrText xml:space="preserve"> REF _Ref93506428 \h  \* MERGEFORMAT </w:instrText>
      </w:r>
      <w:r w:rsidRPr="00A9746B">
        <w:fldChar w:fldCharType="separate"/>
      </w:r>
      <w:r w:rsidR="009708D4" w:rsidRPr="009708D4">
        <w:t xml:space="preserve">Figure </w:t>
      </w:r>
      <w:r w:rsidR="009708D4" w:rsidRPr="009708D4">
        <w:rPr>
          <w:noProof/>
        </w:rPr>
        <w:t>6</w:t>
      </w:r>
      <w:r w:rsidRPr="00A9746B">
        <w:fldChar w:fldCharType="end"/>
      </w:r>
      <w:r w:rsidRPr="00A9746B">
        <w:t xml:space="preserve"> </w:t>
      </w:r>
      <w:r w:rsidR="003645A2" w:rsidRPr="00A9746B">
        <w:t xml:space="preserve">below outlines the Department’s proposed approach to imposing regulatory responses, in </w:t>
      </w:r>
      <w:r w:rsidR="003645A2" w:rsidRPr="003645A2">
        <w:rPr>
          <w:rFonts w:ascii="Arial" w:hAnsi="Arial" w:cs="Arial"/>
        </w:rPr>
        <w:t xml:space="preserve">the event of non-compliance with </w:t>
      </w:r>
      <w:r w:rsidR="00BB0179">
        <w:rPr>
          <w:rFonts w:ascii="Arial" w:hAnsi="Arial" w:cs="Arial"/>
        </w:rPr>
        <w:t>RMP</w:t>
      </w:r>
      <w:r w:rsidR="003645A2" w:rsidRPr="003645A2">
        <w:rPr>
          <w:rFonts w:ascii="Arial" w:hAnsi="Arial" w:cs="Arial"/>
        </w:rPr>
        <w:t xml:space="preserve"> obligations. The Department would use a tiered approach to form its regulatory posture. Under this approach, regulatory actions and activities would be undertaken based on a scale ranging from support to penalties, proportionate to the nature and level of risk identified. </w:t>
      </w:r>
    </w:p>
    <w:p w14:paraId="13428079" w14:textId="6D587F4D" w:rsidR="000A7B9A" w:rsidRPr="009E6DAB" w:rsidRDefault="000A7B9A" w:rsidP="000A7B9A">
      <w:pPr>
        <w:pStyle w:val="Caption"/>
        <w:rPr>
          <w:b/>
          <w:bCs/>
          <w:noProof/>
        </w:rPr>
      </w:pPr>
      <w:bookmarkStart w:id="422" w:name="_Ref93506428"/>
      <w:bookmarkStart w:id="423" w:name="_Toc78525184"/>
      <w:bookmarkStart w:id="424" w:name="_Ref93506425"/>
      <w:bookmarkStart w:id="425" w:name="_Toc94519467"/>
      <w:bookmarkStart w:id="426" w:name="_Toc74661616"/>
      <w:bookmarkStart w:id="427" w:name="_Toc74755269"/>
      <w:bookmarkStart w:id="428" w:name="_Toc74756981"/>
      <w:bookmarkStart w:id="429" w:name="_Toc74832218"/>
      <w:bookmarkStart w:id="430" w:name="_Toc74841223"/>
      <w:bookmarkStart w:id="431" w:name="_Toc74914003"/>
      <w:r w:rsidRPr="00522C67">
        <w:rPr>
          <w:b/>
          <w:bCs/>
        </w:rPr>
        <w:lastRenderedPageBreak/>
        <w:t xml:space="preserve">Figure </w:t>
      </w:r>
      <w:r w:rsidRPr="00522C67">
        <w:rPr>
          <w:b/>
          <w:bCs/>
        </w:rPr>
        <w:fldChar w:fldCharType="begin"/>
      </w:r>
      <w:r w:rsidRPr="00522C67">
        <w:rPr>
          <w:b/>
          <w:bCs/>
        </w:rPr>
        <w:instrText xml:space="preserve"> SEQ Figure \* ARABIC </w:instrText>
      </w:r>
      <w:r w:rsidRPr="00522C67">
        <w:rPr>
          <w:b/>
          <w:bCs/>
        </w:rPr>
        <w:fldChar w:fldCharType="separate"/>
      </w:r>
      <w:r w:rsidR="009708D4">
        <w:rPr>
          <w:b/>
          <w:bCs/>
          <w:noProof/>
        </w:rPr>
        <w:t>6</w:t>
      </w:r>
      <w:r w:rsidRPr="00522C67">
        <w:rPr>
          <w:b/>
          <w:bCs/>
        </w:rPr>
        <w:fldChar w:fldCharType="end"/>
      </w:r>
      <w:bookmarkEnd w:id="422"/>
      <w:r>
        <w:t>:</w:t>
      </w:r>
      <w:r w:rsidRPr="009E6DAB">
        <w:rPr>
          <w:bCs/>
        </w:rPr>
        <w:t xml:space="preserve"> </w:t>
      </w:r>
      <w:r w:rsidRPr="000A7B9A">
        <w:t>Compliance</w:t>
      </w:r>
      <w:r w:rsidRPr="009E6DAB">
        <w:rPr>
          <w:bCs/>
        </w:rPr>
        <w:t xml:space="preserve"> Strategy</w:t>
      </w:r>
      <w:bookmarkEnd w:id="423"/>
      <w:bookmarkEnd w:id="424"/>
      <w:bookmarkEnd w:id="425"/>
    </w:p>
    <w:p w14:paraId="5C901A5E" w14:textId="05EEC7D3" w:rsidR="003645A2" w:rsidRPr="003645A2" w:rsidRDefault="00C046BE" w:rsidP="003645A2">
      <w:pPr>
        <w:rPr>
          <w:rFonts w:ascii="Arial" w:eastAsia="Calibri" w:hAnsi="Arial" w:cs="Arial"/>
          <w:sz w:val="22"/>
        </w:rPr>
      </w:pPr>
      <w:r w:rsidRPr="00C046BE">
        <w:rPr>
          <w:noProof/>
          <w:lang w:eastAsia="en-AU"/>
        </w:rPr>
        <w:drawing>
          <wp:inline distT="0" distB="0" distL="0" distR="0" wp14:anchorId="34FE380E" wp14:editId="30A0050E">
            <wp:extent cx="6010910" cy="4088130"/>
            <wp:effectExtent l="0" t="0" r="889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0910" cy="4088130"/>
                    </a:xfrm>
                    <a:prstGeom prst="rect">
                      <a:avLst/>
                    </a:prstGeom>
                    <a:noFill/>
                    <a:ln>
                      <a:noFill/>
                    </a:ln>
                  </pic:spPr>
                </pic:pic>
              </a:graphicData>
            </a:graphic>
          </wp:inline>
        </w:drawing>
      </w:r>
    </w:p>
    <w:p w14:paraId="5ED8F664" w14:textId="77777777" w:rsidR="003645A2" w:rsidRPr="003645A2" w:rsidRDefault="003645A2" w:rsidP="000A7B9A">
      <w:pPr>
        <w:pStyle w:val="BodyText"/>
      </w:pPr>
      <w:r w:rsidRPr="003645A2">
        <w:t xml:space="preserve">The Department would take a graduated approach to employing its enforcement powers, which may involve: </w:t>
      </w:r>
    </w:p>
    <w:p w14:paraId="44714BEB" w14:textId="77777777" w:rsidR="003645A2" w:rsidRPr="003645A2" w:rsidRDefault="003645A2" w:rsidP="000A7B9A">
      <w:pPr>
        <w:pStyle w:val="Bullet1stlevel"/>
      </w:pPr>
      <w:r w:rsidRPr="003645A2">
        <w:t xml:space="preserve">Overseeing compliance with legislative obligations; </w:t>
      </w:r>
    </w:p>
    <w:p w14:paraId="497A5E4C" w14:textId="77777777" w:rsidR="003645A2" w:rsidRPr="003645A2" w:rsidRDefault="003645A2" w:rsidP="000A7B9A">
      <w:pPr>
        <w:pStyle w:val="Bullet1stlevel"/>
      </w:pPr>
      <w:r w:rsidRPr="003645A2">
        <w:t xml:space="preserve">Issuing reasonable requests for access to information, as well as inspection and audit powers; </w:t>
      </w:r>
    </w:p>
    <w:p w14:paraId="768060F9" w14:textId="77777777" w:rsidR="003645A2" w:rsidRPr="003645A2" w:rsidRDefault="003645A2" w:rsidP="000A7B9A">
      <w:pPr>
        <w:pStyle w:val="Bullet1stlevel"/>
      </w:pPr>
      <w:r w:rsidRPr="003645A2">
        <w:t>Issuing security notices which responsible entities must account for in their reporting;</w:t>
      </w:r>
    </w:p>
    <w:p w14:paraId="361528B8" w14:textId="77777777" w:rsidR="003645A2" w:rsidRPr="003645A2" w:rsidRDefault="003645A2" w:rsidP="000A7B9A">
      <w:pPr>
        <w:pStyle w:val="Bullet1stlevel"/>
      </w:pPr>
      <w:r w:rsidRPr="003645A2">
        <w:t>Issuing penalties for non-compliance; and</w:t>
      </w:r>
    </w:p>
    <w:p w14:paraId="64C7E2D9" w14:textId="77777777" w:rsidR="003645A2" w:rsidRPr="003645A2" w:rsidRDefault="003645A2" w:rsidP="000A7B9A">
      <w:pPr>
        <w:pStyle w:val="Bullet1stlevel"/>
      </w:pPr>
      <w:r w:rsidRPr="003645A2">
        <w:t>Intervening and</w:t>
      </w:r>
      <w:r w:rsidR="00154783">
        <w:t>,</w:t>
      </w:r>
      <w:r w:rsidRPr="003645A2">
        <w:t xml:space="preserve"> where necessary, issuing directions where there are significant national security concerns which cannot be addressed through other means.  </w:t>
      </w:r>
    </w:p>
    <w:p w14:paraId="63568E06" w14:textId="77777777" w:rsidR="003645A2" w:rsidRPr="003645A2" w:rsidRDefault="003645A2" w:rsidP="000A7B9A">
      <w:pPr>
        <w:pStyle w:val="BodyText"/>
      </w:pPr>
      <w:r w:rsidRPr="003645A2">
        <w:t>The Department would ensure that a penalty or intervention would only be imposed as a last resort</w:t>
      </w:r>
      <w:r w:rsidR="00154783">
        <w:t>,</w:t>
      </w:r>
      <w:r w:rsidRPr="003645A2">
        <w:t xml:space="preserve"> and in a manner proportionate to the risk presented by non-compliance. </w:t>
      </w:r>
    </w:p>
    <w:p w14:paraId="0A936B4D" w14:textId="77777777" w:rsidR="003645A2" w:rsidRPr="00C768BC" w:rsidRDefault="003645A2" w:rsidP="000A7B9A">
      <w:pPr>
        <w:pStyle w:val="Heading4"/>
      </w:pPr>
      <w:r w:rsidRPr="00C768BC">
        <w:t xml:space="preserve">Assessments of non-compliance </w:t>
      </w:r>
    </w:p>
    <w:p w14:paraId="54882AC2" w14:textId="77777777" w:rsidR="003645A2" w:rsidRPr="003645A2" w:rsidRDefault="003645A2" w:rsidP="000A7B9A">
      <w:pPr>
        <w:pStyle w:val="BodyText"/>
      </w:pPr>
      <w:r w:rsidRPr="003645A2">
        <w:t>Assessments of non-compliance will be based on evidence, with an overall goal of consistency and fairness. When assessing non-compliance and determining an appropriate response, the Department will consider the following three factors:</w:t>
      </w:r>
    </w:p>
    <w:p w14:paraId="06DD40C0" w14:textId="77777777" w:rsidR="003645A2" w:rsidRPr="003645A2" w:rsidRDefault="003645A2" w:rsidP="006F327A">
      <w:pPr>
        <w:numPr>
          <w:ilvl w:val="0"/>
          <w:numId w:val="49"/>
        </w:numPr>
        <w:spacing w:before="160" w:after="160" w:line="259" w:lineRule="auto"/>
        <w:ind w:hanging="357"/>
        <w:rPr>
          <w:rFonts w:ascii="Arial" w:eastAsia="Calibri" w:hAnsi="Arial" w:cs="Arial"/>
          <w:sz w:val="22"/>
        </w:rPr>
      </w:pPr>
      <w:r w:rsidRPr="003645A2">
        <w:rPr>
          <w:rFonts w:ascii="Arial" w:eastAsia="Calibri" w:hAnsi="Arial" w:cs="Arial"/>
          <w:b/>
          <w:bCs/>
          <w:sz w:val="22"/>
        </w:rPr>
        <w:t>Risk</w:t>
      </w:r>
      <w:r w:rsidRPr="003645A2">
        <w:rPr>
          <w:rFonts w:ascii="Arial" w:eastAsia="Calibri" w:hAnsi="Arial" w:cs="Arial"/>
          <w:sz w:val="22"/>
        </w:rPr>
        <w:t xml:space="preserve"> - What is the impact of non-compliance on Australia’s national security? What is the nature of the risk? What solutions are available and how effective are they? </w:t>
      </w:r>
    </w:p>
    <w:p w14:paraId="7109CB48" w14:textId="77777777" w:rsidR="003645A2" w:rsidRPr="003645A2" w:rsidRDefault="003645A2" w:rsidP="006F327A">
      <w:pPr>
        <w:numPr>
          <w:ilvl w:val="0"/>
          <w:numId w:val="49"/>
        </w:numPr>
        <w:spacing w:before="160" w:after="160" w:line="259" w:lineRule="auto"/>
        <w:ind w:left="351" w:hanging="357"/>
        <w:rPr>
          <w:rFonts w:ascii="Arial" w:eastAsia="Calibri" w:hAnsi="Arial" w:cs="Arial"/>
          <w:sz w:val="22"/>
        </w:rPr>
      </w:pPr>
      <w:r w:rsidRPr="003645A2">
        <w:rPr>
          <w:rFonts w:ascii="Arial" w:eastAsia="Calibri" w:hAnsi="Arial" w:cs="Arial"/>
          <w:b/>
          <w:bCs/>
          <w:sz w:val="22"/>
        </w:rPr>
        <w:t xml:space="preserve">Proportionality </w:t>
      </w:r>
      <w:r w:rsidRPr="003645A2">
        <w:rPr>
          <w:rFonts w:ascii="Arial" w:eastAsia="Calibri" w:hAnsi="Arial" w:cs="Arial"/>
          <w:bCs/>
          <w:sz w:val="22"/>
        </w:rPr>
        <w:t>-</w:t>
      </w:r>
      <w:r w:rsidRPr="003645A2">
        <w:rPr>
          <w:rFonts w:ascii="Arial" w:eastAsia="Calibri" w:hAnsi="Arial" w:cs="Arial"/>
          <w:sz w:val="22"/>
        </w:rPr>
        <w:t xml:space="preserve"> How serious is the risk? Are there any aggravating circumstances?</w:t>
      </w:r>
    </w:p>
    <w:p w14:paraId="1FC87894" w14:textId="77777777" w:rsidR="003645A2" w:rsidRPr="003645A2" w:rsidRDefault="003645A2" w:rsidP="006F327A">
      <w:pPr>
        <w:numPr>
          <w:ilvl w:val="0"/>
          <w:numId w:val="49"/>
        </w:numPr>
        <w:spacing w:before="160" w:after="160" w:line="259" w:lineRule="auto"/>
        <w:ind w:left="351" w:hanging="357"/>
        <w:rPr>
          <w:rFonts w:ascii="Arial" w:eastAsia="Calibri" w:hAnsi="Arial" w:cs="Arial"/>
          <w:sz w:val="22"/>
        </w:rPr>
      </w:pPr>
      <w:r w:rsidRPr="003645A2">
        <w:rPr>
          <w:rFonts w:ascii="Arial" w:eastAsia="Calibri" w:hAnsi="Arial" w:cs="Arial"/>
          <w:b/>
          <w:bCs/>
          <w:sz w:val="22"/>
        </w:rPr>
        <w:t>Entity’s Engagement</w:t>
      </w:r>
      <w:r w:rsidRPr="003645A2">
        <w:rPr>
          <w:rFonts w:ascii="Arial" w:eastAsia="Calibri" w:hAnsi="Arial" w:cs="Arial"/>
          <w:sz w:val="22"/>
        </w:rPr>
        <w:t xml:space="preserve"> - What is the entity’s attitude towards compliance? How cooperative is the entity, based on engagement with the Department and their compliance history?</w:t>
      </w:r>
    </w:p>
    <w:p w14:paraId="68C67D23" w14:textId="3EDC4234" w:rsidR="003645A2" w:rsidRPr="003645A2" w:rsidRDefault="003645A2" w:rsidP="004C0EFC">
      <w:pPr>
        <w:pStyle w:val="Heading2numbered"/>
      </w:pPr>
      <w:bookmarkStart w:id="432" w:name="_Toc79149665"/>
      <w:bookmarkStart w:id="433" w:name="_Toc121397405"/>
      <w:bookmarkEnd w:id="426"/>
      <w:bookmarkEnd w:id="427"/>
      <w:bookmarkEnd w:id="428"/>
      <w:bookmarkEnd w:id="429"/>
      <w:bookmarkEnd w:id="430"/>
      <w:bookmarkEnd w:id="431"/>
      <w:r w:rsidRPr="003645A2">
        <w:lastRenderedPageBreak/>
        <w:t>Challenges and risks to implementation</w:t>
      </w:r>
      <w:bookmarkEnd w:id="432"/>
      <w:bookmarkEnd w:id="433"/>
      <w:r w:rsidRPr="003645A2">
        <w:t xml:space="preserve"> </w:t>
      </w:r>
    </w:p>
    <w:p w14:paraId="21BB8A79" w14:textId="5707ABB1" w:rsidR="003645A2" w:rsidRPr="003645A2" w:rsidRDefault="003645A2" w:rsidP="000A7B9A">
      <w:pPr>
        <w:pStyle w:val="BodyText"/>
      </w:pPr>
      <w:r w:rsidRPr="003645A2">
        <w:t xml:space="preserve">There are several challenges and risks which could impede the Department’s successful implementation of the </w:t>
      </w:r>
      <w:r w:rsidR="00BB0179">
        <w:t>RMP</w:t>
      </w:r>
      <w:r w:rsidRPr="003645A2">
        <w:t xml:space="preserve"> framework for </w:t>
      </w:r>
      <w:r w:rsidR="008056F4">
        <w:t>critical infrastructure assets</w:t>
      </w:r>
      <w:r w:rsidRPr="003645A2">
        <w:t xml:space="preserve">. These challenges and risks are identified in </w:t>
      </w:r>
      <w:r w:rsidRPr="003645A2">
        <w:fldChar w:fldCharType="begin"/>
      </w:r>
      <w:r w:rsidRPr="003645A2">
        <w:instrText xml:space="preserve"> REF _Ref78525218 \h  \* MERGEFORMAT </w:instrText>
      </w:r>
      <w:r w:rsidRPr="003645A2">
        <w:fldChar w:fldCharType="separate"/>
      </w:r>
      <w:r w:rsidR="009708D4" w:rsidRPr="009708D4">
        <w:rPr>
          <w:bCs/>
        </w:rPr>
        <w:t xml:space="preserve">Table </w:t>
      </w:r>
      <w:r w:rsidR="009708D4" w:rsidRPr="009708D4">
        <w:rPr>
          <w:bCs/>
          <w:noProof/>
        </w:rPr>
        <w:t>25</w:t>
      </w:r>
      <w:r w:rsidRPr="003645A2">
        <w:fldChar w:fldCharType="end"/>
      </w:r>
      <w:r w:rsidRPr="003645A2">
        <w:t xml:space="preserve"> below, and rated in terms of their likelihood and consequence, in accordance with </w:t>
      </w:r>
      <w:r w:rsidRPr="003645A2">
        <w:fldChar w:fldCharType="begin"/>
      </w:r>
      <w:r w:rsidRPr="003645A2">
        <w:instrText xml:space="preserve"> REF _Ref78525225 \h  \* MERGEFORMAT </w:instrText>
      </w:r>
      <w:r w:rsidRPr="003645A2">
        <w:fldChar w:fldCharType="separate"/>
      </w:r>
      <w:r w:rsidR="009708D4" w:rsidRPr="009708D4">
        <w:rPr>
          <w:bCs/>
        </w:rPr>
        <w:t xml:space="preserve">Table </w:t>
      </w:r>
      <w:r w:rsidR="009708D4" w:rsidRPr="009708D4">
        <w:rPr>
          <w:bCs/>
          <w:noProof/>
        </w:rPr>
        <w:t>26</w:t>
      </w:r>
      <w:r w:rsidRPr="003645A2">
        <w:fldChar w:fldCharType="end"/>
      </w:r>
      <w:r w:rsidRPr="003645A2">
        <w:t xml:space="preserve">. </w:t>
      </w:r>
    </w:p>
    <w:p w14:paraId="32BC06DE" w14:textId="6096355A" w:rsidR="003645A2" w:rsidRPr="003645A2" w:rsidRDefault="003645A2" w:rsidP="000A7B9A">
      <w:pPr>
        <w:pStyle w:val="Caption"/>
      </w:pPr>
      <w:bookmarkStart w:id="434" w:name="_Ref78525218"/>
      <w:bookmarkStart w:id="435" w:name="_Toc78878033"/>
      <w:bookmarkStart w:id="436" w:name="_Toc79156709"/>
      <w:bookmarkStart w:id="437" w:name="_Toc120115110"/>
      <w:r w:rsidRPr="003645A2">
        <w:rPr>
          <w:b/>
          <w:bCs/>
        </w:rPr>
        <w:t xml:space="preserve">Table </w:t>
      </w:r>
      <w:r w:rsidRPr="003645A2">
        <w:rPr>
          <w:b/>
          <w:bCs/>
        </w:rPr>
        <w:fldChar w:fldCharType="begin"/>
      </w:r>
      <w:r w:rsidRPr="003645A2">
        <w:rPr>
          <w:b/>
          <w:bCs/>
        </w:rPr>
        <w:instrText xml:space="preserve"> SEQ Table \* ARABIC </w:instrText>
      </w:r>
      <w:r w:rsidRPr="003645A2">
        <w:rPr>
          <w:b/>
          <w:bCs/>
        </w:rPr>
        <w:fldChar w:fldCharType="separate"/>
      </w:r>
      <w:r w:rsidR="009708D4">
        <w:rPr>
          <w:b/>
          <w:bCs/>
          <w:noProof/>
        </w:rPr>
        <w:t>25</w:t>
      </w:r>
      <w:r w:rsidRPr="003645A2">
        <w:rPr>
          <w:b/>
          <w:bCs/>
        </w:rPr>
        <w:fldChar w:fldCharType="end"/>
      </w:r>
      <w:bookmarkEnd w:id="434"/>
      <w:r w:rsidRPr="003645A2">
        <w:t xml:space="preserve"> Likelihood and consequence ratings</w:t>
      </w:r>
      <w:bookmarkEnd w:id="435"/>
      <w:bookmarkEnd w:id="436"/>
      <w:bookmarkEnd w:id="437"/>
    </w:p>
    <w:tbl>
      <w:tblPr>
        <w:tblStyle w:val="TableGrid6"/>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085"/>
        <w:gridCol w:w="2525"/>
        <w:gridCol w:w="1106"/>
        <w:gridCol w:w="4922"/>
      </w:tblGrid>
      <w:tr w:rsidR="003645A2" w:rsidRPr="003645A2" w14:paraId="790D529C" w14:textId="77777777" w:rsidTr="004F2CC9">
        <w:tc>
          <w:tcPr>
            <w:tcW w:w="1910" w:type="pct"/>
            <w:gridSpan w:val="2"/>
            <w:shd w:val="clear" w:color="auto" w:fill="034EA2" w:themeFill="accent1"/>
          </w:tcPr>
          <w:p w14:paraId="7260545A" w14:textId="77777777" w:rsidR="003645A2" w:rsidRPr="003645A2" w:rsidRDefault="003645A2" w:rsidP="00850288">
            <w:pPr>
              <w:pStyle w:val="TableHeading"/>
            </w:pPr>
            <w:r w:rsidRPr="003645A2">
              <w:t>Likelihood</w:t>
            </w:r>
          </w:p>
        </w:tc>
        <w:tc>
          <w:tcPr>
            <w:tcW w:w="3090" w:type="pct"/>
            <w:gridSpan w:val="2"/>
            <w:shd w:val="clear" w:color="auto" w:fill="034EA2" w:themeFill="accent1"/>
          </w:tcPr>
          <w:p w14:paraId="7490FB80" w14:textId="77777777" w:rsidR="003645A2" w:rsidRPr="003645A2" w:rsidRDefault="003645A2" w:rsidP="00850288">
            <w:pPr>
              <w:pStyle w:val="TableHeading"/>
            </w:pPr>
            <w:r w:rsidRPr="003645A2">
              <w:t>Consequence</w:t>
            </w:r>
          </w:p>
        </w:tc>
      </w:tr>
      <w:tr w:rsidR="003645A2" w:rsidRPr="003645A2" w14:paraId="52B81DCE" w14:textId="77777777" w:rsidTr="004F2CC9">
        <w:tc>
          <w:tcPr>
            <w:tcW w:w="582" w:type="pct"/>
            <w:shd w:val="clear" w:color="auto" w:fill="B4C6E7"/>
            <w:vAlign w:val="center"/>
          </w:tcPr>
          <w:p w14:paraId="0F272748" w14:textId="77777777" w:rsidR="003645A2" w:rsidRPr="00850288" w:rsidRDefault="003645A2" w:rsidP="004F2CC9">
            <w:pPr>
              <w:pStyle w:val="TableBody"/>
              <w:jc w:val="center"/>
              <w:rPr>
                <w:b/>
                <w:bCs/>
              </w:rPr>
            </w:pPr>
            <w:r w:rsidRPr="00850288">
              <w:rPr>
                <w:b/>
                <w:bCs/>
              </w:rPr>
              <w:t>Low</w:t>
            </w:r>
          </w:p>
        </w:tc>
        <w:tc>
          <w:tcPr>
            <w:tcW w:w="1329" w:type="pct"/>
            <w:vAlign w:val="center"/>
          </w:tcPr>
          <w:p w14:paraId="6C1AAB54" w14:textId="77777777" w:rsidR="003645A2" w:rsidRPr="003645A2" w:rsidRDefault="003645A2" w:rsidP="00850288">
            <w:pPr>
              <w:pStyle w:val="TableBody"/>
            </w:pPr>
            <w:r w:rsidRPr="003645A2">
              <w:t xml:space="preserve">The identified risk or challenge would be unlikely to eventuate. </w:t>
            </w:r>
          </w:p>
        </w:tc>
        <w:tc>
          <w:tcPr>
            <w:tcW w:w="517" w:type="pct"/>
            <w:shd w:val="clear" w:color="auto" w:fill="C5E0B3"/>
            <w:vAlign w:val="center"/>
          </w:tcPr>
          <w:p w14:paraId="562B9BDE" w14:textId="77777777" w:rsidR="003645A2" w:rsidRPr="004F2CC9" w:rsidRDefault="003645A2" w:rsidP="004F2CC9">
            <w:pPr>
              <w:pStyle w:val="TableBody"/>
              <w:jc w:val="center"/>
              <w:rPr>
                <w:b/>
                <w:bCs/>
              </w:rPr>
            </w:pPr>
            <w:r w:rsidRPr="004F2CC9">
              <w:rPr>
                <w:b/>
                <w:bCs/>
              </w:rPr>
              <w:t>Minimal</w:t>
            </w:r>
          </w:p>
        </w:tc>
        <w:tc>
          <w:tcPr>
            <w:tcW w:w="2573" w:type="pct"/>
            <w:vAlign w:val="center"/>
          </w:tcPr>
          <w:p w14:paraId="62077248" w14:textId="77777777" w:rsidR="003645A2" w:rsidRPr="003645A2" w:rsidRDefault="003645A2" w:rsidP="00850288">
            <w:pPr>
              <w:pStyle w:val="TableBody"/>
            </w:pPr>
            <w:r w:rsidRPr="003645A2">
              <w:t xml:space="preserve">If the identified risk or challenge does eventuate, it would have a limited effect on the Department’s ability to implement the </w:t>
            </w:r>
            <w:r w:rsidR="00BB0179">
              <w:t>RMP</w:t>
            </w:r>
            <w:r w:rsidRPr="003645A2">
              <w:t xml:space="preserve"> framework.</w:t>
            </w:r>
          </w:p>
        </w:tc>
      </w:tr>
      <w:tr w:rsidR="003645A2" w:rsidRPr="003645A2" w14:paraId="0AA63349" w14:textId="77777777" w:rsidTr="004F2CC9">
        <w:tc>
          <w:tcPr>
            <w:tcW w:w="582" w:type="pct"/>
            <w:shd w:val="clear" w:color="auto" w:fill="8EAADB"/>
            <w:vAlign w:val="center"/>
          </w:tcPr>
          <w:p w14:paraId="7C5C4604" w14:textId="77777777" w:rsidR="003645A2" w:rsidRPr="00850288" w:rsidRDefault="003645A2" w:rsidP="004F2CC9">
            <w:pPr>
              <w:pStyle w:val="TableBody"/>
              <w:jc w:val="center"/>
              <w:rPr>
                <w:b/>
                <w:bCs/>
              </w:rPr>
            </w:pPr>
            <w:r w:rsidRPr="00850288">
              <w:rPr>
                <w:b/>
                <w:bCs/>
              </w:rPr>
              <w:t>Medium</w:t>
            </w:r>
          </w:p>
        </w:tc>
        <w:tc>
          <w:tcPr>
            <w:tcW w:w="1329" w:type="pct"/>
            <w:vAlign w:val="center"/>
          </w:tcPr>
          <w:p w14:paraId="7AF71404" w14:textId="77777777" w:rsidR="003645A2" w:rsidRPr="003645A2" w:rsidRDefault="003645A2" w:rsidP="00850288">
            <w:pPr>
              <w:pStyle w:val="TableBody"/>
            </w:pPr>
            <w:r w:rsidRPr="003645A2">
              <w:t xml:space="preserve">It is reasonably possible that the identified risk or challenge would eventuate. </w:t>
            </w:r>
          </w:p>
        </w:tc>
        <w:tc>
          <w:tcPr>
            <w:tcW w:w="517" w:type="pct"/>
            <w:shd w:val="clear" w:color="auto" w:fill="FFE599"/>
            <w:vAlign w:val="center"/>
          </w:tcPr>
          <w:p w14:paraId="73C7D45D" w14:textId="77777777" w:rsidR="003645A2" w:rsidRPr="004F2CC9" w:rsidRDefault="003645A2" w:rsidP="004F2CC9">
            <w:pPr>
              <w:pStyle w:val="TableBody"/>
              <w:jc w:val="center"/>
              <w:rPr>
                <w:b/>
                <w:bCs/>
              </w:rPr>
            </w:pPr>
            <w:r w:rsidRPr="004F2CC9">
              <w:rPr>
                <w:b/>
                <w:bCs/>
              </w:rPr>
              <w:t>Moderate</w:t>
            </w:r>
          </w:p>
        </w:tc>
        <w:tc>
          <w:tcPr>
            <w:tcW w:w="2573" w:type="pct"/>
            <w:vAlign w:val="center"/>
          </w:tcPr>
          <w:p w14:paraId="542AD7D0" w14:textId="77777777" w:rsidR="003645A2" w:rsidRPr="003645A2" w:rsidRDefault="003645A2" w:rsidP="00850288">
            <w:pPr>
              <w:pStyle w:val="TableBody"/>
            </w:pPr>
            <w:r w:rsidRPr="003645A2">
              <w:t xml:space="preserve">If the identified risk or challenge does eventuate, it would have a substantial effect on the Department’s ability to implement the </w:t>
            </w:r>
            <w:r w:rsidR="00BB0179">
              <w:t>RMP</w:t>
            </w:r>
            <w:r w:rsidRPr="003645A2">
              <w:t xml:space="preserve"> framework.</w:t>
            </w:r>
          </w:p>
        </w:tc>
      </w:tr>
      <w:tr w:rsidR="003645A2" w:rsidRPr="003645A2" w14:paraId="2A9F74C9" w14:textId="77777777" w:rsidTr="004F2CC9">
        <w:tc>
          <w:tcPr>
            <w:tcW w:w="582" w:type="pct"/>
            <w:shd w:val="clear" w:color="auto" w:fill="8496B0"/>
            <w:vAlign w:val="center"/>
          </w:tcPr>
          <w:p w14:paraId="250A4080" w14:textId="77777777" w:rsidR="003645A2" w:rsidRPr="00850288" w:rsidRDefault="003645A2" w:rsidP="004F2CC9">
            <w:pPr>
              <w:pStyle w:val="TableBody"/>
              <w:jc w:val="center"/>
              <w:rPr>
                <w:b/>
                <w:bCs/>
              </w:rPr>
            </w:pPr>
            <w:r w:rsidRPr="00850288">
              <w:rPr>
                <w:b/>
                <w:bCs/>
              </w:rPr>
              <w:t>High</w:t>
            </w:r>
          </w:p>
        </w:tc>
        <w:tc>
          <w:tcPr>
            <w:tcW w:w="1329" w:type="pct"/>
            <w:vAlign w:val="center"/>
          </w:tcPr>
          <w:p w14:paraId="15594532" w14:textId="77777777" w:rsidR="003645A2" w:rsidRPr="003645A2" w:rsidRDefault="003645A2" w:rsidP="00850288">
            <w:pPr>
              <w:pStyle w:val="TableBody"/>
            </w:pPr>
            <w:r w:rsidRPr="003645A2">
              <w:t xml:space="preserve">It is likely that the identified risk or challenge would evaluate. </w:t>
            </w:r>
          </w:p>
        </w:tc>
        <w:tc>
          <w:tcPr>
            <w:tcW w:w="517" w:type="pct"/>
            <w:shd w:val="clear" w:color="auto" w:fill="F4B083"/>
            <w:vAlign w:val="center"/>
          </w:tcPr>
          <w:p w14:paraId="1CC048B6" w14:textId="77777777" w:rsidR="003645A2" w:rsidRPr="004F2CC9" w:rsidRDefault="003645A2" w:rsidP="004F2CC9">
            <w:pPr>
              <w:pStyle w:val="TableBody"/>
              <w:jc w:val="center"/>
              <w:rPr>
                <w:b/>
                <w:bCs/>
              </w:rPr>
            </w:pPr>
            <w:r w:rsidRPr="004F2CC9">
              <w:rPr>
                <w:b/>
                <w:bCs/>
              </w:rPr>
              <w:t>Severe</w:t>
            </w:r>
          </w:p>
        </w:tc>
        <w:tc>
          <w:tcPr>
            <w:tcW w:w="2573" w:type="pct"/>
            <w:vAlign w:val="center"/>
          </w:tcPr>
          <w:p w14:paraId="17B234C7" w14:textId="77777777" w:rsidR="003645A2" w:rsidRPr="003645A2" w:rsidRDefault="003645A2" w:rsidP="00850288">
            <w:pPr>
              <w:pStyle w:val="TableBody"/>
            </w:pPr>
            <w:r w:rsidRPr="003645A2">
              <w:t xml:space="preserve">If the identified risk or challenge does eventuate, it would have a significant effect on the Department’s ability to implement the </w:t>
            </w:r>
            <w:r w:rsidR="00BB0179">
              <w:t>RMP</w:t>
            </w:r>
            <w:r w:rsidRPr="003645A2">
              <w:t xml:space="preserve"> framework.</w:t>
            </w:r>
          </w:p>
        </w:tc>
      </w:tr>
    </w:tbl>
    <w:p w14:paraId="137ED77B" w14:textId="62AEE582" w:rsidR="003645A2" w:rsidRPr="003645A2" w:rsidRDefault="003645A2" w:rsidP="00712A1A">
      <w:pPr>
        <w:pStyle w:val="Caption"/>
      </w:pPr>
      <w:bookmarkStart w:id="438" w:name="_Ref78525225"/>
      <w:bookmarkStart w:id="439" w:name="_Toc78878034"/>
      <w:bookmarkStart w:id="440" w:name="_Toc79156710"/>
      <w:bookmarkStart w:id="441" w:name="_Toc120115111"/>
      <w:r w:rsidRPr="003645A2">
        <w:rPr>
          <w:b/>
          <w:bCs/>
        </w:rPr>
        <w:t xml:space="preserve">Table </w:t>
      </w:r>
      <w:r w:rsidRPr="003645A2">
        <w:rPr>
          <w:b/>
          <w:bCs/>
        </w:rPr>
        <w:fldChar w:fldCharType="begin"/>
      </w:r>
      <w:r w:rsidRPr="003645A2">
        <w:rPr>
          <w:b/>
          <w:bCs/>
        </w:rPr>
        <w:instrText xml:space="preserve"> SEQ Table \* ARABIC </w:instrText>
      </w:r>
      <w:r w:rsidRPr="003645A2">
        <w:rPr>
          <w:b/>
          <w:bCs/>
        </w:rPr>
        <w:fldChar w:fldCharType="separate"/>
      </w:r>
      <w:r w:rsidR="009708D4">
        <w:rPr>
          <w:b/>
          <w:bCs/>
          <w:noProof/>
        </w:rPr>
        <w:t>26</w:t>
      </w:r>
      <w:r w:rsidRPr="003645A2">
        <w:rPr>
          <w:b/>
          <w:bCs/>
        </w:rPr>
        <w:fldChar w:fldCharType="end"/>
      </w:r>
      <w:bookmarkEnd w:id="438"/>
      <w:r w:rsidRPr="003645A2">
        <w:t xml:space="preserve"> Challenges and risks to implementation</w:t>
      </w:r>
      <w:bookmarkEnd w:id="439"/>
      <w:bookmarkEnd w:id="440"/>
      <w:bookmarkEnd w:id="441"/>
    </w:p>
    <w:tbl>
      <w:tblPr>
        <w:tblStyle w:val="TableGrid34"/>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488"/>
        <w:gridCol w:w="1216"/>
        <w:gridCol w:w="1528"/>
        <w:gridCol w:w="4406"/>
      </w:tblGrid>
      <w:tr w:rsidR="00F655C4" w:rsidRPr="003645A2" w14:paraId="142AD123" w14:textId="77777777" w:rsidTr="00F655C4">
        <w:trPr>
          <w:trHeight w:val="231"/>
          <w:tblHeader/>
        </w:trPr>
        <w:tc>
          <w:tcPr>
            <w:tcW w:w="1324" w:type="pct"/>
            <w:shd w:val="clear" w:color="auto" w:fill="034EA2" w:themeFill="accent1"/>
          </w:tcPr>
          <w:p w14:paraId="041D4242" w14:textId="77777777" w:rsidR="003645A2" w:rsidRPr="007555DB" w:rsidRDefault="003645A2" w:rsidP="00F655C4">
            <w:pPr>
              <w:pStyle w:val="TableHeading"/>
            </w:pPr>
            <w:r w:rsidRPr="007555DB">
              <w:t>Challenge or risk</w:t>
            </w:r>
          </w:p>
        </w:tc>
        <w:tc>
          <w:tcPr>
            <w:tcW w:w="532" w:type="pct"/>
            <w:shd w:val="clear" w:color="auto" w:fill="034EA2" w:themeFill="accent1"/>
          </w:tcPr>
          <w:p w14:paraId="718396C5" w14:textId="77777777" w:rsidR="003645A2" w:rsidRPr="007555DB" w:rsidRDefault="003645A2" w:rsidP="00F655C4">
            <w:pPr>
              <w:pStyle w:val="TableHeading"/>
              <w:jc w:val="center"/>
            </w:pPr>
            <w:r w:rsidRPr="007555DB">
              <w:t>Likelihood</w:t>
            </w:r>
          </w:p>
        </w:tc>
        <w:tc>
          <w:tcPr>
            <w:tcW w:w="793" w:type="pct"/>
            <w:shd w:val="clear" w:color="auto" w:fill="034EA2" w:themeFill="accent1"/>
          </w:tcPr>
          <w:p w14:paraId="603BF7A1" w14:textId="77777777" w:rsidR="003645A2" w:rsidRPr="007555DB" w:rsidRDefault="003645A2" w:rsidP="00F655C4">
            <w:pPr>
              <w:pStyle w:val="TableHeading"/>
              <w:jc w:val="center"/>
            </w:pPr>
            <w:r w:rsidRPr="007555DB">
              <w:t>Consequence</w:t>
            </w:r>
          </w:p>
        </w:tc>
        <w:tc>
          <w:tcPr>
            <w:tcW w:w="2352" w:type="pct"/>
            <w:shd w:val="clear" w:color="auto" w:fill="034EA2" w:themeFill="accent1"/>
          </w:tcPr>
          <w:p w14:paraId="7797C343" w14:textId="77777777" w:rsidR="003645A2" w:rsidRPr="007555DB" w:rsidRDefault="003645A2" w:rsidP="00F655C4">
            <w:pPr>
              <w:pStyle w:val="TableHeading"/>
            </w:pPr>
            <w:r w:rsidRPr="007555DB">
              <w:t>Management</w:t>
            </w:r>
          </w:p>
        </w:tc>
      </w:tr>
      <w:tr w:rsidR="00F655C4" w:rsidRPr="003645A2" w14:paraId="100106E3" w14:textId="77777777" w:rsidTr="7EBB1CEE">
        <w:trPr>
          <w:trHeight w:val="3245"/>
        </w:trPr>
        <w:tc>
          <w:tcPr>
            <w:tcW w:w="1324" w:type="pct"/>
            <w:shd w:val="clear" w:color="auto" w:fill="FFFFFF" w:themeFill="background2"/>
          </w:tcPr>
          <w:p w14:paraId="7B7BABF4" w14:textId="308E4676" w:rsidR="003645A2" w:rsidRPr="003645A2" w:rsidRDefault="003645A2" w:rsidP="00F655C4">
            <w:pPr>
              <w:pStyle w:val="TableBody"/>
              <w:rPr>
                <w:b/>
                <w:bCs/>
                <w:color w:val="FFFFFF"/>
              </w:rPr>
            </w:pPr>
            <w:r w:rsidRPr="003645A2">
              <w:rPr>
                <w:rFonts w:ascii="Arial" w:eastAsia="Calibri" w:hAnsi="Arial" w:cs="Arial"/>
                <w:b/>
                <w:bCs/>
              </w:rPr>
              <w:t xml:space="preserve">Lack of industry awareness of rules: </w:t>
            </w:r>
            <w:r w:rsidR="00F655C4">
              <w:rPr>
                <w:rFonts w:ascii="Arial" w:eastAsia="Calibri" w:hAnsi="Arial" w:cs="Arial"/>
                <w:b/>
                <w:bCs/>
              </w:rPr>
              <w:t xml:space="preserve"> </w:t>
            </w:r>
            <w:r w:rsidRPr="003645A2">
              <w:t xml:space="preserve">Some industry stakeholders may be unaware of the </w:t>
            </w:r>
            <w:r w:rsidR="0016603A">
              <w:t>RMP rules</w:t>
            </w:r>
            <w:r w:rsidRPr="003645A2">
              <w:t xml:space="preserve">’ implementation, or the extent of their obligations under the rules. </w:t>
            </w:r>
          </w:p>
        </w:tc>
        <w:tc>
          <w:tcPr>
            <w:tcW w:w="532" w:type="pct"/>
            <w:shd w:val="clear" w:color="auto" w:fill="B4C6E7"/>
          </w:tcPr>
          <w:p w14:paraId="52809EE9" w14:textId="77777777" w:rsidR="003645A2" w:rsidRPr="003645A2" w:rsidRDefault="003645A2" w:rsidP="00F655C4">
            <w:pPr>
              <w:jc w:val="center"/>
              <w:rPr>
                <w:rFonts w:ascii="Arial" w:eastAsia="Calibri" w:hAnsi="Arial" w:cs="Arial"/>
                <w:b/>
                <w:bCs/>
                <w:color w:val="FFFFFF"/>
                <w:szCs w:val="20"/>
              </w:rPr>
            </w:pPr>
            <w:r w:rsidRPr="003645A2">
              <w:rPr>
                <w:rFonts w:ascii="Arial" w:eastAsia="Calibri" w:hAnsi="Arial" w:cs="Arial"/>
                <w:b/>
                <w:bCs/>
                <w:szCs w:val="20"/>
              </w:rPr>
              <w:t>Low</w:t>
            </w:r>
          </w:p>
        </w:tc>
        <w:tc>
          <w:tcPr>
            <w:tcW w:w="793" w:type="pct"/>
            <w:shd w:val="clear" w:color="auto" w:fill="F4B083"/>
          </w:tcPr>
          <w:p w14:paraId="2B5D2072" w14:textId="77777777" w:rsidR="003645A2" w:rsidRPr="003645A2" w:rsidRDefault="003645A2" w:rsidP="00F655C4">
            <w:pPr>
              <w:jc w:val="center"/>
              <w:rPr>
                <w:rFonts w:ascii="Arial" w:eastAsia="Calibri" w:hAnsi="Arial" w:cs="Arial"/>
                <w:b/>
                <w:bCs/>
                <w:color w:val="FFFFFF"/>
                <w:szCs w:val="20"/>
              </w:rPr>
            </w:pPr>
            <w:r w:rsidRPr="003645A2">
              <w:rPr>
                <w:rFonts w:ascii="Arial" w:eastAsia="Calibri" w:hAnsi="Arial" w:cs="Arial"/>
                <w:b/>
                <w:bCs/>
                <w:szCs w:val="20"/>
              </w:rPr>
              <w:t>Severe</w:t>
            </w:r>
          </w:p>
        </w:tc>
        <w:tc>
          <w:tcPr>
            <w:tcW w:w="2352" w:type="pct"/>
            <w:shd w:val="clear" w:color="auto" w:fill="FFFFFF" w:themeFill="background2"/>
          </w:tcPr>
          <w:p w14:paraId="2EB27A0D" w14:textId="7FAC40C8" w:rsidR="003645A2" w:rsidRPr="003645A2" w:rsidRDefault="003645A2" w:rsidP="00F655C4">
            <w:pPr>
              <w:pStyle w:val="TableBody"/>
              <w:rPr>
                <w:b/>
                <w:bCs/>
                <w:color w:val="FFFFFF"/>
              </w:rPr>
            </w:pPr>
            <w:r w:rsidRPr="003645A2">
              <w:t xml:space="preserve">The Department has led consultation with owners and operators of </w:t>
            </w:r>
            <w:r w:rsidR="008056F4">
              <w:t>critical infrastructure assets</w:t>
            </w:r>
            <w:r w:rsidRPr="003645A2">
              <w:t xml:space="preserve">, as part of the </w:t>
            </w:r>
            <w:r w:rsidR="00EA321B">
              <w:t>consultation</w:t>
            </w:r>
            <w:r w:rsidRPr="003645A2">
              <w:t xml:space="preserve"> process and to provide context on the impetus behind the proposed reforms. This consultation included town hall forums, a series of workshops, bilateral meetings, and open feedback forums. The Department also engaged with relevant peak bodies to notify their membership bases of the reforms. Consequently, it appears unlikely that any affected organisations would be unaware of the upcoming introduction of </w:t>
            </w:r>
            <w:r w:rsidR="0016603A">
              <w:t>RMP rules</w:t>
            </w:r>
            <w:r w:rsidRPr="003645A2">
              <w:t xml:space="preserve">. </w:t>
            </w:r>
            <w:r w:rsidR="001C231C">
              <w:t xml:space="preserve">The 45-day </w:t>
            </w:r>
            <w:r w:rsidRPr="003645A2">
              <w:t>consultation period provide</w:t>
            </w:r>
            <w:r w:rsidR="001C231C">
              <w:t>d</w:t>
            </w:r>
            <w:r w:rsidRPr="003645A2">
              <w:t xml:space="preserve"> a further opportunity to build industry’s awareness of, and receive feedback on, the rules. </w:t>
            </w:r>
          </w:p>
        </w:tc>
      </w:tr>
      <w:tr w:rsidR="00F655C4" w:rsidRPr="003645A2" w14:paraId="3285F63D" w14:textId="77777777" w:rsidTr="7EBB1CEE">
        <w:trPr>
          <w:trHeight w:val="50"/>
        </w:trPr>
        <w:tc>
          <w:tcPr>
            <w:tcW w:w="1324" w:type="pct"/>
            <w:shd w:val="clear" w:color="auto" w:fill="FFFFFF" w:themeFill="background2"/>
          </w:tcPr>
          <w:p w14:paraId="38CB267D" w14:textId="5D6DFEBB" w:rsidR="003645A2" w:rsidRPr="003645A2" w:rsidRDefault="003645A2" w:rsidP="00F655C4">
            <w:pPr>
              <w:pStyle w:val="TableBody"/>
              <w:rPr>
                <w:b/>
                <w:bCs/>
              </w:rPr>
            </w:pPr>
            <w:r w:rsidRPr="003645A2">
              <w:rPr>
                <w:rFonts w:ascii="Arial" w:eastAsia="Calibri" w:hAnsi="Arial" w:cs="Arial"/>
                <w:b/>
                <w:bCs/>
              </w:rPr>
              <w:t>Lack of industry understanding as to Obligations:</w:t>
            </w:r>
            <w:r w:rsidR="00F655C4">
              <w:rPr>
                <w:rFonts w:ascii="Arial" w:eastAsia="Calibri" w:hAnsi="Arial" w:cs="Arial"/>
                <w:b/>
                <w:bCs/>
              </w:rPr>
              <w:t xml:space="preserve"> </w:t>
            </w:r>
            <w:r w:rsidRPr="003645A2">
              <w:t xml:space="preserve">During consultation, some industry stakeholders indicated they lacked understanding of the rules’ meaning and the extent of their obligations under the </w:t>
            </w:r>
            <w:r w:rsidR="00BB0179">
              <w:t>RMP</w:t>
            </w:r>
            <w:r w:rsidRPr="003645A2">
              <w:t>.</w:t>
            </w:r>
          </w:p>
        </w:tc>
        <w:tc>
          <w:tcPr>
            <w:tcW w:w="532" w:type="pct"/>
            <w:shd w:val="clear" w:color="auto" w:fill="8EAADB"/>
          </w:tcPr>
          <w:p w14:paraId="64905456" w14:textId="77777777" w:rsidR="003645A2" w:rsidRPr="003645A2" w:rsidRDefault="003645A2" w:rsidP="00F655C4">
            <w:pPr>
              <w:jc w:val="center"/>
              <w:rPr>
                <w:rFonts w:ascii="Arial" w:eastAsia="Calibri" w:hAnsi="Arial" w:cs="Arial"/>
                <w:b/>
                <w:bCs/>
                <w:szCs w:val="20"/>
              </w:rPr>
            </w:pPr>
            <w:r w:rsidRPr="003645A2">
              <w:rPr>
                <w:rFonts w:ascii="Arial" w:eastAsia="Calibri" w:hAnsi="Arial" w:cs="Arial"/>
                <w:b/>
                <w:bCs/>
                <w:szCs w:val="20"/>
              </w:rPr>
              <w:t>Medium</w:t>
            </w:r>
          </w:p>
        </w:tc>
        <w:tc>
          <w:tcPr>
            <w:tcW w:w="793" w:type="pct"/>
            <w:shd w:val="clear" w:color="auto" w:fill="FFE599"/>
          </w:tcPr>
          <w:p w14:paraId="100059A9" w14:textId="77777777" w:rsidR="003645A2" w:rsidRPr="003645A2" w:rsidRDefault="003645A2" w:rsidP="00F655C4">
            <w:pPr>
              <w:jc w:val="center"/>
              <w:rPr>
                <w:rFonts w:ascii="Arial" w:eastAsia="Calibri" w:hAnsi="Arial" w:cs="Arial"/>
                <w:b/>
                <w:bCs/>
                <w:szCs w:val="20"/>
              </w:rPr>
            </w:pPr>
            <w:r w:rsidRPr="003645A2">
              <w:rPr>
                <w:rFonts w:ascii="Arial" w:eastAsia="Calibri" w:hAnsi="Arial" w:cs="Arial"/>
                <w:b/>
                <w:bCs/>
                <w:szCs w:val="20"/>
              </w:rPr>
              <w:t>Moderate</w:t>
            </w:r>
          </w:p>
        </w:tc>
        <w:tc>
          <w:tcPr>
            <w:tcW w:w="2352" w:type="pct"/>
            <w:shd w:val="clear" w:color="auto" w:fill="FFFFFF" w:themeFill="background2"/>
          </w:tcPr>
          <w:p w14:paraId="787C69E1" w14:textId="6BB59978" w:rsidR="003645A2" w:rsidRPr="003645A2" w:rsidRDefault="003645A2" w:rsidP="00F655C4">
            <w:pPr>
              <w:pStyle w:val="TableBody"/>
            </w:pPr>
            <w:r w:rsidRPr="003645A2">
              <w:t xml:space="preserve">Consultation with industry aimed to provide clarity on the rules and activities required of stakeholders to comply with the </w:t>
            </w:r>
            <w:r w:rsidR="00BB0179">
              <w:t>RMP</w:t>
            </w:r>
            <w:r w:rsidRPr="003645A2">
              <w:t xml:space="preserve"> framework. Industry has had ongoing opportunities to provide additional feedback and ask questions. Further, following the finalisation of the rules, in the event of the rules’ implementation industry would:</w:t>
            </w:r>
          </w:p>
          <w:p w14:paraId="331CAB98" w14:textId="16B82DF5" w:rsidR="003645A2" w:rsidRPr="003645A2" w:rsidRDefault="003645A2" w:rsidP="00F655C4">
            <w:pPr>
              <w:pStyle w:val="TableBullet"/>
              <w:rPr>
                <w:rFonts w:eastAsia="Calibri"/>
              </w:rPr>
            </w:pPr>
            <w:r w:rsidRPr="003645A2">
              <w:rPr>
                <w:rFonts w:eastAsia="Calibri"/>
              </w:rPr>
              <w:t>Be able to phone or email the Department on an as</w:t>
            </w:r>
            <w:r w:rsidR="00154783">
              <w:rPr>
                <w:rFonts w:eastAsia="Calibri"/>
              </w:rPr>
              <w:t>-</w:t>
            </w:r>
            <w:r w:rsidRPr="003645A2">
              <w:rPr>
                <w:rFonts w:eastAsia="Calibri"/>
              </w:rPr>
              <w:t>needed basis;</w:t>
            </w:r>
          </w:p>
          <w:p w14:paraId="6DEFB4BE" w14:textId="77777777" w:rsidR="003645A2" w:rsidRPr="003645A2" w:rsidRDefault="003645A2" w:rsidP="00F655C4">
            <w:pPr>
              <w:pStyle w:val="TableBullet"/>
              <w:rPr>
                <w:rFonts w:eastAsia="Calibri"/>
              </w:rPr>
            </w:pPr>
            <w:r w:rsidRPr="003645A2">
              <w:rPr>
                <w:rFonts w:eastAsia="Calibri"/>
              </w:rPr>
              <w:t xml:space="preserve">Have access to guidance material published by the Department, to support industry in understanding their obligations under the </w:t>
            </w:r>
            <w:r w:rsidR="00BB0179">
              <w:rPr>
                <w:rFonts w:eastAsia="Calibri"/>
              </w:rPr>
              <w:t>RMP</w:t>
            </w:r>
            <w:r w:rsidRPr="003645A2">
              <w:rPr>
                <w:rFonts w:eastAsia="Calibri"/>
              </w:rPr>
              <w:t xml:space="preserve">; and </w:t>
            </w:r>
          </w:p>
          <w:p w14:paraId="1FF5C4A7" w14:textId="32C7DD2E" w:rsidR="003645A2" w:rsidRPr="003645A2" w:rsidRDefault="003645A2" w:rsidP="00F655C4">
            <w:pPr>
              <w:pStyle w:val="TableBullet"/>
              <w:rPr>
                <w:rFonts w:eastAsia="Calibri"/>
              </w:rPr>
            </w:pPr>
            <w:r w:rsidRPr="003645A2">
              <w:rPr>
                <w:rFonts w:eastAsia="Calibri"/>
              </w:rPr>
              <w:lastRenderedPageBreak/>
              <w:t xml:space="preserve">Participate in a transitional period where industry would be encouraged to work towards meeting their </w:t>
            </w:r>
            <w:r w:rsidR="00BB0179">
              <w:rPr>
                <w:rFonts w:eastAsia="Calibri"/>
              </w:rPr>
              <w:t>RMP</w:t>
            </w:r>
            <w:r w:rsidRPr="003645A2">
              <w:rPr>
                <w:rFonts w:eastAsia="Calibri"/>
              </w:rPr>
              <w:t xml:space="preserve"> obligations without fear of consequences for non-compliance </w:t>
            </w:r>
            <w:r w:rsidR="00154783">
              <w:rPr>
                <w:rFonts w:eastAsia="Calibri"/>
              </w:rPr>
              <w:t>(a grace period)</w:t>
            </w:r>
            <w:r w:rsidRPr="003645A2">
              <w:rPr>
                <w:rFonts w:eastAsia="Calibri"/>
              </w:rPr>
              <w:t xml:space="preserve">. </w:t>
            </w:r>
          </w:p>
        </w:tc>
      </w:tr>
      <w:tr w:rsidR="00F655C4" w:rsidRPr="003645A2" w14:paraId="0E5F6A8B" w14:textId="77777777" w:rsidTr="7EBB1CEE">
        <w:trPr>
          <w:trHeight w:val="2780"/>
        </w:trPr>
        <w:tc>
          <w:tcPr>
            <w:tcW w:w="1324" w:type="pct"/>
            <w:shd w:val="clear" w:color="auto" w:fill="FFFFFF" w:themeFill="background2"/>
          </w:tcPr>
          <w:p w14:paraId="4E1D851E" w14:textId="6F0BEDDF" w:rsidR="003645A2" w:rsidRPr="003645A2" w:rsidRDefault="003645A2" w:rsidP="00F655C4">
            <w:pPr>
              <w:pStyle w:val="TableBody"/>
            </w:pPr>
            <w:r w:rsidRPr="003645A2">
              <w:rPr>
                <w:rFonts w:ascii="Arial" w:eastAsia="Calibri" w:hAnsi="Arial" w:cs="Arial"/>
                <w:b/>
                <w:bCs/>
              </w:rPr>
              <w:lastRenderedPageBreak/>
              <w:t xml:space="preserve">Limited uptake: </w:t>
            </w:r>
            <w:r w:rsidRPr="003645A2">
              <w:t xml:space="preserve">Where industry is unable to recognise the net-benefit associated with </w:t>
            </w:r>
            <w:r w:rsidR="0016603A">
              <w:t>RMP rules</w:t>
            </w:r>
            <w:r w:rsidRPr="003645A2">
              <w:t xml:space="preserve"> (as it manifests as a whole-of-economy benefit, rather than a return on individual organisations’ investments), industry uptake and cooperation may be affected. </w:t>
            </w:r>
          </w:p>
        </w:tc>
        <w:tc>
          <w:tcPr>
            <w:tcW w:w="532" w:type="pct"/>
            <w:shd w:val="clear" w:color="auto" w:fill="D9E2F3"/>
          </w:tcPr>
          <w:p w14:paraId="5D88A038" w14:textId="77777777" w:rsidR="003645A2" w:rsidRPr="003645A2" w:rsidRDefault="003645A2" w:rsidP="00F655C4">
            <w:pPr>
              <w:jc w:val="center"/>
              <w:rPr>
                <w:rFonts w:ascii="Arial" w:eastAsia="Calibri" w:hAnsi="Arial" w:cs="Arial"/>
                <w:b/>
                <w:bCs/>
                <w:szCs w:val="20"/>
              </w:rPr>
            </w:pPr>
            <w:r w:rsidRPr="003645A2">
              <w:rPr>
                <w:rFonts w:ascii="Arial" w:eastAsia="Calibri" w:hAnsi="Arial" w:cs="Arial"/>
                <w:b/>
                <w:bCs/>
                <w:szCs w:val="20"/>
              </w:rPr>
              <w:t>Low</w:t>
            </w:r>
          </w:p>
        </w:tc>
        <w:tc>
          <w:tcPr>
            <w:tcW w:w="793" w:type="pct"/>
            <w:shd w:val="clear" w:color="auto" w:fill="F4B083"/>
          </w:tcPr>
          <w:p w14:paraId="5D7779C1" w14:textId="77777777" w:rsidR="003645A2" w:rsidRPr="003645A2" w:rsidRDefault="003645A2" w:rsidP="00F655C4">
            <w:pPr>
              <w:jc w:val="center"/>
              <w:rPr>
                <w:rFonts w:ascii="Arial" w:eastAsia="Calibri" w:hAnsi="Arial" w:cs="Arial"/>
                <w:b/>
                <w:bCs/>
                <w:szCs w:val="20"/>
              </w:rPr>
            </w:pPr>
            <w:r w:rsidRPr="003645A2">
              <w:rPr>
                <w:rFonts w:ascii="Arial" w:eastAsia="Calibri" w:hAnsi="Arial" w:cs="Arial"/>
                <w:b/>
                <w:bCs/>
                <w:szCs w:val="20"/>
              </w:rPr>
              <w:t>Severe</w:t>
            </w:r>
          </w:p>
        </w:tc>
        <w:tc>
          <w:tcPr>
            <w:tcW w:w="2352" w:type="pct"/>
            <w:shd w:val="clear" w:color="auto" w:fill="FFFFFF" w:themeFill="background2"/>
          </w:tcPr>
          <w:p w14:paraId="4B86D327" w14:textId="326C9A8D" w:rsidR="003645A2" w:rsidRPr="003645A2" w:rsidRDefault="00434C93" w:rsidP="00F655C4">
            <w:pPr>
              <w:pStyle w:val="TableBody"/>
            </w:pPr>
            <w:r>
              <w:t>C</w:t>
            </w:r>
            <w:r w:rsidR="003645A2" w:rsidRPr="003645A2">
              <w:t xml:space="preserve">onsultation for </w:t>
            </w:r>
            <w:r w:rsidR="0016603A">
              <w:t>RMP rules</w:t>
            </w:r>
            <w:r w:rsidR="003645A2" w:rsidRPr="003645A2">
              <w:t xml:space="preserve"> </w:t>
            </w:r>
            <w:r w:rsidR="00EA321B">
              <w:t xml:space="preserve">was a </w:t>
            </w:r>
            <w:r w:rsidR="003645A2" w:rsidRPr="003645A2">
              <w:t>key initiative implemented to combat the potential for limited industry uptake and high implementation and compliance costs for industry.</w:t>
            </w:r>
            <w:r w:rsidR="003645A2" w:rsidRPr="003645A2">
              <w:rPr>
                <w:b/>
                <w:bCs/>
                <w:color w:val="FFFFFF"/>
              </w:rPr>
              <w:t xml:space="preserve"> </w:t>
            </w:r>
            <w:r w:rsidR="003645A2" w:rsidRPr="003645A2">
              <w:t>The Department has engaged widely to ensure industry support for the proposed regulatory changes to guide responsible entities towards meeting their new obligations. The inclusion of a ‘</w:t>
            </w:r>
            <w:r w:rsidR="009A6B78">
              <w:t>grace</w:t>
            </w:r>
            <w:r w:rsidR="003645A2" w:rsidRPr="003645A2">
              <w:t xml:space="preserve"> period’ in the Department’s implementation plan would also support industry cooperation, sustained through ongoing, heightened engagement between Government and industry. </w:t>
            </w:r>
          </w:p>
        </w:tc>
      </w:tr>
      <w:tr w:rsidR="00F655C4" w:rsidRPr="003645A2" w14:paraId="4E1A65DA" w14:textId="77777777" w:rsidTr="7EBB1CEE">
        <w:trPr>
          <w:trHeight w:val="3245"/>
        </w:trPr>
        <w:tc>
          <w:tcPr>
            <w:tcW w:w="1324" w:type="pct"/>
            <w:shd w:val="clear" w:color="auto" w:fill="FFFFFF" w:themeFill="background2"/>
          </w:tcPr>
          <w:p w14:paraId="7D871522" w14:textId="77777777" w:rsidR="003645A2" w:rsidRPr="003645A2" w:rsidRDefault="003645A2" w:rsidP="00F655C4">
            <w:pPr>
              <w:pStyle w:val="TableBody"/>
              <w:rPr>
                <w:b/>
                <w:bCs/>
                <w:color w:val="C00000"/>
              </w:rPr>
            </w:pPr>
            <w:r w:rsidRPr="003645A2">
              <w:rPr>
                <w:b/>
                <w:bCs/>
              </w:rPr>
              <w:t xml:space="preserve">Government capability: </w:t>
            </w:r>
            <w:r w:rsidRPr="003645A2">
              <w:t xml:space="preserve">The Department requires sufficient funding and staffing resources in order to efficiently implement the </w:t>
            </w:r>
            <w:r w:rsidR="0016603A">
              <w:t>RMP rules</w:t>
            </w:r>
            <w:r w:rsidRPr="003645A2">
              <w:t xml:space="preserve"> and operate effectively as the regulator. Insufficient funding or understaffing could impact on the effectiveness of the proposed reforms.</w:t>
            </w:r>
          </w:p>
        </w:tc>
        <w:tc>
          <w:tcPr>
            <w:tcW w:w="532" w:type="pct"/>
            <w:shd w:val="clear" w:color="auto" w:fill="8EAADB"/>
          </w:tcPr>
          <w:p w14:paraId="4242B3DC" w14:textId="77777777" w:rsidR="003645A2" w:rsidRPr="003645A2" w:rsidRDefault="003645A2" w:rsidP="00F655C4">
            <w:pPr>
              <w:jc w:val="center"/>
              <w:rPr>
                <w:rFonts w:ascii="Arial" w:eastAsia="Calibri" w:hAnsi="Arial" w:cs="Arial"/>
                <w:b/>
                <w:bCs/>
                <w:color w:val="FFFFFF"/>
                <w:szCs w:val="20"/>
              </w:rPr>
            </w:pPr>
            <w:r w:rsidRPr="003645A2">
              <w:rPr>
                <w:rFonts w:ascii="Arial" w:eastAsia="Calibri" w:hAnsi="Arial" w:cs="Arial"/>
                <w:b/>
                <w:bCs/>
                <w:szCs w:val="20"/>
              </w:rPr>
              <w:t>Medium</w:t>
            </w:r>
          </w:p>
        </w:tc>
        <w:tc>
          <w:tcPr>
            <w:tcW w:w="793" w:type="pct"/>
            <w:shd w:val="clear" w:color="auto" w:fill="F4B083"/>
          </w:tcPr>
          <w:p w14:paraId="13FAD82A" w14:textId="77777777" w:rsidR="003645A2" w:rsidRPr="003645A2" w:rsidRDefault="003645A2" w:rsidP="00F655C4">
            <w:pPr>
              <w:jc w:val="center"/>
              <w:rPr>
                <w:rFonts w:ascii="Arial" w:eastAsia="Calibri" w:hAnsi="Arial" w:cs="Arial"/>
                <w:b/>
                <w:bCs/>
                <w:color w:val="FFFFFF"/>
                <w:szCs w:val="20"/>
              </w:rPr>
            </w:pPr>
            <w:r w:rsidRPr="003645A2">
              <w:rPr>
                <w:rFonts w:ascii="Arial" w:eastAsia="Calibri" w:hAnsi="Arial" w:cs="Arial"/>
                <w:b/>
                <w:bCs/>
                <w:szCs w:val="20"/>
              </w:rPr>
              <w:t>Severe</w:t>
            </w:r>
          </w:p>
        </w:tc>
        <w:tc>
          <w:tcPr>
            <w:tcW w:w="2352" w:type="pct"/>
            <w:shd w:val="clear" w:color="auto" w:fill="FFFFFF" w:themeFill="background2"/>
          </w:tcPr>
          <w:p w14:paraId="1943838D" w14:textId="77777777" w:rsidR="003645A2" w:rsidRPr="003645A2" w:rsidRDefault="003645A2" w:rsidP="00F655C4">
            <w:pPr>
              <w:pStyle w:val="TableBody"/>
              <w:rPr>
                <w:b/>
                <w:bCs/>
                <w:color w:val="FFFFFF"/>
              </w:rPr>
            </w:pPr>
            <w:r w:rsidRPr="003645A2">
              <w:t xml:space="preserve">The Department would undertake a significant recruitment campaign, followed by comprehensive training, to ensure officials engaging with industry are knowledgeable, highly skilled at identifying vulnerabilities in </w:t>
            </w:r>
            <w:r w:rsidR="008056F4">
              <w:t>critical infrastructure assets</w:t>
            </w:r>
            <w:r w:rsidR="00154783">
              <w:t>,</w:t>
            </w:r>
            <w:r w:rsidRPr="003645A2">
              <w:t xml:space="preserve"> and are able to support the Department’s regulatory role. The staffing and funding requirements needed to effectively implement </w:t>
            </w:r>
            <w:r w:rsidR="00BB0179">
              <w:t>RMP</w:t>
            </w:r>
            <w:r w:rsidRPr="003645A2">
              <w:t xml:space="preserve"> obligations and subsequent rules would be provided to Government for consideration as soon as possible. </w:t>
            </w:r>
          </w:p>
        </w:tc>
      </w:tr>
      <w:tr w:rsidR="00F655C4" w:rsidRPr="003645A2" w14:paraId="2A6ABB05" w14:textId="77777777" w:rsidTr="7EBB1CEE">
        <w:trPr>
          <w:trHeight w:val="1853"/>
        </w:trPr>
        <w:tc>
          <w:tcPr>
            <w:tcW w:w="1324" w:type="pct"/>
            <w:shd w:val="clear" w:color="auto" w:fill="FFFFFF" w:themeFill="background2"/>
          </w:tcPr>
          <w:p w14:paraId="65C24DC9" w14:textId="77777777" w:rsidR="003645A2" w:rsidRPr="003645A2" w:rsidRDefault="003645A2" w:rsidP="00F655C4">
            <w:pPr>
              <w:pStyle w:val="TableBody"/>
            </w:pPr>
            <w:r w:rsidRPr="003645A2">
              <w:rPr>
                <w:b/>
              </w:rPr>
              <w:t xml:space="preserve">Implementation costs: </w:t>
            </w:r>
            <w:r w:rsidRPr="003645A2">
              <w:t xml:space="preserve">There is a risk that the expected costs of implementation are either over or underestimated by industry and within this RIS. </w:t>
            </w:r>
          </w:p>
        </w:tc>
        <w:tc>
          <w:tcPr>
            <w:tcW w:w="532" w:type="pct"/>
            <w:shd w:val="clear" w:color="auto" w:fill="8EAADB"/>
          </w:tcPr>
          <w:p w14:paraId="6A2EFFF1" w14:textId="77777777" w:rsidR="003645A2" w:rsidRPr="003645A2" w:rsidRDefault="003645A2" w:rsidP="00F655C4">
            <w:pPr>
              <w:jc w:val="center"/>
              <w:rPr>
                <w:rFonts w:ascii="Arial" w:eastAsia="Calibri" w:hAnsi="Arial" w:cs="Arial"/>
                <w:b/>
                <w:bCs/>
                <w:szCs w:val="20"/>
              </w:rPr>
            </w:pPr>
            <w:r w:rsidRPr="003645A2">
              <w:rPr>
                <w:rFonts w:ascii="Arial" w:eastAsia="Calibri" w:hAnsi="Arial" w:cs="Arial"/>
                <w:b/>
                <w:bCs/>
                <w:szCs w:val="20"/>
              </w:rPr>
              <w:t>Medium</w:t>
            </w:r>
          </w:p>
        </w:tc>
        <w:tc>
          <w:tcPr>
            <w:tcW w:w="793" w:type="pct"/>
            <w:shd w:val="clear" w:color="auto" w:fill="FFE599"/>
          </w:tcPr>
          <w:p w14:paraId="281DBE48" w14:textId="77777777" w:rsidR="003645A2" w:rsidRPr="003645A2" w:rsidRDefault="003645A2" w:rsidP="00F655C4">
            <w:pPr>
              <w:jc w:val="center"/>
              <w:rPr>
                <w:rFonts w:ascii="Arial" w:eastAsia="Calibri" w:hAnsi="Arial" w:cs="Arial"/>
                <w:b/>
                <w:bCs/>
                <w:szCs w:val="20"/>
              </w:rPr>
            </w:pPr>
            <w:r w:rsidRPr="003645A2">
              <w:rPr>
                <w:rFonts w:ascii="Arial" w:eastAsia="Calibri" w:hAnsi="Arial" w:cs="Arial"/>
                <w:b/>
                <w:bCs/>
                <w:szCs w:val="20"/>
              </w:rPr>
              <w:t>Moderate</w:t>
            </w:r>
          </w:p>
        </w:tc>
        <w:tc>
          <w:tcPr>
            <w:tcW w:w="2352" w:type="pct"/>
            <w:shd w:val="clear" w:color="auto" w:fill="FFFFFF" w:themeFill="background2"/>
          </w:tcPr>
          <w:p w14:paraId="1819A20E" w14:textId="77777777" w:rsidR="003645A2" w:rsidRPr="003645A2" w:rsidRDefault="003645A2" w:rsidP="00F655C4">
            <w:pPr>
              <w:pStyle w:val="TableBody"/>
            </w:pPr>
            <w:r w:rsidRPr="003645A2">
              <w:t>Requesting that industry include a compliance cost range when providing costing data (capturing both the expected cost and highest possible cost), has mitigated the risk that costs to industry could be higher than anticipated.</w:t>
            </w:r>
          </w:p>
        </w:tc>
      </w:tr>
    </w:tbl>
    <w:p w14:paraId="0D5D0FF8" w14:textId="3A3DA9CA" w:rsidR="00F655C4" w:rsidRDefault="00F655C4" w:rsidP="00F655C4">
      <w:pPr>
        <w:pStyle w:val="BodyText"/>
      </w:pPr>
      <w:bookmarkStart w:id="442" w:name="_Toc74914005"/>
      <w:bookmarkStart w:id="443" w:name="_Toc79149666"/>
    </w:p>
    <w:p w14:paraId="6AA784D2" w14:textId="77777777" w:rsidR="00F655C4" w:rsidRDefault="00F655C4">
      <w:pPr>
        <w:spacing w:before="80" w:after="80"/>
        <w:rPr>
          <w:rFonts w:cstheme="majorHAnsi"/>
          <w:sz w:val="22"/>
          <w:szCs w:val="28"/>
        </w:rPr>
      </w:pPr>
      <w:r>
        <w:br w:type="page"/>
      </w:r>
    </w:p>
    <w:p w14:paraId="5B9570AD" w14:textId="18B25B16" w:rsidR="003645A2" w:rsidRPr="003645A2" w:rsidRDefault="003645A2" w:rsidP="004C0EFC">
      <w:pPr>
        <w:pStyle w:val="Heading2numbered"/>
      </w:pPr>
      <w:bookmarkStart w:id="444" w:name="_Toc121397406"/>
      <w:r w:rsidRPr="003645A2">
        <w:lastRenderedPageBreak/>
        <w:t>Monitoring and evaluation plan</w:t>
      </w:r>
      <w:bookmarkEnd w:id="442"/>
      <w:bookmarkEnd w:id="443"/>
      <w:bookmarkEnd w:id="444"/>
    </w:p>
    <w:p w14:paraId="0F109017" w14:textId="1EB8B769" w:rsidR="003645A2" w:rsidRPr="003645A2" w:rsidRDefault="003645A2" w:rsidP="00712A1A">
      <w:pPr>
        <w:pStyle w:val="BodyText"/>
      </w:pPr>
      <w:r w:rsidRPr="003645A2">
        <w:t xml:space="preserve">The effectiveness of the </w:t>
      </w:r>
      <w:r w:rsidR="00BB0179">
        <w:t>RMP</w:t>
      </w:r>
      <w:r w:rsidRPr="003645A2">
        <w:t xml:space="preserve"> obligations would be assessed on an ongoing basis, including through the annual reports provided by responsible entities, Senate Estimate processes, and </w:t>
      </w:r>
      <w:r w:rsidRPr="009739FE">
        <w:rPr>
          <w:i/>
        </w:rPr>
        <w:t>ad</w:t>
      </w:r>
      <w:r w:rsidR="00B95B19">
        <w:t>-</w:t>
      </w:r>
      <w:r w:rsidRPr="009739FE">
        <w:rPr>
          <w:i/>
        </w:rPr>
        <w:t>hoc</w:t>
      </w:r>
      <w:r w:rsidRPr="003645A2">
        <w:t xml:space="preserve"> feedback from industry and Government stakeholders. Mechanisms for review of the </w:t>
      </w:r>
      <w:r w:rsidR="00BB0179">
        <w:t>RMP</w:t>
      </w:r>
      <w:r w:rsidRPr="003645A2">
        <w:t xml:space="preserve"> framework are outlined in </w:t>
      </w:r>
      <w:r w:rsidR="00825201" w:rsidRPr="00825201">
        <w:rPr>
          <w:color w:val="000000" w:themeColor="text1"/>
        </w:rPr>
        <w:fldChar w:fldCharType="begin"/>
      </w:r>
      <w:r w:rsidR="00825201" w:rsidRPr="00825201">
        <w:rPr>
          <w:color w:val="000000" w:themeColor="text1"/>
        </w:rPr>
        <w:instrText xml:space="preserve"> REF _Ref92872065 \h  \* MERGEFORMAT </w:instrText>
      </w:r>
      <w:r w:rsidR="00825201" w:rsidRPr="00825201">
        <w:rPr>
          <w:color w:val="000000" w:themeColor="text1"/>
        </w:rPr>
      </w:r>
      <w:r w:rsidR="00825201" w:rsidRPr="00825201">
        <w:rPr>
          <w:color w:val="000000" w:themeColor="text1"/>
        </w:rPr>
        <w:fldChar w:fldCharType="separate"/>
      </w:r>
      <w:r w:rsidR="009708D4" w:rsidRPr="009708D4">
        <w:rPr>
          <w:color w:val="000000" w:themeColor="text1"/>
        </w:rPr>
        <w:t xml:space="preserve">Figure </w:t>
      </w:r>
      <w:r w:rsidR="009708D4" w:rsidRPr="009708D4">
        <w:rPr>
          <w:noProof/>
          <w:color w:val="000000" w:themeColor="text1"/>
        </w:rPr>
        <w:t>7</w:t>
      </w:r>
      <w:r w:rsidR="00825201" w:rsidRPr="00825201">
        <w:rPr>
          <w:color w:val="000000" w:themeColor="text1"/>
        </w:rPr>
        <w:fldChar w:fldCharType="end"/>
      </w:r>
      <w:r w:rsidRPr="00825201">
        <w:rPr>
          <w:color w:val="000000" w:themeColor="text1"/>
          <w:sz w:val="24"/>
          <w:szCs w:val="24"/>
        </w:rPr>
        <w:t xml:space="preserve"> </w:t>
      </w:r>
      <w:r w:rsidRPr="003645A2">
        <w:t>below.</w:t>
      </w:r>
    </w:p>
    <w:p w14:paraId="097483C6" w14:textId="625D04A6" w:rsidR="003645A2" w:rsidRPr="00825201" w:rsidRDefault="003645A2" w:rsidP="00712A1A">
      <w:pPr>
        <w:pStyle w:val="Caption"/>
      </w:pPr>
      <w:bookmarkStart w:id="445" w:name="_Ref92872065"/>
      <w:bookmarkStart w:id="446" w:name="_Toc78525185"/>
      <w:bookmarkStart w:id="447" w:name="_Toc94519468"/>
      <w:r w:rsidRPr="003645A2">
        <w:rPr>
          <w:b/>
          <w:bCs/>
        </w:rPr>
        <w:t xml:space="preserve">Figure </w:t>
      </w:r>
      <w:r w:rsidRPr="003645A2">
        <w:rPr>
          <w:b/>
          <w:bCs/>
        </w:rPr>
        <w:fldChar w:fldCharType="begin"/>
      </w:r>
      <w:r w:rsidRPr="003645A2">
        <w:rPr>
          <w:b/>
          <w:bCs/>
        </w:rPr>
        <w:instrText xml:space="preserve"> SEQ Figure \* ARABIC </w:instrText>
      </w:r>
      <w:r w:rsidRPr="003645A2">
        <w:rPr>
          <w:b/>
          <w:bCs/>
        </w:rPr>
        <w:fldChar w:fldCharType="separate"/>
      </w:r>
      <w:r w:rsidR="009708D4">
        <w:rPr>
          <w:b/>
          <w:bCs/>
          <w:noProof/>
        </w:rPr>
        <w:t>7</w:t>
      </w:r>
      <w:r w:rsidRPr="003645A2">
        <w:rPr>
          <w:b/>
          <w:bCs/>
        </w:rPr>
        <w:fldChar w:fldCharType="end"/>
      </w:r>
      <w:bookmarkEnd w:id="445"/>
      <w:r w:rsidR="00522C67">
        <w:rPr>
          <w:b/>
          <w:bCs/>
        </w:rPr>
        <w:t>:</w:t>
      </w:r>
      <w:r w:rsidRPr="003645A2">
        <w:t xml:space="preserve"> Monitoring and review mechanisms</w:t>
      </w:r>
      <w:bookmarkEnd w:id="446"/>
      <w:bookmarkEnd w:id="447"/>
    </w:p>
    <w:p w14:paraId="55EFE5FF" w14:textId="20EF5967" w:rsidR="003645A2" w:rsidRPr="00712A1A" w:rsidRDefault="001F3E17" w:rsidP="00712A1A">
      <w:pPr>
        <w:pStyle w:val="BodyText"/>
      </w:pPr>
      <w:r w:rsidRPr="001F3E17">
        <w:rPr>
          <w:noProof/>
          <w:lang w:eastAsia="en-AU"/>
        </w:rPr>
        <w:drawing>
          <wp:inline distT="0" distB="0" distL="0" distR="0" wp14:anchorId="49785E24" wp14:editId="2EAF94E1">
            <wp:extent cx="5969635" cy="365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9635" cy="3657600"/>
                    </a:xfrm>
                    <a:prstGeom prst="rect">
                      <a:avLst/>
                    </a:prstGeom>
                    <a:noFill/>
                    <a:ln>
                      <a:noFill/>
                    </a:ln>
                  </pic:spPr>
                </pic:pic>
              </a:graphicData>
            </a:graphic>
          </wp:inline>
        </w:drawing>
      </w:r>
    </w:p>
    <w:p w14:paraId="6F5741C6" w14:textId="28BFBD37" w:rsidR="003645A2" w:rsidRPr="003645A2" w:rsidRDefault="003645A2" w:rsidP="004C0EFC">
      <w:pPr>
        <w:pStyle w:val="Heading3numbered"/>
      </w:pPr>
      <w:bookmarkStart w:id="448" w:name="_Toc74661619"/>
      <w:bookmarkStart w:id="449" w:name="_Toc74755272"/>
      <w:bookmarkStart w:id="450" w:name="_Toc74756984"/>
      <w:bookmarkStart w:id="451" w:name="_Toc74832221"/>
      <w:bookmarkStart w:id="452" w:name="_Toc74841226"/>
      <w:bookmarkStart w:id="453" w:name="_Toc74914006"/>
      <w:bookmarkStart w:id="454" w:name="_Toc76050857"/>
      <w:bookmarkStart w:id="455" w:name="_Toc77755143"/>
      <w:bookmarkStart w:id="456" w:name="_Toc79149667"/>
      <w:r w:rsidRPr="003645A2">
        <w:t>Indicators of success</w:t>
      </w:r>
      <w:bookmarkEnd w:id="448"/>
      <w:bookmarkEnd w:id="449"/>
      <w:bookmarkEnd w:id="450"/>
      <w:bookmarkEnd w:id="451"/>
      <w:bookmarkEnd w:id="452"/>
      <w:bookmarkEnd w:id="453"/>
      <w:bookmarkEnd w:id="454"/>
      <w:bookmarkEnd w:id="455"/>
      <w:bookmarkEnd w:id="456"/>
    </w:p>
    <w:p w14:paraId="0183367B" w14:textId="69D76182" w:rsidR="003645A2" w:rsidRPr="003645A2" w:rsidRDefault="003645A2" w:rsidP="00712A1A">
      <w:pPr>
        <w:pStyle w:val="BodyText"/>
      </w:pPr>
      <w:bookmarkStart w:id="457" w:name="_Toc74661453"/>
      <w:bookmarkStart w:id="458" w:name="_Toc74661620"/>
      <w:bookmarkStart w:id="459" w:name="_Toc74755273"/>
      <w:bookmarkStart w:id="460" w:name="_Toc74756985"/>
      <w:bookmarkStart w:id="461" w:name="_Toc74832222"/>
      <w:bookmarkStart w:id="462" w:name="_Toc74841227"/>
      <w:bookmarkStart w:id="463" w:name="_Toc74914007"/>
      <w:bookmarkStart w:id="464" w:name="_Toc76050858"/>
      <w:r w:rsidRPr="003645A2">
        <w:t xml:space="preserve">If the proposed </w:t>
      </w:r>
      <w:r w:rsidR="00BB0179">
        <w:t>RMP</w:t>
      </w:r>
      <w:r w:rsidRPr="003645A2">
        <w:t xml:space="preserve"> obligations were successful, Government, industry and the Australian public would have greater confidence in the resilience of our critical infrastructure providers, achieved through a measurable uplift in all</w:t>
      </w:r>
      <w:r w:rsidR="00B95B19">
        <w:t>-</w:t>
      </w:r>
      <w:r w:rsidRPr="003645A2">
        <w:t>hazards risk management. Industry will strengthen their relationship with Government through heightened and more frequent bilateral engagement, an educative (rather than punitive) approach to compliance</w:t>
      </w:r>
      <w:r w:rsidR="00B95B19">
        <w:t>,</w:t>
      </w:r>
      <w:r w:rsidRPr="003645A2">
        <w:t xml:space="preserve"> and improved visibility for both industry stakeholders and Government. This will ensure all</w:t>
      </w:r>
      <w:r w:rsidR="00B95B19">
        <w:t>-</w:t>
      </w:r>
      <w:r w:rsidRPr="003645A2">
        <w:t xml:space="preserve">hazard risks are identified, </w:t>
      </w:r>
      <w:r w:rsidR="00F85A66" w:rsidRPr="003645A2">
        <w:t>assessed,</w:t>
      </w:r>
      <w:r w:rsidRPr="003645A2">
        <w:t xml:space="preserve"> and mitigated, to </w:t>
      </w:r>
      <w:r w:rsidR="009A6B78">
        <w:t>s</w:t>
      </w:r>
      <w:r w:rsidRPr="003645A2">
        <w:t xml:space="preserve">upport the sector’s capacity to respond to a significant critical infrastructure disruption. These factors would be considered as part of the </w:t>
      </w:r>
      <w:r w:rsidR="00BB0179">
        <w:t>RMP</w:t>
      </w:r>
      <w:r w:rsidRPr="003645A2">
        <w:t>’s post-implementation review in 2026.</w:t>
      </w:r>
      <w:bookmarkEnd w:id="457"/>
      <w:bookmarkEnd w:id="458"/>
      <w:bookmarkEnd w:id="459"/>
      <w:bookmarkEnd w:id="460"/>
      <w:bookmarkEnd w:id="461"/>
      <w:bookmarkEnd w:id="462"/>
      <w:bookmarkEnd w:id="463"/>
      <w:bookmarkEnd w:id="464"/>
      <w:r w:rsidRPr="003645A2">
        <w:t xml:space="preserve"> </w:t>
      </w:r>
    </w:p>
    <w:p w14:paraId="21CDAF61" w14:textId="503933F8" w:rsidR="003645A2" w:rsidRPr="003645A2" w:rsidRDefault="003645A2" w:rsidP="00712A1A">
      <w:pPr>
        <w:pStyle w:val="BodyText"/>
      </w:pPr>
      <w:bookmarkStart w:id="465" w:name="_Toc74661454"/>
      <w:bookmarkStart w:id="466" w:name="_Toc74661621"/>
      <w:bookmarkStart w:id="467" w:name="_Toc74755274"/>
      <w:bookmarkStart w:id="468" w:name="_Toc74756986"/>
      <w:bookmarkStart w:id="469" w:name="_Toc74832223"/>
      <w:bookmarkStart w:id="470" w:name="_Toc74841228"/>
      <w:bookmarkStart w:id="471" w:name="_Toc74914008"/>
      <w:bookmarkStart w:id="472" w:name="_Toc76050859"/>
      <w:r w:rsidRPr="003645A2">
        <w:t xml:space="preserve">These indications of success align with Government’s objectives for intervention, as set out in </w:t>
      </w:r>
      <w:r w:rsidR="0016730B" w:rsidRPr="0016730B">
        <w:rPr>
          <w:sz w:val="28"/>
        </w:rPr>
        <w:fldChar w:fldCharType="begin"/>
      </w:r>
      <w:r w:rsidR="0016730B" w:rsidRPr="0016730B">
        <w:rPr>
          <w:sz w:val="28"/>
        </w:rPr>
        <w:instrText xml:space="preserve"> REF _Ref79156341 \h  \* MERGEFORMAT </w:instrText>
      </w:r>
      <w:r w:rsidR="0016730B" w:rsidRPr="0016730B">
        <w:rPr>
          <w:sz w:val="28"/>
        </w:rPr>
      </w:r>
      <w:r w:rsidR="0016730B" w:rsidRPr="0016730B">
        <w:rPr>
          <w:sz w:val="28"/>
        </w:rPr>
        <w:fldChar w:fldCharType="separate"/>
      </w:r>
      <w:r w:rsidR="009708D4" w:rsidRPr="009708D4">
        <w:rPr>
          <w:bCs/>
          <w:iCs/>
          <w:szCs w:val="18"/>
        </w:rPr>
        <w:t xml:space="preserve">Table </w:t>
      </w:r>
      <w:r w:rsidR="009708D4" w:rsidRPr="009708D4">
        <w:rPr>
          <w:bCs/>
          <w:iCs/>
          <w:noProof/>
          <w:szCs w:val="18"/>
        </w:rPr>
        <w:t>27</w:t>
      </w:r>
      <w:r w:rsidR="0016730B" w:rsidRPr="0016730B">
        <w:rPr>
          <w:sz w:val="28"/>
        </w:rPr>
        <w:fldChar w:fldCharType="end"/>
      </w:r>
      <w:r w:rsidRPr="003645A2">
        <w:t xml:space="preserve"> below.</w:t>
      </w:r>
      <w:bookmarkEnd w:id="465"/>
      <w:bookmarkEnd w:id="466"/>
      <w:bookmarkEnd w:id="467"/>
      <w:bookmarkEnd w:id="468"/>
      <w:bookmarkEnd w:id="469"/>
      <w:bookmarkEnd w:id="470"/>
      <w:bookmarkEnd w:id="471"/>
      <w:bookmarkEnd w:id="472"/>
      <w:r w:rsidRPr="003645A2">
        <w:t xml:space="preserve"> </w:t>
      </w:r>
    </w:p>
    <w:p w14:paraId="6ACDD389" w14:textId="77777777" w:rsidR="003645A2" w:rsidRPr="003645A2" w:rsidRDefault="003645A2" w:rsidP="003645A2">
      <w:pPr>
        <w:spacing w:after="160" w:line="259" w:lineRule="auto"/>
        <w:rPr>
          <w:rFonts w:ascii="Arial" w:eastAsia="Calibri" w:hAnsi="Arial" w:cs="Arial"/>
          <w:b/>
          <w:bCs/>
          <w:i/>
          <w:iCs/>
          <w:color w:val="44546A"/>
          <w:sz w:val="18"/>
          <w:szCs w:val="18"/>
        </w:rPr>
      </w:pPr>
      <w:bookmarkStart w:id="473" w:name="_Ref78525255"/>
      <w:bookmarkStart w:id="474" w:name="_Toc78878035"/>
      <w:r w:rsidRPr="003645A2">
        <w:rPr>
          <w:rFonts w:ascii="Arial" w:eastAsia="Calibri" w:hAnsi="Arial" w:cs="Arial"/>
          <w:b/>
          <w:bCs/>
          <w:sz w:val="22"/>
        </w:rPr>
        <w:br w:type="page"/>
      </w:r>
    </w:p>
    <w:p w14:paraId="7539160E" w14:textId="46C687EA" w:rsidR="003645A2" w:rsidRPr="003645A2" w:rsidRDefault="003645A2" w:rsidP="00712A1A">
      <w:pPr>
        <w:pStyle w:val="Caption"/>
      </w:pPr>
      <w:bookmarkStart w:id="475" w:name="_Ref79156341"/>
      <w:bookmarkStart w:id="476" w:name="_Toc79156711"/>
      <w:bookmarkStart w:id="477" w:name="_Toc120115112"/>
      <w:r w:rsidRPr="003645A2">
        <w:rPr>
          <w:b/>
          <w:bCs/>
        </w:rPr>
        <w:lastRenderedPageBreak/>
        <w:t xml:space="preserve">Table </w:t>
      </w:r>
      <w:r w:rsidRPr="003645A2">
        <w:rPr>
          <w:b/>
          <w:bCs/>
        </w:rPr>
        <w:fldChar w:fldCharType="begin"/>
      </w:r>
      <w:r w:rsidRPr="003645A2">
        <w:rPr>
          <w:b/>
          <w:bCs/>
        </w:rPr>
        <w:instrText xml:space="preserve"> SEQ Table \* ARABIC </w:instrText>
      </w:r>
      <w:r w:rsidRPr="003645A2">
        <w:rPr>
          <w:b/>
          <w:bCs/>
        </w:rPr>
        <w:fldChar w:fldCharType="separate"/>
      </w:r>
      <w:r w:rsidR="009708D4">
        <w:rPr>
          <w:b/>
          <w:bCs/>
          <w:noProof/>
        </w:rPr>
        <w:t>27</w:t>
      </w:r>
      <w:r w:rsidRPr="003645A2">
        <w:rPr>
          <w:b/>
          <w:bCs/>
        </w:rPr>
        <w:fldChar w:fldCharType="end"/>
      </w:r>
      <w:bookmarkEnd w:id="473"/>
      <w:bookmarkEnd w:id="475"/>
      <w:r w:rsidRPr="003645A2">
        <w:t xml:space="preserve"> Alignment between Government objectives and outcomes</w:t>
      </w:r>
      <w:bookmarkEnd w:id="474"/>
      <w:bookmarkEnd w:id="476"/>
      <w:bookmarkEnd w:id="477"/>
    </w:p>
    <w:tbl>
      <w:tblPr>
        <w:tblStyle w:val="TableGrid34"/>
        <w:tblW w:w="5000" w:type="pct"/>
        <w:jc w:val="center"/>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4108"/>
        <w:gridCol w:w="5530"/>
      </w:tblGrid>
      <w:tr w:rsidR="003645A2" w:rsidRPr="003645A2" w14:paraId="4D0701C0" w14:textId="77777777" w:rsidTr="00982131">
        <w:trPr>
          <w:cantSplit/>
          <w:tblHeader/>
          <w:jc w:val="center"/>
        </w:trPr>
        <w:tc>
          <w:tcPr>
            <w:tcW w:w="2131" w:type="pct"/>
            <w:shd w:val="clear" w:color="auto" w:fill="034EA2" w:themeFill="accent1"/>
          </w:tcPr>
          <w:p w14:paraId="2A10133E" w14:textId="77777777" w:rsidR="003645A2" w:rsidRPr="003645A2" w:rsidRDefault="003645A2" w:rsidP="00982131">
            <w:pPr>
              <w:pStyle w:val="TableHeading"/>
            </w:pPr>
            <w:r w:rsidRPr="003645A2">
              <w:t>Government’s objective</w:t>
            </w:r>
          </w:p>
        </w:tc>
        <w:tc>
          <w:tcPr>
            <w:tcW w:w="2869" w:type="pct"/>
            <w:shd w:val="clear" w:color="auto" w:fill="034EA2" w:themeFill="accent1"/>
          </w:tcPr>
          <w:p w14:paraId="45BF0A9D" w14:textId="77777777" w:rsidR="003645A2" w:rsidRPr="003645A2" w:rsidRDefault="003645A2" w:rsidP="00982131">
            <w:pPr>
              <w:pStyle w:val="TableHeading"/>
            </w:pPr>
            <w:r w:rsidRPr="003645A2">
              <w:t xml:space="preserve">Outcomes from </w:t>
            </w:r>
            <w:r w:rsidR="00BB0179">
              <w:t>RMP</w:t>
            </w:r>
            <w:r w:rsidRPr="003645A2">
              <w:t xml:space="preserve"> obligations</w:t>
            </w:r>
          </w:p>
        </w:tc>
      </w:tr>
      <w:tr w:rsidR="003645A2" w:rsidRPr="003645A2" w14:paraId="7EB696EE" w14:textId="77777777" w:rsidTr="00982131">
        <w:trPr>
          <w:cantSplit/>
          <w:jc w:val="center"/>
        </w:trPr>
        <w:tc>
          <w:tcPr>
            <w:tcW w:w="2131" w:type="pct"/>
            <w:shd w:val="clear" w:color="auto" w:fill="F2F2F2" w:themeFill="background1" w:themeFillShade="F2"/>
          </w:tcPr>
          <w:p w14:paraId="20DAFEFD" w14:textId="77777777" w:rsidR="003645A2" w:rsidRPr="003645A2" w:rsidRDefault="003645A2" w:rsidP="00982131">
            <w:pPr>
              <w:pStyle w:val="TableBody"/>
            </w:pPr>
            <w:r w:rsidRPr="003645A2">
              <w:rPr>
                <w:b/>
                <w:bCs/>
              </w:rPr>
              <w:t>Lower the material risk</w:t>
            </w:r>
            <w:r w:rsidRPr="003645A2">
              <w:t xml:space="preserve"> of hazards and impacts of those hazards, as they manifest for </w:t>
            </w:r>
            <w:r w:rsidR="008056F4">
              <w:t>critical infrastructure assets</w:t>
            </w:r>
            <w:r w:rsidRPr="003645A2">
              <w:t>.</w:t>
            </w:r>
          </w:p>
        </w:tc>
        <w:tc>
          <w:tcPr>
            <w:tcW w:w="2869" w:type="pct"/>
            <w:shd w:val="clear" w:color="auto" w:fill="FFFFFF"/>
          </w:tcPr>
          <w:p w14:paraId="0C74FA64" w14:textId="77777777" w:rsidR="003645A2" w:rsidRPr="003645A2" w:rsidRDefault="00BB0179" w:rsidP="00982131">
            <w:pPr>
              <w:pStyle w:val="TableBody"/>
            </w:pPr>
            <w:r>
              <w:t>RMP</w:t>
            </w:r>
            <w:r w:rsidR="003645A2" w:rsidRPr="003645A2">
              <w:t xml:space="preserve"> obligations will lower the material risk of hazards and their impacts by inciting a sector-wide uplift in all hazards risk management. </w:t>
            </w:r>
          </w:p>
        </w:tc>
      </w:tr>
      <w:tr w:rsidR="003645A2" w:rsidRPr="003645A2" w14:paraId="2C010DCE" w14:textId="77777777" w:rsidTr="00982131">
        <w:trPr>
          <w:cantSplit/>
          <w:jc w:val="center"/>
        </w:trPr>
        <w:tc>
          <w:tcPr>
            <w:tcW w:w="2131" w:type="pct"/>
            <w:shd w:val="clear" w:color="auto" w:fill="F2F2F2" w:themeFill="background1" w:themeFillShade="F2"/>
          </w:tcPr>
          <w:p w14:paraId="3DC9290A" w14:textId="77777777" w:rsidR="003645A2" w:rsidRPr="003645A2" w:rsidRDefault="003645A2" w:rsidP="00982131">
            <w:pPr>
              <w:pStyle w:val="TableBody"/>
            </w:pPr>
            <w:r w:rsidRPr="003645A2">
              <w:t xml:space="preserve">Ensure that adoption of the </w:t>
            </w:r>
            <w:r w:rsidR="00BB0179">
              <w:t>RMP</w:t>
            </w:r>
            <w:r w:rsidRPr="003645A2">
              <w:t xml:space="preserve"> for </w:t>
            </w:r>
            <w:r w:rsidR="008056F4">
              <w:t>critical infrastructure assets</w:t>
            </w:r>
            <w:r w:rsidRPr="003645A2">
              <w:t xml:space="preserve"> is </w:t>
            </w:r>
            <w:r w:rsidRPr="003645A2">
              <w:rPr>
                <w:b/>
                <w:bCs/>
              </w:rPr>
              <w:t>reasonable and proportional</w:t>
            </w:r>
            <w:r w:rsidRPr="003645A2">
              <w:t xml:space="preserve"> to the purpose of the program.  </w:t>
            </w:r>
          </w:p>
        </w:tc>
        <w:tc>
          <w:tcPr>
            <w:tcW w:w="2869" w:type="pct"/>
            <w:shd w:val="clear" w:color="auto" w:fill="FFFFFF"/>
          </w:tcPr>
          <w:p w14:paraId="693832C8" w14:textId="77777777" w:rsidR="003645A2" w:rsidRPr="003645A2" w:rsidRDefault="003645A2" w:rsidP="00982131">
            <w:pPr>
              <w:pStyle w:val="TableBody"/>
            </w:pPr>
            <w:r w:rsidRPr="003645A2">
              <w:t xml:space="preserve">Frequent bilateral engagement between industry and Government will ensure the reasonability and proportionality of the </w:t>
            </w:r>
            <w:r w:rsidR="00BB0179">
              <w:t>RMP</w:t>
            </w:r>
            <w:r w:rsidRPr="003645A2">
              <w:t xml:space="preserve">. Further, Government’s educative approach to compliance means regulatory responses to issues of non-compliance will be both reasonable and proportional. </w:t>
            </w:r>
          </w:p>
        </w:tc>
      </w:tr>
      <w:tr w:rsidR="003645A2" w:rsidRPr="003645A2" w14:paraId="01FEC0EC" w14:textId="77777777" w:rsidTr="00982131">
        <w:trPr>
          <w:cantSplit/>
          <w:jc w:val="center"/>
        </w:trPr>
        <w:tc>
          <w:tcPr>
            <w:tcW w:w="2131" w:type="pct"/>
            <w:shd w:val="clear" w:color="auto" w:fill="F2F2F2" w:themeFill="background1" w:themeFillShade="F2"/>
          </w:tcPr>
          <w:p w14:paraId="3F7B67EF" w14:textId="77777777" w:rsidR="003645A2" w:rsidRPr="003645A2" w:rsidRDefault="003645A2" w:rsidP="00982131">
            <w:pPr>
              <w:pStyle w:val="TableBody"/>
            </w:pPr>
            <w:r w:rsidRPr="003645A2">
              <w:rPr>
                <w:b/>
                <w:bCs/>
              </w:rPr>
              <w:t>Avoid regulatory duplication</w:t>
            </w:r>
            <w:r w:rsidRPr="003645A2">
              <w:t xml:space="preserve"> and facilitate a </w:t>
            </w:r>
            <w:r w:rsidRPr="003645A2">
              <w:rPr>
                <w:b/>
                <w:bCs/>
              </w:rPr>
              <w:t>coordinated</w:t>
            </w:r>
            <w:r w:rsidRPr="003645A2">
              <w:t xml:space="preserve"> </w:t>
            </w:r>
            <w:r w:rsidRPr="003645A2">
              <w:rPr>
                <w:b/>
                <w:bCs/>
              </w:rPr>
              <w:t>uplift</w:t>
            </w:r>
            <w:r w:rsidRPr="003645A2">
              <w:t xml:space="preserve"> in responsible entities’ compliance with relevant standards. </w:t>
            </w:r>
          </w:p>
        </w:tc>
        <w:tc>
          <w:tcPr>
            <w:tcW w:w="2869" w:type="pct"/>
            <w:shd w:val="clear" w:color="auto" w:fill="FFFFFF"/>
          </w:tcPr>
          <w:p w14:paraId="7C4F1C54" w14:textId="77777777" w:rsidR="003645A2" w:rsidRPr="003645A2" w:rsidRDefault="003645A2" w:rsidP="00982131">
            <w:pPr>
              <w:pStyle w:val="TableBody"/>
            </w:pPr>
            <w:r w:rsidRPr="003645A2">
              <w:t xml:space="preserve">The risk of regulatory duplication has been mitigated through the </w:t>
            </w:r>
            <w:r w:rsidR="00EA321B">
              <w:t>consultation</w:t>
            </w:r>
            <w:r w:rsidRPr="003645A2">
              <w:t xml:space="preserve"> process, encouraging industry to share existing applicable standards which may overlap with the proposed </w:t>
            </w:r>
            <w:r w:rsidR="00BB0179">
              <w:t>RMP</w:t>
            </w:r>
            <w:r w:rsidRPr="003645A2">
              <w:t xml:space="preserve"> obligations. The sector-wide application of the rules will facilitate a coordinated uplift across all </w:t>
            </w:r>
            <w:r w:rsidR="008056F4">
              <w:t>critical infrastructure assets</w:t>
            </w:r>
            <w:r w:rsidRPr="003645A2">
              <w:t xml:space="preserve">. </w:t>
            </w:r>
          </w:p>
        </w:tc>
      </w:tr>
      <w:tr w:rsidR="003645A2" w:rsidRPr="003645A2" w14:paraId="250DC539" w14:textId="77777777" w:rsidTr="00982131">
        <w:trPr>
          <w:cantSplit/>
          <w:jc w:val="center"/>
        </w:trPr>
        <w:tc>
          <w:tcPr>
            <w:tcW w:w="2131" w:type="pct"/>
            <w:shd w:val="clear" w:color="auto" w:fill="F2F2F2" w:themeFill="background1" w:themeFillShade="F2"/>
          </w:tcPr>
          <w:p w14:paraId="253BE1B2" w14:textId="77777777" w:rsidR="003645A2" w:rsidRPr="003645A2" w:rsidRDefault="003645A2" w:rsidP="00982131">
            <w:pPr>
              <w:pStyle w:val="TableBody"/>
              <w:rPr>
                <w:b/>
                <w:bCs/>
              </w:rPr>
            </w:pPr>
            <w:r w:rsidRPr="003645A2">
              <w:t xml:space="preserve">Improve Government’s </w:t>
            </w:r>
            <w:r w:rsidRPr="003645A2">
              <w:rPr>
                <w:b/>
                <w:bCs/>
              </w:rPr>
              <w:t>visibility</w:t>
            </w:r>
            <w:r w:rsidRPr="003645A2">
              <w:t xml:space="preserve"> over the security and resilience of </w:t>
            </w:r>
            <w:r w:rsidR="008056F4">
              <w:t>critical infrastructure assets</w:t>
            </w:r>
            <w:r w:rsidRPr="003645A2">
              <w:t>.</w:t>
            </w:r>
          </w:p>
        </w:tc>
        <w:tc>
          <w:tcPr>
            <w:tcW w:w="2869" w:type="pct"/>
            <w:shd w:val="clear" w:color="auto" w:fill="FFFFFF"/>
          </w:tcPr>
          <w:p w14:paraId="054E39D8" w14:textId="77777777" w:rsidR="003645A2" w:rsidRPr="003645A2" w:rsidRDefault="003645A2" w:rsidP="00982131">
            <w:pPr>
              <w:pStyle w:val="TableBody"/>
            </w:pPr>
            <w:r w:rsidRPr="003645A2">
              <w:t xml:space="preserve">The practical requirements contained in </w:t>
            </w:r>
            <w:r w:rsidR="00BB0179">
              <w:t>RMP</w:t>
            </w:r>
            <w:r w:rsidRPr="003645A2">
              <w:t xml:space="preserve"> obligations (for example, annual reporting) will improve Government visibility. Further, visibility for both Government and industry will be supported through heightened and more frequent bilateral engagement.</w:t>
            </w:r>
          </w:p>
        </w:tc>
      </w:tr>
    </w:tbl>
    <w:p w14:paraId="6713C597" w14:textId="77777777" w:rsidR="00C66A77" w:rsidRDefault="00C66A77">
      <w:pPr>
        <w:spacing w:before="80" w:after="80"/>
      </w:pPr>
    </w:p>
    <w:p w14:paraId="40E911A0" w14:textId="77777777" w:rsidR="00C66A77" w:rsidRDefault="00C66A77">
      <w:pPr>
        <w:spacing w:before="80" w:after="80"/>
      </w:pPr>
      <w:r>
        <w:br w:type="page"/>
      </w:r>
    </w:p>
    <w:p w14:paraId="4855F4AD" w14:textId="77777777" w:rsidR="00C66A77" w:rsidRDefault="00C66A77" w:rsidP="00C66A77">
      <w:pPr>
        <w:pStyle w:val="BodyText"/>
      </w:pPr>
    </w:p>
    <w:p w14:paraId="24986A9D" w14:textId="59337E9F" w:rsidR="00C66A77" w:rsidRPr="00E73273" w:rsidRDefault="00C66A77" w:rsidP="00C66A77">
      <w:pPr>
        <w:pStyle w:val="Divider"/>
      </w:pPr>
      <w:r w:rsidRPr="00E73273">
        <w:rPr>
          <w:noProof/>
          <w:lang w:eastAsia="en-AU"/>
        </w:rPr>
        <mc:AlternateContent>
          <mc:Choice Requires="wps">
            <w:drawing>
              <wp:anchor distT="0" distB="0" distL="114300" distR="114300" simplePos="0" relativeHeight="251658240" behindDoc="1" locked="0" layoutInCell="1" allowOverlap="1" wp14:anchorId="063ED3BE" wp14:editId="334DD72C">
                <wp:simplePos x="0" y="0"/>
                <wp:positionH relativeFrom="page">
                  <wp:posOffset>0</wp:posOffset>
                </wp:positionH>
                <wp:positionV relativeFrom="page">
                  <wp:posOffset>939114</wp:posOffset>
                </wp:positionV>
                <wp:extent cx="7560000" cy="9000000"/>
                <wp:effectExtent l="0" t="0" r="3175" b="0"/>
                <wp:wrapNone/>
                <wp:docPr id="61" name="Rectangle 61"/>
                <wp:cNvGraphicFramePr/>
                <a:graphic xmlns:a="http://schemas.openxmlformats.org/drawingml/2006/main">
                  <a:graphicData uri="http://schemas.microsoft.com/office/word/2010/wordprocessingShape">
                    <wps:wsp>
                      <wps:cNvSpPr/>
                      <wps:spPr>
                        <a:xfrm>
                          <a:off x="0" y="0"/>
                          <a:ext cx="7560000" cy="9000000"/>
                        </a:xfrm>
                        <a:prstGeom prst="rect">
                          <a:avLst/>
                        </a:prstGeom>
                        <a:gradFill flip="none" rotWithShape="1">
                          <a:gsLst>
                            <a:gs pos="0">
                              <a:schemeClr val="accent1"/>
                            </a:gs>
                            <a:gs pos="100000">
                              <a:schemeClr val="accent2"/>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2DF6E6" id="Rectangle 61" o:spid="_x0000_s1026" style="position:absolute;margin-left:0;margin-top:73.95pt;width:595.3pt;height:708.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" fillcolor="#034ea2 [3204]" stroked="f" strokeweight="2pt">
                <v:fill color2="#007bc3 [3205]" rotate="t" angle="45" focus="100%" type="gradient"/>
                <w10:wrap anchorx="page" anchory="page"/>
              </v:rect>
            </w:pict>
          </mc:Fallback>
        </mc:AlternateContent>
      </w:r>
      <w:r>
        <w:t>Appendices</w:t>
      </w:r>
      <w:r w:rsidRPr="00E73273">
        <w:br w:type="page"/>
      </w:r>
    </w:p>
    <w:p w14:paraId="5A6BBEC8" w14:textId="73179682" w:rsidR="003645A2" w:rsidRDefault="0016730B" w:rsidP="00D01AB6">
      <w:pPr>
        <w:pStyle w:val="AppendixH1"/>
      </w:pPr>
      <w:bookmarkStart w:id="478" w:name="_Toc121397407"/>
      <w:r w:rsidRPr="0016730B">
        <w:lastRenderedPageBreak/>
        <w:t xml:space="preserve">List of </w:t>
      </w:r>
      <w:r w:rsidRPr="00D01AB6">
        <w:t>References</w:t>
      </w:r>
      <w:bookmarkEnd w:id="478"/>
    </w:p>
    <w:sdt>
      <w:sdtPr>
        <w:rPr>
          <w:rFonts w:asciiTheme="majorHAnsi" w:hAnsiTheme="majorHAnsi" w:cstheme="majorHAnsi"/>
          <w:sz w:val="22"/>
          <w:szCs w:val="24"/>
        </w:rPr>
        <w:id w:val="111145805"/>
        <w:bibliography/>
      </w:sdtPr>
      <w:sdtEndPr>
        <w:rPr>
          <w:rFonts w:asciiTheme="minorHAnsi" w:hAnsiTheme="minorHAnsi"/>
          <w:szCs w:val="28"/>
        </w:rPr>
      </w:sdtEndPr>
      <w:sdtContent>
        <w:p w14:paraId="611A3F16" w14:textId="77777777" w:rsidR="00075453" w:rsidRPr="004816BC" w:rsidRDefault="00075453" w:rsidP="00075453">
          <w:pPr>
            <w:spacing w:line="256" w:lineRule="auto"/>
            <w:rPr>
              <w:rFonts w:eastAsia="Calibri"/>
              <w:noProof/>
            </w:rPr>
          </w:pPr>
          <w:r w:rsidRPr="004816BC">
            <w:rPr>
              <w:rFonts w:eastAsia="Calibri"/>
              <w:noProof/>
            </w:rPr>
            <w:t xml:space="preserve">— </w:t>
          </w:r>
          <w:r>
            <w:rPr>
              <w:rFonts w:eastAsia="Calibri"/>
              <w:noProof/>
            </w:rPr>
            <w:t>(</w:t>
          </w:r>
          <w:r w:rsidRPr="004816BC">
            <w:rPr>
              <w:rFonts w:eastAsia="Calibri"/>
              <w:noProof/>
            </w:rPr>
            <w:t>2015</w:t>
          </w:r>
          <w:r>
            <w:rPr>
              <w:rFonts w:eastAsia="Calibri"/>
              <w:noProof/>
            </w:rPr>
            <w:t>)</w:t>
          </w:r>
          <w:r w:rsidRPr="004816BC">
            <w:rPr>
              <w:rFonts w:eastAsia="Calibri"/>
              <w:noProof/>
            </w:rPr>
            <w:t>. Critical Infrastructure Resilience Strategy: Plan. https://cicentre.gov.au/document/P50S021.</w:t>
          </w:r>
        </w:p>
        <w:p w14:paraId="46F320A9" w14:textId="77777777" w:rsidR="00075453" w:rsidRPr="004816BC" w:rsidRDefault="00075453" w:rsidP="00075453">
          <w:r w:rsidRPr="004816BC">
            <w:t xml:space="preserve">— </w:t>
          </w:r>
          <w:r>
            <w:t>(</w:t>
          </w:r>
          <w:r w:rsidRPr="004816BC">
            <w:t>2020</w:t>
          </w:r>
          <w:r>
            <w:t>)</w:t>
          </w:r>
          <w:r w:rsidRPr="004816BC">
            <w:t>. Widespread and Long Duration Outages - Values of Customer Reliability Consultation Paper.</w:t>
          </w:r>
          <w:r>
            <w:t xml:space="preserve"> </w:t>
          </w:r>
          <w:r w:rsidRPr="004816BC">
            <w:t>March.</w:t>
          </w:r>
        </w:p>
        <w:p w14:paraId="7838BBEC" w14:textId="2F5C3469" w:rsidR="00075453" w:rsidRPr="004816BC" w:rsidRDefault="00C66A77" w:rsidP="00075453">
          <w:r w:rsidRPr="004816BC">
            <w:t>—</w:t>
          </w:r>
          <w:r w:rsidR="00075453" w:rsidRPr="004816BC">
            <w:t xml:space="preserve"> </w:t>
          </w:r>
          <w:r w:rsidR="00075453">
            <w:t>(</w:t>
          </w:r>
          <w:r w:rsidR="00075453" w:rsidRPr="004816BC">
            <w:t>2021</w:t>
          </w:r>
          <w:r w:rsidR="00075453">
            <w:t>)</w:t>
          </w:r>
          <w:r w:rsidR="00075453" w:rsidRPr="004816BC">
            <w:t>. Draft Critical Infrastructure Asset Definition Rules. Home Affairs. https://www.homeaffairs.gov.au/reports-and-pubs/files/critical-infrastructure-asset-definition-rules-paper.pdf</w:t>
          </w:r>
        </w:p>
        <w:p w14:paraId="338E4658" w14:textId="77777777" w:rsidR="00075453" w:rsidRPr="004816BC" w:rsidRDefault="00075453" w:rsidP="00075453">
          <w:r w:rsidRPr="004816BC">
            <w:t xml:space="preserve">— </w:t>
          </w:r>
          <w:r>
            <w:t>(</w:t>
          </w:r>
          <w:r w:rsidRPr="004816BC">
            <w:t>2021</w:t>
          </w:r>
          <w:r>
            <w:t>)</w:t>
          </w:r>
          <w:r w:rsidRPr="004816BC">
            <w:t>. Safeguarding Critical Infrastructure. https://cisc.gov.au/infrastructure.</w:t>
          </w:r>
        </w:p>
        <w:p w14:paraId="742D7050" w14:textId="3FFA300A" w:rsidR="00075453" w:rsidRPr="004816BC" w:rsidRDefault="00C66A77" w:rsidP="00075453">
          <w:r w:rsidRPr="004816BC">
            <w:t>—</w:t>
          </w:r>
          <w:r w:rsidR="00075453" w:rsidRPr="004816BC">
            <w:t xml:space="preserve"> </w:t>
          </w:r>
          <w:r w:rsidR="00075453">
            <w:t>(</w:t>
          </w:r>
          <w:r w:rsidR="00075453" w:rsidRPr="004816BC">
            <w:t>n.d</w:t>
          </w:r>
          <w:r w:rsidR="00075453">
            <w:t>)</w:t>
          </w:r>
          <w:r w:rsidR="00075453" w:rsidRPr="004816BC">
            <w:t>. Trusted Information Sharing Network. https://cicentre.gov.au/tisn.</w:t>
          </w:r>
        </w:p>
        <w:p w14:paraId="0E3A9ECF" w14:textId="77777777" w:rsidR="00075453" w:rsidRPr="004816BC" w:rsidRDefault="00075453" w:rsidP="00075453">
          <w:r w:rsidRPr="004816BC">
            <w:t xml:space="preserve">—. </w:t>
          </w:r>
          <w:r>
            <w:t>(</w:t>
          </w:r>
          <w:r w:rsidRPr="004816BC">
            <w:t>2017</w:t>
          </w:r>
          <w:r>
            <w:t>)</w:t>
          </w:r>
          <w:r w:rsidRPr="004816BC">
            <w:t>. Australian Cyber Security Centre Threat Report. https://www.cyber.gov.au/sites/default/files/2019-03/ACSC_Threat_Report_2017.pdf.</w:t>
          </w:r>
        </w:p>
        <w:p w14:paraId="79EB147B" w14:textId="613861DF" w:rsidR="00075453" w:rsidRPr="004816BC" w:rsidRDefault="000D1D1E" w:rsidP="00075453">
          <w:r w:rsidRPr="004816BC">
            <w:t>—.</w:t>
          </w:r>
          <w:r>
            <w:t xml:space="preserve"> (</w:t>
          </w:r>
          <w:r w:rsidR="00075453" w:rsidRPr="004816BC">
            <w:t>2020</w:t>
          </w:r>
          <w:r w:rsidR="00075453">
            <w:t>)</w:t>
          </w:r>
          <w:r w:rsidR="00075453" w:rsidRPr="004816BC">
            <w:t>. Security Coordination - Critical Infrastructure Resilience. 23 April. https://www.homeaffairs.gov.au/about-us/our-portfolios/national-security/security-coordination/critical-infrastructure-resilience.</w:t>
          </w:r>
        </w:p>
        <w:p w14:paraId="4A7DB61C" w14:textId="50684444" w:rsidR="00075453" w:rsidRPr="004816BC" w:rsidRDefault="00C66A77" w:rsidP="00075453">
          <w:r w:rsidRPr="004816BC">
            <w:t>—</w:t>
          </w:r>
          <w:r w:rsidR="000D1D1E" w:rsidRPr="004816BC">
            <w:t>.</w:t>
          </w:r>
          <w:r w:rsidR="000D1D1E">
            <w:t xml:space="preserve"> (</w:t>
          </w:r>
          <w:r w:rsidR="00075453" w:rsidRPr="004816BC">
            <w:t>2020</w:t>
          </w:r>
          <w:r w:rsidR="00075453">
            <w:t>)</w:t>
          </w:r>
          <w:r w:rsidR="00075453" w:rsidRPr="004816BC">
            <w:t>. Security Legislation Amendment (Critical Infrastructure) Bill 2020: Explanatory Document. Critical Infrastructure Centre. https://www.homeaffairs.gov.au/reports-and-pubs/files/exposure-draft-bill/exposure-draft-security-legislation-amendment-critical-infrastructure-bill-2020-explanatory-document.pdf</w:t>
          </w:r>
          <w:r w:rsidR="00075453">
            <w:t>.</w:t>
          </w:r>
        </w:p>
        <w:p w14:paraId="53C01ABA" w14:textId="39D380B7" w:rsidR="00075453" w:rsidRPr="004816BC" w:rsidRDefault="00C66A77" w:rsidP="00075453">
          <w:r w:rsidRPr="004816BC">
            <w:t>—</w:t>
          </w:r>
          <w:r w:rsidR="00075453">
            <w:t>.</w:t>
          </w:r>
          <w:r w:rsidR="00075453" w:rsidRPr="004816BC">
            <w:t xml:space="preserve"> </w:t>
          </w:r>
          <w:r w:rsidR="00075453">
            <w:t>(</w:t>
          </w:r>
          <w:r w:rsidR="00075453" w:rsidRPr="004816BC">
            <w:t>2021</w:t>
          </w:r>
          <w:r w:rsidR="00075453">
            <w:t>)</w:t>
          </w:r>
          <w:r w:rsidR="00075453" w:rsidRPr="004816BC">
            <w:t>. Federal Budget 2021-22, Budget Paper No. 2, Part 2: Payment Measures. https://budget.gov.au/2021-22/content/bp2/download/bp2_03_payment.pdf.</w:t>
          </w:r>
        </w:p>
        <w:p w14:paraId="0BCE2126" w14:textId="77777777" w:rsidR="00075453" w:rsidRPr="004816BC" w:rsidRDefault="00075453" w:rsidP="00075453">
          <w:r w:rsidRPr="004816BC">
            <w:t xml:space="preserve">—. </w:t>
          </w:r>
          <w:r>
            <w:t>(</w:t>
          </w:r>
          <w:r w:rsidRPr="004816BC">
            <w:t>2021</w:t>
          </w:r>
          <w:r>
            <w:t>)</w:t>
          </w:r>
          <w:r w:rsidRPr="004816BC">
            <w:t xml:space="preserve">. Protecting Critical Infrastructure and Systems of National Significance: Governance Rules - Risk Management Program. </w:t>
          </w:r>
        </w:p>
        <w:p w14:paraId="7DDA5E88" w14:textId="7F12D071" w:rsidR="00075453" w:rsidRPr="004816BC" w:rsidRDefault="00C66A77" w:rsidP="00075453">
          <w:r w:rsidRPr="004816BC">
            <w:t>—</w:t>
          </w:r>
          <w:r w:rsidR="00075453" w:rsidRPr="004816BC">
            <w:t xml:space="preserve">. </w:t>
          </w:r>
          <w:r w:rsidR="00075453">
            <w:t>(</w:t>
          </w:r>
          <w:r w:rsidR="00075453" w:rsidRPr="004816BC">
            <w:t>2021</w:t>
          </w:r>
          <w:r w:rsidR="00075453">
            <w:t>)</w:t>
          </w:r>
          <w:r w:rsidR="00075453" w:rsidRPr="004816BC">
            <w:t xml:space="preserve">. Major banks' online services, airline systems go down. </w:t>
          </w:r>
          <w:r w:rsidR="00075453" w:rsidRPr="00C97463">
            <w:rPr>
              <w:i/>
              <w:iCs/>
            </w:rPr>
            <w:t xml:space="preserve">Itnews. </w:t>
          </w:r>
          <w:r w:rsidR="00075453" w:rsidRPr="004816BC">
            <w:t>https://www.itnews.com.au/news/major-banks-online-services-eftpos-airline-systems-go-down-566080</w:t>
          </w:r>
        </w:p>
        <w:p w14:paraId="3D697C4B" w14:textId="3E8F5741" w:rsidR="00075453" w:rsidRPr="004816BC" w:rsidRDefault="00C66A77" w:rsidP="00075453">
          <w:r w:rsidRPr="004816BC">
            <w:t>—</w:t>
          </w:r>
          <w:r w:rsidR="00075453" w:rsidRPr="004816BC">
            <w:t xml:space="preserve">. </w:t>
          </w:r>
          <w:r w:rsidR="00075453">
            <w:t>(</w:t>
          </w:r>
          <w:r w:rsidR="00075453" w:rsidRPr="004816BC">
            <w:t>n.d</w:t>
          </w:r>
          <w:r w:rsidR="00075453">
            <w:t>)</w:t>
          </w:r>
          <w:r w:rsidR="00075453" w:rsidRPr="004816BC">
            <w:t>. About Financial Market Infrastructure. https://www.rba.gov.au/payments-and-infrastructure/financial-market-infrastructure/about.html</w:t>
          </w:r>
        </w:p>
        <w:p w14:paraId="12D230E0" w14:textId="77777777" w:rsidR="00075453" w:rsidRPr="004816BC" w:rsidRDefault="00075453" w:rsidP="00075453">
          <w:r w:rsidRPr="004816BC">
            <w:t xml:space="preserve">—. </w:t>
          </w:r>
          <w:r>
            <w:t>(</w:t>
          </w:r>
          <w:r w:rsidRPr="004816BC">
            <w:t>2015</w:t>
          </w:r>
          <w:r>
            <w:t>)</w:t>
          </w:r>
          <w:r w:rsidRPr="004816BC">
            <w:t>. Critical Infrastructure Resilience Strategy: Plan. https://cicentre.gov.au/document/P50S021.</w:t>
          </w:r>
        </w:p>
        <w:p w14:paraId="24A9BCDF" w14:textId="77777777" w:rsidR="00075453" w:rsidRPr="004816BC" w:rsidRDefault="00075453" w:rsidP="00075453">
          <w:r w:rsidRPr="004816BC">
            <w:t xml:space="preserve">—. </w:t>
          </w:r>
          <w:r>
            <w:t>(</w:t>
          </w:r>
          <w:r w:rsidRPr="004816BC">
            <w:t>2018</w:t>
          </w:r>
          <w:r>
            <w:t>)</w:t>
          </w:r>
          <w:r w:rsidRPr="004816BC">
            <w:t>. AEMO Request for Protected Event Declaration: Potential Loss of Multiple Generators in South Australia. November.</w:t>
          </w:r>
        </w:p>
        <w:p w14:paraId="1EBF7308" w14:textId="77777777" w:rsidR="00075453" w:rsidRPr="004816BC" w:rsidRDefault="00075453" w:rsidP="00075453">
          <w:r w:rsidRPr="004816BC">
            <w:t xml:space="preserve">—. </w:t>
          </w:r>
          <w:r>
            <w:t>(</w:t>
          </w:r>
          <w:r w:rsidRPr="004816BC">
            <w:t>2019</w:t>
          </w:r>
          <w:r>
            <w:t>)</w:t>
          </w:r>
          <w:r w:rsidRPr="004816BC">
            <w:t>. Cyber security continues to be a key focus for the energy industry.</w:t>
          </w:r>
          <w:r w:rsidRPr="00C97463">
            <w:rPr>
              <w:i/>
              <w:iCs/>
            </w:rPr>
            <w:t xml:space="preserve"> AEMO</w:t>
          </w:r>
          <w:r w:rsidRPr="004816BC">
            <w:t>. https://aemo.com.au/newsroom/media-release/cyber-security-key-focus-for-the-energy-industry, 1 August.</w:t>
          </w:r>
        </w:p>
        <w:p w14:paraId="31ACC057" w14:textId="298BA668" w:rsidR="00075453" w:rsidRPr="004816BC" w:rsidRDefault="00C66A77" w:rsidP="00075453">
          <w:r w:rsidRPr="004816BC">
            <w:t>—</w:t>
          </w:r>
          <w:r w:rsidR="00075453" w:rsidRPr="004816BC">
            <w:t xml:space="preserve">. </w:t>
          </w:r>
          <w:r w:rsidR="00075453">
            <w:t>(</w:t>
          </w:r>
          <w:r w:rsidR="00075453" w:rsidRPr="004816BC">
            <w:t>2020</w:t>
          </w:r>
          <w:r w:rsidR="00075453">
            <w:t>)</w:t>
          </w:r>
          <w:r w:rsidR="00075453" w:rsidRPr="004816BC">
            <w:t xml:space="preserve">. Ransomware in Australia. </w:t>
          </w:r>
          <w:r w:rsidR="00075453" w:rsidRPr="00C97463">
            <w:rPr>
              <w:i/>
              <w:iCs/>
            </w:rPr>
            <w:t>Australian Signals Directorate.</w:t>
          </w:r>
          <w:r w:rsidR="00075453" w:rsidRPr="004816BC">
            <w:t xml:space="preserve"> https://www.cyber.gov.au/sites/default/files/2020-10/Ransomware%20in%20Australia%20%28October%202020%29.pdf.</w:t>
          </w:r>
        </w:p>
        <w:p w14:paraId="4B5B998E" w14:textId="77777777" w:rsidR="00075453" w:rsidRPr="004816BC" w:rsidRDefault="00075453" w:rsidP="00075453">
          <w:r w:rsidRPr="004816BC">
            <w:t xml:space="preserve">—. </w:t>
          </w:r>
          <w:r>
            <w:t>(</w:t>
          </w:r>
          <w:r w:rsidRPr="004816BC">
            <w:t>2020</w:t>
          </w:r>
          <w:r>
            <w:t>)</w:t>
          </w:r>
          <w:r w:rsidRPr="004816BC">
            <w:t>. Security Coordination - Critical Infrastructure Resilience. 23 April. https://www.homeaffairs.gov.au/about-us/our-portfolios/national-security/security-coordination/critical-infrastructure-resilience.</w:t>
          </w:r>
        </w:p>
        <w:p w14:paraId="141EAF29" w14:textId="77777777" w:rsidR="00075453" w:rsidRPr="004816BC" w:rsidRDefault="00075453" w:rsidP="00075453">
          <w:r w:rsidRPr="004816BC">
            <w:t xml:space="preserve">—. </w:t>
          </w:r>
          <w:r>
            <w:t>(</w:t>
          </w:r>
          <w:r w:rsidRPr="004816BC">
            <w:t>2021</w:t>
          </w:r>
          <w:r>
            <w:t>)</w:t>
          </w:r>
          <w:r w:rsidRPr="004816BC">
            <w:t>. Australia Energy Sector Cyber Security Framework Education Workshop. Australian Energy Market Operator. 30 June. Accessed August 3, 2021. https://aemo.com.au/-/media/files/initiatives/cyber-security/2021/the-2020-21-aescsf-education-workshop-pack.pdf?la=en.</w:t>
          </w:r>
        </w:p>
        <w:p w14:paraId="783271D0" w14:textId="3C888C91" w:rsidR="00075453" w:rsidRPr="004816BC" w:rsidRDefault="00C66A77" w:rsidP="00075453">
          <w:r w:rsidRPr="004816BC">
            <w:t>—</w:t>
          </w:r>
          <w:r w:rsidR="000D1D1E" w:rsidRPr="004816BC">
            <w:t>.</w:t>
          </w:r>
          <w:r w:rsidR="000D1D1E">
            <w:t xml:space="preserve"> (</w:t>
          </w:r>
          <w:r w:rsidR="00075453" w:rsidRPr="004816BC">
            <w:t>2021</w:t>
          </w:r>
          <w:r w:rsidR="00075453">
            <w:t>)</w:t>
          </w:r>
          <w:r w:rsidR="00075453" w:rsidRPr="004816BC">
            <w:t>. Protecting Critical Infrastructure and Systems of National Significance - Co-design of Governance Rules: Critical Infrastructure Risk Management Program, Summary of Consultation. https://www.homeaffairs.gov.au/reports-and-pubs/files/co-design-governance-rules-risk-management-summary.pdf.</w:t>
          </w:r>
        </w:p>
        <w:p w14:paraId="42452210" w14:textId="77777777" w:rsidR="00075453" w:rsidRPr="004816BC" w:rsidRDefault="00075453" w:rsidP="00075453">
          <w:r w:rsidRPr="004816BC">
            <w:t xml:space="preserve">—. </w:t>
          </w:r>
          <w:r>
            <w:t>(</w:t>
          </w:r>
          <w:r w:rsidRPr="004816BC">
            <w:t>2021</w:t>
          </w:r>
          <w:r>
            <w:t>)</w:t>
          </w:r>
          <w:r w:rsidRPr="004816BC">
            <w:t>. Safeguarding Critical Infrastructure. https://cicentre.gov.au/infrastructure.</w:t>
          </w:r>
        </w:p>
        <w:p w14:paraId="7138900F" w14:textId="77777777" w:rsidR="00075453" w:rsidRPr="004816BC" w:rsidRDefault="00075453" w:rsidP="00075453">
          <w:r w:rsidRPr="004816BC">
            <w:t xml:space="preserve">—. </w:t>
          </w:r>
          <w:r>
            <w:t>(</w:t>
          </w:r>
          <w:r w:rsidRPr="004816BC">
            <w:t>n.d</w:t>
          </w:r>
          <w:r>
            <w:t>)</w:t>
          </w:r>
          <w:r w:rsidRPr="004816BC">
            <w:t>. Trusted Information Sharing Network. https://cicentre.gov.au/tisn.</w:t>
          </w:r>
        </w:p>
        <w:p w14:paraId="21FB7DE5" w14:textId="11C0F686" w:rsidR="00C409A1" w:rsidRPr="00C409A1" w:rsidRDefault="00075453" w:rsidP="00C409A1">
          <w:r w:rsidRPr="004816BC">
            <w:t xml:space="preserve">ABC. </w:t>
          </w:r>
          <w:r>
            <w:t>(</w:t>
          </w:r>
          <w:r w:rsidRPr="004816BC">
            <w:t>2021</w:t>
          </w:r>
          <w:r>
            <w:t>)</w:t>
          </w:r>
          <w:r w:rsidRPr="004816BC">
            <w:t>. Colonial Pipeline says operations back to normal as US blames Darkside for ransomware attack</w:t>
          </w:r>
          <w:r>
            <w:t xml:space="preserve">. </w:t>
          </w:r>
          <w:r>
            <w:rPr>
              <w:i/>
              <w:iCs/>
            </w:rPr>
            <w:t xml:space="preserve">ABC. </w:t>
          </w:r>
          <w:hyperlink r:id="rId28" w:history="1">
            <w:r w:rsidR="0084541F" w:rsidRPr="00BF4F61">
              <w:rPr>
                <w:rStyle w:val="Hyperlink"/>
              </w:rPr>
              <w:t>https://www.abc.net.au/news/2021-05-16/colonial-pipeline-normal-operations-ransomeware-attack/100142608</w:t>
            </w:r>
          </w:hyperlink>
        </w:p>
        <w:p w14:paraId="0B496E58" w14:textId="4C5B7D8D" w:rsidR="0084541F" w:rsidRPr="009739FE" w:rsidRDefault="0084541F" w:rsidP="00075453">
          <w:pPr>
            <w:rPr>
              <w:i/>
              <w:iCs/>
            </w:rPr>
          </w:pPr>
          <w:r>
            <w:lastRenderedPageBreak/>
            <w:t xml:space="preserve">ABC. (2021) </w:t>
          </w:r>
          <w:r w:rsidRPr="0084541F">
            <w:t>Hackers demand $92m in bitcoin for data stolen during attack on US IT company Kaseya</w:t>
          </w:r>
          <w:r>
            <w:t xml:space="preserve">. </w:t>
          </w:r>
          <w:r>
            <w:rPr>
              <w:i/>
              <w:iCs/>
            </w:rPr>
            <w:t xml:space="preserve">ABC. </w:t>
          </w:r>
          <w:r w:rsidRPr="009739FE">
            <w:t>https://www.abc.net.au/news/2021-07-06/hackers-demand-92m-after-gargantuan-ransomware-attack/100269678</w:t>
          </w:r>
        </w:p>
        <w:p w14:paraId="48198A24" w14:textId="77777777" w:rsidR="00075453" w:rsidRDefault="00075453" w:rsidP="00075453">
          <w:r>
            <w:t>Abelson, P. (2007). Establishing a Monetary Value for Lives Saved: Issues and Controversies, Working Papers in Cost benefit Analysis WP 2008-2. Department of Finance and Deregulation. https://www.pmc.gov.au/sites/default/files/publications/Working_paper_2_Peter_Abelso n.pdf</w:t>
          </w:r>
        </w:p>
        <w:p w14:paraId="16D559A7" w14:textId="77777777" w:rsidR="00075453" w:rsidRPr="004816BC" w:rsidRDefault="00075453" w:rsidP="00075453">
          <w:r w:rsidRPr="004816BC">
            <w:t xml:space="preserve">Abrams, L. </w:t>
          </w:r>
          <w:r>
            <w:t>(</w:t>
          </w:r>
          <w:r w:rsidRPr="004816BC">
            <w:t>2021</w:t>
          </w:r>
          <w:r>
            <w:t>)</w:t>
          </w:r>
          <w:r w:rsidRPr="004816BC">
            <w:t xml:space="preserve">. Trucking giant Forward Air reports ransomware data breach. </w:t>
          </w:r>
          <w:r w:rsidRPr="00C97463">
            <w:rPr>
              <w:i/>
              <w:iCs/>
            </w:rPr>
            <w:t>Bleeping Computer.</w:t>
          </w:r>
          <w:r>
            <w:t xml:space="preserve"> </w:t>
          </w:r>
          <w:r w:rsidRPr="004816BC">
            <w:t>https://www.bleepingcomputer.com/news/security/trucking-giant-forward-air-reports-ransomware-data-breach/ 21 December</w:t>
          </w:r>
          <w:r>
            <w:t>.</w:t>
          </w:r>
        </w:p>
        <w:p w14:paraId="11DD1597" w14:textId="774E567B" w:rsidR="00075453" w:rsidRPr="004816BC" w:rsidRDefault="00075453" w:rsidP="00075453">
          <w:r w:rsidRPr="004816BC">
            <w:t xml:space="preserve">AEMC. </w:t>
          </w:r>
          <w:r>
            <w:t>(</w:t>
          </w:r>
          <w:r w:rsidRPr="004816BC">
            <w:t>2019</w:t>
          </w:r>
          <w:r>
            <w:t>)</w:t>
          </w:r>
          <w:r w:rsidR="000D1D1E" w:rsidRPr="004816BC">
            <w:t>. “</w:t>
          </w:r>
          <w:r w:rsidRPr="004816BC">
            <w:t>Definition of Unserved Energy, Final Report. August.</w:t>
          </w:r>
        </w:p>
        <w:p w14:paraId="699204FD" w14:textId="77777777" w:rsidR="00075453" w:rsidRPr="004816BC" w:rsidRDefault="00075453" w:rsidP="00075453">
          <w:r w:rsidRPr="004816BC">
            <w:t xml:space="preserve">AEMC. </w:t>
          </w:r>
          <w:r>
            <w:t>(</w:t>
          </w:r>
          <w:r w:rsidRPr="004816BC">
            <w:t>n.d</w:t>
          </w:r>
          <w:r>
            <w:t>)</w:t>
          </w:r>
          <w:r w:rsidRPr="004816BC">
            <w:t>. Electricity Market.</w:t>
          </w:r>
          <w:r>
            <w:t xml:space="preserve"> </w:t>
          </w:r>
          <w:r w:rsidRPr="004816BC">
            <w:t>AEMC. https://www.aemc.gov.au/energy-system/electricity/electricity-market.</w:t>
          </w:r>
        </w:p>
        <w:p w14:paraId="21D65486" w14:textId="77777777" w:rsidR="00075453" w:rsidRPr="004816BC" w:rsidRDefault="00075453" w:rsidP="00075453">
          <w:r w:rsidRPr="004816BC">
            <w:t xml:space="preserve">Aid &amp; International Development Forum. </w:t>
          </w:r>
          <w:r>
            <w:t>(</w:t>
          </w:r>
          <w:r w:rsidRPr="004816BC">
            <w:t>2017</w:t>
          </w:r>
          <w:r>
            <w:t>)</w:t>
          </w:r>
          <w:r w:rsidRPr="004816BC">
            <w:t>. 5 Reasons Why Everyone Needs Clean Drinking Water. http://www.aidforum.org/topics/health-and-wash/5-reasons-why-everyone-needs-clean-drinking-water/ 14 December</w:t>
          </w:r>
        </w:p>
        <w:p w14:paraId="367560C3" w14:textId="77777777" w:rsidR="00075453" w:rsidRPr="004816BC" w:rsidRDefault="00075453" w:rsidP="00075453">
          <w:r w:rsidRPr="004816BC">
            <w:t xml:space="preserve">Alinta Energy. </w:t>
          </w:r>
          <w:r>
            <w:t>(</w:t>
          </w:r>
          <w:r w:rsidRPr="004816BC">
            <w:t>2020</w:t>
          </w:r>
          <w:r>
            <w:t>)</w:t>
          </w:r>
          <w:r w:rsidRPr="004816BC">
            <w:t>.</w:t>
          </w:r>
          <w:r>
            <w:t xml:space="preserve"> </w:t>
          </w:r>
          <w:r w:rsidRPr="004816BC">
            <w:t>Response to Exposure Draft - Security Legislation Amendment (Critical Infrastructure) Bill 2020. 27 November.</w:t>
          </w:r>
        </w:p>
        <w:p w14:paraId="500DE8A3" w14:textId="77777777" w:rsidR="00075453" w:rsidRPr="004816BC" w:rsidRDefault="00075453" w:rsidP="00075453">
          <w:r w:rsidRPr="004816BC">
            <w:t xml:space="preserve">Anderson, Rob. </w:t>
          </w:r>
          <w:r>
            <w:t>(</w:t>
          </w:r>
          <w:r w:rsidRPr="004816BC">
            <w:t>2020</w:t>
          </w:r>
          <w:r>
            <w:t>)</w:t>
          </w:r>
          <w:r w:rsidRPr="004816BC">
            <w:t>. “Brad Flanagan, Essential Energy’s Head of Cybersecurity, on securing OT environments and the AESCSF.” PSC Consulting, Brad Flanagan, Essential Energy’s Head of Cybersecurity, on securing OT environments and the AESCSF - PSC Consulting 16 December</w:t>
          </w:r>
          <w:r>
            <w:t>.</w:t>
          </w:r>
        </w:p>
        <w:p w14:paraId="40A2A036" w14:textId="77777777" w:rsidR="00075453" w:rsidRPr="004816BC" w:rsidRDefault="00075453" w:rsidP="00075453">
          <w:r w:rsidRPr="004816BC">
            <w:t>AP New</w:t>
          </w:r>
          <w:r>
            <w:t>s. (</w:t>
          </w:r>
          <w:r w:rsidRPr="004816BC">
            <w:t>2020</w:t>
          </w:r>
          <w:r>
            <w:t>)</w:t>
          </w:r>
          <w:r w:rsidRPr="004816BC">
            <w:t xml:space="preserve">. German hospital hacked, patient taken to another city dies. </w:t>
          </w:r>
          <w:r>
            <w:rPr>
              <w:i/>
              <w:iCs/>
            </w:rPr>
            <w:t xml:space="preserve">AP News. </w:t>
          </w:r>
          <w:r w:rsidRPr="004816BC">
            <w:t>18 September.  https://apnews.com/article/technology-hacking-europe-cf8f8eee1adcec69bcc864f2c4308c94</w:t>
          </w:r>
          <w:r>
            <w:t>.</w:t>
          </w:r>
        </w:p>
        <w:p w14:paraId="39E92025" w14:textId="77777777" w:rsidR="00075453" w:rsidRPr="004816BC" w:rsidRDefault="00075453" w:rsidP="00075453">
          <w:r w:rsidRPr="004816BC">
            <w:t xml:space="preserve">Arcadia. </w:t>
          </w:r>
          <w:r>
            <w:t>(</w:t>
          </w:r>
          <w:r w:rsidRPr="004816BC">
            <w:t>2017</w:t>
          </w:r>
          <w:r>
            <w:t>)</w:t>
          </w:r>
          <w:r w:rsidRPr="004816BC">
            <w:t>.</w:t>
          </w:r>
          <w:r>
            <w:t xml:space="preserve"> </w:t>
          </w:r>
          <w:r w:rsidRPr="004816BC">
            <w:t>Causes and Effects of Water Scarcity and Droughts. https://blog.arcadia.com/causes-and-effects-of-water-scarcity/ 14 December</w:t>
          </w:r>
          <w:r>
            <w:t>.</w:t>
          </w:r>
        </w:p>
        <w:p w14:paraId="3F82EDD4" w14:textId="77777777" w:rsidR="00075453" w:rsidRPr="004816BC" w:rsidRDefault="00075453" w:rsidP="00075453">
          <w:r w:rsidRPr="004816BC">
            <w:t xml:space="preserve">Ascierto, R. </w:t>
          </w:r>
          <w:r>
            <w:t>(</w:t>
          </w:r>
          <w:r w:rsidRPr="004816BC">
            <w:t>2021</w:t>
          </w:r>
          <w:r>
            <w:t>)</w:t>
          </w:r>
          <w:r w:rsidRPr="004816BC">
            <w:t xml:space="preserve">. Data Center Insecurity. </w:t>
          </w:r>
          <w:r w:rsidRPr="00C97463">
            <w:rPr>
              <w:i/>
              <w:iCs/>
            </w:rPr>
            <w:t>Data Center Dynamics</w:t>
          </w:r>
          <w:r w:rsidRPr="004816BC">
            <w:t>. https://www.datacenterdynamics.com/en/opinions/data-center-insecurity/, 13 April.</w:t>
          </w:r>
        </w:p>
        <w:p w14:paraId="1CEAB54F" w14:textId="7DD2F419" w:rsidR="00075453" w:rsidRPr="004816BC" w:rsidRDefault="00075453" w:rsidP="00075453">
          <w:r w:rsidRPr="004816BC">
            <w:t xml:space="preserve">Atlantic Council. </w:t>
          </w:r>
          <w:r>
            <w:t>(</w:t>
          </w:r>
          <w:r w:rsidRPr="004816BC">
            <w:t>2018</w:t>
          </w:r>
          <w:r>
            <w:t>)</w:t>
          </w:r>
          <w:r w:rsidRPr="004816BC">
            <w:t xml:space="preserve">. Managing risk in the energy sector's cyber supply chain. </w:t>
          </w:r>
          <w:r w:rsidRPr="00C97463">
            <w:rPr>
              <w:i/>
              <w:iCs/>
            </w:rPr>
            <w:t>World Economic Forum.</w:t>
          </w:r>
          <w:r w:rsidRPr="004816BC">
            <w:t xml:space="preserve"> https://www.weforum.org/agenda/2018/06/managing-risk-in-the-energy-sector-s-cyber-supply-chain/, 16 </w:t>
          </w:r>
          <w:r w:rsidR="000D1D1E" w:rsidRPr="004816BC">
            <w:t>June.</w:t>
          </w:r>
        </w:p>
        <w:p w14:paraId="733A62A0" w14:textId="77777777" w:rsidR="00075453" w:rsidRPr="004816BC" w:rsidRDefault="00075453" w:rsidP="00075453">
          <w:r w:rsidRPr="004816BC">
            <w:t xml:space="preserve">Atlassian. </w:t>
          </w:r>
          <w:r>
            <w:t>(</w:t>
          </w:r>
          <w:r w:rsidRPr="004816BC">
            <w:t>2020</w:t>
          </w:r>
          <w:r>
            <w:t>).</w:t>
          </w:r>
          <w:r w:rsidRPr="004816BC">
            <w:t xml:space="preserve"> November 27. Atlassian’s Submission in relation to the Security Legislation Amendment (Critical Infrastructure) Bill 2020. Atlassian. https://www.homeaffairs.gov.au/reports-and-pubs/files/critical-infrastructure-consultation-submissions/EDS035-CISoNS-Atlassian.PDF.</w:t>
          </w:r>
        </w:p>
        <w:p w14:paraId="21E6868B" w14:textId="77777777" w:rsidR="00075453" w:rsidRPr="00E91F10" w:rsidRDefault="00075453" w:rsidP="00075453">
          <w:r w:rsidRPr="004816BC">
            <w:t xml:space="preserve">AuDA. </w:t>
          </w:r>
          <w:r>
            <w:t>(</w:t>
          </w:r>
          <w:r w:rsidRPr="004816BC">
            <w:t>2021</w:t>
          </w:r>
          <w:r>
            <w:t>)</w:t>
          </w:r>
          <w:r w:rsidRPr="004816BC">
            <w:t>. AuDA’s Terms of Endorsement. https://www.auda.org.au/about-auda/governance/terms-endorsement.</w:t>
          </w:r>
        </w:p>
        <w:p w14:paraId="23C4440F" w14:textId="3E796557" w:rsidR="00075453" w:rsidRPr="004816BC" w:rsidRDefault="00075453" w:rsidP="00075453">
          <w:r w:rsidRPr="004816BC">
            <w:t xml:space="preserve">Ausgrid. </w:t>
          </w:r>
          <w:r>
            <w:t>(</w:t>
          </w:r>
          <w:r w:rsidRPr="004816BC">
            <w:t>2020</w:t>
          </w:r>
          <w:r>
            <w:t>)</w:t>
          </w:r>
          <w:r w:rsidRPr="004816BC">
            <w:t xml:space="preserve">. Response to Exposure Draft - Security Legislation Amendment (Critical Infrastructure) Bill 2020. 27 </w:t>
          </w:r>
          <w:r w:rsidR="000D1D1E" w:rsidRPr="004816BC">
            <w:t>November.</w:t>
          </w:r>
        </w:p>
        <w:p w14:paraId="3B73CAD1" w14:textId="77777777" w:rsidR="00075453" w:rsidRPr="004816BC" w:rsidRDefault="00075453" w:rsidP="00075453">
          <w:r w:rsidRPr="004816BC">
            <w:t xml:space="preserve">Australian Border Force. </w:t>
          </w:r>
          <w:r>
            <w:t>(</w:t>
          </w:r>
          <w:r w:rsidRPr="004816BC">
            <w:t>2021</w:t>
          </w:r>
          <w:r>
            <w:t>)</w:t>
          </w:r>
          <w:r w:rsidRPr="004816BC">
            <w:t>. Maritime Border Command. https://www.abf.gov.au/about-us/what-we-do/border-protection/maritime</w:t>
          </w:r>
          <w:r>
            <w:t>.</w:t>
          </w:r>
        </w:p>
        <w:p w14:paraId="643885D2" w14:textId="77777777" w:rsidR="00075453" w:rsidRPr="004816BC" w:rsidRDefault="00075453" w:rsidP="00075453">
          <w:r w:rsidRPr="004816BC">
            <w:t xml:space="preserve">Australian Energy Market Operator. </w:t>
          </w:r>
          <w:r>
            <w:t>(</w:t>
          </w:r>
          <w:r w:rsidRPr="004816BC">
            <w:t>2018</w:t>
          </w:r>
          <w:r>
            <w:t xml:space="preserve">). </w:t>
          </w:r>
          <w:r w:rsidRPr="004816BC">
            <w:t xml:space="preserve">AEMO Report: Cyber security preparedness in the NEM and WEM. </w:t>
          </w:r>
          <w:r w:rsidRPr="00C97463">
            <w:rPr>
              <w:i/>
              <w:iCs/>
            </w:rPr>
            <w:t>AEMO</w:t>
          </w:r>
          <w:r w:rsidRPr="004816BC">
            <w:t>. https://aemo.com.au/en/newsroom/media-release/cybersecurity-in-the-nem-and-wem.</w:t>
          </w:r>
        </w:p>
        <w:p w14:paraId="6772B795" w14:textId="77777777" w:rsidR="00075453" w:rsidRPr="004816BC" w:rsidRDefault="00075453" w:rsidP="00075453">
          <w:r w:rsidRPr="004816BC">
            <w:t xml:space="preserve">Australian Energy Market Operator. </w:t>
          </w:r>
          <w:r>
            <w:t>(</w:t>
          </w:r>
          <w:r w:rsidRPr="004816BC">
            <w:t>2018</w:t>
          </w:r>
          <w:r>
            <w:t>)</w:t>
          </w:r>
          <w:r w:rsidRPr="004816BC">
            <w:t xml:space="preserve"> AEMO Request for Protected Event Declaration: Potential Loss of Multiple Generators in South Australia.</w:t>
          </w:r>
        </w:p>
        <w:p w14:paraId="36F9B75B" w14:textId="77777777" w:rsidR="00075453" w:rsidRPr="004816BC" w:rsidRDefault="00075453" w:rsidP="00075453">
          <w:r w:rsidRPr="004816BC">
            <w:t xml:space="preserve">Australian Energy Market Operator. </w:t>
          </w:r>
          <w:r>
            <w:t>(</w:t>
          </w:r>
          <w:r w:rsidRPr="004816BC">
            <w:t>2019</w:t>
          </w:r>
          <w:r>
            <w:t>)</w:t>
          </w:r>
          <w:r w:rsidRPr="004816BC">
            <w:t xml:space="preserve"> Cyber security continues to be a key focus for the energy industry. </w:t>
          </w:r>
          <w:r w:rsidRPr="00C97463">
            <w:rPr>
              <w:i/>
              <w:iCs/>
            </w:rPr>
            <w:t>AEMO</w:t>
          </w:r>
          <w:r w:rsidRPr="004816BC">
            <w:t>. https://aemo.com.au/newsroom/media-release/cyber-security-key-focus-for-the-energy-industry.</w:t>
          </w:r>
        </w:p>
        <w:p w14:paraId="24FBEAF0" w14:textId="77777777" w:rsidR="00075453" w:rsidRPr="004816BC" w:rsidRDefault="00075453" w:rsidP="00075453">
          <w:r w:rsidRPr="004816BC">
            <w:t xml:space="preserve">Australian Energy Market Operator. </w:t>
          </w:r>
          <w:r>
            <w:t>(</w:t>
          </w:r>
          <w:r w:rsidRPr="004816BC">
            <w:t>2021</w:t>
          </w:r>
          <w:r>
            <w:t xml:space="preserve">). </w:t>
          </w:r>
          <w:r w:rsidRPr="004816BC">
            <w:t>Australia Energy Sector Cyber Security Framework Education Workshop.  Australian Energy Market Operator: https://aemo.com.au/-/media/files/initiatives/cyber-security/2021/the-2020-21-aescsf-education-workshop-pack.pdf?la=en</w:t>
          </w:r>
        </w:p>
        <w:p w14:paraId="6F70BA99" w14:textId="77777777" w:rsidR="00075453" w:rsidRPr="004816BC" w:rsidRDefault="00075453" w:rsidP="00075453">
          <w:r w:rsidRPr="004816BC">
            <w:t xml:space="preserve">Australian Energy Market Operator. </w:t>
          </w:r>
          <w:r>
            <w:t>(</w:t>
          </w:r>
          <w:r w:rsidRPr="004816BC">
            <w:t>2018</w:t>
          </w:r>
          <w:r>
            <w:t>)</w:t>
          </w:r>
          <w:r w:rsidRPr="004816BC">
            <w:t>. AEMO Report: Cyber security preparedness in the NEM and WEM. AEMO. https://aemo.com.au/en/newsroom/media-release/cybersecurity-in-the-nem-and-wem, 20 December.</w:t>
          </w:r>
        </w:p>
        <w:p w14:paraId="52B36F60" w14:textId="77777777" w:rsidR="00075453" w:rsidRPr="004816BC" w:rsidRDefault="00075453" w:rsidP="00075453">
          <w:r w:rsidRPr="004816BC">
            <w:lastRenderedPageBreak/>
            <w:t xml:space="preserve">Australian Energy Regulator. </w:t>
          </w:r>
          <w:r>
            <w:t>(</w:t>
          </w:r>
          <w:r w:rsidRPr="004816BC">
            <w:t>2020</w:t>
          </w:r>
          <w:r>
            <w:t>)</w:t>
          </w:r>
          <w:r w:rsidRPr="004816BC">
            <w:t xml:space="preserve"> Widespread and Long Duration Outages - Values of Customer Reliability Consultation Paper.</w:t>
          </w:r>
        </w:p>
        <w:p w14:paraId="48C49003" w14:textId="77777777" w:rsidR="00075453" w:rsidRPr="004816BC" w:rsidRDefault="00075453" w:rsidP="00075453">
          <w:r w:rsidRPr="004816BC">
            <w:t xml:space="preserve">Australian Energy Regulator. </w:t>
          </w:r>
          <w:r>
            <w:t>(</w:t>
          </w:r>
          <w:r w:rsidRPr="004816BC">
            <w:t>2018</w:t>
          </w:r>
          <w:r>
            <w:t>)</w:t>
          </w:r>
          <w:r w:rsidRPr="004816BC">
            <w:t>. Investigation Report into South Australia's 2016 State-wide Blackout. Australian Energy Regulator. https://www.aer.gov.au/wholesale-markets/compliance-reporting/investigation-report-into-south-australias-2016-state-wide-blackout.</w:t>
          </w:r>
        </w:p>
        <w:p w14:paraId="1EA8E97C" w14:textId="62B8C448" w:rsidR="00BB7D5F" w:rsidRPr="004816BC" w:rsidRDefault="00075453" w:rsidP="00075453">
          <w:r w:rsidRPr="004816BC">
            <w:t xml:space="preserve">Australian Financial Review. </w:t>
          </w:r>
          <w:r>
            <w:t>(</w:t>
          </w:r>
          <w:r w:rsidRPr="004816BC">
            <w:t>2021</w:t>
          </w:r>
          <w:r>
            <w:t>)</w:t>
          </w:r>
          <w:r w:rsidRPr="004816BC">
            <w:t xml:space="preserve">. Frontier Software payroll company Hacked. </w:t>
          </w:r>
          <w:r w:rsidRPr="00BD7D5C">
            <w:rPr>
              <w:i/>
              <w:iCs/>
            </w:rPr>
            <w:t>Australian Financial Review</w:t>
          </w:r>
          <w:r w:rsidRPr="004816BC">
            <w:t xml:space="preserve"> https://www.afr.com/work-and-careers/workplace/pay-in-crisis-as-major-payroll-company-hacked-20211117-p599mr.</w:t>
          </w:r>
        </w:p>
        <w:p w14:paraId="1BE6261F" w14:textId="63A107DA" w:rsidR="00075453" w:rsidRPr="004816BC" w:rsidRDefault="00075453" w:rsidP="00075453">
          <w:r w:rsidRPr="004816BC">
            <w:t xml:space="preserve">Australian </w:t>
          </w:r>
          <w:r w:rsidR="000D1D1E" w:rsidRPr="004816BC">
            <w:t xml:space="preserve">Government. </w:t>
          </w:r>
          <w:r>
            <w:t>(</w:t>
          </w:r>
          <w:r w:rsidRPr="004816BC">
            <w:t>2021</w:t>
          </w:r>
          <w:r>
            <w:t>)</w:t>
          </w:r>
          <w:r w:rsidRPr="004816BC">
            <w:t>. Federal Budget 2021-22, Budget Paper No. 2, Part 2: Payment Measures. https://budget.gov.au/2021-22/content/bp2/download/bp2_03_payment.pdf.</w:t>
          </w:r>
        </w:p>
        <w:p w14:paraId="675142FC" w14:textId="77777777" w:rsidR="00075453" w:rsidRPr="004816BC" w:rsidRDefault="00075453" w:rsidP="00075453">
          <w:r w:rsidRPr="004816BC">
            <w:t xml:space="preserve">Australian Government Department of Infrastructure, Transport, Regional Development and Communications. 2021. Terms of Endorsement for AuDA. November. https://assets.auda.org.au/a/2021-11/Terms%20of%20Endorsement%20for%20auDA%20%282021%29.pdf?VersionId=xq7v3.5kGRr.UnneJtHDhGUVaWJKc231. </w:t>
          </w:r>
        </w:p>
        <w:p w14:paraId="3383A194" w14:textId="1D31CE13" w:rsidR="00075453" w:rsidRPr="004816BC" w:rsidRDefault="00075453" w:rsidP="00075453">
          <w:r w:rsidRPr="004816BC">
            <w:t xml:space="preserve">Australian Government Productivity Commission. </w:t>
          </w:r>
          <w:r>
            <w:t>(</w:t>
          </w:r>
          <w:r w:rsidRPr="004816BC">
            <w:t>2021</w:t>
          </w:r>
          <w:r>
            <w:t>)</w:t>
          </w:r>
          <w:r w:rsidRPr="004816BC">
            <w:t>. Vulnerable Supply Chains. Productivity Commission Interim Report. March. https://www.pc.gov.au/inquiries/current/supply-chains/interim/supply-chains-interim.pdf.</w:t>
          </w:r>
        </w:p>
        <w:p w14:paraId="5BDA710C" w14:textId="47721DFF" w:rsidR="006E121A" w:rsidRPr="006E121A" w:rsidRDefault="00075453" w:rsidP="006E121A">
          <w:r w:rsidRPr="004816BC">
            <w:t xml:space="preserve">Australian Security Intelligence Organisation. </w:t>
          </w:r>
          <w:r>
            <w:t>(</w:t>
          </w:r>
          <w:r w:rsidRPr="004816BC">
            <w:t>2019</w:t>
          </w:r>
          <w:r>
            <w:t>)</w:t>
          </w:r>
          <w:r w:rsidRPr="004816BC">
            <w:t>. ASIO Annual Report.</w:t>
          </w:r>
          <w:r>
            <w:t xml:space="preserve"> </w:t>
          </w:r>
          <w:hyperlink r:id="rId29" w:history="1">
            <w:r w:rsidR="007F07A3" w:rsidRPr="00813876">
              <w:rPr>
                <w:rStyle w:val="Hyperlink"/>
              </w:rPr>
              <w:t>https://www.asio.gov.au/sites/default/files/ASIO%20Annual%20Report%202019-20.pdf</w:t>
            </w:r>
          </w:hyperlink>
          <w:r>
            <w:t>.</w:t>
          </w:r>
        </w:p>
        <w:p w14:paraId="4ED320FA" w14:textId="03C8B9FE" w:rsidR="007F07A3" w:rsidRPr="004816BC" w:rsidRDefault="007F07A3" w:rsidP="00075453">
          <w:r>
            <w:t>Australian Security Intelligence Organisation. (202</w:t>
          </w:r>
          <w:r w:rsidR="004C2010">
            <w:t xml:space="preserve">1). ASIO Annual Report. </w:t>
          </w:r>
          <w:hyperlink r:id="rId30" w:history="1">
            <w:r w:rsidR="004C2010">
              <w:rPr>
                <w:rStyle w:val="Hyperlink"/>
                <w:rFonts w:ascii="Calibri" w:hAnsi="Calibri" w:cs="Calibri"/>
                <w:sz w:val="22"/>
              </w:rPr>
              <w:t>https://www.asio.gov.au/sites/default/files/Annual%20Report%202020-21%20WEB.pdf</w:t>
            </w:r>
          </w:hyperlink>
          <w:r w:rsidR="004C2010">
            <w:rPr>
              <w:rFonts w:ascii="Calibri" w:hAnsi="Calibri" w:cs="Calibri"/>
              <w:sz w:val="22"/>
            </w:rPr>
            <w:t>.</w:t>
          </w:r>
        </w:p>
        <w:p w14:paraId="662FC1BC" w14:textId="77777777" w:rsidR="00075453" w:rsidRPr="004816BC" w:rsidRDefault="00075453" w:rsidP="00075453">
          <w:r w:rsidRPr="004816BC">
            <w:t xml:space="preserve">Australian Signals Directorate. </w:t>
          </w:r>
          <w:r>
            <w:t>(</w:t>
          </w:r>
          <w:r w:rsidRPr="004816BC">
            <w:t>2017</w:t>
          </w:r>
          <w:r>
            <w:t>)</w:t>
          </w:r>
          <w:r w:rsidRPr="004816BC">
            <w:t>. Australian Cyber Security Centre Threat Report. Retrieved from https://www.cyber.gov.au/sites/default/files/2019-03/ACSC_Threat_Report_2017.pdf</w:t>
          </w:r>
          <w:r>
            <w:t>.</w:t>
          </w:r>
        </w:p>
        <w:p w14:paraId="5128241C" w14:textId="77777777" w:rsidR="00075453" w:rsidRPr="004816BC" w:rsidRDefault="00075453" w:rsidP="00075453">
          <w:r w:rsidRPr="004816BC">
            <w:t xml:space="preserve">Australian Signals Directorate. </w:t>
          </w:r>
          <w:r>
            <w:t>(</w:t>
          </w:r>
          <w:r w:rsidRPr="004816BC">
            <w:t>2020</w:t>
          </w:r>
          <w:r>
            <w:t>)</w:t>
          </w:r>
          <w:r w:rsidRPr="004816BC">
            <w:t>. Ransomware in Australia. Canberra: Australian Signals Directorate. https://www.cyber.gov.au/sites/default/files/2020-10/Ransomware%20in%20Australia%20%28October%202020%29.pdf</w:t>
          </w:r>
          <w:r>
            <w:t>.</w:t>
          </w:r>
        </w:p>
        <w:p w14:paraId="0BFE25B5" w14:textId="6C4392D5" w:rsidR="00075453" w:rsidRDefault="00075453" w:rsidP="00075453">
          <w:r w:rsidRPr="004816BC">
            <w:t xml:space="preserve">Australian Signals Directorate. </w:t>
          </w:r>
          <w:r>
            <w:t>(</w:t>
          </w:r>
          <w:r w:rsidRPr="004816BC">
            <w:t>2020</w:t>
          </w:r>
          <w:r>
            <w:t>)</w:t>
          </w:r>
          <w:r w:rsidRPr="004816BC">
            <w:t>. Australian Cyber Security Centre Annual Cyber Threat Repor</w:t>
          </w:r>
          <w:r>
            <w:t>t 2019-2021</w:t>
          </w:r>
          <w:r w:rsidRPr="004816BC">
            <w:t xml:space="preserve">. </w:t>
          </w:r>
          <w:hyperlink r:id="rId31" w:history="1">
            <w:r w:rsidRPr="00552CF5">
              <w:rPr>
                <w:rStyle w:val="Hyperlink"/>
              </w:rPr>
              <w:t>https://www.cyber.gov.au/sites/default/files/2020-09/ACSC-Annual-Cyber-Threat-Report-2019-20.pdf</w:t>
            </w:r>
          </w:hyperlink>
          <w:r w:rsidRPr="004816BC">
            <w:t>.</w:t>
          </w:r>
        </w:p>
        <w:p w14:paraId="2FF95AEF" w14:textId="77777777" w:rsidR="00075453" w:rsidRPr="004816BC" w:rsidRDefault="00075453" w:rsidP="00075453">
          <w:r>
            <w:t xml:space="preserve">Australian Signals Directorate. (2021). ACSC Annual Cyber Threat Report – 1 July 2021 to 30 June 2021. </w:t>
          </w:r>
          <w:r w:rsidRPr="003F7BA9">
            <w:t>https://www.cyber.gov.au/acsc/view-all-content/reports-and-statistics/acsc-annual-cyber-threat-report-2020-21</w:t>
          </w:r>
          <w:r>
            <w:t>.</w:t>
          </w:r>
        </w:p>
        <w:p w14:paraId="0C2255EC" w14:textId="77777777" w:rsidR="00075453" w:rsidRPr="00CE4B35" w:rsidRDefault="00075453" w:rsidP="00075453">
          <w:pPr>
            <w:rPr>
              <w:lang w:val="nl-NL"/>
            </w:rPr>
          </w:pPr>
          <w:r w:rsidRPr="004816BC">
            <w:t>Barrera, A. Parraga. M</w:t>
          </w:r>
          <w:r>
            <w:t>. (</w:t>
          </w:r>
          <w:r w:rsidRPr="004816BC">
            <w:t>2021</w:t>
          </w:r>
          <w:r>
            <w:t>)</w:t>
          </w:r>
          <w:r w:rsidRPr="004816BC">
            <w:t xml:space="preserve">. </w:t>
          </w:r>
          <w:r>
            <w:t>“</w:t>
          </w:r>
          <w:r w:rsidRPr="004816BC">
            <w:t xml:space="preserve">Eye of fire” in Mexican waters snuffed out, says national oil company. </w:t>
          </w:r>
          <w:r w:rsidRPr="00CE4B35">
            <w:rPr>
              <w:i/>
              <w:lang w:val="nl-NL"/>
            </w:rPr>
            <w:t>Reuters.</w:t>
          </w:r>
          <w:r w:rsidRPr="00CE4B35">
            <w:rPr>
              <w:lang w:val="nl-NL"/>
            </w:rPr>
            <w:t xml:space="preserve"> https://www.reuters.com/business/energy/fire-offshore-pemex-platform-gulf-mexico-under-control-2021-07-02/.</w:t>
          </w:r>
        </w:p>
        <w:p w14:paraId="1C470312" w14:textId="77777777" w:rsidR="00B671B2" w:rsidRPr="00B671B2" w:rsidRDefault="00075453" w:rsidP="00B671B2">
          <w:r w:rsidRPr="004816BC">
            <w:t xml:space="preserve">BBC News. </w:t>
          </w:r>
          <w:r>
            <w:t>(</w:t>
          </w:r>
          <w:r w:rsidRPr="004816BC">
            <w:t>2017</w:t>
          </w:r>
          <w:r>
            <w:t>)</w:t>
          </w:r>
          <w:r w:rsidRPr="004816BC">
            <w:t>. NotPeyta cyber-attack cost TNT at least $300m. https://www.bbc.com/news/technology-41336086 21 December</w:t>
          </w:r>
          <w:r>
            <w:t>.</w:t>
          </w:r>
        </w:p>
        <w:p w14:paraId="433E19CC" w14:textId="7C0C5CDE" w:rsidR="00414978" w:rsidRPr="004816BC" w:rsidRDefault="00881678" w:rsidP="00075453">
          <w:r>
            <w:t>BBC News. (2010). Australia: Queensland floods spur more evacuations</w:t>
          </w:r>
          <w:r w:rsidR="00B93B14">
            <w:t xml:space="preserve">. </w:t>
          </w:r>
          <w:r w:rsidR="00B93B14" w:rsidRPr="00B93B14">
            <w:t>https://www.bbc.com/news/world-asia-pacific-12097280</w:t>
          </w:r>
        </w:p>
        <w:p w14:paraId="1A87A8AD" w14:textId="77777777" w:rsidR="00075453" w:rsidRPr="004816BC" w:rsidRDefault="00075453" w:rsidP="00075453">
          <w:r w:rsidRPr="004816BC">
            <w:t xml:space="preserve">Bennetto, J. </w:t>
          </w:r>
          <w:r>
            <w:t>(</w:t>
          </w:r>
          <w:r w:rsidRPr="004816BC">
            <w:t>1997</w:t>
          </w:r>
          <w:r>
            <w:t>)</w:t>
          </w:r>
          <w:r w:rsidRPr="004816BC">
            <w:t xml:space="preserve">. How the IRA plotted to switch off London. </w:t>
          </w:r>
          <w:r w:rsidRPr="00BD7D5C">
            <w:rPr>
              <w:i/>
              <w:iCs/>
            </w:rPr>
            <w:t>The Independent</w:t>
          </w:r>
          <w:r>
            <w:t>.</w:t>
          </w:r>
          <w:r w:rsidRPr="004816BC">
            <w:t xml:space="preserve"> 11 April.</w:t>
          </w:r>
        </w:p>
        <w:p w14:paraId="615EA46D" w14:textId="77777777" w:rsidR="00075453" w:rsidRPr="004816BC" w:rsidRDefault="00075453" w:rsidP="00075453">
          <w:r w:rsidRPr="004816BC">
            <w:t xml:space="preserve">Bloomberg. </w:t>
          </w:r>
          <w:r>
            <w:t>(</w:t>
          </w:r>
          <w:r w:rsidRPr="004816BC">
            <w:t>2021</w:t>
          </w:r>
          <w:r>
            <w:t>)</w:t>
          </w:r>
          <w:r w:rsidRPr="004816BC">
            <w:t xml:space="preserve">. Hackers Breached Colonial Pipeline Using Compromised Password. Technology Cybersecurity. Colonial Pipeline Cyber Attack: Hackers Used Compromised Password </w:t>
          </w:r>
          <w:r>
            <w:t>–</w:t>
          </w:r>
          <w:r w:rsidRPr="004816BC">
            <w:t xml:space="preserve"> Bloomberg</w:t>
          </w:r>
          <w:r>
            <w:t xml:space="preserve">. </w:t>
          </w:r>
        </w:p>
        <w:p w14:paraId="06D6D08E" w14:textId="77777777" w:rsidR="00075453" w:rsidRPr="004816BC" w:rsidRDefault="00075453" w:rsidP="00075453">
          <w:r w:rsidRPr="004816BC">
            <w:t xml:space="preserve">Bloomberg. </w:t>
          </w:r>
          <w:r>
            <w:t>(</w:t>
          </w:r>
          <w:r w:rsidRPr="004816BC">
            <w:t>2021</w:t>
          </w:r>
          <w:r>
            <w:t>)</w:t>
          </w:r>
          <w:r w:rsidRPr="004816BC">
            <w:t>. U.K. Road-Fuel Panic Deep</w:t>
          </w:r>
          <w:r>
            <w:t>e</w:t>
          </w:r>
          <w:r w:rsidRPr="004816BC">
            <w:t>ns in the Pain in Crisis-Prone Economy.</w:t>
          </w:r>
          <w:r>
            <w:t xml:space="preserve"> </w:t>
          </w:r>
          <w:r>
            <w:rPr>
              <w:i/>
              <w:iCs/>
            </w:rPr>
            <w:t>Bloomberg</w:t>
          </w:r>
          <w:r w:rsidRPr="004816BC">
            <w:t xml:space="preserve"> https://www.google.com/search?q=U.K.+Road-Fuel+Panic+Deepens+the+Pain+in+Crisis-Prone+Economy+-+Bloomberg&amp;oq=U.K.+Road-Fuel+Panic+Deepens+the+Pain+in+Crisis-Prone+Economy+-+Bloomberg&amp;aqs=edge.69i57.458j0j4&amp;sourceid=chrome&amp;ie=UTF-8&amp;safe=active&amp;ssui=on</w:t>
          </w:r>
          <w:r>
            <w:t>.</w:t>
          </w:r>
        </w:p>
        <w:p w14:paraId="7A0B7AB9" w14:textId="77777777" w:rsidR="00075453" w:rsidRPr="004816BC" w:rsidRDefault="00075453" w:rsidP="00075453">
          <w:r w:rsidRPr="004816BC">
            <w:t xml:space="preserve">Branigan, T. </w:t>
          </w:r>
          <w:r>
            <w:t>(</w:t>
          </w:r>
          <w:r w:rsidRPr="004816BC">
            <w:t>2011</w:t>
          </w:r>
          <w:r>
            <w:t>)</w:t>
          </w:r>
          <w:r w:rsidRPr="004816BC">
            <w:t xml:space="preserve">. Tsunami, earthquake, nuclear crisis - now Japan faces power cuts. </w:t>
          </w:r>
          <w:r w:rsidRPr="00BD7D5C">
            <w:rPr>
              <w:i/>
              <w:iCs/>
            </w:rPr>
            <w:t>The Guardian</w:t>
          </w:r>
          <w:r w:rsidRPr="004816BC">
            <w:t>. 14 March. https://www.theguardian.com/world/2011/mar/13/japan-tsunami-earthquake-power-cuts.</w:t>
          </w:r>
        </w:p>
        <w:p w14:paraId="257012AE" w14:textId="77777777" w:rsidR="00075453" w:rsidRPr="004816BC" w:rsidRDefault="00075453" w:rsidP="00075453">
          <w:r w:rsidRPr="004816BC">
            <w:t xml:space="preserve">Brill, A. B. L. </w:t>
          </w:r>
          <w:r>
            <w:t>(</w:t>
          </w:r>
          <w:r w:rsidRPr="004816BC">
            <w:t>2021</w:t>
          </w:r>
          <w:r>
            <w:t>)</w:t>
          </w:r>
          <w:r w:rsidRPr="004816BC">
            <w:t xml:space="preserve">. Does a Ransomware Attack Constitute a Data Breach? </w:t>
          </w:r>
          <w:r w:rsidRPr="00BD7D5C">
            <w:rPr>
              <w:i/>
              <w:iCs/>
            </w:rPr>
            <w:t>Duff &amp; Phelps</w:t>
          </w:r>
          <w:r w:rsidRPr="004816BC">
            <w:t>. https://www.kroll.com/en/insights/publications/cyber/ransomware-attack-constitute-data-breach</w:t>
          </w:r>
          <w:r>
            <w:t>.</w:t>
          </w:r>
        </w:p>
        <w:p w14:paraId="57896045" w14:textId="77777777" w:rsidR="00075453" w:rsidRPr="004816BC" w:rsidRDefault="00075453" w:rsidP="00075453">
          <w:r w:rsidRPr="004816BC">
            <w:lastRenderedPageBreak/>
            <w:t>BSA The Software Alliance. (202</w:t>
          </w:r>
          <w:r>
            <w:t>0</w:t>
          </w:r>
          <w:r w:rsidRPr="004816BC">
            <w:t>). CRITICAL INFRASTRUCTURE BILL — BSA COMMENTS. https://www.homeaffairs.gov.au/reports-and-pubs/files/critical-infrastructure-consultation-submissions/EDS038-CISoNS-BSATheSoftwareAlliance.PDF.</w:t>
          </w:r>
        </w:p>
        <w:p w14:paraId="2DBCE052" w14:textId="77777777" w:rsidR="00075453" w:rsidRPr="004816BC" w:rsidRDefault="00075453" w:rsidP="00075453">
          <w:r w:rsidRPr="004816BC">
            <w:t xml:space="preserve">Butts, </w:t>
          </w:r>
          <w:r>
            <w:t>T</w:t>
          </w:r>
          <w:r w:rsidRPr="004816BC">
            <w:t xml:space="preserve">. </w:t>
          </w:r>
          <w:r>
            <w:t>(</w:t>
          </w:r>
          <w:r w:rsidRPr="004816BC">
            <w:t>2021</w:t>
          </w:r>
          <w:r>
            <w:t>)</w:t>
          </w:r>
          <w:r w:rsidRPr="004816BC">
            <w:t xml:space="preserve">. Sinclair Still Dealing with Effects from Ransomware Attack. </w:t>
          </w:r>
          <w:r w:rsidRPr="00BD7D5C">
            <w:rPr>
              <w:i/>
              <w:iCs/>
            </w:rPr>
            <w:t>TV Technology</w:t>
          </w:r>
          <w:r>
            <w:t>.</w:t>
          </w:r>
          <w:r w:rsidRPr="004816BC">
            <w:t xml:space="preserve"> 4 November. https://www.tvtechnology.com/news/sinclair-still-dealing-with-effects-from-ransomware-attack</w:t>
          </w:r>
        </w:p>
        <w:p w14:paraId="41F67937" w14:textId="77777777" w:rsidR="00075453" w:rsidRPr="004816BC" w:rsidRDefault="00075453" w:rsidP="00075453">
          <w:r w:rsidRPr="004816BC">
            <w:t xml:space="preserve">Callen, T. </w:t>
          </w:r>
          <w:r>
            <w:t>(</w:t>
          </w:r>
          <w:r w:rsidRPr="004816BC">
            <w:t>2020</w:t>
          </w:r>
          <w:r>
            <w:t>)</w:t>
          </w:r>
          <w:r w:rsidRPr="004816BC">
            <w:t>. “Gross Domestic Product: An Economy’s All.” International Monetary Fund, https://www.imf.org/external/pubs/ft/fandd/basics/gdp.htm 21 December</w:t>
          </w:r>
        </w:p>
        <w:p w14:paraId="2794FB23" w14:textId="77777777" w:rsidR="00075453" w:rsidRPr="004816BC" w:rsidRDefault="00075453" w:rsidP="00075453">
          <w:r w:rsidRPr="004816BC">
            <w:t xml:space="preserve">Callinan, Rory. </w:t>
          </w:r>
          <w:r>
            <w:t>(</w:t>
          </w:r>
          <w:r w:rsidRPr="004816BC">
            <w:t>2021</w:t>
          </w:r>
          <w:r>
            <w:t>)</w:t>
          </w:r>
          <w:r w:rsidRPr="004816BC">
            <w:t xml:space="preserve">. Queensland water supplier Sunwater targeted by hackers in months-long undetected cyber security breach. </w:t>
          </w:r>
          <w:r w:rsidRPr="00BD7D5C">
            <w:rPr>
              <w:i/>
              <w:iCs/>
            </w:rPr>
            <w:t>ABC News</w:t>
          </w:r>
          <w:r>
            <w:t>.</w:t>
          </w:r>
          <w:r w:rsidRPr="004816BC">
            <w:t xml:space="preserve"> https://www.abc.net.au/news/2021-11-11/qld-hackers-target-water-supplier-sunwater-cyber-security-attack/100610400 16 December</w:t>
          </w:r>
          <w:r>
            <w:t>.</w:t>
          </w:r>
        </w:p>
        <w:p w14:paraId="1973447C" w14:textId="77777777" w:rsidR="00075453" w:rsidRPr="004816BC" w:rsidRDefault="00075453" w:rsidP="00075453">
          <w:r w:rsidRPr="004816BC">
            <w:t>Centers for Disease Control and Prevention. n.d. Malaria: The Disease. https://www.cdc.gov/malaria/about/faqs.html 16 December</w:t>
          </w:r>
          <w:r>
            <w:t>.</w:t>
          </w:r>
        </w:p>
        <w:p w14:paraId="6CD69BD9" w14:textId="77777777" w:rsidR="00075453" w:rsidRPr="004816BC" w:rsidRDefault="00075453" w:rsidP="00075453">
          <w:r w:rsidRPr="004816BC">
            <w:t xml:space="preserve">Chapman, A. </w:t>
          </w:r>
          <w:r>
            <w:t>(</w:t>
          </w:r>
          <w:r w:rsidRPr="004816BC">
            <w:t>2019</w:t>
          </w:r>
          <w:r>
            <w:t xml:space="preserve">). </w:t>
          </w:r>
          <w:r w:rsidRPr="004816BC">
            <w:t>Myer's EFTPOS machines crash across the country amid Boxing Day chao</w:t>
          </w:r>
          <w:r>
            <w:t>s</w:t>
          </w:r>
          <w:r w:rsidRPr="004816BC">
            <w:t xml:space="preserve">. </w:t>
          </w:r>
          <w:r w:rsidRPr="00BD7D5C">
            <w:rPr>
              <w:i/>
              <w:iCs/>
            </w:rPr>
            <w:t>7 News</w:t>
          </w:r>
          <w:r w:rsidRPr="004816BC">
            <w:t>. https://7news.com.au/lifestyle/shopping/myers-eftpos-machines-crash-across-the-country-amid-boxing-day-chaos-c-622096</w:t>
          </w:r>
          <w:r>
            <w:t xml:space="preserve">. </w:t>
          </w:r>
        </w:p>
        <w:p w14:paraId="0025B910" w14:textId="77777777" w:rsidR="00075453" w:rsidRPr="004816BC" w:rsidRDefault="00075453" w:rsidP="00075453">
          <w:r w:rsidRPr="004816BC">
            <w:t xml:space="preserve">Chenneveau, D. </w:t>
          </w:r>
          <w:r>
            <w:t>(</w:t>
          </w:r>
          <w:r w:rsidRPr="004816BC">
            <w:t>2020</w:t>
          </w:r>
          <w:r>
            <w:t>)</w:t>
          </w:r>
          <w:r w:rsidRPr="004816BC">
            <w:t>. A resilient return for Asia's manufacturing and supply chains? 1 June. https://www.mckinsey.com/business-functions/operations/our-insights/a-resilient-return-for-asias-manufacturing-and-supply-chains.</w:t>
          </w:r>
        </w:p>
        <w:p w14:paraId="42395D93" w14:textId="77777777" w:rsidR="00075453" w:rsidRPr="004816BC" w:rsidRDefault="00075453" w:rsidP="00075453">
          <w:r w:rsidRPr="004816BC">
            <w:t xml:space="preserve">Cimpanu, C. </w:t>
          </w:r>
          <w:r>
            <w:t>(</w:t>
          </w:r>
          <w:r w:rsidRPr="004816BC">
            <w:t>2020</w:t>
          </w:r>
          <w:r>
            <w:t>).</w:t>
          </w:r>
          <w:r w:rsidRPr="004816BC">
            <w:t xml:space="preserve"> Google says it mitigated a 2.54 Tbps DDoS attack in 2017, largest known to date. </w:t>
          </w:r>
          <w:r w:rsidRPr="00BD7D5C">
            <w:rPr>
              <w:i/>
              <w:iCs/>
            </w:rPr>
            <w:t>ZDNet.</w:t>
          </w:r>
          <w:r w:rsidRPr="004816BC">
            <w:t xml:space="preserve"> https://www.zdnet.com/article/google-says-it-mitigated-a-2-54-tbps-ddos-attack-in-2017-largest-known-to-date/</w:t>
          </w:r>
          <w:r>
            <w:t>.</w:t>
          </w:r>
        </w:p>
        <w:p w14:paraId="2DC7A42D" w14:textId="77777777" w:rsidR="00075453" w:rsidRPr="004816BC" w:rsidRDefault="00075453" w:rsidP="00075453">
          <w:r w:rsidRPr="004816BC">
            <w:t xml:space="preserve">Cockburn P. </w:t>
          </w:r>
          <w:r>
            <w:t>(</w:t>
          </w:r>
          <w:r w:rsidRPr="004816BC">
            <w:t>2019</w:t>
          </w:r>
          <w:r>
            <w:t>).</w:t>
          </w:r>
          <w:r w:rsidRPr="004816BC">
            <w:t xml:space="preserve"> Journalists with leaked documents treated like they have ‘stolen goods’, ABC boss says. </w:t>
          </w:r>
          <w:r w:rsidRPr="00BD7D5C">
            <w:rPr>
              <w:i/>
              <w:iCs/>
            </w:rPr>
            <w:t>ABC News</w:t>
          </w:r>
          <w:r w:rsidRPr="004816BC">
            <w:t>. 13 August. https://www.abc.net.au/news/2019-08-13/press-freedom-inquiry/11407624</w:t>
          </w:r>
          <w:r>
            <w:t xml:space="preserve">. </w:t>
          </w:r>
        </w:p>
        <w:p w14:paraId="5EF2170E" w14:textId="77777777" w:rsidR="00075453" w:rsidRPr="004816BC" w:rsidRDefault="00075453" w:rsidP="00075453">
          <w:r w:rsidRPr="004816BC">
            <w:t xml:space="preserve">Colangelo, A. </w:t>
          </w:r>
          <w:r>
            <w:t>(</w:t>
          </w:r>
          <w:r w:rsidRPr="004816BC">
            <w:t>2019</w:t>
          </w:r>
          <w:r>
            <w:t xml:space="preserve">). </w:t>
          </w:r>
          <w:r w:rsidRPr="004816BC">
            <w:t xml:space="preserve">Gift cards declined on Boxing Day at Myer and Coles. </w:t>
          </w:r>
          <w:r w:rsidRPr="00BD7D5C">
            <w:rPr>
              <w:i/>
              <w:iCs/>
            </w:rPr>
            <w:t xml:space="preserve">The Sydney Morning Herald. </w:t>
          </w:r>
          <w:r w:rsidRPr="004816BC">
            <w:t>https://www.smh.com.au/business/consumer-affairs/gift-cards-declined-on-boxing-day-at-myer-and-coles-20181226-p50obp.html</w:t>
          </w:r>
          <w:r>
            <w:t>.</w:t>
          </w:r>
        </w:p>
        <w:p w14:paraId="086B6395" w14:textId="77777777" w:rsidR="00075453" w:rsidRPr="004816BC" w:rsidRDefault="00075453" w:rsidP="00075453">
          <w:r w:rsidRPr="004816BC">
            <w:t xml:space="preserve">Collier, R. </w:t>
          </w:r>
          <w:r>
            <w:t>(</w:t>
          </w:r>
          <w:r w:rsidRPr="004816BC">
            <w:t>2017</w:t>
          </w:r>
          <w:r>
            <w:t>)</w:t>
          </w:r>
          <w:r w:rsidRPr="004816BC">
            <w:t xml:space="preserve">. NHS ransomware attack spreads worldwide. </w:t>
          </w:r>
          <w:r w:rsidRPr="00BD7D5C">
            <w:rPr>
              <w:i/>
              <w:iCs/>
            </w:rPr>
            <w:t>CMAJ.</w:t>
          </w:r>
          <w:r w:rsidRPr="004816BC">
            <w:t xml:space="preserve"> https://www.ncbi.nlm.nih.gov/pmc/articles/PMC5461132/</w:t>
          </w:r>
          <w:r>
            <w:t>.</w:t>
          </w:r>
        </w:p>
        <w:p w14:paraId="1AD80966" w14:textId="77777777" w:rsidR="00075453" w:rsidRPr="004816BC" w:rsidRDefault="00075453" w:rsidP="00075453">
          <w:r w:rsidRPr="004816BC">
            <w:t xml:space="preserve">Corera, G. </w:t>
          </w:r>
          <w:r>
            <w:t>(</w:t>
          </w:r>
          <w:r w:rsidRPr="004816BC">
            <w:t>2016</w:t>
          </w:r>
          <w:r>
            <w:t>)</w:t>
          </w:r>
          <w:r w:rsidRPr="004816BC">
            <w:t xml:space="preserve">. How France’s TV5 was almost destroyed by ‘Russian hackers’. </w:t>
          </w:r>
          <w:r w:rsidRPr="00BD7D5C">
            <w:rPr>
              <w:i/>
              <w:iCs/>
            </w:rPr>
            <w:t>SBS News</w:t>
          </w:r>
          <w:r>
            <w:t>.</w:t>
          </w:r>
          <w:r w:rsidRPr="004816BC">
            <w:t xml:space="preserve"> 10 October. https://www.bbc.com/news/technology-37590375</w:t>
          </w:r>
          <w:r>
            <w:t>.</w:t>
          </w:r>
        </w:p>
        <w:p w14:paraId="6CED3F5B" w14:textId="77777777" w:rsidR="00075453" w:rsidRPr="004816BC" w:rsidRDefault="00075453" w:rsidP="00075453">
          <w:r w:rsidRPr="004816BC">
            <w:t xml:space="preserve">Cotton, B. 2021. What does the fuel crisis mean for the UK economy?. </w:t>
          </w:r>
          <w:r w:rsidRPr="00BD7D5C">
            <w:rPr>
              <w:i/>
              <w:iCs/>
            </w:rPr>
            <w:t>Business Leader.</w:t>
          </w:r>
          <w:r w:rsidRPr="004816BC">
            <w:t xml:space="preserve"> https://www.businessleader.co.uk/what-does-the-fuel-crisis-mean-for-the-uk-economy/</w:t>
          </w:r>
          <w:r>
            <w:t>.</w:t>
          </w:r>
        </w:p>
        <w:p w14:paraId="64A473D4" w14:textId="77777777" w:rsidR="00075453" w:rsidRPr="00CE4B35" w:rsidRDefault="00075453" w:rsidP="00075453">
          <w:pPr>
            <w:rPr>
              <w:lang w:val="nl-NL"/>
            </w:rPr>
          </w:pPr>
          <w:r w:rsidRPr="004816BC">
            <w:t xml:space="preserve">Council, Y. E. 2021. 10 Data Security Risks That Could Impact Your Company In 2020. </w:t>
          </w:r>
          <w:r w:rsidRPr="00CE4B35">
            <w:rPr>
              <w:i/>
              <w:lang w:val="nl-NL"/>
            </w:rPr>
            <w:t>Forbes.</w:t>
          </w:r>
          <w:r w:rsidRPr="00CE4B35">
            <w:rPr>
              <w:lang w:val="nl-NL"/>
            </w:rPr>
            <w:t xml:space="preserve"> https://www.forbes.com/sites/theyec/2019/10/01/10-data-security-risks-that-could-impact-your-company-in-2020/?sh=31a7a1e0a0c0.</w:t>
          </w:r>
        </w:p>
        <w:p w14:paraId="13FC69E7" w14:textId="77777777" w:rsidR="00075453" w:rsidRPr="004816BC" w:rsidRDefault="00075453" w:rsidP="00075453">
          <w:r w:rsidRPr="004816BC">
            <w:t>Critical Infrastructure Centre</w:t>
          </w:r>
          <w:r>
            <w:t>. (</w:t>
          </w:r>
          <w:r w:rsidRPr="004816BC">
            <w:t>2015</w:t>
          </w:r>
          <w:r>
            <w:t>)</w:t>
          </w:r>
          <w:r w:rsidRPr="004816BC">
            <w:t xml:space="preserve">. Critical Infrastructure Resilience Strategy. </w:t>
          </w:r>
          <w:r w:rsidRPr="00BD7D5C">
            <w:rPr>
              <w:i/>
              <w:iCs/>
            </w:rPr>
            <w:t>CISC.</w:t>
          </w:r>
          <w:r w:rsidRPr="004816BC">
            <w:t xml:space="preserve"> https://www.cisc.gov.au/help-and-support-subsite/Files/critical_infrastructure_resilience_strategy_plan.pdf</w:t>
          </w:r>
          <w:r>
            <w:t>.</w:t>
          </w:r>
        </w:p>
        <w:p w14:paraId="55778D3F" w14:textId="77777777" w:rsidR="00075453" w:rsidRPr="004816BC" w:rsidRDefault="00075453" w:rsidP="00075453">
          <w:r w:rsidRPr="004816BC">
            <w:t xml:space="preserve">Critical Infrastructure Centre. </w:t>
          </w:r>
          <w:r>
            <w:t>(</w:t>
          </w:r>
          <w:r w:rsidRPr="004816BC">
            <w:t>n.d.</w:t>
          </w:r>
          <w:r>
            <w:t>)</w:t>
          </w:r>
          <w:r w:rsidRPr="004816BC">
            <w:t xml:space="preserve"> Critical Infrastructure Centre Compliance Strategy.</w:t>
          </w:r>
          <w:r>
            <w:t xml:space="preserve"> </w:t>
          </w:r>
          <w:r w:rsidRPr="004816BC">
            <w:t>https://www.cisc.gov.au/help-and-support-subsite/Files/critical-infrastructure-centre-compliance-strategy.pdf 16 December</w:t>
          </w:r>
          <w:r>
            <w:t>.</w:t>
          </w:r>
        </w:p>
        <w:p w14:paraId="66728AEB" w14:textId="77777777" w:rsidR="00075453" w:rsidRPr="004816BC" w:rsidRDefault="00075453" w:rsidP="00075453">
          <w:r w:rsidRPr="004816BC">
            <w:t xml:space="preserve">CRO Forum. </w:t>
          </w:r>
          <w:r>
            <w:t>(</w:t>
          </w:r>
          <w:r w:rsidRPr="004816BC">
            <w:t>2011</w:t>
          </w:r>
          <w:r>
            <w:t>)</w:t>
          </w:r>
          <w:r w:rsidRPr="004816BC">
            <w:t>. Power Blackout Risks – Risk Management Options, Emerging Risk Initiative – Position Paper. November. https://www.preventionweb.net/files/24128_powerblackoutrisks1.pdf.</w:t>
          </w:r>
        </w:p>
        <w:p w14:paraId="53483BD3" w14:textId="77777777" w:rsidR="00075453" w:rsidRPr="004816BC" w:rsidRDefault="00075453" w:rsidP="00075453">
          <w:r w:rsidRPr="004816BC">
            <w:t xml:space="preserve">Crozier, R. </w:t>
          </w:r>
          <w:r>
            <w:t>(</w:t>
          </w:r>
          <w:r w:rsidRPr="004816BC">
            <w:t>2018</w:t>
          </w:r>
          <w:r>
            <w:t>)</w:t>
          </w:r>
          <w:r w:rsidRPr="004816BC">
            <w:t>. NAB outage caused by power cut to mainframe.</w:t>
          </w:r>
          <w:r>
            <w:t xml:space="preserve"> </w:t>
          </w:r>
          <w:r>
            <w:rPr>
              <w:i/>
              <w:iCs/>
            </w:rPr>
            <w:t>IT News.</w:t>
          </w:r>
          <w:r w:rsidRPr="004816BC">
            <w:t xml:space="preserve"> Itnews.https://www.itnews.com.au/news/nab-outage-caused-by-power-cut-to-mainframe-491780</w:t>
          </w:r>
          <w:r>
            <w:t>.</w:t>
          </w:r>
        </w:p>
        <w:p w14:paraId="152C016B" w14:textId="7764E731" w:rsidR="00075453" w:rsidRPr="004816BC" w:rsidRDefault="00075453" w:rsidP="00075453">
          <w:r w:rsidRPr="004816BC">
            <w:t xml:space="preserve">Cyber and Infrastructure Security Centre. </w:t>
          </w:r>
          <w:r>
            <w:t>(</w:t>
          </w:r>
          <w:r w:rsidRPr="004816BC">
            <w:t>2015</w:t>
          </w:r>
          <w:r>
            <w:t>)</w:t>
          </w:r>
          <w:r w:rsidRPr="004816BC">
            <w:t xml:space="preserve">. Critical Infrastructure Resilience Strategy: Plan. </w:t>
          </w:r>
          <w:hyperlink r:id="rId32" w:history="1">
            <w:r w:rsidRPr="00552CF5">
              <w:rPr>
                <w:rStyle w:val="Hyperlink"/>
              </w:rPr>
              <w:t>https://www.cisc.gov.au/help-and-support-subsite/Files/critical_infrastructure_resilience_strategy_plan.pdf</w:t>
            </w:r>
          </w:hyperlink>
          <w:r>
            <w:t>.</w:t>
          </w:r>
        </w:p>
        <w:p w14:paraId="543F31B3" w14:textId="77777777" w:rsidR="00075453" w:rsidRPr="004816BC" w:rsidRDefault="00075453" w:rsidP="00075453">
          <w:r w:rsidRPr="004816BC">
            <w:t xml:space="preserve">Cyber and Infrastructure Security Centre. </w:t>
          </w:r>
          <w:r>
            <w:t>(</w:t>
          </w:r>
          <w:r w:rsidRPr="004816BC">
            <w:t>2021</w:t>
          </w:r>
          <w:r>
            <w:t>)</w:t>
          </w:r>
          <w:r w:rsidRPr="004816BC">
            <w:t xml:space="preserve">. Safeguarding Critical Infrastructure. https://cicentre.gov.au/infrastructure. </w:t>
          </w:r>
        </w:p>
        <w:p w14:paraId="36E19738" w14:textId="77777777" w:rsidR="00075453" w:rsidRPr="004816BC" w:rsidRDefault="00075453" w:rsidP="00075453">
          <w:r w:rsidRPr="004816BC">
            <w:t xml:space="preserve">Dawn-Hiscox, T. </w:t>
          </w:r>
          <w:r>
            <w:t>(</w:t>
          </w:r>
          <w:r w:rsidRPr="004816BC">
            <w:t>2017</w:t>
          </w:r>
          <w:r>
            <w:t xml:space="preserve">). </w:t>
          </w:r>
          <w:r w:rsidRPr="004816BC">
            <w:t xml:space="preserve">Houston data centers withstand Hurricane Harvey. </w:t>
          </w:r>
          <w:r w:rsidRPr="00BD7D5C">
            <w:rPr>
              <w:i/>
              <w:iCs/>
            </w:rPr>
            <w:t>DCD.</w:t>
          </w:r>
          <w:r w:rsidRPr="004816BC">
            <w:t xml:space="preserve"> https://www.datacenterdynamics.com/en/news/houston-data-centers-withstand-hurricane-harvey/</w:t>
          </w:r>
        </w:p>
        <w:p w14:paraId="0773143E" w14:textId="77777777" w:rsidR="00075453" w:rsidRPr="004816BC" w:rsidRDefault="00075453" w:rsidP="00075453">
          <w:r w:rsidRPr="004816BC">
            <w:lastRenderedPageBreak/>
            <w:t xml:space="preserve">Deloitte. </w:t>
          </w:r>
          <w:r>
            <w:t>(</w:t>
          </w:r>
          <w:r w:rsidRPr="004816BC">
            <w:t>2020</w:t>
          </w:r>
          <w:r>
            <w:t>)</w:t>
          </w:r>
          <w:r w:rsidRPr="004816BC">
            <w:t xml:space="preserve">. Understanding the sector impact of COVID-19 - Oil, Gas &amp; Chemicals. </w:t>
          </w:r>
          <w:r w:rsidRPr="00BD7D5C">
            <w:rPr>
              <w:i/>
              <w:iCs/>
            </w:rPr>
            <w:t>Deloitte</w:t>
          </w:r>
          <w:r w:rsidRPr="004816BC">
            <w:t>. 1 April.</w:t>
          </w:r>
        </w:p>
        <w:p w14:paraId="64DC3A48" w14:textId="77777777" w:rsidR="00075453" w:rsidRPr="004816BC" w:rsidRDefault="00075453" w:rsidP="00075453">
          <w:r w:rsidRPr="004816BC">
            <w:t xml:space="preserve">Denniss, Paul Read and Richard. </w:t>
          </w:r>
          <w:r>
            <w:t>(</w:t>
          </w:r>
          <w:r w:rsidRPr="004816BC">
            <w:t>2020</w:t>
          </w:r>
          <w:r>
            <w:t>)</w:t>
          </w:r>
          <w:r w:rsidRPr="004816BC">
            <w:t xml:space="preserve">. With costs approaching $100 billion, the fires are Australia's costliest natural disaster. </w:t>
          </w:r>
          <w:r w:rsidRPr="00BD7D5C">
            <w:rPr>
              <w:i/>
              <w:iCs/>
            </w:rPr>
            <w:t>The Conversation</w:t>
          </w:r>
          <w:r w:rsidRPr="004816BC">
            <w:t>. 17 January. https://theconversation.com/with-costs-approaching-100-billion-the-fires-are-australias-costliest-natural-disaster-129433.</w:t>
          </w:r>
        </w:p>
        <w:p w14:paraId="6FB4B8FD" w14:textId="77777777" w:rsidR="00075453" w:rsidRPr="004816BC" w:rsidRDefault="00075453" w:rsidP="00075453">
          <w:r w:rsidRPr="004816BC">
            <w:t>Department of Environment and Energy</w:t>
          </w:r>
          <w:r>
            <w:t>. (</w:t>
          </w:r>
          <w:r w:rsidRPr="004816BC">
            <w:t>2019</w:t>
          </w:r>
          <w:r>
            <w:t>)</w:t>
          </w:r>
          <w:r w:rsidRPr="004816BC">
            <w:t>. Liquid Fuel Security Review Interim Report. https://www.energy.gov.au/sites/default/files/liquid-fuel-security-review-interim-report.pdf</w:t>
          </w:r>
          <w:r>
            <w:t>.</w:t>
          </w:r>
        </w:p>
        <w:p w14:paraId="0329C424" w14:textId="45216E24" w:rsidR="006E121A" w:rsidRPr="006E121A" w:rsidRDefault="00075453" w:rsidP="006E121A">
          <w:r w:rsidRPr="004816BC">
            <w:t xml:space="preserve">Department of Home Affairs. </w:t>
          </w:r>
          <w:r>
            <w:t>(</w:t>
          </w:r>
          <w:r w:rsidRPr="004816BC">
            <w:t>2020</w:t>
          </w:r>
          <w:r>
            <w:t>)</w:t>
          </w:r>
          <w:r w:rsidRPr="004816BC">
            <w:t xml:space="preserve">. Security Coordination - Critical Infrastructure Resilience. </w:t>
          </w:r>
          <w:hyperlink r:id="rId33" w:history="1">
            <w:r w:rsidR="004C2010" w:rsidRPr="00813876">
              <w:rPr>
                <w:rStyle w:val="Hyperlink"/>
              </w:rPr>
              <w:t>https://www.homeaffairs.gov.au/about-us/our-portfolios/national-security/security-coordination/critical-infrastructure-resilience</w:t>
            </w:r>
          </w:hyperlink>
          <w:r>
            <w:t>.</w:t>
          </w:r>
        </w:p>
        <w:p w14:paraId="38473211" w14:textId="10BD4E34" w:rsidR="004C2010" w:rsidRPr="009739FE" w:rsidRDefault="004C2010" w:rsidP="00075453">
          <w:pPr>
            <w:rPr>
              <w:i/>
            </w:rPr>
          </w:pPr>
          <w:r>
            <w:t xml:space="preserve">Department of Home Affairs. (2020). Submission on Protection of Critical Infrastructure </w:t>
          </w:r>
          <w:r w:rsidR="00BB5F7B">
            <w:t xml:space="preserve">and Systems of National Significance. </w:t>
          </w:r>
          <w:r w:rsidR="00BB5F7B">
            <w:rPr>
              <w:i/>
              <w:iCs/>
            </w:rPr>
            <w:t xml:space="preserve">New Payments Platform. </w:t>
          </w:r>
          <w:hyperlink r:id="rId34" w:history="1">
            <w:r w:rsidR="004354B1">
              <w:rPr>
                <w:rStyle w:val="Hyperlink"/>
              </w:rPr>
              <w:t>New Payments Platform submission on Protecting Critical Infrastructure and Systems of National Significance (homeaffairs.gov.au)</w:t>
            </w:r>
          </w:hyperlink>
          <w:r w:rsidR="004354B1">
            <w:t>.</w:t>
          </w:r>
        </w:p>
        <w:p w14:paraId="745640DD" w14:textId="77777777" w:rsidR="00075453" w:rsidRPr="004816BC" w:rsidRDefault="00075453" w:rsidP="00075453">
          <w:r w:rsidRPr="004816BC">
            <w:t xml:space="preserve">Department of Home Affairs. </w:t>
          </w:r>
          <w:r>
            <w:t>(</w:t>
          </w:r>
          <w:r w:rsidRPr="004816BC">
            <w:t>2021</w:t>
          </w:r>
          <w:r>
            <w:t>)</w:t>
          </w:r>
          <w:r w:rsidRPr="004816BC">
            <w:t>. Protecting Critical Infrastructure and Systems of National Significance - Co-design of Governance Rules: Critical Infrastructure Risk Management Program, Summary of Consultation</w:t>
          </w:r>
          <w:r>
            <w:t>”</w:t>
          </w:r>
          <w:r w:rsidRPr="004816BC">
            <w:t>. https://www.homeaffairs.gov.au/reports-and-pubs/files/co-design-governance-rules-risk-management-summary.pdf.</w:t>
          </w:r>
        </w:p>
        <w:p w14:paraId="2C034970" w14:textId="77777777" w:rsidR="00075453" w:rsidRPr="004816BC" w:rsidRDefault="00075453" w:rsidP="00075453">
          <w:r w:rsidRPr="004816BC">
            <w:t xml:space="preserve">Department of Home Affairs. </w:t>
          </w:r>
          <w:r>
            <w:t>(</w:t>
          </w:r>
          <w:r w:rsidRPr="004816BC">
            <w:t>2021</w:t>
          </w:r>
          <w:r>
            <w:t>)</w:t>
          </w:r>
          <w:r w:rsidRPr="004816BC">
            <w:t>. Protecting Critical Infrastructure and Systems of National Significance: Governance Rules - Risk Management Program.</w:t>
          </w:r>
        </w:p>
        <w:p w14:paraId="15250E81" w14:textId="77777777" w:rsidR="00075453" w:rsidRPr="004816BC" w:rsidRDefault="00075453" w:rsidP="00075453">
          <w:r w:rsidRPr="004816BC">
            <w:t xml:space="preserve">Department of Home Affairs. </w:t>
          </w:r>
          <w:r>
            <w:t>(</w:t>
          </w:r>
          <w:r w:rsidRPr="004816BC">
            <w:t>2020</w:t>
          </w:r>
          <w:r>
            <w:t>)</w:t>
          </w:r>
          <w:r w:rsidRPr="004816BC">
            <w:t>. Regulation Impact Statement (RIS). https://obpr.pmc.gov.au/sites/default/files/posts/2020/12/ci_sons_regulation_impact_statement_-_final_second_pass.pdf 21 December</w:t>
          </w:r>
          <w:r>
            <w:t>.</w:t>
          </w:r>
        </w:p>
        <w:p w14:paraId="49AA22E9" w14:textId="77777777" w:rsidR="00075453" w:rsidRPr="004816BC" w:rsidRDefault="00075453" w:rsidP="00075453">
          <w:r w:rsidRPr="004816BC">
            <w:t xml:space="preserve">Department of Home Affairs. </w:t>
          </w:r>
          <w:r>
            <w:t>(</w:t>
          </w:r>
          <w:r w:rsidRPr="004816BC">
            <w:t>2020</w:t>
          </w:r>
          <w:r>
            <w:t>)</w:t>
          </w:r>
          <w:r w:rsidRPr="004816BC">
            <w:t xml:space="preserve">. Security Coordination - Critical Infrastructure Resilience.  https://www.homeaffairs.gov.au/about-us/our-portfolios/national-security/security-coordination/critical-infrastructure-resilience. </w:t>
          </w:r>
        </w:p>
        <w:p w14:paraId="1F0A1964" w14:textId="77777777" w:rsidR="00075453" w:rsidRPr="004816BC" w:rsidRDefault="00075453" w:rsidP="00075453">
          <w:r w:rsidRPr="004816BC">
            <w:t xml:space="preserve">Department of Home Affairs. </w:t>
          </w:r>
          <w:r>
            <w:t>(</w:t>
          </w:r>
          <w:r w:rsidRPr="004816BC">
            <w:t>2021</w:t>
          </w:r>
          <w:r>
            <w:t>)</w:t>
          </w:r>
          <w:r w:rsidRPr="004816BC">
            <w:t>. Protecting Critical Infrastructure and Systems of National Sign</w:t>
          </w:r>
          <w:r>
            <w:t>i</w:t>
          </w:r>
          <w:r w:rsidRPr="004816BC">
            <w:t>ficance. Draft Critical Infrastructure Asset Definition Rules. https://www.homeaffairs.gov.au/reports-and-pubs/files/critical-infrastructure-asset-definition-rules-paper.pdf</w:t>
          </w:r>
          <w:r>
            <w:t>.</w:t>
          </w:r>
        </w:p>
        <w:p w14:paraId="617CD583" w14:textId="77777777" w:rsidR="00075453" w:rsidRPr="004816BC" w:rsidRDefault="00075453" w:rsidP="00075453">
          <w:r w:rsidRPr="004816BC">
            <w:t xml:space="preserve">Department of Home Affairs. </w:t>
          </w:r>
          <w:r>
            <w:t>(</w:t>
          </w:r>
          <w:r w:rsidRPr="004816BC">
            <w:t>2021</w:t>
          </w:r>
          <w:r>
            <w:t>)</w:t>
          </w:r>
          <w:r w:rsidRPr="004816BC">
            <w:t xml:space="preserve">. Protecting Critical Infrastructure and Systems of National Significance - Co-design of Governance Rules: Critical Infrastructure Risk Management Program, Summary of Consultation. https://www.homeaffairs.gov.au/reports-and-pubs/files/co-design-governance-rules-risk-management-summary.pdf. </w:t>
          </w:r>
        </w:p>
        <w:p w14:paraId="0D17E7AC" w14:textId="77777777" w:rsidR="00075453" w:rsidRPr="004816BC" w:rsidRDefault="00075453" w:rsidP="00075453">
          <w:r w:rsidRPr="004816BC">
            <w:t xml:space="preserve">Department of Prime Minister and Cabinet. </w:t>
          </w:r>
          <w:r>
            <w:t>(</w:t>
          </w:r>
          <w:r w:rsidRPr="004816BC">
            <w:t>2020</w:t>
          </w:r>
          <w:r>
            <w:t>)</w:t>
          </w:r>
          <w:r w:rsidRPr="004816BC">
            <w:t xml:space="preserve">. Regulatory Burden Measure Framework. </w:t>
          </w:r>
          <w:r w:rsidRPr="00EA3C15">
            <w:rPr>
              <w:i/>
              <w:iCs/>
            </w:rPr>
            <w:t>Department of Prime Minister and Cabinet</w:t>
          </w:r>
          <w:r w:rsidRPr="004816BC">
            <w:t>. March. https://pmc.gov.au/sites/default/files/publications/regulatory-burden-measurement-framework-2.pdf.</w:t>
          </w:r>
        </w:p>
        <w:p w14:paraId="691F663B" w14:textId="77777777" w:rsidR="00075453" w:rsidRPr="00CE4B35" w:rsidRDefault="00075453" w:rsidP="00075453">
          <w:pPr>
            <w:rPr>
              <w:lang w:val="nl-NL"/>
            </w:rPr>
          </w:pPr>
          <w:r w:rsidRPr="004816BC">
            <w:t xml:space="preserve">Dignan, L. </w:t>
          </w:r>
          <w:r>
            <w:t>(</w:t>
          </w:r>
          <w:r w:rsidRPr="004816BC">
            <w:t>2017</w:t>
          </w:r>
          <w:r>
            <w:t>)</w:t>
          </w:r>
          <w:r w:rsidRPr="004816BC">
            <w:t xml:space="preserve">. FedEx said TNT Peyta attack financial hit will be material, some systems won’t come back. </w:t>
          </w:r>
          <w:r w:rsidRPr="00CE4B35">
            <w:rPr>
              <w:i/>
              <w:lang w:val="nl-NL"/>
            </w:rPr>
            <w:t>ZDNet.</w:t>
          </w:r>
          <w:r w:rsidRPr="00CE4B35">
            <w:rPr>
              <w:lang w:val="nl-NL"/>
            </w:rPr>
            <w:t xml:space="preserve"> https://www.zdnet.com/article/fedex-said-tnt-petya-attack-financial-hit-will-be-material-some-systems-wont-come-back/ 21 December. </w:t>
          </w:r>
        </w:p>
        <w:p w14:paraId="74A1E0D6" w14:textId="77777777" w:rsidR="00075453" w:rsidRPr="004816BC" w:rsidRDefault="00075453" w:rsidP="00075453">
          <w:r w:rsidRPr="004816BC">
            <w:t xml:space="preserve">Din, A. </w:t>
          </w:r>
          <w:r>
            <w:t>(</w:t>
          </w:r>
          <w:r w:rsidRPr="004816BC">
            <w:t>2021</w:t>
          </w:r>
          <w:r>
            <w:t>)</w:t>
          </w:r>
          <w:r w:rsidRPr="004816BC">
            <w:t>. “Forward Air Corporation Recently Disclosed Data Theft Following a Ransomware Attack.” Heimdal Security, https://heimdalsecurity.com/blog/forward-air-corporation-recently-disclosed-data-theft-following-a-ransomware-attack/ 21 December</w:t>
          </w:r>
          <w:r>
            <w:t>.</w:t>
          </w:r>
        </w:p>
        <w:p w14:paraId="013B782B" w14:textId="77777777" w:rsidR="00075453" w:rsidRPr="004816BC" w:rsidRDefault="00075453" w:rsidP="00075453">
          <w:r w:rsidRPr="004816BC">
            <w:t xml:space="preserve">Divjak, </w:t>
          </w:r>
          <w:r>
            <w:t>C. (</w:t>
          </w:r>
          <w:r w:rsidRPr="004816BC">
            <w:t>1998</w:t>
          </w:r>
          <w:r>
            <w:t>)</w:t>
          </w:r>
          <w:r w:rsidRPr="004816BC">
            <w:t xml:space="preserve">. Sydney’s water crisis – a systemic failure. </w:t>
          </w:r>
          <w:r w:rsidRPr="00EA3C15">
            <w:rPr>
              <w:i/>
              <w:iCs/>
            </w:rPr>
            <w:t>World Socialist Web Site.</w:t>
          </w:r>
          <w:r w:rsidRPr="004816BC">
            <w:t xml:space="preserve"> https://www.wsws.org/en/articles/1998/09/syd-s11.html</w:t>
          </w:r>
          <w:r>
            <w:t>.</w:t>
          </w:r>
        </w:p>
        <w:p w14:paraId="617DB800" w14:textId="77777777" w:rsidR="00075453" w:rsidRPr="004816BC" w:rsidRDefault="00075453" w:rsidP="00075453">
          <w:r w:rsidRPr="004816BC">
            <w:t xml:space="preserve">Ernst &amp; Young. </w:t>
          </w:r>
          <w:r>
            <w:t>(</w:t>
          </w:r>
          <w:r w:rsidRPr="004816BC">
            <w:t>2016</w:t>
          </w:r>
          <w:r>
            <w:t>)</w:t>
          </w:r>
          <w:r w:rsidRPr="004816BC">
            <w:t>. Managing Insider Threat. https://assets.ey.com/content/dam/ey-sites/ey-com/en_gl/topics/assurance/assurance-pdfs/EY-managing-insider-threat.pdf.</w:t>
          </w:r>
        </w:p>
        <w:p w14:paraId="2F08C28D" w14:textId="77777777" w:rsidR="00075453" w:rsidRPr="004816BC" w:rsidRDefault="00075453" w:rsidP="00075453">
          <w:r w:rsidRPr="004816BC">
            <w:t xml:space="preserve">Fachot, M. </w:t>
          </w:r>
          <w:r>
            <w:t>(</w:t>
          </w:r>
          <w:r w:rsidRPr="004816BC">
            <w:t>2019</w:t>
          </w:r>
          <w:r>
            <w:t>)</w:t>
          </w:r>
          <w:r w:rsidRPr="004816BC">
            <w:t>. Cyber security – a priority for broadcasters and media companies.</w:t>
          </w:r>
          <w:r w:rsidRPr="00EA3C15">
            <w:rPr>
              <w:i/>
              <w:iCs/>
            </w:rPr>
            <w:t xml:space="preserve"> E Tech.</w:t>
          </w:r>
          <w:r w:rsidRPr="004816BC">
            <w:t xml:space="preserve"> 15 January. </w:t>
          </w:r>
        </w:p>
        <w:p w14:paraId="7E1C6566" w14:textId="77777777" w:rsidR="00075453" w:rsidRPr="004816BC" w:rsidRDefault="00075453" w:rsidP="00075453">
          <w:r w:rsidRPr="004816BC">
            <w:t xml:space="preserve">Ferguson, J. </w:t>
          </w:r>
          <w:r>
            <w:t>(</w:t>
          </w:r>
          <w:r w:rsidRPr="004816BC">
            <w:t>2021</w:t>
          </w:r>
          <w:r>
            <w:t>)</w:t>
          </w:r>
          <w:r w:rsidRPr="004816BC">
            <w:t xml:space="preserve">. Diesel crisis threatens to crash supply chain. </w:t>
          </w:r>
          <w:r w:rsidRPr="00EA3C15">
            <w:rPr>
              <w:i/>
              <w:iCs/>
            </w:rPr>
            <w:t>The Australian</w:t>
          </w:r>
          <w:r w:rsidRPr="004816BC">
            <w:t>. 2 December. https://www.theaustralian.com.au/nation/politics/diesel-crisis-threatens-to-crash-supply-chain/news-story/a11f93b9605cbe9d921f089242ab9619</w:t>
          </w:r>
        </w:p>
        <w:p w14:paraId="226AF384" w14:textId="77777777" w:rsidR="00075453" w:rsidRPr="004816BC" w:rsidRDefault="00075453" w:rsidP="00075453">
          <w:r w:rsidRPr="004816BC">
            <w:t xml:space="preserve">Foley, N and M. </w:t>
          </w:r>
          <w:r>
            <w:t>(</w:t>
          </w:r>
          <w:r w:rsidRPr="004816BC">
            <w:t>202</w:t>
          </w:r>
          <w:r>
            <w:t>0)</w:t>
          </w:r>
          <w:r w:rsidRPr="004816BC">
            <w:t>. Ener</w:t>
          </w:r>
          <w:r>
            <w:t>g</w:t>
          </w:r>
          <w:r w:rsidRPr="004816BC">
            <w:t xml:space="preserve">y grid under threat as bushfires bear down on power lines. </w:t>
          </w:r>
          <w:r w:rsidRPr="00EA3C15">
            <w:rPr>
              <w:i/>
              <w:iCs/>
            </w:rPr>
            <w:t>The Sydney Morning Herald.</w:t>
          </w:r>
          <w:r w:rsidRPr="004816BC">
            <w:t xml:space="preserve"> https://www.smh.com.au/business/the-economy/energy-grid-under-threat-as-bushfires-bear-down-on-power-lines-20200103-p53om1.html</w:t>
          </w:r>
          <w:r>
            <w:t>.</w:t>
          </w:r>
        </w:p>
        <w:p w14:paraId="7C0CD35C" w14:textId="77777777" w:rsidR="00075453" w:rsidRPr="004816BC" w:rsidRDefault="00075453" w:rsidP="00075453">
          <w:r w:rsidRPr="004816BC">
            <w:lastRenderedPageBreak/>
            <w:t>Fortress</w:t>
          </w:r>
          <w:r>
            <w:t>.</w:t>
          </w:r>
          <w:r w:rsidRPr="004816BC">
            <w:t xml:space="preserve"> </w:t>
          </w:r>
          <w:r>
            <w:t>(</w:t>
          </w:r>
          <w:r w:rsidRPr="004816BC">
            <w:t>2020</w:t>
          </w:r>
          <w:r>
            <w:t>)</w:t>
          </w:r>
          <w:r w:rsidRPr="004816BC">
            <w:t>. “Healthcare Under Cyber-Attack: Prevention is the Best Medicine”. https://fortresssrm.com/healthcare-under-cyber-attack-prevention-is-the-best-medicine/</w:t>
          </w:r>
          <w:r>
            <w:t>.</w:t>
          </w:r>
        </w:p>
        <w:p w14:paraId="379FE688" w14:textId="77777777" w:rsidR="00075453" w:rsidRPr="004816BC" w:rsidRDefault="00075453" w:rsidP="00075453">
          <w:r w:rsidRPr="004816BC">
            <w:t xml:space="preserve">Fruhlinger, J. </w:t>
          </w:r>
          <w:r>
            <w:t>(</w:t>
          </w:r>
          <w:r w:rsidRPr="004816BC">
            <w:t>2021</w:t>
          </w:r>
          <w:r>
            <w:t xml:space="preserve">). </w:t>
          </w:r>
          <w:r w:rsidRPr="004816BC">
            <w:t xml:space="preserve">DDoS explained: How distributed denial of service attacks are evolving. </w:t>
          </w:r>
          <w:r w:rsidRPr="00EA3C15">
            <w:rPr>
              <w:i/>
              <w:iCs/>
            </w:rPr>
            <w:t>CSO Australia</w:t>
          </w:r>
          <w:r w:rsidRPr="004816BC">
            <w:t xml:space="preserve">. </w:t>
          </w:r>
        </w:p>
        <w:p w14:paraId="0C5BC594" w14:textId="77777777" w:rsidR="00075453" w:rsidRPr="004816BC" w:rsidRDefault="00075453" w:rsidP="00075453">
          <w:r w:rsidRPr="004816BC">
            <w:t xml:space="preserve">Galeon, D. </w:t>
          </w:r>
          <w:r>
            <w:t>(</w:t>
          </w:r>
          <w:r w:rsidRPr="004816BC">
            <w:t>2016</w:t>
          </w:r>
          <w:r>
            <w:t>)</w:t>
          </w:r>
          <w:r w:rsidRPr="004816BC">
            <w:t xml:space="preserve">. DDoS Attack: What Friday’s Massive Internet Outage Was All About. </w:t>
          </w:r>
          <w:r w:rsidRPr="00EA3C15">
            <w:rPr>
              <w:i/>
              <w:iCs/>
            </w:rPr>
            <w:t>Futurism</w:t>
          </w:r>
          <w:r w:rsidRPr="004816BC">
            <w:t xml:space="preserve">. https://futurism.com/ddos-attack-what-fridays-massive-internet-outage-was-all-about. </w:t>
          </w:r>
        </w:p>
        <w:p w14:paraId="37B76DE5" w14:textId="77777777" w:rsidR="00075453" w:rsidRPr="004816BC" w:rsidRDefault="00075453" w:rsidP="00075453">
          <w:r w:rsidRPr="004816BC">
            <w:t xml:space="preserve">Gambrell, J. </w:t>
          </w:r>
          <w:r>
            <w:t>(</w:t>
          </w:r>
          <w:r w:rsidRPr="004816BC">
            <w:t>2021</w:t>
          </w:r>
          <w:r>
            <w:t>)</w:t>
          </w:r>
          <w:r w:rsidRPr="004816BC">
            <w:t xml:space="preserve">. Cyber-attack closes Iran’s petrol stations. </w:t>
          </w:r>
          <w:r w:rsidRPr="00EA3C15">
            <w:rPr>
              <w:i/>
              <w:iCs/>
            </w:rPr>
            <w:t>7 News</w:t>
          </w:r>
          <w:r>
            <w:t>.</w:t>
          </w:r>
          <w:r w:rsidRPr="004816BC">
            <w:t xml:space="preserve"> https://7news.com.au/technology/security/cyber-attack-closes-irans-petrol-stations-c-4340647</w:t>
          </w:r>
        </w:p>
        <w:p w14:paraId="12FFCDB3" w14:textId="77777777" w:rsidR="00075453" w:rsidRPr="004816BC" w:rsidRDefault="00075453" w:rsidP="00075453">
          <w:r w:rsidRPr="004816BC">
            <w:t xml:space="preserve">Giles, Ma. </w:t>
          </w:r>
          <w:r>
            <w:t>(</w:t>
          </w:r>
          <w:r w:rsidRPr="004816BC">
            <w:t>2019</w:t>
          </w:r>
          <w:r>
            <w:t>)</w:t>
          </w:r>
          <w:r w:rsidRPr="004816BC">
            <w:t>. Triton is the world's most murderous malware, and it's spreading.</w:t>
          </w:r>
          <w:r>
            <w:t xml:space="preserve"> </w:t>
          </w:r>
          <w:r w:rsidRPr="00EA3C15">
            <w:rPr>
              <w:i/>
              <w:iCs/>
            </w:rPr>
            <w:t>MIT Technology Review</w:t>
          </w:r>
          <w:r w:rsidRPr="004816BC">
            <w:t>. https://www.technologyreview.com/2019/03/05/103328/cybersecurity-critical-infrastructure-triton-malware/</w:t>
          </w:r>
          <w:r>
            <w:t>.</w:t>
          </w:r>
        </w:p>
        <w:p w14:paraId="7A8307E4" w14:textId="77777777" w:rsidR="00075453" w:rsidRPr="004816BC" w:rsidRDefault="00075453" w:rsidP="00075453">
          <w:r w:rsidRPr="004816BC">
            <w:t xml:space="preserve">Google Cloud. </w:t>
          </w:r>
          <w:r>
            <w:t>(</w:t>
          </w:r>
          <w:r w:rsidRPr="004816BC">
            <w:t>2021</w:t>
          </w:r>
          <w:r>
            <w:t>)</w:t>
          </w:r>
          <w:r w:rsidRPr="004816BC">
            <w:t>. Google Cloud Status Dashboard. https://status.cloud.google.com/incidents/8DhiwfKvD987f5tJrj1G</w:t>
          </w:r>
          <w:r>
            <w:t>.</w:t>
          </w:r>
        </w:p>
        <w:p w14:paraId="0FD2BB0E" w14:textId="77777777" w:rsidR="00075453" w:rsidRPr="004816BC" w:rsidRDefault="00075453" w:rsidP="00075453">
          <w:r w:rsidRPr="004816BC">
            <w:t>Gordon, A. (2016). The Official (ISC)2 Guide to the CCSP CBK (2nd ed.) [E-book]. Sybex. Sybex: The Official (ISC)2 Guide to the CCSP CBK, 2nd Edition - Adam Gordon (wiley.com)</w:t>
          </w:r>
          <w:r>
            <w:t xml:space="preserve">. </w:t>
          </w:r>
        </w:p>
        <w:p w14:paraId="225EBA11" w14:textId="77777777" w:rsidR="00075453" w:rsidRPr="004816BC" w:rsidRDefault="00075453" w:rsidP="00075453">
          <w:r w:rsidRPr="004816BC">
            <w:t xml:space="preserve">Government, Australian. </w:t>
          </w:r>
          <w:r>
            <w:t>(</w:t>
          </w:r>
          <w:r w:rsidRPr="004816BC">
            <w:t>n.d.</w:t>
          </w:r>
          <w:r>
            <w:t>)</w:t>
          </w:r>
          <w:r w:rsidRPr="004816BC">
            <w:t xml:space="preserve"> Chapter 2: Natural Disaster Risk. Royal Commission into National Natural Disaster Arrangements. https://naturaldisaster.royalcommission.gov.au/publications/html-report/chapter-02.</w:t>
          </w:r>
        </w:p>
        <w:p w14:paraId="2714D793" w14:textId="77777777" w:rsidR="00075453" w:rsidRPr="004816BC" w:rsidRDefault="00075453" w:rsidP="00075453">
          <w:r w:rsidRPr="004816BC">
            <w:t xml:space="preserve">Greenberg, A. </w:t>
          </w:r>
          <w:r>
            <w:t>(</w:t>
          </w:r>
          <w:r w:rsidRPr="004816BC">
            <w:t>2019</w:t>
          </w:r>
          <w:r>
            <w:t>)</w:t>
          </w:r>
          <w:r w:rsidRPr="004816BC">
            <w:t xml:space="preserve">. Cyberspies Hijacked the Internet Domains of Entire Countries. </w:t>
          </w:r>
          <w:r w:rsidRPr="00EA3C15">
            <w:rPr>
              <w:i/>
              <w:iCs/>
            </w:rPr>
            <w:t>Wired.</w:t>
          </w:r>
          <w:r w:rsidRPr="004816BC">
            <w:t xml:space="preserve"> https://www.wired.com/story/sea-turtle-dns-hijacking/</w:t>
          </w:r>
          <w:r>
            <w:t xml:space="preserve">. </w:t>
          </w:r>
        </w:p>
        <w:p w14:paraId="659EDB1F" w14:textId="77777777" w:rsidR="00075453" w:rsidRPr="00CE4B35" w:rsidRDefault="00075453" w:rsidP="00075453">
          <w:pPr>
            <w:rPr>
              <w:lang w:val="nl-NL"/>
            </w:rPr>
          </w:pPr>
          <w:r w:rsidRPr="004816BC">
            <w:t xml:space="preserve">Gupta, S., &amp; Dias, A. </w:t>
          </w:r>
          <w:r>
            <w:t>(</w:t>
          </w:r>
          <w:r w:rsidRPr="004816BC">
            <w:t>2021</w:t>
          </w:r>
          <w:r>
            <w:t xml:space="preserve">). </w:t>
          </w:r>
          <w:r w:rsidRPr="004816BC">
            <w:t xml:space="preserve">The Google Cloud region in Melbourne is now open. </w:t>
          </w:r>
          <w:r w:rsidRPr="00CE4B35">
            <w:rPr>
              <w:i/>
              <w:lang w:val="nl-NL"/>
            </w:rPr>
            <w:t>Google Cloud Blog.</w:t>
          </w:r>
          <w:r w:rsidRPr="00CE4B35">
            <w:rPr>
              <w:lang w:val="nl-NL"/>
            </w:rPr>
            <w:t xml:space="preserve"> https://cloud.google.com/blog/products/infrastructure/the-google-cloud-region-in-melbourne-is-now-open.</w:t>
          </w:r>
        </w:p>
        <w:p w14:paraId="1A49215C" w14:textId="77777777" w:rsidR="00075453" w:rsidRPr="004816BC" w:rsidRDefault="00075453" w:rsidP="00075453">
          <w:r w:rsidRPr="004816BC">
            <w:t>GXI Volume 4 Archives - Interconnections - The Equinix Blog. (2021). Equinix. https://blog.equinix.com/blog/tag/gxi-volume-4/</w:t>
          </w:r>
          <w:r>
            <w:t xml:space="preserve">. </w:t>
          </w:r>
        </w:p>
        <w:p w14:paraId="24B01F31" w14:textId="75063FB4" w:rsidR="00075453" w:rsidRPr="004816BC" w:rsidRDefault="00075453" w:rsidP="00075453">
          <w:r w:rsidRPr="004816BC">
            <w:t xml:space="preserve">Hope, Z. </w:t>
          </w:r>
          <w:r>
            <w:t>(</w:t>
          </w:r>
          <w:r w:rsidRPr="004816BC">
            <w:t>2021</w:t>
          </w:r>
          <w:r>
            <w:t>)</w:t>
          </w:r>
          <w:r w:rsidRPr="004816BC">
            <w:t xml:space="preserve">. The peculiar reason hackers invaded one of Queensland’s biggest water companies. Brisbane Times, </w:t>
          </w:r>
          <w:hyperlink r:id="rId35" w:history="1">
            <w:r w:rsidRPr="00552CF5">
              <w:rPr>
                <w:rStyle w:val="Hyperlink"/>
              </w:rPr>
              <w:t>https://www.brisbanetimes.com.au/national/queensland/the-peculiar-reason-hackers-invaded-one-of-queensland-s-biggest-water-companies-20211111-p5987b.html</w:t>
            </w:r>
          </w:hyperlink>
          <w:r>
            <w:t xml:space="preserve">. </w:t>
          </w:r>
        </w:p>
        <w:p w14:paraId="13A95639" w14:textId="77777777" w:rsidR="00B426E1" w:rsidRPr="00B426E1" w:rsidRDefault="00075453" w:rsidP="00B426E1">
          <w:r w:rsidRPr="004816BC">
            <w:t xml:space="preserve">Hurley, D. </w:t>
          </w:r>
          <w:r>
            <w:t>(</w:t>
          </w:r>
          <w:r w:rsidRPr="004816BC">
            <w:t>2021</w:t>
          </w:r>
          <w:r>
            <w:t>)</w:t>
          </w:r>
          <w:r w:rsidRPr="004816BC">
            <w:t xml:space="preserve">. Panted Viruses Threat: ASIO fears sabotage. </w:t>
          </w:r>
          <w:r w:rsidRPr="00500E76">
            <w:rPr>
              <w:i/>
              <w:iCs/>
            </w:rPr>
            <w:t>Sunday Herald Sun</w:t>
          </w:r>
          <w:r>
            <w:t>.</w:t>
          </w:r>
          <w:r w:rsidRPr="004816BC">
            <w:t xml:space="preserve"> 1 August</w:t>
          </w:r>
          <w:r>
            <w:t xml:space="preserve">. </w:t>
          </w:r>
        </w:p>
        <w:p w14:paraId="0C0F2D69" w14:textId="77EE1982" w:rsidR="00091A1C" w:rsidRPr="00091A1C" w:rsidRDefault="00091A1C" w:rsidP="00075453">
          <w:r>
            <w:t xml:space="preserve">Hurst, D. (2011). Three quarters of Queensland a disaster zone. </w:t>
          </w:r>
          <w:r>
            <w:rPr>
              <w:i/>
              <w:iCs/>
            </w:rPr>
            <w:t xml:space="preserve">Brisbane Times. </w:t>
          </w:r>
          <w:r>
            <w:t>January 11.</w:t>
          </w:r>
        </w:p>
        <w:p w14:paraId="625D94C2" w14:textId="77777777" w:rsidR="00075453" w:rsidRPr="004816BC" w:rsidRDefault="00075453" w:rsidP="00075453">
          <w:r w:rsidRPr="004816BC">
            <w:t xml:space="preserve">IBIS World. </w:t>
          </w:r>
          <w:r>
            <w:t>(</w:t>
          </w:r>
          <w:r w:rsidRPr="004816BC">
            <w:t>2021</w:t>
          </w:r>
          <w:r>
            <w:t>)</w:t>
          </w:r>
          <w:r w:rsidRPr="004816BC">
            <w:t xml:space="preserve">. Fossil Fuel Electricity Generation in Australia. </w:t>
          </w:r>
          <w:r w:rsidRPr="00500E76">
            <w:rPr>
              <w:i/>
              <w:iCs/>
            </w:rPr>
            <w:t>IBIS World</w:t>
          </w:r>
          <w:r w:rsidRPr="004816BC">
            <w:t>. https://my.ibisworld.com/au/en/industry/d2611/about.</w:t>
          </w:r>
        </w:p>
        <w:p w14:paraId="3B20BE54" w14:textId="77777777" w:rsidR="00075453" w:rsidRDefault="00075453" w:rsidP="00075453">
          <w:r w:rsidRPr="004816BC">
            <w:t>IBIS Worl</w:t>
          </w:r>
          <w:r>
            <w:t>d</w:t>
          </w:r>
          <w:r w:rsidRPr="004816BC">
            <w:t xml:space="preserve">. </w:t>
          </w:r>
          <w:r>
            <w:t>(</w:t>
          </w:r>
          <w:r w:rsidRPr="004816BC">
            <w:t>2021</w:t>
          </w:r>
          <w:r>
            <w:t>)</w:t>
          </w:r>
          <w:r w:rsidRPr="004816BC">
            <w:t>. Electricity transmission in Australia.</w:t>
          </w:r>
          <w:r>
            <w:t xml:space="preserve"> </w:t>
          </w:r>
          <w:r w:rsidRPr="00500E76">
            <w:rPr>
              <w:i/>
              <w:iCs/>
            </w:rPr>
            <w:t>IBIS World</w:t>
          </w:r>
          <w:r w:rsidRPr="004816BC">
            <w:t xml:space="preserve">. </w:t>
          </w:r>
          <w:hyperlink r:id="rId36">
            <w:r w:rsidRPr="1F9EF7E8">
              <w:rPr>
                <w:rStyle w:val="Hyperlink"/>
              </w:rPr>
              <w:t>https://my.ibisworld.com/au/en/industry/d2620/about</w:t>
            </w:r>
          </w:hyperlink>
          <w:r>
            <w:t>.</w:t>
          </w:r>
        </w:p>
        <w:p w14:paraId="72326CE9" w14:textId="3EA39CCF" w:rsidR="00B426E1" w:rsidRPr="00B426E1" w:rsidRDefault="00075453" w:rsidP="00B426E1">
          <w:r>
            <w:t xml:space="preserve">IBM. (2021). Cost of a Data Breach Report 2021. </w:t>
          </w:r>
          <w:r w:rsidRPr="00500E76">
            <w:rPr>
              <w:i/>
              <w:iCs/>
            </w:rPr>
            <w:t>IBM Security</w:t>
          </w:r>
          <w:r>
            <w:t xml:space="preserve">. </w:t>
          </w:r>
          <w:hyperlink r:id="rId37" w:history="1">
            <w:r w:rsidR="00091A1C" w:rsidRPr="00BF4F61">
              <w:rPr>
                <w:rStyle w:val="Hyperlink"/>
              </w:rPr>
              <w:t>https://www.ibm.com/downloads/cas/OJDVQGRY</w:t>
            </w:r>
          </w:hyperlink>
          <w:r>
            <w:t>.</w:t>
          </w:r>
        </w:p>
        <w:p w14:paraId="3A02CAAC" w14:textId="185F7F18" w:rsidR="00091A1C" w:rsidRPr="004816BC" w:rsidRDefault="00091A1C" w:rsidP="00075453">
          <w:r w:rsidRPr="00091A1C">
            <w:t xml:space="preserve">Insurance Council of Australia. </w:t>
          </w:r>
          <w:r>
            <w:t xml:space="preserve">(2011). </w:t>
          </w:r>
          <w:r w:rsidRPr="00091A1C">
            <w:t>Flooding in the Brisbane River Catchment; ICA Hydrology Panel: Sydney, Australia, 20 February 2011.</w:t>
          </w:r>
        </w:p>
        <w:p w14:paraId="13892307" w14:textId="77777777" w:rsidR="00075453" w:rsidRPr="004816BC" w:rsidRDefault="00075453" w:rsidP="00075453">
          <w:r w:rsidRPr="004816BC">
            <w:t xml:space="preserve">Johnson, Dr S. </w:t>
          </w:r>
          <w:r>
            <w:t>(</w:t>
          </w:r>
          <w:r w:rsidRPr="004816BC">
            <w:t>2017</w:t>
          </w:r>
          <w:r>
            <w:t>)</w:t>
          </w:r>
          <w:r w:rsidRPr="004816BC">
            <w:t xml:space="preserve">. </w:t>
          </w:r>
          <w:r>
            <w:t>Y</w:t>
          </w:r>
          <w:r w:rsidRPr="004816BC">
            <w:t>ou don't know the power of the Dark Side. 14 September. https://www.energynetworks.com.au/news/energy-insider/you-dont-know-the-power-of-the-dark-side/#_ftn1.</w:t>
          </w:r>
        </w:p>
        <w:p w14:paraId="0F118B1A" w14:textId="77777777" w:rsidR="00075453" w:rsidRPr="004816BC" w:rsidRDefault="00075453" w:rsidP="00075453">
          <w:r w:rsidRPr="004816BC">
            <w:t xml:space="preserve">Jones, N. </w:t>
          </w:r>
          <w:r>
            <w:t>(</w:t>
          </w:r>
          <w:r w:rsidRPr="004816BC">
            <w:t>2021</w:t>
          </w:r>
          <w:r>
            <w:t>)</w:t>
          </w:r>
          <w:r w:rsidRPr="004816BC">
            <w:t xml:space="preserve">. FULL LIST: All the roads closed in South East Queensland. </w:t>
          </w:r>
          <w:r w:rsidRPr="00500E76">
            <w:rPr>
              <w:i/>
              <w:iCs/>
            </w:rPr>
            <w:t>The Courier Mail</w:t>
          </w:r>
          <w:r>
            <w:t>.</w:t>
          </w:r>
          <w:r w:rsidRPr="004816BC">
            <w:t xml:space="preserve"> https://www.couriermail.com.au/news/emergency-services/full-list-all-the-roads-closed-in-south-east-queensland/news-story/006ab66784619084a82ad4c1569907c9 21 December</w:t>
          </w:r>
          <w:r>
            <w:t>.</w:t>
          </w:r>
        </w:p>
        <w:p w14:paraId="66DB8B7F" w14:textId="52A04E08" w:rsidR="00075453" w:rsidRPr="00CE4B35" w:rsidRDefault="00075453" w:rsidP="00075453">
          <w:pPr>
            <w:rPr>
              <w:lang w:val="nl-NL"/>
            </w:rPr>
          </w:pPr>
          <w:r w:rsidRPr="004816BC">
            <w:t xml:space="preserve">Jowitt, T. </w:t>
          </w:r>
          <w:r>
            <w:t>(</w:t>
          </w:r>
          <w:r w:rsidRPr="004816BC">
            <w:t>2019</w:t>
          </w:r>
          <w:r>
            <w:t>).</w:t>
          </w:r>
          <w:r w:rsidRPr="004816BC">
            <w:t xml:space="preserve"> Human Error Blamed For Visa Data Breach Down Under. </w:t>
          </w:r>
          <w:r w:rsidRPr="00CE4B35">
            <w:rPr>
              <w:i/>
              <w:lang w:val="nl-NL"/>
            </w:rPr>
            <w:t>Silicon UK.</w:t>
          </w:r>
          <w:r w:rsidRPr="00CE4B35">
            <w:rPr>
              <w:lang w:val="nl-NL"/>
            </w:rPr>
            <w:t xml:space="preserve"> https://www.silicon.co.uk/security/cyberwar/visa-data-breach-down-under-279407.</w:t>
          </w:r>
        </w:p>
        <w:p w14:paraId="0F836D0B" w14:textId="77777777" w:rsidR="00075453" w:rsidRPr="00CE4B35" w:rsidRDefault="00075453" w:rsidP="00075453">
          <w:pPr>
            <w:rPr>
              <w:lang w:val="nl-NL"/>
            </w:rPr>
          </w:pPr>
          <w:r w:rsidRPr="004816BC">
            <w:t xml:space="preserve">Katz, J. </w:t>
          </w:r>
          <w:r>
            <w:t>(</w:t>
          </w:r>
          <w:r w:rsidRPr="004816BC">
            <w:t>2021</w:t>
          </w:r>
          <w:r>
            <w:t>)</w:t>
          </w:r>
          <w:r w:rsidRPr="004816BC">
            <w:t xml:space="preserve">. Survey shows many water utilities struggle with cybersecurity. </w:t>
          </w:r>
          <w:r w:rsidRPr="00CE4B35">
            <w:rPr>
              <w:lang w:val="nl-NL"/>
            </w:rPr>
            <w:t xml:space="preserve">GCN. https://gcn.com/cybersecurity/2021/06/survey-shows-many-water-utilities-struggle-with-cybersecurity/315479/. </w:t>
          </w:r>
        </w:p>
        <w:p w14:paraId="3FFAF3AC" w14:textId="77777777" w:rsidR="00075453" w:rsidRPr="004816BC" w:rsidRDefault="00075453" w:rsidP="00075453">
          <w:r w:rsidRPr="004816BC">
            <w:t xml:space="preserve">Kilpatrick, J. </w:t>
          </w:r>
          <w:r>
            <w:t>(</w:t>
          </w:r>
          <w:r w:rsidRPr="004816BC">
            <w:t>2021</w:t>
          </w:r>
          <w:r>
            <w:t>)</w:t>
          </w:r>
          <w:r w:rsidRPr="004816BC">
            <w:t xml:space="preserve">. COVID-19: Managing supply chain risk and disruption. </w:t>
          </w:r>
          <w:r>
            <w:rPr>
              <w:i/>
              <w:iCs/>
            </w:rPr>
            <w:t xml:space="preserve">Deloitte. </w:t>
          </w:r>
          <w:r w:rsidRPr="004816BC">
            <w:t>https://www2.deloitte.com/global/en/pages/risk/cyber-strategic-risk/articles/covid-19-managing-supply-chain-risk-and-disruption.html.</w:t>
          </w:r>
        </w:p>
        <w:p w14:paraId="1962DB90" w14:textId="77777777" w:rsidR="00075453" w:rsidRPr="00CE4B35" w:rsidRDefault="00075453" w:rsidP="00075453">
          <w:pPr>
            <w:rPr>
              <w:lang w:val="nl-NL"/>
            </w:rPr>
          </w:pPr>
          <w:r w:rsidRPr="004816BC">
            <w:lastRenderedPageBreak/>
            <w:t>Kohen, I.</w:t>
          </w:r>
          <w:r>
            <w:t xml:space="preserve"> (</w:t>
          </w:r>
          <w:r w:rsidRPr="004816BC">
            <w:t>2019</w:t>
          </w:r>
          <w:r>
            <w:t>)</w:t>
          </w:r>
          <w:r w:rsidRPr="004816BC">
            <w:t xml:space="preserve">. 10 Data Security Risks That Could Impact Your Company In 2020. </w:t>
          </w:r>
          <w:r w:rsidRPr="00CE4B35">
            <w:rPr>
              <w:i/>
              <w:lang w:val="nl-NL"/>
            </w:rPr>
            <w:t>Forbes</w:t>
          </w:r>
          <w:r w:rsidRPr="00CE4B35">
            <w:rPr>
              <w:lang w:val="nl-NL"/>
            </w:rPr>
            <w:t>. https://www.forbes.com/sites/theyec/2019/10/01/10-data-security-risks-that-could-impact-your-company-in-2020/?sh=67100144a0c0.</w:t>
          </w:r>
        </w:p>
        <w:p w14:paraId="008DE122" w14:textId="77777777" w:rsidR="00075453" w:rsidRPr="00CE4B35" w:rsidRDefault="00075453" w:rsidP="00075453">
          <w:pPr>
            <w:rPr>
              <w:lang w:val="nl-NL"/>
            </w:rPr>
          </w:pPr>
          <w:r w:rsidRPr="004816BC">
            <w:t xml:space="preserve">KPMG. </w:t>
          </w:r>
          <w:r>
            <w:t>(</w:t>
          </w:r>
          <w:r w:rsidRPr="004816BC">
            <w:t>2020</w:t>
          </w:r>
          <w:r>
            <w:t>)</w:t>
          </w:r>
          <w:r w:rsidRPr="004816BC">
            <w:t xml:space="preserve">. The Pace of Change - IT / OT Convergence. </w:t>
          </w:r>
          <w:r w:rsidRPr="00CE4B35">
            <w:rPr>
              <w:i/>
              <w:lang w:val="nl-NL"/>
            </w:rPr>
            <w:t>KPMG.</w:t>
          </w:r>
          <w:r w:rsidRPr="00CE4B35">
            <w:rPr>
              <w:lang w:val="nl-NL"/>
            </w:rPr>
            <w:t xml:space="preserve"> https://home.kpmg/content/dam/kpmg/be/pdf/2020/06/it-ot-cybersec-convergence.pdf.</w:t>
          </w:r>
        </w:p>
        <w:p w14:paraId="5E028335" w14:textId="77777777" w:rsidR="00075453" w:rsidRPr="004816BC" w:rsidRDefault="00075453" w:rsidP="00075453">
          <w:r w:rsidRPr="004816BC">
            <w:t xml:space="preserve">Lannin, S. </w:t>
          </w:r>
          <w:r>
            <w:t>(</w:t>
          </w:r>
          <w:r w:rsidRPr="004816BC">
            <w:t>2021</w:t>
          </w:r>
          <w:r>
            <w:t>)</w:t>
          </w:r>
          <w:r w:rsidRPr="004816BC">
            <w:t>. ACCC launches investigations into ‘exorbitant’ shipping and port charges.</w:t>
          </w:r>
          <w:r>
            <w:t xml:space="preserve"> </w:t>
          </w:r>
          <w:r w:rsidRPr="00500E76">
            <w:rPr>
              <w:i/>
              <w:iCs/>
            </w:rPr>
            <w:t>ABC News</w:t>
          </w:r>
          <w:r>
            <w:t>.</w:t>
          </w:r>
          <w:r w:rsidRPr="004816BC">
            <w:t xml:space="preserve"> https://www.abc.net.au/news/2021-09-14/prices-ports-transport-shopping-accc-covid-inflation/100458836 </w:t>
          </w:r>
          <w:r>
            <w:t>.</w:t>
          </w:r>
        </w:p>
        <w:p w14:paraId="21706864" w14:textId="77777777" w:rsidR="00075453" w:rsidRPr="004816BC" w:rsidRDefault="00075453" w:rsidP="00075453">
          <w:r w:rsidRPr="004816BC">
            <w:t xml:space="preserve">Lauder, S. Reardon, A. McCutcheon. J. </w:t>
          </w:r>
          <w:r>
            <w:t>(</w:t>
          </w:r>
          <w:r w:rsidRPr="004816BC">
            <w:t>2020</w:t>
          </w:r>
          <w:r>
            <w:t>)</w:t>
          </w:r>
          <w:r w:rsidRPr="004816BC">
            <w:t xml:space="preserve">. ABC’s south coast transmitter that melted during Black Summer bushfired back in action. </w:t>
          </w:r>
          <w:r w:rsidRPr="00500E76">
            <w:rPr>
              <w:i/>
              <w:iCs/>
            </w:rPr>
            <w:t>ABC News</w:t>
          </w:r>
          <w:r>
            <w:t>.</w:t>
          </w:r>
          <w:r w:rsidRPr="004816BC">
            <w:t xml:space="preserve"> 30 October. https://www.abc.net.au/news/2020-10-30/abc-radio-transmitter-melted-in-nsw-bushfires-back-in-action/12830154</w:t>
          </w:r>
        </w:p>
        <w:p w14:paraId="706184FD" w14:textId="77777777" w:rsidR="00075453" w:rsidRPr="004816BC" w:rsidRDefault="00075453" w:rsidP="00075453">
          <w:r w:rsidRPr="004816BC">
            <w:t xml:space="preserve">Lewis, L. </w:t>
          </w:r>
          <w:r>
            <w:t>(</w:t>
          </w:r>
          <w:r w:rsidRPr="004816BC">
            <w:t>n.d.</w:t>
          </w:r>
          <w:r>
            <w:t>)</w:t>
          </w:r>
          <w:r w:rsidRPr="004816BC">
            <w:t xml:space="preserve"> Cholera, Dengue Fever, and Malaria: The Unquestionable Link to Water. </w:t>
          </w:r>
          <w:r w:rsidRPr="00500E76">
            <w:rPr>
              <w:i/>
              <w:iCs/>
            </w:rPr>
            <w:t>The Water Project</w:t>
          </w:r>
          <w:r>
            <w:rPr>
              <w:i/>
              <w:iCs/>
            </w:rPr>
            <w:t>.</w:t>
          </w:r>
          <w:r w:rsidRPr="004816BC">
            <w:t xml:space="preserve"> https://thewaterproject.org/water-scarcity/cholera-dengue-fever-malaria-water</w:t>
          </w:r>
          <w:r>
            <w:t xml:space="preserve">. </w:t>
          </w:r>
        </w:p>
        <w:p w14:paraId="6837D4BF" w14:textId="0BC6D4CE" w:rsidR="00075453" w:rsidRPr="004816BC" w:rsidRDefault="00075453" w:rsidP="00075453">
          <w:r w:rsidRPr="004816BC">
            <w:t xml:space="preserve">Litton, E. Huckson, S, e al. </w:t>
          </w:r>
          <w:r>
            <w:t xml:space="preserve">(2020). </w:t>
          </w:r>
          <w:r w:rsidRPr="004816BC">
            <w:t xml:space="preserve">Surge capacity of intensive care units in case of acute increase in demand caused by COVID-19 in Australia. </w:t>
          </w:r>
          <w:r w:rsidRPr="00500E76">
            <w:rPr>
              <w:i/>
              <w:iCs/>
            </w:rPr>
            <w:t>Med J Australia</w:t>
          </w:r>
          <w:r>
            <w:t>.</w:t>
          </w:r>
          <w:r w:rsidRPr="004816BC">
            <w:t xml:space="preserve"> </w:t>
          </w:r>
          <w:hyperlink r:id="rId38" w:history="1">
            <w:r w:rsidRPr="00552CF5">
              <w:rPr>
                <w:rStyle w:val="Hyperlink"/>
              </w:rPr>
              <w:t>https://www.mja.com.au/journal/2021/215/11/increasing-icu-capacity-accommodate-higher-demand-during-covid-19-pandemic</w:t>
            </w:r>
          </w:hyperlink>
          <w:r>
            <w:t xml:space="preserve"> </w:t>
          </w:r>
          <w:r w:rsidRPr="00500E76">
            <w:rPr>
              <w:i/>
              <w:iCs/>
            </w:rPr>
            <w:t>212</w:t>
          </w:r>
          <w:r>
            <w:t>,</w:t>
          </w:r>
          <w:r w:rsidRPr="004816BC">
            <w:t xml:space="preserve"> 463-467.</w:t>
          </w:r>
        </w:p>
        <w:p w14:paraId="40E98086" w14:textId="77777777" w:rsidR="00075453" w:rsidRPr="004816BC" w:rsidRDefault="00075453" w:rsidP="00075453">
          <w:r w:rsidRPr="004816BC">
            <w:t xml:space="preserve">Lord, N. </w:t>
          </w:r>
          <w:r>
            <w:t>(</w:t>
          </w:r>
          <w:r w:rsidRPr="004816BC">
            <w:t>2020</w:t>
          </w:r>
          <w:r>
            <w:t>)</w:t>
          </w:r>
          <w:r w:rsidRPr="004816BC">
            <w:t>. The cost of a malware infection? For Maersk, $300 million”</w:t>
          </w:r>
          <w:r w:rsidRPr="00500E76">
            <w:rPr>
              <w:i/>
              <w:iCs/>
            </w:rPr>
            <w:t xml:space="preserve"> Digital Guardian</w:t>
          </w:r>
          <w:r>
            <w:t>.</w:t>
          </w:r>
          <w:r w:rsidRPr="004816BC">
            <w:t xml:space="preserve"> https://digitalguardian.com/blog/cost-malware-infection-maersk-300-million</w:t>
          </w:r>
          <w:r>
            <w:t xml:space="preserve">. </w:t>
          </w:r>
        </w:p>
        <w:p w14:paraId="58F4660D" w14:textId="77777777" w:rsidR="00075453" w:rsidRPr="004816BC" w:rsidRDefault="00075453" w:rsidP="00075453">
          <w:r w:rsidRPr="004816BC">
            <w:t xml:space="preserve">Lyne, M. </w:t>
          </w:r>
          <w:r>
            <w:t>(</w:t>
          </w:r>
          <w:r w:rsidRPr="004816BC">
            <w:t>2020</w:t>
          </w:r>
          <w:r>
            <w:t>)</w:t>
          </w:r>
          <w:r w:rsidRPr="004816BC">
            <w:t xml:space="preserve">. Building our nation’s climate and disaster resilience: where to from here?. </w:t>
          </w:r>
          <w:r w:rsidRPr="00500E76">
            <w:rPr>
              <w:i/>
              <w:iCs/>
            </w:rPr>
            <w:t>Commonwealth Scientific and Industrial Research Organisation.</w:t>
          </w:r>
          <w:r w:rsidRPr="004816BC">
            <w:t xml:space="preserve"> https://ecos.csiro.au/building-climate-and-disaster-resilience/</w:t>
          </w:r>
          <w:r>
            <w:t>.</w:t>
          </w:r>
          <w:r w:rsidRPr="004816BC">
            <w:t xml:space="preserve"> </w:t>
          </w:r>
        </w:p>
        <w:p w14:paraId="7282D831" w14:textId="047DC6A9" w:rsidR="00C176DD" w:rsidRPr="00EA234C" w:rsidRDefault="00B72A31" w:rsidP="00B72A31">
          <w:r w:rsidRPr="004816BC">
            <w:t xml:space="preserve">Matthews, K.L. </w:t>
          </w:r>
          <w:r>
            <w:t>(</w:t>
          </w:r>
          <w:r w:rsidRPr="004816BC">
            <w:t>2021</w:t>
          </w:r>
          <w:r>
            <w:t>)</w:t>
          </w:r>
          <w:r w:rsidRPr="004816BC">
            <w:t>. What to know about the main causes of inflation.</w:t>
          </w:r>
          <w:r>
            <w:t xml:space="preserve"> </w:t>
          </w:r>
          <w:r w:rsidRPr="00DE3BE8">
            <w:rPr>
              <w:i/>
              <w:iCs/>
            </w:rPr>
            <w:t>Business Insider Australia</w:t>
          </w:r>
          <w:r w:rsidRPr="004816BC">
            <w:t>, https://www.businessinsider.com.au/causes-of-inflation?r=US&amp;IR=T 21 December</w:t>
          </w:r>
          <w:r>
            <w:t xml:space="preserve">   </w:t>
          </w:r>
        </w:p>
        <w:p w14:paraId="20ACD254" w14:textId="65DE926A" w:rsidR="00B72A31" w:rsidRDefault="00B72A31" w:rsidP="00B72A31">
          <w:r>
            <w:t xml:space="preserve">McDonald, T. (2019, 20 December). Australia fires: The huge economic cost of Australia’s bushfires. </w:t>
          </w:r>
          <w:r>
            <w:rPr>
              <w:i/>
              <w:iCs/>
            </w:rPr>
            <w:t xml:space="preserve">BBC News. </w:t>
          </w:r>
          <w:r>
            <w:t xml:space="preserve">20 December. </w:t>
          </w:r>
          <w:hyperlink r:id="rId39" w:history="1">
            <w:r w:rsidRPr="00052ADA">
              <w:rPr>
                <w:rStyle w:val="Hyperlink"/>
              </w:rPr>
              <w:t>https://www.bbc.com/news/business-50862349</w:t>
            </w:r>
          </w:hyperlink>
          <w:r w:rsidRPr="004816BC">
            <w:t>.</w:t>
          </w:r>
          <w:r>
            <w:t xml:space="preserve"> </w:t>
          </w:r>
        </w:p>
        <w:p w14:paraId="210DA42E" w14:textId="26A3D376" w:rsidR="00B72A31" w:rsidRDefault="00B72A31" w:rsidP="00B72A31">
          <w:r>
            <w:t xml:space="preserve">McDonald, T. (2020, 10 December). Cost of cyber-attack revealed as Barwon Health records surplus in challenging year’. </w:t>
          </w:r>
          <w:r>
            <w:rPr>
              <w:i/>
              <w:iCs/>
            </w:rPr>
            <w:t xml:space="preserve">Geelong Advertiser. </w:t>
          </w:r>
          <w:hyperlink r:id="rId40" w:history="1">
            <w:r w:rsidRPr="00052ADA">
              <w:rPr>
                <w:rStyle w:val="Hyperlink"/>
              </w:rPr>
              <w:t>https://www.geelongadvertiser.com.au/news/geelong/cost-of-cyber-attack-revealed-as-barwon-health-records-surplus-in-challenging-year/news-story/625fa8fc13778725cfc54e9acb79d8fe</w:t>
            </w:r>
          </w:hyperlink>
          <w:r>
            <w:t xml:space="preserve"> </w:t>
          </w:r>
        </w:p>
        <w:p w14:paraId="23602D03" w14:textId="75F41F5E" w:rsidR="00B72A31" w:rsidRDefault="00B72A31" w:rsidP="00B72A31">
          <w:r w:rsidRPr="004816BC">
            <w:t>McKinnell, J</w:t>
          </w:r>
          <w:r>
            <w:t>. (19 September)</w:t>
          </w:r>
          <w:r w:rsidRPr="004816BC">
            <w:t xml:space="preserve">. Shen Neng 1 reef spill leads to $39 million payout six years on. </w:t>
          </w:r>
          <w:r w:rsidRPr="00DE3BE8">
            <w:rPr>
              <w:i/>
              <w:iCs/>
            </w:rPr>
            <w:t>The New Daily</w:t>
          </w:r>
          <w:r w:rsidRPr="004816BC">
            <w:t xml:space="preserve">. </w:t>
          </w:r>
          <w:hyperlink r:id="rId41" w:history="1">
            <w:r w:rsidRPr="00052ADA">
              <w:rPr>
                <w:rStyle w:val="Hyperlink"/>
              </w:rPr>
              <w:t>https://thenewdaily.com.au/news/national/2016/09/19/shen-neng-oil-spill-payout/</w:t>
            </w:r>
          </w:hyperlink>
        </w:p>
        <w:p w14:paraId="41CD3B5C" w14:textId="77777777" w:rsidR="00B72A31" w:rsidRPr="004816BC" w:rsidRDefault="00B72A31" w:rsidP="00B72A31">
          <w:r w:rsidRPr="004816BC">
            <w:t>McLaughlin, K.</w:t>
          </w:r>
          <w:r>
            <w:t xml:space="preserve"> (2020, 7 January).</w:t>
          </w:r>
          <w:r w:rsidRPr="004816BC">
            <w:t xml:space="preserve"> Australian babies are being born in smoke-filled hospitals as hundreds of bushfires burn across the countr</w:t>
          </w:r>
          <w:r>
            <w:t>y</w:t>
          </w:r>
          <w:r w:rsidRPr="004816BC">
            <w:t xml:space="preserve">. </w:t>
          </w:r>
          <w:r w:rsidRPr="00375D10">
            <w:rPr>
              <w:i/>
              <w:iCs/>
            </w:rPr>
            <w:t>Insider</w:t>
          </w:r>
          <w:r w:rsidRPr="004816BC">
            <w:t>.</w:t>
          </w:r>
          <w:r>
            <w:t xml:space="preserve"> </w:t>
          </w:r>
          <w:r w:rsidRPr="004816BC">
            <w:t>https://www.insider.com/australian-bushfires-babies-delivered-in-smoky-hospitals-2020-1</w:t>
          </w:r>
        </w:p>
        <w:p w14:paraId="1A88F2F2" w14:textId="248E4D51" w:rsidR="00B72A31" w:rsidRPr="004816BC" w:rsidRDefault="00B72A31" w:rsidP="00B72A31">
          <w:r w:rsidRPr="004816BC">
            <w:t xml:space="preserve">Michaelson, R. </w:t>
          </w:r>
          <w:r>
            <w:t>(</w:t>
          </w:r>
          <w:r w:rsidRPr="004816BC">
            <w:t>2021</w:t>
          </w:r>
          <w:r>
            <w:t>).</w:t>
          </w:r>
          <w:r w:rsidRPr="004816BC">
            <w:t xml:space="preserve"> Ever Given released from Suez Canal after compensation agreed. </w:t>
          </w:r>
          <w:r w:rsidRPr="00375D10">
            <w:rPr>
              <w:i/>
              <w:iCs/>
            </w:rPr>
            <w:t>The Guardian</w:t>
          </w:r>
          <w:r>
            <w:t xml:space="preserve">. </w:t>
          </w:r>
          <w:r w:rsidRPr="004816BC">
            <w:t>https://www.theguardian.com/world/2021/jul/07/ever-given-released-from-suez-canal-after-compensation-agreed 21 December</w:t>
          </w:r>
        </w:p>
        <w:p w14:paraId="12DCFD91" w14:textId="3164609F" w:rsidR="00B72A31" w:rsidRDefault="00B72A31" w:rsidP="00B72A31">
          <w:r w:rsidRPr="004816BC">
            <w:t xml:space="preserve">Moore, T. </w:t>
          </w:r>
          <w:r>
            <w:t>(</w:t>
          </w:r>
          <w:r w:rsidRPr="004816BC">
            <w:t>2016</w:t>
          </w:r>
          <w:r>
            <w:t>, 7 May)</w:t>
          </w:r>
          <w:r w:rsidRPr="004816BC">
            <w:t>. Costs to remove toxic paint from Great Barrier Reef ‘triples’ to $141 million</w:t>
          </w:r>
          <w:r>
            <w:t>.</w:t>
          </w:r>
          <w:r w:rsidRPr="004816BC">
            <w:t xml:space="preserve"> </w:t>
          </w:r>
          <w:r w:rsidRPr="00375D10">
            <w:rPr>
              <w:i/>
              <w:iCs/>
            </w:rPr>
            <w:t>Brisbane Times</w:t>
          </w:r>
          <w:r w:rsidRPr="004816BC">
            <w:t xml:space="preserve">. </w:t>
          </w:r>
          <w:hyperlink r:id="rId42" w:history="1">
            <w:r w:rsidRPr="00052ADA">
              <w:rPr>
                <w:rStyle w:val="Hyperlink"/>
              </w:rPr>
              <w:t>https://www.brisbanetimes.com.au/national/queensland/costs-to-remove-toxic-paint-from-great-barrier-reef-triples-to-141-million-20160506-gooe84.html</w:t>
            </w:r>
          </w:hyperlink>
        </w:p>
        <w:p w14:paraId="42F85A60" w14:textId="77777777" w:rsidR="00021F4E" w:rsidRPr="00CE4B35" w:rsidRDefault="00021F4E" w:rsidP="00E35D79">
          <w:pPr>
            <w:rPr>
              <w:lang w:val="nl-NL"/>
            </w:rPr>
          </w:pPr>
          <w:r w:rsidRPr="004816BC">
            <w:t xml:space="preserve">Morrow, T. </w:t>
          </w:r>
          <w:r w:rsidR="00B72A31">
            <w:t>(</w:t>
          </w:r>
          <w:r w:rsidRPr="004816BC">
            <w:t>2018</w:t>
          </w:r>
          <w:r w:rsidR="00B72A31">
            <w:t>).</w:t>
          </w:r>
          <w:r w:rsidR="00B72A31" w:rsidRPr="004816BC">
            <w:t xml:space="preserve"> </w:t>
          </w:r>
          <w:r w:rsidRPr="004816BC">
            <w:t>12 Risks, Threats, &amp; Vulnerabilities in Moving to the Cloud</w:t>
          </w:r>
          <w:r w:rsidR="00B72A31" w:rsidRPr="004816BC">
            <w:t>.</w:t>
          </w:r>
          <w:r w:rsidRPr="004816BC">
            <w:t xml:space="preserve"> </w:t>
          </w:r>
          <w:r w:rsidRPr="00CE4B35">
            <w:rPr>
              <w:i/>
              <w:lang w:val="nl-NL"/>
            </w:rPr>
            <w:t>SEI Blog</w:t>
          </w:r>
          <w:r w:rsidRPr="00CE4B35">
            <w:rPr>
              <w:lang w:val="nl-NL"/>
            </w:rPr>
            <w:t>. https://insights.sei.cmu.edu/blog/12-risks-threats-vulnerabilities-in-moving-to-the-cloud/</w:t>
          </w:r>
        </w:p>
        <w:p w14:paraId="4CAFDF47" w14:textId="72DB76D2" w:rsidR="00021F4E" w:rsidRPr="004816BC" w:rsidRDefault="00021F4E" w:rsidP="00E35D79">
          <w:r w:rsidRPr="004816BC">
            <w:t xml:space="preserve">Moss, S. </w:t>
          </w:r>
          <w:r w:rsidR="00B72A31">
            <w:t>(</w:t>
          </w:r>
          <w:r w:rsidRPr="004816BC">
            <w:t xml:space="preserve">2021, </w:t>
          </w:r>
          <w:r w:rsidR="00B72A31">
            <w:t xml:space="preserve">25 </w:t>
          </w:r>
          <w:r w:rsidRPr="004816BC">
            <w:t>August</w:t>
          </w:r>
          <w:r w:rsidR="00B72A31">
            <w:t>)</w:t>
          </w:r>
          <w:r w:rsidR="00B72A31" w:rsidRPr="004816BC">
            <w:t>.</w:t>
          </w:r>
          <w:r w:rsidRPr="004816BC">
            <w:t xml:space="preserve"> Google Cloud hit by outage in new Melbourne, Australia, region. </w:t>
          </w:r>
          <w:r w:rsidR="00B72A31">
            <w:rPr>
              <w:i/>
              <w:iCs/>
            </w:rPr>
            <w:t>Data Center Dynamics</w:t>
          </w:r>
          <w:r w:rsidR="00B72A31" w:rsidRPr="004816BC">
            <w:t xml:space="preserve">. </w:t>
          </w:r>
          <w:hyperlink r:id="rId43" w:history="1">
            <w:r w:rsidR="00B72A31" w:rsidRPr="00052ADA">
              <w:rPr>
                <w:rStyle w:val="Hyperlink"/>
              </w:rPr>
              <w:t>https://www.datacenterdynamics.com/en/news/google-cloud-hit-by-outage-in-new-melbourne-australia-region/</w:t>
            </w:r>
          </w:hyperlink>
        </w:p>
        <w:p w14:paraId="12158ECC" w14:textId="77777777" w:rsidR="00021F4E" w:rsidRPr="004816BC" w:rsidRDefault="00021F4E" w:rsidP="00E35D79">
          <w:r w:rsidRPr="004816BC">
            <w:t xml:space="preserve">Motherwell, S. </w:t>
          </w:r>
          <w:r w:rsidR="00B72A31">
            <w:t>(</w:t>
          </w:r>
          <w:r w:rsidRPr="004816BC">
            <w:t>2018</w:t>
          </w:r>
          <w:r w:rsidR="00B72A31">
            <w:t xml:space="preserve">). </w:t>
          </w:r>
          <w:r w:rsidRPr="004816BC">
            <w:t>NAB outage: Bank promises to compensate customers for losses from nationwide disruption</w:t>
          </w:r>
          <w:r w:rsidR="00B72A31" w:rsidRPr="004816BC">
            <w:t>.</w:t>
          </w:r>
          <w:r w:rsidRPr="004816BC">
            <w:t xml:space="preserve"> </w:t>
          </w:r>
          <w:r w:rsidRPr="00375D10">
            <w:rPr>
              <w:i/>
            </w:rPr>
            <w:t>ABC News.</w:t>
          </w:r>
          <w:r w:rsidRPr="004816BC">
            <w:t xml:space="preserve"> </w:t>
          </w:r>
        </w:p>
        <w:p w14:paraId="6013E014" w14:textId="77777777" w:rsidR="00021F4E" w:rsidRPr="004816BC" w:rsidRDefault="00021F4E" w:rsidP="00E35D79">
          <w:r w:rsidRPr="004816BC">
            <w:t xml:space="preserve">Murphy, </w:t>
          </w:r>
          <w:r w:rsidR="00B72A31" w:rsidRPr="004816BC">
            <w:t xml:space="preserve">K. </w:t>
          </w:r>
          <w:r w:rsidR="00B72A31">
            <w:t>(</w:t>
          </w:r>
          <w:r w:rsidR="00B72A31" w:rsidRPr="004816BC">
            <w:t>2017</w:t>
          </w:r>
          <w:r w:rsidR="00B72A31">
            <w:t>, 10 February)</w:t>
          </w:r>
          <w:r w:rsidR="00B72A31" w:rsidRPr="004816BC">
            <w:t xml:space="preserve">. </w:t>
          </w:r>
          <w:r w:rsidRPr="004816BC">
            <w:t xml:space="preserve">Electricity market operator denies being 'asleep at the wheel' during blackout. </w:t>
          </w:r>
          <w:r w:rsidRPr="00375D10">
            <w:rPr>
              <w:i/>
            </w:rPr>
            <w:t>The Guardian</w:t>
          </w:r>
          <w:r w:rsidRPr="004816BC">
            <w:t xml:space="preserve">. https://www.theguardian.com/australia-news/2017/feb/10/electricity-market-operator-denies-being-asleep-at-the-wheel-during-blackout </w:t>
          </w:r>
        </w:p>
        <w:p w14:paraId="75885367" w14:textId="77777777" w:rsidR="00B72A31" w:rsidRPr="004816BC" w:rsidRDefault="00B72A31" w:rsidP="00B72A31">
          <w:r w:rsidRPr="004816BC">
            <w:lastRenderedPageBreak/>
            <w:t xml:space="preserve">Murphy, Z. </w:t>
          </w:r>
          <w:r>
            <w:t>(</w:t>
          </w:r>
          <w:r w:rsidRPr="004816BC">
            <w:t>2011</w:t>
          </w:r>
          <w:r>
            <w:t>, 15 March)</w:t>
          </w:r>
          <w:r w:rsidRPr="004816BC">
            <w:t xml:space="preserve">. Japan earthquake: Living with blackouts. </w:t>
          </w:r>
          <w:r w:rsidRPr="00375D10">
            <w:rPr>
              <w:i/>
              <w:iCs/>
            </w:rPr>
            <w:t>BBC News</w:t>
          </w:r>
          <w:r w:rsidRPr="004816BC">
            <w:t>. https://www.bbc.com/news/world-asia-pacific-12731696.</w:t>
          </w:r>
        </w:p>
        <w:p w14:paraId="09F48517" w14:textId="77777777" w:rsidR="00B72A31" w:rsidRPr="004816BC" w:rsidRDefault="00B72A31" w:rsidP="00B72A31">
          <w:r w:rsidRPr="004816BC">
            <w:t xml:space="preserve">Nakashima, E. </w:t>
          </w:r>
          <w:r>
            <w:t>(</w:t>
          </w:r>
          <w:r w:rsidRPr="004816BC">
            <w:t>2011</w:t>
          </w:r>
          <w:r>
            <w:t>, 16 December)</w:t>
          </w:r>
          <w:r w:rsidRPr="004816BC">
            <w:t xml:space="preserve">. Foreign hackers targeted U.S. water plant in apparent malicious cyber-attack, expert says. </w:t>
          </w:r>
          <w:r w:rsidRPr="00375D10">
            <w:rPr>
              <w:i/>
              <w:iCs/>
            </w:rPr>
            <w:t>The Washington Post</w:t>
          </w:r>
          <w:r w:rsidRPr="004816BC">
            <w:t xml:space="preserve">, https://www.washingtonpost.com/blogs/checkpoint-washington/post/foreign-hackers-broke-into-illinois-water-plant-control-system-industry-expert-says/2011/11/18/gIQAgmTZYN_blog.html </w:t>
          </w:r>
        </w:p>
        <w:p w14:paraId="04A281C6" w14:textId="77777777" w:rsidR="00B72A31" w:rsidRPr="004816BC" w:rsidRDefault="00B72A31" w:rsidP="00B72A31">
          <w:r w:rsidRPr="004816BC">
            <w:t>National Health Executive (NHE)</w:t>
          </w:r>
          <w:r>
            <w:t xml:space="preserve"> (2020, 12 October)</w:t>
          </w:r>
          <w:r w:rsidRPr="004816BC">
            <w:t>. WannaCry cyber-attack cost the NHS £92m after 19,000 appointments were cancelled”</w:t>
          </w:r>
          <w:r>
            <w:t xml:space="preserve">. </w:t>
          </w:r>
          <w:r w:rsidRPr="004816BC">
            <w:t>https://www.nationalhealthexecutive.com/News/wannacry-cyber-attack-cost-the-nhs-92m-after-19000-appointments-were-cancelled</w:t>
          </w:r>
        </w:p>
        <w:p w14:paraId="6959482B" w14:textId="77777777" w:rsidR="00B72A31" w:rsidRPr="004816BC" w:rsidRDefault="00B72A31" w:rsidP="00B72A31">
          <w:r w:rsidRPr="004816BC">
            <w:t xml:space="preserve">Neal, Marian J. </w:t>
          </w:r>
          <w:r>
            <w:t>(</w:t>
          </w:r>
          <w:r w:rsidRPr="004816BC">
            <w:t>2020</w:t>
          </w:r>
          <w:r>
            <w:t>, 16 December).</w:t>
          </w:r>
          <w:r w:rsidRPr="004816BC">
            <w:t xml:space="preserve"> COVID-19 and Water Resources Management: Reframing our priorities as a water sector.” </w:t>
          </w:r>
          <w:r w:rsidRPr="001A2691">
            <w:rPr>
              <w:i/>
              <w:iCs/>
            </w:rPr>
            <w:t>Australian Aid</w:t>
          </w:r>
          <w:r w:rsidRPr="004816BC">
            <w:t xml:space="preserve">, </w:t>
          </w:r>
        </w:p>
        <w:p w14:paraId="21327F27" w14:textId="77777777" w:rsidR="00021F4E" w:rsidRPr="004816BC" w:rsidRDefault="00021F4E" w:rsidP="00E35D79">
          <w:r w:rsidRPr="004816BC">
            <w:t>New Scientist</w:t>
          </w:r>
          <w:r w:rsidR="00B72A31">
            <w:t xml:space="preserve"> (2000)</w:t>
          </w:r>
          <w:r w:rsidR="00B72A31" w:rsidRPr="004816BC">
            <w:t xml:space="preserve">. </w:t>
          </w:r>
          <w:r w:rsidRPr="004816BC">
            <w:t>Liquid petroleum gas explosion outside Sydney</w:t>
          </w:r>
          <w:r w:rsidR="00B72A31" w:rsidRPr="004816BC">
            <w:t>.</w:t>
          </w:r>
          <w:r w:rsidRPr="004816BC">
            <w:t xml:space="preserve"> https://www.newscientist.com/article/mg12617110-800-liquid-petroleum-gas-explosion-outside-sydney/</w:t>
          </w:r>
        </w:p>
        <w:p w14:paraId="2944B35E" w14:textId="77777777" w:rsidR="00021F4E" w:rsidRPr="004816BC" w:rsidRDefault="00021F4E" w:rsidP="00E35D79">
          <w:r w:rsidRPr="004816BC">
            <w:t xml:space="preserve">Office of Best Practice Regulation. </w:t>
          </w:r>
          <w:r w:rsidR="00B72A31">
            <w:t>(</w:t>
          </w:r>
          <w:r w:rsidRPr="004816BC">
            <w:t>2020</w:t>
          </w:r>
          <w:r w:rsidR="00B72A31">
            <w:t>)</w:t>
          </w:r>
          <w:r w:rsidR="00B72A31" w:rsidRPr="004816BC">
            <w:t xml:space="preserve">. </w:t>
          </w:r>
          <w:r w:rsidRPr="004816BC">
            <w:t>Guidance Note: Small Business</w:t>
          </w:r>
          <w:r w:rsidR="00B72A31" w:rsidRPr="004816BC">
            <w:t>.</w:t>
          </w:r>
          <w:r w:rsidRPr="004816BC">
            <w:t xml:space="preserve"> Prime Minister and Cabinet. https://obpr.pmc.gov.au/sites/default/files/2021-06/small-business-guidance-note.pdf.</w:t>
          </w:r>
        </w:p>
        <w:p w14:paraId="4BA1D977" w14:textId="77777777" w:rsidR="00021F4E" w:rsidRPr="004816BC" w:rsidRDefault="00021F4E" w:rsidP="00E35D79">
          <w:r w:rsidRPr="004816BC">
            <w:t>Oracle. What is a Domain Name System (DNS</w:t>
          </w:r>
          <w:r w:rsidR="00B72A31" w:rsidRPr="004816BC">
            <w:t>)?</w:t>
          </w:r>
          <w:r w:rsidR="00B72A31">
            <w:t>.</w:t>
          </w:r>
          <w:r w:rsidRPr="004816BC">
            <w:t xml:space="preserve"> https://www.oracle.com/au/cloud/networking/dns/what-is-dns/</w:t>
          </w:r>
        </w:p>
        <w:p w14:paraId="1B208C8A" w14:textId="77777777" w:rsidR="00021F4E" w:rsidRPr="00CE4B35" w:rsidRDefault="00021F4E" w:rsidP="00E35D79">
          <w:pPr>
            <w:rPr>
              <w:lang w:val="nl-NL"/>
            </w:rPr>
          </w:pPr>
          <w:r w:rsidRPr="004816BC">
            <w:t xml:space="preserve">Osbourne, C. </w:t>
          </w:r>
          <w:r w:rsidR="00B72A31">
            <w:t>(</w:t>
          </w:r>
          <w:r w:rsidRPr="004816BC">
            <w:t>2018</w:t>
          </w:r>
          <w:r w:rsidR="00B72A31">
            <w:t>)</w:t>
          </w:r>
          <w:r w:rsidR="00B72A31" w:rsidRPr="004816BC">
            <w:t xml:space="preserve">. </w:t>
          </w:r>
          <w:r w:rsidRPr="004816BC">
            <w:t xml:space="preserve">NonPeyta ransomware forced Maersk to reinstall 4000 servers, 45000 PCs: The shipping giant has suffered millions </w:t>
          </w:r>
          <w:r w:rsidR="000D11B3" w:rsidRPr="004816BC">
            <w:t>of</w:t>
          </w:r>
          <w:r w:rsidRPr="004816BC">
            <w:t xml:space="preserve"> dollars in damage due to the ransomware attack</w:t>
          </w:r>
          <w:r w:rsidR="00B72A31" w:rsidRPr="004816BC">
            <w:t>.</w:t>
          </w:r>
          <w:r w:rsidRPr="004816BC">
            <w:t xml:space="preserve"> </w:t>
          </w:r>
          <w:r w:rsidRPr="00CE4B35">
            <w:rPr>
              <w:i/>
              <w:lang w:val="nl-NL"/>
            </w:rPr>
            <w:t>ZDNet</w:t>
          </w:r>
          <w:r w:rsidRPr="00CE4B35">
            <w:rPr>
              <w:lang w:val="nl-NL"/>
            </w:rPr>
            <w:t>, https://www.zdnet.com/article/maersk-forced-to-reinstall-4000-servers-45000-pcs-due-to-notpetya-attack/ 21 December</w:t>
          </w:r>
        </w:p>
        <w:p w14:paraId="4ABC4999" w14:textId="77777777" w:rsidR="00B72A31" w:rsidRPr="004816BC" w:rsidRDefault="00B72A31" w:rsidP="00B72A31">
          <w:r w:rsidRPr="004816BC">
            <w:t xml:space="preserve">Palmer, D. </w:t>
          </w:r>
          <w:r>
            <w:t>(</w:t>
          </w:r>
          <w:r w:rsidRPr="004816BC">
            <w:t>2017</w:t>
          </w:r>
          <w:r>
            <w:t>, 21 December)</w:t>
          </w:r>
          <w:r w:rsidRPr="004816BC">
            <w:t xml:space="preserve">. NotPeyta cyber-attack on TNT Express cost FedEx $300m. </w:t>
          </w:r>
          <w:r w:rsidRPr="001A2691">
            <w:rPr>
              <w:i/>
              <w:iCs/>
            </w:rPr>
            <w:t>ZDNe</w:t>
          </w:r>
          <w:r w:rsidRPr="004816BC">
            <w:t xml:space="preserve">t, https://www.zdnet.com/article/notpetya-cyber-attack-on-tnt-express-cost-fedex-300m/ </w:t>
          </w:r>
        </w:p>
        <w:p w14:paraId="346046A7" w14:textId="77777777" w:rsidR="007E5C02" w:rsidRPr="007E5C02" w:rsidRDefault="00021F4E" w:rsidP="007E5C02">
          <w:pPr>
            <w:rPr>
              <w:i/>
            </w:rPr>
          </w:pPr>
          <w:r w:rsidRPr="004816BC">
            <w:t xml:space="preserve">Parliament of Australia. </w:t>
          </w:r>
          <w:r w:rsidR="00B72A31">
            <w:t>(</w:t>
          </w:r>
          <w:r w:rsidRPr="004816BC">
            <w:t>2020</w:t>
          </w:r>
          <w:r w:rsidR="00B72A31">
            <w:t>)</w:t>
          </w:r>
          <w:r w:rsidR="00B72A31" w:rsidRPr="004816BC">
            <w:t xml:space="preserve">. </w:t>
          </w:r>
          <w:r w:rsidRPr="004816BC">
            <w:t>Security Legislation Amendment (Critical Infrastructure) Bill 2020</w:t>
          </w:r>
          <w:r w:rsidR="00B72A31" w:rsidRPr="004816BC">
            <w:t>.</w:t>
          </w:r>
          <w:r w:rsidRPr="004816BC">
            <w:t xml:space="preserve"> </w:t>
          </w:r>
          <w:r w:rsidRPr="001A2691">
            <w:rPr>
              <w:i/>
            </w:rPr>
            <w:t>Explanatory Memorandum</w:t>
          </w:r>
        </w:p>
        <w:p w14:paraId="58080197" w14:textId="410CAE5E" w:rsidR="00B93B14" w:rsidRPr="009739FE" w:rsidRDefault="00B93B14" w:rsidP="009739FE">
          <w:pPr>
            <w:pStyle w:val="BodyText"/>
            <w:rPr>
              <w:szCs w:val="24"/>
            </w:rPr>
          </w:pPr>
          <w:r w:rsidRPr="009739FE">
            <w:rPr>
              <w:rStyle w:val="FootnoteReference"/>
              <w:sz w:val="20"/>
              <w:szCs w:val="24"/>
              <w:vertAlign w:val="baseline"/>
            </w:rPr>
            <w:t>Platonov</w:t>
          </w:r>
          <w:r w:rsidR="00091A1C">
            <w:rPr>
              <w:rStyle w:val="FootnoteReference"/>
              <w:sz w:val="20"/>
              <w:szCs w:val="24"/>
              <w:vertAlign w:val="baseline"/>
            </w:rPr>
            <w:t xml:space="preserve"> </w:t>
          </w:r>
          <w:r w:rsidR="00091A1C">
            <w:rPr>
              <w:sz w:val="20"/>
              <w:szCs w:val="24"/>
            </w:rPr>
            <w:t>V.</w:t>
          </w:r>
          <w:r w:rsidR="00091A1C" w:rsidRPr="009739FE">
            <w:rPr>
              <w:rStyle w:val="FootnoteReference"/>
              <w:sz w:val="20"/>
              <w:szCs w:val="24"/>
              <w:vertAlign w:val="baseline"/>
            </w:rPr>
            <w:t>;</w:t>
          </w:r>
          <w:r w:rsidRPr="009739FE">
            <w:rPr>
              <w:rStyle w:val="FootnoteReference"/>
              <w:sz w:val="20"/>
              <w:szCs w:val="24"/>
              <w:vertAlign w:val="baseline"/>
            </w:rPr>
            <w:t xml:space="preserve"> Semenov</w:t>
          </w:r>
          <w:r>
            <w:rPr>
              <w:rStyle w:val="FootnoteReference"/>
              <w:sz w:val="20"/>
              <w:szCs w:val="24"/>
              <w:vertAlign w:val="baseline"/>
            </w:rPr>
            <w:t xml:space="preserve"> </w:t>
          </w:r>
          <w:r>
            <w:rPr>
              <w:sz w:val="20"/>
              <w:szCs w:val="24"/>
            </w:rPr>
            <w:t>E</w:t>
          </w:r>
          <w:r w:rsidR="00091A1C">
            <w:rPr>
              <w:sz w:val="20"/>
              <w:szCs w:val="24"/>
            </w:rPr>
            <w:t>.</w:t>
          </w:r>
          <w:r w:rsidR="00091A1C" w:rsidRPr="009739FE">
            <w:rPr>
              <w:rStyle w:val="FootnoteReference"/>
              <w:sz w:val="20"/>
              <w:szCs w:val="24"/>
              <w:vertAlign w:val="baseline"/>
            </w:rPr>
            <w:t>;</w:t>
          </w:r>
          <w:r w:rsidRPr="009739FE">
            <w:rPr>
              <w:rStyle w:val="FootnoteReference"/>
              <w:sz w:val="20"/>
              <w:szCs w:val="24"/>
              <w:vertAlign w:val="baseline"/>
            </w:rPr>
            <w:t xml:space="preserve"> Sokolikhina</w:t>
          </w:r>
          <w:r>
            <w:rPr>
              <w:sz w:val="20"/>
              <w:szCs w:val="24"/>
            </w:rPr>
            <w:t xml:space="preserve"> </w:t>
          </w:r>
          <w:r w:rsidR="00091A1C">
            <w:rPr>
              <w:sz w:val="20"/>
              <w:szCs w:val="24"/>
            </w:rPr>
            <w:t>E.</w:t>
          </w:r>
          <w:r w:rsidR="00091A1C" w:rsidRPr="009739FE">
            <w:rPr>
              <w:rStyle w:val="FootnoteReference"/>
              <w:sz w:val="20"/>
              <w:szCs w:val="24"/>
              <w:vertAlign w:val="baseline"/>
            </w:rPr>
            <w:t xml:space="preserve"> (2014).</w:t>
          </w:r>
          <w:r w:rsidRPr="009739FE">
            <w:rPr>
              <w:rStyle w:val="FootnoteReference"/>
              <w:sz w:val="20"/>
              <w:szCs w:val="24"/>
              <w:vertAlign w:val="baseline"/>
            </w:rPr>
            <w:t xml:space="preserve"> "Extreme La-Nina 2010/11 and the vigorous flood at the north-east of Australia</w:t>
          </w:r>
          <w:r w:rsidR="00091A1C" w:rsidRPr="009739FE">
            <w:rPr>
              <w:rStyle w:val="FootnoteReference"/>
              <w:sz w:val="20"/>
              <w:szCs w:val="24"/>
              <w:vertAlign w:val="baseline"/>
            </w:rPr>
            <w:t>".</w:t>
          </w:r>
          <w:r w:rsidRPr="009739FE">
            <w:rPr>
              <w:rStyle w:val="FootnoteReference"/>
              <w:sz w:val="20"/>
              <w:szCs w:val="24"/>
              <w:vertAlign w:val="baseline"/>
            </w:rPr>
            <w:t xml:space="preserve"> EGU General Assembly/Geophysical Research.</w:t>
          </w:r>
        </w:p>
        <w:p w14:paraId="6C8346DD" w14:textId="7331FC4B" w:rsidR="00D840A8" w:rsidRPr="00D840A8" w:rsidRDefault="00021F4E" w:rsidP="00D840A8">
          <w:r w:rsidRPr="004816BC">
            <w:t xml:space="preserve">Pollard, </w:t>
          </w:r>
          <w:r>
            <w:t>E</w:t>
          </w:r>
          <w:r w:rsidRPr="004816BC">
            <w:t xml:space="preserve">. </w:t>
          </w:r>
          <w:r w:rsidR="00B72A31">
            <w:t>(</w:t>
          </w:r>
          <w:r w:rsidR="00B72A31" w:rsidRPr="004816BC">
            <w:t>2021</w:t>
          </w:r>
          <w:r w:rsidR="00B72A31">
            <w:t>, 26 May)</w:t>
          </w:r>
          <w:r w:rsidR="00B72A31" w:rsidRPr="004816BC">
            <w:t xml:space="preserve">. </w:t>
          </w:r>
          <w:r w:rsidRPr="004816BC">
            <w:t>Queensland blackout to be investigated after fire at Callide Power Station cuts power to large parts of the state</w:t>
          </w:r>
          <w:r w:rsidR="00B72A31">
            <w:t>.</w:t>
          </w:r>
          <w:r w:rsidRPr="004816BC">
            <w:t xml:space="preserve"> </w:t>
          </w:r>
          <w:r w:rsidRPr="001A2691">
            <w:rPr>
              <w:i/>
            </w:rPr>
            <w:t>ABC News</w:t>
          </w:r>
          <w:r w:rsidRPr="004816BC">
            <w:t xml:space="preserve">, </w:t>
          </w:r>
          <w:hyperlink r:id="rId44" w:history="1">
            <w:r w:rsidR="003F39F5" w:rsidRPr="00813876">
              <w:rPr>
                <w:rStyle w:val="Hyperlink"/>
              </w:rPr>
              <w:t>https://www.abc.net.au/news/2021-05-26/qld-callide-power-station-biloela-investigation/100164942</w:t>
            </w:r>
          </w:hyperlink>
          <w:r w:rsidRPr="004816BC">
            <w:t>.</w:t>
          </w:r>
        </w:p>
        <w:p w14:paraId="0D73F006" w14:textId="5285DC1E" w:rsidR="0096114C" w:rsidRPr="0096114C" w:rsidRDefault="0002521C" w:rsidP="0096114C">
          <w:r>
            <w:t xml:space="preserve">The former </w:t>
          </w:r>
          <w:r w:rsidR="003F39F5">
            <w:t>Prime Minister of Australia</w:t>
          </w:r>
          <w:r w:rsidR="007F07A3">
            <w:t>.</w:t>
          </w:r>
          <w:r w:rsidR="003F39F5">
            <w:t xml:space="preserve"> (2020, 19 June). Statement on malicious cyber activity against Australian networks</w:t>
          </w:r>
          <w:r w:rsidR="007F07A3">
            <w:t xml:space="preserve">. </w:t>
          </w:r>
          <w:hyperlink r:id="rId45" w:history="1">
            <w:r w:rsidR="00DF661D" w:rsidRPr="00BF4F61">
              <w:rPr>
                <w:rStyle w:val="Hyperlink"/>
              </w:rPr>
              <w:t>https://www.pm.gov.au/media/statement-malicious-cyber-activity-against-australian-networks</w:t>
            </w:r>
          </w:hyperlink>
        </w:p>
        <w:p w14:paraId="05A083E9" w14:textId="6E3B7F85" w:rsidR="00DF661D" w:rsidRDefault="00DF661D" w:rsidP="00E35D79">
          <w:r>
            <w:t xml:space="preserve">Queensland Floods Commission of Inquiry (2012). Final Report. </w:t>
          </w:r>
          <w:hyperlink r:id="rId46" w:history="1">
            <w:r w:rsidRPr="00BF4F61">
              <w:rPr>
                <w:rStyle w:val="Hyperlink"/>
              </w:rPr>
              <w:t>http://www.floodcommission.qld.gov.au/__data/assets/pdf_file/0007/11698/QFCI-Final-Report-March-2012.pdf</w:t>
            </w:r>
          </w:hyperlink>
        </w:p>
        <w:p w14:paraId="4CD91DBB" w14:textId="6A0FAB78" w:rsidR="001775A8" w:rsidRPr="001775A8" w:rsidRDefault="006D643F" w:rsidP="001775A8">
          <w:r>
            <w:t xml:space="preserve">Queensland Reconstruction Authority. (2011). The Community, Economic and Environmental Recovery and Reconstruction Implementation Plan 2011-2013. </w:t>
          </w:r>
          <w:hyperlink r:id="rId47" w:history="1">
            <w:r w:rsidRPr="00BF4F61">
              <w:rPr>
                <w:rStyle w:val="Hyperlink"/>
              </w:rPr>
              <w:t>https://cabinet.qld.gov.au/documents/2011/apr/operation%20qlder%20implementation%20plan/Attachments/Implementation_Plan[1].pdf</w:t>
            </w:r>
          </w:hyperlink>
        </w:p>
        <w:p w14:paraId="03427018" w14:textId="77777777" w:rsidR="00021F4E" w:rsidRPr="004816BC" w:rsidRDefault="00021F4E" w:rsidP="00E35D79">
          <w:r w:rsidRPr="004816BC">
            <w:t>Reserve Bank of Australia</w:t>
          </w:r>
          <w:r>
            <w:t xml:space="preserve">. </w:t>
          </w:r>
          <w:r w:rsidR="00B72A31">
            <w:t>(</w:t>
          </w:r>
          <w:r w:rsidRPr="004816BC">
            <w:t>2018</w:t>
          </w:r>
          <w:r w:rsidR="00B72A31">
            <w:t>).</w:t>
          </w:r>
          <w:r w:rsidRPr="004816BC">
            <w:t xml:space="preserve"> Box D: Cyber Risk. Financial Stability Review.https://www.rba.gov.au/publications/fsr/2018/oct/box-d.html</w:t>
          </w:r>
        </w:p>
        <w:p w14:paraId="26D2FA19" w14:textId="77777777" w:rsidR="00021F4E" w:rsidRPr="004816BC" w:rsidRDefault="00021F4E" w:rsidP="00E35D79">
          <w:r w:rsidRPr="004816BC">
            <w:t xml:space="preserve">Riley, D. </w:t>
          </w:r>
          <w:r w:rsidR="00B72A31">
            <w:t>(</w:t>
          </w:r>
          <w:r w:rsidRPr="004816BC">
            <w:t>2021</w:t>
          </w:r>
          <w:r w:rsidR="00B72A31">
            <w:t xml:space="preserve">). </w:t>
          </w:r>
          <w:r w:rsidRPr="004816BC">
            <w:t>Shipping company Forward Air discloses data theft following ransomware attack</w:t>
          </w:r>
          <w:r w:rsidR="00B72A31" w:rsidRPr="004816BC">
            <w:t>.</w:t>
          </w:r>
          <w:r w:rsidRPr="004816BC">
            <w:t xml:space="preserve"> </w:t>
          </w:r>
          <w:r w:rsidRPr="001A2691">
            <w:rPr>
              <w:i/>
            </w:rPr>
            <w:t>Silicon Angle</w:t>
          </w:r>
          <w:r w:rsidR="00B72A31">
            <w:t>.</w:t>
          </w:r>
          <w:r w:rsidRPr="004816BC">
            <w:t xml:space="preserve"> https://siliconangle.com/2021/09/29/shipping-company-forward-air-discloses-data-theft-following-ransomware-attack/ </w:t>
          </w:r>
        </w:p>
        <w:p w14:paraId="06D15F77" w14:textId="77777777" w:rsidR="00B72A31" w:rsidRPr="004816BC" w:rsidRDefault="00B72A31" w:rsidP="00B72A31">
          <w:r w:rsidRPr="004816BC">
            <w:t xml:space="preserve">Ritche, R. </w:t>
          </w:r>
          <w:r>
            <w:t>(</w:t>
          </w:r>
          <w:r w:rsidRPr="004816BC">
            <w:t>2019</w:t>
          </w:r>
          <w:r>
            <w:t>)</w:t>
          </w:r>
          <w:r w:rsidRPr="004816BC">
            <w:t xml:space="preserve">. Maersk: Springing back from a catastrophic cyber-attack. </w:t>
          </w:r>
          <w:r w:rsidRPr="001A2691">
            <w:rPr>
              <w:i/>
              <w:iCs/>
            </w:rPr>
            <w:t>Global Intelligence for Digital Leaders</w:t>
          </w:r>
          <w:r>
            <w:t xml:space="preserve">. </w:t>
          </w:r>
          <w:r w:rsidRPr="004816BC">
            <w:t xml:space="preserve">https://www.i-cio.com/management/insight/item/maersk-springing-back-from-a-catastrophic-cyber-attack </w:t>
          </w:r>
        </w:p>
        <w:p w14:paraId="2947FC33" w14:textId="77777777" w:rsidR="00021F4E" w:rsidRPr="004816BC" w:rsidRDefault="00021F4E" w:rsidP="00E35D79">
          <w:r w:rsidRPr="004816BC">
            <w:t xml:space="preserve">Russon, M. </w:t>
          </w:r>
          <w:r w:rsidR="00B72A31">
            <w:t>(</w:t>
          </w:r>
          <w:r w:rsidR="00B72A31" w:rsidRPr="004816BC">
            <w:t>2021</w:t>
          </w:r>
          <w:r w:rsidR="00B72A31">
            <w:t>, 21 December)</w:t>
          </w:r>
          <w:r w:rsidR="00B72A31" w:rsidRPr="004816BC">
            <w:t xml:space="preserve">. </w:t>
          </w:r>
          <w:r w:rsidRPr="004816BC">
            <w:t>The cost of the Suez Canal Blockage</w:t>
          </w:r>
          <w:r w:rsidR="00B72A31" w:rsidRPr="004816BC">
            <w:t>.</w:t>
          </w:r>
          <w:r w:rsidRPr="004816BC">
            <w:t xml:space="preserve"> </w:t>
          </w:r>
          <w:r w:rsidRPr="001A2691">
            <w:rPr>
              <w:i/>
            </w:rPr>
            <w:t>BBC News</w:t>
          </w:r>
          <w:r w:rsidRPr="004816BC">
            <w:t>, https://www.bbc.com/news/business-56559073 21 December</w:t>
          </w:r>
        </w:p>
        <w:p w14:paraId="49A2EB32" w14:textId="77777777" w:rsidR="00021F4E" w:rsidRPr="004816BC" w:rsidRDefault="00021F4E" w:rsidP="00E35D79">
          <w:r w:rsidRPr="004816BC">
            <w:lastRenderedPageBreak/>
            <w:t xml:space="preserve">San Jose Man Sentenced To Two Years Imprisonment For Damaging Cisco’s Network. </w:t>
          </w:r>
          <w:r w:rsidR="00B72A31">
            <w:t>(</w:t>
          </w:r>
          <w:r w:rsidRPr="004816BC">
            <w:t>2020</w:t>
          </w:r>
          <w:r w:rsidR="00B72A31">
            <w:t>).</w:t>
          </w:r>
          <w:r w:rsidRPr="004816BC">
            <w:t xml:space="preserve"> December 10. </w:t>
          </w:r>
          <w:r w:rsidRPr="001A2691">
            <w:rPr>
              <w:i/>
            </w:rPr>
            <w:t>United States Department of Justice</w:t>
          </w:r>
          <w:r w:rsidRPr="004816BC">
            <w:t>. https://www.justice.gov/usao-ndca/pr/san-jose-man-sentenced-two-years-imprisonment-damaging-cisco-s-network</w:t>
          </w:r>
        </w:p>
        <w:p w14:paraId="0A25BFA0" w14:textId="77777777" w:rsidR="00021F4E" w:rsidRPr="004816BC" w:rsidRDefault="00021F4E" w:rsidP="00E35D79">
          <w:r w:rsidRPr="004816BC">
            <w:t xml:space="preserve">Sayfayn, Nabil &amp; Madnick, Stuart. </w:t>
          </w:r>
          <w:r w:rsidR="00B72A31">
            <w:t>(</w:t>
          </w:r>
          <w:r w:rsidRPr="004816BC">
            <w:t>2017</w:t>
          </w:r>
          <w:r w:rsidR="00B72A31">
            <w:t>)</w:t>
          </w:r>
          <w:r w:rsidR="00B72A31" w:rsidRPr="004816BC">
            <w:t xml:space="preserve">. </w:t>
          </w:r>
          <w:r w:rsidRPr="004816BC">
            <w:t>Cybersafety Analysis of the Maroochy Shire Sewage Spill</w:t>
          </w:r>
          <w:r w:rsidR="00B72A31" w:rsidRPr="004816BC">
            <w:t>.</w:t>
          </w:r>
          <w:r w:rsidRPr="004816BC">
            <w:t xml:space="preserve"> </w:t>
          </w:r>
          <w:r w:rsidRPr="001A2691">
            <w:rPr>
              <w:i/>
            </w:rPr>
            <w:t>MIT Management Sloan School: Interdisciplinary Consortium for Improving Critical Infrastructure Cybersecurity</w:t>
          </w:r>
          <w:r w:rsidRPr="004816BC">
            <w:t>, https://web.mit.edu/smadnick/www/wp/2017-09.pdf 14 December</w:t>
          </w:r>
        </w:p>
        <w:p w14:paraId="65350429" w14:textId="77777777" w:rsidR="00021F4E" w:rsidRPr="004816BC" w:rsidRDefault="00021F4E" w:rsidP="00E35D79">
          <w:r w:rsidRPr="004816BC">
            <w:t xml:space="preserve">SBS News. </w:t>
          </w:r>
          <w:r w:rsidR="00B72A31">
            <w:t>(</w:t>
          </w:r>
          <w:r w:rsidR="00B72A31" w:rsidRPr="004816BC">
            <w:t>2016</w:t>
          </w:r>
          <w:r w:rsidR="00B72A31">
            <w:t>, 9 December)</w:t>
          </w:r>
          <w:r w:rsidR="00B72A31" w:rsidRPr="004816BC">
            <w:t xml:space="preserve">. </w:t>
          </w:r>
          <w:r w:rsidRPr="004816BC">
            <w:t>SA blackout cost business $367 million</w:t>
          </w:r>
          <w:r w:rsidR="00B72A31" w:rsidRPr="001A2691">
            <w:rPr>
              <w:i/>
              <w:iCs/>
            </w:rPr>
            <w:t>.</w:t>
          </w:r>
          <w:r w:rsidRPr="001A2691">
            <w:rPr>
              <w:i/>
            </w:rPr>
            <w:t xml:space="preserve"> SBS</w:t>
          </w:r>
          <w:r w:rsidRPr="004816BC">
            <w:t xml:space="preserve">. https://www.sbs.com.au/news/sa-blackout-cost-business-367-million, </w:t>
          </w:r>
        </w:p>
        <w:p w14:paraId="3DED8B16" w14:textId="0238DD18" w:rsidR="00021F4E" w:rsidRPr="004816BC" w:rsidRDefault="00021F4E" w:rsidP="00E35D79">
          <w:r w:rsidRPr="004816BC">
            <w:t xml:space="preserve">Security Legislation Amendment (Critical Infrastructure) Act 2021 (Cth). </w:t>
          </w:r>
          <w:hyperlink r:id="rId48" w:history="1">
            <w:r w:rsidR="00354D28" w:rsidRPr="009739FE">
              <w:rPr>
                <w:rStyle w:val="Hyperlink"/>
                <w:u w:val="none"/>
              </w:rPr>
              <w:t>https://www.legislation.gov.au/Details/C2021A00124</w:t>
            </w:r>
          </w:hyperlink>
        </w:p>
        <w:p w14:paraId="5CFD9DF0" w14:textId="77777777" w:rsidR="00021F4E" w:rsidRPr="004816BC" w:rsidRDefault="00021F4E" w:rsidP="00E35D79">
          <w:r w:rsidRPr="004816BC">
            <w:t xml:space="preserve">Shalvey, K. </w:t>
          </w:r>
          <w:r w:rsidR="00B72A31">
            <w:t>(</w:t>
          </w:r>
          <w:r w:rsidR="00B72A31" w:rsidRPr="004816BC">
            <w:t>2021</w:t>
          </w:r>
          <w:r w:rsidR="00B72A31">
            <w:t>, 21 December)</w:t>
          </w:r>
          <w:r w:rsidR="00B72A31" w:rsidRPr="004816BC">
            <w:t xml:space="preserve">. </w:t>
          </w:r>
          <w:r w:rsidRPr="004816BC">
            <w:t xml:space="preserve">Maersk, the world’s largest shipping company, says the Suez Canal </w:t>
          </w:r>
          <w:r w:rsidR="00B72A31" w:rsidRPr="004816BC">
            <w:t>blockage’s</w:t>
          </w:r>
          <w:r w:rsidRPr="004816BC">
            <w:t xml:space="preserve"> economic fallout will continue into second half of May</w:t>
          </w:r>
          <w:r w:rsidR="00B72A31" w:rsidRPr="004816BC">
            <w:t>.</w:t>
          </w:r>
          <w:r w:rsidRPr="004816BC">
            <w:t xml:space="preserve"> </w:t>
          </w:r>
          <w:r w:rsidRPr="001A2691">
            <w:rPr>
              <w:i/>
            </w:rPr>
            <w:t>Business Insider Australia</w:t>
          </w:r>
          <w:r w:rsidRPr="004816BC">
            <w:t xml:space="preserve">, https://www.businessinsider.com.au/maersk-ever-given-suez-canal-blockage-economic-fallout-late-may-2021-4 </w:t>
          </w:r>
        </w:p>
        <w:p w14:paraId="08A0DCF4" w14:textId="77777777" w:rsidR="00021F4E" w:rsidRPr="004816BC" w:rsidRDefault="00021F4E" w:rsidP="00E35D79">
          <w:r w:rsidRPr="004816BC">
            <w:t xml:space="preserve">Smith, P. </w:t>
          </w:r>
          <w:r w:rsidR="00B72A31">
            <w:t>(</w:t>
          </w:r>
          <w:r w:rsidRPr="004816BC">
            <w:t>2018</w:t>
          </w:r>
          <w:r w:rsidR="00B72A31">
            <w:t xml:space="preserve">). </w:t>
          </w:r>
          <w:r w:rsidRPr="004816BC">
            <w:t>NAB's payments systems outage cost it millions in compensation</w:t>
          </w:r>
          <w:r w:rsidR="00B72A31" w:rsidRPr="004816BC">
            <w:t>.</w:t>
          </w:r>
          <w:r w:rsidRPr="004816BC">
            <w:t xml:space="preserve"> </w:t>
          </w:r>
          <w:r w:rsidRPr="001A2691">
            <w:rPr>
              <w:i/>
            </w:rPr>
            <w:t>Australian Financial Review.</w:t>
          </w:r>
          <w:r w:rsidRPr="004816BC">
            <w:t xml:space="preserve"> </w:t>
          </w:r>
        </w:p>
        <w:p w14:paraId="1E492B2C" w14:textId="77777777" w:rsidR="00021F4E" w:rsidRPr="004816BC" w:rsidRDefault="00021F4E" w:rsidP="00E35D79">
          <w:r w:rsidRPr="004816BC">
            <w:t xml:space="preserve">Smith, T. </w:t>
          </w:r>
          <w:r w:rsidR="00B72A31">
            <w:t>(</w:t>
          </w:r>
          <w:r w:rsidR="00B72A31" w:rsidRPr="004816BC">
            <w:t>2001</w:t>
          </w:r>
          <w:r w:rsidR="00B72A31">
            <w:t>, 16 December)</w:t>
          </w:r>
          <w:r w:rsidR="00B72A31" w:rsidRPr="004816BC">
            <w:t xml:space="preserve">. </w:t>
          </w:r>
          <w:r w:rsidRPr="004816BC">
            <w:t>Hacker jailed for revenge sewage attacks</w:t>
          </w:r>
          <w:r w:rsidR="00B72A31" w:rsidRPr="004816BC">
            <w:t>.</w:t>
          </w:r>
          <w:r w:rsidRPr="004816BC">
            <w:t xml:space="preserve"> </w:t>
          </w:r>
          <w:r w:rsidRPr="001A2691">
            <w:rPr>
              <w:i/>
            </w:rPr>
            <w:t>The Register</w:t>
          </w:r>
          <w:r w:rsidRPr="004816BC">
            <w:t xml:space="preserve">, https://www.theregister.com/2001/10/31/hacker_jailed_for_revenge_sewage/ </w:t>
          </w:r>
        </w:p>
        <w:p w14:paraId="780A091A" w14:textId="77777777" w:rsidR="00021F4E" w:rsidRPr="004816BC" w:rsidRDefault="00021F4E" w:rsidP="00E35D79">
          <w:r w:rsidRPr="004816BC">
            <w:t xml:space="preserve">South Australia Government. </w:t>
          </w:r>
          <w:r w:rsidR="00B72A31">
            <w:t>(</w:t>
          </w:r>
          <w:r w:rsidRPr="004816BC">
            <w:t>2021</w:t>
          </w:r>
          <w:r w:rsidR="00B72A31">
            <w:t>)</w:t>
          </w:r>
          <w:r w:rsidR="00B72A31" w:rsidRPr="004816BC">
            <w:t xml:space="preserve">. </w:t>
          </w:r>
          <w:r w:rsidRPr="004816BC">
            <w:t>Frontier Software Data Breach</w:t>
          </w:r>
          <w:r w:rsidR="00B72A31" w:rsidRPr="004816BC">
            <w:t>.</w:t>
          </w:r>
          <w:r w:rsidRPr="004816BC">
            <w:t xml:space="preserve"> </w:t>
          </w:r>
          <w:r w:rsidRPr="001A2691">
            <w:rPr>
              <w:i/>
            </w:rPr>
            <w:t>South Australian Government</w:t>
          </w:r>
          <w:r w:rsidRPr="004816BC">
            <w:t>. https://www.sa.gov.au/topics/emergencies-and-safety/types/cyber-security/frontier-software-data-breach</w:t>
          </w:r>
        </w:p>
        <w:p w14:paraId="340C2DA5" w14:textId="77777777" w:rsidR="00021F4E" w:rsidRPr="004816BC" w:rsidRDefault="00021F4E" w:rsidP="00E35D79">
          <w:r w:rsidRPr="004816BC">
            <w:t xml:space="preserve">Stracqualursi, V. Geneva, S. Saenz, A. </w:t>
          </w:r>
          <w:r w:rsidR="00B72A31">
            <w:t>(</w:t>
          </w:r>
          <w:r w:rsidR="00B72A31" w:rsidRPr="004816BC">
            <w:t>2021</w:t>
          </w:r>
          <w:r w:rsidR="00B72A31">
            <w:t>, 8 May)</w:t>
          </w:r>
          <w:r w:rsidR="00B72A31" w:rsidRPr="004816BC">
            <w:t xml:space="preserve">. </w:t>
          </w:r>
          <w:r w:rsidRPr="004816BC">
            <w:t>Cyberattack forces major US fuel pipeline to shut down</w:t>
          </w:r>
          <w:r w:rsidR="00B72A31" w:rsidRPr="004816BC">
            <w:t>.</w:t>
          </w:r>
          <w:r w:rsidRPr="004816BC">
            <w:t xml:space="preserve"> </w:t>
          </w:r>
          <w:r w:rsidRPr="001A2691">
            <w:rPr>
              <w:i/>
            </w:rPr>
            <w:t>CNN Politics</w:t>
          </w:r>
          <w:r w:rsidRPr="004816BC">
            <w:t>. https://edition.cnn.com/2021/05/08/politics/colonial-pipeline-cybersecurity-attack/index.html</w:t>
          </w:r>
        </w:p>
        <w:p w14:paraId="523FEEE1" w14:textId="77777777" w:rsidR="00B72A31" w:rsidRPr="004816BC" w:rsidRDefault="00B72A31" w:rsidP="00B72A31">
          <w:r w:rsidRPr="004816BC">
            <w:t xml:space="preserve">Sutton, C. and Brown, N. </w:t>
          </w:r>
          <w:r>
            <w:t>(</w:t>
          </w:r>
          <w:r w:rsidRPr="004816BC">
            <w:t>2020</w:t>
          </w:r>
          <w:r>
            <w:t>)</w:t>
          </w:r>
          <w:r w:rsidRPr="004816BC">
            <w:t xml:space="preserve">. Major roads closed due to horror fire conditions. </w:t>
          </w:r>
          <w:r w:rsidRPr="001A2691">
            <w:rPr>
              <w:i/>
              <w:iCs/>
            </w:rPr>
            <w:t>News.com.au</w:t>
          </w:r>
          <w:r w:rsidRPr="004816BC">
            <w:t xml:space="preserve">, https://www.news.com.au/technology/environment/major-roads-closed-due-to-horror-fire-conditions/news-story/bdfaaef1972b01584567bbb7549e0777 </w:t>
          </w:r>
        </w:p>
        <w:p w14:paraId="79BC02B4" w14:textId="77777777" w:rsidR="00B72A31" w:rsidRPr="004816BC" w:rsidRDefault="00B72A31" w:rsidP="00B72A31">
          <w:r w:rsidRPr="004816BC">
            <w:t xml:space="preserve">Swinhoe, D. </w:t>
          </w:r>
          <w:r>
            <w:t>(</w:t>
          </w:r>
          <w:r w:rsidRPr="004816BC">
            <w:t>2019</w:t>
          </w:r>
          <w:r>
            <w:t>, 30 May)</w:t>
          </w:r>
          <w:r w:rsidRPr="004816BC">
            <w:t xml:space="preserve">. Why businesses don't report cybercrimes to law enforcement. </w:t>
          </w:r>
          <w:r w:rsidRPr="001A2691">
            <w:rPr>
              <w:i/>
              <w:iCs/>
            </w:rPr>
            <w:t>CSO Australia</w:t>
          </w:r>
          <w:r w:rsidRPr="004816BC">
            <w:t>. https://www.csoonline.com/article/3398700/why-businesses-don-t-report-cybercrimes-to-law-enforcement.html.</w:t>
          </w:r>
        </w:p>
        <w:p w14:paraId="3CC0B2D8" w14:textId="77777777" w:rsidR="00021F4E" w:rsidRPr="004816BC" w:rsidRDefault="00021F4E" w:rsidP="00E35D79">
          <w:r w:rsidRPr="00CE4B35">
            <w:rPr>
              <w:lang w:val="nl-NL"/>
            </w:rPr>
            <w:t xml:space="preserve">Swinhoe, M. H. A. D. </w:t>
          </w:r>
          <w:r w:rsidR="00B72A31" w:rsidRPr="00CE4B35">
            <w:rPr>
              <w:lang w:val="nl-NL"/>
            </w:rPr>
            <w:t>(</w:t>
          </w:r>
          <w:r w:rsidRPr="00CE4B35">
            <w:rPr>
              <w:lang w:val="nl-NL"/>
            </w:rPr>
            <w:t>2021</w:t>
          </w:r>
          <w:r w:rsidR="00B72A31" w:rsidRPr="00CE4B35">
            <w:rPr>
              <w:lang w:val="nl-NL"/>
            </w:rPr>
            <w:t>).</w:t>
          </w:r>
          <w:r w:rsidRPr="00CE4B35">
            <w:rPr>
              <w:lang w:val="nl-NL"/>
            </w:rPr>
            <w:t xml:space="preserve"> </w:t>
          </w:r>
          <w:r w:rsidRPr="004816BC">
            <w:t xml:space="preserve">The 15 biggest data breaches of the 21st century. </w:t>
          </w:r>
          <w:r w:rsidRPr="001A2691">
            <w:rPr>
              <w:i/>
            </w:rPr>
            <w:t>CSO Online</w:t>
          </w:r>
          <w:r w:rsidRPr="004816BC">
            <w:t>. https://www.csoonline.com/article/2130877/the-biggest-data-breaches-of-the-21st-century.html</w:t>
          </w:r>
        </w:p>
        <w:p w14:paraId="4799E142" w14:textId="77777777" w:rsidR="00021F4E" w:rsidRPr="004816BC" w:rsidRDefault="00021F4E" w:rsidP="00E35D79">
          <w:r w:rsidRPr="004816BC">
            <w:t xml:space="preserve">Taylor, C. </w:t>
          </w:r>
          <w:r w:rsidR="00B72A31">
            <w:t>(</w:t>
          </w:r>
          <w:r w:rsidRPr="004816BC">
            <w:t>2021</w:t>
          </w:r>
          <w:r w:rsidR="00B72A31">
            <w:t>)</w:t>
          </w:r>
          <w:r w:rsidR="00B72A31" w:rsidRPr="004816BC">
            <w:t xml:space="preserve">. </w:t>
          </w:r>
          <w:r w:rsidRPr="004816BC">
            <w:t xml:space="preserve">Empty shelves, gasoline shortages and sky-high energy </w:t>
          </w:r>
          <w:r w:rsidR="00B72A31" w:rsidRPr="004816BC">
            <w:t>process?</w:t>
          </w:r>
          <w:r w:rsidRPr="004816BC">
            <w:t xml:space="preserve"> Britain is facing a ‘</w:t>
          </w:r>
          <w:r w:rsidR="00B72A31" w:rsidRPr="004816BC">
            <w:t>difficult</w:t>
          </w:r>
          <w:r w:rsidRPr="004816BC">
            <w:t xml:space="preserve"> winter’. </w:t>
          </w:r>
          <w:r w:rsidRPr="001A2691">
            <w:rPr>
              <w:i/>
            </w:rPr>
            <w:t>CNBC</w:t>
          </w:r>
          <w:r w:rsidRPr="004816BC">
            <w:t>. https://www.cnbc.com/2021/09/24/empty-shelves-and-gasoline-shortages-uk-facing-a-difficult-winter.html</w:t>
          </w:r>
        </w:p>
        <w:p w14:paraId="7563842E" w14:textId="77777777" w:rsidR="00021F4E" w:rsidRPr="004816BC" w:rsidRDefault="00021F4E" w:rsidP="00E35D79">
          <w:r w:rsidRPr="004816BC">
            <w:t xml:space="preserve">Taylor, T. </w:t>
          </w:r>
          <w:r w:rsidR="00B72A31">
            <w:t>(</w:t>
          </w:r>
          <w:r w:rsidRPr="004816BC">
            <w:t>2014</w:t>
          </w:r>
          <w:r w:rsidR="00B72A31">
            <w:t>).</w:t>
          </w:r>
          <w:r w:rsidRPr="004816BC">
            <w:t xml:space="preserve"> IT/OT Convergence. T&amp;D World. https://www.tdworld.com/grid-innovations/article/20963808/itot-convergence.</w:t>
          </w:r>
        </w:p>
        <w:p w14:paraId="05D2C570" w14:textId="77777777" w:rsidR="00021F4E" w:rsidRPr="004816BC" w:rsidRDefault="00021F4E" w:rsidP="00E35D79">
          <w:r w:rsidRPr="004816BC">
            <w:t xml:space="preserve">TechCrunch is part of the Yahoo family of brands. </w:t>
          </w:r>
          <w:r w:rsidR="00B72A31">
            <w:t>(</w:t>
          </w:r>
          <w:r w:rsidRPr="004816BC">
            <w:t>2019</w:t>
          </w:r>
          <w:r w:rsidR="00B72A31">
            <w:t xml:space="preserve">). </w:t>
          </w:r>
          <w:r w:rsidRPr="001A2691">
            <w:rPr>
              <w:i/>
            </w:rPr>
            <w:t>Tech Crunch</w:t>
          </w:r>
          <w:r w:rsidRPr="004816BC">
            <w:t>. https://techcrunch.com/2019/10/21/nordvpn-confirms-it-was-hacked/</w:t>
          </w:r>
        </w:p>
        <w:p w14:paraId="01ECFC62" w14:textId="77777777" w:rsidR="00B72A31" w:rsidRPr="004816BC" w:rsidRDefault="00B72A31" w:rsidP="00B72A31">
          <w:r w:rsidRPr="004816BC">
            <w:t xml:space="preserve">The Australia and New Zealand School of Government. </w:t>
          </w:r>
          <w:r>
            <w:t>(</w:t>
          </w:r>
          <w:r w:rsidRPr="004816BC">
            <w:t>2005</w:t>
          </w:r>
          <w:r>
            <w:t>, 14 December)</w:t>
          </w:r>
          <w:r w:rsidRPr="004816BC">
            <w:t>. The 1998 Sydney Water Crisis (A).</w:t>
          </w:r>
          <w:r>
            <w:t xml:space="preserve"> </w:t>
          </w:r>
          <w:r w:rsidRPr="004816BC">
            <w:t xml:space="preserve">https://www.anzsog.edu.au/preview-documents/case-study-level-1/127-1998-sydney-water-crisis-the-a-2005-22-1/file </w:t>
          </w:r>
        </w:p>
        <w:p w14:paraId="7B9AF2E5" w14:textId="77777777" w:rsidR="00021F4E" w:rsidRPr="004816BC" w:rsidRDefault="00021F4E" w:rsidP="00E35D79">
          <w:r w:rsidRPr="004816BC">
            <w:t xml:space="preserve">The Maritime Executive. </w:t>
          </w:r>
          <w:r w:rsidR="00B72A31">
            <w:t>(</w:t>
          </w:r>
          <w:r w:rsidRPr="004816BC">
            <w:t>2021</w:t>
          </w:r>
          <w:r w:rsidR="00B72A31">
            <w:t>)</w:t>
          </w:r>
          <w:r w:rsidR="00B72A31" w:rsidRPr="004816BC">
            <w:t xml:space="preserve">. </w:t>
          </w:r>
          <w:r w:rsidRPr="004816BC">
            <w:t>Ever Given’s Owner Reaches Settlement with Suez Canal Authority</w:t>
          </w:r>
          <w:r w:rsidR="00B72A31" w:rsidRPr="004816BC">
            <w:t>.</w:t>
          </w:r>
          <w:r w:rsidRPr="004816BC">
            <w:t xml:space="preserve"> https://www.maritime-executive.com/article/ever-given-s-owner-reaches-settlement-with-suez-canal-authority 21 December</w:t>
          </w:r>
        </w:p>
        <w:p w14:paraId="02653D59" w14:textId="77777777" w:rsidR="00021F4E" w:rsidRPr="004816BC" w:rsidRDefault="00021F4E" w:rsidP="00E35D79">
          <w:r w:rsidRPr="004816BC">
            <w:t xml:space="preserve">The National </w:t>
          </w:r>
          <w:r w:rsidR="00F85A66" w:rsidRPr="004816BC">
            <w:t>Aeronautics</w:t>
          </w:r>
          <w:r w:rsidRPr="004816BC">
            <w:t xml:space="preserve"> and Space Administration (NASA). </w:t>
          </w:r>
          <w:r w:rsidR="00B72A31">
            <w:t>(</w:t>
          </w:r>
          <w:r w:rsidRPr="004816BC">
            <w:t>2018</w:t>
          </w:r>
          <w:r w:rsidR="00B72A31">
            <w:t>)</w:t>
          </w:r>
          <w:r w:rsidR="00B72A31" w:rsidRPr="004816BC">
            <w:t xml:space="preserve">. </w:t>
          </w:r>
          <w:r w:rsidRPr="004816BC">
            <w:t>What are radio waves</w:t>
          </w:r>
          <w:r w:rsidR="00B72A31" w:rsidRPr="004816BC">
            <w:t>?</w:t>
          </w:r>
          <w:r w:rsidR="00B72A31">
            <w:t>.</w:t>
          </w:r>
          <w:r w:rsidRPr="004816BC">
            <w:t xml:space="preserve"> </w:t>
          </w:r>
          <w:r w:rsidRPr="001A2691">
            <w:rPr>
              <w:i/>
            </w:rPr>
            <w:t xml:space="preserve">NASA </w:t>
          </w:r>
          <w:r w:rsidRPr="004816BC">
            <w:t>https://www.nasa.gov/directorates/heo/scan/communications/outreach/funfacts/what_are_radio_waves</w:t>
          </w:r>
        </w:p>
        <w:p w14:paraId="00EF3702" w14:textId="77777777" w:rsidR="00021F4E" w:rsidRPr="004816BC" w:rsidRDefault="00021F4E" w:rsidP="00E35D79">
          <w:r w:rsidRPr="004816BC">
            <w:t xml:space="preserve">The Office of Best Practice </w:t>
          </w:r>
          <w:r w:rsidR="00F85A66" w:rsidRPr="004816BC">
            <w:t>Regulation</w:t>
          </w:r>
          <w:r w:rsidRPr="004816BC">
            <w:t>. “Securing Australia’s Domestic Fuel Stocks and Refining Capacity”. Department of Prime Minister and Cabinet. https://obpr.pmc.gov.au/published-impact-analyses-and-reports/securing-australias-domestic-fuel-stocks-and-refining</w:t>
          </w:r>
        </w:p>
        <w:p w14:paraId="741DF9A1" w14:textId="77777777" w:rsidR="00021F4E" w:rsidRPr="004816BC" w:rsidRDefault="00021F4E" w:rsidP="00E35D79">
          <w:r w:rsidRPr="004816BC">
            <w:t xml:space="preserve">The Times of Israel. </w:t>
          </w:r>
          <w:r w:rsidR="00B72A31">
            <w:t>(</w:t>
          </w:r>
          <w:r w:rsidRPr="004816BC">
            <w:t>2021</w:t>
          </w:r>
          <w:r w:rsidR="00B72A31">
            <w:t>)</w:t>
          </w:r>
          <w:r w:rsidR="00B72A31" w:rsidRPr="004816BC">
            <w:t xml:space="preserve">. </w:t>
          </w:r>
          <w:r w:rsidRPr="004816BC">
            <w:t>Iranian gas stations hit by outage in widespread cyberattack</w:t>
          </w:r>
          <w:r w:rsidR="00B72A31" w:rsidRPr="004816BC">
            <w:t>.</w:t>
          </w:r>
          <w:r w:rsidRPr="004816BC">
            <w:t xml:space="preserve"> https://www.timesofisrael.com/iranian-gas-stations-hit-by-outage-in-widespread-cyberattack/</w:t>
          </w:r>
        </w:p>
        <w:p w14:paraId="3CFE8547" w14:textId="77777777" w:rsidR="00B72A31" w:rsidRPr="004816BC" w:rsidRDefault="00B72A31" w:rsidP="00B72A31">
          <w:r w:rsidRPr="004816BC">
            <w:lastRenderedPageBreak/>
            <w:t>The World Bank.</w:t>
          </w:r>
          <w:r>
            <w:t xml:space="preserve"> (16 December)</w:t>
          </w:r>
          <w:r w:rsidRPr="004816BC">
            <w:t xml:space="preserve"> n.d. High and Dry: Climate Change, Water, and the Economy.</w:t>
          </w:r>
          <w:r>
            <w:t xml:space="preserve"> </w:t>
          </w:r>
          <w:r w:rsidRPr="004816BC">
            <w:t>https://www.worldbank.org/en/topic/water/publication/high-and-dry-climate-change-water-and-the-economy 16 December</w:t>
          </w:r>
        </w:p>
        <w:p w14:paraId="73744EDA" w14:textId="77777777" w:rsidR="00B72A31" w:rsidRPr="004816BC" w:rsidRDefault="00B72A31" w:rsidP="00B72A31">
          <w:r w:rsidRPr="004816BC">
            <w:t xml:space="preserve">Thomson, J. </w:t>
          </w:r>
          <w:r>
            <w:t>(</w:t>
          </w:r>
          <w:r w:rsidRPr="004816BC">
            <w:t>2021</w:t>
          </w:r>
          <w:r>
            <w:t>)</w:t>
          </w:r>
          <w:r w:rsidRPr="004816BC">
            <w:t xml:space="preserve">. The hidden cost of your shutdown shopping spree. </w:t>
          </w:r>
          <w:r w:rsidRPr="00D84B0B">
            <w:rPr>
              <w:i/>
              <w:iCs/>
            </w:rPr>
            <w:t>Financial Review</w:t>
          </w:r>
          <w:r w:rsidRPr="004816BC">
            <w:t xml:space="preserve">, https://www.afr.com/companies/infrastructure/the-hidden-cost-of-our-covid-shopping-spree-20210120-p56vks </w:t>
          </w:r>
        </w:p>
        <w:p w14:paraId="5001FB67" w14:textId="77777777" w:rsidR="00021F4E" w:rsidRPr="004816BC" w:rsidRDefault="00021F4E" w:rsidP="00E35D79">
          <w:r w:rsidRPr="004816BC">
            <w:t xml:space="preserve">Turton, W. </w:t>
          </w:r>
          <w:r w:rsidR="00B72A31">
            <w:t>(</w:t>
          </w:r>
          <w:r w:rsidRPr="004816BC">
            <w:t>2016</w:t>
          </w:r>
          <w:r w:rsidR="00B72A31">
            <w:t>)</w:t>
          </w:r>
          <w:r w:rsidR="00B72A31" w:rsidRPr="004816BC">
            <w:t>.</w:t>
          </w:r>
          <w:r w:rsidRPr="004816BC">
            <w:t xml:space="preserve"> This is Why Half the Internet Shut Down Today. Gizmodo. https://gizmodo.com/this-is-probably-why-half-the-internet-shut-down-today-1788062835. </w:t>
          </w:r>
        </w:p>
        <w:p w14:paraId="77168225" w14:textId="77777777" w:rsidR="00021F4E" w:rsidRPr="004816BC" w:rsidRDefault="00021F4E" w:rsidP="00E35D79">
          <w:r w:rsidRPr="004816BC">
            <w:t>UNICEF. n.d. Water: Ensuring an adequate and safe water supply for the survival and growth of children</w:t>
          </w:r>
          <w:r w:rsidR="00B72A31" w:rsidRPr="004816BC">
            <w:t>.</w:t>
          </w:r>
          <w:r w:rsidRPr="004816BC">
            <w:t xml:space="preserve"> https://www.unicef.org/wash/water </w:t>
          </w:r>
        </w:p>
        <w:p w14:paraId="358BBC94" w14:textId="77777777" w:rsidR="00B72A31" w:rsidRPr="004816BC" w:rsidRDefault="00B72A31" w:rsidP="00B72A31">
          <w:r w:rsidRPr="004816BC">
            <w:t>United Nations. n.d. Water, Sanitation and Hygiene. UN Water</w:t>
          </w:r>
          <w:r>
            <w:t xml:space="preserve">. </w:t>
          </w:r>
          <w:r w:rsidRPr="004816BC">
            <w:t xml:space="preserve">https://www.unwater.org/water-facts/water-sanitation-and-hygiene </w:t>
          </w:r>
        </w:p>
        <w:p w14:paraId="4CCE4C69" w14:textId="77777777" w:rsidR="00021F4E" w:rsidRPr="004816BC" w:rsidRDefault="00021F4E" w:rsidP="00E35D79">
          <w:r w:rsidRPr="004816BC">
            <w:t xml:space="preserve">United States Department of Justice. </w:t>
          </w:r>
          <w:r w:rsidR="00B72A31">
            <w:t>(</w:t>
          </w:r>
          <w:r w:rsidRPr="004816BC">
            <w:t xml:space="preserve">2018, </w:t>
          </w:r>
          <w:r w:rsidR="00B72A31">
            <w:t xml:space="preserve">10 </w:t>
          </w:r>
          <w:r w:rsidRPr="004816BC">
            <w:t>August</w:t>
          </w:r>
          <w:r w:rsidR="00B72A31">
            <w:t>)</w:t>
          </w:r>
          <w:r w:rsidR="00B72A31" w:rsidRPr="004816BC">
            <w:t>.</w:t>
          </w:r>
          <w:r w:rsidRPr="004816BC">
            <w:t xml:space="preserve">  Former JP Morgan Chase Bank Employee Sentenced to Four Years in Prison for Selling Customer Account Information. https://www.justice.gov/usao-edny/pr/former-jp-morgan-chase-bank-employee-sentenced-four-years-prison-selling-customer</w:t>
          </w:r>
        </w:p>
        <w:p w14:paraId="21563F66" w14:textId="77777777" w:rsidR="00021F4E" w:rsidRPr="004816BC" w:rsidRDefault="00021F4E" w:rsidP="00E35D79">
          <w:r w:rsidRPr="004816BC">
            <w:t>United States Environmental Protection Agency.  n.d. “Types of Drinking Water Contaminants.” https://www.epa.gov/ccl/types-drinking-water-contaminants#:~:text=Examples%20of%20chemical%20contaminants%20include,and%20human%20or%20animal%20drugs 16 December</w:t>
          </w:r>
        </w:p>
        <w:p w14:paraId="04CAEB13" w14:textId="77777777" w:rsidR="00021F4E" w:rsidRPr="004816BC" w:rsidRDefault="00021F4E" w:rsidP="00E35D79">
          <w:r w:rsidRPr="004816BC">
            <w:t>UPI Archives. Liquid gas blast prompts mass evacuation in Sydney</w:t>
          </w:r>
          <w:r w:rsidR="00B72A31" w:rsidRPr="004816BC">
            <w:t>.</w:t>
          </w:r>
          <w:r w:rsidRPr="004816BC">
            <w:t xml:space="preserve"> https://www.upi.com/Archives/1990/04/01/Liquid-gas-blast-prompts-mass-evacuation-in-Sydney/9966638946000/</w:t>
          </w:r>
        </w:p>
        <w:p w14:paraId="77A8E229" w14:textId="77777777" w:rsidR="00021F4E" w:rsidRPr="004816BC" w:rsidRDefault="00021F4E" w:rsidP="00E35D79">
          <w:r w:rsidRPr="004816BC">
            <w:t xml:space="preserve">US - Canada Power System Outage Task Force. </w:t>
          </w:r>
          <w:r w:rsidR="00B72A31">
            <w:t>(</w:t>
          </w:r>
          <w:r w:rsidRPr="004816BC">
            <w:t>2004</w:t>
          </w:r>
          <w:r w:rsidR="00B72A31">
            <w:t>)</w:t>
          </w:r>
          <w:r w:rsidR="00B72A31" w:rsidRPr="004816BC">
            <w:t xml:space="preserve">. </w:t>
          </w:r>
          <w:r w:rsidRPr="004816BC">
            <w:t>Final Report on the August 14, 2003 Blackout in the United States and Canada: Causes and Recommendations</w:t>
          </w:r>
          <w:r w:rsidR="00B72A31" w:rsidRPr="004816BC">
            <w:t>.</w:t>
          </w:r>
          <w:r w:rsidRPr="004816BC">
            <w:t xml:space="preserve"> https://www3.epa.gov/region1/npdes/merrimackstation/pdfs/ar/AR-1165.pdf.</w:t>
          </w:r>
        </w:p>
        <w:p w14:paraId="24F929D2" w14:textId="77777777" w:rsidR="00B72A31" w:rsidRPr="004816BC" w:rsidRDefault="00B72A31" w:rsidP="00B72A31">
          <w:r w:rsidRPr="004816BC">
            <w:t xml:space="preserve">Victorian Auditor-General’s Office. </w:t>
          </w:r>
          <w:r>
            <w:t>(</w:t>
          </w:r>
          <w:r w:rsidRPr="004816BC">
            <w:t>2020</w:t>
          </w:r>
          <w:r>
            <w:t>)</w:t>
          </w:r>
          <w:r w:rsidRPr="004816BC">
            <w:t xml:space="preserve">. Follow up of Managing the Level Crossing Program: Independent assurance report to parliament 2020-21:5. https://www.parliament.vic.gov.au/file_uploads/20201014-Follow-up_level_crossing_removal_report_k2c4ZRcV.pdf </w:t>
          </w:r>
        </w:p>
        <w:p w14:paraId="05C61890" w14:textId="77777777" w:rsidR="00021F4E" w:rsidRPr="004816BC" w:rsidRDefault="00021F4E" w:rsidP="00E35D79">
          <w:r w:rsidRPr="004816BC">
            <w:t>Vision of Humanity. n.d. Global number of natural disasters increases ten times</w:t>
          </w:r>
          <w:r w:rsidR="00B72A31">
            <w:t>.</w:t>
          </w:r>
          <w:r w:rsidRPr="004816BC">
            <w:t xml:space="preserve"> https://www.visionofhumanity.org/global-number-of-natural-disasters-increases-ten-times/.</w:t>
          </w:r>
        </w:p>
        <w:p w14:paraId="1BA8F36D" w14:textId="77777777" w:rsidR="00021F4E" w:rsidRPr="004816BC" w:rsidRDefault="00021F4E" w:rsidP="00E35D79">
          <w:r w:rsidRPr="004816BC">
            <w:t xml:space="preserve">WaterAid Australia. </w:t>
          </w:r>
          <w:r w:rsidR="00B72A31">
            <w:t>(</w:t>
          </w:r>
          <w:r w:rsidRPr="004816BC">
            <w:t>2016</w:t>
          </w:r>
          <w:r w:rsidR="00B72A31">
            <w:t>)</w:t>
          </w:r>
          <w:r w:rsidR="00B72A31" w:rsidRPr="004816BC">
            <w:t xml:space="preserve">. </w:t>
          </w:r>
          <w:r w:rsidRPr="004816BC">
            <w:t>Water and sanitation essential to fighting malnutrition</w:t>
          </w:r>
          <w:r w:rsidR="00B72A31" w:rsidRPr="004816BC">
            <w:t>.</w:t>
          </w:r>
          <w:r w:rsidRPr="004816BC">
            <w:t xml:space="preserve"> https://www.wateraid.org/au/articles/water-and-sanitation-essential-to-fighting-malnutrition 16 December</w:t>
          </w:r>
        </w:p>
        <w:p w14:paraId="08B14485" w14:textId="77777777" w:rsidR="00021F4E" w:rsidRPr="004816BC" w:rsidRDefault="00021F4E" w:rsidP="00E35D79">
          <w:r w:rsidRPr="004816BC">
            <w:t xml:space="preserve">Whittaker, Z. </w:t>
          </w:r>
          <w:r w:rsidR="00B72A31">
            <w:t>(</w:t>
          </w:r>
          <w:r w:rsidRPr="004816BC">
            <w:t>2021</w:t>
          </w:r>
          <w:r w:rsidR="00B72A31">
            <w:t>)</w:t>
          </w:r>
          <w:r w:rsidR="00B72A31" w:rsidRPr="004816BC">
            <w:t>.</w:t>
          </w:r>
          <w:r w:rsidRPr="004816BC">
            <w:t xml:space="preserve"> A DNS outage just took down a large chunk of the internet. </w:t>
          </w:r>
          <w:r w:rsidR="00F85A66" w:rsidRPr="004816BC">
            <w:t>TechCrunch</w:t>
          </w:r>
          <w:r w:rsidRPr="004816BC">
            <w:t>. https://techcrunch.com/2021/07/22/a-dns-outage-just-took-down-a-good-chunk-of-the-internet/</w:t>
          </w:r>
        </w:p>
        <w:p w14:paraId="139E5918" w14:textId="77777777" w:rsidR="00021F4E" w:rsidRPr="004816BC" w:rsidRDefault="00021F4E" w:rsidP="00E35D79">
          <w:r w:rsidRPr="004816BC">
            <w:t xml:space="preserve">Williams, F. Robinson, C. </w:t>
          </w:r>
          <w:r w:rsidR="00B72A31">
            <w:t>(</w:t>
          </w:r>
          <w:r w:rsidRPr="004816BC">
            <w:t>2021</w:t>
          </w:r>
          <w:r w:rsidR="00B72A31">
            <w:t>)</w:t>
          </w:r>
          <w:r w:rsidR="00B72A31" w:rsidRPr="004816BC">
            <w:t xml:space="preserve">. </w:t>
          </w:r>
          <w:r w:rsidRPr="004816BC">
            <w:t>Bilsdale transmitter fire: TV and radio for 1m off air indefinitely”. BBC News, 11 August. https://www.bbc.com/news/uk-england-tees-58169501</w:t>
          </w:r>
        </w:p>
        <w:p w14:paraId="3CCC98BA" w14:textId="77777777" w:rsidR="00B72A31" w:rsidRPr="004816BC" w:rsidRDefault="00B72A31" w:rsidP="00B72A31">
          <w:r w:rsidRPr="004816BC">
            <w:t xml:space="preserve">Wright, I. </w:t>
          </w:r>
          <w:r>
            <w:t>(</w:t>
          </w:r>
          <w:r w:rsidRPr="004816BC">
            <w:t>2021</w:t>
          </w:r>
          <w:r>
            <w:t>)</w:t>
          </w:r>
          <w:r w:rsidRPr="004816BC">
            <w:t xml:space="preserve">. Victoria’s wild storms show how easily disasters can threaten our </w:t>
          </w:r>
          <w:r>
            <w:t>w</w:t>
          </w:r>
          <w:r w:rsidRPr="004816BC">
            <w:t xml:space="preserve">ater supply. The Conversation, https://theconversation.com/victorias-wild-storms-show-how-easily-disasters-can-threaten-our-water-supply-162846 </w:t>
          </w:r>
        </w:p>
        <w:p w14:paraId="100BFB74" w14:textId="77777777" w:rsidR="00B72A31" w:rsidRPr="00B14333" w:rsidRDefault="00B72A31" w:rsidP="00B72A31">
          <w:pPr>
            <w:rPr>
              <w:szCs w:val="20"/>
            </w:rPr>
          </w:pPr>
          <w:r w:rsidRPr="00B14333">
            <w:rPr>
              <w:szCs w:val="20"/>
            </w:rPr>
            <w:t xml:space="preserve">WWAP. </w:t>
          </w:r>
          <w:r>
            <w:rPr>
              <w:szCs w:val="20"/>
            </w:rPr>
            <w:t>(</w:t>
          </w:r>
          <w:r w:rsidRPr="00B14333">
            <w:rPr>
              <w:szCs w:val="20"/>
            </w:rPr>
            <w:t>2016</w:t>
          </w:r>
          <w:r>
            <w:rPr>
              <w:szCs w:val="20"/>
            </w:rPr>
            <w:t>)</w:t>
          </w:r>
          <w:r w:rsidRPr="00B14333">
            <w:rPr>
              <w:szCs w:val="20"/>
            </w:rPr>
            <w:t xml:space="preserve">. The United Nations World Water Development Report 2016 Report: Water and Job; UNESCO </w:t>
          </w:r>
        </w:p>
        <w:p w14:paraId="36BA497D" w14:textId="77777777" w:rsidR="00021F4E" w:rsidRPr="004816BC" w:rsidRDefault="00021F4E" w:rsidP="00E35D79">
          <w:r w:rsidRPr="004816BC">
            <w:t xml:space="preserve">Yahoo News. </w:t>
          </w:r>
          <w:r w:rsidR="00B72A31">
            <w:t>(</w:t>
          </w:r>
          <w:r w:rsidRPr="004816BC">
            <w:t>2011</w:t>
          </w:r>
          <w:r w:rsidR="00B72A31">
            <w:t>)</w:t>
          </w:r>
          <w:r w:rsidR="00B72A31" w:rsidRPr="004816BC">
            <w:t>.</w:t>
          </w:r>
          <w:r w:rsidRPr="004816BC">
            <w:t xml:space="preserve"> Company: Cable cuts could slow Emirates Internet. https://web.archive.org/web/20160305035949/http://finance.yahoo.com/news/company-cable-cuts-could-slow-143049901.html </w:t>
          </w:r>
        </w:p>
        <w:p w14:paraId="23A20AAB" w14:textId="77777777" w:rsidR="00021F4E" w:rsidRPr="00021F4E" w:rsidRDefault="00021F4E" w:rsidP="00E35D79">
          <w:r w:rsidRPr="004816BC">
            <w:t xml:space="preserve">Zetter, Kim. </w:t>
          </w:r>
          <w:r w:rsidR="00B72A31">
            <w:t>(</w:t>
          </w:r>
          <w:r w:rsidRPr="004816BC">
            <w:t>2011</w:t>
          </w:r>
          <w:r w:rsidR="00B72A31">
            <w:t>)</w:t>
          </w:r>
          <w:r w:rsidR="00B72A31" w:rsidRPr="004816BC">
            <w:t xml:space="preserve">. </w:t>
          </w:r>
          <w:r w:rsidRPr="004816BC">
            <w:t>H(ackers)2O: Attack on City Water Station Destroys Pump</w:t>
          </w:r>
          <w:r w:rsidR="00B72A31" w:rsidRPr="004816BC">
            <w:t>.</w:t>
          </w:r>
          <w:r w:rsidRPr="004816BC">
            <w:t xml:space="preserve"> Wired, https://www.wired.com/2011/11/hackers-destroy-water-pump/ 16 December</w:t>
          </w:r>
        </w:p>
        <w:p w14:paraId="1A7FF5D3" w14:textId="77777777" w:rsidR="0016730B" w:rsidRPr="00F655C4" w:rsidRDefault="00A11971" w:rsidP="00F655C4">
          <w:pPr>
            <w:pStyle w:val="BodyText"/>
          </w:pPr>
        </w:p>
      </w:sdtContent>
    </w:sdt>
    <w:p w14:paraId="3A065FDE" w14:textId="5B129629" w:rsidR="00AF5F1B" w:rsidRPr="00AF5F1B" w:rsidRDefault="00701185" w:rsidP="00D01AB6">
      <w:pPr>
        <w:pStyle w:val="AppendixH1"/>
      </w:pPr>
      <w:r w:rsidRPr="00531F25">
        <w:lastRenderedPageBreak/>
        <w:t xml:space="preserve"> </w:t>
      </w:r>
      <w:bookmarkStart w:id="479" w:name="_Toc121397408"/>
      <w:r w:rsidRPr="00CC6E01">
        <w:t>List of Acronyms</w:t>
      </w:r>
      <w:bookmarkEnd w:id="479"/>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731"/>
        <w:gridCol w:w="7907"/>
      </w:tblGrid>
      <w:tr w:rsidR="00701185" w:rsidRPr="00C116FB" w14:paraId="2A1EE5B7" w14:textId="77777777" w:rsidTr="00C116FB">
        <w:tc>
          <w:tcPr>
            <w:tcW w:w="898" w:type="pct"/>
            <w:shd w:val="clear" w:color="auto" w:fill="034EA2" w:themeFill="accent1"/>
          </w:tcPr>
          <w:p w14:paraId="219894AD" w14:textId="77777777" w:rsidR="00701185" w:rsidRPr="00C116FB" w:rsidRDefault="00701185" w:rsidP="00C116FB">
            <w:pPr>
              <w:pStyle w:val="TableHeading"/>
            </w:pPr>
            <w:r w:rsidRPr="00C116FB">
              <w:t>Acronym</w:t>
            </w:r>
          </w:p>
        </w:tc>
        <w:tc>
          <w:tcPr>
            <w:tcW w:w="4102" w:type="pct"/>
            <w:shd w:val="clear" w:color="auto" w:fill="034EA2" w:themeFill="accent1"/>
          </w:tcPr>
          <w:p w14:paraId="758C8032" w14:textId="77777777" w:rsidR="00701185" w:rsidRPr="00C116FB" w:rsidRDefault="00701185" w:rsidP="00C116FB">
            <w:pPr>
              <w:pStyle w:val="TableHeading"/>
            </w:pPr>
            <w:r w:rsidRPr="00C116FB">
              <w:t>Meaning</w:t>
            </w:r>
          </w:p>
        </w:tc>
      </w:tr>
      <w:tr w:rsidR="00701185" w:rsidRPr="0016730B" w14:paraId="0E7564A9" w14:textId="77777777" w:rsidTr="00C116FB">
        <w:trPr>
          <w:trHeight w:val="339"/>
        </w:trPr>
        <w:tc>
          <w:tcPr>
            <w:tcW w:w="898" w:type="pct"/>
            <w:shd w:val="clear" w:color="auto" w:fill="F2F2F2" w:themeFill="background1" w:themeFillShade="F2"/>
          </w:tcPr>
          <w:p w14:paraId="7E5F7884" w14:textId="7BBDA1E3" w:rsidR="00701185" w:rsidRPr="0016730B" w:rsidRDefault="00836DF2">
            <w:pPr>
              <w:pStyle w:val="TableBody"/>
              <w:spacing w:before="100" w:after="100"/>
            </w:pPr>
            <w:r>
              <w:t xml:space="preserve">SLACIP </w:t>
            </w:r>
            <w:r w:rsidR="00D721DC">
              <w:t>Act</w:t>
            </w:r>
          </w:p>
        </w:tc>
        <w:tc>
          <w:tcPr>
            <w:tcW w:w="4102" w:type="pct"/>
            <w:shd w:val="clear" w:color="auto" w:fill="auto"/>
          </w:tcPr>
          <w:p w14:paraId="2F9F5465" w14:textId="38151316" w:rsidR="00701185" w:rsidRPr="0016730B" w:rsidRDefault="002D37A6">
            <w:pPr>
              <w:pStyle w:val="TableBody"/>
              <w:spacing w:before="100" w:after="100"/>
            </w:pPr>
            <w:r>
              <w:t xml:space="preserve">Security Legislation Amendment (Critical Infrastructure Protection) </w:t>
            </w:r>
            <w:r w:rsidR="00D721DC">
              <w:t xml:space="preserve">Act </w:t>
            </w:r>
            <w:r>
              <w:t>2022</w:t>
            </w:r>
          </w:p>
        </w:tc>
      </w:tr>
      <w:tr w:rsidR="00701185" w:rsidRPr="0016730B" w14:paraId="701672D3" w14:textId="77777777" w:rsidTr="00C116FB">
        <w:tc>
          <w:tcPr>
            <w:tcW w:w="898" w:type="pct"/>
            <w:shd w:val="clear" w:color="auto" w:fill="F2F2F2" w:themeFill="background1" w:themeFillShade="F2"/>
          </w:tcPr>
          <w:p w14:paraId="48A36330" w14:textId="77777777" w:rsidR="00701185" w:rsidRPr="0016730B" w:rsidRDefault="00701185" w:rsidP="00F655C4">
            <w:pPr>
              <w:pStyle w:val="TableBody"/>
              <w:spacing w:before="100" w:after="100"/>
            </w:pPr>
            <w:r w:rsidRPr="0016730B">
              <w:t>2020 RIS</w:t>
            </w:r>
          </w:p>
        </w:tc>
        <w:tc>
          <w:tcPr>
            <w:tcW w:w="4102" w:type="pct"/>
            <w:shd w:val="clear" w:color="auto" w:fill="auto"/>
          </w:tcPr>
          <w:p w14:paraId="3F210054" w14:textId="77777777" w:rsidR="00701185" w:rsidRPr="0016730B" w:rsidRDefault="00701185" w:rsidP="00F655C4">
            <w:pPr>
              <w:pStyle w:val="TableBody"/>
              <w:spacing w:before="100" w:after="100"/>
            </w:pPr>
            <w:r w:rsidRPr="0016730B">
              <w:t xml:space="preserve">Regulation Impact Statement: Critical Infrastructure, Systems of National Significance </w:t>
            </w:r>
          </w:p>
        </w:tc>
      </w:tr>
      <w:tr w:rsidR="00701185" w:rsidRPr="0016730B" w14:paraId="5A3EBBF0" w14:textId="77777777" w:rsidTr="00C116FB">
        <w:tc>
          <w:tcPr>
            <w:tcW w:w="898" w:type="pct"/>
            <w:shd w:val="clear" w:color="auto" w:fill="F2F2F2" w:themeFill="background1" w:themeFillShade="F2"/>
          </w:tcPr>
          <w:p w14:paraId="28400077" w14:textId="77777777" w:rsidR="00701185" w:rsidRPr="0016730B" w:rsidRDefault="00701185" w:rsidP="00F655C4">
            <w:pPr>
              <w:pStyle w:val="TableBody"/>
              <w:spacing w:before="100" w:after="100"/>
            </w:pPr>
            <w:r w:rsidRPr="0016730B">
              <w:t>ACSC</w:t>
            </w:r>
          </w:p>
        </w:tc>
        <w:tc>
          <w:tcPr>
            <w:tcW w:w="4102" w:type="pct"/>
            <w:shd w:val="clear" w:color="auto" w:fill="auto"/>
          </w:tcPr>
          <w:p w14:paraId="3A5E99CA" w14:textId="77777777" w:rsidR="00701185" w:rsidRPr="0016730B" w:rsidRDefault="00701185" w:rsidP="00F655C4">
            <w:pPr>
              <w:pStyle w:val="TableBody"/>
              <w:spacing w:before="100" w:after="100"/>
            </w:pPr>
            <w:r w:rsidRPr="0016730B">
              <w:t>Australian Cyber Security Centre</w:t>
            </w:r>
          </w:p>
        </w:tc>
      </w:tr>
      <w:tr w:rsidR="00701185" w:rsidRPr="0016730B" w14:paraId="20E28D9A" w14:textId="77777777" w:rsidTr="00C116FB">
        <w:tc>
          <w:tcPr>
            <w:tcW w:w="898" w:type="pct"/>
            <w:shd w:val="clear" w:color="auto" w:fill="F2F2F2" w:themeFill="background1" w:themeFillShade="F2"/>
          </w:tcPr>
          <w:p w14:paraId="33BCD30F" w14:textId="77777777" w:rsidR="00701185" w:rsidRPr="0016730B" w:rsidRDefault="00701185" w:rsidP="00F655C4">
            <w:pPr>
              <w:pStyle w:val="TableBody"/>
              <w:spacing w:before="100" w:after="100"/>
            </w:pPr>
            <w:r w:rsidRPr="0016730B">
              <w:t>ASA</w:t>
            </w:r>
          </w:p>
        </w:tc>
        <w:tc>
          <w:tcPr>
            <w:tcW w:w="4102" w:type="pct"/>
            <w:shd w:val="clear" w:color="auto" w:fill="auto"/>
          </w:tcPr>
          <w:p w14:paraId="6DF9BD5D" w14:textId="77777777" w:rsidR="00701185" w:rsidRPr="0016730B" w:rsidRDefault="00701185" w:rsidP="00F655C4">
            <w:pPr>
              <w:pStyle w:val="TableBody"/>
              <w:spacing w:before="100" w:after="100"/>
            </w:pPr>
            <w:r w:rsidRPr="0016730B">
              <w:t xml:space="preserve">Adverse Security Assessment </w:t>
            </w:r>
          </w:p>
        </w:tc>
      </w:tr>
      <w:tr w:rsidR="00701185" w:rsidRPr="0016730B" w14:paraId="6F9DAB9C" w14:textId="77777777" w:rsidTr="00C116FB">
        <w:tc>
          <w:tcPr>
            <w:tcW w:w="898" w:type="pct"/>
            <w:shd w:val="clear" w:color="auto" w:fill="F2F2F2" w:themeFill="background1" w:themeFillShade="F2"/>
          </w:tcPr>
          <w:p w14:paraId="2E5F0751" w14:textId="77777777" w:rsidR="00701185" w:rsidRPr="0016730B" w:rsidRDefault="00701185" w:rsidP="00F655C4">
            <w:pPr>
              <w:pStyle w:val="TableBody"/>
              <w:spacing w:before="100" w:after="100"/>
            </w:pPr>
            <w:r w:rsidRPr="0016730B">
              <w:t>ASIO</w:t>
            </w:r>
          </w:p>
        </w:tc>
        <w:tc>
          <w:tcPr>
            <w:tcW w:w="4102" w:type="pct"/>
            <w:shd w:val="clear" w:color="auto" w:fill="auto"/>
          </w:tcPr>
          <w:p w14:paraId="0EA87503" w14:textId="77777777" w:rsidR="00701185" w:rsidRPr="0016730B" w:rsidRDefault="00701185" w:rsidP="00F655C4">
            <w:pPr>
              <w:pStyle w:val="TableBody"/>
              <w:spacing w:before="100" w:after="100"/>
            </w:pPr>
            <w:r w:rsidRPr="0016730B">
              <w:t xml:space="preserve">Australian Security Intelligence Organisation </w:t>
            </w:r>
          </w:p>
        </w:tc>
      </w:tr>
      <w:tr w:rsidR="00701185" w:rsidRPr="0016730B" w14:paraId="49C6B462" w14:textId="77777777" w:rsidTr="00C116FB">
        <w:tc>
          <w:tcPr>
            <w:tcW w:w="898" w:type="pct"/>
            <w:shd w:val="clear" w:color="auto" w:fill="F2F2F2" w:themeFill="background1" w:themeFillShade="F2"/>
          </w:tcPr>
          <w:p w14:paraId="0ECD705E" w14:textId="77777777" w:rsidR="00701185" w:rsidRPr="0016730B" w:rsidRDefault="00701185" w:rsidP="00F655C4">
            <w:pPr>
              <w:pStyle w:val="TableBody"/>
              <w:spacing w:before="100" w:after="100"/>
            </w:pPr>
            <w:r w:rsidRPr="0016730B">
              <w:t>CIC</w:t>
            </w:r>
          </w:p>
        </w:tc>
        <w:tc>
          <w:tcPr>
            <w:tcW w:w="4102" w:type="pct"/>
            <w:shd w:val="clear" w:color="auto" w:fill="auto"/>
          </w:tcPr>
          <w:p w14:paraId="7A5C80D0" w14:textId="77777777" w:rsidR="00701185" w:rsidRPr="0016730B" w:rsidRDefault="00701185" w:rsidP="00F655C4">
            <w:pPr>
              <w:pStyle w:val="TableBody"/>
              <w:spacing w:before="100" w:after="100"/>
            </w:pPr>
            <w:r w:rsidRPr="0016730B">
              <w:t>Critical Infrastructure Centre</w:t>
            </w:r>
          </w:p>
        </w:tc>
      </w:tr>
      <w:tr w:rsidR="00701185" w:rsidRPr="0016730B" w14:paraId="17A09188" w14:textId="77777777" w:rsidTr="00C116FB">
        <w:tc>
          <w:tcPr>
            <w:tcW w:w="898" w:type="pct"/>
            <w:shd w:val="clear" w:color="auto" w:fill="F2F2F2" w:themeFill="background1" w:themeFillShade="F2"/>
          </w:tcPr>
          <w:p w14:paraId="6702E126" w14:textId="77777777" w:rsidR="00701185" w:rsidRPr="0016730B" w:rsidRDefault="00701185" w:rsidP="00F655C4">
            <w:pPr>
              <w:pStyle w:val="TableBody"/>
              <w:spacing w:before="100" w:after="100"/>
            </w:pPr>
            <w:r>
              <w:t>CISC</w:t>
            </w:r>
          </w:p>
        </w:tc>
        <w:tc>
          <w:tcPr>
            <w:tcW w:w="4102" w:type="pct"/>
            <w:shd w:val="clear" w:color="auto" w:fill="auto"/>
          </w:tcPr>
          <w:p w14:paraId="74846EEE" w14:textId="77777777" w:rsidR="00701185" w:rsidRPr="0016730B" w:rsidRDefault="00701185" w:rsidP="00F655C4">
            <w:pPr>
              <w:pStyle w:val="TableBody"/>
              <w:spacing w:before="100" w:after="100"/>
            </w:pPr>
            <w:r>
              <w:t>Cyber and Infrastructure Security Centre</w:t>
            </w:r>
          </w:p>
        </w:tc>
      </w:tr>
      <w:tr w:rsidR="00701185" w:rsidRPr="0016730B" w14:paraId="02024FDB" w14:textId="77777777" w:rsidTr="00C116FB">
        <w:tc>
          <w:tcPr>
            <w:tcW w:w="898" w:type="pct"/>
            <w:shd w:val="clear" w:color="auto" w:fill="F2F2F2" w:themeFill="background1" w:themeFillShade="F2"/>
          </w:tcPr>
          <w:p w14:paraId="05FBC5A2" w14:textId="77777777" w:rsidR="00701185" w:rsidRPr="0016730B" w:rsidRDefault="00701185" w:rsidP="00F655C4">
            <w:pPr>
              <w:pStyle w:val="TableBody"/>
              <w:spacing w:before="100" w:after="100"/>
            </w:pPr>
            <w:r w:rsidRPr="0016730B">
              <w:t>CISONS</w:t>
            </w:r>
          </w:p>
        </w:tc>
        <w:tc>
          <w:tcPr>
            <w:tcW w:w="4102" w:type="pct"/>
            <w:shd w:val="clear" w:color="auto" w:fill="auto"/>
          </w:tcPr>
          <w:p w14:paraId="26D9864F" w14:textId="77777777" w:rsidR="00701185" w:rsidRPr="0016730B" w:rsidRDefault="00701185" w:rsidP="00F655C4">
            <w:pPr>
              <w:pStyle w:val="TableBody"/>
              <w:spacing w:before="100" w:after="100"/>
            </w:pPr>
            <w:r w:rsidRPr="0016730B">
              <w:t>Critical Infrastructure Systems of National Significance</w:t>
            </w:r>
          </w:p>
        </w:tc>
      </w:tr>
      <w:tr w:rsidR="00701185" w:rsidRPr="0016730B" w14:paraId="1765938F" w14:textId="77777777" w:rsidTr="00C116FB">
        <w:tc>
          <w:tcPr>
            <w:tcW w:w="898" w:type="pct"/>
            <w:shd w:val="clear" w:color="auto" w:fill="F2F2F2" w:themeFill="background1" w:themeFillShade="F2"/>
          </w:tcPr>
          <w:p w14:paraId="2DBE3F27" w14:textId="77777777" w:rsidR="00701185" w:rsidRPr="0016730B" w:rsidRDefault="00701185" w:rsidP="00F655C4">
            <w:pPr>
              <w:pStyle w:val="TableBody"/>
              <w:spacing w:before="100" w:after="100"/>
            </w:pPr>
            <w:r w:rsidRPr="0016730B">
              <w:t>CSIRO</w:t>
            </w:r>
          </w:p>
        </w:tc>
        <w:tc>
          <w:tcPr>
            <w:tcW w:w="4102" w:type="pct"/>
            <w:shd w:val="clear" w:color="auto" w:fill="auto"/>
          </w:tcPr>
          <w:p w14:paraId="768996A8" w14:textId="77777777" w:rsidR="00701185" w:rsidRPr="0016730B" w:rsidRDefault="00701185" w:rsidP="00F655C4">
            <w:pPr>
              <w:pStyle w:val="TableBody"/>
              <w:spacing w:before="100" w:after="100"/>
            </w:pPr>
            <w:r w:rsidRPr="0016730B">
              <w:t>Commonwealth Scientific and Industrial Research Organisation</w:t>
            </w:r>
          </w:p>
        </w:tc>
      </w:tr>
      <w:tr w:rsidR="00701185" w:rsidRPr="0016730B" w14:paraId="0777DD98" w14:textId="77777777" w:rsidTr="00C116FB">
        <w:tc>
          <w:tcPr>
            <w:tcW w:w="898" w:type="pct"/>
            <w:shd w:val="clear" w:color="auto" w:fill="F2F2F2" w:themeFill="background1" w:themeFillShade="F2"/>
          </w:tcPr>
          <w:p w14:paraId="2EDA9769" w14:textId="77777777" w:rsidR="00701185" w:rsidRPr="0016730B" w:rsidRDefault="00701185" w:rsidP="00F655C4">
            <w:pPr>
              <w:pStyle w:val="TableBody"/>
              <w:spacing w:before="100" w:after="100"/>
            </w:pPr>
            <w:r w:rsidRPr="0016730B">
              <w:t>FATA</w:t>
            </w:r>
          </w:p>
        </w:tc>
        <w:tc>
          <w:tcPr>
            <w:tcW w:w="4102" w:type="pct"/>
            <w:shd w:val="clear" w:color="auto" w:fill="auto"/>
          </w:tcPr>
          <w:p w14:paraId="12EF7568" w14:textId="77777777" w:rsidR="00701185" w:rsidRPr="0016730B" w:rsidRDefault="00701185" w:rsidP="00F655C4">
            <w:pPr>
              <w:pStyle w:val="TableBody"/>
              <w:spacing w:before="100" w:after="100"/>
            </w:pPr>
            <w:r w:rsidRPr="0016730B">
              <w:rPr>
                <w:i/>
                <w:iCs/>
              </w:rPr>
              <w:t>Foreign Acquisitions and Takeovers Act 1975</w:t>
            </w:r>
            <w:r w:rsidRPr="0016730B">
              <w:t xml:space="preserve"> (Cth)</w:t>
            </w:r>
          </w:p>
        </w:tc>
      </w:tr>
      <w:tr w:rsidR="00701185" w:rsidRPr="0016730B" w14:paraId="30D69334" w14:textId="77777777" w:rsidTr="00C116FB">
        <w:tc>
          <w:tcPr>
            <w:tcW w:w="898" w:type="pct"/>
            <w:shd w:val="clear" w:color="auto" w:fill="F2F2F2" w:themeFill="background1" w:themeFillShade="F2"/>
          </w:tcPr>
          <w:p w14:paraId="1C7CB649" w14:textId="77777777" w:rsidR="00701185" w:rsidRPr="0016730B" w:rsidRDefault="00701185" w:rsidP="00F655C4">
            <w:pPr>
              <w:pStyle w:val="TableBody"/>
              <w:spacing w:before="100" w:after="100"/>
            </w:pPr>
            <w:r w:rsidRPr="0016730B">
              <w:t>Government</w:t>
            </w:r>
          </w:p>
        </w:tc>
        <w:tc>
          <w:tcPr>
            <w:tcW w:w="4102" w:type="pct"/>
            <w:shd w:val="clear" w:color="auto" w:fill="auto"/>
          </w:tcPr>
          <w:p w14:paraId="7769CC7B" w14:textId="77777777" w:rsidR="00701185" w:rsidRPr="0016730B" w:rsidRDefault="00701185" w:rsidP="00F655C4">
            <w:pPr>
              <w:pStyle w:val="TableBody"/>
              <w:spacing w:before="100" w:after="100"/>
            </w:pPr>
            <w:r w:rsidRPr="0016730B">
              <w:t xml:space="preserve">The Commonwealth Government </w:t>
            </w:r>
          </w:p>
        </w:tc>
      </w:tr>
      <w:tr w:rsidR="00701185" w:rsidRPr="0016730B" w14:paraId="4E9BE452" w14:textId="77777777" w:rsidTr="00C116FB">
        <w:tc>
          <w:tcPr>
            <w:tcW w:w="898" w:type="pct"/>
            <w:shd w:val="clear" w:color="auto" w:fill="F2F2F2" w:themeFill="background1" w:themeFillShade="F2"/>
          </w:tcPr>
          <w:p w14:paraId="32DA09EF" w14:textId="77777777" w:rsidR="00701185" w:rsidRPr="0016730B" w:rsidRDefault="00701185" w:rsidP="00F655C4">
            <w:pPr>
              <w:pStyle w:val="TableBody"/>
              <w:spacing w:before="100" w:after="100"/>
            </w:pPr>
            <w:r w:rsidRPr="0016730B">
              <w:t>IT</w:t>
            </w:r>
          </w:p>
        </w:tc>
        <w:tc>
          <w:tcPr>
            <w:tcW w:w="4102" w:type="pct"/>
            <w:shd w:val="clear" w:color="auto" w:fill="auto"/>
          </w:tcPr>
          <w:p w14:paraId="71BBD9B5" w14:textId="77777777" w:rsidR="00701185" w:rsidRPr="0016730B" w:rsidRDefault="00701185" w:rsidP="00F655C4">
            <w:pPr>
              <w:pStyle w:val="TableBody"/>
              <w:spacing w:before="100" w:after="100"/>
            </w:pPr>
            <w:r w:rsidRPr="0016730B">
              <w:t>Information Technology</w:t>
            </w:r>
          </w:p>
        </w:tc>
      </w:tr>
      <w:tr w:rsidR="00701185" w:rsidRPr="0016730B" w14:paraId="2AA04943" w14:textId="77777777" w:rsidTr="00C116FB">
        <w:tc>
          <w:tcPr>
            <w:tcW w:w="898" w:type="pct"/>
            <w:shd w:val="clear" w:color="auto" w:fill="F2F2F2" w:themeFill="background1" w:themeFillShade="F2"/>
          </w:tcPr>
          <w:p w14:paraId="4D930976" w14:textId="77777777" w:rsidR="00701185" w:rsidRPr="0016730B" w:rsidRDefault="00701185" w:rsidP="00F655C4">
            <w:pPr>
              <w:pStyle w:val="TableBody"/>
              <w:spacing w:before="100" w:after="100"/>
            </w:pPr>
            <w:r w:rsidRPr="0016730B">
              <w:t>ISM</w:t>
            </w:r>
          </w:p>
        </w:tc>
        <w:tc>
          <w:tcPr>
            <w:tcW w:w="4102" w:type="pct"/>
            <w:shd w:val="clear" w:color="auto" w:fill="auto"/>
          </w:tcPr>
          <w:p w14:paraId="1CDECE62" w14:textId="77777777" w:rsidR="00701185" w:rsidRPr="0016730B" w:rsidRDefault="00701185" w:rsidP="00F655C4">
            <w:pPr>
              <w:pStyle w:val="TableBody"/>
              <w:spacing w:before="100" w:after="100"/>
            </w:pPr>
            <w:r w:rsidRPr="0016730B">
              <w:t xml:space="preserve">Australian Government Information Security Manual </w:t>
            </w:r>
          </w:p>
        </w:tc>
      </w:tr>
      <w:tr w:rsidR="00701185" w:rsidRPr="0016730B" w14:paraId="1BC5A4CA" w14:textId="77777777" w:rsidTr="00C116FB">
        <w:tc>
          <w:tcPr>
            <w:tcW w:w="898" w:type="pct"/>
            <w:shd w:val="clear" w:color="auto" w:fill="F2F2F2" w:themeFill="background1" w:themeFillShade="F2"/>
          </w:tcPr>
          <w:p w14:paraId="62276A00" w14:textId="77777777" w:rsidR="00701185" w:rsidRPr="0016730B" w:rsidRDefault="00701185" w:rsidP="00F655C4">
            <w:pPr>
              <w:pStyle w:val="TableBody"/>
              <w:spacing w:before="100" w:after="100"/>
            </w:pPr>
            <w:r w:rsidRPr="0016730B">
              <w:t>ISO</w:t>
            </w:r>
          </w:p>
        </w:tc>
        <w:tc>
          <w:tcPr>
            <w:tcW w:w="4102" w:type="pct"/>
            <w:shd w:val="clear" w:color="auto" w:fill="auto"/>
          </w:tcPr>
          <w:p w14:paraId="1D1A79F6" w14:textId="77777777" w:rsidR="00701185" w:rsidRPr="0016730B" w:rsidRDefault="00701185" w:rsidP="00F655C4">
            <w:pPr>
              <w:pStyle w:val="TableBody"/>
              <w:spacing w:before="100" w:after="100"/>
            </w:pPr>
            <w:r w:rsidRPr="0016730B">
              <w:t xml:space="preserve">International Organisation for Standardization </w:t>
            </w:r>
          </w:p>
        </w:tc>
      </w:tr>
      <w:tr w:rsidR="00701185" w:rsidRPr="0016730B" w14:paraId="74BEFC8F" w14:textId="77777777" w:rsidTr="00C116FB">
        <w:tc>
          <w:tcPr>
            <w:tcW w:w="898" w:type="pct"/>
            <w:shd w:val="clear" w:color="auto" w:fill="F2F2F2" w:themeFill="background1" w:themeFillShade="F2"/>
          </w:tcPr>
          <w:p w14:paraId="084FABBC" w14:textId="77777777" w:rsidR="00701185" w:rsidRPr="0016730B" w:rsidRDefault="00701185" w:rsidP="00F655C4">
            <w:pPr>
              <w:pStyle w:val="TableBody"/>
              <w:spacing w:before="100" w:after="100"/>
            </w:pPr>
            <w:r w:rsidRPr="0016730B">
              <w:t>NDBS</w:t>
            </w:r>
          </w:p>
        </w:tc>
        <w:tc>
          <w:tcPr>
            <w:tcW w:w="4102" w:type="pct"/>
            <w:shd w:val="clear" w:color="auto" w:fill="auto"/>
          </w:tcPr>
          <w:p w14:paraId="737BF04F" w14:textId="77777777" w:rsidR="00701185" w:rsidRPr="0016730B" w:rsidRDefault="00701185" w:rsidP="00F655C4">
            <w:pPr>
              <w:pStyle w:val="TableBody"/>
              <w:spacing w:before="100" w:after="100"/>
            </w:pPr>
            <w:r w:rsidRPr="0016730B">
              <w:t>Notifiable Data Breaches Scheme</w:t>
            </w:r>
          </w:p>
        </w:tc>
      </w:tr>
      <w:tr w:rsidR="00701185" w:rsidRPr="0016730B" w14:paraId="06D7E3E5" w14:textId="77777777" w:rsidTr="00C116FB">
        <w:tc>
          <w:tcPr>
            <w:tcW w:w="898" w:type="pct"/>
            <w:shd w:val="clear" w:color="auto" w:fill="F2F2F2" w:themeFill="background1" w:themeFillShade="F2"/>
          </w:tcPr>
          <w:p w14:paraId="5DEBEF83" w14:textId="77777777" w:rsidR="00701185" w:rsidRPr="0016730B" w:rsidRDefault="00701185" w:rsidP="00F655C4">
            <w:pPr>
              <w:pStyle w:val="TableBody"/>
              <w:spacing w:before="100" w:after="100"/>
            </w:pPr>
            <w:r w:rsidRPr="0016730B">
              <w:t>OA</w:t>
            </w:r>
            <w:r w:rsidR="00C324B3">
              <w:t>I</w:t>
            </w:r>
            <w:r w:rsidRPr="0016730B">
              <w:t>C</w:t>
            </w:r>
          </w:p>
        </w:tc>
        <w:tc>
          <w:tcPr>
            <w:tcW w:w="4102" w:type="pct"/>
            <w:shd w:val="clear" w:color="auto" w:fill="auto"/>
          </w:tcPr>
          <w:p w14:paraId="3F504E48" w14:textId="77777777" w:rsidR="00701185" w:rsidRPr="0016730B" w:rsidRDefault="00701185" w:rsidP="00F655C4">
            <w:pPr>
              <w:pStyle w:val="TableBody"/>
              <w:spacing w:before="100" w:after="100"/>
            </w:pPr>
            <w:r w:rsidRPr="0016730B">
              <w:t>Office of the Australian Information Commissioner</w:t>
            </w:r>
          </w:p>
        </w:tc>
      </w:tr>
      <w:tr w:rsidR="00701185" w:rsidRPr="0016730B" w14:paraId="67F0E9C3" w14:textId="77777777" w:rsidTr="00C116FB">
        <w:tc>
          <w:tcPr>
            <w:tcW w:w="898" w:type="pct"/>
            <w:shd w:val="clear" w:color="auto" w:fill="F2F2F2" w:themeFill="background1" w:themeFillShade="F2"/>
          </w:tcPr>
          <w:p w14:paraId="234E8376" w14:textId="77777777" w:rsidR="00701185" w:rsidRPr="0016730B" w:rsidRDefault="00701185" w:rsidP="00F655C4">
            <w:pPr>
              <w:pStyle w:val="TableBody"/>
              <w:spacing w:before="100" w:after="100"/>
            </w:pPr>
            <w:r w:rsidRPr="0016730B">
              <w:t>PJCIS</w:t>
            </w:r>
          </w:p>
        </w:tc>
        <w:tc>
          <w:tcPr>
            <w:tcW w:w="4102" w:type="pct"/>
            <w:shd w:val="clear" w:color="auto" w:fill="auto"/>
          </w:tcPr>
          <w:p w14:paraId="16161359" w14:textId="77777777" w:rsidR="00701185" w:rsidRPr="0016730B" w:rsidRDefault="00701185" w:rsidP="00F655C4">
            <w:pPr>
              <w:pStyle w:val="TableBody"/>
              <w:spacing w:before="100" w:after="100"/>
            </w:pPr>
            <w:r w:rsidRPr="0016730B">
              <w:t xml:space="preserve">Parliamentary Joint Committee on Intelligence and Security </w:t>
            </w:r>
          </w:p>
        </w:tc>
      </w:tr>
      <w:tr w:rsidR="00103EAF" w:rsidRPr="0016730B" w14:paraId="129B3496" w14:textId="77777777" w:rsidTr="00C116FB">
        <w:tc>
          <w:tcPr>
            <w:tcW w:w="898" w:type="pct"/>
            <w:shd w:val="clear" w:color="auto" w:fill="F2F2F2" w:themeFill="background1" w:themeFillShade="F2"/>
          </w:tcPr>
          <w:p w14:paraId="2044D308" w14:textId="77777777" w:rsidR="00103EAF" w:rsidRPr="0016730B" w:rsidRDefault="00103EAF" w:rsidP="00F655C4">
            <w:pPr>
              <w:pStyle w:val="TableBody"/>
              <w:spacing w:before="100" w:after="100"/>
            </w:pPr>
            <w:r>
              <w:t>RMP</w:t>
            </w:r>
          </w:p>
        </w:tc>
        <w:tc>
          <w:tcPr>
            <w:tcW w:w="4102" w:type="pct"/>
            <w:shd w:val="clear" w:color="auto" w:fill="auto"/>
          </w:tcPr>
          <w:p w14:paraId="0B6090AF" w14:textId="77777777" w:rsidR="00103EAF" w:rsidRPr="0016730B" w:rsidRDefault="00103EAF" w:rsidP="00F655C4">
            <w:pPr>
              <w:pStyle w:val="TableBody"/>
              <w:spacing w:before="100" w:after="100"/>
            </w:pPr>
            <w:r>
              <w:t>Risk Management Program</w:t>
            </w:r>
          </w:p>
        </w:tc>
      </w:tr>
      <w:tr w:rsidR="00701185" w:rsidRPr="0016730B" w14:paraId="73EF2DF0" w14:textId="77777777" w:rsidTr="00C116FB">
        <w:tc>
          <w:tcPr>
            <w:tcW w:w="898" w:type="pct"/>
            <w:shd w:val="clear" w:color="auto" w:fill="F2F2F2" w:themeFill="background1" w:themeFillShade="F2"/>
          </w:tcPr>
          <w:p w14:paraId="673D1C02" w14:textId="77777777" w:rsidR="00701185" w:rsidRPr="0016730B" w:rsidRDefault="00701185" w:rsidP="00F655C4">
            <w:pPr>
              <w:pStyle w:val="TableBody"/>
              <w:spacing w:before="100" w:after="100"/>
            </w:pPr>
            <w:r w:rsidRPr="0016730B">
              <w:t>RIS</w:t>
            </w:r>
          </w:p>
        </w:tc>
        <w:tc>
          <w:tcPr>
            <w:tcW w:w="4102" w:type="pct"/>
            <w:shd w:val="clear" w:color="auto" w:fill="auto"/>
          </w:tcPr>
          <w:p w14:paraId="2E685770" w14:textId="77777777" w:rsidR="00701185" w:rsidRPr="0016730B" w:rsidRDefault="00701185" w:rsidP="00F655C4">
            <w:pPr>
              <w:pStyle w:val="TableBody"/>
              <w:spacing w:before="100" w:after="100"/>
            </w:pPr>
            <w:r w:rsidRPr="0016730B">
              <w:t>Regulation Impact Statement</w:t>
            </w:r>
          </w:p>
        </w:tc>
      </w:tr>
      <w:tr w:rsidR="00701185" w:rsidRPr="0016730B" w14:paraId="5E347CCD" w14:textId="77777777" w:rsidTr="00C116FB">
        <w:tc>
          <w:tcPr>
            <w:tcW w:w="898" w:type="pct"/>
            <w:shd w:val="clear" w:color="auto" w:fill="F2F2F2" w:themeFill="background1" w:themeFillShade="F2"/>
          </w:tcPr>
          <w:p w14:paraId="39C2509E" w14:textId="3C8F0339" w:rsidR="00701185" w:rsidRPr="0016730B" w:rsidRDefault="00384419" w:rsidP="00F655C4">
            <w:pPr>
              <w:pStyle w:val="TableBody"/>
              <w:spacing w:before="100" w:after="100"/>
            </w:pPr>
            <w:r>
              <w:t>SOCI Act</w:t>
            </w:r>
          </w:p>
        </w:tc>
        <w:tc>
          <w:tcPr>
            <w:tcW w:w="4102" w:type="pct"/>
            <w:shd w:val="clear" w:color="auto" w:fill="auto"/>
          </w:tcPr>
          <w:p w14:paraId="6E9B7DC2" w14:textId="77777777" w:rsidR="00701185" w:rsidRPr="0016730B" w:rsidRDefault="00701185" w:rsidP="00F655C4">
            <w:pPr>
              <w:pStyle w:val="TableBody"/>
              <w:spacing w:before="100" w:after="100"/>
            </w:pPr>
            <w:r w:rsidRPr="0016730B">
              <w:rPr>
                <w:i/>
                <w:iCs/>
              </w:rPr>
              <w:t>Security of Critical Infrastructure Act 2018</w:t>
            </w:r>
            <w:r w:rsidRPr="0016730B">
              <w:t xml:space="preserve"> (Cth)</w:t>
            </w:r>
          </w:p>
        </w:tc>
      </w:tr>
      <w:tr w:rsidR="00701185" w:rsidRPr="0016730B" w14:paraId="54431CD2" w14:textId="77777777" w:rsidTr="00C116FB">
        <w:tc>
          <w:tcPr>
            <w:tcW w:w="898" w:type="pct"/>
            <w:shd w:val="clear" w:color="auto" w:fill="F2F2F2" w:themeFill="background1" w:themeFillShade="F2"/>
          </w:tcPr>
          <w:p w14:paraId="1EA4B218" w14:textId="77777777" w:rsidR="00701185" w:rsidRPr="00850348" w:rsidRDefault="00701185" w:rsidP="00F655C4">
            <w:pPr>
              <w:pStyle w:val="TableBody"/>
              <w:spacing w:before="100" w:after="100"/>
            </w:pPr>
            <w:r w:rsidRPr="00850348">
              <w:t>SLACI</w:t>
            </w:r>
            <w:r w:rsidR="003C174D">
              <w:t xml:space="preserve"> Act</w:t>
            </w:r>
          </w:p>
        </w:tc>
        <w:tc>
          <w:tcPr>
            <w:tcW w:w="4102" w:type="pct"/>
            <w:shd w:val="clear" w:color="auto" w:fill="auto"/>
          </w:tcPr>
          <w:p w14:paraId="2F511298" w14:textId="77777777" w:rsidR="00701185" w:rsidRPr="00850348" w:rsidRDefault="00701185" w:rsidP="00F655C4">
            <w:pPr>
              <w:pStyle w:val="TableBody"/>
              <w:spacing w:before="100" w:after="100"/>
              <w:rPr>
                <w:i/>
                <w:iCs/>
              </w:rPr>
            </w:pPr>
            <w:r w:rsidRPr="00850348">
              <w:rPr>
                <w:i/>
              </w:rPr>
              <w:t>Security Legislation Amendment (Critical Infrastructure) Act 2021</w:t>
            </w:r>
          </w:p>
        </w:tc>
      </w:tr>
      <w:tr w:rsidR="003C174D" w:rsidRPr="0016730B" w14:paraId="33DA445E" w14:textId="77777777" w:rsidTr="00C116FB">
        <w:tc>
          <w:tcPr>
            <w:tcW w:w="898" w:type="pct"/>
            <w:shd w:val="clear" w:color="auto" w:fill="F2F2F2" w:themeFill="background1" w:themeFillShade="F2"/>
          </w:tcPr>
          <w:p w14:paraId="2DB588B2" w14:textId="77777777" w:rsidR="003C174D" w:rsidRPr="00850348" w:rsidRDefault="003C174D" w:rsidP="00F655C4">
            <w:pPr>
              <w:pStyle w:val="TableBody"/>
              <w:spacing w:before="100" w:after="100"/>
            </w:pPr>
            <w:r>
              <w:t>SLACI Bill</w:t>
            </w:r>
          </w:p>
        </w:tc>
        <w:tc>
          <w:tcPr>
            <w:tcW w:w="4102" w:type="pct"/>
            <w:shd w:val="clear" w:color="auto" w:fill="auto"/>
          </w:tcPr>
          <w:p w14:paraId="2849D76D" w14:textId="77777777" w:rsidR="003C174D" w:rsidRPr="00850348" w:rsidRDefault="003C174D" w:rsidP="00F655C4">
            <w:pPr>
              <w:pStyle w:val="TableBody"/>
              <w:spacing w:before="100" w:after="100"/>
              <w:rPr>
                <w:i/>
              </w:rPr>
            </w:pPr>
            <w:r>
              <w:rPr>
                <w:i/>
              </w:rPr>
              <w:t>Security Legislation Amendment (Critical Infrastructure) Bill 2020</w:t>
            </w:r>
          </w:p>
        </w:tc>
      </w:tr>
      <w:tr w:rsidR="00701185" w:rsidRPr="0016730B" w14:paraId="72C2CF5C" w14:textId="77777777" w:rsidTr="00C116FB">
        <w:tc>
          <w:tcPr>
            <w:tcW w:w="898" w:type="pct"/>
            <w:shd w:val="clear" w:color="auto" w:fill="F2F2F2" w:themeFill="background1" w:themeFillShade="F2"/>
          </w:tcPr>
          <w:p w14:paraId="577DA6D5" w14:textId="77777777" w:rsidR="00701185" w:rsidRPr="00850348" w:rsidRDefault="00701185" w:rsidP="00F655C4">
            <w:pPr>
              <w:pStyle w:val="TableBody"/>
              <w:spacing w:before="100" w:after="100"/>
            </w:pPr>
            <w:r w:rsidRPr="00850348">
              <w:t>SLACIP</w:t>
            </w:r>
          </w:p>
        </w:tc>
        <w:tc>
          <w:tcPr>
            <w:tcW w:w="4102" w:type="pct"/>
            <w:shd w:val="clear" w:color="auto" w:fill="auto"/>
          </w:tcPr>
          <w:p w14:paraId="0A762DAC" w14:textId="77777777" w:rsidR="00701185" w:rsidRPr="00850348" w:rsidRDefault="00701185" w:rsidP="00F655C4">
            <w:pPr>
              <w:pStyle w:val="TableBody"/>
              <w:spacing w:before="100" w:after="100"/>
              <w:rPr>
                <w:i/>
                <w:iCs/>
              </w:rPr>
            </w:pPr>
            <w:r w:rsidRPr="00850348">
              <w:t>Security Legislation Amendment (Critical Infrastructure Protection)</w:t>
            </w:r>
          </w:p>
        </w:tc>
      </w:tr>
      <w:tr w:rsidR="00701185" w:rsidRPr="0016730B" w14:paraId="1344406B" w14:textId="77777777" w:rsidTr="00C116FB">
        <w:tc>
          <w:tcPr>
            <w:tcW w:w="898" w:type="pct"/>
            <w:shd w:val="clear" w:color="auto" w:fill="F2F2F2" w:themeFill="background1" w:themeFillShade="F2"/>
          </w:tcPr>
          <w:p w14:paraId="3699FF3F" w14:textId="77777777" w:rsidR="00701185" w:rsidRPr="0016730B" w:rsidRDefault="00701185" w:rsidP="00F655C4">
            <w:pPr>
              <w:pStyle w:val="TableBody"/>
              <w:spacing w:before="100" w:after="100"/>
            </w:pPr>
            <w:r w:rsidRPr="0016730B">
              <w:t>The Department</w:t>
            </w:r>
          </w:p>
        </w:tc>
        <w:tc>
          <w:tcPr>
            <w:tcW w:w="4102" w:type="pct"/>
            <w:shd w:val="clear" w:color="auto" w:fill="auto"/>
          </w:tcPr>
          <w:p w14:paraId="4CE1F36B" w14:textId="77777777" w:rsidR="00701185" w:rsidRPr="0016730B" w:rsidRDefault="00701185" w:rsidP="00F655C4">
            <w:pPr>
              <w:pStyle w:val="TableBody"/>
              <w:spacing w:before="100" w:after="100"/>
            </w:pPr>
            <w:r w:rsidRPr="0016730B">
              <w:t>The Department of Home Affairs</w:t>
            </w:r>
          </w:p>
        </w:tc>
      </w:tr>
      <w:tr w:rsidR="00701185" w:rsidRPr="0016730B" w14:paraId="476D2998" w14:textId="77777777" w:rsidTr="00C116FB">
        <w:tc>
          <w:tcPr>
            <w:tcW w:w="898" w:type="pct"/>
            <w:shd w:val="clear" w:color="auto" w:fill="F2F2F2" w:themeFill="background1" w:themeFillShade="F2"/>
          </w:tcPr>
          <w:p w14:paraId="3C67F59B" w14:textId="77777777" w:rsidR="00701185" w:rsidRPr="0016730B" w:rsidRDefault="00701185" w:rsidP="00F655C4">
            <w:pPr>
              <w:pStyle w:val="TableBody"/>
              <w:spacing w:before="100" w:after="100"/>
            </w:pPr>
            <w:r w:rsidRPr="0016730B">
              <w:t>The Minister</w:t>
            </w:r>
          </w:p>
        </w:tc>
        <w:tc>
          <w:tcPr>
            <w:tcW w:w="4102" w:type="pct"/>
            <w:shd w:val="clear" w:color="auto" w:fill="auto"/>
          </w:tcPr>
          <w:p w14:paraId="7B45FFA4" w14:textId="77777777" w:rsidR="00701185" w:rsidRPr="0016730B" w:rsidRDefault="00701185" w:rsidP="00F655C4">
            <w:pPr>
              <w:pStyle w:val="TableBody"/>
              <w:spacing w:before="100" w:after="100"/>
            </w:pPr>
            <w:r w:rsidRPr="0016730B">
              <w:t xml:space="preserve">The Minister for Home Affairs </w:t>
            </w:r>
          </w:p>
        </w:tc>
      </w:tr>
      <w:tr w:rsidR="00701185" w:rsidRPr="0016730B" w14:paraId="3EC2D3B6" w14:textId="77777777" w:rsidTr="00C116FB">
        <w:tc>
          <w:tcPr>
            <w:tcW w:w="898" w:type="pct"/>
            <w:shd w:val="clear" w:color="auto" w:fill="F2F2F2" w:themeFill="background1" w:themeFillShade="F2"/>
          </w:tcPr>
          <w:p w14:paraId="41E17F2A" w14:textId="77777777" w:rsidR="00701185" w:rsidRPr="0016730B" w:rsidRDefault="00701185" w:rsidP="00F655C4">
            <w:pPr>
              <w:pStyle w:val="TableBody"/>
              <w:spacing w:before="100" w:after="100"/>
              <w:rPr>
                <w:sz w:val="22"/>
              </w:rPr>
            </w:pPr>
            <w:r w:rsidRPr="0016730B">
              <w:rPr>
                <w:sz w:val="22"/>
              </w:rPr>
              <w:t>TISN</w:t>
            </w:r>
          </w:p>
        </w:tc>
        <w:tc>
          <w:tcPr>
            <w:tcW w:w="4102" w:type="pct"/>
            <w:shd w:val="clear" w:color="auto" w:fill="auto"/>
          </w:tcPr>
          <w:p w14:paraId="02D84B06" w14:textId="77777777" w:rsidR="00701185" w:rsidRPr="0016730B" w:rsidRDefault="00701185" w:rsidP="00F655C4">
            <w:pPr>
              <w:pStyle w:val="TableBody"/>
              <w:spacing w:before="100" w:after="100"/>
              <w:rPr>
                <w:sz w:val="22"/>
              </w:rPr>
            </w:pPr>
            <w:r w:rsidRPr="00812488">
              <w:t>Trusted Information Sharing Network</w:t>
            </w:r>
            <w:r w:rsidRPr="0016730B">
              <w:rPr>
                <w:sz w:val="22"/>
              </w:rPr>
              <w:t xml:space="preserve"> </w:t>
            </w:r>
          </w:p>
        </w:tc>
      </w:tr>
    </w:tbl>
    <w:p w14:paraId="5340BF3D" w14:textId="0EABEC39" w:rsidR="0016730B" w:rsidRPr="00D01AB6" w:rsidRDefault="0016730B" w:rsidP="00D01AB6">
      <w:pPr>
        <w:pStyle w:val="AppendixH1"/>
      </w:pPr>
      <w:bookmarkStart w:id="480" w:name="_Toc121397409"/>
      <w:r w:rsidRPr="00D01AB6">
        <w:lastRenderedPageBreak/>
        <w:t xml:space="preserve">List of </w:t>
      </w:r>
      <w:r w:rsidR="00160D1E" w:rsidRPr="00D01AB6">
        <w:t>T</w:t>
      </w:r>
      <w:r w:rsidRPr="00D01AB6">
        <w:t xml:space="preserve">ables and </w:t>
      </w:r>
      <w:r w:rsidR="00160D1E" w:rsidRPr="00D01AB6">
        <w:t>F</w:t>
      </w:r>
      <w:r w:rsidRPr="00D01AB6">
        <w:t>igures</w:t>
      </w:r>
      <w:bookmarkEnd w:id="480"/>
    </w:p>
    <w:p w14:paraId="657C81CB" w14:textId="44E77F42" w:rsidR="00A9746B" w:rsidRDefault="00A9746B" w:rsidP="00C10811">
      <w:pPr>
        <w:pStyle w:val="AppendixH2"/>
      </w:pPr>
      <w:r w:rsidRPr="00C10811">
        <w:t>List of Tables</w:t>
      </w:r>
    </w:p>
    <w:p w14:paraId="61C968E1" w14:textId="2CB70C00" w:rsidR="007724CA" w:rsidRDefault="0078718A">
      <w:pPr>
        <w:pStyle w:val="TableofFigures"/>
        <w:tabs>
          <w:tab w:val="right" w:pos="9628"/>
        </w:tabs>
        <w:rPr>
          <w:rFonts w:eastAsiaTheme="minorEastAsia" w:cstheme="minorBidi"/>
          <w:bCs w:val="0"/>
          <w:noProof/>
          <w:sz w:val="22"/>
          <w:szCs w:val="22"/>
          <w:lang w:eastAsia="en-AU"/>
        </w:rPr>
      </w:pPr>
      <w:r w:rsidRPr="0078718A">
        <w:fldChar w:fldCharType="begin"/>
      </w:r>
      <w:r w:rsidRPr="0078718A">
        <w:instrText xml:space="preserve"> TOC \h \z \c "Table" </w:instrText>
      </w:r>
      <w:r w:rsidRPr="0078718A">
        <w:fldChar w:fldCharType="separate"/>
      </w:r>
      <w:hyperlink w:anchor="_Toc120115086" w:history="1">
        <w:r w:rsidR="007724CA" w:rsidRPr="00160CE7">
          <w:rPr>
            <w:rStyle w:val="Hyperlink"/>
            <w:b/>
            <w:noProof/>
          </w:rPr>
          <w:t>Table 1</w:t>
        </w:r>
        <w:r w:rsidR="007724CA" w:rsidRPr="00160CE7">
          <w:rPr>
            <w:rStyle w:val="Hyperlink"/>
            <w:noProof/>
          </w:rPr>
          <w:t xml:space="preserve"> Problems for critical infrastructure assets and Government objectives</w:t>
        </w:r>
        <w:r w:rsidR="007724CA">
          <w:rPr>
            <w:noProof/>
            <w:webHidden/>
          </w:rPr>
          <w:tab/>
        </w:r>
        <w:r w:rsidR="007724CA">
          <w:rPr>
            <w:noProof/>
            <w:webHidden/>
          </w:rPr>
          <w:fldChar w:fldCharType="begin"/>
        </w:r>
        <w:r w:rsidR="007724CA">
          <w:rPr>
            <w:noProof/>
            <w:webHidden/>
          </w:rPr>
          <w:instrText xml:space="preserve"> PAGEREF _Toc120115086 \h </w:instrText>
        </w:r>
        <w:r w:rsidR="007724CA">
          <w:rPr>
            <w:noProof/>
            <w:webHidden/>
          </w:rPr>
        </w:r>
        <w:r w:rsidR="007724CA">
          <w:rPr>
            <w:noProof/>
            <w:webHidden/>
          </w:rPr>
          <w:fldChar w:fldCharType="separate"/>
        </w:r>
        <w:r w:rsidR="009708D4">
          <w:rPr>
            <w:noProof/>
            <w:webHidden/>
          </w:rPr>
          <w:t>8</w:t>
        </w:r>
        <w:r w:rsidR="007724CA">
          <w:rPr>
            <w:noProof/>
            <w:webHidden/>
          </w:rPr>
          <w:fldChar w:fldCharType="end"/>
        </w:r>
      </w:hyperlink>
    </w:p>
    <w:p w14:paraId="06C96C2A" w14:textId="06247E83" w:rsidR="007724CA" w:rsidRDefault="00A11971">
      <w:pPr>
        <w:pStyle w:val="TableofFigures"/>
        <w:tabs>
          <w:tab w:val="right" w:pos="9628"/>
        </w:tabs>
        <w:rPr>
          <w:rFonts w:eastAsiaTheme="minorEastAsia" w:cstheme="minorBidi"/>
          <w:bCs w:val="0"/>
          <w:noProof/>
          <w:sz w:val="22"/>
          <w:szCs w:val="22"/>
          <w:lang w:eastAsia="en-AU"/>
        </w:rPr>
      </w:pPr>
      <w:hyperlink w:anchor="_Toc120115087" w:history="1">
        <w:r w:rsidR="007724CA" w:rsidRPr="00160CE7">
          <w:rPr>
            <w:rStyle w:val="Hyperlink"/>
            <w:b/>
            <w:noProof/>
          </w:rPr>
          <w:t>Table 2</w:t>
        </w:r>
        <w:r w:rsidR="007724CA" w:rsidRPr="00160CE7">
          <w:rPr>
            <w:rStyle w:val="Hyperlink"/>
            <w:noProof/>
          </w:rPr>
          <w:t xml:space="preserve"> Summary of 2020 RIS</w:t>
        </w:r>
        <w:r w:rsidR="007724CA">
          <w:rPr>
            <w:noProof/>
            <w:webHidden/>
          </w:rPr>
          <w:tab/>
        </w:r>
        <w:r w:rsidR="007724CA">
          <w:rPr>
            <w:noProof/>
            <w:webHidden/>
          </w:rPr>
          <w:fldChar w:fldCharType="begin"/>
        </w:r>
        <w:r w:rsidR="007724CA">
          <w:rPr>
            <w:noProof/>
            <w:webHidden/>
          </w:rPr>
          <w:instrText xml:space="preserve"> PAGEREF _Toc120115087 \h </w:instrText>
        </w:r>
        <w:r w:rsidR="007724CA">
          <w:rPr>
            <w:noProof/>
            <w:webHidden/>
          </w:rPr>
        </w:r>
        <w:r w:rsidR="007724CA">
          <w:rPr>
            <w:noProof/>
            <w:webHidden/>
          </w:rPr>
          <w:fldChar w:fldCharType="separate"/>
        </w:r>
        <w:r w:rsidR="009708D4">
          <w:rPr>
            <w:noProof/>
            <w:webHidden/>
          </w:rPr>
          <w:t>12</w:t>
        </w:r>
        <w:r w:rsidR="007724CA">
          <w:rPr>
            <w:noProof/>
            <w:webHidden/>
          </w:rPr>
          <w:fldChar w:fldCharType="end"/>
        </w:r>
      </w:hyperlink>
    </w:p>
    <w:p w14:paraId="7847345D" w14:textId="07D9EFB2" w:rsidR="007724CA" w:rsidRDefault="00A11971">
      <w:pPr>
        <w:pStyle w:val="TableofFigures"/>
        <w:tabs>
          <w:tab w:val="right" w:pos="9628"/>
        </w:tabs>
        <w:rPr>
          <w:rFonts w:eastAsiaTheme="minorEastAsia" w:cstheme="minorBidi"/>
          <w:bCs w:val="0"/>
          <w:noProof/>
          <w:sz w:val="22"/>
          <w:szCs w:val="22"/>
          <w:lang w:eastAsia="en-AU"/>
        </w:rPr>
      </w:pPr>
      <w:hyperlink w:anchor="_Toc120115088" w:history="1">
        <w:r w:rsidR="007724CA" w:rsidRPr="00160CE7">
          <w:rPr>
            <w:rStyle w:val="Hyperlink"/>
            <w:b/>
            <w:noProof/>
          </w:rPr>
          <w:t>Table 3</w:t>
        </w:r>
        <w:r w:rsidR="007724CA" w:rsidRPr="00160CE7">
          <w:rPr>
            <w:rStyle w:val="Hyperlink"/>
            <w:noProof/>
          </w:rPr>
          <w:t xml:space="preserve"> Critical infrastructure sectors and asset classes</w:t>
        </w:r>
        <w:r w:rsidR="007724CA">
          <w:rPr>
            <w:noProof/>
            <w:webHidden/>
          </w:rPr>
          <w:tab/>
        </w:r>
        <w:r w:rsidR="007724CA">
          <w:rPr>
            <w:noProof/>
            <w:webHidden/>
          </w:rPr>
          <w:fldChar w:fldCharType="begin"/>
        </w:r>
        <w:r w:rsidR="007724CA">
          <w:rPr>
            <w:noProof/>
            <w:webHidden/>
          </w:rPr>
          <w:instrText xml:space="preserve"> PAGEREF _Toc120115088 \h </w:instrText>
        </w:r>
        <w:r w:rsidR="007724CA">
          <w:rPr>
            <w:noProof/>
            <w:webHidden/>
          </w:rPr>
        </w:r>
        <w:r w:rsidR="007724CA">
          <w:rPr>
            <w:noProof/>
            <w:webHidden/>
          </w:rPr>
          <w:fldChar w:fldCharType="separate"/>
        </w:r>
        <w:r w:rsidR="009708D4">
          <w:rPr>
            <w:noProof/>
            <w:webHidden/>
          </w:rPr>
          <w:t>13</w:t>
        </w:r>
        <w:r w:rsidR="007724CA">
          <w:rPr>
            <w:noProof/>
            <w:webHidden/>
          </w:rPr>
          <w:fldChar w:fldCharType="end"/>
        </w:r>
      </w:hyperlink>
    </w:p>
    <w:p w14:paraId="5EB0BAF6" w14:textId="33352679" w:rsidR="007724CA" w:rsidRDefault="00A11971">
      <w:pPr>
        <w:pStyle w:val="TableofFigures"/>
        <w:tabs>
          <w:tab w:val="right" w:pos="9628"/>
        </w:tabs>
        <w:rPr>
          <w:rFonts w:eastAsiaTheme="minorEastAsia" w:cstheme="minorBidi"/>
          <w:bCs w:val="0"/>
          <w:noProof/>
          <w:sz w:val="22"/>
          <w:szCs w:val="22"/>
          <w:lang w:eastAsia="en-AU"/>
        </w:rPr>
      </w:pPr>
      <w:hyperlink w:anchor="_Toc120115089" w:history="1">
        <w:r w:rsidR="007724CA" w:rsidRPr="00160CE7">
          <w:rPr>
            <w:rStyle w:val="Hyperlink"/>
            <w:b/>
            <w:noProof/>
          </w:rPr>
          <w:t>Table 4</w:t>
        </w:r>
        <w:r w:rsidR="007724CA" w:rsidRPr="00160CE7">
          <w:rPr>
            <w:rStyle w:val="Hyperlink"/>
            <w:noProof/>
          </w:rPr>
          <w:t xml:space="preserve"> Four problem elements for critical infrastructure assets</w:t>
        </w:r>
        <w:r w:rsidR="007724CA">
          <w:rPr>
            <w:noProof/>
            <w:webHidden/>
          </w:rPr>
          <w:tab/>
        </w:r>
        <w:r w:rsidR="007724CA">
          <w:rPr>
            <w:noProof/>
            <w:webHidden/>
          </w:rPr>
          <w:fldChar w:fldCharType="begin"/>
        </w:r>
        <w:r w:rsidR="007724CA">
          <w:rPr>
            <w:noProof/>
            <w:webHidden/>
          </w:rPr>
          <w:instrText xml:space="preserve"> PAGEREF _Toc120115089 \h </w:instrText>
        </w:r>
        <w:r w:rsidR="007724CA">
          <w:rPr>
            <w:noProof/>
            <w:webHidden/>
          </w:rPr>
        </w:r>
        <w:r w:rsidR="007724CA">
          <w:rPr>
            <w:noProof/>
            <w:webHidden/>
          </w:rPr>
          <w:fldChar w:fldCharType="separate"/>
        </w:r>
        <w:r w:rsidR="009708D4">
          <w:rPr>
            <w:noProof/>
            <w:webHidden/>
          </w:rPr>
          <w:t>18</w:t>
        </w:r>
        <w:r w:rsidR="007724CA">
          <w:rPr>
            <w:noProof/>
            <w:webHidden/>
          </w:rPr>
          <w:fldChar w:fldCharType="end"/>
        </w:r>
      </w:hyperlink>
    </w:p>
    <w:p w14:paraId="3D014DDA" w14:textId="5877BFCD" w:rsidR="007724CA" w:rsidRDefault="00A11971">
      <w:pPr>
        <w:pStyle w:val="TableofFigures"/>
        <w:tabs>
          <w:tab w:val="right" w:pos="9628"/>
        </w:tabs>
        <w:rPr>
          <w:rFonts w:eastAsiaTheme="minorEastAsia" w:cstheme="minorBidi"/>
          <w:bCs w:val="0"/>
          <w:noProof/>
          <w:sz w:val="22"/>
          <w:szCs w:val="22"/>
          <w:lang w:eastAsia="en-AU"/>
        </w:rPr>
      </w:pPr>
      <w:hyperlink w:anchor="_Toc120115090" w:history="1">
        <w:r w:rsidR="007724CA" w:rsidRPr="00160CE7">
          <w:rPr>
            <w:rStyle w:val="Hyperlink"/>
            <w:b/>
            <w:noProof/>
          </w:rPr>
          <w:t>Table 5</w:t>
        </w:r>
        <w:r w:rsidR="007724CA" w:rsidRPr="00160CE7">
          <w:rPr>
            <w:rStyle w:val="Hyperlink"/>
            <w:noProof/>
          </w:rPr>
          <w:t xml:space="preserve"> Overview of Commonwealth critical infrastructure legislation</w:t>
        </w:r>
        <w:r w:rsidR="007724CA">
          <w:rPr>
            <w:noProof/>
            <w:webHidden/>
          </w:rPr>
          <w:tab/>
        </w:r>
        <w:r w:rsidR="007724CA">
          <w:rPr>
            <w:noProof/>
            <w:webHidden/>
          </w:rPr>
          <w:fldChar w:fldCharType="begin"/>
        </w:r>
        <w:r w:rsidR="007724CA">
          <w:rPr>
            <w:noProof/>
            <w:webHidden/>
          </w:rPr>
          <w:instrText xml:space="preserve"> PAGEREF _Toc120115090 \h </w:instrText>
        </w:r>
        <w:r w:rsidR="007724CA">
          <w:rPr>
            <w:noProof/>
            <w:webHidden/>
          </w:rPr>
        </w:r>
        <w:r w:rsidR="007724CA">
          <w:rPr>
            <w:noProof/>
            <w:webHidden/>
          </w:rPr>
          <w:fldChar w:fldCharType="separate"/>
        </w:r>
        <w:r w:rsidR="009708D4">
          <w:rPr>
            <w:noProof/>
            <w:webHidden/>
          </w:rPr>
          <w:t>25</w:t>
        </w:r>
        <w:r w:rsidR="007724CA">
          <w:rPr>
            <w:noProof/>
            <w:webHidden/>
          </w:rPr>
          <w:fldChar w:fldCharType="end"/>
        </w:r>
      </w:hyperlink>
    </w:p>
    <w:p w14:paraId="76147FE8" w14:textId="5141C87E" w:rsidR="007724CA" w:rsidRDefault="00A11971">
      <w:pPr>
        <w:pStyle w:val="TableofFigures"/>
        <w:tabs>
          <w:tab w:val="right" w:pos="9628"/>
        </w:tabs>
        <w:rPr>
          <w:rFonts w:eastAsiaTheme="minorEastAsia" w:cstheme="minorBidi"/>
          <w:bCs w:val="0"/>
          <w:noProof/>
          <w:sz w:val="22"/>
          <w:szCs w:val="22"/>
          <w:lang w:eastAsia="en-AU"/>
        </w:rPr>
      </w:pPr>
      <w:hyperlink w:anchor="_Toc120115091" w:history="1">
        <w:r w:rsidR="007724CA" w:rsidRPr="00160CE7">
          <w:rPr>
            <w:rStyle w:val="Hyperlink"/>
            <w:b/>
            <w:noProof/>
          </w:rPr>
          <w:t>Table 6</w:t>
        </w:r>
        <w:r w:rsidR="007724CA" w:rsidRPr="00160CE7">
          <w:rPr>
            <w:rStyle w:val="Hyperlink"/>
            <w:noProof/>
          </w:rPr>
          <w:t xml:space="preserve"> Option 2 costing methodology</w:t>
        </w:r>
        <w:r w:rsidR="007724CA">
          <w:rPr>
            <w:noProof/>
            <w:webHidden/>
          </w:rPr>
          <w:tab/>
        </w:r>
        <w:r w:rsidR="007724CA">
          <w:rPr>
            <w:noProof/>
            <w:webHidden/>
          </w:rPr>
          <w:fldChar w:fldCharType="begin"/>
        </w:r>
        <w:r w:rsidR="007724CA">
          <w:rPr>
            <w:noProof/>
            <w:webHidden/>
          </w:rPr>
          <w:instrText xml:space="preserve"> PAGEREF _Toc120115091 \h </w:instrText>
        </w:r>
        <w:r w:rsidR="007724CA">
          <w:rPr>
            <w:noProof/>
            <w:webHidden/>
          </w:rPr>
        </w:r>
        <w:r w:rsidR="007724CA">
          <w:rPr>
            <w:noProof/>
            <w:webHidden/>
          </w:rPr>
          <w:fldChar w:fldCharType="separate"/>
        </w:r>
        <w:r w:rsidR="009708D4">
          <w:rPr>
            <w:noProof/>
            <w:webHidden/>
          </w:rPr>
          <w:t>38</w:t>
        </w:r>
        <w:r w:rsidR="007724CA">
          <w:rPr>
            <w:noProof/>
            <w:webHidden/>
          </w:rPr>
          <w:fldChar w:fldCharType="end"/>
        </w:r>
      </w:hyperlink>
    </w:p>
    <w:p w14:paraId="0B7BCDB6" w14:textId="40931185" w:rsidR="007724CA" w:rsidRDefault="00A11971">
      <w:pPr>
        <w:pStyle w:val="TableofFigures"/>
        <w:tabs>
          <w:tab w:val="right" w:pos="9628"/>
        </w:tabs>
        <w:rPr>
          <w:rFonts w:eastAsiaTheme="minorEastAsia" w:cstheme="minorBidi"/>
          <w:bCs w:val="0"/>
          <w:noProof/>
          <w:sz w:val="22"/>
          <w:szCs w:val="22"/>
          <w:lang w:eastAsia="en-AU"/>
        </w:rPr>
      </w:pPr>
      <w:hyperlink w:anchor="_Toc120115092" w:history="1">
        <w:r w:rsidR="007724CA" w:rsidRPr="00160CE7">
          <w:rPr>
            <w:rStyle w:val="Hyperlink"/>
            <w:b/>
            <w:noProof/>
          </w:rPr>
          <w:t>Table 7</w:t>
        </w:r>
        <w:r w:rsidR="007724CA" w:rsidRPr="00160CE7">
          <w:rPr>
            <w:rStyle w:val="Hyperlink"/>
            <w:noProof/>
          </w:rPr>
          <w:t xml:space="preserve"> Critical infrastructure assets cost impact submissions, number, and market share</w:t>
        </w:r>
        <w:r w:rsidR="007724CA">
          <w:rPr>
            <w:noProof/>
            <w:webHidden/>
          </w:rPr>
          <w:tab/>
        </w:r>
        <w:r w:rsidR="007724CA">
          <w:rPr>
            <w:noProof/>
            <w:webHidden/>
          </w:rPr>
          <w:fldChar w:fldCharType="begin"/>
        </w:r>
        <w:r w:rsidR="007724CA">
          <w:rPr>
            <w:noProof/>
            <w:webHidden/>
          </w:rPr>
          <w:instrText xml:space="preserve"> PAGEREF _Toc120115092 \h </w:instrText>
        </w:r>
        <w:r w:rsidR="007724CA">
          <w:rPr>
            <w:noProof/>
            <w:webHidden/>
          </w:rPr>
        </w:r>
        <w:r w:rsidR="007724CA">
          <w:rPr>
            <w:noProof/>
            <w:webHidden/>
          </w:rPr>
          <w:fldChar w:fldCharType="separate"/>
        </w:r>
        <w:r w:rsidR="009708D4">
          <w:rPr>
            <w:noProof/>
            <w:webHidden/>
          </w:rPr>
          <w:t>42</w:t>
        </w:r>
        <w:r w:rsidR="007724CA">
          <w:rPr>
            <w:noProof/>
            <w:webHidden/>
          </w:rPr>
          <w:fldChar w:fldCharType="end"/>
        </w:r>
      </w:hyperlink>
    </w:p>
    <w:p w14:paraId="278F7E49" w14:textId="46C572D4" w:rsidR="007724CA" w:rsidRDefault="00A11971">
      <w:pPr>
        <w:pStyle w:val="TableofFigures"/>
        <w:tabs>
          <w:tab w:val="right" w:pos="9628"/>
        </w:tabs>
        <w:rPr>
          <w:rFonts w:eastAsiaTheme="minorEastAsia" w:cstheme="minorBidi"/>
          <w:bCs w:val="0"/>
          <w:noProof/>
          <w:sz w:val="22"/>
          <w:szCs w:val="22"/>
          <w:lang w:eastAsia="en-AU"/>
        </w:rPr>
      </w:pPr>
      <w:hyperlink w:anchor="_Toc120115093" w:history="1">
        <w:r w:rsidR="007724CA" w:rsidRPr="00160CE7">
          <w:rPr>
            <w:rStyle w:val="Hyperlink"/>
            <w:b/>
            <w:noProof/>
          </w:rPr>
          <w:t>Table 8</w:t>
        </w:r>
        <w:r w:rsidR="007724CA" w:rsidRPr="00160CE7">
          <w:rPr>
            <w:rStyle w:val="Hyperlink"/>
            <w:noProof/>
          </w:rPr>
          <w:t xml:space="preserve"> Critical infrastructure assets baseline scenario total cost to the economy</w:t>
        </w:r>
        <w:r w:rsidR="007724CA">
          <w:rPr>
            <w:noProof/>
            <w:webHidden/>
          </w:rPr>
          <w:tab/>
        </w:r>
        <w:r w:rsidR="007724CA">
          <w:rPr>
            <w:noProof/>
            <w:webHidden/>
          </w:rPr>
          <w:fldChar w:fldCharType="begin"/>
        </w:r>
        <w:r w:rsidR="007724CA">
          <w:rPr>
            <w:noProof/>
            <w:webHidden/>
          </w:rPr>
          <w:instrText xml:space="preserve"> PAGEREF _Toc120115093 \h </w:instrText>
        </w:r>
        <w:r w:rsidR="007724CA">
          <w:rPr>
            <w:noProof/>
            <w:webHidden/>
          </w:rPr>
        </w:r>
        <w:r w:rsidR="007724CA">
          <w:rPr>
            <w:noProof/>
            <w:webHidden/>
          </w:rPr>
          <w:fldChar w:fldCharType="separate"/>
        </w:r>
        <w:r w:rsidR="009708D4">
          <w:rPr>
            <w:noProof/>
            <w:webHidden/>
          </w:rPr>
          <w:t>43</w:t>
        </w:r>
        <w:r w:rsidR="007724CA">
          <w:rPr>
            <w:noProof/>
            <w:webHidden/>
          </w:rPr>
          <w:fldChar w:fldCharType="end"/>
        </w:r>
      </w:hyperlink>
    </w:p>
    <w:p w14:paraId="46EC6EB7" w14:textId="7D8ED0A9" w:rsidR="007724CA" w:rsidRDefault="00A11971">
      <w:pPr>
        <w:pStyle w:val="TableofFigures"/>
        <w:tabs>
          <w:tab w:val="right" w:pos="9628"/>
        </w:tabs>
        <w:rPr>
          <w:rFonts w:eastAsiaTheme="minorEastAsia" w:cstheme="minorBidi"/>
          <w:bCs w:val="0"/>
          <w:noProof/>
          <w:sz w:val="22"/>
          <w:szCs w:val="22"/>
          <w:lang w:eastAsia="en-AU"/>
        </w:rPr>
      </w:pPr>
      <w:hyperlink w:anchor="_Toc120115094" w:history="1">
        <w:r w:rsidR="007724CA" w:rsidRPr="00160CE7">
          <w:rPr>
            <w:rStyle w:val="Hyperlink"/>
            <w:b/>
            <w:noProof/>
          </w:rPr>
          <w:t>Table 9</w:t>
        </w:r>
        <w:r w:rsidR="007724CA" w:rsidRPr="00160CE7">
          <w:rPr>
            <w:rStyle w:val="Hyperlink"/>
            <w:noProof/>
          </w:rPr>
          <w:t xml:space="preserve"> Total cost to the economy (direct and indirect costs) of the incident, by critical infrastructure asset</w:t>
        </w:r>
        <w:r w:rsidR="007724CA">
          <w:rPr>
            <w:noProof/>
            <w:webHidden/>
          </w:rPr>
          <w:tab/>
        </w:r>
        <w:r w:rsidR="007724CA">
          <w:rPr>
            <w:noProof/>
            <w:webHidden/>
          </w:rPr>
          <w:fldChar w:fldCharType="begin"/>
        </w:r>
        <w:r w:rsidR="007724CA">
          <w:rPr>
            <w:noProof/>
            <w:webHidden/>
          </w:rPr>
          <w:instrText xml:space="preserve"> PAGEREF _Toc120115094 \h </w:instrText>
        </w:r>
        <w:r w:rsidR="007724CA">
          <w:rPr>
            <w:noProof/>
            <w:webHidden/>
          </w:rPr>
        </w:r>
        <w:r w:rsidR="007724CA">
          <w:rPr>
            <w:noProof/>
            <w:webHidden/>
          </w:rPr>
          <w:fldChar w:fldCharType="separate"/>
        </w:r>
        <w:r w:rsidR="009708D4">
          <w:rPr>
            <w:noProof/>
            <w:webHidden/>
          </w:rPr>
          <w:t>45</w:t>
        </w:r>
        <w:r w:rsidR="007724CA">
          <w:rPr>
            <w:noProof/>
            <w:webHidden/>
          </w:rPr>
          <w:fldChar w:fldCharType="end"/>
        </w:r>
      </w:hyperlink>
    </w:p>
    <w:p w14:paraId="77604528" w14:textId="5A33576F" w:rsidR="007724CA" w:rsidRDefault="00A11971">
      <w:pPr>
        <w:pStyle w:val="TableofFigures"/>
        <w:tabs>
          <w:tab w:val="right" w:pos="9628"/>
        </w:tabs>
        <w:rPr>
          <w:rFonts w:eastAsiaTheme="minorEastAsia" w:cstheme="minorBidi"/>
          <w:bCs w:val="0"/>
          <w:noProof/>
          <w:sz w:val="22"/>
          <w:szCs w:val="22"/>
          <w:lang w:eastAsia="en-AU"/>
        </w:rPr>
      </w:pPr>
      <w:hyperlink w:anchor="_Toc120115095" w:history="1">
        <w:r w:rsidR="007724CA" w:rsidRPr="00160CE7">
          <w:rPr>
            <w:rStyle w:val="Hyperlink"/>
            <w:b/>
            <w:noProof/>
          </w:rPr>
          <w:t>Table 10</w:t>
        </w:r>
        <w:r w:rsidR="007724CA" w:rsidRPr="00160CE7">
          <w:rPr>
            <w:rStyle w:val="Hyperlink"/>
            <w:noProof/>
          </w:rPr>
          <w:t xml:space="preserve"> Regulatory cost estimate</w:t>
        </w:r>
        <w:r w:rsidR="007724CA">
          <w:rPr>
            <w:noProof/>
            <w:webHidden/>
          </w:rPr>
          <w:tab/>
        </w:r>
        <w:r w:rsidR="007724CA">
          <w:rPr>
            <w:noProof/>
            <w:webHidden/>
          </w:rPr>
          <w:fldChar w:fldCharType="begin"/>
        </w:r>
        <w:r w:rsidR="007724CA">
          <w:rPr>
            <w:noProof/>
            <w:webHidden/>
          </w:rPr>
          <w:instrText xml:space="preserve"> PAGEREF _Toc120115095 \h </w:instrText>
        </w:r>
        <w:r w:rsidR="007724CA">
          <w:rPr>
            <w:noProof/>
            <w:webHidden/>
          </w:rPr>
        </w:r>
        <w:r w:rsidR="007724CA">
          <w:rPr>
            <w:noProof/>
            <w:webHidden/>
          </w:rPr>
          <w:fldChar w:fldCharType="separate"/>
        </w:r>
        <w:r w:rsidR="009708D4">
          <w:rPr>
            <w:noProof/>
            <w:webHidden/>
          </w:rPr>
          <w:t>46</w:t>
        </w:r>
        <w:r w:rsidR="007724CA">
          <w:rPr>
            <w:noProof/>
            <w:webHidden/>
          </w:rPr>
          <w:fldChar w:fldCharType="end"/>
        </w:r>
      </w:hyperlink>
    </w:p>
    <w:p w14:paraId="434A1833" w14:textId="7B984B70" w:rsidR="007724CA" w:rsidRDefault="00A11971">
      <w:pPr>
        <w:pStyle w:val="TableofFigures"/>
        <w:tabs>
          <w:tab w:val="right" w:pos="9628"/>
        </w:tabs>
        <w:rPr>
          <w:rFonts w:eastAsiaTheme="minorEastAsia" w:cstheme="minorBidi"/>
          <w:bCs w:val="0"/>
          <w:noProof/>
          <w:sz w:val="22"/>
          <w:szCs w:val="22"/>
          <w:lang w:eastAsia="en-AU"/>
        </w:rPr>
      </w:pPr>
      <w:hyperlink w:anchor="_Toc120115096" w:history="1">
        <w:r w:rsidR="007724CA" w:rsidRPr="00160CE7">
          <w:rPr>
            <w:rStyle w:val="Hyperlink"/>
            <w:b/>
            <w:noProof/>
          </w:rPr>
          <w:t>Table 11</w:t>
        </w:r>
        <w:r w:rsidR="007724CA" w:rsidRPr="00160CE7">
          <w:rPr>
            <w:rStyle w:val="Hyperlink"/>
            <w:rFonts w:ascii="Calibri" w:hAnsi="Calibri" w:cs="Times New Roman"/>
            <w:noProof/>
          </w:rPr>
          <w:t xml:space="preserve"> </w:t>
        </w:r>
        <w:r w:rsidR="007724CA" w:rsidRPr="00160CE7">
          <w:rPr>
            <w:rStyle w:val="Hyperlink"/>
            <w:noProof/>
          </w:rPr>
          <w:t>Average regulatory cost per critical infrastructure asset submission</w:t>
        </w:r>
        <w:r w:rsidR="007724CA">
          <w:rPr>
            <w:noProof/>
            <w:webHidden/>
          </w:rPr>
          <w:tab/>
        </w:r>
        <w:r w:rsidR="007724CA">
          <w:rPr>
            <w:noProof/>
            <w:webHidden/>
          </w:rPr>
          <w:fldChar w:fldCharType="begin"/>
        </w:r>
        <w:r w:rsidR="007724CA">
          <w:rPr>
            <w:noProof/>
            <w:webHidden/>
          </w:rPr>
          <w:instrText xml:space="preserve"> PAGEREF _Toc120115096 \h </w:instrText>
        </w:r>
        <w:r w:rsidR="007724CA">
          <w:rPr>
            <w:noProof/>
            <w:webHidden/>
          </w:rPr>
        </w:r>
        <w:r w:rsidR="007724CA">
          <w:rPr>
            <w:noProof/>
            <w:webHidden/>
          </w:rPr>
          <w:fldChar w:fldCharType="separate"/>
        </w:r>
        <w:r w:rsidR="009708D4">
          <w:rPr>
            <w:noProof/>
            <w:webHidden/>
          </w:rPr>
          <w:t>48</w:t>
        </w:r>
        <w:r w:rsidR="007724CA">
          <w:rPr>
            <w:noProof/>
            <w:webHidden/>
          </w:rPr>
          <w:fldChar w:fldCharType="end"/>
        </w:r>
      </w:hyperlink>
    </w:p>
    <w:p w14:paraId="0C8F425C" w14:textId="4FDC04FD" w:rsidR="007724CA" w:rsidRDefault="00A11971">
      <w:pPr>
        <w:pStyle w:val="TableofFigures"/>
        <w:tabs>
          <w:tab w:val="right" w:pos="9628"/>
        </w:tabs>
        <w:rPr>
          <w:rFonts w:eastAsiaTheme="minorEastAsia" w:cstheme="minorBidi"/>
          <w:bCs w:val="0"/>
          <w:noProof/>
          <w:sz w:val="22"/>
          <w:szCs w:val="22"/>
          <w:lang w:eastAsia="en-AU"/>
        </w:rPr>
      </w:pPr>
      <w:hyperlink w:anchor="_Toc120115097" w:history="1">
        <w:r w:rsidR="007724CA" w:rsidRPr="00160CE7">
          <w:rPr>
            <w:rStyle w:val="Hyperlink"/>
            <w:b/>
            <w:noProof/>
          </w:rPr>
          <w:t>Table 12</w:t>
        </w:r>
        <w:r w:rsidR="007724CA" w:rsidRPr="00160CE7">
          <w:rPr>
            <w:rStyle w:val="Hyperlink"/>
            <w:rFonts w:ascii="Calibri" w:hAnsi="Calibri" w:cs="Times New Roman"/>
            <w:noProof/>
          </w:rPr>
          <w:t xml:space="preserve"> </w:t>
        </w:r>
        <w:r w:rsidR="007724CA" w:rsidRPr="00160CE7">
          <w:rPr>
            <w:rStyle w:val="Hyperlink"/>
            <w:noProof/>
          </w:rPr>
          <w:t>Regulatory cost estimate per critical infrastructure asset</w:t>
        </w:r>
        <w:r w:rsidR="007724CA">
          <w:rPr>
            <w:noProof/>
            <w:webHidden/>
          </w:rPr>
          <w:tab/>
        </w:r>
        <w:r w:rsidR="007724CA">
          <w:rPr>
            <w:noProof/>
            <w:webHidden/>
          </w:rPr>
          <w:fldChar w:fldCharType="begin"/>
        </w:r>
        <w:r w:rsidR="007724CA">
          <w:rPr>
            <w:noProof/>
            <w:webHidden/>
          </w:rPr>
          <w:instrText xml:space="preserve"> PAGEREF _Toc120115097 \h </w:instrText>
        </w:r>
        <w:r w:rsidR="007724CA">
          <w:rPr>
            <w:noProof/>
            <w:webHidden/>
          </w:rPr>
        </w:r>
        <w:r w:rsidR="007724CA">
          <w:rPr>
            <w:noProof/>
            <w:webHidden/>
          </w:rPr>
          <w:fldChar w:fldCharType="separate"/>
        </w:r>
        <w:r w:rsidR="009708D4">
          <w:rPr>
            <w:noProof/>
            <w:webHidden/>
          </w:rPr>
          <w:t>49</w:t>
        </w:r>
        <w:r w:rsidR="007724CA">
          <w:rPr>
            <w:noProof/>
            <w:webHidden/>
          </w:rPr>
          <w:fldChar w:fldCharType="end"/>
        </w:r>
      </w:hyperlink>
    </w:p>
    <w:p w14:paraId="6EF17120" w14:textId="245F3100" w:rsidR="007724CA" w:rsidRDefault="00A11971">
      <w:pPr>
        <w:pStyle w:val="TableofFigures"/>
        <w:tabs>
          <w:tab w:val="right" w:pos="9628"/>
        </w:tabs>
        <w:rPr>
          <w:rFonts w:eastAsiaTheme="minorEastAsia" w:cstheme="minorBidi"/>
          <w:bCs w:val="0"/>
          <w:noProof/>
          <w:sz w:val="22"/>
          <w:szCs w:val="22"/>
          <w:lang w:eastAsia="en-AU"/>
        </w:rPr>
      </w:pPr>
      <w:hyperlink w:anchor="_Toc120115098" w:history="1">
        <w:r w:rsidR="007724CA" w:rsidRPr="00160CE7">
          <w:rPr>
            <w:rStyle w:val="Hyperlink"/>
            <w:b/>
            <w:noProof/>
          </w:rPr>
          <w:t>Table 13</w:t>
        </w:r>
        <w:r w:rsidR="007724CA" w:rsidRPr="00160CE7">
          <w:rPr>
            <w:rStyle w:val="Hyperlink"/>
            <w:noProof/>
          </w:rPr>
          <w:t xml:space="preserve"> Baseline scenario case study summary</w:t>
        </w:r>
        <w:r w:rsidR="007724CA">
          <w:rPr>
            <w:noProof/>
            <w:webHidden/>
          </w:rPr>
          <w:tab/>
        </w:r>
        <w:r w:rsidR="007724CA">
          <w:rPr>
            <w:noProof/>
            <w:webHidden/>
          </w:rPr>
          <w:fldChar w:fldCharType="begin"/>
        </w:r>
        <w:r w:rsidR="007724CA">
          <w:rPr>
            <w:noProof/>
            <w:webHidden/>
          </w:rPr>
          <w:instrText xml:space="preserve"> PAGEREF _Toc120115098 \h </w:instrText>
        </w:r>
        <w:r w:rsidR="007724CA">
          <w:rPr>
            <w:noProof/>
            <w:webHidden/>
          </w:rPr>
        </w:r>
        <w:r w:rsidR="007724CA">
          <w:rPr>
            <w:noProof/>
            <w:webHidden/>
          </w:rPr>
          <w:fldChar w:fldCharType="separate"/>
        </w:r>
        <w:r w:rsidR="009708D4">
          <w:rPr>
            <w:noProof/>
            <w:webHidden/>
          </w:rPr>
          <w:t>51</w:t>
        </w:r>
        <w:r w:rsidR="007724CA">
          <w:rPr>
            <w:noProof/>
            <w:webHidden/>
          </w:rPr>
          <w:fldChar w:fldCharType="end"/>
        </w:r>
      </w:hyperlink>
    </w:p>
    <w:p w14:paraId="3F8DD12F" w14:textId="3ADBC495" w:rsidR="007724CA" w:rsidRDefault="00A11971">
      <w:pPr>
        <w:pStyle w:val="TableofFigures"/>
        <w:tabs>
          <w:tab w:val="right" w:pos="9628"/>
        </w:tabs>
        <w:rPr>
          <w:rFonts w:eastAsiaTheme="minorEastAsia" w:cstheme="minorBidi"/>
          <w:bCs w:val="0"/>
          <w:noProof/>
          <w:sz w:val="22"/>
          <w:szCs w:val="22"/>
          <w:lang w:eastAsia="en-AU"/>
        </w:rPr>
      </w:pPr>
      <w:hyperlink w:anchor="_Toc120115099" w:history="1">
        <w:r w:rsidR="007724CA" w:rsidRPr="00160CE7">
          <w:rPr>
            <w:rStyle w:val="Hyperlink"/>
            <w:b/>
            <w:noProof/>
          </w:rPr>
          <w:t>Table 14</w:t>
        </w:r>
        <w:r w:rsidR="007724CA" w:rsidRPr="00160CE7">
          <w:rPr>
            <w:rStyle w:val="Hyperlink"/>
            <w:noProof/>
          </w:rPr>
          <w:t xml:space="preserve"> Example framework for scenario development and sensitivity analysis</w:t>
        </w:r>
        <w:r w:rsidR="007724CA">
          <w:rPr>
            <w:noProof/>
            <w:webHidden/>
          </w:rPr>
          <w:tab/>
        </w:r>
        <w:r w:rsidR="007724CA">
          <w:rPr>
            <w:noProof/>
            <w:webHidden/>
          </w:rPr>
          <w:fldChar w:fldCharType="begin"/>
        </w:r>
        <w:r w:rsidR="007724CA">
          <w:rPr>
            <w:noProof/>
            <w:webHidden/>
          </w:rPr>
          <w:instrText xml:space="preserve"> PAGEREF _Toc120115099 \h </w:instrText>
        </w:r>
        <w:r w:rsidR="007724CA">
          <w:rPr>
            <w:noProof/>
            <w:webHidden/>
          </w:rPr>
        </w:r>
        <w:r w:rsidR="007724CA">
          <w:rPr>
            <w:noProof/>
            <w:webHidden/>
          </w:rPr>
          <w:fldChar w:fldCharType="separate"/>
        </w:r>
        <w:r w:rsidR="009708D4">
          <w:rPr>
            <w:noProof/>
            <w:webHidden/>
          </w:rPr>
          <w:t>52</w:t>
        </w:r>
        <w:r w:rsidR="007724CA">
          <w:rPr>
            <w:noProof/>
            <w:webHidden/>
          </w:rPr>
          <w:fldChar w:fldCharType="end"/>
        </w:r>
      </w:hyperlink>
    </w:p>
    <w:p w14:paraId="3E9EDBF4" w14:textId="5FC05198" w:rsidR="007724CA" w:rsidRDefault="00A11971">
      <w:pPr>
        <w:pStyle w:val="TableofFigures"/>
        <w:tabs>
          <w:tab w:val="right" w:pos="9628"/>
        </w:tabs>
        <w:rPr>
          <w:rFonts w:eastAsiaTheme="minorEastAsia" w:cstheme="minorBidi"/>
          <w:bCs w:val="0"/>
          <w:noProof/>
          <w:sz w:val="22"/>
          <w:szCs w:val="22"/>
          <w:lang w:eastAsia="en-AU"/>
        </w:rPr>
      </w:pPr>
      <w:hyperlink w:anchor="_Toc120115100" w:history="1">
        <w:r w:rsidR="007724CA" w:rsidRPr="00160CE7">
          <w:rPr>
            <w:rStyle w:val="Hyperlink"/>
            <w:b/>
            <w:noProof/>
          </w:rPr>
          <w:t>Table 15</w:t>
        </w:r>
        <w:r w:rsidR="007724CA" w:rsidRPr="00160CE7">
          <w:rPr>
            <w:rStyle w:val="Hyperlink"/>
            <w:noProof/>
          </w:rPr>
          <w:t xml:space="preserve"> Summary of benefits scenarios</w:t>
        </w:r>
        <w:r w:rsidR="007724CA">
          <w:rPr>
            <w:noProof/>
            <w:webHidden/>
          </w:rPr>
          <w:tab/>
        </w:r>
        <w:r w:rsidR="007724CA">
          <w:rPr>
            <w:noProof/>
            <w:webHidden/>
          </w:rPr>
          <w:fldChar w:fldCharType="begin"/>
        </w:r>
        <w:r w:rsidR="007724CA">
          <w:rPr>
            <w:noProof/>
            <w:webHidden/>
          </w:rPr>
          <w:instrText xml:space="preserve"> PAGEREF _Toc120115100 \h </w:instrText>
        </w:r>
        <w:r w:rsidR="007724CA">
          <w:rPr>
            <w:noProof/>
            <w:webHidden/>
          </w:rPr>
        </w:r>
        <w:r w:rsidR="007724CA">
          <w:rPr>
            <w:noProof/>
            <w:webHidden/>
          </w:rPr>
          <w:fldChar w:fldCharType="separate"/>
        </w:r>
        <w:r w:rsidR="009708D4">
          <w:rPr>
            <w:noProof/>
            <w:webHidden/>
          </w:rPr>
          <w:t>52</w:t>
        </w:r>
        <w:r w:rsidR="007724CA">
          <w:rPr>
            <w:noProof/>
            <w:webHidden/>
          </w:rPr>
          <w:fldChar w:fldCharType="end"/>
        </w:r>
      </w:hyperlink>
    </w:p>
    <w:p w14:paraId="6F68FE59" w14:textId="5D39BE83" w:rsidR="007724CA" w:rsidRDefault="00A11971">
      <w:pPr>
        <w:pStyle w:val="TableofFigures"/>
        <w:tabs>
          <w:tab w:val="right" w:pos="9628"/>
        </w:tabs>
        <w:rPr>
          <w:rFonts w:eastAsiaTheme="minorEastAsia" w:cstheme="minorBidi"/>
          <w:bCs w:val="0"/>
          <w:noProof/>
          <w:sz w:val="22"/>
          <w:szCs w:val="22"/>
          <w:lang w:eastAsia="en-AU"/>
        </w:rPr>
      </w:pPr>
      <w:hyperlink w:anchor="_Toc120115101" w:history="1">
        <w:r w:rsidR="007724CA" w:rsidRPr="00160CE7">
          <w:rPr>
            <w:rStyle w:val="Hyperlink"/>
            <w:b/>
            <w:noProof/>
          </w:rPr>
          <w:t>Table 16</w:t>
        </w:r>
        <w:r w:rsidR="007724CA" w:rsidRPr="00160CE7">
          <w:rPr>
            <w:rStyle w:val="Hyperlink"/>
            <w:noProof/>
          </w:rPr>
          <w:t xml:space="preserve"> Total potential cost to the economy (direct and indirect costs) of the incidents, by critical infrastructure asset</w:t>
        </w:r>
        <w:r w:rsidR="007724CA">
          <w:rPr>
            <w:noProof/>
            <w:webHidden/>
          </w:rPr>
          <w:tab/>
        </w:r>
        <w:r w:rsidR="007724CA">
          <w:rPr>
            <w:noProof/>
            <w:webHidden/>
          </w:rPr>
          <w:fldChar w:fldCharType="begin"/>
        </w:r>
        <w:r w:rsidR="007724CA">
          <w:rPr>
            <w:noProof/>
            <w:webHidden/>
          </w:rPr>
          <w:instrText xml:space="preserve"> PAGEREF _Toc120115101 \h </w:instrText>
        </w:r>
        <w:r w:rsidR="007724CA">
          <w:rPr>
            <w:noProof/>
            <w:webHidden/>
          </w:rPr>
        </w:r>
        <w:r w:rsidR="007724CA">
          <w:rPr>
            <w:noProof/>
            <w:webHidden/>
          </w:rPr>
          <w:fldChar w:fldCharType="separate"/>
        </w:r>
        <w:r w:rsidR="009708D4">
          <w:rPr>
            <w:noProof/>
            <w:webHidden/>
          </w:rPr>
          <w:t>55</w:t>
        </w:r>
        <w:r w:rsidR="007724CA">
          <w:rPr>
            <w:noProof/>
            <w:webHidden/>
          </w:rPr>
          <w:fldChar w:fldCharType="end"/>
        </w:r>
      </w:hyperlink>
    </w:p>
    <w:p w14:paraId="29F28CF3" w14:textId="5F43998F" w:rsidR="007724CA" w:rsidRDefault="00A11971">
      <w:pPr>
        <w:pStyle w:val="TableofFigures"/>
        <w:tabs>
          <w:tab w:val="right" w:pos="9628"/>
        </w:tabs>
        <w:rPr>
          <w:rFonts w:eastAsiaTheme="minorEastAsia" w:cstheme="minorBidi"/>
          <w:bCs w:val="0"/>
          <w:noProof/>
          <w:sz w:val="22"/>
          <w:szCs w:val="22"/>
          <w:lang w:eastAsia="en-AU"/>
        </w:rPr>
      </w:pPr>
      <w:hyperlink w:anchor="_Toc120115102" w:history="1">
        <w:r w:rsidR="007724CA" w:rsidRPr="00160CE7">
          <w:rPr>
            <w:rStyle w:val="Hyperlink"/>
            <w:b/>
            <w:noProof/>
          </w:rPr>
          <w:t xml:space="preserve">Table 17 </w:t>
        </w:r>
        <w:r w:rsidR="007724CA" w:rsidRPr="00160CE7">
          <w:rPr>
            <w:rStyle w:val="Hyperlink"/>
            <w:noProof/>
          </w:rPr>
          <w:t>Overview of responsible entities consulted</w:t>
        </w:r>
        <w:r w:rsidR="007724CA">
          <w:rPr>
            <w:noProof/>
            <w:webHidden/>
          </w:rPr>
          <w:tab/>
        </w:r>
        <w:r w:rsidR="007724CA">
          <w:rPr>
            <w:noProof/>
            <w:webHidden/>
          </w:rPr>
          <w:fldChar w:fldCharType="begin"/>
        </w:r>
        <w:r w:rsidR="007724CA">
          <w:rPr>
            <w:noProof/>
            <w:webHidden/>
          </w:rPr>
          <w:instrText xml:space="preserve"> PAGEREF _Toc120115102 \h </w:instrText>
        </w:r>
        <w:r w:rsidR="007724CA">
          <w:rPr>
            <w:noProof/>
            <w:webHidden/>
          </w:rPr>
        </w:r>
        <w:r w:rsidR="007724CA">
          <w:rPr>
            <w:noProof/>
            <w:webHidden/>
          </w:rPr>
          <w:fldChar w:fldCharType="separate"/>
        </w:r>
        <w:r w:rsidR="009708D4">
          <w:rPr>
            <w:noProof/>
            <w:webHidden/>
          </w:rPr>
          <w:t>60</w:t>
        </w:r>
        <w:r w:rsidR="007724CA">
          <w:rPr>
            <w:noProof/>
            <w:webHidden/>
          </w:rPr>
          <w:fldChar w:fldCharType="end"/>
        </w:r>
      </w:hyperlink>
    </w:p>
    <w:p w14:paraId="5916206A" w14:textId="6CD70D83" w:rsidR="007724CA" w:rsidRDefault="00A11971">
      <w:pPr>
        <w:pStyle w:val="TableofFigures"/>
        <w:tabs>
          <w:tab w:val="right" w:pos="9628"/>
        </w:tabs>
        <w:rPr>
          <w:rFonts w:eastAsiaTheme="minorEastAsia" w:cstheme="minorBidi"/>
          <w:bCs w:val="0"/>
          <w:noProof/>
          <w:sz w:val="22"/>
          <w:szCs w:val="22"/>
          <w:lang w:eastAsia="en-AU"/>
        </w:rPr>
      </w:pPr>
      <w:hyperlink w:anchor="_Toc120115103" w:history="1">
        <w:r w:rsidR="007724CA" w:rsidRPr="00160CE7">
          <w:rPr>
            <w:rStyle w:val="Hyperlink"/>
            <w:b/>
            <w:noProof/>
          </w:rPr>
          <w:t>Table 18</w:t>
        </w:r>
        <w:r w:rsidR="007724CA" w:rsidRPr="00160CE7">
          <w:rPr>
            <w:rStyle w:val="Hyperlink"/>
            <w:noProof/>
          </w:rPr>
          <w:t xml:space="preserve"> Concerns and responses to consultation paper ‘Protecting Critical Infrastructure and Systems of National Significance’</w:t>
        </w:r>
        <w:r w:rsidR="007724CA">
          <w:rPr>
            <w:noProof/>
            <w:webHidden/>
          </w:rPr>
          <w:tab/>
        </w:r>
        <w:r w:rsidR="007724CA">
          <w:rPr>
            <w:noProof/>
            <w:webHidden/>
          </w:rPr>
          <w:fldChar w:fldCharType="begin"/>
        </w:r>
        <w:r w:rsidR="007724CA">
          <w:rPr>
            <w:noProof/>
            <w:webHidden/>
          </w:rPr>
          <w:instrText xml:space="preserve"> PAGEREF _Toc120115103 \h </w:instrText>
        </w:r>
        <w:r w:rsidR="007724CA">
          <w:rPr>
            <w:noProof/>
            <w:webHidden/>
          </w:rPr>
        </w:r>
        <w:r w:rsidR="007724CA">
          <w:rPr>
            <w:noProof/>
            <w:webHidden/>
          </w:rPr>
          <w:fldChar w:fldCharType="separate"/>
        </w:r>
        <w:r w:rsidR="009708D4">
          <w:rPr>
            <w:noProof/>
            <w:webHidden/>
          </w:rPr>
          <w:t>62</w:t>
        </w:r>
        <w:r w:rsidR="007724CA">
          <w:rPr>
            <w:noProof/>
            <w:webHidden/>
          </w:rPr>
          <w:fldChar w:fldCharType="end"/>
        </w:r>
      </w:hyperlink>
    </w:p>
    <w:p w14:paraId="40E6700E" w14:textId="37950F91" w:rsidR="007724CA" w:rsidRDefault="00A11971">
      <w:pPr>
        <w:pStyle w:val="TableofFigures"/>
        <w:tabs>
          <w:tab w:val="right" w:pos="9628"/>
        </w:tabs>
        <w:rPr>
          <w:rFonts w:eastAsiaTheme="minorEastAsia" w:cstheme="minorBidi"/>
          <w:bCs w:val="0"/>
          <w:noProof/>
          <w:sz w:val="22"/>
          <w:szCs w:val="22"/>
          <w:lang w:eastAsia="en-AU"/>
        </w:rPr>
      </w:pPr>
      <w:hyperlink w:anchor="_Toc120115104" w:history="1">
        <w:r w:rsidR="007724CA" w:rsidRPr="00160CE7">
          <w:rPr>
            <w:rStyle w:val="Hyperlink"/>
            <w:b/>
            <w:noProof/>
          </w:rPr>
          <w:t>Table 19</w:t>
        </w:r>
        <w:r w:rsidR="007724CA" w:rsidRPr="00160CE7">
          <w:rPr>
            <w:rStyle w:val="Hyperlink"/>
            <w:noProof/>
          </w:rPr>
          <w:t xml:space="preserve"> Concerns and responses – exposure draft of the SLACI Bill</w:t>
        </w:r>
        <w:r w:rsidR="007724CA">
          <w:rPr>
            <w:noProof/>
            <w:webHidden/>
          </w:rPr>
          <w:tab/>
        </w:r>
        <w:r w:rsidR="007724CA">
          <w:rPr>
            <w:noProof/>
            <w:webHidden/>
          </w:rPr>
          <w:fldChar w:fldCharType="begin"/>
        </w:r>
        <w:r w:rsidR="007724CA">
          <w:rPr>
            <w:noProof/>
            <w:webHidden/>
          </w:rPr>
          <w:instrText xml:space="preserve"> PAGEREF _Toc120115104 \h </w:instrText>
        </w:r>
        <w:r w:rsidR="007724CA">
          <w:rPr>
            <w:noProof/>
            <w:webHidden/>
          </w:rPr>
        </w:r>
        <w:r w:rsidR="007724CA">
          <w:rPr>
            <w:noProof/>
            <w:webHidden/>
          </w:rPr>
          <w:fldChar w:fldCharType="separate"/>
        </w:r>
        <w:r w:rsidR="009708D4">
          <w:rPr>
            <w:noProof/>
            <w:webHidden/>
          </w:rPr>
          <w:t>63</w:t>
        </w:r>
        <w:r w:rsidR="007724CA">
          <w:rPr>
            <w:noProof/>
            <w:webHidden/>
          </w:rPr>
          <w:fldChar w:fldCharType="end"/>
        </w:r>
      </w:hyperlink>
    </w:p>
    <w:p w14:paraId="636591FD" w14:textId="78AD512B" w:rsidR="007724CA" w:rsidRDefault="00A11971">
      <w:pPr>
        <w:pStyle w:val="TableofFigures"/>
        <w:tabs>
          <w:tab w:val="right" w:pos="9628"/>
        </w:tabs>
        <w:rPr>
          <w:rFonts w:eastAsiaTheme="minorEastAsia" w:cstheme="minorBidi"/>
          <w:bCs w:val="0"/>
          <w:noProof/>
          <w:sz w:val="22"/>
          <w:szCs w:val="22"/>
          <w:lang w:eastAsia="en-AU"/>
        </w:rPr>
      </w:pPr>
      <w:hyperlink w:anchor="_Toc120115105" w:history="1">
        <w:r w:rsidR="007724CA" w:rsidRPr="00160CE7">
          <w:rPr>
            <w:rStyle w:val="Hyperlink"/>
            <w:b/>
            <w:noProof/>
          </w:rPr>
          <w:t xml:space="preserve">Table 20 </w:t>
        </w:r>
        <w:r w:rsidR="007724CA" w:rsidRPr="00160CE7">
          <w:rPr>
            <w:rStyle w:val="Hyperlink"/>
            <w:noProof/>
          </w:rPr>
          <w:t>Key themes from general rule consultation</w:t>
        </w:r>
        <w:r w:rsidR="007724CA">
          <w:rPr>
            <w:noProof/>
            <w:webHidden/>
          </w:rPr>
          <w:tab/>
        </w:r>
        <w:r w:rsidR="007724CA">
          <w:rPr>
            <w:noProof/>
            <w:webHidden/>
          </w:rPr>
          <w:fldChar w:fldCharType="begin"/>
        </w:r>
        <w:r w:rsidR="007724CA">
          <w:rPr>
            <w:noProof/>
            <w:webHidden/>
          </w:rPr>
          <w:instrText xml:space="preserve"> PAGEREF _Toc120115105 \h </w:instrText>
        </w:r>
        <w:r w:rsidR="007724CA">
          <w:rPr>
            <w:noProof/>
            <w:webHidden/>
          </w:rPr>
        </w:r>
        <w:r w:rsidR="007724CA">
          <w:rPr>
            <w:noProof/>
            <w:webHidden/>
          </w:rPr>
          <w:fldChar w:fldCharType="separate"/>
        </w:r>
        <w:r w:rsidR="009708D4">
          <w:rPr>
            <w:noProof/>
            <w:webHidden/>
          </w:rPr>
          <w:t>64</w:t>
        </w:r>
        <w:r w:rsidR="007724CA">
          <w:rPr>
            <w:noProof/>
            <w:webHidden/>
          </w:rPr>
          <w:fldChar w:fldCharType="end"/>
        </w:r>
      </w:hyperlink>
    </w:p>
    <w:p w14:paraId="4A9E8CFF" w14:textId="747FFD74" w:rsidR="007724CA" w:rsidRDefault="00A11971">
      <w:pPr>
        <w:pStyle w:val="TableofFigures"/>
        <w:tabs>
          <w:tab w:val="right" w:pos="9628"/>
        </w:tabs>
        <w:rPr>
          <w:rFonts w:eastAsiaTheme="minorEastAsia" w:cstheme="minorBidi"/>
          <w:bCs w:val="0"/>
          <w:noProof/>
          <w:sz w:val="22"/>
          <w:szCs w:val="22"/>
          <w:lang w:eastAsia="en-AU"/>
        </w:rPr>
      </w:pPr>
      <w:hyperlink w:anchor="_Toc120115106" w:history="1">
        <w:r w:rsidR="007724CA" w:rsidRPr="00160CE7">
          <w:rPr>
            <w:rStyle w:val="Hyperlink"/>
            <w:b/>
            <w:noProof/>
          </w:rPr>
          <w:t xml:space="preserve">Table 21 </w:t>
        </w:r>
        <w:r w:rsidR="007724CA" w:rsidRPr="00160CE7">
          <w:rPr>
            <w:rStyle w:val="Hyperlink"/>
            <w:noProof/>
          </w:rPr>
          <w:t>Key themes from consultation</w:t>
        </w:r>
        <w:r w:rsidR="007724CA">
          <w:rPr>
            <w:noProof/>
            <w:webHidden/>
          </w:rPr>
          <w:tab/>
        </w:r>
        <w:r w:rsidR="007724CA">
          <w:rPr>
            <w:noProof/>
            <w:webHidden/>
          </w:rPr>
          <w:fldChar w:fldCharType="begin"/>
        </w:r>
        <w:r w:rsidR="007724CA">
          <w:rPr>
            <w:noProof/>
            <w:webHidden/>
          </w:rPr>
          <w:instrText xml:space="preserve"> PAGEREF _Toc120115106 \h </w:instrText>
        </w:r>
        <w:r w:rsidR="007724CA">
          <w:rPr>
            <w:noProof/>
            <w:webHidden/>
          </w:rPr>
        </w:r>
        <w:r w:rsidR="007724CA">
          <w:rPr>
            <w:noProof/>
            <w:webHidden/>
          </w:rPr>
          <w:fldChar w:fldCharType="separate"/>
        </w:r>
        <w:r w:rsidR="009708D4">
          <w:rPr>
            <w:noProof/>
            <w:webHidden/>
          </w:rPr>
          <w:t>67</w:t>
        </w:r>
        <w:r w:rsidR="007724CA">
          <w:rPr>
            <w:noProof/>
            <w:webHidden/>
          </w:rPr>
          <w:fldChar w:fldCharType="end"/>
        </w:r>
      </w:hyperlink>
    </w:p>
    <w:p w14:paraId="3F93F6AB" w14:textId="2EBA3A61" w:rsidR="007724CA" w:rsidRDefault="00A11971">
      <w:pPr>
        <w:pStyle w:val="TableofFigures"/>
        <w:tabs>
          <w:tab w:val="right" w:pos="9628"/>
        </w:tabs>
        <w:rPr>
          <w:rFonts w:eastAsiaTheme="minorEastAsia" w:cstheme="minorBidi"/>
          <w:bCs w:val="0"/>
          <w:noProof/>
          <w:sz w:val="22"/>
          <w:szCs w:val="22"/>
          <w:lang w:eastAsia="en-AU"/>
        </w:rPr>
      </w:pPr>
      <w:hyperlink w:anchor="_Toc120115107" w:history="1">
        <w:r w:rsidR="007724CA" w:rsidRPr="00160CE7">
          <w:rPr>
            <w:rStyle w:val="Hyperlink"/>
            <w:b/>
            <w:noProof/>
          </w:rPr>
          <w:t>Table 22</w:t>
        </w:r>
        <w:r w:rsidR="007724CA" w:rsidRPr="00160CE7">
          <w:rPr>
            <w:rStyle w:val="Hyperlink"/>
            <w:noProof/>
          </w:rPr>
          <w:t xml:space="preserve"> Chosen option’s alignment with problem and objectives</w:t>
        </w:r>
        <w:r w:rsidR="007724CA">
          <w:rPr>
            <w:noProof/>
            <w:webHidden/>
          </w:rPr>
          <w:tab/>
        </w:r>
        <w:r w:rsidR="007724CA">
          <w:rPr>
            <w:noProof/>
            <w:webHidden/>
          </w:rPr>
          <w:fldChar w:fldCharType="begin"/>
        </w:r>
        <w:r w:rsidR="007724CA">
          <w:rPr>
            <w:noProof/>
            <w:webHidden/>
          </w:rPr>
          <w:instrText xml:space="preserve"> PAGEREF _Toc120115107 \h </w:instrText>
        </w:r>
        <w:r w:rsidR="007724CA">
          <w:rPr>
            <w:noProof/>
            <w:webHidden/>
          </w:rPr>
        </w:r>
        <w:r w:rsidR="007724CA">
          <w:rPr>
            <w:noProof/>
            <w:webHidden/>
          </w:rPr>
          <w:fldChar w:fldCharType="separate"/>
        </w:r>
        <w:r w:rsidR="009708D4">
          <w:rPr>
            <w:noProof/>
            <w:webHidden/>
          </w:rPr>
          <w:t>71</w:t>
        </w:r>
        <w:r w:rsidR="007724CA">
          <w:rPr>
            <w:noProof/>
            <w:webHidden/>
          </w:rPr>
          <w:fldChar w:fldCharType="end"/>
        </w:r>
      </w:hyperlink>
    </w:p>
    <w:p w14:paraId="2A6AC468" w14:textId="741AFBD6" w:rsidR="007724CA" w:rsidRDefault="00A11971">
      <w:pPr>
        <w:pStyle w:val="TableofFigures"/>
        <w:tabs>
          <w:tab w:val="right" w:pos="9628"/>
        </w:tabs>
        <w:rPr>
          <w:rFonts w:eastAsiaTheme="minorEastAsia" w:cstheme="minorBidi"/>
          <w:bCs w:val="0"/>
          <w:noProof/>
          <w:sz w:val="22"/>
          <w:szCs w:val="22"/>
          <w:lang w:eastAsia="en-AU"/>
        </w:rPr>
      </w:pPr>
      <w:hyperlink w:anchor="_Toc120115108" w:history="1">
        <w:r w:rsidR="007724CA" w:rsidRPr="00160CE7">
          <w:rPr>
            <w:rStyle w:val="Hyperlink"/>
            <w:b/>
            <w:noProof/>
          </w:rPr>
          <w:t>Table 23</w:t>
        </w:r>
        <w:r w:rsidR="007724CA" w:rsidRPr="00160CE7">
          <w:rPr>
            <w:rStyle w:val="Hyperlink"/>
            <w:noProof/>
          </w:rPr>
          <w:t xml:space="preserve"> Option 1 and 3 lack of alignment with problem areas and Government objectives</w:t>
        </w:r>
        <w:r w:rsidR="007724CA">
          <w:rPr>
            <w:noProof/>
            <w:webHidden/>
          </w:rPr>
          <w:tab/>
        </w:r>
        <w:r w:rsidR="007724CA">
          <w:rPr>
            <w:noProof/>
            <w:webHidden/>
          </w:rPr>
          <w:fldChar w:fldCharType="begin"/>
        </w:r>
        <w:r w:rsidR="007724CA">
          <w:rPr>
            <w:noProof/>
            <w:webHidden/>
          </w:rPr>
          <w:instrText xml:space="preserve"> PAGEREF _Toc120115108 \h </w:instrText>
        </w:r>
        <w:r w:rsidR="007724CA">
          <w:rPr>
            <w:noProof/>
            <w:webHidden/>
          </w:rPr>
        </w:r>
        <w:r w:rsidR="007724CA">
          <w:rPr>
            <w:noProof/>
            <w:webHidden/>
          </w:rPr>
          <w:fldChar w:fldCharType="separate"/>
        </w:r>
        <w:r w:rsidR="009708D4">
          <w:rPr>
            <w:noProof/>
            <w:webHidden/>
          </w:rPr>
          <w:t>73</w:t>
        </w:r>
        <w:r w:rsidR="007724CA">
          <w:rPr>
            <w:noProof/>
            <w:webHidden/>
          </w:rPr>
          <w:fldChar w:fldCharType="end"/>
        </w:r>
      </w:hyperlink>
    </w:p>
    <w:p w14:paraId="5CFD8BCB" w14:textId="0363A360" w:rsidR="007724CA" w:rsidRDefault="00A11971">
      <w:pPr>
        <w:pStyle w:val="TableofFigures"/>
        <w:tabs>
          <w:tab w:val="right" w:pos="9628"/>
        </w:tabs>
        <w:rPr>
          <w:rFonts w:eastAsiaTheme="minorEastAsia" w:cstheme="minorBidi"/>
          <w:bCs w:val="0"/>
          <w:noProof/>
          <w:sz w:val="22"/>
          <w:szCs w:val="22"/>
          <w:lang w:eastAsia="en-AU"/>
        </w:rPr>
      </w:pPr>
      <w:hyperlink w:anchor="_Toc120115109" w:history="1">
        <w:r w:rsidR="007724CA" w:rsidRPr="00160CE7">
          <w:rPr>
            <w:rStyle w:val="Hyperlink"/>
            <w:b/>
            <w:noProof/>
          </w:rPr>
          <w:t>Table 24</w:t>
        </w:r>
        <w:r w:rsidR="007724CA" w:rsidRPr="00160CE7">
          <w:rPr>
            <w:rStyle w:val="Hyperlink"/>
            <w:noProof/>
          </w:rPr>
          <w:t xml:space="preserve"> Key implementation activities</w:t>
        </w:r>
        <w:r w:rsidR="007724CA">
          <w:rPr>
            <w:noProof/>
            <w:webHidden/>
          </w:rPr>
          <w:tab/>
        </w:r>
        <w:r w:rsidR="007724CA">
          <w:rPr>
            <w:noProof/>
            <w:webHidden/>
          </w:rPr>
          <w:fldChar w:fldCharType="begin"/>
        </w:r>
        <w:r w:rsidR="007724CA">
          <w:rPr>
            <w:noProof/>
            <w:webHidden/>
          </w:rPr>
          <w:instrText xml:space="preserve"> PAGEREF _Toc120115109 \h </w:instrText>
        </w:r>
        <w:r w:rsidR="007724CA">
          <w:rPr>
            <w:noProof/>
            <w:webHidden/>
          </w:rPr>
        </w:r>
        <w:r w:rsidR="007724CA">
          <w:rPr>
            <w:noProof/>
            <w:webHidden/>
          </w:rPr>
          <w:fldChar w:fldCharType="separate"/>
        </w:r>
        <w:r w:rsidR="009708D4">
          <w:rPr>
            <w:noProof/>
            <w:webHidden/>
          </w:rPr>
          <w:t>80</w:t>
        </w:r>
        <w:r w:rsidR="007724CA">
          <w:rPr>
            <w:noProof/>
            <w:webHidden/>
          </w:rPr>
          <w:fldChar w:fldCharType="end"/>
        </w:r>
      </w:hyperlink>
    </w:p>
    <w:p w14:paraId="05E8C590" w14:textId="4C3AC4B9" w:rsidR="007724CA" w:rsidRDefault="00A11971">
      <w:pPr>
        <w:pStyle w:val="TableofFigures"/>
        <w:tabs>
          <w:tab w:val="right" w:pos="9628"/>
        </w:tabs>
        <w:rPr>
          <w:rFonts w:eastAsiaTheme="minorEastAsia" w:cstheme="minorBidi"/>
          <w:bCs w:val="0"/>
          <w:noProof/>
          <w:sz w:val="22"/>
          <w:szCs w:val="22"/>
          <w:lang w:eastAsia="en-AU"/>
        </w:rPr>
      </w:pPr>
      <w:hyperlink w:anchor="_Toc120115110" w:history="1">
        <w:r w:rsidR="007724CA" w:rsidRPr="00160CE7">
          <w:rPr>
            <w:rStyle w:val="Hyperlink"/>
            <w:b/>
            <w:noProof/>
          </w:rPr>
          <w:t>Table 25</w:t>
        </w:r>
        <w:r w:rsidR="007724CA" w:rsidRPr="00160CE7">
          <w:rPr>
            <w:rStyle w:val="Hyperlink"/>
            <w:noProof/>
          </w:rPr>
          <w:t xml:space="preserve"> Likelihood and consequence ratings</w:t>
        </w:r>
        <w:r w:rsidR="007724CA">
          <w:rPr>
            <w:noProof/>
            <w:webHidden/>
          </w:rPr>
          <w:tab/>
        </w:r>
        <w:r w:rsidR="007724CA">
          <w:rPr>
            <w:noProof/>
            <w:webHidden/>
          </w:rPr>
          <w:fldChar w:fldCharType="begin"/>
        </w:r>
        <w:r w:rsidR="007724CA">
          <w:rPr>
            <w:noProof/>
            <w:webHidden/>
          </w:rPr>
          <w:instrText xml:space="preserve"> PAGEREF _Toc120115110 \h </w:instrText>
        </w:r>
        <w:r w:rsidR="007724CA">
          <w:rPr>
            <w:noProof/>
            <w:webHidden/>
          </w:rPr>
        </w:r>
        <w:r w:rsidR="007724CA">
          <w:rPr>
            <w:noProof/>
            <w:webHidden/>
          </w:rPr>
          <w:fldChar w:fldCharType="separate"/>
        </w:r>
        <w:r w:rsidR="009708D4">
          <w:rPr>
            <w:noProof/>
            <w:webHidden/>
          </w:rPr>
          <w:t>83</w:t>
        </w:r>
        <w:r w:rsidR="007724CA">
          <w:rPr>
            <w:noProof/>
            <w:webHidden/>
          </w:rPr>
          <w:fldChar w:fldCharType="end"/>
        </w:r>
      </w:hyperlink>
    </w:p>
    <w:p w14:paraId="4DEFDE7B" w14:textId="799AF054" w:rsidR="007724CA" w:rsidRDefault="00A11971">
      <w:pPr>
        <w:pStyle w:val="TableofFigures"/>
        <w:tabs>
          <w:tab w:val="right" w:pos="9628"/>
        </w:tabs>
        <w:rPr>
          <w:rFonts w:eastAsiaTheme="minorEastAsia" w:cstheme="minorBidi"/>
          <w:bCs w:val="0"/>
          <w:noProof/>
          <w:sz w:val="22"/>
          <w:szCs w:val="22"/>
          <w:lang w:eastAsia="en-AU"/>
        </w:rPr>
      </w:pPr>
      <w:hyperlink w:anchor="_Toc120115111" w:history="1">
        <w:r w:rsidR="007724CA" w:rsidRPr="00160CE7">
          <w:rPr>
            <w:rStyle w:val="Hyperlink"/>
            <w:b/>
            <w:noProof/>
          </w:rPr>
          <w:t>Table 26</w:t>
        </w:r>
        <w:r w:rsidR="007724CA" w:rsidRPr="00160CE7">
          <w:rPr>
            <w:rStyle w:val="Hyperlink"/>
            <w:noProof/>
          </w:rPr>
          <w:t xml:space="preserve"> Challenges and risks to implementation</w:t>
        </w:r>
        <w:r w:rsidR="007724CA">
          <w:rPr>
            <w:noProof/>
            <w:webHidden/>
          </w:rPr>
          <w:tab/>
        </w:r>
        <w:r w:rsidR="007724CA">
          <w:rPr>
            <w:noProof/>
            <w:webHidden/>
          </w:rPr>
          <w:fldChar w:fldCharType="begin"/>
        </w:r>
        <w:r w:rsidR="007724CA">
          <w:rPr>
            <w:noProof/>
            <w:webHidden/>
          </w:rPr>
          <w:instrText xml:space="preserve"> PAGEREF _Toc120115111 \h </w:instrText>
        </w:r>
        <w:r w:rsidR="007724CA">
          <w:rPr>
            <w:noProof/>
            <w:webHidden/>
          </w:rPr>
        </w:r>
        <w:r w:rsidR="007724CA">
          <w:rPr>
            <w:noProof/>
            <w:webHidden/>
          </w:rPr>
          <w:fldChar w:fldCharType="separate"/>
        </w:r>
        <w:r w:rsidR="009708D4">
          <w:rPr>
            <w:noProof/>
            <w:webHidden/>
          </w:rPr>
          <w:t>84</w:t>
        </w:r>
        <w:r w:rsidR="007724CA">
          <w:rPr>
            <w:noProof/>
            <w:webHidden/>
          </w:rPr>
          <w:fldChar w:fldCharType="end"/>
        </w:r>
      </w:hyperlink>
    </w:p>
    <w:p w14:paraId="0637053B" w14:textId="2A835591" w:rsidR="007724CA" w:rsidRDefault="00A11971">
      <w:pPr>
        <w:pStyle w:val="TableofFigures"/>
        <w:tabs>
          <w:tab w:val="right" w:pos="9628"/>
        </w:tabs>
        <w:rPr>
          <w:rFonts w:eastAsiaTheme="minorEastAsia" w:cstheme="minorBidi"/>
          <w:bCs w:val="0"/>
          <w:noProof/>
          <w:sz w:val="22"/>
          <w:szCs w:val="22"/>
          <w:lang w:eastAsia="en-AU"/>
        </w:rPr>
      </w:pPr>
      <w:hyperlink w:anchor="_Toc120115112" w:history="1">
        <w:r w:rsidR="007724CA" w:rsidRPr="00160CE7">
          <w:rPr>
            <w:rStyle w:val="Hyperlink"/>
            <w:b/>
            <w:noProof/>
          </w:rPr>
          <w:t>Table 26</w:t>
        </w:r>
        <w:r w:rsidR="007724CA" w:rsidRPr="00160CE7">
          <w:rPr>
            <w:rStyle w:val="Hyperlink"/>
            <w:noProof/>
          </w:rPr>
          <w:t xml:space="preserve"> Alignment between Government objectives and outcomes</w:t>
        </w:r>
        <w:r w:rsidR="007724CA">
          <w:rPr>
            <w:noProof/>
            <w:webHidden/>
          </w:rPr>
          <w:tab/>
        </w:r>
        <w:r w:rsidR="007724CA">
          <w:rPr>
            <w:noProof/>
            <w:webHidden/>
          </w:rPr>
          <w:fldChar w:fldCharType="begin"/>
        </w:r>
        <w:r w:rsidR="007724CA">
          <w:rPr>
            <w:noProof/>
            <w:webHidden/>
          </w:rPr>
          <w:instrText xml:space="preserve"> PAGEREF _Toc120115112 \h </w:instrText>
        </w:r>
        <w:r w:rsidR="007724CA">
          <w:rPr>
            <w:noProof/>
            <w:webHidden/>
          </w:rPr>
        </w:r>
        <w:r w:rsidR="007724CA">
          <w:rPr>
            <w:noProof/>
            <w:webHidden/>
          </w:rPr>
          <w:fldChar w:fldCharType="separate"/>
        </w:r>
        <w:r w:rsidR="009708D4">
          <w:rPr>
            <w:noProof/>
            <w:webHidden/>
          </w:rPr>
          <w:t>87</w:t>
        </w:r>
        <w:r w:rsidR="007724CA">
          <w:rPr>
            <w:noProof/>
            <w:webHidden/>
          </w:rPr>
          <w:fldChar w:fldCharType="end"/>
        </w:r>
      </w:hyperlink>
    </w:p>
    <w:p w14:paraId="4329C121" w14:textId="07D0552B" w:rsidR="007D5C6E" w:rsidRDefault="0078718A" w:rsidP="007D5C6E">
      <w:pPr>
        <w:pStyle w:val="BodyText"/>
      </w:pPr>
      <w:r w:rsidRPr="0078718A">
        <w:fldChar w:fldCharType="end"/>
      </w:r>
    </w:p>
    <w:p w14:paraId="69CDF4B4" w14:textId="4A4B3B2B" w:rsidR="0016730B" w:rsidRPr="00C10811" w:rsidRDefault="0078718A" w:rsidP="00C10811">
      <w:pPr>
        <w:pStyle w:val="AppendixH2"/>
      </w:pPr>
      <w:r w:rsidRPr="00C10811">
        <w:t>List of Figures</w:t>
      </w:r>
    </w:p>
    <w:p w14:paraId="4DFBE76E" w14:textId="5559F63E" w:rsidR="00522C67" w:rsidRDefault="0078718A">
      <w:pPr>
        <w:pStyle w:val="TableofFigures"/>
        <w:tabs>
          <w:tab w:val="right" w:leader="dot" w:pos="9628"/>
        </w:tabs>
        <w:rPr>
          <w:rFonts w:eastAsiaTheme="minorEastAsia" w:cstheme="minorBidi"/>
          <w:bCs w:val="0"/>
          <w:noProof/>
          <w:sz w:val="22"/>
          <w:szCs w:val="22"/>
          <w:lang w:eastAsia="en-AU"/>
        </w:rPr>
      </w:pPr>
      <w:r w:rsidRPr="00A9746B">
        <w:rPr>
          <w:b/>
          <w:color w:val="000000" w:themeColor="text1"/>
        </w:rPr>
        <w:fldChar w:fldCharType="begin"/>
      </w:r>
      <w:r w:rsidRPr="0078718A">
        <w:rPr>
          <w:b/>
        </w:rPr>
        <w:instrText xml:space="preserve"> TOC \h \z \c "Figure" </w:instrText>
      </w:r>
      <w:r w:rsidRPr="00A9746B">
        <w:rPr>
          <w:b/>
          <w:color w:val="000000" w:themeColor="text1"/>
        </w:rPr>
        <w:fldChar w:fldCharType="separate"/>
      </w:r>
      <w:hyperlink w:anchor="_Toc94519462" w:history="1">
        <w:r w:rsidR="00522C67" w:rsidRPr="007F0A84">
          <w:rPr>
            <w:rStyle w:val="Hyperlink"/>
            <w:b/>
            <w:noProof/>
          </w:rPr>
          <w:t>Figure 1:</w:t>
        </w:r>
        <w:r w:rsidR="00522C67" w:rsidRPr="007F0A84">
          <w:rPr>
            <w:rStyle w:val="Hyperlink"/>
            <w:noProof/>
          </w:rPr>
          <w:t xml:space="preserve"> Overview of proposed regulatory framework</w:t>
        </w:r>
        <w:r w:rsidR="00522C67">
          <w:rPr>
            <w:noProof/>
            <w:webHidden/>
          </w:rPr>
          <w:tab/>
        </w:r>
        <w:r w:rsidR="00522C67">
          <w:rPr>
            <w:noProof/>
            <w:webHidden/>
          </w:rPr>
          <w:fldChar w:fldCharType="begin"/>
        </w:r>
        <w:r w:rsidR="00522C67">
          <w:rPr>
            <w:noProof/>
            <w:webHidden/>
          </w:rPr>
          <w:instrText xml:space="preserve"> PAGEREF _Toc94519462 \h </w:instrText>
        </w:r>
        <w:r w:rsidR="00522C67">
          <w:rPr>
            <w:noProof/>
            <w:webHidden/>
          </w:rPr>
        </w:r>
        <w:r w:rsidR="00522C67">
          <w:rPr>
            <w:noProof/>
            <w:webHidden/>
          </w:rPr>
          <w:fldChar w:fldCharType="separate"/>
        </w:r>
        <w:r w:rsidR="009708D4">
          <w:rPr>
            <w:noProof/>
            <w:webHidden/>
          </w:rPr>
          <w:t>7</w:t>
        </w:r>
        <w:r w:rsidR="00522C67">
          <w:rPr>
            <w:noProof/>
            <w:webHidden/>
          </w:rPr>
          <w:fldChar w:fldCharType="end"/>
        </w:r>
      </w:hyperlink>
    </w:p>
    <w:p w14:paraId="53EA34F6" w14:textId="36AC39B4" w:rsidR="00522C67" w:rsidRDefault="00A11971">
      <w:pPr>
        <w:pStyle w:val="TableofFigures"/>
        <w:tabs>
          <w:tab w:val="right" w:leader="dot" w:pos="9628"/>
        </w:tabs>
        <w:rPr>
          <w:rFonts w:eastAsiaTheme="minorEastAsia" w:cstheme="minorBidi"/>
          <w:bCs w:val="0"/>
          <w:noProof/>
          <w:sz w:val="22"/>
          <w:szCs w:val="22"/>
          <w:lang w:eastAsia="en-AU"/>
        </w:rPr>
      </w:pPr>
      <w:hyperlink w:anchor="_Toc94519463" w:history="1">
        <w:r w:rsidR="00522C67" w:rsidRPr="007F0A84">
          <w:rPr>
            <w:rStyle w:val="Hyperlink"/>
            <w:b/>
            <w:noProof/>
          </w:rPr>
          <w:t>Figure 2:</w:t>
        </w:r>
        <w:r w:rsidR="00522C67" w:rsidRPr="007F0A84">
          <w:rPr>
            <w:rStyle w:val="Hyperlink"/>
            <w:noProof/>
          </w:rPr>
          <w:t xml:space="preserve"> Outline of four key hazard domains</w:t>
        </w:r>
        <w:r w:rsidR="00522C67">
          <w:rPr>
            <w:noProof/>
            <w:webHidden/>
          </w:rPr>
          <w:tab/>
        </w:r>
        <w:r w:rsidR="00522C67">
          <w:rPr>
            <w:noProof/>
            <w:webHidden/>
          </w:rPr>
          <w:fldChar w:fldCharType="begin"/>
        </w:r>
        <w:r w:rsidR="00522C67">
          <w:rPr>
            <w:noProof/>
            <w:webHidden/>
          </w:rPr>
          <w:instrText xml:space="preserve"> PAGEREF _Toc94519463 \h </w:instrText>
        </w:r>
        <w:r w:rsidR="00522C67">
          <w:rPr>
            <w:noProof/>
            <w:webHidden/>
          </w:rPr>
        </w:r>
        <w:r w:rsidR="00522C67">
          <w:rPr>
            <w:noProof/>
            <w:webHidden/>
          </w:rPr>
          <w:fldChar w:fldCharType="separate"/>
        </w:r>
        <w:r w:rsidR="009708D4">
          <w:rPr>
            <w:noProof/>
            <w:webHidden/>
          </w:rPr>
          <w:t>19</w:t>
        </w:r>
        <w:r w:rsidR="00522C67">
          <w:rPr>
            <w:noProof/>
            <w:webHidden/>
          </w:rPr>
          <w:fldChar w:fldCharType="end"/>
        </w:r>
      </w:hyperlink>
    </w:p>
    <w:p w14:paraId="5AFE9E94" w14:textId="7BE81435" w:rsidR="00522C67" w:rsidRDefault="00A11971">
      <w:pPr>
        <w:pStyle w:val="TableofFigures"/>
        <w:tabs>
          <w:tab w:val="right" w:leader="dot" w:pos="9628"/>
        </w:tabs>
        <w:rPr>
          <w:rFonts w:eastAsiaTheme="minorEastAsia" w:cstheme="minorBidi"/>
          <w:bCs w:val="0"/>
          <w:noProof/>
          <w:sz w:val="22"/>
          <w:szCs w:val="22"/>
          <w:lang w:eastAsia="en-AU"/>
        </w:rPr>
      </w:pPr>
      <w:hyperlink w:anchor="_Toc94519464" w:history="1">
        <w:r w:rsidR="00522C67" w:rsidRPr="007F0A84">
          <w:rPr>
            <w:rStyle w:val="Hyperlink"/>
            <w:b/>
            <w:noProof/>
          </w:rPr>
          <w:t>Figure 3:</w:t>
        </w:r>
        <w:r w:rsidR="00522C67" w:rsidRPr="007F0A84">
          <w:rPr>
            <w:rStyle w:val="Hyperlink"/>
            <w:noProof/>
          </w:rPr>
          <w:t xml:space="preserve"> Consultation timeline</w:t>
        </w:r>
        <w:r w:rsidR="00522C67">
          <w:rPr>
            <w:noProof/>
            <w:webHidden/>
          </w:rPr>
          <w:tab/>
        </w:r>
        <w:r w:rsidR="00522C67">
          <w:rPr>
            <w:noProof/>
            <w:webHidden/>
          </w:rPr>
          <w:fldChar w:fldCharType="begin"/>
        </w:r>
        <w:r w:rsidR="00522C67">
          <w:rPr>
            <w:noProof/>
            <w:webHidden/>
          </w:rPr>
          <w:instrText xml:space="preserve"> PAGEREF _Toc94519464 \h </w:instrText>
        </w:r>
        <w:r w:rsidR="00522C67">
          <w:rPr>
            <w:noProof/>
            <w:webHidden/>
          </w:rPr>
        </w:r>
        <w:r w:rsidR="00522C67">
          <w:rPr>
            <w:noProof/>
            <w:webHidden/>
          </w:rPr>
          <w:fldChar w:fldCharType="separate"/>
        </w:r>
        <w:r w:rsidR="009708D4">
          <w:rPr>
            <w:noProof/>
            <w:webHidden/>
          </w:rPr>
          <w:t>61</w:t>
        </w:r>
        <w:r w:rsidR="00522C67">
          <w:rPr>
            <w:noProof/>
            <w:webHidden/>
          </w:rPr>
          <w:fldChar w:fldCharType="end"/>
        </w:r>
      </w:hyperlink>
    </w:p>
    <w:p w14:paraId="75166C1A" w14:textId="16FD77F7" w:rsidR="00522C67" w:rsidRDefault="00A11971">
      <w:pPr>
        <w:pStyle w:val="TableofFigures"/>
        <w:tabs>
          <w:tab w:val="right" w:leader="dot" w:pos="9628"/>
        </w:tabs>
        <w:rPr>
          <w:rFonts w:eastAsiaTheme="minorEastAsia" w:cstheme="minorBidi"/>
          <w:bCs w:val="0"/>
          <w:noProof/>
          <w:sz w:val="22"/>
          <w:szCs w:val="22"/>
          <w:lang w:eastAsia="en-AU"/>
        </w:rPr>
      </w:pPr>
      <w:hyperlink w:anchor="_Toc94519465" w:history="1">
        <w:r w:rsidR="00522C67" w:rsidRPr="007F0A84">
          <w:rPr>
            <w:rStyle w:val="Hyperlink"/>
            <w:b/>
            <w:noProof/>
          </w:rPr>
          <w:t>Figure 4</w:t>
        </w:r>
        <w:r w:rsidR="00522C67" w:rsidRPr="007F0A84">
          <w:rPr>
            <w:rStyle w:val="Hyperlink"/>
            <w:noProof/>
          </w:rPr>
          <w:t>: Consultation roadmap for RMP rules consultation</w:t>
        </w:r>
        <w:r w:rsidR="00522C67">
          <w:rPr>
            <w:noProof/>
            <w:webHidden/>
          </w:rPr>
          <w:tab/>
        </w:r>
        <w:r w:rsidR="00522C67">
          <w:rPr>
            <w:noProof/>
            <w:webHidden/>
          </w:rPr>
          <w:fldChar w:fldCharType="begin"/>
        </w:r>
        <w:r w:rsidR="00522C67">
          <w:rPr>
            <w:noProof/>
            <w:webHidden/>
          </w:rPr>
          <w:instrText xml:space="preserve"> PAGEREF _Toc94519465 \h </w:instrText>
        </w:r>
        <w:r w:rsidR="00522C67">
          <w:rPr>
            <w:noProof/>
            <w:webHidden/>
          </w:rPr>
        </w:r>
        <w:r w:rsidR="00522C67">
          <w:rPr>
            <w:noProof/>
            <w:webHidden/>
          </w:rPr>
          <w:fldChar w:fldCharType="separate"/>
        </w:r>
        <w:r w:rsidR="009708D4">
          <w:rPr>
            <w:noProof/>
            <w:webHidden/>
          </w:rPr>
          <w:t>66</w:t>
        </w:r>
        <w:r w:rsidR="00522C67">
          <w:rPr>
            <w:noProof/>
            <w:webHidden/>
          </w:rPr>
          <w:fldChar w:fldCharType="end"/>
        </w:r>
      </w:hyperlink>
    </w:p>
    <w:p w14:paraId="783E2790" w14:textId="54458BC3" w:rsidR="00522C67" w:rsidRDefault="00A11971">
      <w:pPr>
        <w:pStyle w:val="TableofFigures"/>
        <w:tabs>
          <w:tab w:val="right" w:leader="dot" w:pos="9628"/>
        </w:tabs>
        <w:rPr>
          <w:rFonts w:eastAsiaTheme="minorEastAsia" w:cstheme="minorBidi"/>
          <w:bCs w:val="0"/>
          <w:noProof/>
          <w:sz w:val="22"/>
          <w:szCs w:val="22"/>
          <w:lang w:eastAsia="en-AU"/>
        </w:rPr>
      </w:pPr>
      <w:hyperlink w:anchor="_Toc94519466" w:history="1">
        <w:r w:rsidR="00522C67" w:rsidRPr="007F0A84">
          <w:rPr>
            <w:rStyle w:val="Hyperlink"/>
            <w:b/>
            <w:noProof/>
          </w:rPr>
          <w:t>Figure 5</w:t>
        </w:r>
        <w:r w:rsidR="00522C67" w:rsidRPr="007F0A84">
          <w:rPr>
            <w:rStyle w:val="Hyperlink"/>
            <w:noProof/>
          </w:rPr>
          <w:t>: Overview of Implementation Process</w:t>
        </w:r>
        <w:r w:rsidR="00522C67">
          <w:rPr>
            <w:noProof/>
            <w:webHidden/>
          </w:rPr>
          <w:tab/>
        </w:r>
        <w:r w:rsidR="00522C67">
          <w:rPr>
            <w:noProof/>
            <w:webHidden/>
          </w:rPr>
          <w:fldChar w:fldCharType="begin"/>
        </w:r>
        <w:r w:rsidR="00522C67">
          <w:rPr>
            <w:noProof/>
            <w:webHidden/>
          </w:rPr>
          <w:instrText xml:space="preserve"> PAGEREF _Toc94519466 \h </w:instrText>
        </w:r>
        <w:r w:rsidR="00522C67">
          <w:rPr>
            <w:noProof/>
            <w:webHidden/>
          </w:rPr>
        </w:r>
        <w:r w:rsidR="00522C67">
          <w:rPr>
            <w:noProof/>
            <w:webHidden/>
          </w:rPr>
          <w:fldChar w:fldCharType="separate"/>
        </w:r>
        <w:r w:rsidR="009708D4">
          <w:rPr>
            <w:noProof/>
            <w:webHidden/>
          </w:rPr>
          <w:t>79</w:t>
        </w:r>
        <w:r w:rsidR="00522C67">
          <w:rPr>
            <w:noProof/>
            <w:webHidden/>
          </w:rPr>
          <w:fldChar w:fldCharType="end"/>
        </w:r>
      </w:hyperlink>
    </w:p>
    <w:p w14:paraId="0380C4EA" w14:textId="6F743075" w:rsidR="00522C67" w:rsidRDefault="00A11971">
      <w:pPr>
        <w:pStyle w:val="TableofFigures"/>
        <w:tabs>
          <w:tab w:val="right" w:leader="dot" w:pos="9628"/>
        </w:tabs>
        <w:rPr>
          <w:rFonts w:eastAsiaTheme="minorEastAsia" w:cstheme="minorBidi"/>
          <w:bCs w:val="0"/>
          <w:noProof/>
          <w:sz w:val="22"/>
          <w:szCs w:val="22"/>
          <w:lang w:eastAsia="en-AU"/>
        </w:rPr>
      </w:pPr>
      <w:hyperlink w:anchor="_Toc94519467" w:history="1">
        <w:r w:rsidR="00522C67" w:rsidRPr="007F0A84">
          <w:rPr>
            <w:rStyle w:val="Hyperlink"/>
            <w:b/>
            <w:noProof/>
          </w:rPr>
          <w:t>Figure 6</w:t>
        </w:r>
        <w:r w:rsidR="00522C67" w:rsidRPr="007F0A84">
          <w:rPr>
            <w:rStyle w:val="Hyperlink"/>
            <w:noProof/>
          </w:rPr>
          <w:t>: Compliance Strategy</w:t>
        </w:r>
        <w:r w:rsidR="00522C67">
          <w:rPr>
            <w:noProof/>
            <w:webHidden/>
          </w:rPr>
          <w:tab/>
        </w:r>
        <w:r w:rsidR="00522C67">
          <w:rPr>
            <w:noProof/>
            <w:webHidden/>
          </w:rPr>
          <w:fldChar w:fldCharType="begin"/>
        </w:r>
        <w:r w:rsidR="00522C67">
          <w:rPr>
            <w:noProof/>
            <w:webHidden/>
          </w:rPr>
          <w:instrText xml:space="preserve"> PAGEREF _Toc94519467 \h </w:instrText>
        </w:r>
        <w:r w:rsidR="00522C67">
          <w:rPr>
            <w:noProof/>
            <w:webHidden/>
          </w:rPr>
        </w:r>
        <w:r w:rsidR="00522C67">
          <w:rPr>
            <w:noProof/>
            <w:webHidden/>
          </w:rPr>
          <w:fldChar w:fldCharType="separate"/>
        </w:r>
        <w:r w:rsidR="009708D4">
          <w:rPr>
            <w:noProof/>
            <w:webHidden/>
          </w:rPr>
          <w:t>82</w:t>
        </w:r>
        <w:r w:rsidR="00522C67">
          <w:rPr>
            <w:noProof/>
            <w:webHidden/>
          </w:rPr>
          <w:fldChar w:fldCharType="end"/>
        </w:r>
      </w:hyperlink>
    </w:p>
    <w:p w14:paraId="7E0EF363" w14:textId="15FC763B" w:rsidR="00522C67" w:rsidRDefault="00A11971">
      <w:pPr>
        <w:pStyle w:val="TableofFigures"/>
        <w:tabs>
          <w:tab w:val="right" w:leader="dot" w:pos="9628"/>
        </w:tabs>
        <w:rPr>
          <w:rFonts w:eastAsiaTheme="minorEastAsia" w:cstheme="minorBidi"/>
          <w:bCs w:val="0"/>
          <w:noProof/>
          <w:sz w:val="22"/>
          <w:szCs w:val="22"/>
          <w:lang w:eastAsia="en-AU"/>
        </w:rPr>
      </w:pPr>
      <w:hyperlink w:anchor="_Toc94519468" w:history="1">
        <w:r w:rsidR="00522C67" w:rsidRPr="007F0A84">
          <w:rPr>
            <w:rStyle w:val="Hyperlink"/>
            <w:b/>
            <w:noProof/>
          </w:rPr>
          <w:t>Figure 7:</w:t>
        </w:r>
        <w:r w:rsidR="00522C67" w:rsidRPr="007F0A84">
          <w:rPr>
            <w:rStyle w:val="Hyperlink"/>
            <w:noProof/>
          </w:rPr>
          <w:t xml:space="preserve"> Monitoring and review mechanisms</w:t>
        </w:r>
        <w:r w:rsidR="00522C67">
          <w:rPr>
            <w:noProof/>
            <w:webHidden/>
          </w:rPr>
          <w:tab/>
        </w:r>
        <w:r w:rsidR="00522C67">
          <w:rPr>
            <w:noProof/>
            <w:webHidden/>
          </w:rPr>
          <w:fldChar w:fldCharType="begin"/>
        </w:r>
        <w:r w:rsidR="00522C67">
          <w:rPr>
            <w:noProof/>
            <w:webHidden/>
          </w:rPr>
          <w:instrText xml:space="preserve"> PAGEREF _Toc94519468 \h </w:instrText>
        </w:r>
        <w:r w:rsidR="00522C67">
          <w:rPr>
            <w:noProof/>
            <w:webHidden/>
          </w:rPr>
        </w:r>
        <w:r w:rsidR="00522C67">
          <w:rPr>
            <w:noProof/>
            <w:webHidden/>
          </w:rPr>
          <w:fldChar w:fldCharType="separate"/>
        </w:r>
        <w:r w:rsidR="009708D4">
          <w:rPr>
            <w:noProof/>
            <w:webHidden/>
          </w:rPr>
          <w:t>86</w:t>
        </w:r>
        <w:r w:rsidR="00522C67">
          <w:rPr>
            <w:noProof/>
            <w:webHidden/>
          </w:rPr>
          <w:fldChar w:fldCharType="end"/>
        </w:r>
      </w:hyperlink>
    </w:p>
    <w:p w14:paraId="4F64DD46" w14:textId="1E9C0784" w:rsidR="00106670" w:rsidRDefault="0078718A" w:rsidP="00D26871">
      <w:pPr>
        <w:pStyle w:val="BodyText"/>
        <w:rPr>
          <w:bCs/>
          <w:color w:val="000000" w:themeColor="text1"/>
        </w:rPr>
      </w:pPr>
      <w:r w:rsidRPr="00A9746B">
        <w:rPr>
          <w:bCs/>
          <w:color w:val="000000" w:themeColor="text1"/>
        </w:rPr>
        <w:fldChar w:fldCharType="end"/>
      </w:r>
    </w:p>
    <w:p w14:paraId="6B9E83B7" w14:textId="098BB329" w:rsidR="0078718A" w:rsidRPr="00A9746B" w:rsidRDefault="0078718A" w:rsidP="00D26871">
      <w:pPr>
        <w:pStyle w:val="BodyText"/>
        <w:rPr>
          <w:bCs/>
          <w:color w:val="000000" w:themeColor="text1"/>
        </w:rPr>
      </w:pPr>
      <w:r w:rsidRPr="00A9746B">
        <w:rPr>
          <w:bCs/>
          <w:color w:val="000000" w:themeColor="text1"/>
        </w:rPr>
        <w:br w:type="page"/>
      </w:r>
    </w:p>
    <w:p w14:paraId="3B3005B5" w14:textId="133AA163" w:rsidR="002561BC" w:rsidRDefault="002561BC" w:rsidP="0002213B">
      <w:pPr>
        <w:pStyle w:val="AppendixH1"/>
      </w:pPr>
      <w:bookmarkStart w:id="481" w:name="_Toc121397410"/>
      <w:r>
        <w:lastRenderedPageBreak/>
        <w:t xml:space="preserve">Draft </w:t>
      </w:r>
      <w:r w:rsidR="00DE6737">
        <w:t xml:space="preserve">General </w:t>
      </w:r>
      <w:r w:rsidR="003D675E">
        <w:t>R</w:t>
      </w:r>
      <w:r w:rsidR="0016603A">
        <w:t>ules</w:t>
      </w:r>
      <w:bookmarkEnd w:id="481"/>
    </w:p>
    <w:p w14:paraId="3C57BEE8" w14:textId="7046756F" w:rsidR="005E64DA" w:rsidRPr="00E9705C" w:rsidRDefault="005E64DA" w:rsidP="005F1AF8">
      <w:pPr>
        <w:numPr>
          <w:ilvl w:val="0"/>
          <w:numId w:val="32"/>
        </w:numPr>
        <w:spacing w:after="160" w:line="259" w:lineRule="auto"/>
        <w:ind w:hanging="357"/>
        <w:rPr>
          <w:rFonts w:ascii="Arial" w:eastAsia="Calibri" w:hAnsi="Arial" w:cs="Arial"/>
          <w:sz w:val="22"/>
        </w:rPr>
      </w:pPr>
      <w:r w:rsidRPr="00E9705C">
        <w:rPr>
          <w:rFonts w:ascii="Arial" w:eastAsia="Calibri" w:hAnsi="Arial" w:cs="Arial"/>
          <w:sz w:val="22"/>
        </w:rPr>
        <w:t>Responsible entities must, within six months of the commencement of this rule</w:t>
      </w:r>
      <w:r w:rsidR="00F616CD">
        <w:rPr>
          <w:rFonts w:ascii="Arial" w:eastAsia="Calibri" w:hAnsi="Arial" w:cs="Arial"/>
          <w:sz w:val="22"/>
        </w:rPr>
        <w:t xml:space="preserve"> (or six</w:t>
      </w:r>
      <w:r w:rsidR="0038596B">
        <w:rPr>
          <w:rFonts w:ascii="Arial" w:eastAsia="Calibri" w:hAnsi="Arial" w:cs="Arial"/>
          <w:sz w:val="22"/>
        </w:rPr>
        <w:t xml:space="preserve"> months from first day of operation for new operators)</w:t>
      </w:r>
      <w:r w:rsidRPr="00E9705C">
        <w:rPr>
          <w:rFonts w:ascii="Arial" w:eastAsia="Calibri" w:hAnsi="Arial" w:cs="Arial"/>
          <w:sz w:val="22"/>
        </w:rPr>
        <w:t xml:space="preserve">, ensure that their </w:t>
      </w:r>
      <w:r>
        <w:rPr>
          <w:rFonts w:ascii="Arial" w:eastAsia="Calibri" w:hAnsi="Arial" w:cs="Arial"/>
          <w:sz w:val="22"/>
        </w:rPr>
        <w:t>RMP</w:t>
      </w:r>
      <w:r w:rsidRPr="00E9705C">
        <w:rPr>
          <w:rFonts w:ascii="Arial" w:eastAsia="Calibri" w:hAnsi="Arial" w:cs="Arial"/>
          <w:sz w:val="22"/>
        </w:rPr>
        <w:t xml:space="preserve"> includes a reasonable risk methodology. </w:t>
      </w:r>
    </w:p>
    <w:p w14:paraId="0D438F12" w14:textId="1D7BBA7C" w:rsidR="005E64DA" w:rsidRPr="00E9705C" w:rsidRDefault="005E64DA" w:rsidP="005F1AF8">
      <w:pPr>
        <w:numPr>
          <w:ilvl w:val="0"/>
          <w:numId w:val="32"/>
        </w:numPr>
        <w:spacing w:after="160" w:line="259" w:lineRule="auto"/>
        <w:ind w:hanging="357"/>
        <w:rPr>
          <w:rFonts w:ascii="Arial" w:eastAsia="Calibri" w:hAnsi="Arial" w:cs="Arial"/>
          <w:sz w:val="22"/>
        </w:rPr>
      </w:pPr>
      <w:r w:rsidRPr="00E9705C">
        <w:rPr>
          <w:rFonts w:ascii="Arial" w:eastAsia="Calibri" w:hAnsi="Arial" w:cs="Arial"/>
          <w:sz w:val="22"/>
        </w:rPr>
        <w:t>Responsible entities must, within six months of the commencement of this rule</w:t>
      </w:r>
      <w:r w:rsidR="0038596B">
        <w:rPr>
          <w:rFonts w:ascii="Arial" w:eastAsia="Calibri" w:hAnsi="Arial" w:cs="Arial"/>
          <w:sz w:val="22"/>
        </w:rPr>
        <w:t xml:space="preserve"> </w:t>
      </w:r>
      <w:r w:rsidR="00F616CD">
        <w:rPr>
          <w:rFonts w:ascii="Arial" w:eastAsia="Calibri" w:hAnsi="Arial" w:cs="Arial"/>
          <w:sz w:val="22"/>
        </w:rPr>
        <w:t>(or six months from first day of operation for new operators)</w:t>
      </w:r>
      <w:r w:rsidRPr="00E9705C">
        <w:rPr>
          <w:rFonts w:ascii="Arial" w:eastAsia="Calibri" w:hAnsi="Arial" w:cs="Arial"/>
          <w:sz w:val="22"/>
        </w:rPr>
        <w:t xml:space="preserve">, document in their </w:t>
      </w:r>
      <w:r>
        <w:rPr>
          <w:rFonts w:ascii="Arial" w:eastAsia="Calibri" w:hAnsi="Arial" w:cs="Arial"/>
          <w:sz w:val="22"/>
        </w:rPr>
        <w:t>RMP</w:t>
      </w:r>
      <w:r w:rsidRPr="00E9705C">
        <w:rPr>
          <w:rFonts w:ascii="Arial" w:eastAsia="Calibri" w:hAnsi="Arial" w:cs="Arial"/>
          <w:sz w:val="22"/>
        </w:rPr>
        <w:t xml:space="preserve">, the process by which the responsible entity has identified: </w:t>
      </w:r>
    </w:p>
    <w:p w14:paraId="73D44F45" w14:textId="77777777" w:rsidR="005E64DA" w:rsidRPr="00E9705C" w:rsidRDefault="005E64DA" w:rsidP="0002213B">
      <w:pPr>
        <w:numPr>
          <w:ilvl w:val="1"/>
          <w:numId w:val="32"/>
        </w:numPr>
        <w:spacing w:after="160" w:line="259" w:lineRule="auto"/>
        <w:ind w:left="709" w:hanging="345"/>
        <w:rPr>
          <w:rFonts w:ascii="Arial" w:eastAsia="Calibri" w:hAnsi="Arial" w:cs="Arial"/>
          <w:sz w:val="22"/>
        </w:rPr>
      </w:pPr>
      <w:r w:rsidRPr="00E9705C">
        <w:rPr>
          <w:rFonts w:ascii="Arial" w:eastAsia="Calibri" w:hAnsi="Arial" w:cs="Arial"/>
          <w:sz w:val="22"/>
        </w:rPr>
        <w:t>What consideration they have given the elements of their business that are required to operate and support the daily functioning of the critical infrastructure asset; and</w:t>
      </w:r>
    </w:p>
    <w:p w14:paraId="32F210F0" w14:textId="77777777" w:rsidR="005E64DA" w:rsidRPr="00E9705C" w:rsidRDefault="005E64DA" w:rsidP="0002213B">
      <w:pPr>
        <w:numPr>
          <w:ilvl w:val="1"/>
          <w:numId w:val="32"/>
        </w:numPr>
        <w:spacing w:after="160" w:line="259" w:lineRule="auto"/>
        <w:ind w:left="709" w:hanging="345"/>
        <w:rPr>
          <w:rFonts w:ascii="Arial" w:eastAsia="Calibri" w:hAnsi="Arial" w:cs="Arial"/>
          <w:sz w:val="22"/>
        </w:rPr>
      </w:pPr>
      <w:r w:rsidRPr="00E9705C">
        <w:rPr>
          <w:rFonts w:ascii="Arial" w:eastAsia="Calibri" w:hAnsi="Arial" w:cs="Arial"/>
          <w:sz w:val="22"/>
        </w:rPr>
        <w:t xml:space="preserve">the types of relevant impact that are most significant to the critical infrastructure asset; and </w:t>
      </w:r>
    </w:p>
    <w:p w14:paraId="0B809F3B" w14:textId="77777777" w:rsidR="005E64DA" w:rsidRPr="00E9705C" w:rsidRDefault="005E64DA" w:rsidP="0002213B">
      <w:pPr>
        <w:numPr>
          <w:ilvl w:val="1"/>
          <w:numId w:val="32"/>
        </w:numPr>
        <w:spacing w:after="160" w:line="259" w:lineRule="auto"/>
        <w:ind w:left="709" w:hanging="345"/>
        <w:rPr>
          <w:rFonts w:ascii="Arial" w:eastAsia="Calibri" w:hAnsi="Arial" w:cs="Arial"/>
          <w:sz w:val="22"/>
        </w:rPr>
      </w:pPr>
      <w:r w:rsidRPr="00E9705C">
        <w:rPr>
          <w:rFonts w:ascii="Arial" w:eastAsia="Calibri" w:hAnsi="Arial" w:cs="Arial"/>
          <w:sz w:val="22"/>
        </w:rPr>
        <w:t xml:space="preserve">any critical interdependencies with other critical infrastructure assets. </w:t>
      </w:r>
    </w:p>
    <w:p w14:paraId="60695E51" w14:textId="1F7DBE74" w:rsidR="005E64DA" w:rsidRPr="00E9705C" w:rsidRDefault="005E64DA" w:rsidP="005F1AF8">
      <w:pPr>
        <w:numPr>
          <w:ilvl w:val="0"/>
          <w:numId w:val="32"/>
        </w:numPr>
        <w:spacing w:after="160" w:line="259" w:lineRule="auto"/>
        <w:ind w:hanging="357"/>
        <w:rPr>
          <w:rFonts w:ascii="Arial" w:eastAsia="Calibri" w:hAnsi="Arial" w:cs="Arial"/>
          <w:sz w:val="22"/>
        </w:rPr>
      </w:pPr>
      <w:r w:rsidRPr="00E9705C">
        <w:rPr>
          <w:rFonts w:ascii="Arial" w:eastAsia="Calibri" w:hAnsi="Arial" w:cs="Arial"/>
          <w:sz w:val="22"/>
        </w:rPr>
        <w:t>Responsible entities must, within six months of the commencement of this rule</w:t>
      </w:r>
      <w:r w:rsidR="00356F06">
        <w:rPr>
          <w:rFonts w:ascii="Arial" w:eastAsia="Calibri" w:hAnsi="Arial" w:cs="Arial"/>
          <w:sz w:val="22"/>
        </w:rPr>
        <w:t xml:space="preserve"> </w:t>
      </w:r>
      <w:r w:rsidR="00F616CD">
        <w:rPr>
          <w:rFonts w:ascii="Arial" w:eastAsia="Calibri" w:hAnsi="Arial" w:cs="Arial"/>
          <w:sz w:val="22"/>
        </w:rPr>
        <w:t>(or six months from first day of operation for new operators)</w:t>
      </w:r>
      <w:r w:rsidRPr="00E9705C">
        <w:rPr>
          <w:rFonts w:ascii="Arial" w:eastAsia="Calibri" w:hAnsi="Arial" w:cs="Arial"/>
          <w:sz w:val="22"/>
        </w:rPr>
        <w:t xml:space="preserve">, ensure that their </w:t>
      </w:r>
      <w:r>
        <w:rPr>
          <w:rFonts w:ascii="Arial" w:eastAsia="Calibri" w:hAnsi="Arial" w:cs="Arial"/>
          <w:sz w:val="22"/>
        </w:rPr>
        <w:t>RMP</w:t>
      </w:r>
      <w:r w:rsidRPr="00E9705C">
        <w:rPr>
          <w:rFonts w:ascii="Arial" w:eastAsia="Calibri" w:hAnsi="Arial" w:cs="Arial"/>
          <w:sz w:val="22"/>
        </w:rPr>
        <w:t xml:space="preserve"> includes details of the individual or individuals responsible for the development and implementation of the </w:t>
      </w:r>
      <w:r>
        <w:rPr>
          <w:rFonts w:ascii="Arial" w:eastAsia="Calibri" w:hAnsi="Arial" w:cs="Arial"/>
          <w:sz w:val="22"/>
        </w:rPr>
        <w:t>RMP</w:t>
      </w:r>
      <w:r w:rsidRPr="00E9705C">
        <w:rPr>
          <w:rFonts w:ascii="Arial" w:eastAsia="Calibri" w:hAnsi="Arial" w:cs="Arial"/>
          <w:sz w:val="22"/>
        </w:rPr>
        <w:t xml:space="preserve"> as a whole, as well as the activities detailed within.</w:t>
      </w:r>
    </w:p>
    <w:p w14:paraId="455438FE" w14:textId="45C2D557" w:rsidR="005E64DA" w:rsidRPr="00E9705C" w:rsidRDefault="005E64DA" w:rsidP="005F1AF8">
      <w:pPr>
        <w:numPr>
          <w:ilvl w:val="0"/>
          <w:numId w:val="32"/>
        </w:numPr>
        <w:spacing w:after="160" w:line="259" w:lineRule="auto"/>
        <w:ind w:hanging="357"/>
        <w:rPr>
          <w:rFonts w:ascii="Arial" w:eastAsia="Calibri" w:hAnsi="Arial" w:cs="Arial"/>
          <w:sz w:val="22"/>
        </w:rPr>
      </w:pPr>
      <w:r w:rsidRPr="00E9705C">
        <w:rPr>
          <w:rFonts w:ascii="Arial" w:eastAsia="Calibri" w:hAnsi="Arial" w:cs="Arial"/>
          <w:sz w:val="22"/>
        </w:rPr>
        <w:t>Responsible entities must, within six months of the commencement of this rule</w:t>
      </w:r>
      <w:r w:rsidR="00356F06">
        <w:rPr>
          <w:rFonts w:ascii="Arial" w:eastAsia="Calibri" w:hAnsi="Arial" w:cs="Arial"/>
          <w:sz w:val="22"/>
        </w:rPr>
        <w:t xml:space="preserve"> </w:t>
      </w:r>
      <w:r w:rsidR="00F616CD">
        <w:rPr>
          <w:rFonts w:ascii="Arial" w:eastAsia="Calibri" w:hAnsi="Arial" w:cs="Arial"/>
          <w:sz w:val="22"/>
        </w:rPr>
        <w:t>(or six months from first day of operation for new operators)</w:t>
      </w:r>
      <w:r w:rsidRPr="00E9705C">
        <w:rPr>
          <w:rFonts w:ascii="Arial" w:eastAsia="Calibri" w:hAnsi="Arial" w:cs="Arial"/>
          <w:sz w:val="22"/>
        </w:rPr>
        <w:t xml:space="preserve">, document in their </w:t>
      </w:r>
      <w:r>
        <w:rPr>
          <w:rFonts w:ascii="Arial" w:eastAsia="Calibri" w:hAnsi="Arial" w:cs="Arial"/>
          <w:sz w:val="22"/>
        </w:rPr>
        <w:t>RMP</w:t>
      </w:r>
      <w:r w:rsidRPr="00E9705C">
        <w:rPr>
          <w:rFonts w:ascii="Arial" w:eastAsia="Calibri" w:hAnsi="Arial" w:cs="Arial"/>
          <w:sz w:val="22"/>
        </w:rPr>
        <w:t xml:space="preserve"> how they will take a holistic approach to risk management, outlining how the entity will consider the relevant impact of different material risks on their assets and how the entity will implement appropriate mitigations to effectively minimise those threats or hazards across their organisation.</w:t>
      </w:r>
    </w:p>
    <w:p w14:paraId="4B1B53DF" w14:textId="5D7BB254" w:rsidR="005E64DA" w:rsidRPr="00E9705C" w:rsidRDefault="005E64DA" w:rsidP="005F1AF8">
      <w:pPr>
        <w:numPr>
          <w:ilvl w:val="0"/>
          <w:numId w:val="32"/>
        </w:numPr>
        <w:spacing w:after="160" w:line="259" w:lineRule="auto"/>
        <w:ind w:hanging="357"/>
        <w:rPr>
          <w:rFonts w:ascii="Arial" w:eastAsia="Calibri" w:hAnsi="Arial" w:cs="Arial"/>
          <w:sz w:val="22"/>
        </w:rPr>
      </w:pPr>
      <w:r w:rsidRPr="00E9705C">
        <w:rPr>
          <w:rFonts w:ascii="Arial" w:eastAsia="Calibri" w:hAnsi="Arial" w:cs="Arial"/>
          <w:sz w:val="22"/>
        </w:rPr>
        <w:t>Responsible entities must, within six months of the commencement of this rule</w:t>
      </w:r>
      <w:r w:rsidR="00F616CD">
        <w:rPr>
          <w:rFonts w:ascii="Arial" w:eastAsia="Calibri" w:hAnsi="Arial" w:cs="Arial"/>
          <w:sz w:val="22"/>
        </w:rPr>
        <w:t xml:space="preserve"> (or six</w:t>
      </w:r>
      <w:r w:rsidR="00356F06">
        <w:rPr>
          <w:rFonts w:ascii="Arial" w:eastAsia="Calibri" w:hAnsi="Arial" w:cs="Arial"/>
          <w:sz w:val="22"/>
        </w:rPr>
        <w:t xml:space="preserve"> months from first day of operation for new operators)</w:t>
      </w:r>
      <w:r w:rsidRPr="00E9705C">
        <w:rPr>
          <w:rFonts w:ascii="Arial" w:eastAsia="Calibri" w:hAnsi="Arial" w:cs="Arial"/>
          <w:sz w:val="22"/>
        </w:rPr>
        <w:t xml:space="preserve">, ensure that their </w:t>
      </w:r>
      <w:r>
        <w:rPr>
          <w:rFonts w:ascii="Arial" w:eastAsia="Calibri" w:hAnsi="Arial" w:cs="Arial"/>
          <w:sz w:val="22"/>
        </w:rPr>
        <w:t>RMP</w:t>
      </w:r>
      <w:r w:rsidRPr="00E9705C">
        <w:rPr>
          <w:rFonts w:ascii="Arial" w:eastAsia="Calibri" w:hAnsi="Arial" w:cs="Arial"/>
          <w:sz w:val="22"/>
        </w:rPr>
        <w:t xml:space="preserve"> outlines a process for regularly reviewing the </w:t>
      </w:r>
      <w:r>
        <w:rPr>
          <w:rFonts w:ascii="Arial" w:eastAsia="Calibri" w:hAnsi="Arial" w:cs="Arial"/>
          <w:sz w:val="22"/>
        </w:rPr>
        <w:t>RMP</w:t>
      </w:r>
      <w:r w:rsidRPr="00E9705C">
        <w:rPr>
          <w:rFonts w:ascii="Arial" w:eastAsia="Calibri" w:hAnsi="Arial" w:cs="Arial"/>
          <w:sz w:val="22"/>
        </w:rPr>
        <w:t xml:space="preserve">, including what circumstances would require a supplementary review. </w:t>
      </w:r>
    </w:p>
    <w:p w14:paraId="726D658E" w14:textId="07E0EDB9" w:rsidR="001036C3" w:rsidRPr="0011155B" w:rsidRDefault="005E64DA" w:rsidP="005F1AF8">
      <w:pPr>
        <w:numPr>
          <w:ilvl w:val="0"/>
          <w:numId w:val="32"/>
        </w:numPr>
        <w:spacing w:after="160" w:line="259" w:lineRule="auto"/>
        <w:ind w:hanging="357"/>
        <w:rPr>
          <w:rFonts w:ascii="Arial" w:eastAsia="Calibri" w:hAnsi="Arial"/>
          <w:b/>
          <w:sz w:val="22"/>
        </w:rPr>
      </w:pPr>
      <w:r w:rsidRPr="00E9705C">
        <w:rPr>
          <w:rFonts w:ascii="Arial" w:eastAsia="Calibri" w:hAnsi="Arial" w:cs="Arial"/>
          <w:sz w:val="22"/>
        </w:rPr>
        <w:t>Responsible entities must, within six months of the commencement of this rule</w:t>
      </w:r>
      <w:r w:rsidR="00F616CD">
        <w:rPr>
          <w:rFonts w:ascii="Arial" w:eastAsia="Calibri" w:hAnsi="Arial" w:cs="Arial"/>
          <w:sz w:val="22"/>
        </w:rPr>
        <w:t xml:space="preserve"> (or six</w:t>
      </w:r>
      <w:r w:rsidR="00356F06">
        <w:rPr>
          <w:rFonts w:ascii="Arial" w:eastAsia="Calibri" w:hAnsi="Arial" w:cs="Arial"/>
          <w:sz w:val="22"/>
        </w:rPr>
        <w:t xml:space="preserve"> months from first day of operation for new operators)</w:t>
      </w:r>
      <w:r w:rsidRPr="00E9705C">
        <w:rPr>
          <w:rFonts w:ascii="Arial" w:eastAsia="Calibri" w:hAnsi="Arial" w:cs="Arial"/>
          <w:sz w:val="22"/>
        </w:rPr>
        <w:t xml:space="preserve">, ensure that their </w:t>
      </w:r>
      <w:r>
        <w:rPr>
          <w:rFonts w:ascii="Arial" w:eastAsia="Calibri" w:hAnsi="Arial" w:cs="Arial"/>
          <w:sz w:val="22"/>
        </w:rPr>
        <w:t>RMP</w:t>
      </w:r>
      <w:r w:rsidRPr="00E9705C">
        <w:rPr>
          <w:rFonts w:ascii="Arial" w:eastAsia="Calibri" w:hAnsi="Arial" w:cs="Arial"/>
          <w:sz w:val="22"/>
        </w:rPr>
        <w:t xml:space="preserve"> outlines a process for updating the </w:t>
      </w:r>
      <w:r>
        <w:rPr>
          <w:rFonts w:ascii="Arial" w:eastAsia="Calibri" w:hAnsi="Arial" w:cs="Arial"/>
          <w:sz w:val="22"/>
        </w:rPr>
        <w:t>RMP</w:t>
      </w:r>
      <w:r w:rsidRPr="00E9705C">
        <w:rPr>
          <w:rFonts w:ascii="Arial" w:eastAsia="Calibri" w:hAnsi="Arial" w:cs="Arial"/>
          <w:sz w:val="22"/>
        </w:rPr>
        <w:t>.</w:t>
      </w:r>
    </w:p>
    <w:p w14:paraId="69DDE6BA" w14:textId="77777777" w:rsidR="001036C3" w:rsidRDefault="001036C3">
      <w:pPr>
        <w:spacing w:before="80" w:after="80"/>
        <w:rPr>
          <w:rFonts w:ascii="Arial" w:eastAsia="Calibri" w:hAnsi="Arial" w:cs="Arial"/>
          <w:b/>
          <w:bCs/>
          <w:sz w:val="22"/>
          <w:szCs w:val="40"/>
          <w:lang w:eastAsia="en-AU"/>
        </w:rPr>
      </w:pPr>
      <w:r>
        <w:rPr>
          <w:rFonts w:ascii="Arial" w:eastAsia="Calibri" w:hAnsi="Arial"/>
          <w:sz w:val="22"/>
        </w:rPr>
        <w:br w:type="page"/>
      </w:r>
    </w:p>
    <w:p w14:paraId="00E96E60" w14:textId="6766C58B" w:rsidR="005E64DA" w:rsidRDefault="005E64DA" w:rsidP="0002213B">
      <w:pPr>
        <w:pStyle w:val="AppendixH1"/>
      </w:pPr>
      <w:bookmarkStart w:id="482" w:name="_Toc121397411"/>
      <w:r>
        <w:lastRenderedPageBreak/>
        <w:t>Draft RMP Rules</w:t>
      </w:r>
      <w:bookmarkEnd w:id="482"/>
    </w:p>
    <w:p w14:paraId="1A143A77" w14:textId="1AB7C155" w:rsidR="004054F2" w:rsidRPr="004054F2" w:rsidRDefault="004054F2" w:rsidP="0002213B">
      <w:pPr>
        <w:pStyle w:val="BodyText"/>
      </w:pPr>
      <w:r w:rsidRPr="00F655C4">
        <w:rPr>
          <w:b/>
          <w:bCs/>
        </w:rPr>
        <w:t xml:space="preserve">Note: </w:t>
      </w:r>
      <w:r w:rsidRPr="004054F2">
        <w:t>Draft rules are structured by hazard vector</w:t>
      </w:r>
      <w:r w:rsidR="001656B3">
        <w:t>s</w:t>
      </w:r>
      <w:r w:rsidRPr="004054F2">
        <w:t xml:space="preserve"> for the purposes of consultation, ease of discussion and costing. It is important to note that these are not the only hazards that responsible entities will need to consider in their risk management programs.</w:t>
      </w:r>
    </w:p>
    <w:tbl>
      <w:tblPr>
        <w:tblStyle w:val="GridTable4-Accent512"/>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1700"/>
        <w:gridCol w:w="7938"/>
      </w:tblGrid>
      <w:tr w:rsidR="005F057A" w:rsidRPr="00F655C4" w14:paraId="671292C7" w14:textId="77777777" w:rsidTr="00C116FB">
        <w:trPr>
          <w:cnfStyle w:val="100000000000" w:firstRow="1" w:lastRow="0" w:firstColumn="0" w:lastColumn="0" w:oddVBand="0" w:evenVBand="0" w:oddHBand="0" w:evenHBand="0" w:firstRowFirstColumn="0" w:firstRowLastColumn="0" w:lastRowFirstColumn="0" w:lastRowLastColumn="0"/>
        </w:trPr>
        <w:tc>
          <w:tcPr>
            <w:tcW w:w="882" w:type="pct"/>
            <w:shd w:val="clear" w:color="auto" w:fill="034EA2" w:themeFill="accent1"/>
            <w:hideMark/>
          </w:tcPr>
          <w:p w14:paraId="15139D98" w14:textId="77777777" w:rsidR="00395637" w:rsidRPr="00F655C4" w:rsidRDefault="00395637" w:rsidP="00F655C4">
            <w:pPr>
              <w:pStyle w:val="TableHeading"/>
              <w:rPr>
                <w:rFonts w:asciiTheme="minorHAnsi" w:hAnsiTheme="minorHAnsi" w:cstheme="minorHAnsi"/>
                <w:b/>
                <w:bCs w:val="0"/>
              </w:rPr>
            </w:pPr>
            <w:r w:rsidRPr="00F655C4">
              <w:rPr>
                <w:rFonts w:asciiTheme="minorHAnsi" w:hAnsiTheme="minorHAnsi" w:cstheme="minorHAnsi"/>
                <w:b/>
                <w:bCs w:val="0"/>
              </w:rPr>
              <w:t>Timeframe</w:t>
            </w:r>
          </w:p>
        </w:tc>
        <w:tc>
          <w:tcPr>
            <w:tcW w:w="4118" w:type="pct"/>
            <w:shd w:val="clear" w:color="auto" w:fill="034EA2" w:themeFill="accent1"/>
            <w:hideMark/>
          </w:tcPr>
          <w:p w14:paraId="2C918E73" w14:textId="77777777" w:rsidR="00395637" w:rsidRPr="00F655C4" w:rsidRDefault="00395637" w:rsidP="00F655C4">
            <w:pPr>
              <w:pStyle w:val="TableHeading"/>
              <w:rPr>
                <w:rFonts w:asciiTheme="minorHAnsi" w:hAnsiTheme="minorHAnsi" w:cstheme="minorHAnsi"/>
                <w:b/>
                <w:bCs w:val="0"/>
              </w:rPr>
            </w:pPr>
            <w:r w:rsidRPr="00F655C4">
              <w:rPr>
                <w:rFonts w:asciiTheme="minorHAnsi" w:hAnsiTheme="minorHAnsi" w:cstheme="minorHAnsi"/>
                <w:b/>
                <w:bCs w:val="0"/>
              </w:rPr>
              <w:t>Risk management program requirements under the rules</w:t>
            </w:r>
          </w:p>
        </w:tc>
      </w:tr>
      <w:tr w:rsidR="003F7D65" w:rsidRPr="00F63E13" w14:paraId="45879A68" w14:textId="77777777" w:rsidTr="00C116FB">
        <w:tc>
          <w:tcPr>
            <w:tcW w:w="882" w:type="pct"/>
            <w:vMerge w:val="restart"/>
            <w:shd w:val="clear" w:color="auto" w:fill="F2F2F2" w:themeFill="background1" w:themeFillShade="F2"/>
            <w:hideMark/>
          </w:tcPr>
          <w:p w14:paraId="4E95B8F1" w14:textId="77777777"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Rules commence</w:t>
            </w:r>
          </w:p>
        </w:tc>
        <w:tc>
          <w:tcPr>
            <w:tcW w:w="4118" w:type="pct"/>
            <w:hideMark/>
          </w:tcPr>
          <w:p w14:paraId="60E4D336" w14:textId="57C450EB"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 xml:space="preserve">Begin developing risk management program in line with Part 2A of the </w:t>
            </w:r>
            <w:r w:rsidR="0000126B">
              <w:rPr>
                <w:rFonts w:asciiTheme="minorHAnsi" w:hAnsiTheme="minorHAnsi" w:cstheme="minorHAnsi"/>
              </w:rPr>
              <w:t>Act</w:t>
            </w:r>
          </w:p>
        </w:tc>
      </w:tr>
      <w:tr w:rsidR="003F7D65" w:rsidRPr="00F63E13" w14:paraId="1B1DC33C" w14:textId="77777777" w:rsidTr="00C116FB">
        <w:tc>
          <w:tcPr>
            <w:tcW w:w="882" w:type="pct"/>
            <w:vMerge/>
            <w:shd w:val="clear" w:color="auto" w:fill="F2F2F2" w:themeFill="background1" w:themeFillShade="F2"/>
            <w:hideMark/>
          </w:tcPr>
          <w:p w14:paraId="7E3B4ECF" w14:textId="77777777" w:rsidR="00395637" w:rsidRPr="00F655C4" w:rsidRDefault="00395637" w:rsidP="00F655C4">
            <w:pPr>
              <w:pStyle w:val="TableBody"/>
              <w:rPr>
                <w:rFonts w:asciiTheme="minorHAnsi" w:hAnsiTheme="minorHAnsi" w:cstheme="minorHAnsi"/>
              </w:rPr>
            </w:pPr>
          </w:p>
        </w:tc>
        <w:tc>
          <w:tcPr>
            <w:tcW w:w="4118" w:type="pct"/>
            <w:hideMark/>
          </w:tcPr>
          <w:p w14:paraId="444B62E5" w14:textId="77777777"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Begin identifying material risks, and thinking about the steps needed to minimise the risk of the hazards occurring, and mitigate the consequences should they occur (Material Risk Rules)</w:t>
            </w:r>
          </w:p>
        </w:tc>
      </w:tr>
      <w:tr w:rsidR="003F7D65" w:rsidRPr="00F63E13" w14:paraId="1620CFE5" w14:textId="77777777" w:rsidTr="00C116FB">
        <w:tc>
          <w:tcPr>
            <w:tcW w:w="882" w:type="pct"/>
            <w:vMerge w:val="restart"/>
            <w:shd w:val="clear" w:color="auto" w:fill="F2F2F2" w:themeFill="background1" w:themeFillShade="F2"/>
            <w:hideMark/>
          </w:tcPr>
          <w:p w14:paraId="5FD798AE" w14:textId="77777777"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In six months</w:t>
            </w:r>
          </w:p>
        </w:tc>
        <w:tc>
          <w:tcPr>
            <w:tcW w:w="4118" w:type="pct"/>
            <w:hideMark/>
          </w:tcPr>
          <w:p w14:paraId="6D093AC7" w14:textId="2161258F"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 xml:space="preserve">Have and comply with a risk management program in line with Part 2A of the </w:t>
            </w:r>
            <w:r w:rsidR="0000126B">
              <w:rPr>
                <w:rFonts w:asciiTheme="minorHAnsi" w:hAnsiTheme="minorHAnsi" w:cstheme="minorHAnsi"/>
              </w:rPr>
              <w:t>Act</w:t>
            </w:r>
          </w:p>
        </w:tc>
      </w:tr>
      <w:tr w:rsidR="003F7D65" w:rsidRPr="00F63E13" w14:paraId="3507C252" w14:textId="77777777" w:rsidTr="00C116FB">
        <w:tc>
          <w:tcPr>
            <w:tcW w:w="882" w:type="pct"/>
            <w:vMerge/>
            <w:shd w:val="clear" w:color="auto" w:fill="F2F2F2" w:themeFill="background1" w:themeFillShade="F2"/>
            <w:hideMark/>
          </w:tcPr>
          <w:p w14:paraId="03D43161" w14:textId="77777777" w:rsidR="00395637" w:rsidRPr="00F655C4" w:rsidRDefault="00395637" w:rsidP="00F655C4">
            <w:pPr>
              <w:pStyle w:val="TableBody"/>
              <w:rPr>
                <w:rFonts w:asciiTheme="minorHAnsi" w:hAnsiTheme="minorHAnsi" w:cstheme="minorHAnsi"/>
              </w:rPr>
            </w:pPr>
          </w:p>
        </w:tc>
        <w:tc>
          <w:tcPr>
            <w:tcW w:w="4118" w:type="pct"/>
            <w:hideMark/>
          </w:tcPr>
          <w:p w14:paraId="7E76F7A7" w14:textId="77777777"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Include the specified material risks, and take steps to minimise the risk of the hazards occurring and mitigate the consequences should they occur (Material Risk Rules)</w:t>
            </w:r>
          </w:p>
        </w:tc>
      </w:tr>
      <w:tr w:rsidR="003F7D65" w:rsidRPr="00F63E13" w14:paraId="491BAB2C" w14:textId="77777777" w:rsidTr="00C116FB">
        <w:tc>
          <w:tcPr>
            <w:tcW w:w="882" w:type="pct"/>
            <w:vMerge/>
            <w:shd w:val="clear" w:color="auto" w:fill="F2F2F2" w:themeFill="background1" w:themeFillShade="F2"/>
          </w:tcPr>
          <w:p w14:paraId="05B698FD" w14:textId="77777777" w:rsidR="00395637" w:rsidRPr="00F655C4" w:rsidRDefault="00395637" w:rsidP="00F655C4">
            <w:pPr>
              <w:pStyle w:val="TableBody"/>
              <w:rPr>
                <w:rFonts w:asciiTheme="minorHAnsi" w:hAnsiTheme="minorHAnsi" w:cstheme="minorHAnsi"/>
              </w:rPr>
            </w:pPr>
          </w:p>
        </w:tc>
        <w:tc>
          <w:tcPr>
            <w:tcW w:w="4118" w:type="pct"/>
          </w:tcPr>
          <w:p w14:paraId="2FA78810" w14:textId="1EC3950E"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 xml:space="preserve">Ensure their risk management program includes details of a risk-based plan that outlines strategies and security controls as to how cyber and information security threats are being mitigated. (Cyber and Information Security Hazards Rule 1) </w:t>
            </w:r>
          </w:p>
        </w:tc>
      </w:tr>
      <w:tr w:rsidR="003F7D65" w:rsidRPr="00F63E13" w14:paraId="7C59B363" w14:textId="77777777" w:rsidTr="00C116FB">
        <w:tc>
          <w:tcPr>
            <w:tcW w:w="882" w:type="pct"/>
            <w:vMerge/>
            <w:shd w:val="clear" w:color="auto" w:fill="F2F2F2" w:themeFill="background1" w:themeFillShade="F2"/>
          </w:tcPr>
          <w:p w14:paraId="45829D43" w14:textId="77777777" w:rsidR="00395637" w:rsidRPr="00F655C4" w:rsidRDefault="00395637" w:rsidP="00F655C4">
            <w:pPr>
              <w:pStyle w:val="TableBody"/>
              <w:rPr>
                <w:rFonts w:asciiTheme="minorHAnsi" w:hAnsiTheme="minorHAnsi" w:cstheme="minorHAnsi"/>
              </w:rPr>
            </w:pPr>
          </w:p>
        </w:tc>
        <w:tc>
          <w:tcPr>
            <w:tcW w:w="4118" w:type="pct"/>
          </w:tcPr>
          <w:p w14:paraId="3ED7EADB" w14:textId="77777777"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 xml:space="preserve">Comply with all Personnel, Supply Chain, Physical and Natural Hazards rules. </w:t>
            </w:r>
          </w:p>
        </w:tc>
      </w:tr>
      <w:tr w:rsidR="003F7D65" w:rsidRPr="00F63E13" w14:paraId="79CD3AF5" w14:textId="77777777" w:rsidTr="00C116FB">
        <w:tc>
          <w:tcPr>
            <w:tcW w:w="882" w:type="pct"/>
            <w:shd w:val="clear" w:color="auto" w:fill="F2F2F2" w:themeFill="background1" w:themeFillShade="F2"/>
            <w:hideMark/>
          </w:tcPr>
          <w:p w14:paraId="1843E962" w14:textId="77777777"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Within 18 months</w:t>
            </w:r>
          </w:p>
        </w:tc>
        <w:tc>
          <w:tcPr>
            <w:tcW w:w="4118" w:type="pct"/>
            <w:hideMark/>
          </w:tcPr>
          <w:p w14:paraId="005D175E" w14:textId="77777777"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Ensure that their risk management program includes details of how the responsible entity complies with at least one of the following standards and frameworks:</w:t>
            </w:r>
          </w:p>
          <w:p w14:paraId="0E561E8F" w14:textId="77777777" w:rsidR="00395637" w:rsidRPr="00F655C4" w:rsidRDefault="00395637" w:rsidP="00CE4B35">
            <w:pPr>
              <w:pStyle w:val="TableBody"/>
              <w:numPr>
                <w:ilvl w:val="0"/>
                <w:numId w:val="164"/>
              </w:numPr>
              <w:rPr>
                <w:rFonts w:asciiTheme="minorHAnsi" w:hAnsiTheme="minorHAnsi" w:cstheme="minorHAnsi"/>
              </w:rPr>
            </w:pPr>
            <w:r w:rsidRPr="00F655C4">
              <w:rPr>
                <w:rFonts w:asciiTheme="minorHAnsi" w:eastAsiaTheme="minorHAnsi" w:hAnsiTheme="minorHAnsi" w:cstheme="minorHAnsi"/>
              </w:rPr>
              <w:t>The Australian Cyber Security Centre’s Essential Eight Maturity Model at maturity level one;</w:t>
            </w:r>
          </w:p>
          <w:p w14:paraId="18DF0A47" w14:textId="77777777" w:rsidR="00395637" w:rsidRPr="00F655C4" w:rsidRDefault="00395637" w:rsidP="00CE4B35">
            <w:pPr>
              <w:pStyle w:val="TableBody"/>
              <w:numPr>
                <w:ilvl w:val="0"/>
                <w:numId w:val="164"/>
              </w:numPr>
              <w:rPr>
                <w:rFonts w:asciiTheme="minorHAnsi" w:hAnsiTheme="minorHAnsi" w:cstheme="minorHAnsi"/>
              </w:rPr>
            </w:pPr>
            <w:r w:rsidRPr="00F655C4">
              <w:rPr>
                <w:rFonts w:asciiTheme="minorHAnsi" w:eastAsiaTheme="minorHAnsi" w:hAnsiTheme="minorHAnsi" w:cstheme="minorHAnsi"/>
              </w:rPr>
              <w:t>AS ISO/IEC 27001:2015;</w:t>
            </w:r>
          </w:p>
          <w:p w14:paraId="3F99FBB9" w14:textId="26EA9ECA" w:rsidR="00395637" w:rsidRPr="00F655C4" w:rsidRDefault="00395637" w:rsidP="00CE4B35">
            <w:pPr>
              <w:pStyle w:val="TableBody"/>
              <w:numPr>
                <w:ilvl w:val="0"/>
                <w:numId w:val="164"/>
              </w:numPr>
              <w:rPr>
                <w:rFonts w:asciiTheme="minorHAnsi" w:hAnsiTheme="minorHAnsi" w:cstheme="minorHAnsi"/>
              </w:rPr>
            </w:pPr>
            <w:r w:rsidRPr="00F655C4">
              <w:rPr>
                <w:rFonts w:asciiTheme="minorHAnsi" w:eastAsiaTheme="minorHAnsi" w:hAnsiTheme="minorHAnsi" w:cstheme="minorHAnsi"/>
              </w:rPr>
              <w:t xml:space="preserve">The National Institute of Standards and Technology (NIST) </w:t>
            </w:r>
            <w:r w:rsidR="00A525A5">
              <w:rPr>
                <w:rFonts w:asciiTheme="minorHAnsi" w:eastAsiaTheme="minorHAnsi" w:hAnsiTheme="minorHAnsi" w:cstheme="minorHAnsi"/>
              </w:rPr>
              <w:t xml:space="preserve">Framework for Improving Critical Infrastructure </w:t>
            </w:r>
            <w:r w:rsidRPr="00F655C4">
              <w:rPr>
                <w:rFonts w:asciiTheme="minorHAnsi" w:eastAsiaTheme="minorHAnsi" w:hAnsiTheme="minorHAnsi" w:cstheme="minorHAnsi"/>
              </w:rPr>
              <w:t>Cybersecurity;</w:t>
            </w:r>
          </w:p>
          <w:p w14:paraId="115AC182" w14:textId="77777777" w:rsidR="00395637" w:rsidRPr="00F655C4" w:rsidRDefault="00395637" w:rsidP="00CE4B35">
            <w:pPr>
              <w:pStyle w:val="TableBody"/>
              <w:numPr>
                <w:ilvl w:val="0"/>
                <w:numId w:val="164"/>
              </w:numPr>
              <w:rPr>
                <w:rFonts w:asciiTheme="minorHAnsi" w:hAnsiTheme="minorHAnsi" w:cstheme="minorHAnsi"/>
              </w:rPr>
            </w:pPr>
            <w:r w:rsidRPr="00F655C4">
              <w:rPr>
                <w:rFonts w:asciiTheme="minorHAnsi" w:eastAsiaTheme="minorHAnsi" w:hAnsiTheme="minorHAnsi" w:cstheme="minorHAnsi"/>
              </w:rPr>
              <w:t>The Cybersecurity Capability Maturity Model (C2M2) at Maturity Indicator Level 1;</w:t>
            </w:r>
          </w:p>
          <w:p w14:paraId="61BE40FC" w14:textId="77777777" w:rsidR="00395637" w:rsidRPr="00F655C4" w:rsidRDefault="00395637" w:rsidP="00CE4B35">
            <w:pPr>
              <w:pStyle w:val="TableBody"/>
              <w:numPr>
                <w:ilvl w:val="0"/>
                <w:numId w:val="164"/>
              </w:numPr>
              <w:rPr>
                <w:rFonts w:asciiTheme="minorHAnsi" w:hAnsiTheme="minorHAnsi" w:cstheme="minorHAnsi"/>
              </w:rPr>
            </w:pPr>
            <w:r w:rsidRPr="00F655C4">
              <w:rPr>
                <w:rFonts w:asciiTheme="minorHAnsi" w:eastAsiaTheme="minorHAnsi" w:hAnsiTheme="minorHAnsi" w:cstheme="minorHAnsi"/>
              </w:rPr>
              <w:t>Security Profile 1 of the Australian Energy Sector Cyber Security Framework; or</w:t>
            </w:r>
          </w:p>
          <w:p w14:paraId="5ACFFC8E" w14:textId="77777777" w:rsidR="00395637" w:rsidRPr="00F655C4" w:rsidRDefault="00395637" w:rsidP="00CE4B35">
            <w:pPr>
              <w:pStyle w:val="TableBody"/>
              <w:numPr>
                <w:ilvl w:val="0"/>
                <w:numId w:val="164"/>
              </w:numPr>
              <w:rPr>
                <w:rFonts w:asciiTheme="minorHAnsi" w:hAnsiTheme="minorHAnsi" w:cstheme="minorHAnsi"/>
              </w:rPr>
            </w:pPr>
            <w:r w:rsidRPr="00F655C4">
              <w:rPr>
                <w:rFonts w:asciiTheme="minorHAnsi" w:eastAsiaTheme="minorHAnsi" w:hAnsiTheme="minorHAnsi" w:cstheme="minorHAnsi"/>
              </w:rPr>
              <w:t>an equivalent standard.</w:t>
            </w:r>
          </w:p>
          <w:p w14:paraId="67C4891E" w14:textId="4DA1919E" w:rsidR="00395637" w:rsidRPr="00F655C4" w:rsidRDefault="00395637" w:rsidP="00F655C4">
            <w:pPr>
              <w:pStyle w:val="TableBody"/>
              <w:rPr>
                <w:rFonts w:asciiTheme="minorHAnsi" w:hAnsiTheme="minorHAnsi" w:cstheme="minorHAnsi"/>
              </w:rPr>
            </w:pPr>
            <w:r w:rsidRPr="00F655C4">
              <w:rPr>
                <w:rFonts w:asciiTheme="minorHAnsi" w:hAnsiTheme="minorHAnsi" w:cstheme="minorHAnsi"/>
              </w:rPr>
              <w:t>(Cyber and Information Security Hazards Rule 2)</w:t>
            </w:r>
          </w:p>
        </w:tc>
      </w:tr>
    </w:tbl>
    <w:p w14:paraId="515BBAE5" w14:textId="258A2294" w:rsidR="004054F2" w:rsidRPr="00531F25" w:rsidRDefault="001656B3" w:rsidP="00F655C4">
      <w:pPr>
        <w:pStyle w:val="BodyText"/>
        <w:spacing w:before="240"/>
      </w:pPr>
      <w:r>
        <w:t>O</w:t>
      </w:r>
      <w:r w:rsidR="004054F2" w:rsidRPr="004054F2">
        <w:t xml:space="preserve">bligations </w:t>
      </w:r>
      <w:r>
        <w:t>with</w:t>
      </w:r>
      <w:r w:rsidR="004054F2" w:rsidRPr="004054F2">
        <w:t xml:space="preserve">in the </w:t>
      </w:r>
      <w:r>
        <w:t xml:space="preserve">SLACIP </w:t>
      </w:r>
      <w:r w:rsidR="00D721DC">
        <w:t>Act</w:t>
      </w:r>
      <w:r w:rsidR="00D721DC" w:rsidRPr="004054F2">
        <w:t xml:space="preserve"> </w:t>
      </w:r>
      <w:r>
        <w:t>which</w:t>
      </w:r>
      <w:r w:rsidRPr="004054F2">
        <w:t xml:space="preserve"> </w:t>
      </w:r>
      <w:r w:rsidR="004054F2" w:rsidRPr="004054F2">
        <w:t xml:space="preserve">require responsible entities to </w:t>
      </w:r>
      <w:r>
        <w:t>comply with the</w:t>
      </w:r>
      <w:r w:rsidR="004054F2" w:rsidRPr="004054F2">
        <w:t xml:space="preserve"> risk management program </w:t>
      </w:r>
      <w:r>
        <w:t xml:space="preserve">rules once </w:t>
      </w:r>
      <w:r w:rsidR="004054F2" w:rsidRPr="004054F2">
        <w:t xml:space="preserve">switched on </w:t>
      </w:r>
      <w:r>
        <w:t>will</w:t>
      </w:r>
      <w:r w:rsidR="004054F2" w:rsidRPr="004054F2">
        <w:t xml:space="preserve"> include a grace period of six months.</w:t>
      </w:r>
    </w:p>
    <w:p w14:paraId="5B73A75E" w14:textId="77777777" w:rsidR="004054F2" w:rsidRPr="00531F25" w:rsidRDefault="004054F2" w:rsidP="0002213B">
      <w:pPr>
        <w:pStyle w:val="BodyText"/>
      </w:pPr>
      <w:r w:rsidRPr="00531F25">
        <w:t>These draft rules are provided for the purpose of consultation and costing to inform advice to Government.</w:t>
      </w:r>
      <w:r w:rsidRPr="00531F25">
        <w:rPr>
          <w:color w:val="4472C4"/>
          <w:sz w:val="26"/>
          <w:szCs w:val="26"/>
        </w:rPr>
        <w:br w:type="page"/>
      </w:r>
    </w:p>
    <w:p w14:paraId="7EE8BAE7" w14:textId="77777777" w:rsidR="004054F2" w:rsidRPr="00531F25" w:rsidRDefault="004054F2" w:rsidP="0002213B">
      <w:pPr>
        <w:pStyle w:val="AppendixH2"/>
      </w:pPr>
      <w:bookmarkStart w:id="483" w:name="_Toc90197374"/>
      <w:bookmarkStart w:id="484" w:name="_Toc74230869"/>
      <w:bookmarkStart w:id="485" w:name="_Toc76050868"/>
      <w:bookmarkStart w:id="486" w:name="_Toc77755151"/>
      <w:bookmarkStart w:id="487" w:name="_Toc79149675"/>
      <w:r w:rsidRPr="00531F25">
        <w:lastRenderedPageBreak/>
        <w:t>Material Risks</w:t>
      </w:r>
      <w:bookmarkEnd w:id="483"/>
    </w:p>
    <w:p w14:paraId="4157367D" w14:textId="05D13D6B" w:rsidR="004054F2" w:rsidRPr="00531F25" w:rsidRDefault="004054F2" w:rsidP="00FA76EE">
      <w:pPr>
        <w:pStyle w:val="BodyText0"/>
        <w:numPr>
          <w:ilvl w:val="2"/>
          <w:numId w:val="49"/>
        </w:numPr>
        <w:spacing w:after="100"/>
        <w:ind w:left="284" w:hanging="284"/>
        <w:rPr>
          <w:rFonts w:ascii="Arial" w:hAnsi="Arial" w:cs="Arial"/>
          <w:sz w:val="22"/>
        </w:rPr>
      </w:pPr>
      <w:r w:rsidRPr="00531F25">
        <w:rPr>
          <w:rFonts w:ascii="Arial" w:hAnsi="Arial" w:cs="Arial"/>
          <w:sz w:val="22"/>
        </w:rPr>
        <w:t xml:space="preserve">The </w:t>
      </w:r>
      <w:r w:rsidR="00175493">
        <w:rPr>
          <w:rFonts w:ascii="Arial" w:hAnsi="Arial" w:cs="Arial"/>
          <w:sz w:val="22"/>
        </w:rPr>
        <w:t>SLACIP Act</w:t>
      </w:r>
      <w:r w:rsidRPr="00531F25">
        <w:rPr>
          <w:rFonts w:ascii="Arial" w:hAnsi="Arial" w:cs="Arial"/>
          <w:sz w:val="22"/>
        </w:rPr>
        <w:t xml:space="preserve"> requires responsible entities to continue to identify and mitigate </w:t>
      </w:r>
      <w:r w:rsidRPr="00531F25">
        <w:rPr>
          <w:rFonts w:ascii="Arial" w:hAnsi="Arial" w:cs="Arial"/>
          <w:b/>
          <w:sz w:val="22"/>
        </w:rPr>
        <w:t>material risks</w:t>
      </w:r>
      <w:r w:rsidRPr="00531F25">
        <w:rPr>
          <w:rFonts w:ascii="Arial" w:hAnsi="Arial" w:cs="Arial"/>
          <w:sz w:val="22"/>
        </w:rPr>
        <w:t xml:space="preserve"> that have a substantial impact the availability, </w:t>
      </w:r>
      <w:r w:rsidR="00F85A66" w:rsidRPr="00531F25">
        <w:rPr>
          <w:rFonts w:ascii="Arial" w:hAnsi="Arial" w:cs="Arial"/>
          <w:sz w:val="22"/>
        </w:rPr>
        <w:t>reliability,</w:t>
      </w:r>
      <w:r w:rsidRPr="00531F25">
        <w:rPr>
          <w:rFonts w:ascii="Arial" w:hAnsi="Arial" w:cs="Arial"/>
          <w:sz w:val="22"/>
        </w:rPr>
        <w:t xml:space="preserve"> and integrity of a critical infrastructure asset. </w:t>
      </w:r>
    </w:p>
    <w:p w14:paraId="49D23BF1" w14:textId="77777777" w:rsidR="004054F2" w:rsidRPr="00531F25" w:rsidRDefault="004054F2" w:rsidP="00FA76EE">
      <w:pPr>
        <w:pStyle w:val="BodyText0"/>
        <w:numPr>
          <w:ilvl w:val="2"/>
          <w:numId w:val="49"/>
        </w:numPr>
        <w:spacing w:after="100"/>
        <w:ind w:left="284" w:hanging="284"/>
        <w:rPr>
          <w:rFonts w:ascii="Arial" w:hAnsi="Arial" w:cs="Arial"/>
          <w:sz w:val="22"/>
        </w:rPr>
      </w:pPr>
      <w:r w:rsidRPr="00531F25">
        <w:rPr>
          <w:rFonts w:ascii="Arial" w:hAnsi="Arial" w:cs="Arial"/>
          <w:sz w:val="22"/>
        </w:rPr>
        <w:t xml:space="preserve">Responsible entities for critical infrastructure assets must consider </w:t>
      </w:r>
      <w:r w:rsidRPr="00531F25">
        <w:rPr>
          <w:rFonts w:ascii="Arial" w:hAnsi="Arial" w:cs="Arial"/>
          <w:b/>
          <w:sz w:val="22"/>
        </w:rPr>
        <w:t xml:space="preserve">all </w:t>
      </w:r>
      <w:r w:rsidRPr="00531F25">
        <w:rPr>
          <w:rFonts w:ascii="Arial" w:hAnsi="Arial" w:cs="Arial"/>
          <w:sz w:val="22"/>
        </w:rPr>
        <w:t xml:space="preserve">relevant </w:t>
      </w:r>
      <w:r w:rsidRPr="00531F25">
        <w:rPr>
          <w:rFonts w:ascii="Arial" w:hAnsi="Arial" w:cs="Arial"/>
          <w:b/>
          <w:sz w:val="22"/>
        </w:rPr>
        <w:t xml:space="preserve">material risks </w:t>
      </w:r>
      <w:r w:rsidRPr="00531F25">
        <w:rPr>
          <w:rFonts w:ascii="Arial" w:hAnsi="Arial" w:cs="Arial"/>
          <w:sz w:val="22"/>
        </w:rPr>
        <w:t xml:space="preserve">to their business.  </w:t>
      </w:r>
    </w:p>
    <w:p w14:paraId="215260EC" w14:textId="77777777" w:rsidR="004054F2" w:rsidRPr="00531F25" w:rsidRDefault="004054F2" w:rsidP="00FA76EE">
      <w:pPr>
        <w:pStyle w:val="BodyText0"/>
        <w:numPr>
          <w:ilvl w:val="0"/>
          <w:numId w:val="63"/>
        </w:numPr>
        <w:spacing w:after="100"/>
        <w:ind w:left="284" w:hanging="284"/>
        <w:rPr>
          <w:rFonts w:ascii="Arial" w:hAnsi="Arial" w:cs="Arial"/>
          <w:sz w:val="22"/>
        </w:rPr>
      </w:pPr>
      <w:r w:rsidRPr="00531F25">
        <w:rPr>
          <w:rFonts w:ascii="Arial" w:hAnsi="Arial" w:cs="Arial"/>
          <w:sz w:val="22"/>
        </w:rPr>
        <w:t xml:space="preserve">Responsible entities for critical infrastructure assets are responsible for determining if a risk is a </w:t>
      </w:r>
      <w:r w:rsidRPr="00531F25">
        <w:rPr>
          <w:rFonts w:ascii="Arial" w:hAnsi="Arial" w:cs="Arial"/>
          <w:b/>
          <w:sz w:val="22"/>
        </w:rPr>
        <w:t>material risk</w:t>
      </w:r>
      <w:r w:rsidRPr="00531F25">
        <w:rPr>
          <w:rFonts w:ascii="Arial" w:hAnsi="Arial" w:cs="Arial"/>
          <w:sz w:val="22"/>
        </w:rPr>
        <w:t>.</w:t>
      </w:r>
    </w:p>
    <w:p w14:paraId="705D0570" w14:textId="77777777" w:rsidR="004054F2" w:rsidRPr="00531F25" w:rsidRDefault="004054F2" w:rsidP="00FA76EE">
      <w:pPr>
        <w:pStyle w:val="BodyText0"/>
        <w:numPr>
          <w:ilvl w:val="0"/>
          <w:numId w:val="63"/>
        </w:numPr>
        <w:spacing w:after="100"/>
        <w:ind w:left="284" w:hanging="284"/>
        <w:rPr>
          <w:rFonts w:ascii="Arial" w:hAnsi="Arial" w:cs="Arial"/>
          <w:sz w:val="22"/>
        </w:rPr>
      </w:pPr>
      <w:r w:rsidRPr="00531F25">
        <w:rPr>
          <w:rFonts w:ascii="Arial" w:hAnsi="Arial" w:cs="Arial"/>
          <w:sz w:val="22"/>
        </w:rPr>
        <w:t xml:space="preserve">Recognising the operating context differs between entities, when considering if a risk is a </w:t>
      </w:r>
      <w:r w:rsidRPr="00531F25">
        <w:rPr>
          <w:rFonts w:ascii="Arial" w:hAnsi="Arial" w:cs="Arial"/>
          <w:b/>
          <w:sz w:val="22"/>
        </w:rPr>
        <w:t>material</w:t>
      </w:r>
      <w:r w:rsidRPr="00531F25">
        <w:rPr>
          <w:rFonts w:ascii="Arial" w:hAnsi="Arial" w:cs="Arial"/>
          <w:sz w:val="22"/>
        </w:rPr>
        <w:t xml:space="preserve"> </w:t>
      </w:r>
      <w:r w:rsidRPr="00531F25">
        <w:rPr>
          <w:rFonts w:ascii="Arial" w:hAnsi="Arial" w:cs="Arial"/>
          <w:b/>
          <w:sz w:val="22"/>
        </w:rPr>
        <w:t>risk</w:t>
      </w:r>
      <w:r w:rsidRPr="00531F25">
        <w:rPr>
          <w:rFonts w:ascii="Arial" w:hAnsi="Arial" w:cs="Arial"/>
          <w:sz w:val="22"/>
        </w:rPr>
        <w:t>, a risk management program should have regard to consideration of:</w:t>
      </w:r>
    </w:p>
    <w:p w14:paraId="00707CC1" w14:textId="77777777" w:rsidR="004054F2" w:rsidRPr="00531F25" w:rsidRDefault="004054F2" w:rsidP="00FA76EE">
      <w:pPr>
        <w:pStyle w:val="BodyText0"/>
        <w:numPr>
          <w:ilvl w:val="1"/>
          <w:numId w:val="63"/>
        </w:numPr>
        <w:spacing w:after="100"/>
        <w:ind w:left="567" w:hanging="283"/>
        <w:rPr>
          <w:rFonts w:ascii="Arial" w:hAnsi="Arial" w:cs="Arial"/>
          <w:sz w:val="22"/>
        </w:rPr>
      </w:pPr>
      <w:r w:rsidRPr="00531F25">
        <w:rPr>
          <w:rFonts w:ascii="Arial" w:hAnsi="Arial" w:cs="Arial"/>
          <w:sz w:val="22"/>
        </w:rPr>
        <w:t xml:space="preserve">a hazard that would cause the stoppage or major slowdown of a critical infrastructure asset’s functioning for an unmanageable period; </w:t>
      </w:r>
    </w:p>
    <w:p w14:paraId="766EB866" w14:textId="77777777" w:rsidR="004054F2" w:rsidRPr="00531F25" w:rsidRDefault="004054F2" w:rsidP="00FA76EE">
      <w:pPr>
        <w:pStyle w:val="BodyText0"/>
        <w:numPr>
          <w:ilvl w:val="1"/>
          <w:numId w:val="63"/>
        </w:numPr>
        <w:spacing w:after="100"/>
        <w:ind w:left="567" w:hanging="283"/>
        <w:rPr>
          <w:rFonts w:ascii="Arial" w:hAnsi="Arial" w:cs="Arial"/>
          <w:sz w:val="22"/>
        </w:rPr>
      </w:pPr>
      <w:r w:rsidRPr="00531F25">
        <w:rPr>
          <w:rFonts w:ascii="Arial" w:hAnsi="Arial" w:cs="Arial"/>
          <w:sz w:val="22"/>
        </w:rPr>
        <w:t>the substantive loss of access to or deliberate or accidental manipulation of a component of a critical infrastructure asset such as the position, navigation and timing systems impacting provision of service and/or functioning of the asset;</w:t>
      </w:r>
    </w:p>
    <w:p w14:paraId="10A51B6B" w14:textId="592AA89A" w:rsidR="004054F2" w:rsidRPr="00531F25" w:rsidRDefault="004054F2" w:rsidP="00FA76EE">
      <w:pPr>
        <w:pStyle w:val="BodyText0"/>
        <w:numPr>
          <w:ilvl w:val="1"/>
          <w:numId w:val="63"/>
        </w:numPr>
        <w:spacing w:after="100"/>
        <w:ind w:left="567" w:hanging="283"/>
        <w:rPr>
          <w:rFonts w:ascii="Arial" w:hAnsi="Arial" w:cs="Arial"/>
          <w:sz w:val="22"/>
        </w:rPr>
      </w:pPr>
      <w:r w:rsidRPr="00531F25">
        <w:rPr>
          <w:rFonts w:ascii="Arial" w:hAnsi="Arial" w:cs="Arial"/>
          <w:sz w:val="22"/>
        </w:rPr>
        <w:t xml:space="preserve">the interference with a critical infrastructure asset’s operating technology or information communication technology such as a </w:t>
      </w:r>
      <w:r w:rsidR="00DB61F1" w:rsidRPr="00E06CD3">
        <w:rPr>
          <w:rFonts w:asciiTheme="majorHAnsi" w:hAnsiTheme="majorHAnsi" w:cstheme="majorHAnsi"/>
          <w:sz w:val="22"/>
        </w:rPr>
        <w:t>Supervisory Control and Data Acquisition System</w:t>
      </w:r>
      <w:r w:rsidR="00DB61F1" w:rsidRPr="00531F25">
        <w:rPr>
          <w:rFonts w:ascii="Arial" w:hAnsi="Arial" w:cs="Arial"/>
          <w:sz w:val="22"/>
        </w:rPr>
        <w:t xml:space="preserve"> </w:t>
      </w:r>
      <w:r w:rsidR="00DB61F1">
        <w:rPr>
          <w:rFonts w:ascii="Arial" w:hAnsi="Arial" w:cs="Arial"/>
          <w:sz w:val="22"/>
        </w:rPr>
        <w:t>(</w:t>
      </w:r>
      <w:r w:rsidRPr="00531F25">
        <w:rPr>
          <w:rFonts w:ascii="Arial" w:hAnsi="Arial" w:cs="Arial"/>
          <w:sz w:val="22"/>
        </w:rPr>
        <w:t>SCADA</w:t>
      </w:r>
      <w:r w:rsidR="00DB61F1">
        <w:rPr>
          <w:rFonts w:ascii="Arial" w:hAnsi="Arial" w:cs="Arial"/>
          <w:sz w:val="22"/>
        </w:rPr>
        <w:t>)</w:t>
      </w:r>
      <w:r w:rsidRPr="00531F25">
        <w:rPr>
          <w:rFonts w:ascii="Arial" w:hAnsi="Arial" w:cs="Arial"/>
          <w:sz w:val="22"/>
        </w:rPr>
        <w:t xml:space="preserve"> system essential to the functioning of a critical infrastructure asset;</w:t>
      </w:r>
    </w:p>
    <w:p w14:paraId="2919885A" w14:textId="77777777" w:rsidR="004054F2" w:rsidRPr="00531F25" w:rsidRDefault="004054F2" w:rsidP="00FA76EE">
      <w:pPr>
        <w:pStyle w:val="BodyText0"/>
        <w:numPr>
          <w:ilvl w:val="1"/>
          <w:numId w:val="63"/>
        </w:numPr>
        <w:spacing w:after="100"/>
        <w:ind w:left="567" w:hanging="283"/>
        <w:rPr>
          <w:rFonts w:ascii="Arial" w:hAnsi="Arial" w:cs="Arial"/>
          <w:sz w:val="22"/>
        </w:rPr>
      </w:pPr>
      <w:r w:rsidRPr="00531F25">
        <w:rPr>
          <w:rFonts w:ascii="Arial" w:hAnsi="Arial" w:cs="Arial"/>
          <w:sz w:val="22"/>
        </w:rPr>
        <w:t xml:space="preserve">the relevant impact on the critical infrastructure asset resulting from the storage, transmission or processing of sensitive operational information outside Australia; </w:t>
      </w:r>
    </w:p>
    <w:p w14:paraId="5390AC2D" w14:textId="77777777" w:rsidR="004054F2" w:rsidRPr="00531F25" w:rsidRDefault="004054F2" w:rsidP="00FA76EE">
      <w:pPr>
        <w:pStyle w:val="BodyText0"/>
        <w:numPr>
          <w:ilvl w:val="1"/>
          <w:numId w:val="63"/>
        </w:numPr>
        <w:spacing w:after="100"/>
        <w:ind w:left="567" w:hanging="283"/>
        <w:rPr>
          <w:rFonts w:ascii="Arial" w:hAnsi="Arial" w:cs="Arial"/>
          <w:sz w:val="22"/>
        </w:rPr>
      </w:pPr>
      <w:r w:rsidRPr="00531F25">
        <w:rPr>
          <w:rFonts w:ascii="Arial" w:hAnsi="Arial" w:cs="Arial"/>
          <w:sz w:val="22"/>
        </w:rPr>
        <w:t xml:space="preserve">the relevant impact on the critical infrastructure asset resulting from the remote access to operational control or operational monitoring systems of the asset; and </w:t>
      </w:r>
    </w:p>
    <w:p w14:paraId="702A1F20" w14:textId="77777777" w:rsidR="004054F2" w:rsidRPr="00531F25" w:rsidRDefault="004054F2" w:rsidP="00FA76EE">
      <w:pPr>
        <w:pStyle w:val="BodyText0"/>
        <w:numPr>
          <w:ilvl w:val="1"/>
          <w:numId w:val="63"/>
        </w:numPr>
        <w:spacing w:after="100"/>
        <w:ind w:left="567" w:hanging="283"/>
        <w:rPr>
          <w:rFonts w:ascii="Arial" w:hAnsi="Arial" w:cs="Arial"/>
          <w:sz w:val="22"/>
        </w:rPr>
      </w:pPr>
      <w:r w:rsidRPr="00531F25">
        <w:rPr>
          <w:rFonts w:ascii="Arial" w:hAnsi="Arial" w:cs="Arial"/>
          <w:sz w:val="22"/>
        </w:rPr>
        <w:t xml:space="preserve">any other material risks as identified by the entity that go to the substance of the functioning of a critical infrastructure asset. </w:t>
      </w:r>
    </w:p>
    <w:p w14:paraId="1AF8F43B" w14:textId="77777777" w:rsidR="004054F2" w:rsidRPr="00531F25" w:rsidRDefault="004054F2" w:rsidP="0002213B">
      <w:pPr>
        <w:pStyle w:val="AppendixH2"/>
      </w:pPr>
      <w:bookmarkStart w:id="488" w:name="_Toc90197375"/>
      <w:bookmarkEnd w:id="484"/>
      <w:bookmarkEnd w:id="485"/>
      <w:bookmarkEnd w:id="486"/>
      <w:bookmarkEnd w:id="487"/>
      <w:r w:rsidRPr="00531F25">
        <w:t>Rule 1 - Cyber and Information Security Hazards</w:t>
      </w:r>
      <w:bookmarkEnd w:id="488"/>
    </w:p>
    <w:p w14:paraId="5BBE3A99" w14:textId="77777777" w:rsidR="004054F2" w:rsidRPr="00531F25" w:rsidRDefault="004054F2" w:rsidP="00F655C4">
      <w:pPr>
        <w:pStyle w:val="BodyText0"/>
        <w:numPr>
          <w:ilvl w:val="0"/>
          <w:numId w:val="64"/>
        </w:numPr>
        <w:ind w:left="284" w:hanging="284"/>
        <w:rPr>
          <w:rFonts w:ascii="Arial" w:hAnsi="Arial" w:cs="Arial"/>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Pr="00531F25">
        <w:rPr>
          <w:rFonts w:ascii="Arial" w:hAnsi="Arial" w:cs="Arial"/>
          <w:b/>
          <w:sz w:val="22"/>
        </w:rPr>
        <w:t xml:space="preserve">6 months </w:t>
      </w:r>
      <w:r w:rsidRPr="00531F25">
        <w:rPr>
          <w:rFonts w:ascii="Arial" w:hAnsi="Arial" w:cs="Arial"/>
          <w:sz w:val="22"/>
        </w:rPr>
        <w:t>of the commencement of this rule, ensure that their risk management program includes details of a risk-based plan that outlines strategies and security controls as to how cyber and information security threats are being mitigated.</w:t>
      </w:r>
    </w:p>
    <w:p w14:paraId="2BDADE25" w14:textId="77777777" w:rsidR="004054F2" w:rsidRPr="00531F25" w:rsidRDefault="004054F2" w:rsidP="00F655C4">
      <w:pPr>
        <w:pStyle w:val="BodyText0"/>
        <w:numPr>
          <w:ilvl w:val="0"/>
          <w:numId w:val="64"/>
        </w:numPr>
        <w:ind w:left="284" w:hanging="284"/>
        <w:rPr>
          <w:rFonts w:ascii="Arial" w:hAnsi="Arial" w:cs="Arial"/>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Pr="00531F25">
        <w:rPr>
          <w:rFonts w:ascii="Arial" w:hAnsi="Arial" w:cs="Arial"/>
          <w:b/>
          <w:sz w:val="22"/>
        </w:rPr>
        <w:t xml:space="preserve">18 months </w:t>
      </w:r>
      <w:r w:rsidRPr="00531F25">
        <w:rPr>
          <w:rFonts w:ascii="Arial" w:hAnsi="Arial" w:cs="Arial"/>
          <w:sz w:val="22"/>
        </w:rPr>
        <w:t>of the commencement of this rule, ensure that their risk management program includes details of how the responsible entity complies with at least one of the following standards and frameworks:</w:t>
      </w:r>
    </w:p>
    <w:p w14:paraId="0688EDC3" w14:textId="77777777" w:rsidR="004054F2" w:rsidRPr="00531F25" w:rsidRDefault="004054F2" w:rsidP="00F655C4">
      <w:pPr>
        <w:pStyle w:val="BodyText0"/>
        <w:numPr>
          <w:ilvl w:val="1"/>
          <w:numId w:val="64"/>
        </w:numPr>
        <w:ind w:left="567" w:hanging="283"/>
        <w:rPr>
          <w:rFonts w:ascii="Arial" w:hAnsi="Arial" w:cs="Arial"/>
          <w:sz w:val="22"/>
        </w:rPr>
      </w:pPr>
      <w:r w:rsidRPr="00531F25">
        <w:rPr>
          <w:rFonts w:ascii="Arial" w:hAnsi="Arial" w:cs="Arial"/>
          <w:sz w:val="22"/>
        </w:rPr>
        <w:t>The Australian Cyber Security Centre’s Essential Eight Maturity Model at maturity level one;</w:t>
      </w:r>
    </w:p>
    <w:p w14:paraId="4E160DC8" w14:textId="77777777" w:rsidR="004054F2" w:rsidRPr="00531F25" w:rsidRDefault="004054F2" w:rsidP="00F655C4">
      <w:pPr>
        <w:pStyle w:val="BodyText0"/>
        <w:numPr>
          <w:ilvl w:val="1"/>
          <w:numId w:val="64"/>
        </w:numPr>
        <w:ind w:left="567" w:hanging="283"/>
        <w:rPr>
          <w:rFonts w:ascii="Arial" w:hAnsi="Arial" w:cs="Arial"/>
          <w:sz w:val="22"/>
        </w:rPr>
      </w:pPr>
      <w:r w:rsidRPr="00531F25">
        <w:rPr>
          <w:rFonts w:ascii="Arial" w:hAnsi="Arial" w:cs="Arial"/>
          <w:sz w:val="22"/>
        </w:rPr>
        <w:t>AS ISO/IEC 27001:2015;</w:t>
      </w:r>
    </w:p>
    <w:p w14:paraId="3F1B977C" w14:textId="5D31683D" w:rsidR="004054F2" w:rsidRPr="00531F25" w:rsidRDefault="004054F2" w:rsidP="00F655C4">
      <w:pPr>
        <w:pStyle w:val="BodyText0"/>
        <w:numPr>
          <w:ilvl w:val="1"/>
          <w:numId w:val="64"/>
        </w:numPr>
        <w:ind w:left="567" w:hanging="283"/>
        <w:rPr>
          <w:rFonts w:ascii="Arial" w:hAnsi="Arial" w:cs="Arial"/>
          <w:sz w:val="22"/>
        </w:rPr>
      </w:pPr>
      <w:r w:rsidRPr="00531F25">
        <w:rPr>
          <w:rFonts w:ascii="Arial" w:hAnsi="Arial" w:cs="Arial"/>
          <w:sz w:val="22"/>
        </w:rPr>
        <w:t xml:space="preserve">The National Institute of Standards and Technology (NIST) </w:t>
      </w:r>
      <w:r w:rsidR="00DE55DF" w:rsidRPr="00CE4B35">
        <w:rPr>
          <w:rFonts w:ascii="Arial" w:hAnsi="Arial" w:cs="Arial"/>
          <w:sz w:val="22"/>
        </w:rPr>
        <w:t>Framework for Improving Critical Infrastructure Cybersecurity</w:t>
      </w:r>
      <w:r w:rsidRPr="00531F25">
        <w:rPr>
          <w:rFonts w:ascii="Arial" w:hAnsi="Arial" w:cs="Arial"/>
          <w:sz w:val="22"/>
        </w:rPr>
        <w:t>;</w:t>
      </w:r>
    </w:p>
    <w:p w14:paraId="208F441E" w14:textId="77777777" w:rsidR="004054F2" w:rsidRPr="00531F25" w:rsidRDefault="004054F2" w:rsidP="00F655C4">
      <w:pPr>
        <w:pStyle w:val="BodyText0"/>
        <w:numPr>
          <w:ilvl w:val="1"/>
          <w:numId w:val="64"/>
        </w:numPr>
        <w:ind w:left="567" w:hanging="283"/>
        <w:rPr>
          <w:rFonts w:ascii="Arial" w:hAnsi="Arial" w:cs="Arial"/>
          <w:sz w:val="22"/>
        </w:rPr>
      </w:pPr>
      <w:r w:rsidRPr="00531F25">
        <w:rPr>
          <w:rFonts w:ascii="Arial" w:hAnsi="Arial" w:cs="Arial"/>
          <w:sz w:val="22"/>
        </w:rPr>
        <w:t>The Cybersecurity Capability Maturity Model (C2M2) at Maturity Indicator Level 1;</w:t>
      </w:r>
    </w:p>
    <w:p w14:paraId="33350519" w14:textId="77777777" w:rsidR="004054F2" w:rsidRPr="00531F25" w:rsidRDefault="004054F2" w:rsidP="00F655C4">
      <w:pPr>
        <w:pStyle w:val="BodyText0"/>
        <w:numPr>
          <w:ilvl w:val="1"/>
          <w:numId w:val="64"/>
        </w:numPr>
        <w:ind w:left="567" w:hanging="283"/>
        <w:rPr>
          <w:rFonts w:ascii="Arial" w:hAnsi="Arial" w:cs="Arial"/>
          <w:sz w:val="22"/>
        </w:rPr>
      </w:pPr>
      <w:r w:rsidRPr="00531F25">
        <w:rPr>
          <w:rFonts w:ascii="Arial" w:hAnsi="Arial" w:cs="Arial"/>
          <w:sz w:val="22"/>
        </w:rPr>
        <w:t>Security Profile 1 of the Australian Energy Sector Cyber Security Framework; or</w:t>
      </w:r>
    </w:p>
    <w:p w14:paraId="14114D87" w14:textId="77777777" w:rsidR="004054F2" w:rsidRPr="00531F25" w:rsidRDefault="004054F2" w:rsidP="00F655C4">
      <w:pPr>
        <w:pStyle w:val="BodyText0"/>
        <w:numPr>
          <w:ilvl w:val="1"/>
          <w:numId w:val="64"/>
        </w:numPr>
        <w:ind w:left="567" w:hanging="283"/>
        <w:rPr>
          <w:rFonts w:ascii="Arial" w:hAnsi="Arial" w:cs="Arial"/>
          <w:sz w:val="22"/>
        </w:rPr>
      </w:pPr>
      <w:r w:rsidRPr="00531F25">
        <w:rPr>
          <w:rFonts w:ascii="Arial" w:hAnsi="Arial" w:cs="Arial"/>
          <w:sz w:val="22"/>
        </w:rPr>
        <w:t>an equivalent standard.</w:t>
      </w:r>
    </w:p>
    <w:p w14:paraId="76D7E56B" w14:textId="77777777" w:rsidR="004054F2" w:rsidRPr="00531F25" w:rsidRDefault="004054F2" w:rsidP="0002213B">
      <w:pPr>
        <w:pStyle w:val="AppendixH2"/>
      </w:pPr>
      <w:bookmarkStart w:id="489" w:name="_Toc74230870"/>
      <w:bookmarkStart w:id="490" w:name="_Toc76050869"/>
      <w:bookmarkStart w:id="491" w:name="_Toc77755152"/>
      <w:bookmarkStart w:id="492" w:name="_Toc79149676"/>
      <w:bookmarkStart w:id="493" w:name="_Toc90197376"/>
      <w:r w:rsidRPr="00531F25">
        <w:t>Rule 2 - Personnel Hazards</w:t>
      </w:r>
      <w:bookmarkEnd w:id="489"/>
      <w:bookmarkEnd w:id="490"/>
      <w:bookmarkEnd w:id="491"/>
      <w:bookmarkEnd w:id="492"/>
      <w:bookmarkEnd w:id="493"/>
    </w:p>
    <w:p w14:paraId="53892E9C" w14:textId="16CB4CD5" w:rsidR="004054F2" w:rsidRPr="00531F25" w:rsidRDefault="004054F2" w:rsidP="00F655C4">
      <w:pPr>
        <w:pStyle w:val="BodyText0"/>
        <w:numPr>
          <w:ilvl w:val="2"/>
          <w:numId w:val="64"/>
        </w:numPr>
        <w:ind w:left="284" w:hanging="284"/>
        <w:rPr>
          <w:rFonts w:ascii="Arial" w:hAnsi="Arial" w:cs="Arial"/>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t>
      </w:r>
      <w:r w:rsidRPr="00531F25">
        <w:rPr>
          <w:rFonts w:ascii="Arial" w:hAnsi="Arial" w:cs="Arial"/>
          <w:b/>
          <w:sz w:val="22"/>
        </w:rPr>
        <w:t xml:space="preserve">within </w:t>
      </w:r>
      <w:r w:rsidR="00F616CD">
        <w:rPr>
          <w:rFonts w:ascii="Arial" w:hAnsi="Arial" w:cs="Arial"/>
          <w:b/>
          <w:sz w:val="22"/>
        </w:rPr>
        <w:t>six</w:t>
      </w:r>
      <w:r w:rsidRPr="00531F25">
        <w:rPr>
          <w:rFonts w:ascii="Arial" w:hAnsi="Arial" w:cs="Arial"/>
          <w:b/>
          <w:sz w:val="22"/>
        </w:rPr>
        <w:t xml:space="preserve"> months </w:t>
      </w:r>
      <w:r w:rsidRPr="00531F25">
        <w:rPr>
          <w:rFonts w:ascii="Arial" w:hAnsi="Arial" w:cs="Arial"/>
          <w:sz w:val="22"/>
        </w:rPr>
        <w:t>of the commencement of this rule</w:t>
      </w:r>
      <w:r w:rsidR="00F616CD">
        <w:rPr>
          <w:rFonts w:ascii="Arial" w:eastAsia="Calibri" w:hAnsi="Arial" w:cs="Arial"/>
          <w:sz w:val="22"/>
        </w:rPr>
        <w:t>(or six</w:t>
      </w:r>
      <w:r w:rsidR="00DB61F1">
        <w:rPr>
          <w:rFonts w:ascii="Arial" w:eastAsia="Calibri" w:hAnsi="Arial" w:cs="Arial"/>
          <w:sz w:val="22"/>
        </w:rPr>
        <w:t xml:space="preserve"> months from first day of operation for new operators),</w:t>
      </w:r>
      <w:r w:rsidRPr="00531F25">
        <w:rPr>
          <w:rFonts w:ascii="Arial" w:hAnsi="Arial" w:cs="Arial"/>
          <w:sz w:val="22"/>
        </w:rPr>
        <w:t xml:space="preserve"> ensure </w:t>
      </w:r>
      <w:r w:rsidRPr="00531F25">
        <w:rPr>
          <w:rFonts w:ascii="Arial" w:hAnsi="Arial" w:cs="Arial"/>
          <w:sz w:val="22"/>
        </w:rPr>
        <w:lastRenderedPageBreak/>
        <w:t>that their risk management program includes details of how the entity identifies their critical positions and critical personnel</w:t>
      </w:r>
      <w:r w:rsidRPr="00531F25">
        <w:rPr>
          <w:rStyle w:val="FootnoteReference"/>
          <w:rFonts w:ascii="Arial" w:eastAsia="Calibri" w:hAnsi="Arial" w:cs="Arial"/>
          <w:sz w:val="22"/>
        </w:rPr>
        <w:footnoteReference w:id="60"/>
      </w:r>
      <w:r w:rsidRPr="00531F25">
        <w:rPr>
          <w:rFonts w:ascii="Arial" w:hAnsi="Arial" w:cs="Arial"/>
          <w:sz w:val="22"/>
        </w:rPr>
        <w:t xml:space="preserve"> and includes a list of these positions and personnel, as appropriate. </w:t>
      </w:r>
    </w:p>
    <w:p w14:paraId="50CDF083" w14:textId="4B3B591A" w:rsidR="004054F2" w:rsidRPr="00531F25" w:rsidRDefault="004054F2" w:rsidP="00F655C4">
      <w:pPr>
        <w:pStyle w:val="BodyText0"/>
        <w:numPr>
          <w:ilvl w:val="0"/>
          <w:numId w:val="65"/>
        </w:numPr>
        <w:ind w:left="284" w:hanging="284"/>
        <w:rPr>
          <w:rFonts w:ascii="Arial" w:hAnsi="Arial" w:cs="Arial"/>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00F616CD">
        <w:rPr>
          <w:rFonts w:ascii="Arial" w:hAnsi="Arial" w:cs="Arial"/>
          <w:b/>
          <w:sz w:val="22"/>
        </w:rPr>
        <w:t>six</w:t>
      </w:r>
      <w:r w:rsidRPr="00531F25">
        <w:rPr>
          <w:rFonts w:ascii="Arial" w:hAnsi="Arial" w:cs="Arial"/>
          <w:b/>
          <w:sz w:val="22"/>
        </w:rPr>
        <w:t xml:space="preserve"> months </w:t>
      </w:r>
      <w:r w:rsidRPr="00531F25">
        <w:rPr>
          <w:rFonts w:ascii="Arial" w:hAnsi="Arial" w:cs="Arial"/>
          <w:sz w:val="22"/>
        </w:rPr>
        <w:t>of the commencement of this rule</w:t>
      </w:r>
      <w:r w:rsidR="00DB61F1">
        <w:rPr>
          <w:rFonts w:ascii="Arial" w:hAnsi="Arial" w:cs="Arial"/>
          <w:sz w:val="22"/>
        </w:rPr>
        <w:t xml:space="preserve"> </w:t>
      </w:r>
      <w:r w:rsidR="00F616CD">
        <w:rPr>
          <w:rFonts w:ascii="Arial" w:eastAsia="Calibri" w:hAnsi="Arial" w:cs="Arial"/>
          <w:sz w:val="22"/>
        </w:rPr>
        <w:t>(or six</w:t>
      </w:r>
      <w:r w:rsidR="00DB61F1">
        <w:rPr>
          <w:rFonts w:ascii="Arial" w:eastAsia="Calibri" w:hAnsi="Arial" w:cs="Arial"/>
          <w:sz w:val="22"/>
        </w:rPr>
        <w:t xml:space="preserve"> months from first day of operation for new operators),</w:t>
      </w:r>
      <w:r w:rsidRPr="00531F25">
        <w:rPr>
          <w:rFonts w:ascii="Arial" w:hAnsi="Arial" w:cs="Arial"/>
          <w:sz w:val="22"/>
        </w:rPr>
        <w:t xml:space="preserve"> ensure that their risk management program includes details of how the entity ensures that the suitability of critical positions and critical personnel are appropriately managed, including but not limited to:</w:t>
      </w:r>
    </w:p>
    <w:p w14:paraId="0790A344" w14:textId="77777777" w:rsidR="004054F2" w:rsidRPr="00531F25" w:rsidRDefault="004054F2" w:rsidP="00F655C4">
      <w:pPr>
        <w:pStyle w:val="BodyText0"/>
        <w:numPr>
          <w:ilvl w:val="1"/>
          <w:numId w:val="65"/>
        </w:numPr>
        <w:ind w:left="567" w:hanging="283"/>
        <w:rPr>
          <w:rFonts w:ascii="Arial" w:hAnsi="Arial" w:cs="Arial"/>
          <w:sz w:val="22"/>
        </w:rPr>
      </w:pPr>
      <w:r w:rsidRPr="00531F25">
        <w:rPr>
          <w:rFonts w:ascii="Arial" w:hAnsi="Arial" w:cs="Arial"/>
          <w:sz w:val="22"/>
        </w:rPr>
        <w:t>assessing and managing the ongoing suitability of critical personnel and persons holding critical positions, through personnel and human resource arrangements; and</w:t>
      </w:r>
    </w:p>
    <w:p w14:paraId="52D41ABA" w14:textId="77777777" w:rsidR="004054F2" w:rsidRPr="00531F25" w:rsidRDefault="004054F2" w:rsidP="00F655C4">
      <w:pPr>
        <w:pStyle w:val="BodyText0"/>
        <w:numPr>
          <w:ilvl w:val="1"/>
          <w:numId w:val="65"/>
        </w:numPr>
        <w:ind w:left="567" w:hanging="283"/>
        <w:rPr>
          <w:rFonts w:ascii="Arial" w:hAnsi="Arial" w:cs="Arial"/>
          <w:sz w:val="22"/>
        </w:rPr>
      </w:pPr>
      <w:r w:rsidRPr="00531F25">
        <w:rPr>
          <w:rFonts w:ascii="Arial" w:hAnsi="Arial" w:cs="Arial"/>
          <w:sz w:val="22"/>
        </w:rPr>
        <w:t>considering, where commensurate with the risk environment, requiring an AusCheck or an equivalent vetting check for critical personnel.</w:t>
      </w:r>
    </w:p>
    <w:p w14:paraId="2E124629" w14:textId="3ED61585" w:rsidR="004054F2" w:rsidRPr="00531F25" w:rsidRDefault="004054F2" w:rsidP="00F655C4">
      <w:pPr>
        <w:pStyle w:val="BodyText0"/>
        <w:numPr>
          <w:ilvl w:val="0"/>
          <w:numId w:val="65"/>
        </w:numPr>
        <w:ind w:left="284" w:hanging="284"/>
        <w:rPr>
          <w:rFonts w:ascii="Arial" w:hAnsi="Arial" w:cs="Arial"/>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00F616CD">
        <w:rPr>
          <w:rFonts w:ascii="Arial" w:hAnsi="Arial" w:cs="Arial"/>
          <w:b/>
          <w:sz w:val="22"/>
        </w:rPr>
        <w:t>six</w:t>
      </w:r>
      <w:r w:rsidRPr="00531F25">
        <w:rPr>
          <w:rFonts w:ascii="Arial" w:hAnsi="Arial" w:cs="Arial"/>
          <w:b/>
          <w:sz w:val="22"/>
        </w:rPr>
        <w:t xml:space="preserve"> months </w:t>
      </w:r>
      <w:r w:rsidRPr="00531F25">
        <w:rPr>
          <w:rFonts w:ascii="Arial" w:hAnsi="Arial" w:cs="Arial"/>
          <w:sz w:val="22"/>
        </w:rPr>
        <w:t>of the commencement of this rule</w:t>
      </w:r>
      <w:r w:rsidR="00DB61F1">
        <w:rPr>
          <w:rFonts w:ascii="Arial" w:hAnsi="Arial" w:cs="Arial"/>
          <w:sz w:val="22"/>
        </w:rPr>
        <w:t xml:space="preserve"> </w:t>
      </w:r>
      <w:r w:rsidR="00F616CD">
        <w:rPr>
          <w:rFonts w:ascii="Arial" w:eastAsia="Calibri" w:hAnsi="Arial" w:cs="Arial"/>
          <w:sz w:val="22"/>
        </w:rPr>
        <w:t>(or six</w:t>
      </w:r>
      <w:r w:rsidR="00DB61F1">
        <w:rPr>
          <w:rFonts w:ascii="Arial" w:eastAsia="Calibri" w:hAnsi="Arial" w:cs="Arial"/>
          <w:sz w:val="22"/>
        </w:rPr>
        <w:t xml:space="preserve"> months from first day of operation for new operators)</w:t>
      </w:r>
      <w:r w:rsidRPr="00531F25">
        <w:rPr>
          <w:rFonts w:ascii="Arial" w:hAnsi="Arial" w:cs="Arial"/>
          <w:sz w:val="22"/>
        </w:rPr>
        <w:t xml:space="preserve">, ensure that their risk management program includes details of how the entity mitigates risks arising from potential negligent personnel and malicious insiders who could cause damages to the functioning of a critical infrastructure asset. </w:t>
      </w:r>
    </w:p>
    <w:p w14:paraId="0E1A5EA7" w14:textId="36047405" w:rsidR="004054F2" w:rsidRPr="00531F25" w:rsidRDefault="004054F2" w:rsidP="00F655C4">
      <w:pPr>
        <w:pStyle w:val="BodyText0"/>
        <w:numPr>
          <w:ilvl w:val="0"/>
          <w:numId w:val="65"/>
        </w:numPr>
        <w:ind w:left="284" w:hanging="284"/>
        <w:rPr>
          <w:rFonts w:ascii="Arial" w:hAnsi="Arial" w:cs="Arial"/>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00F616CD">
        <w:rPr>
          <w:rFonts w:ascii="Arial" w:hAnsi="Arial" w:cs="Arial"/>
          <w:b/>
          <w:sz w:val="22"/>
        </w:rPr>
        <w:t>six</w:t>
      </w:r>
      <w:r w:rsidRPr="00531F25">
        <w:rPr>
          <w:rFonts w:ascii="Arial" w:hAnsi="Arial" w:cs="Arial"/>
          <w:b/>
          <w:sz w:val="22"/>
        </w:rPr>
        <w:t xml:space="preserve"> months</w:t>
      </w:r>
      <w:r w:rsidRPr="00531F25">
        <w:rPr>
          <w:rFonts w:ascii="Arial" w:hAnsi="Arial" w:cs="Arial"/>
          <w:sz w:val="22"/>
        </w:rPr>
        <w:t xml:space="preserve"> of the commencement of this rule</w:t>
      </w:r>
      <w:r w:rsidR="00DB61F1">
        <w:rPr>
          <w:rFonts w:ascii="Arial" w:hAnsi="Arial" w:cs="Arial"/>
          <w:sz w:val="22"/>
        </w:rPr>
        <w:t xml:space="preserve"> </w:t>
      </w:r>
      <w:r w:rsidR="00F616CD">
        <w:rPr>
          <w:rFonts w:ascii="Arial" w:eastAsia="Calibri" w:hAnsi="Arial" w:cs="Arial"/>
          <w:sz w:val="22"/>
        </w:rPr>
        <w:t>(or six</w:t>
      </w:r>
      <w:r w:rsidR="00DB61F1">
        <w:rPr>
          <w:rFonts w:ascii="Arial" w:eastAsia="Calibri" w:hAnsi="Arial" w:cs="Arial"/>
          <w:sz w:val="22"/>
        </w:rPr>
        <w:t xml:space="preserve"> months from first day of operation for new operators)</w:t>
      </w:r>
      <w:r w:rsidRPr="00531F25">
        <w:rPr>
          <w:rFonts w:ascii="Arial" w:hAnsi="Arial" w:cs="Arial"/>
          <w:sz w:val="22"/>
        </w:rPr>
        <w:t>, ensure that their risk management program includes details of how the entity manages risks arising from the off-boarding process for outgoing personnel.</w:t>
      </w:r>
    </w:p>
    <w:p w14:paraId="3B68F50A" w14:textId="63E3C273" w:rsidR="004054F2" w:rsidRPr="00531F25" w:rsidRDefault="004054F2" w:rsidP="0002213B">
      <w:pPr>
        <w:pStyle w:val="AppendixH2"/>
      </w:pPr>
      <w:bookmarkStart w:id="494" w:name="_Toc74230871"/>
      <w:bookmarkStart w:id="495" w:name="_Toc76050870"/>
      <w:bookmarkStart w:id="496" w:name="_Toc77755153"/>
      <w:bookmarkStart w:id="497" w:name="_Toc79149677"/>
      <w:bookmarkStart w:id="498" w:name="_Toc90197377"/>
      <w:r w:rsidRPr="00531F25">
        <w:t xml:space="preserve">Rule 3 - Supply </w:t>
      </w:r>
      <w:r w:rsidR="00CC73F6">
        <w:t>C</w:t>
      </w:r>
      <w:r w:rsidRPr="00531F25">
        <w:t>hain Hazards</w:t>
      </w:r>
      <w:bookmarkEnd w:id="494"/>
      <w:bookmarkEnd w:id="495"/>
      <w:bookmarkEnd w:id="496"/>
      <w:bookmarkEnd w:id="497"/>
      <w:bookmarkEnd w:id="498"/>
    </w:p>
    <w:p w14:paraId="448D5527" w14:textId="015F00EC" w:rsidR="004054F2" w:rsidRPr="00531F25" w:rsidRDefault="004054F2" w:rsidP="00F655C4">
      <w:pPr>
        <w:pStyle w:val="BodyText0"/>
        <w:numPr>
          <w:ilvl w:val="2"/>
          <w:numId w:val="65"/>
        </w:numPr>
        <w:ind w:left="284" w:hanging="284"/>
        <w:rPr>
          <w:rFonts w:ascii="Arial" w:hAnsi="Arial" w:cs="Arial"/>
          <w:color w:val="000000"/>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00F616CD">
        <w:rPr>
          <w:rFonts w:ascii="Arial" w:hAnsi="Arial" w:cs="Arial"/>
          <w:b/>
          <w:sz w:val="22"/>
        </w:rPr>
        <w:t>six</w:t>
      </w:r>
      <w:r w:rsidRPr="00531F25">
        <w:rPr>
          <w:rFonts w:ascii="Arial" w:hAnsi="Arial" w:cs="Arial"/>
          <w:b/>
          <w:sz w:val="22"/>
        </w:rPr>
        <w:t xml:space="preserve"> months </w:t>
      </w:r>
      <w:r w:rsidRPr="00531F25">
        <w:rPr>
          <w:rFonts w:ascii="Arial" w:hAnsi="Arial" w:cs="Arial"/>
          <w:sz w:val="22"/>
        </w:rPr>
        <w:t>of the commencement of this rule</w:t>
      </w:r>
      <w:r w:rsidR="009E283B">
        <w:rPr>
          <w:rFonts w:ascii="Arial" w:hAnsi="Arial" w:cs="Arial"/>
          <w:sz w:val="22"/>
        </w:rPr>
        <w:t xml:space="preserve"> </w:t>
      </w:r>
      <w:r w:rsidR="00F616CD">
        <w:rPr>
          <w:rFonts w:ascii="Arial" w:eastAsia="Calibri" w:hAnsi="Arial" w:cs="Arial"/>
          <w:sz w:val="22"/>
        </w:rPr>
        <w:t>(or six</w:t>
      </w:r>
      <w:r w:rsidR="009E283B">
        <w:rPr>
          <w:rFonts w:ascii="Arial" w:eastAsia="Calibri" w:hAnsi="Arial" w:cs="Arial"/>
          <w:sz w:val="22"/>
        </w:rPr>
        <w:t xml:space="preserve"> months from first day of operation for new operators)</w:t>
      </w:r>
      <w:r w:rsidRPr="00531F25">
        <w:rPr>
          <w:rFonts w:ascii="Arial" w:hAnsi="Arial" w:cs="Arial"/>
          <w:sz w:val="22"/>
        </w:rPr>
        <w:t xml:space="preserve">, ensure that their risk management program includes details of strategies to secure the supply of products and services to critical assets to enable continued operation.  </w:t>
      </w:r>
    </w:p>
    <w:p w14:paraId="7D088ECF" w14:textId="34B31375" w:rsidR="004054F2" w:rsidRPr="00531F25" w:rsidRDefault="004054F2" w:rsidP="00F655C4">
      <w:pPr>
        <w:pStyle w:val="BodyText0"/>
        <w:numPr>
          <w:ilvl w:val="0"/>
          <w:numId w:val="66"/>
        </w:numPr>
        <w:ind w:left="284" w:hanging="284"/>
        <w:rPr>
          <w:rFonts w:ascii="Arial" w:hAnsi="Arial" w:cs="Arial"/>
          <w:color w:val="000000"/>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00F616CD">
        <w:rPr>
          <w:rFonts w:ascii="Arial" w:hAnsi="Arial" w:cs="Arial"/>
          <w:b/>
          <w:sz w:val="22"/>
        </w:rPr>
        <w:t>six</w:t>
      </w:r>
      <w:r w:rsidRPr="00531F25">
        <w:rPr>
          <w:rFonts w:ascii="Arial" w:hAnsi="Arial" w:cs="Arial"/>
          <w:b/>
          <w:sz w:val="22"/>
        </w:rPr>
        <w:t xml:space="preserve"> months </w:t>
      </w:r>
      <w:r w:rsidRPr="00531F25">
        <w:rPr>
          <w:rFonts w:ascii="Arial" w:hAnsi="Arial" w:cs="Arial"/>
          <w:sz w:val="22"/>
        </w:rPr>
        <w:t>of the commencement of this rule</w:t>
      </w:r>
      <w:r w:rsidR="009E283B">
        <w:rPr>
          <w:rFonts w:ascii="Arial" w:hAnsi="Arial" w:cs="Arial"/>
          <w:sz w:val="22"/>
        </w:rPr>
        <w:t xml:space="preserve"> </w:t>
      </w:r>
      <w:r w:rsidR="00F616CD">
        <w:rPr>
          <w:rFonts w:ascii="Arial" w:eastAsia="Calibri" w:hAnsi="Arial" w:cs="Arial"/>
          <w:sz w:val="22"/>
        </w:rPr>
        <w:t>(or six</w:t>
      </w:r>
      <w:r w:rsidR="009E283B">
        <w:rPr>
          <w:rFonts w:ascii="Arial" w:eastAsia="Calibri" w:hAnsi="Arial" w:cs="Arial"/>
          <w:sz w:val="22"/>
        </w:rPr>
        <w:t xml:space="preserve"> months from first day of operation for new operators)</w:t>
      </w:r>
      <w:r w:rsidRPr="00531F25">
        <w:rPr>
          <w:rFonts w:ascii="Arial" w:hAnsi="Arial" w:cs="Arial"/>
          <w:sz w:val="22"/>
        </w:rPr>
        <w:t>, ensure that their risk management program includes details of how the entity assesses and manages:</w:t>
      </w:r>
    </w:p>
    <w:p w14:paraId="4C5B8CA4" w14:textId="77777777" w:rsidR="004054F2" w:rsidRPr="00531F25" w:rsidRDefault="004054F2" w:rsidP="00F655C4">
      <w:pPr>
        <w:pStyle w:val="BodyText0"/>
        <w:numPr>
          <w:ilvl w:val="1"/>
          <w:numId w:val="66"/>
        </w:numPr>
        <w:ind w:left="567" w:hanging="283"/>
        <w:rPr>
          <w:rFonts w:ascii="Arial" w:hAnsi="Arial" w:cs="Arial"/>
          <w:color w:val="000000"/>
          <w:sz w:val="22"/>
        </w:rPr>
      </w:pPr>
      <w:r w:rsidRPr="00531F25">
        <w:rPr>
          <w:rFonts w:ascii="Arial" w:hAnsi="Arial" w:cs="Arial"/>
          <w:sz w:val="22"/>
        </w:rPr>
        <w:t>unauthorised access, interference or exploitation of the critical infrastructure asset’s supply chain;</w:t>
      </w:r>
    </w:p>
    <w:p w14:paraId="6F2F49B7" w14:textId="77777777" w:rsidR="004054F2" w:rsidRPr="00531F25" w:rsidRDefault="004054F2" w:rsidP="00F655C4">
      <w:pPr>
        <w:pStyle w:val="BodyText0"/>
        <w:numPr>
          <w:ilvl w:val="1"/>
          <w:numId w:val="66"/>
        </w:numPr>
        <w:ind w:left="567" w:hanging="283"/>
        <w:rPr>
          <w:rFonts w:ascii="Arial" w:hAnsi="Arial" w:cs="Arial"/>
          <w:color w:val="000000"/>
          <w:sz w:val="22"/>
        </w:rPr>
      </w:pPr>
      <w:r w:rsidRPr="00531F25">
        <w:rPr>
          <w:rFonts w:ascii="Arial" w:hAnsi="Arial" w:cs="Arial"/>
          <w:sz w:val="22"/>
        </w:rPr>
        <w:t>privileged access to the critical infrastructure asset by a provider(s) in the supply chain;</w:t>
      </w:r>
    </w:p>
    <w:p w14:paraId="042BDF08" w14:textId="77777777" w:rsidR="004054F2" w:rsidRPr="00531F25" w:rsidRDefault="004054F2" w:rsidP="00F655C4">
      <w:pPr>
        <w:pStyle w:val="BodyText0"/>
        <w:numPr>
          <w:ilvl w:val="1"/>
          <w:numId w:val="66"/>
        </w:numPr>
        <w:ind w:left="567" w:hanging="283"/>
        <w:rPr>
          <w:rFonts w:ascii="Arial" w:hAnsi="Arial" w:cs="Arial"/>
          <w:color w:val="000000"/>
          <w:sz w:val="22"/>
        </w:rPr>
      </w:pPr>
      <w:r w:rsidRPr="00531F25">
        <w:rPr>
          <w:rFonts w:ascii="Arial" w:hAnsi="Arial" w:cs="Arial"/>
          <w:sz w:val="22"/>
        </w:rPr>
        <w:t xml:space="preserve">disruption and sanctions of the critical infrastructure asset due to an issue in the supply chain; </w:t>
      </w:r>
    </w:p>
    <w:p w14:paraId="2217D89A" w14:textId="77777777" w:rsidR="004054F2" w:rsidRPr="00531F25" w:rsidRDefault="004054F2" w:rsidP="00F655C4">
      <w:pPr>
        <w:pStyle w:val="BodyText0"/>
        <w:numPr>
          <w:ilvl w:val="1"/>
          <w:numId w:val="66"/>
        </w:numPr>
        <w:ind w:left="567" w:hanging="283"/>
        <w:rPr>
          <w:rFonts w:ascii="Arial" w:hAnsi="Arial" w:cs="Arial"/>
          <w:color w:val="000000"/>
          <w:sz w:val="22"/>
        </w:rPr>
      </w:pPr>
      <w:r w:rsidRPr="00531F25">
        <w:rPr>
          <w:rFonts w:ascii="Arial" w:hAnsi="Arial" w:cs="Arial"/>
          <w:sz w:val="22"/>
        </w:rPr>
        <w:t xml:space="preserve">threats to people, assets, equipment, products, services, distribution and intellectual property within supply chains; </w:t>
      </w:r>
    </w:p>
    <w:p w14:paraId="07DD433F" w14:textId="77777777" w:rsidR="004054F2" w:rsidRPr="00531F25" w:rsidRDefault="004054F2" w:rsidP="00F655C4">
      <w:pPr>
        <w:pStyle w:val="BodyText0"/>
        <w:numPr>
          <w:ilvl w:val="1"/>
          <w:numId w:val="66"/>
        </w:numPr>
        <w:ind w:left="567" w:hanging="283"/>
        <w:rPr>
          <w:rFonts w:ascii="Arial" w:hAnsi="Arial" w:cs="Arial"/>
          <w:color w:val="000000"/>
          <w:sz w:val="22"/>
        </w:rPr>
      </w:pPr>
      <w:r w:rsidRPr="00531F25">
        <w:rPr>
          <w:rFonts w:ascii="Arial" w:hAnsi="Arial" w:cs="Arial"/>
          <w:sz w:val="22"/>
        </w:rPr>
        <w:t>vulnerability disclosure for other elements within supply chains;</w:t>
      </w:r>
    </w:p>
    <w:p w14:paraId="3FF92D18" w14:textId="77777777" w:rsidR="004054F2" w:rsidRPr="00531F25" w:rsidRDefault="004054F2" w:rsidP="00F655C4">
      <w:pPr>
        <w:pStyle w:val="BodyText0"/>
        <w:numPr>
          <w:ilvl w:val="1"/>
          <w:numId w:val="66"/>
        </w:numPr>
        <w:ind w:left="567" w:hanging="283"/>
        <w:rPr>
          <w:rFonts w:ascii="Arial" w:hAnsi="Arial" w:cs="Arial"/>
          <w:color w:val="000000"/>
          <w:sz w:val="22"/>
        </w:rPr>
      </w:pPr>
      <w:r w:rsidRPr="00531F25">
        <w:rPr>
          <w:rFonts w:ascii="Arial" w:hAnsi="Arial" w:cs="Arial"/>
          <w:sz w:val="22"/>
        </w:rPr>
        <w:t>vendor dependency or reliance on entities inherently within supply chains.</w:t>
      </w:r>
    </w:p>
    <w:p w14:paraId="260471B1" w14:textId="77777777" w:rsidR="004054F2" w:rsidRPr="00531F25" w:rsidRDefault="004054F2" w:rsidP="0002213B">
      <w:pPr>
        <w:pStyle w:val="AppendixH2"/>
        <w:rPr>
          <w:rFonts w:eastAsia="Calibri"/>
        </w:rPr>
      </w:pPr>
      <w:bookmarkStart w:id="499" w:name="_Toc74230872"/>
      <w:bookmarkStart w:id="500" w:name="_Toc79149678"/>
      <w:bookmarkStart w:id="501" w:name="_Toc90197378"/>
      <w:r w:rsidRPr="00531F25">
        <w:lastRenderedPageBreak/>
        <w:t>Rule 4 - Physical and Natural Hazards</w:t>
      </w:r>
      <w:bookmarkEnd w:id="499"/>
      <w:bookmarkEnd w:id="500"/>
      <w:bookmarkEnd w:id="501"/>
    </w:p>
    <w:p w14:paraId="138A5038" w14:textId="7DDBAF42" w:rsidR="004054F2" w:rsidRPr="00531F25" w:rsidRDefault="004054F2" w:rsidP="00F655C4">
      <w:pPr>
        <w:pStyle w:val="BodyText0"/>
        <w:numPr>
          <w:ilvl w:val="2"/>
          <w:numId w:val="66"/>
        </w:numPr>
        <w:ind w:left="284" w:hanging="284"/>
        <w:rPr>
          <w:rFonts w:ascii="Arial" w:hAnsi="Arial" w:cs="Arial"/>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00F616CD">
        <w:rPr>
          <w:rFonts w:ascii="Arial" w:hAnsi="Arial" w:cs="Arial"/>
          <w:b/>
          <w:sz w:val="22"/>
        </w:rPr>
        <w:t>six</w:t>
      </w:r>
      <w:r w:rsidRPr="00531F25">
        <w:rPr>
          <w:rFonts w:ascii="Arial" w:hAnsi="Arial" w:cs="Arial"/>
          <w:b/>
          <w:sz w:val="22"/>
        </w:rPr>
        <w:t xml:space="preserve"> months </w:t>
      </w:r>
      <w:r w:rsidRPr="00531F25">
        <w:rPr>
          <w:rFonts w:ascii="Arial" w:hAnsi="Arial" w:cs="Arial"/>
          <w:sz w:val="22"/>
        </w:rPr>
        <w:t>of the commencement of this rule</w:t>
      </w:r>
      <w:r w:rsidR="00584269">
        <w:rPr>
          <w:rFonts w:ascii="Arial" w:hAnsi="Arial" w:cs="Arial"/>
          <w:sz w:val="22"/>
        </w:rPr>
        <w:t xml:space="preserve"> </w:t>
      </w:r>
      <w:r w:rsidR="00F616CD">
        <w:rPr>
          <w:rFonts w:ascii="Arial" w:eastAsia="Calibri" w:hAnsi="Arial" w:cs="Arial"/>
          <w:sz w:val="22"/>
        </w:rPr>
        <w:t>(or six</w:t>
      </w:r>
      <w:r w:rsidR="00584269">
        <w:rPr>
          <w:rFonts w:ascii="Arial" w:eastAsia="Calibri" w:hAnsi="Arial" w:cs="Arial"/>
          <w:sz w:val="22"/>
        </w:rPr>
        <w:t xml:space="preserve"> months from first day of operation for new operators)</w:t>
      </w:r>
      <w:r w:rsidRPr="00531F25">
        <w:rPr>
          <w:rFonts w:ascii="Arial" w:hAnsi="Arial" w:cs="Arial"/>
          <w:sz w:val="22"/>
        </w:rPr>
        <w:t>, ensure that their risk management program includes details of how the entity manages physical and natural hazards in their risk management program, at self-assessed critical sites.</w:t>
      </w:r>
    </w:p>
    <w:p w14:paraId="3C3441AC" w14:textId="6FDF6664" w:rsidR="004054F2" w:rsidRPr="00531F25" w:rsidRDefault="004054F2" w:rsidP="00F655C4">
      <w:pPr>
        <w:pStyle w:val="BodyText0"/>
        <w:numPr>
          <w:ilvl w:val="2"/>
          <w:numId w:val="66"/>
        </w:numPr>
        <w:ind w:left="284" w:hanging="284"/>
        <w:rPr>
          <w:rFonts w:ascii="Arial" w:hAnsi="Arial" w:cs="Arial"/>
          <w:sz w:val="22"/>
        </w:rPr>
      </w:pPr>
      <w:r w:rsidRPr="00531F25">
        <w:rPr>
          <w:rFonts w:ascii="Arial" w:hAnsi="Arial" w:cs="Arial"/>
          <w:sz w:val="22"/>
        </w:rPr>
        <w:t xml:space="preserve">Responsible entities for critical infrastructure assets </w:t>
      </w:r>
      <w:r w:rsidRPr="00531F25">
        <w:rPr>
          <w:rFonts w:ascii="Arial" w:hAnsi="Arial" w:cs="Arial"/>
          <w:b/>
          <w:sz w:val="22"/>
        </w:rPr>
        <w:t>must</w:t>
      </w:r>
      <w:r w:rsidRPr="00531F25">
        <w:rPr>
          <w:rFonts w:ascii="Arial" w:hAnsi="Arial" w:cs="Arial"/>
          <w:sz w:val="22"/>
        </w:rPr>
        <w:t xml:space="preserve">, within </w:t>
      </w:r>
      <w:r w:rsidR="00F616CD">
        <w:rPr>
          <w:rFonts w:ascii="Arial" w:hAnsi="Arial" w:cs="Arial"/>
          <w:b/>
          <w:sz w:val="22"/>
        </w:rPr>
        <w:t>six</w:t>
      </w:r>
      <w:r w:rsidRPr="00531F25">
        <w:rPr>
          <w:rFonts w:ascii="Arial" w:hAnsi="Arial" w:cs="Arial"/>
          <w:b/>
          <w:sz w:val="22"/>
        </w:rPr>
        <w:t xml:space="preserve"> months </w:t>
      </w:r>
      <w:r w:rsidRPr="00531F25">
        <w:rPr>
          <w:rFonts w:ascii="Arial" w:hAnsi="Arial" w:cs="Arial"/>
          <w:sz w:val="22"/>
        </w:rPr>
        <w:t>of the commencement of this rule</w:t>
      </w:r>
      <w:r w:rsidR="00584269">
        <w:rPr>
          <w:rFonts w:ascii="Arial" w:hAnsi="Arial" w:cs="Arial"/>
          <w:sz w:val="22"/>
        </w:rPr>
        <w:t xml:space="preserve"> </w:t>
      </w:r>
      <w:r w:rsidR="00F616CD">
        <w:rPr>
          <w:rFonts w:ascii="Arial" w:eastAsia="Calibri" w:hAnsi="Arial" w:cs="Arial"/>
          <w:sz w:val="22"/>
        </w:rPr>
        <w:t>(or six</w:t>
      </w:r>
      <w:r w:rsidR="00584269">
        <w:rPr>
          <w:rFonts w:ascii="Arial" w:eastAsia="Calibri" w:hAnsi="Arial" w:cs="Arial"/>
          <w:sz w:val="22"/>
        </w:rPr>
        <w:t xml:space="preserve"> months from first day of operation for new operators)</w:t>
      </w:r>
      <w:r w:rsidRPr="00531F25">
        <w:rPr>
          <w:rFonts w:ascii="Arial" w:hAnsi="Arial" w:cs="Arial"/>
          <w:sz w:val="22"/>
        </w:rPr>
        <w:t xml:space="preserve">, ensure that their risk management program includes details of how the entity seeks to minimise and mitigate the risk and relevant impacts of unauthorised access, interference and control of critical assets as well as the relevant impact of the natural hazards. </w:t>
      </w:r>
    </w:p>
    <w:p w14:paraId="3BC82858" w14:textId="09139BD8" w:rsidR="004054F2" w:rsidRPr="00531F25" w:rsidRDefault="004054F2" w:rsidP="00F655C4">
      <w:pPr>
        <w:pStyle w:val="BodyText0"/>
        <w:numPr>
          <w:ilvl w:val="0"/>
          <w:numId w:val="66"/>
        </w:numPr>
        <w:ind w:left="284" w:hanging="284"/>
        <w:rPr>
          <w:rFonts w:ascii="Arial" w:hAnsi="Arial" w:cs="Arial"/>
          <w:sz w:val="22"/>
        </w:rPr>
      </w:pPr>
      <w:r w:rsidRPr="00531F25">
        <w:rPr>
          <w:rFonts w:ascii="Arial" w:hAnsi="Arial" w:cs="Arial"/>
          <w:sz w:val="22"/>
        </w:rPr>
        <w:t xml:space="preserve">Responsible entities for critical infrastructure assets </w:t>
      </w:r>
      <w:r w:rsidRPr="00E06CD3">
        <w:rPr>
          <w:rFonts w:ascii="Arial" w:hAnsi="Arial" w:cs="Arial"/>
          <w:b/>
          <w:sz w:val="22"/>
        </w:rPr>
        <w:t>must</w:t>
      </w:r>
      <w:r w:rsidRPr="00531F25">
        <w:rPr>
          <w:rFonts w:ascii="Arial" w:hAnsi="Arial" w:cs="Arial"/>
          <w:sz w:val="22"/>
        </w:rPr>
        <w:t>, within</w:t>
      </w:r>
      <w:r w:rsidR="00224D3F">
        <w:rPr>
          <w:rFonts w:ascii="Arial" w:hAnsi="Arial" w:cs="Arial"/>
          <w:sz w:val="22"/>
        </w:rPr>
        <w:t xml:space="preserve"> </w:t>
      </w:r>
      <w:r w:rsidR="00F616CD">
        <w:rPr>
          <w:rFonts w:ascii="Arial" w:hAnsi="Arial" w:cs="Arial"/>
          <w:b/>
          <w:sz w:val="22"/>
        </w:rPr>
        <w:t>six</w:t>
      </w:r>
      <w:r w:rsidR="00224D3F" w:rsidRPr="00531F25">
        <w:rPr>
          <w:rFonts w:ascii="Arial" w:hAnsi="Arial" w:cs="Arial"/>
          <w:b/>
          <w:sz w:val="22"/>
        </w:rPr>
        <w:t xml:space="preserve"> months</w:t>
      </w:r>
      <w:r w:rsidR="00224D3F" w:rsidRPr="00531F25">
        <w:rPr>
          <w:rFonts w:ascii="Arial" w:hAnsi="Arial" w:cs="Arial"/>
          <w:sz w:val="22"/>
        </w:rPr>
        <w:t xml:space="preserve"> of the commencement of this rule</w:t>
      </w:r>
      <w:r w:rsidR="00224D3F">
        <w:rPr>
          <w:rFonts w:ascii="Arial" w:hAnsi="Arial" w:cs="Arial"/>
          <w:sz w:val="22"/>
        </w:rPr>
        <w:t xml:space="preserve"> </w:t>
      </w:r>
      <w:r w:rsidR="00F616CD">
        <w:rPr>
          <w:rFonts w:ascii="Arial" w:eastAsia="Calibri" w:hAnsi="Arial" w:cs="Arial"/>
          <w:sz w:val="22"/>
        </w:rPr>
        <w:t>(or six</w:t>
      </w:r>
      <w:r w:rsidR="00224D3F">
        <w:rPr>
          <w:rFonts w:ascii="Arial" w:eastAsia="Calibri" w:hAnsi="Arial" w:cs="Arial"/>
          <w:sz w:val="22"/>
        </w:rPr>
        <w:t xml:space="preserve"> months from first day of operation for new operators)</w:t>
      </w:r>
      <w:r w:rsidR="00224D3F" w:rsidRPr="00531F25">
        <w:rPr>
          <w:rFonts w:ascii="Arial" w:hAnsi="Arial" w:cs="Arial"/>
          <w:sz w:val="22"/>
        </w:rPr>
        <w:t>, ensure that their risk management program includes details of how the entity</w:t>
      </w:r>
      <w:r w:rsidR="00224D3F">
        <w:rPr>
          <w:rFonts w:ascii="Arial" w:hAnsi="Arial" w:cs="Arial"/>
          <w:sz w:val="22"/>
        </w:rPr>
        <w:t>:</w:t>
      </w:r>
    </w:p>
    <w:p w14:paraId="08C08F0A" w14:textId="77777777" w:rsidR="004054F2" w:rsidRPr="00531F25" w:rsidRDefault="004054F2" w:rsidP="00F655C4">
      <w:pPr>
        <w:pStyle w:val="BodyText0"/>
        <w:numPr>
          <w:ilvl w:val="1"/>
          <w:numId w:val="66"/>
        </w:numPr>
        <w:ind w:left="567" w:hanging="283"/>
        <w:rPr>
          <w:rFonts w:ascii="Arial" w:hAnsi="Arial" w:cs="Arial"/>
          <w:color w:val="000000" w:themeColor="text1"/>
          <w:sz w:val="22"/>
        </w:rPr>
      </w:pPr>
      <w:r w:rsidRPr="00531F25">
        <w:rPr>
          <w:rFonts w:ascii="Arial" w:hAnsi="Arial" w:cs="Arial"/>
          <w:color w:val="000000" w:themeColor="text1"/>
          <w:sz w:val="22"/>
        </w:rPr>
        <w:t>Responds to incidents where unauthorised access occurs;</w:t>
      </w:r>
    </w:p>
    <w:p w14:paraId="5E3C28A8" w14:textId="77777777" w:rsidR="004054F2" w:rsidRPr="00531F25" w:rsidRDefault="004054F2" w:rsidP="00F655C4">
      <w:pPr>
        <w:pStyle w:val="BodyText0"/>
        <w:numPr>
          <w:ilvl w:val="1"/>
          <w:numId w:val="66"/>
        </w:numPr>
        <w:ind w:left="567" w:hanging="283"/>
        <w:rPr>
          <w:rFonts w:ascii="Arial" w:hAnsi="Arial" w:cs="Arial"/>
          <w:sz w:val="22"/>
        </w:rPr>
      </w:pPr>
      <w:r w:rsidRPr="00531F25">
        <w:rPr>
          <w:rFonts w:ascii="Arial" w:hAnsi="Arial" w:cs="Arial"/>
          <w:color w:val="000000" w:themeColor="text1"/>
          <w:sz w:val="22"/>
        </w:rPr>
        <w:t>controls authorised access, including restricting access to only those persons with the appropriate approval who have an operational need to access;</w:t>
      </w:r>
    </w:p>
    <w:p w14:paraId="44F08D72" w14:textId="77777777" w:rsidR="004054F2" w:rsidRPr="00531F25" w:rsidRDefault="004054F2" w:rsidP="00F655C4">
      <w:pPr>
        <w:pStyle w:val="BodyText0"/>
        <w:numPr>
          <w:ilvl w:val="1"/>
          <w:numId w:val="66"/>
        </w:numPr>
        <w:ind w:left="567" w:hanging="283"/>
        <w:rPr>
          <w:rFonts w:ascii="Arial" w:hAnsi="Arial" w:cs="Arial"/>
          <w:sz w:val="22"/>
        </w:rPr>
      </w:pPr>
      <w:r w:rsidRPr="00531F25">
        <w:rPr>
          <w:rFonts w:ascii="Arial" w:hAnsi="Arial" w:cs="Arial"/>
          <w:sz w:val="22"/>
        </w:rPr>
        <w:t>conducts tests, as appropriate, to provide assurance that active security measures are effective and appropriate to detect, delay, and deter breaches of security; and gives consideration to how the responsible entity will respond and recover from breaches of security; and</w:t>
      </w:r>
    </w:p>
    <w:p w14:paraId="74ED5287" w14:textId="2543336D" w:rsidR="001656B3" w:rsidRPr="00F655C4" w:rsidRDefault="004054F2" w:rsidP="00D26871">
      <w:pPr>
        <w:pStyle w:val="BodyText0"/>
        <w:numPr>
          <w:ilvl w:val="1"/>
          <w:numId w:val="66"/>
        </w:numPr>
        <w:ind w:left="567" w:hanging="283"/>
        <w:rPr>
          <w:rFonts w:ascii="Arial" w:hAnsi="Arial" w:cs="Arial"/>
          <w:sz w:val="22"/>
        </w:rPr>
      </w:pPr>
      <w:r w:rsidRPr="00531F25">
        <w:rPr>
          <w:rFonts w:ascii="Arial" w:hAnsi="Arial" w:cs="Arial"/>
          <w:sz w:val="22"/>
        </w:rPr>
        <w:t xml:space="preserve">minimises, </w:t>
      </w:r>
      <w:r w:rsidR="00FC1CF7" w:rsidRPr="00531F25">
        <w:rPr>
          <w:rFonts w:ascii="Arial" w:hAnsi="Arial" w:cs="Arial"/>
          <w:sz w:val="22"/>
        </w:rPr>
        <w:t>mitigates,</w:t>
      </w:r>
      <w:r w:rsidRPr="00531F25">
        <w:rPr>
          <w:rFonts w:ascii="Arial" w:hAnsi="Arial" w:cs="Arial"/>
          <w:sz w:val="22"/>
        </w:rPr>
        <w:t xml:space="preserve"> and recovers from relevant impacts on their asset arising from natural hazards and disasters, including but not limited to bushfires, floods, cyclones, storms, heatwaves, earthquakes, tsunamis, health hazards such as pandemics.</w:t>
      </w:r>
    </w:p>
    <w:p w14:paraId="4F83F62F" w14:textId="76A3774C" w:rsidR="002561BC" w:rsidRDefault="002561BC" w:rsidP="0002213B">
      <w:pPr>
        <w:pStyle w:val="AppendixH1"/>
      </w:pPr>
      <w:bookmarkStart w:id="502" w:name="_Toc121397412"/>
      <w:r>
        <w:lastRenderedPageBreak/>
        <w:t>List of consultation questions</w:t>
      </w:r>
      <w:bookmarkEnd w:id="502"/>
    </w:p>
    <w:p w14:paraId="14884DB5" w14:textId="77777777" w:rsidR="002561BC" w:rsidRPr="002561BC" w:rsidRDefault="002561BC" w:rsidP="0002213B">
      <w:pPr>
        <w:pStyle w:val="BodyText"/>
      </w:pPr>
      <w:r w:rsidRPr="002561BC">
        <w:rPr>
          <w:b/>
          <w:bCs/>
        </w:rPr>
        <w:t>Note:</w:t>
      </w:r>
      <w:r w:rsidRPr="002561BC">
        <w:t xml:space="preserve"> The consultation questions outlined below were used to incite discussion among workshop participants. These questions led to discussions and further questions from industry which may not be reflected in the table below. </w:t>
      </w:r>
    </w:p>
    <w:tbl>
      <w:tblPr>
        <w:tblW w:w="5000" w:type="pct"/>
        <w:tblBorders>
          <w:bottom w:val="single" w:sz="4" w:space="0" w:color="BFBFBF" w:themeColor="background1" w:themeShade="BF"/>
          <w:insideH w:val="single" w:sz="4" w:space="0" w:color="BFBFBF" w:themeColor="background1" w:themeShade="BF"/>
        </w:tblBorders>
        <w:tblLayout w:type="fixed"/>
        <w:tblCellMar>
          <w:left w:w="57" w:type="dxa"/>
          <w:right w:w="57" w:type="dxa"/>
        </w:tblCellMar>
        <w:tblLook w:val="06A0" w:firstRow="1" w:lastRow="0" w:firstColumn="1" w:lastColumn="0" w:noHBand="1" w:noVBand="1"/>
      </w:tblPr>
      <w:tblGrid>
        <w:gridCol w:w="1560"/>
        <w:gridCol w:w="2126"/>
        <w:gridCol w:w="5952"/>
      </w:tblGrid>
      <w:tr w:rsidR="00744F6D" w:rsidRPr="006E2139" w14:paraId="33383AE0" w14:textId="77777777" w:rsidTr="00C116FB">
        <w:trPr>
          <w:tblHeader/>
        </w:trPr>
        <w:tc>
          <w:tcPr>
            <w:tcW w:w="809" w:type="pct"/>
            <w:shd w:val="clear" w:color="auto" w:fill="034EA2" w:themeFill="accent1"/>
            <w:hideMark/>
          </w:tcPr>
          <w:p w14:paraId="4C19CA0E" w14:textId="4AB66430" w:rsidR="006E2139" w:rsidRPr="006E2139" w:rsidRDefault="006E2139" w:rsidP="00FA76EE">
            <w:pPr>
              <w:pStyle w:val="TableHeading"/>
              <w:rPr>
                <w:rFonts w:ascii="Segoe UI" w:hAnsi="Segoe UI" w:cs="Segoe UI"/>
                <w:sz w:val="18"/>
                <w:szCs w:val="18"/>
                <w:lang w:eastAsia="en-AU"/>
              </w:rPr>
            </w:pPr>
            <w:r w:rsidRPr="006E2139">
              <w:rPr>
                <w:lang w:eastAsia="en-AU"/>
              </w:rPr>
              <w:t>Consultation phase</w:t>
            </w:r>
          </w:p>
        </w:tc>
        <w:tc>
          <w:tcPr>
            <w:tcW w:w="1103" w:type="pct"/>
            <w:shd w:val="clear" w:color="auto" w:fill="034EA2" w:themeFill="accent1"/>
            <w:hideMark/>
          </w:tcPr>
          <w:p w14:paraId="146968DC" w14:textId="5609A2C6" w:rsidR="006E2139" w:rsidRPr="006E2139" w:rsidRDefault="006E2139" w:rsidP="00FA76EE">
            <w:pPr>
              <w:pStyle w:val="TableHeading"/>
              <w:rPr>
                <w:rFonts w:ascii="Segoe UI" w:hAnsi="Segoe UI" w:cs="Segoe UI"/>
                <w:sz w:val="18"/>
                <w:szCs w:val="18"/>
                <w:lang w:eastAsia="en-AU"/>
              </w:rPr>
            </w:pPr>
            <w:r w:rsidRPr="006E2139">
              <w:rPr>
                <w:lang w:eastAsia="en-AU"/>
              </w:rPr>
              <w:t>Topic</w:t>
            </w:r>
          </w:p>
        </w:tc>
        <w:tc>
          <w:tcPr>
            <w:tcW w:w="3087" w:type="pct"/>
            <w:shd w:val="clear" w:color="auto" w:fill="034EA2" w:themeFill="accent1"/>
            <w:hideMark/>
          </w:tcPr>
          <w:p w14:paraId="2AE8775F" w14:textId="57F7BC8F" w:rsidR="006E2139" w:rsidRPr="006E2139" w:rsidRDefault="006E2139" w:rsidP="00FA76EE">
            <w:pPr>
              <w:pStyle w:val="TableHeading"/>
              <w:rPr>
                <w:rFonts w:ascii="Segoe UI" w:hAnsi="Segoe UI" w:cs="Segoe UI"/>
                <w:sz w:val="18"/>
                <w:szCs w:val="18"/>
                <w:lang w:eastAsia="en-AU"/>
              </w:rPr>
            </w:pPr>
            <w:r w:rsidRPr="006E2139">
              <w:rPr>
                <w:lang w:eastAsia="en-AU"/>
              </w:rPr>
              <w:t>Question</w:t>
            </w:r>
          </w:p>
        </w:tc>
      </w:tr>
      <w:tr w:rsidR="00744F6D" w:rsidRPr="006E2139" w14:paraId="1DCD8C7A" w14:textId="77777777" w:rsidTr="00C116FB">
        <w:tc>
          <w:tcPr>
            <w:tcW w:w="809" w:type="pct"/>
            <w:vMerge w:val="restart"/>
            <w:shd w:val="clear" w:color="auto" w:fill="DEEAF6"/>
            <w:hideMark/>
          </w:tcPr>
          <w:p w14:paraId="0F37622B" w14:textId="2676363C" w:rsidR="006E2139" w:rsidRPr="00A773B7" w:rsidRDefault="006E2139" w:rsidP="00A773B7">
            <w:pPr>
              <w:pStyle w:val="TableBody"/>
              <w:rPr>
                <w:rFonts w:ascii="Segoe UI" w:hAnsi="Segoe UI" w:cs="Segoe UI"/>
                <w:b/>
                <w:bCs/>
                <w:sz w:val="18"/>
                <w:szCs w:val="18"/>
                <w:lang w:eastAsia="en-AU"/>
              </w:rPr>
            </w:pPr>
            <w:r w:rsidRPr="00A773B7">
              <w:rPr>
                <w:b/>
                <w:bCs/>
                <w:lang w:eastAsia="en-AU"/>
              </w:rPr>
              <w:t>Town hall</w:t>
            </w:r>
          </w:p>
        </w:tc>
        <w:tc>
          <w:tcPr>
            <w:tcW w:w="1103" w:type="pct"/>
            <w:vMerge w:val="restart"/>
            <w:shd w:val="clear" w:color="auto" w:fill="EDEDED"/>
            <w:hideMark/>
          </w:tcPr>
          <w:p w14:paraId="5ABDC756" w14:textId="77777777" w:rsidR="006E2139" w:rsidRPr="006E2139" w:rsidRDefault="006E2139" w:rsidP="00DA0CB0">
            <w:pPr>
              <w:pStyle w:val="TableBody"/>
              <w:rPr>
                <w:rFonts w:ascii="Segoe UI" w:hAnsi="Segoe UI" w:cs="Segoe UI"/>
                <w:sz w:val="18"/>
                <w:szCs w:val="18"/>
                <w:lang w:eastAsia="en-AU"/>
              </w:rPr>
            </w:pPr>
            <w:r w:rsidRPr="006E2139">
              <w:rPr>
                <w:lang w:eastAsia="en-AU"/>
              </w:rPr>
              <w:t>Critical infrastructure &amp; systems of national significance reform </w:t>
            </w:r>
          </w:p>
        </w:tc>
        <w:tc>
          <w:tcPr>
            <w:tcW w:w="3087" w:type="pct"/>
            <w:shd w:val="clear" w:color="auto" w:fill="auto"/>
            <w:hideMark/>
          </w:tcPr>
          <w:p w14:paraId="3D952587" w14:textId="77777777" w:rsidR="006E2139" w:rsidRPr="006E2139" w:rsidRDefault="006E2139" w:rsidP="00A773B7">
            <w:pPr>
              <w:pStyle w:val="TableBody"/>
              <w:rPr>
                <w:rFonts w:ascii="Segoe UI" w:hAnsi="Segoe UI" w:cs="Segoe UI"/>
                <w:sz w:val="18"/>
                <w:szCs w:val="18"/>
                <w:lang w:eastAsia="en-AU"/>
              </w:rPr>
            </w:pPr>
            <w:r w:rsidRPr="006E2139">
              <w:rPr>
                <w:lang w:eastAsia="en-AU"/>
              </w:rPr>
              <w:t>Has the information presented today helped address any concerns you may have had about being captured by the reforms? If you did have any concerns, what are they? </w:t>
            </w:r>
          </w:p>
        </w:tc>
      </w:tr>
      <w:tr w:rsidR="00744F6D" w:rsidRPr="006E2139" w14:paraId="4A89728C" w14:textId="77777777" w:rsidTr="00C116FB">
        <w:tc>
          <w:tcPr>
            <w:tcW w:w="809" w:type="pct"/>
            <w:vMerge/>
            <w:shd w:val="clear" w:color="auto" w:fill="DEEAF6"/>
            <w:hideMark/>
          </w:tcPr>
          <w:p w14:paraId="7192F564"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2DDCEBB3"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0F4AFAF0" w14:textId="77777777" w:rsidR="006E2139" w:rsidRPr="006E2139" w:rsidRDefault="006E2139" w:rsidP="00A773B7">
            <w:pPr>
              <w:pStyle w:val="TableBody"/>
              <w:rPr>
                <w:rFonts w:ascii="Segoe UI" w:hAnsi="Segoe UI" w:cs="Segoe UI"/>
                <w:sz w:val="18"/>
                <w:szCs w:val="18"/>
                <w:lang w:eastAsia="en-AU"/>
              </w:rPr>
            </w:pPr>
            <w:r w:rsidRPr="006E2139">
              <w:rPr>
                <w:lang w:eastAsia="en-AU"/>
              </w:rPr>
              <w:t>Do you have any questions you would like to see addressed at the sector Q&amp;A session?  </w:t>
            </w:r>
          </w:p>
        </w:tc>
      </w:tr>
      <w:tr w:rsidR="00744F6D" w:rsidRPr="006E2139" w14:paraId="2729E8AD" w14:textId="77777777" w:rsidTr="00C116FB">
        <w:tc>
          <w:tcPr>
            <w:tcW w:w="809" w:type="pct"/>
            <w:vMerge/>
            <w:shd w:val="clear" w:color="auto" w:fill="DEEAF6"/>
            <w:hideMark/>
          </w:tcPr>
          <w:p w14:paraId="15FC48E4" w14:textId="77777777" w:rsidR="006E2139" w:rsidRPr="00A773B7" w:rsidRDefault="006E2139" w:rsidP="00A773B7">
            <w:pPr>
              <w:pStyle w:val="TableBody"/>
              <w:rPr>
                <w:rFonts w:ascii="Segoe UI" w:hAnsi="Segoe UI" w:cs="Segoe UI"/>
                <w:b/>
                <w:bCs/>
                <w:sz w:val="18"/>
                <w:szCs w:val="18"/>
                <w:lang w:eastAsia="en-AU"/>
              </w:rPr>
            </w:pPr>
          </w:p>
        </w:tc>
        <w:tc>
          <w:tcPr>
            <w:tcW w:w="1103" w:type="pct"/>
            <w:vMerge w:val="restart"/>
            <w:shd w:val="clear" w:color="auto" w:fill="EDEDED"/>
            <w:hideMark/>
          </w:tcPr>
          <w:p w14:paraId="0A85191D" w14:textId="77777777" w:rsidR="006E2139" w:rsidRPr="006E2139" w:rsidRDefault="006E2139" w:rsidP="00DA0CB0">
            <w:pPr>
              <w:pStyle w:val="TableBody"/>
              <w:rPr>
                <w:rFonts w:ascii="Segoe UI" w:hAnsi="Segoe UI" w:cs="Segoe UI"/>
                <w:sz w:val="18"/>
                <w:szCs w:val="18"/>
                <w:lang w:eastAsia="en-AU"/>
              </w:rPr>
            </w:pPr>
            <w:r w:rsidRPr="006E2139">
              <w:rPr>
                <w:lang w:eastAsia="en-AU"/>
              </w:rPr>
              <w:t>Rules (general) </w:t>
            </w:r>
          </w:p>
        </w:tc>
        <w:tc>
          <w:tcPr>
            <w:tcW w:w="3087" w:type="pct"/>
            <w:shd w:val="clear" w:color="auto" w:fill="auto"/>
            <w:hideMark/>
          </w:tcPr>
          <w:p w14:paraId="2F212F8C" w14:textId="77777777" w:rsidR="006E2139" w:rsidRPr="006E2139" w:rsidRDefault="006E2139" w:rsidP="00A773B7">
            <w:pPr>
              <w:pStyle w:val="TableBody"/>
              <w:rPr>
                <w:rFonts w:ascii="Segoe UI" w:hAnsi="Segoe UI" w:cs="Segoe UI"/>
                <w:sz w:val="18"/>
                <w:szCs w:val="18"/>
                <w:lang w:eastAsia="en-AU"/>
              </w:rPr>
            </w:pPr>
            <w:r w:rsidRPr="006E2139">
              <w:rPr>
                <w:lang w:eastAsia="en-AU"/>
              </w:rPr>
              <w:t>Do you agree that the new approach to rules development will align with legislative intent? (uplift and assurance to government) </w:t>
            </w:r>
          </w:p>
        </w:tc>
      </w:tr>
      <w:tr w:rsidR="00744F6D" w:rsidRPr="006E2139" w14:paraId="63CE6CB4" w14:textId="77777777" w:rsidTr="00C116FB">
        <w:tc>
          <w:tcPr>
            <w:tcW w:w="809" w:type="pct"/>
            <w:vMerge/>
            <w:shd w:val="clear" w:color="auto" w:fill="DEEAF6"/>
            <w:hideMark/>
          </w:tcPr>
          <w:p w14:paraId="0DCFEE05"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7CEAFFFE"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5E6BACBB" w14:textId="77777777" w:rsidR="006E2139" w:rsidRPr="006E2139" w:rsidRDefault="006E2139" w:rsidP="00A773B7">
            <w:pPr>
              <w:pStyle w:val="TableBody"/>
              <w:rPr>
                <w:rFonts w:ascii="Segoe UI" w:hAnsi="Segoe UI" w:cs="Segoe UI"/>
                <w:sz w:val="18"/>
                <w:szCs w:val="18"/>
                <w:lang w:eastAsia="en-AU"/>
              </w:rPr>
            </w:pPr>
            <w:r w:rsidRPr="006E2139">
              <w:rPr>
                <w:lang w:eastAsia="en-AU"/>
              </w:rPr>
              <w:t>Is there anything else you would like to comment on as we progress with sector engagement?  </w:t>
            </w:r>
          </w:p>
        </w:tc>
      </w:tr>
      <w:tr w:rsidR="00744F6D" w:rsidRPr="006E2139" w14:paraId="615F3060" w14:textId="77777777" w:rsidTr="00C116FB">
        <w:tc>
          <w:tcPr>
            <w:tcW w:w="809" w:type="pct"/>
            <w:vMerge w:val="restart"/>
            <w:shd w:val="clear" w:color="auto" w:fill="DEEAF6"/>
            <w:hideMark/>
          </w:tcPr>
          <w:p w14:paraId="012D2F61" w14:textId="200B56B1" w:rsidR="006E2139" w:rsidRPr="00A773B7" w:rsidRDefault="006E2139" w:rsidP="00A773B7">
            <w:pPr>
              <w:pStyle w:val="TableBody"/>
              <w:rPr>
                <w:rFonts w:ascii="Segoe UI" w:hAnsi="Segoe UI" w:cs="Segoe UI"/>
                <w:b/>
                <w:bCs/>
                <w:sz w:val="18"/>
                <w:szCs w:val="18"/>
                <w:lang w:eastAsia="en-AU"/>
              </w:rPr>
            </w:pPr>
            <w:r w:rsidRPr="00A773B7">
              <w:rPr>
                <w:b/>
                <w:bCs/>
                <w:lang w:eastAsia="en-AU"/>
              </w:rPr>
              <w:t>Information Session 1</w:t>
            </w:r>
          </w:p>
        </w:tc>
        <w:tc>
          <w:tcPr>
            <w:tcW w:w="1103" w:type="pct"/>
            <w:vMerge w:val="restart"/>
            <w:shd w:val="clear" w:color="auto" w:fill="EDEDED"/>
            <w:hideMark/>
          </w:tcPr>
          <w:p w14:paraId="5678844B" w14:textId="42FEB5DD" w:rsidR="006E2139" w:rsidRPr="006E2139" w:rsidRDefault="006E2139" w:rsidP="00DA0CB0">
            <w:pPr>
              <w:pStyle w:val="TableBody"/>
              <w:rPr>
                <w:rFonts w:ascii="Segoe UI" w:hAnsi="Segoe UI" w:cs="Segoe UI"/>
                <w:sz w:val="18"/>
                <w:szCs w:val="18"/>
                <w:lang w:eastAsia="en-AU"/>
              </w:rPr>
            </w:pPr>
            <w:r w:rsidRPr="006E2139">
              <w:rPr>
                <w:lang w:eastAsia="en-AU"/>
              </w:rPr>
              <w:t>CI / SONS reforms (general)</w:t>
            </w:r>
          </w:p>
        </w:tc>
        <w:tc>
          <w:tcPr>
            <w:tcW w:w="3087" w:type="pct"/>
            <w:shd w:val="clear" w:color="auto" w:fill="auto"/>
            <w:hideMark/>
          </w:tcPr>
          <w:p w14:paraId="68781233" w14:textId="77777777" w:rsidR="006E2139" w:rsidRPr="006E2139" w:rsidRDefault="006E2139" w:rsidP="00A773B7">
            <w:pPr>
              <w:pStyle w:val="TableBody"/>
              <w:rPr>
                <w:rFonts w:ascii="Segoe UI" w:hAnsi="Segoe UI" w:cs="Segoe UI"/>
                <w:sz w:val="18"/>
                <w:szCs w:val="18"/>
                <w:lang w:eastAsia="en-AU"/>
              </w:rPr>
            </w:pPr>
            <w:r w:rsidRPr="006E2139">
              <w:rPr>
                <w:lang w:eastAsia="en-AU"/>
              </w:rPr>
              <w:t>Are you clear on the intended approach? </w:t>
            </w:r>
          </w:p>
        </w:tc>
      </w:tr>
      <w:tr w:rsidR="00744F6D" w:rsidRPr="006E2139" w14:paraId="3989347C" w14:textId="77777777" w:rsidTr="00C116FB">
        <w:tc>
          <w:tcPr>
            <w:tcW w:w="809" w:type="pct"/>
            <w:vMerge/>
            <w:shd w:val="clear" w:color="auto" w:fill="DEEAF6"/>
            <w:hideMark/>
          </w:tcPr>
          <w:p w14:paraId="1BCFCAC3"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0DA2664C"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2A3B21B7" w14:textId="5F2CB4B1" w:rsidR="006E2139" w:rsidRPr="006E2139" w:rsidRDefault="006E2139" w:rsidP="00A773B7">
            <w:pPr>
              <w:pStyle w:val="TableBody"/>
              <w:rPr>
                <w:rFonts w:ascii="Segoe UI" w:hAnsi="Segoe UI" w:cs="Segoe UI"/>
                <w:sz w:val="18"/>
                <w:szCs w:val="18"/>
                <w:lang w:eastAsia="en-AU"/>
              </w:rPr>
            </w:pPr>
            <w:r w:rsidRPr="006E2139">
              <w:rPr>
                <w:lang w:eastAsia="en-AU"/>
              </w:rPr>
              <w:t>Are you confident that the explained process will achieve</w:t>
            </w:r>
            <w:r w:rsidR="008402D6">
              <w:rPr>
                <w:lang w:eastAsia="en-AU"/>
              </w:rPr>
              <w:t xml:space="preserve"> the intent of the legislation </w:t>
            </w:r>
            <w:r w:rsidRPr="006E2139">
              <w:rPr>
                <w:lang w:eastAsia="en-AU"/>
              </w:rPr>
              <w:t>(resilience and security uplift of CI)?  </w:t>
            </w:r>
          </w:p>
        </w:tc>
      </w:tr>
      <w:tr w:rsidR="00744F6D" w:rsidRPr="006E2139" w14:paraId="7653AF94" w14:textId="77777777" w:rsidTr="00C116FB">
        <w:tc>
          <w:tcPr>
            <w:tcW w:w="809" w:type="pct"/>
            <w:vMerge/>
            <w:shd w:val="clear" w:color="auto" w:fill="DEEAF6"/>
            <w:hideMark/>
          </w:tcPr>
          <w:p w14:paraId="5FAF4C11"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63060BE7"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7A03940D" w14:textId="77777777" w:rsidR="006E2139" w:rsidRPr="006E2139" w:rsidRDefault="006E2139" w:rsidP="00A773B7">
            <w:pPr>
              <w:pStyle w:val="TableBody"/>
              <w:rPr>
                <w:rFonts w:ascii="Segoe UI" w:hAnsi="Segoe UI" w:cs="Segoe UI"/>
                <w:sz w:val="18"/>
                <w:szCs w:val="18"/>
                <w:lang w:eastAsia="en-AU"/>
              </w:rPr>
            </w:pPr>
            <w:r w:rsidRPr="006E2139">
              <w:rPr>
                <w:lang w:eastAsia="en-AU"/>
              </w:rPr>
              <w:t>Do you have any further questions or comments?  </w:t>
            </w:r>
          </w:p>
        </w:tc>
      </w:tr>
      <w:tr w:rsidR="00744F6D" w:rsidRPr="006E2139" w14:paraId="5D66491E" w14:textId="77777777" w:rsidTr="00C116FB">
        <w:tc>
          <w:tcPr>
            <w:tcW w:w="809" w:type="pct"/>
            <w:vMerge/>
            <w:shd w:val="clear" w:color="auto" w:fill="DEEAF6"/>
            <w:hideMark/>
          </w:tcPr>
          <w:p w14:paraId="0383C086"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707D7C9D"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19228C1F" w14:textId="77777777" w:rsidR="006E2139" w:rsidRPr="006E2139" w:rsidRDefault="006E2139" w:rsidP="00A773B7">
            <w:pPr>
              <w:pStyle w:val="TableBody"/>
              <w:rPr>
                <w:rFonts w:ascii="Segoe UI" w:hAnsi="Segoe UI" w:cs="Segoe UI"/>
                <w:sz w:val="18"/>
                <w:szCs w:val="18"/>
                <w:lang w:eastAsia="en-AU"/>
              </w:rPr>
            </w:pPr>
            <w:r w:rsidRPr="006E2139">
              <w:rPr>
                <w:lang w:eastAsia="en-AU"/>
              </w:rPr>
              <w:t>Has the information presented today allayed any concerns you may have about being captured by the reforms? If not, what additional concerns do you have?  </w:t>
            </w:r>
          </w:p>
        </w:tc>
      </w:tr>
      <w:tr w:rsidR="00744F6D" w:rsidRPr="006E2139" w14:paraId="39023C5E" w14:textId="77777777" w:rsidTr="00C116FB">
        <w:tc>
          <w:tcPr>
            <w:tcW w:w="809" w:type="pct"/>
            <w:vMerge/>
            <w:shd w:val="clear" w:color="auto" w:fill="DEEAF6"/>
            <w:hideMark/>
          </w:tcPr>
          <w:p w14:paraId="380FE528" w14:textId="77777777" w:rsidR="006E2139" w:rsidRPr="00A773B7" w:rsidRDefault="006E2139" w:rsidP="00A773B7">
            <w:pPr>
              <w:pStyle w:val="TableBody"/>
              <w:rPr>
                <w:rFonts w:ascii="Segoe UI" w:hAnsi="Segoe UI" w:cs="Segoe UI"/>
                <w:b/>
                <w:bCs/>
                <w:sz w:val="18"/>
                <w:szCs w:val="18"/>
                <w:lang w:eastAsia="en-AU"/>
              </w:rPr>
            </w:pPr>
          </w:p>
        </w:tc>
        <w:tc>
          <w:tcPr>
            <w:tcW w:w="1103" w:type="pct"/>
            <w:vMerge w:val="restart"/>
            <w:shd w:val="clear" w:color="auto" w:fill="EDEDED"/>
            <w:hideMark/>
          </w:tcPr>
          <w:p w14:paraId="54D70087" w14:textId="4093BB99" w:rsidR="006E2139" w:rsidRPr="006E2139" w:rsidRDefault="006E2139" w:rsidP="00DA0CB0">
            <w:pPr>
              <w:pStyle w:val="TableBody"/>
              <w:rPr>
                <w:rFonts w:ascii="Segoe UI" w:hAnsi="Segoe UI" w:cs="Segoe UI"/>
                <w:sz w:val="18"/>
                <w:szCs w:val="18"/>
                <w:lang w:eastAsia="en-AU"/>
              </w:rPr>
            </w:pPr>
            <w:r w:rsidRPr="006E2139">
              <w:rPr>
                <w:lang w:eastAsia="en-AU"/>
              </w:rPr>
              <w:t>Consultation process (general)</w:t>
            </w:r>
          </w:p>
        </w:tc>
        <w:tc>
          <w:tcPr>
            <w:tcW w:w="3087" w:type="pct"/>
            <w:shd w:val="clear" w:color="auto" w:fill="auto"/>
            <w:hideMark/>
          </w:tcPr>
          <w:p w14:paraId="573C2271" w14:textId="77777777" w:rsidR="006E2139" w:rsidRPr="006E2139" w:rsidRDefault="006E2139" w:rsidP="00A773B7">
            <w:pPr>
              <w:pStyle w:val="TableBody"/>
              <w:rPr>
                <w:rFonts w:ascii="Segoe UI" w:hAnsi="Segoe UI" w:cs="Segoe UI"/>
                <w:sz w:val="18"/>
                <w:szCs w:val="18"/>
                <w:lang w:eastAsia="en-AU"/>
              </w:rPr>
            </w:pPr>
            <w:r w:rsidRPr="006E2139">
              <w:rPr>
                <w:lang w:eastAsia="en-AU"/>
              </w:rPr>
              <w:t>Are there any specific questions you have in advance of further industry consultation around the costing process and the draft rules? </w:t>
            </w:r>
          </w:p>
        </w:tc>
      </w:tr>
      <w:tr w:rsidR="00744F6D" w:rsidRPr="006E2139" w14:paraId="033A904D" w14:textId="77777777" w:rsidTr="00C116FB">
        <w:tc>
          <w:tcPr>
            <w:tcW w:w="809" w:type="pct"/>
            <w:vMerge/>
            <w:shd w:val="clear" w:color="auto" w:fill="DEEAF6"/>
            <w:hideMark/>
          </w:tcPr>
          <w:p w14:paraId="25D2AA88"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1DE4E8B8"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71C08EFE" w14:textId="77777777" w:rsidR="006E2139" w:rsidRPr="006E2139" w:rsidRDefault="006E2139" w:rsidP="00A773B7">
            <w:pPr>
              <w:pStyle w:val="TableBody"/>
              <w:rPr>
                <w:rFonts w:ascii="Segoe UI" w:hAnsi="Segoe UI" w:cs="Segoe UI"/>
                <w:sz w:val="18"/>
                <w:szCs w:val="18"/>
                <w:lang w:eastAsia="en-AU"/>
              </w:rPr>
            </w:pPr>
            <w:r w:rsidRPr="006E2139">
              <w:rPr>
                <w:lang w:eastAsia="en-AU"/>
              </w:rPr>
              <w:t>Is there anything else you would like to comment on as we progress with sector engagement?  </w:t>
            </w:r>
          </w:p>
        </w:tc>
      </w:tr>
      <w:tr w:rsidR="00744F6D" w:rsidRPr="006E2139" w14:paraId="3539F173" w14:textId="77777777" w:rsidTr="00C116FB">
        <w:tc>
          <w:tcPr>
            <w:tcW w:w="809" w:type="pct"/>
            <w:vMerge/>
            <w:shd w:val="clear" w:color="auto" w:fill="DEEAF6"/>
            <w:hideMark/>
          </w:tcPr>
          <w:p w14:paraId="78BE8E58"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4167C4E6"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44F990EF" w14:textId="77777777" w:rsidR="006E2139" w:rsidRPr="006E2139" w:rsidRDefault="006E2139" w:rsidP="00A773B7">
            <w:pPr>
              <w:pStyle w:val="TableBody"/>
              <w:rPr>
                <w:rFonts w:ascii="Segoe UI" w:hAnsi="Segoe UI" w:cs="Segoe UI"/>
                <w:sz w:val="18"/>
                <w:szCs w:val="18"/>
                <w:lang w:eastAsia="en-AU"/>
              </w:rPr>
            </w:pPr>
            <w:r w:rsidRPr="006E2139">
              <w:rPr>
                <w:lang w:eastAsia="en-AU"/>
              </w:rPr>
              <w:t>What are we missing in these rules to make your sector safe? </w:t>
            </w:r>
          </w:p>
        </w:tc>
      </w:tr>
      <w:tr w:rsidR="00744F6D" w:rsidRPr="006E2139" w14:paraId="537CDF19" w14:textId="77777777" w:rsidTr="00C116FB">
        <w:tc>
          <w:tcPr>
            <w:tcW w:w="809" w:type="pct"/>
            <w:vMerge/>
            <w:shd w:val="clear" w:color="auto" w:fill="DEEAF6"/>
            <w:hideMark/>
          </w:tcPr>
          <w:p w14:paraId="0AF08D57"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496AFDCC"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289767FB" w14:textId="77777777" w:rsidR="006E2139" w:rsidRPr="006E2139" w:rsidRDefault="006E2139" w:rsidP="00A773B7">
            <w:pPr>
              <w:pStyle w:val="TableBody"/>
              <w:rPr>
                <w:rFonts w:ascii="Segoe UI" w:hAnsi="Segoe UI" w:cs="Segoe UI"/>
                <w:sz w:val="18"/>
                <w:szCs w:val="18"/>
                <w:lang w:eastAsia="en-AU"/>
              </w:rPr>
            </w:pPr>
            <w:r w:rsidRPr="006E2139">
              <w:rPr>
                <w:lang w:eastAsia="en-AU"/>
              </w:rPr>
              <w:t>Do you have any questions or concerns about your feedback being heard?  </w:t>
            </w:r>
          </w:p>
        </w:tc>
      </w:tr>
      <w:tr w:rsidR="00744F6D" w:rsidRPr="006E2139" w14:paraId="597E2FF2" w14:textId="77777777" w:rsidTr="00C116FB">
        <w:tc>
          <w:tcPr>
            <w:tcW w:w="809" w:type="pct"/>
            <w:vMerge/>
            <w:shd w:val="clear" w:color="auto" w:fill="DEEAF6"/>
            <w:hideMark/>
          </w:tcPr>
          <w:p w14:paraId="7887B6E4" w14:textId="77777777" w:rsidR="006E2139" w:rsidRPr="00A773B7" w:rsidRDefault="006E2139" w:rsidP="00A773B7">
            <w:pPr>
              <w:pStyle w:val="TableBody"/>
              <w:rPr>
                <w:rFonts w:ascii="Segoe UI" w:hAnsi="Segoe UI" w:cs="Segoe UI"/>
                <w:b/>
                <w:bCs/>
                <w:sz w:val="18"/>
                <w:szCs w:val="18"/>
                <w:lang w:eastAsia="en-AU"/>
              </w:rPr>
            </w:pPr>
          </w:p>
        </w:tc>
        <w:tc>
          <w:tcPr>
            <w:tcW w:w="1103" w:type="pct"/>
            <w:vMerge w:val="restart"/>
            <w:shd w:val="clear" w:color="auto" w:fill="EDEDED"/>
            <w:hideMark/>
          </w:tcPr>
          <w:p w14:paraId="09804FDA" w14:textId="7E90AE07" w:rsidR="006E2139" w:rsidRPr="006E2139" w:rsidRDefault="006E2139" w:rsidP="00DA0CB0">
            <w:pPr>
              <w:pStyle w:val="TableBody"/>
              <w:rPr>
                <w:rFonts w:ascii="Segoe UI" w:hAnsi="Segoe UI" w:cs="Segoe UI"/>
                <w:sz w:val="18"/>
                <w:szCs w:val="18"/>
                <w:lang w:eastAsia="en-AU"/>
              </w:rPr>
            </w:pPr>
            <w:r w:rsidRPr="006E2139">
              <w:rPr>
                <w:lang w:eastAsia="en-AU"/>
              </w:rPr>
              <w:t>RMP rules (general)</w:t>
            </w:r>
          </w:p>
        </w:tc>
        <w:tc>
          <w:tcPr>
            <w:tcW w:w="3087" w:type="pct"/>
            <w:shd w:val="clear" w:color="auto" w:fill="auto"/>
            <w:hideMark/>
          </w:tcPr>
          <w:p w14:paraId="1A841DF6" w14:textId="77777777" w:rsidR="006E2139" w:rsidRPr="006E2139" w:rsidRDefault="006E2139" w:rsidP="00A773B7">
            <w:pPr>
              <w:pStyle w:val="TableBody"/>
              <w:rPr>
                <w:rFonts w:ascii="Segoe UI" w:hAnsi="Segoe UI" w:cs="Segoe UI"/>
                <w:sz w:val="18"/>
                <w:szCs w:val="18"/>
                <w:lang w:eastAsia="en-AU"/>
              </w:rPr>
            </w:pPr>
            <w:r w:rsidRPr="006E2139">
              <w:rPr>
                <w:lang w:eastAsia="en-AU"/>
              </w:rPr>
              <w:t>Do the rules make sense? </w:t>
            </w:r>
          </w:p>
        </w:tc>
      </w:tr>
      <w:tr w:rsidR="00744F6D" w:rsidRPr="006E2139" w14:paraId="77057DE4" w14:textId="77777777" w:rsidTr="00C116FB">
        <w:tc>
          <w:tcPr>
            <w:tcW w:w="809" w:type="pct"/>
            <w:vMerge/>
            <w:shd w:val="clear" w:color="auto" w:fill="DEEAF6"/>
            <w:hideMark/>
          </w:tcPr>
          <w:p w14:paraId="59023EFD"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46375537"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53CCE8A2" w14:textId="77777777" w:rsidR="006E2139" w:rsidRPr="006E2139" w:rsidRDefault="006E2139" w:rsidP="00A773B7">
            <w:pPr>
              <w:pStyle w:val="TableBody"/>
              <w:rPr>
                <w:rFonts w:ascii="Segoe UI" w:hAnsi="Segoe UI" w:cs="Segoe UI"/>
                <w:sz w:val="18"/>
                <w:szCs w:val="18"/>
                <w:lang w:eastAsia="en-AU"/>
              </w:rPr>
            </w:pPr>
            <w:r w:rsidRPr="006E2139">
              <w:rPr>
                <w:lang w:eastAsia="en-AU"/>
              </w:rPr>
              <w:t>Are the rules implementable? </w:t>
            </w:r>
          </w:p>
        </w:tc>
      </w:tr>
      <w:tr w:rsidR="00744F6D" w:rsidRPr="006E2139" w14:paraId="41927D85" w14:textId="77777777" w:rsidTr="00C116FB">
        <w:tc>
          <w:tcPr>
            <w:tcW w:w="809" w:type="pct"/>
            <w:vMerge/>
            <w:shd w:val="clear" w:color="auto" w:fill="DEEAF6"/>
            <w:hideMark/>
          </w:tcPr>
          <w:p w14:paraId="28BB9B60" w14:textId="77777777" w:rsidR="006E2139" w:rsidRPr="00A773B7" w:rsidRDefault="006E2139" w:rsidP="00A773B7">
            <w:pPr>
              <w:pStyle w:val="TableBody"/>
              <w:rPr>
                <w:rFonts w:ascii="Segoe UI" w:hAnsi="Segoe UI" w:cs="Segoe UI"/>
                <w:b/>
                <w:bCs/>
                <w:sz w:val="18"/>
                <w:szCs w:val="18"/>
                <w:lang w:eastAsia="en-AU"/>
              </w:rPr>
            </w:pPr>
          </w:p>
        </w:tc>
        <w:tc>
          <w:tcPr>
            <w:tcW w:w="1103" w:type="pct"/>
            <w:vMerge/>
            <w:shd w:val="clear" w:color="auto" w:fill="auto"/>
            <w:hideMark/>
          </w:tcPr>
          <w:p w14:paraId="40447BFB"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1E551850" w14:textId="77777777" w:rsidR="006E2139" w:rsidRPr="006E2139" w:rsidRDefault="006E2139" w:rsidP="00A773B7">
            <w:pPr>
              <w:pStyle w:val="TableBody"/>
              <w:rPr>
                <w:rFonts w:ascii="Segoe UI" w:hAnsi="Segoe UI" w:cs="Segoe UI"/>
                <w:sz w:val="18"/>
                <w:szCs w:val="18"/>
                <w:lang w:eastAsia="en-AU"/>
              </w:rPr>
            </w:pPr>
            <w:r w:rsidRPr="006E2139">
              <w:rPr>
                <w:lang w:eastAsia="en-AU"/>
              </w:rPr>
              <w:t>Do you have any further questions or comments? </w:t>
            </w:r>
          </w:p>
        </w:tc>
      </w:tr>
      <w:tr w:rsidR="00744F6D" w:rsidRPr="006E2139" w14:paraId="1716BCAF" w14:textId="77777777" w:rsidTr="00C116FB">
        <w:tc>
          <w:tcPr>
            <w:tcW w:w="809" w:type="pct"/>
            <w:vMerge w:val="restart"/>
            <w:shd w:val="clear" w:color="auto" w:fill="DEEAF6"/>
            <w:hideMark/>
          </w:tcPr>
          <w:p w14:paraId="2BE62398" w14:textId="128F81E0" w:rsidR="006E2139" w:rsidRPr="00A773B7" w:rsidRDefault="006E2139" w:rsidP="00744F6D">
            <w:pPr>
              <w:pStyle w:val="TableBody"/>
              <w:rPr>
                <w:rFonts w:ascii="Segoe UI" w:hAnsi="Segoe UI" w:cs="Segoe UI"/>
                <w:b/>
                <w:bCs/>
                <w:sz w:val="18"/>
                <w:szCs w:val="18"/>
                <w:lang w:eastAsia="en-AU"/>
              </w:rPr>
            </w:pPr>
            <w:r w:rsidRPr="00A773B7">
              <w:rPr>
                <w:b/>
                <w:bCs/>
                <w:lang w:eastAsia="en-AU"/>
              </w:rPr>
              <w:t>Information Session 2</w:t>
            </w:r>
          </w:p>
        </w:tc>
        <w:tc>
          <w:tcPr>
            <w:tcW w:w="1103" w:type="pct"/>
            <w:vMerge w:val="restart"/>
            <w:shd w:val="clear" w:color="auto" w:fill="EDEDED"/>
            <w:hideMark/>
          </w:tcPr>
          <w:p w14:paraId="36F0549D" w14:textId="0F712D65" w:rsidR="006E2139" w:rsidRPr="006E2139" w:rsidRDefault="006E2139" w:rsidP="00DA0CB0">
            <w:pPr>
              <w:pStyle w:val="TableBody"/>
              <w:rPr>
                <w:rFonts w:ascii="Segoe UI" w:hAnsi="Segoe UI" w:cs="Segoe UI"/>
                <w:sz w:val="18"/>
                <w:szCs w:val="18"/>
                <w:lang w:eastAsia="en-AU"/>
              </w:rPr>
            </w:pPr>
            <w:r w:rsidRPr="006E2139">
              <w:rPr>
                <w:lang w:eastAsia="en-AU"/>
              </w:rPr>
              <w:t>RMP rules (general)</w:t>
            </w:r>
          </w:p>
        </w:tc>
        <w:tc>
          <w:tcPr>
            <w:tcW w:w="3087" w:type="pct"/>
            <w:shd w:val="clear" w:color="auto" w:fill="auto"/>
            <w:hideMark/>
          </w:tcPr>
          <w:p w14:paraId="3CEACF12" w14:textId="40217906" w:rsidR="006E2139" w:rsidRPr="006E2139" w:rsidRDefault="006E2139" w:rsidP="00A773B7">
            <w:pPr>
              <w:pStyle w:val="TableBody"/>
              <w:rPr>
                <w:rFonts w:ascii="Segoe UI" w:hAnsi="Segoe UI" w:cs="Segoe UI"/>
                <w:sz w:val="18"/>
                <w:szCs w:val="18"/>
                <w:lang w:eastAsia="en-AU"/>
              </w:rPr>
            </w:pPr>
            <w:r w:rsidRPr="006E2139">
              <w:rPr>
                <w:lang w:eastAsia="en-AU"/>
              </w:rPr>
              <w:t>Are the RMP rules able to be implemented by your organisation?</w:t>
            </w:r>
          </w:p>
        </w:tc>
      </w:tr>
      <w:tr w:rsidR="00744F6D" w:rsidRPr="006E2139" w14:paraId="66E84A9A" w14:textId="77777777" w:rsidTr="00C116FB">
        <w:tc>
          <w:tcPr>
            <w:tcW w:w="809" w:type="pct"/>
            <w:vMerge/>
            <w:shd w:val="clear" w:color="auto" w:fill="DEEAF6"/>
            <w:hideMark/>
          </w:tcPr>
          <w:p w14:paraId="5E514290" w14:textId="77777777" w:rsidR="006E2139" w:rsidRPr="006E2139" w:rsidRDefault="006E2139" w:rsidP="00A773B7">
            <w:pPr>
              <w:pStyle w:val="TableBody"/>
              <w:rPr>
                <w:rFonts w:ascii="Segoe UI" w:hAnsi="Segoe UI" w:cs="Segoe UI"/>
                <w:sz w:val="18"/>
                <w:szCs w:val="18"/>
                <w:lang w:eastAsia="en-AU"/>
              </w:rPr>
            </w:pPr>
          </w:p>
        </w:tc>
        <w:tc>
          <w:tcPr>
            <w:tcW w:w="1103" w:type="pct"/>
            <w:vMerge/>
            <w:shd w:val="clear" w:color="auto" w:fill="auto"/>
            <w:hideMark/>
          </w:tcPr>
          <w:p w14:paraId="6E7388F8"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615A7932" w14:textId="77777777" w:rsidR="006E2139" w:rsidRPr="006E2139" w:rsidRDefault="006E2139" w:rsidP="00A773B7">
            <w:pPr>
              <w:pStyle w:val="TableBody"/>
              <w:rPr>
                <w:rFonts w:ascii="Segoe UI" w:hAnsi="Segoe UI" w:cs="Segoe UI"/>
                <w:sz w:val="18"/>
                <w:szCs w:val="18"/>
                <w:lang w:eastAsia="en-AU"/>
              </w:rPr>
            </w:pPr>
            <w:r w:rsidRPr="006E2139">
              <w:rPr>
                <w:lang w:eastAsia="en-AU"/>
              </w:rPr>
              <w:t>Do you feel informed on the RMP rules?  </w:t>
            </w:r>
          </w:p>
        </w:tc>
      </w:tr>
      <w:tr w:rsidR="00744F6D" w:rsidRPr="006E2139" w14:paraId="7F7E8793" w14:textId="77777777" w:rsidTr="00C116FB">
        <w:tc>
          <w:tcPr>
            <w:tcW w:w="809" w:type="pct"/>
            <w:vMerge/>
            <w:shd w:val="clear" w:color="auto" w:fill="DEEAF6"/>
            <w:hideMark/>
          </w:tcPr>
          <w:p w14:paraId="7882F52C" w14:textId="77777777" w:rsidR="006E2139" w:rsidRPr="006E2139" w:rsidRDefault="006E2139" w:rsidP="00A773B7">
            <w:pPr>
              <w:pStyle w:val="TableBody"/>
              <w:rPr>
                <w:rFonts w:ascii="Segoe UI" w:hAnsi="Segoe UI" w:cs="Segoe UI"/>
                <w:sz w:val="18"/>
                <w:szCs w:val="18"/>
                <w:lang w:eastAsia="en-AU"/>
              </w:rPr>
            </w:pPr>
          </w:p>
        </w:tc>
        <w:tc>
          <w:tcPr>
            <w:tcW w:w="1103" w:type="pct"/>
            <w:vMerge/>
            <w:shd w:val="clear" w:color="auto" w:fill="auto"/>
            <w:hideMark/>
          </w:tcPr>
          <w:p w14:paraId="53048328"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6F287E34" w14:textId="77777777" w:rsidR="006E2139" w:rsidRPr="006E2139" w:rsidRDefault="006E2139" w:rsidP="00A773B7">
            <w:pPr>
              <w:pStyle w:val="TableBody"/>
              <w:rPr>
                <w:rFonts w:ascii="Segoe UI" w:hAnsi="Segoe UI" w:cs="Segoe UI"/>
                <w:sz w:val="18"/>
                <w:szCs w:val="18"/>
                <w:lang w:eastAsia="en-AU"/>
              </w:rPr>
            </w:pPr>
            <w:r w:rsidRPr="006E2139">
              <w:rPr>
                <w:lang w:eastAsia="en-AU"/>
              </w:rPr>
              <w:t>Is there anything missing from the RMP rules necessary to keep your sector safe? If so, what? </w:t>
            </w:r>
          </w:p>
        </w:tc>
      </w:tr>
      <w:tr w:rsidR="00744F6D" w:rsidRPr="006E2139" w14:paraId="3684FD52" w14:textId="77777777" w:rsidTr="00C116FB">
        <w:tc>
          <w:tcPr>
            <w:tcW w:w="809" w:type="pct"/>
            <w:vMerge/>
            <w:shd w:val="clear" w:color="auto" w:fill="DEEAF6"/>
            <w:hideMark/>
          </w:tcPr>
          <w:p w14:paraId="342407D1" w14:textId="77777777" w:rsidR="006E2139" w:rsidRPr="006E2139" w:rsidRDefault="006E2139" w:rsidP="00A773B7">
            <w:pPr>
              <w:pStyle w:val="TableBody"/>
              <w:rPr>
                <w:rFonts w:ascii="Segoe UI" w:hAnsi="Segoe UI" w:cs="Segoe UI"/>
                <w:sz w:val="18"/>
                <w:szCs w:val="18"/>
                <w:lang w:eastAsia="en-AU"/>
              </w:rPr>
            </w:pPr>
          </w:p>
        </w:tc>
        <w:tc>
          <w:tcPr>
            <w:tcW w:w="1103" w:type="pct"/>
            <w:vMerge/>
            <w:shd w:val="clear" w:color="auto" w:fill="auto"/>
            <w:hideMark/>
          </w:tcPr>
          <w:p w14:paraId="654CA8AD"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48EFE730" w14:textId="77777777" w:rsidR="006E2139" w:rsidRPr="006E2139" w:rsidRDefault="006E2139" w:rsidP="00A773B7">
            <w:pPr>
              <w:pStyle w:val="TableBody"/>
              <w:rPr>
                <w:rFonts w:ascii="Segoe UI" w:hAnsi="Segoe UI" w:cs="Segoe UI"/>
                <w:sz w:val="18"/>
                <w:szCs w:val="18"/>
                <w:lang w:eastAsia="en-AU"/>
              </w:rPr>
            </w:pPr>
            <w:r w:rsidRPr="006E2139">
              <w:rPr>
                <w:lang w:eastAsia="en-AU"/>
              </w:rPr>
              <w:t>Which rules would benefit from additional guidance to assist with implementation of the rules? </w:t>
            </w:r>
          </w:p>
        </w:tc>
      </w:tr>
      <w:tr w:rsidR="00744F6D" w:rsidRPr="006E2139" w14:paraId="25670480" w14:textId="77777777" w:rsidTr="00C116FB">
        <w:tc>
          <w:tcPr>
            <w:tcW w:w="809" w:type="pct"/>
            <w:vMerge/>
            <w:shd w:val="clear" w:color="auto" w:fill="DEEAF6"/>
            <w:hideMark/>
          </w:tcPr>
          <w:p w14:paraId="26F7074F" w14:textId="77777777" w:rsidR="006E2139" w:rsidRPr="006E2139" w:rsidRDefault="006E2139" w:rsidP="00A773B7">
            <w:pPr>
              <w:pStyle w:val="TableBody"/>
              <w:rPr>
                <w:rFonts w:ascii="Segoe UI" w:hAnsi="Segoe UI" w:cs="Segoe UI"/>
                <w:sz w:val="18"/>
                <w:szCs w:val="18"/>
                <w:lang w:eastAsia="en-AU"/>
              </w:rPr>
            </w:pPr>
          </w:p>
        </w:tc>
        <w:tc>
          <w:tcPr>
            <w:tcW w:w="1103" w:type="pct"/>
            <w:vMerge/>
            <w:shd w:val="clear" w:color="auto" w:fill="auto"/>
            <w:hideMark/>
          </w:tcPr>
          <w:p w14:paraId="6DE03757" w14:textId="77777777" w:rsidR="006E2139" w:rsidRPr="006E2139" w:rsidRDefault="006E2139" w:rsidP="00DA0CB0">
            <w:pPr>
              <w:pStyle w:val="TableBody"/>
              <w:rPr>
                <w:rFonts w:ascii="Segoe UI" w:hAnsi="Segoe UI" w:cs="Segoe UI"/>
                <w:sz w:val="18"/>
                <w:szCs w:val="18"/>
                <w:lang w:eastAsia="en-AU"/>
              </w:rPr>
            </w:pPr>
          </w:p>
        </w:tc>
        <w:tc>
          <w:tcPr>
            <w:tcW w:w="3087" w:type="pct"/>
            <w:shd w:val="clear" w:color="auto" w:fill="auto"/>
            <w:hideMark/>
          </w:tcPr>
          <w:p w14:paraId="4DB7F60C" w14:textId="77777777" w:rsidR="006E2139" w:rsidRPr="006E2139" w:rsidRDefault="006E2139" w:rsidP="00A773B7">
            <w:pPr>
              <w:pStyle w:val="TableBody"/>
              <w:rPr>
                <w:rFonts w:ascii="Segoe UI" w:hAnsi="Segoe UI" w:cs="Segoe UI"/>
                <w:sz w:val="18"/>
                <w:szCs w:val="18"/>
                <w:lang w:eastAsia="en-AU"/>
              </w:rPr>
            </w:pPr>
            <w:r w:rsidRPr="006E2139">
              <w:rPr>
                <w:lang w:eastAsia="en-AU"/>
              </w:rPr>
              <w:t>Are there any other questions or comments you’re like to share with us? </w:t>
            </w:r>
          </w:p>
        </w:tc>
      </w:tr>
      <w:tr w:rsidR="00744F6D" w:rsidRPr="006E2139" w14:paraId="1E857EAF" w14:textId="77777777" w:rsidTr="00C116FB">
        <w:tc>
          <w:tcPr>
            <w:tcW w:w="809" w:type="pct"/>
            <w:vMerge/>
            <w:shd w:val="clear" w:color="auto" w:fill="DEEAF6"/>
            <w:hideMark/>
          </w:tcPr>
          <w:p w14:paraId="7C2469AE" w14:textId="77777777" w:rsidR="006E2139" w:rsidRPr="006E2139" w:rsidRDefault="006E2139" w:rsidP="00A773B7">
            <w:pPr>
              <w:pStyle w:val="TableBody"/>
              <w:rPr>
                <w:rFonts w:ascii="Segoe UI" w:hAnsi="Segoe UI" w:cs="Segoe UI"/>
                <w:sz w:val="18"/>
                <w:szCs w:val="18"/>
                <w:lang w:eastAsia="en-AU"/>
              </w:rPr>
            </w:pPr>
          </w:p>
        </w:tc>
        <w:tc>
          <w:tcPr>
            <w:tcW w:w="1103" w:type="pct"/>
            <w:vMerge w:val="restart"/>
            <w:shd w:val="clear" w:color="auto" w:fill="EDEDED"/>
            <w:hideMark/>
          </w:tcPr>
          <w:p w14:paraId="1BF7277B" w14:textId="572BD4BD" w:rsidR="006E2139" w:rsidRPr="006E2139" w:rsidRDefault="006E2139" w:rsidP="00DA0CB0">
            <w:pPr>
              <w:pStyle w:val="TableBody"/>
              <w:rPr>
                <w:rFonts w:ascii="Segoe UI" w:hAnsi="Segoe UI" w:cs="Segoe UI"/>
                <w:sz w:val="18"/>
                <w:szCs w:val="18"/>
                <w:lang w:eastAsia="en-AU"/>
              </w:rPr>
            </w:pPr>
            <w:r w:rsidRPr="006E2139">
              <w:rPr>
                <w:lang w:eastAsia="en-AU"/>
              </w:rPr>
              <w:t>RIS</w:t>
            </w:r>
          </w:p>
        </w:tc>
        <w:tc>
          <w:tcPr>
            <w:tcW w:w="3087" w:type="pct"/>
            <w:shd w:val="clear" w:color="auto" w:fill="auto"/>
            <w:hideMark/>
          </w:tcPr>
          <w:p w14:paraId="73B2697B" w14:textId="77777777" w:rsidR="006E2139" w:rsidRPr="006E2139" w:rsidRDefault="006E2139" w:rsidP="00A773B7">
            <w:pPr>
              <w:pStyle w:val="TableBody"/>
              <w:rPr>
                <w:rFonts w:ascii="Segoe UI" w:hAnsi="Segoe UI" w:cs="Segoe UI"/>
                <w:sz w:val="18"/>
                <w:szCs w:val="18"/>
                <w:lang w:eastAsia="en-AU"/>
              </w:rPr>
            </w:pPr>
            <w:r w:rsidRPr="006E2139">
              <w:rPr>
                <w:lang w:eastAsia="en-AU"/>
              </w:rPr>
              <w:t>Is the RIS process clear and understandable? </w:t>
            </w:r>
          </w:p>
        </w:tc>
      </w:tr>
      <w:tr w:rsidR="00744F6D" w:rsidRPr="006E2139" w14:paraId="2BF4619A" w14:textId="77777777" w:rsidTr="00C116FB">
        <w:tc>
          <w:tcPr>
            <w:tcW w:w="809" w:type="pct"/>
            <w:vMerge/>
            <w:shd w:val="clear" w:color="auto" w:fill="DEEAF6"/>
            <w:hideMark/>
          </w:tcPr>
          <w:p w14:paraId="0259C1BD" w14:textId="77777777" w:rsidR="006E2139" w:rsidRPr="006E2139" w:rsidRDefault="006E2139" w:rsidP="00A773B7">
            <w:pPr>
              <w:pStyle w:val="TableBody"/>
              <w:rPr>
                <w:rFonts w:ascii="Segoe UI" w:hAnsi="Segoe UI" w:cs="Segoe UI"/>
                <w:sz w:val="18"/>
                <w:szCs w:val="18"/>
                <w:lang w:eastAsia="en-AU"/>
              </w:rPr>
            </w:pPr>
          </w:p>
        </w:tc>
        <w:tc>
          <w:tcPr>
            <w:tcW w:w="1103" w:type="pct"/>
            <w:vMerge/>
            <w:shd w:val="clear" w:color="auto" w:fill="auto"/>
            <w:hideMark/>
          </w:tcPr>
          <w:p w14:paraId="486A320C" w14:textId="77777777" w:rsidR="006E2139" w:rsidRPr="006E2139" w:rsidRDefault="006E2139" w:rsidP="00A773B7">
            <w:pPr>
              <w:pStyle w:val="TableBody"/>
              <w:rPr>
                <w:rFonts w:ascii="Segoe UI" w:hAnsi="Segoe UI" w:cs="Segoe UI"/>
                <w:sz w:val="18"/>
                <w:szCs w:val="18"/>
                <w:lang w:eastAsia="en-AU"/>
              </w:rPr>
            </w:pPr>
          </w:p>
        </w:tc>
        <w:tc>
          <w:tcPr>
            <w:tcW w:w="3087" w:type="pct"/>
            <w:shd w:val="clear" w:color="auto" w:fill="auto"/>
            <w:hideMark/>
          </w:tcPr>
          <w:p w14:paraId="2D0ECDA8" w14:textId="77777777" w:rsidR="006E2139" w:rsidRPr="006E2139" w:rsidRDefault="006E2139" w:rsidP="00A773B7">
            <w:pPr>
              <w:pStyle w:val="TableBody"/>
              <w:rPr>
                <w:rFonts w:ascii="Segoe UI" w:hAnsi="Segoe UI" w:cs="Segoe UI"/>
                <w:sz w:val="18"/>
                <w:szCs w:val="18"/>
                <w:lang w:eastAsia="en-AU"/>
              </w:rPr>
            </w:pPr>
            <w:r w:rsidRPr="006E2139">
              <w:rPr>
                <w:lang w:eastAsia="en-AU"/>
              </w:rPr>
              <w:t>Is the timeline clear and understandable? </w:t>
            </w:r>
          </w:p>
        </w:tc>
      </w:tr>
      <w:tr w:rsidR="00744F6D" w:rsidRPr="006E2139" w14:paraId="3FEF8BAF" w14:textId="77777777" w:rsidTr="00C116FB">
        <w:tc>
          <w:tcPr>
            <w:tcW w:w="809" w:type="pct"/>
            <w:vMerge/>
            <w:shd w:val="clear" w:color="auto" w:fill="DEEAF6"/>
            <w:hideMark/>
          </w:tcPr>
          <w:p w14:paraId="595113EE" w14:textId="77777777" w:rsidR="006E2139" w:rsidRPr="006E2139" w:rsidRDefault="006E2139" w:rsidP="00A773B7">
            <w:pPr>
              <w:pStyle w:val="TableBody"/>
              <w:rPr>
                <w:rFonts w:ascii="Segoe UI" w:hAnsi="Segoe UI" w:cs="Segoe UI"/>
                <w:sz w:val="18"/>
                <w:szCs w:val="18"/>
                <w:lang w:eastAsia="en-AU"/>
              </w:rPr>
            </w:pPr>
          </w:p>
        </w:tc>
        <w:tc>
          <w:tcPr>
            <w:tcW w:w="1103" w:type="pct"/>
            <w:vMerge/>
            <w:shd w:val="clear" w:color="auto" w:fill="auto"/>
            <w:hideMark/>
          </w:tcPr>
          <w:p w14:paraId="16767A23" w14:textId="77777777" w:rsidR="006E2139" w:rsidRPr="006E2139" w:rsidRDefault="006E2139" w:rsidP="00A773B7">
            <w:pPr>
              <w:pStyle w:val="TableBody"/>
              <w:rPr>
                <w:rFonts w:ascii="Segoe UI" w:hAnsi="Segoe UI" w:cs="Segoe UI"/>
                <w:sz w:val="18"/>
                <w:szCs w:val="18"/>
                <w:lang w:eastAsia="en-AU"/>
              </w:rPr>
            </w:pPr>
          </w:p>
        </w:tc>
        <w:tc>
          <w:tcPr>
            <w:tcW w:w="3087" w:type="pct"/>
            <w:shd w:val="clear" w:color="auto" w:fill="auto"/>
            <w:hideMark/>
          </w:tcPr>
          <w:p w14:paraId="5A386109" w14:textId="77777777" w:rsidR="006E2139" w:rsidRPr="006E2139" w:rsidRDefault="006E2139" w:rsidP="00A773B7">
            <w:pPr>
              <w:pStyle w:val="TableBody"/>
              <w:rPr>
                <w:rFonts w:ascii="Segoe UI" w:hAnsi="Segoe UI" w:cs="Segoe UI"/>
                <w:sz w:val="18"/>
                <w:szCs w:val="18"/>
                <w:lang w:eastAsia="en-AU"/>
              </w:rPr>
            </w:pPr>
            <w:r w:rsidRPr="006E2139">
              <w:rPr>
                <w:lang w:eastAsia="en-AU"/>
              </w:rPr>
              <w:t>Do you have you any other questions or comments? </w:t>
            </w:r>
          </w:p>
        </w:tc>
      </w:tr>
    </w:tbl>
    <w:p w14:paraId="63CE8440" w14:textId="77777777" w:rsidR="003205AF" w:rsidRDefault="003205AF" w:rsidP="002561BC">
      <w:pPr>
        <w:pStyle w:val="Heading1"/>
        <w:rPr>
          <w:sz w:val="32"/>
        </w:rPr>
      </w:pPr>
      <w:r>
        <w:rPr>
          <w:sz w:val="32"/>
        </w:rPr>
        <w:br w:type="page"/>
      </w:r>
    </w:p>
    <w:p w14:paraId="04B476A0" w14:textId="782493DE" w:rsidR="003205AF" w:rsidRDefault="007F3D8E" w:rsidP="0002213B">
      <w:pPr>
        <w:pStyle w:val="AppendixH1"/>
      </w:pPr>
      <w:bookmarkStart w:id="503" w:name="_Toc121397413"/>
      <w:r w:rsidRPr="005F10B9">
        <w:lastRenderedPageBreak/>
        <w:t xml:space="preserve">Supplementary information for </w:t>
      </w:r>
      <w:r w:rsidR="005F10B9" w:rsidRPr="005F10B9">
        <w:t>c</w:t>
      </w:r>
      <w:r w:rsidRPr="005F10B9">
        <w:t>ritical</w:t>
      </w:r>
      <w:r>
        <w:t xml:space="preserve"> </w:t>
      </w:r>
      <w:r w:rsidR="000C3D44">
        <w:t>electricity</w:t>
      </w:r>
      <w:r>
        <w:t xml:space="preserve"> assets</w:t>
      </w:r>
      <w:bookmarkEnd w:id="503"/>
    </w:p>
    <w:p w14:paraId="1A3796C5" w14:textId="77777777" w:rsidR="004A0427" w:rsidRPr="004A0427" w:rsidRDefault="00640029" w:rsidP="004F16FE">
      <w:pPr>
        <w:pStyle w:val="AppendixH2"/>
      </w:pPr>
      <w:r>
        <w:t xml:space="preserve">Overview of the role of </w:t>
      </w:r>
      <w:r w:rsidR="00C126E9">
        <w:t>electricity</w:t>
      </w:r>
      <w:r>
        <w:t xml:space="preserve"> in Australia</w:t>
      </w:r>
      <w:bookmarkStart w:id="504" w:name="_Toc73029718"/>
      <w:bookmarkStart w:id="505" w:name="_Toc73609396"/>
      <w:bookmarkStart w:id="506" w:name="_Toc74133852"/>
      <w:bookmarkStart w:id="507" w:name="_Toc74212024"/>
      <w:bookmarkStart w:id="508" w:name="_Toc74212299"/>
      <w:bookmarkStart w:id="509" w:name="_Toc74661408"/>
      <w:bookmarkStart w:id="510" w:name="_Toc74661573"/>
      <w:bookmarkStart w:id="511" w:name="_Toc74755216"/>
      <w:bookmarkStart w:id="512" w:name="_Toc74756807"/>
      <w:bookmarkStart w:id="513" w:name="_Toc74756930"/>
      <w:bookmarkStart w:id="514" w:name="_Toc74832167"/>
      <w:bookmarkStart w:id="515" w:name="_Toc74841094"/>
      <w:bookmarkStart w:id="516" w:name="_Toc74841172"/>
      <w:bookmarkStart w:id="517" w:name="_Toc74913952"/>
      <w:bookmarkStart w:id="518" w:name="_Toc76050806"/>
      <w:bookmarkStart w:id="519" w:name="_Toc71710847"/>
      <w:bookmarkStart w:id="520" w:name="_Toc71720801"/>
    </w:p>
    <w:p w14:paraId="619FB159" w14:textId="77777777" w:rsidR="001656B3" w:rsidRDefault="001656B3" w:rsidP="003B2055">
      <w:pPr>
        <w:pStyle w:val="BodyText"/>
      </w:pPr>
      <w:r>
        <w:t xml:space="preserve">The production, transmission, distribution, or supply of electricity is a major contributor to Australia’s economy and is essential to efficiently conduct almost all day-to-day activities. As Australia’s economy expands, the need for heightened security and resilience in Australia’s critical electricity assets is increasing. </w:t>
      </w:r>
    </w:p>
    <w:p w14:paraId="71ABF3D1" w14:textId="77777777" w:rsidR="001D46D6" w:rsidRDefault="001D46D6" w:rsidP="003B2055">
      <w:pPr>
        <w:pStyle w:val="BodyText"/>
      </w:pPr>
      <w:bookmarkStart w:id="521" w:name="_Toc74755217"/>
      <w:bookmarkStart w:id="522" w:name="_Toc74756808"/>
      <w:bookmarkStart w:id="523" w:name="_Toc74756931"/>
      <w:bookmarkStart w:id="524" w:name="_Toc74832168"/>
      <w:bookmarkStart w:id="525" w:name="_Toc74841095"/>
      <w:bookmarkStart w:id="526" w:name="_Toc74841173"/>
      <w:bookmarkStart w:id="527" w:name="_Toc74913953"/>
      <w:bookmarkStart w:id="528" w:name="_Toc76050807"/>
      <w:bookmarkStart w:id="529" w:name="_Toc70672646"/>
      <w:bookmarkStart w:id="530" w:name="_Toc70672816"/>
      <w:bookmarkStart w:id="531" w:name="_Toc71710849"/>
      <w:bookmarkStart w:id="532" w:name="_Toc71720803"/>
      <w:bookmarkStart w:id="533" w:name="_Toc73029720"/>
      <w:bookmarkStart w:id="534" w:name="_Toc73609398"/>
      <w:bookmarkStart w:id="535" w:name="_Toc74133853"/>
      <w:bookmarkStart w:id="536" w:name="_Toc74212025"/>
      <w:bookmarkStart w:id="537" w:name="_Toc74212300"/>
      <w:bookmarkStart w:id="538" w:name="_Toc74661409"/>
      <w:bookmarkStart w:id="539" w:name="_Toc74661574"/>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r>
        <w:t>The lifecycle of electricity involves the following activities:</w:t>
      </w:r>
      <w:bookmarkEnd w:id="521"/>
      <w:bookmarkEnd w:id="522"/>
      <w:bookmarkEnd w:id="523"/>
      <w:bookmarkEnd w:id="524"/>
      <w:bookmarkEnd w:id="525"/>
      <w:bookmarkEnd w:id="526"/>
      <w:bookmarkEnd w:id="527"/>
      <w:bookmarkEnd w:id="528"/>
      <w:r>
        <w:t xml:space="preserve"> </w:t>
      </w:r>
      <w:bookmarkEnd w:id="529"/>
      <w:bookmarkEnd w:id="530"/>
      <w:bookmarkEnd w:id="531"/>
      <w:bookmarkEnd w:id="532"/>
      <w:bookmarkEnd w:id="533"/>
      <w:bookmarkEnd w:id="534"/>
      <w:bookmarkEnd w:id="535"/>
      <w:bookmarkEnd w:id="536"/>
      <w:bookmarkEnd w:id="537"/>
      <w:bookmarkEnd w:id="538"/>
      <w:bookmarkEnd w:id="539"/>
      <w:r>
        <w:t xml:space="preserve"> </w:t>
      </w:r>
    </w:p>
    <w:p w14:paraId="6CB59767" w14:textId="77777777" w:rsidR="001D46D6" w:rsidRDefault="001D46D6" w:rsidP="003B2055">
      <w:pPr>
        <w:pStyle w:val="Bullet1stlevel"/>
      </w:pPr>
      <w:bookmarkStart w:id="540" w:name="_Toc70672647"/>
      <w:bookmarkStart w:id="541" w:name="_Toc70672817"/>
      <w:bookmarkStart w:id="542" w:name="_Toc71710850"/>
      <w:bookmarkStart w:id="543" w:name="_Toc71720804"/>
      <w:bookmarkStart w:id="544" w:name="_Toc73029721"/>
      <w:bookmarkStart w:id="545" w:name="_Toc73609399"/>
      <w:bookmarkStart w:id="546" w:name="_Toc74133854"/>
      <w:bookmarkStart w:id="547" w:name="_Toc74212026"/>
      <w:bookmarkStart w:id="548" w:name="_Toc74212301"/>
      <w:bookmarkStart w:id="549" w:name="_Toc74661410"/>
      <w:bookmarkStart w:id="550" w:name="_Toc74661575"/>
      <w:bookmarkStart w:id="551" w:name="_Toc74755218"/>
      <w:bookmarkStart w:id="552" w:name="_Toc74756809"/>
      <w:bookmarkStart w:id="553" w:name="_Toc74756932"/>
      <w:bookmarkStart w:id="554" w:name="_Toc74832169"/>
      <w:bookmarkStart w:id="555" w:name="_Toc74841096"/>
      <w:bookmarkStart w:id="556" w:name="_Toc74841174"/>
      <w:bookmarkStart w:id="557" w:name="_Toc74913954"/>
      <w:bookmarkStart w:id="558" w:name="_Toc76050808"/>
      <w:r>
        <w:rPr>
          <w:b/>
          <w:bCs/>
        </w:rPr>
        <w:t>Generators</w:t>
      </w:r>
      <w:r>
        <w:t xml:space="preserve"> create electricity from various sources, including but not limited to coal, gas, solar, water, </w:t>
      </w:r>
      <w:r w:rsidR="00FC1CF7">
        <w:t>wind,</w:t>
      </w:r>
      <w:r>
        <w:t xml:space="preserve"> and biomass.</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t xml:space="preserve"> </w:t>
      </w:r>
    </w:p>
    <w:p w14:paraId="0D7E3BA3" w14:textId="77777777" w:rsidR="001D46D6" w:rsidRDefault="001D46D6" w:rsidP="003B2055">
      <w:pPr>
        <w:pStyle w:val="Bullet1stlevel"/>
      </w:pPr>
      <w:bookmarkStart w:id="559" w:name="_Toc70672648"/>
      <w:bookmarkStart w:id="560" w:name="_Toc70672818"/>
      <w:bookmarkStart w:id="561" w:name="_Toc71710851"/>
      <w:bookmarkStart w:id="562" w:name="_Toc71720805"/>
      <w:bookmarkStart w:id="563" w:name="_Toc73029722"/>
      <w:bookmarkStart w:id="564" w:name="_Toc73609400"/>
      <w:bookmarkStart w:id="565" w:name="_Toc74133855"/>
      <w:bookmarkStart w:id="566" w:name="_Toc74212027"/>
      <w:bookmarkStart w:id="567" w:name="_Toc74212302"/>
      <w:bookmarkStart w:id="568" w:name="_Toc74661411"/>
      <w:bookmarkStart w:id="569" w:name="_Toc74661576"/>
      <w:bookmarkStart w:id="570" w:name="_Toc74755219"/>
      <w:bookmarkStart w:id="571" w:name="_Toc74756810"/>
      <w:bookmarkStart w:id="572" w:name="_Toc74756933"/>
      <w:bookmarkStart w:id="573" w:name="_Toc74832170"/>
      <w:bookmarkStart w:id="574" w:name="_Toc74841097"/>
      <w:bookmarkStart w:id="575" w:name="_Toc74841175"/>
      <w:bookmarkStart w:id="576" w:name="_Toc74913955"/>
      <w:bookmarkStart w:id="577" w:name="_Toc76050809"/>
      <w:r>
        <w:t xml:space="preserve">The electricity is then converted from low voltage to high voltage through </w:t>
      </w:r>
      <w:r>
        <w:rPr>
          <w:b/>
          <w:bCs/>
        </w:rPr>
        <w:t>transmission networks</w:t>
      </w:r>
      <w:r>
        <w:t>, which allow for greater efficiency in transporting electricity across long distances.</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t xml:space="preserve"> </w:t>
      </w:r>
    </w:p>
    <w:p w14:paraId="3EC2A160" w14:textId="77777777" w:rsidR="001D46D6" w:rsidRDefault="001D46D6" w:rsidP="003B2055">
      <w:pPr>
        <w:pStyle w:val="Bullet1stlevel"/>
      </w:pPr>
      <w:r>
        <w:t xml:space="preserve">Once the electricity is in close proximity to its geographical point of dissemination, </w:t>
      </w:r>
      <w:r>
        <w:rPr>
          <w:b/>
          <w:bCs/>
        </w:rPr>
        <w:t>distribution networks</w:t>
      </w:r>
      <w:r>
        <w:t xml:space="preserve"> convert the high voltage electricity back to low voltage and transport the electricity to customers for use. </w:t>
      </w:r>
    </w:p>
    <w:p w14:paraId="4BB5AC74" w14:textId="77777777" w:rsidR="001D46D6" w:rsidRDefault="001D46D6" w:rsidP="003B2055">
      <w:pPr>
        <w:pStyle w:val="BodyText"/>
      </w:pPr>
      <w:r>
        <w:t xml:space="preserve">For 22 million Australians, electricity is provided by the National Electricity Market (NEM), covering the six eastern and southern states and territories. Western Australia and the Northern Territory manage their own electricity systems under separate regulatory arrangements. </w:t>
      </w:r>
    </w:p>
    <w:p w14:paraId="13A5AA0C" w14:textId="5627022D" w:rsidR="001656B3" w:rsidRPr="009739FE" w:rsidRDefault="00B16D04" w:rsidP="003B2055">
      <w:pPr>
        <w:pStyle w:val="BodyText"/>
      </w:pPr>
      <w:r w:rsidRPr="009739FE">
        <w:t xml:space="preserve">The </w:t>
      </w:r>
      <w:r w:rsidR="00384419">
        <w:t>SOCI Act</w:t>
      </w:r>
      <w:r w:rsidRPr="009739FE">
        <w:t xml:space="preserve"> refers to assets within a critical infrastructure sector as ‘critical infrastructure assets’. </w:t>
      </w:r>
      <w:r w:rsidR="001656B3" w:rsidRPr="009739FE">
        <w:t xml:space="preserve">Section 10 of the </w:t>
      </w:r>
      <w:r w:rsidR="00384419">
        <w:t>SOCI Act</w:t>
      </w:r>
      <w:r w:rsidR="001656B3" w:rsidRPr="009739FE">
        <w:t xml:space="preserve"> outlines the following in relation to ‘critical electricity assets’ (underlined text is the proposed amendment): </w:t>
      </w:r>
    </w:p>
    <w:p w14:paraId="27E26049" w14:textId="7A23EEE2" w:rsidR="00B16D04" w:rsidRPr="00374A1D" w:rsidRDefault="00B16D04" w:rsidP="007F265A">
      <w:pPr>
        <w:numPr>
          <w:ilvl w:val="0"/>
          <w:numId w:val="112"/>
        </w:numPr>
        <w:autoSpaceDE w:val="0"/>
        <w:autoSpaceDN w:val="0"/>
        <w:adjustRightInd w:val="0"/>
        <w:spacing w:line="259" w:lineRule="auto"/>
        <w:ind w:left="357" w:hanging="357"/>
        <w:rPr>
          <w:rFonts w:ascii="Arial" w:eastAsia="Calibri" w:hAnsi="Arial" w:cs="Arial"/>
          <w:i/>
          <w:iCs/>
          <w:color w:val="000000"/>
          <w:sz w:val="22"/>
        </w:rPr>
      </w:pPr>
      <w:r w:rsidRPr="00374A1D">
        <w:rPr>
          <w:rFonts w:ascii="Arial" w:eastAsia="Calibri" w:hAnsi="Arial" w:cs="Arial"/>
          <w:i/>
          <w:iCs/>
          <w:color w:val="000000"/>
          <w:sz w:val="22"/>
        </w:rPr>
        <w:t xml:space="preserve">An asset </w:t>
      </w:r>
      <w:r w:rsidRPr="00374A1D">
        <w:rPr>
          <w:rFonts w:ascii="Arial" w:eastAsia="Calibri" w:hAnsi="Arial" w:cs="Arial"/>
          <w:i/>
          <w:iCs/>
          <w:sz w:val="22"/>
        </w:rPr>
        <w:t xml:space="preserve">is a </w:t>
      </w:r>
      <w:r w:rsidRPr="00374A1D">
        <w:rPr>
          <w:rFonts w:ascii="Arial" w:eastAsia="Times New Roman" w:hAnsi="Arial" w:cs="Arial"/>
          <w:b/>
          <w:bCs/>
          <w:i/>
          <w:iCs/>
          <w:sz w:val="22"/>
        </w:rPr>
        <w:t>critical electricity asset</w:t>
      </w:r>
      <w:r w:rsidRPr="00374A1D">
        <w:rPr>
          <w:rFonts w:ascii="Arial" w:eastAsia="Calibri" w:hAnsi="Arial" w:cs="Arial"/>
          <w:i/>
          <w:iCs/>
          <w:szCs w:val="20"/>
        </w:rPr>
        <w:t xml:space="preserve"> </w:t>
      </w:r>
      <w:r w:rsidRPr="00374A1D">
        <w:rPr>
          <w:rFonts w:ascii="Arial" w:eastAsia="Calibri" w:hAnsi="Arial" w:cs="Arial"/>
          <w:i/>
          <w:iCs/>
          <w:color w:val="000000"/>
          <w:sz w:val="22"/>
        </w:rPr>
        <w:t xml:space="preserve">if it is: </w:t>
      </w:r>
    </w:p>
    <w:p w14:paraId="3294A5CA" w14:textId="77777777" w:rsidR="00B16D04" w:rsidRPr="00374A1D" w:rsidRDefault="00B16D04" w:rsidP="00B16D04">
      <w:pPr>
        <w:numPr>
          <w:ilvl w:val="1"/>
          <w:numId w:val="21"/>
        </w:numPr>
        <w:autoSpaceDE w:val="0"/>
        <w:autoSpaceDN w:val="0"/>
        <w:adjustRightInd w:val="0"/>
        <w:spacing w:line="259" w:lineRule="auto"/>
        <w:ind w:left="723"/>
        <w:rPr>
          <w:rFonts w:ascii="Arial" w:eastAsia="Calibri" w:hAnsi="Arial" w:cs="Arial"/>
          <w:i/>
          <w:iCs/>
          <w:color w:val="000000"/>
          <w:sz w:val="22"/>
        </w:rPr>
      </w:pPr>
      <w:r w:rsidRPr="00374A1D">
        <w:rPr>
          <w:rFonts w:ascii="Arial" w:eastAsia="Calibri" w:hAnsi="Arial" w:cs="Arial"/>
          <w:i/>
          <w:iCs/>
          <w:color w:val="000000"/>
          <w:sz w:val="22"/>
        </w:rPr>
        <w:t xml:space="preserve">A network, </w:t>
      </w:r>
      <w:r w:rsidR="00FC1CF7" w:rsidRPr="00374A1D">
        <w:rPr>
          <w:rFonts w:ascii="Arial" w:eastAsia="Calibri" w:hAnsi="Arial" w:cs="Arial"/>
          <w:i/>
          <w:iCs/>
          <w:color w:val="000000"/>
          <w:sz w:val="22"/>
        </w:rPr>
        <w:t>system,</w:t>
      </w:r>
      <w:r w:rsidRPr="00374A1D">
        <w:rPr>
          <w:rFonts w:ascii="Arial" w:eastAsia="Calibri" w:hAnsi="Arial" w:cs="Arial"/>
          <w:i/>
          <w:iCs/>
          <w:color w:val="000000"/>
          <w:sz w:val="22"/>
        </w:rPr>
        <w:t xml:space="preserve"> or interconnector, for the transmission or distribution of electricity to</w:t>
      </w:r>
      <w:r w:rsidRPr="00374A1D">
        <w:rPr>
          <w:rFonts w:ascii="Times New Roman" w:eastAsia="Calibri" w:hAnsi="Times New Roman" w:cs="Times New Roman"/>
          <w:i/>
          <w:iCs/>
          <w:color w:val="000000"/>
          <w:sz w:val="24"/>
          <w:szCs w:val="24"/>
        </w:rPr>
        <w:t xml:space="preserve"> </w:t>
      </w:r>
      <w:r w:rsidRPr="00374A1D">
        <w:rPr>
          <w:rFonts w:ascii="Arial" w:eastAsia="Calibri" w:hAnsi="Arial" w:cs="Arial"/>
          <w:i/>
          <w:iCs/>
          <w:color w:val="000000"/>
          <w:sz w:val="22"/>
        </w:rPr>
        <w:t xml:space="preserve">ultimately service at least 100,000 </w:t>
      </w:r>
      <w:r w:rsidRPr="00374A1D">
        <w:rPr>
          <w:rFonts w:ascii="Arial" w:eastAsia="Calibri" w:hAnsi="Arial" w:cs="Arial"/>
          <w:i/>
          <w:iCs/>
          <w:color w:val="000000"/>
          <w:sz w:val="22"/>
          <w:u w:val="single"/>
        </w:rPr>
        <w:t>customers or any other number of customers prescribed by the rules</w:t>
      </w:r>
      <w:r w:rsidRPr="00374A1D">
        <w:rPr>
          <w:rFonts w:ascii="Arial" w:eastAsia="Calibri" w:hAnsi="Arial" w:cs="Arial"/>
          <w:i/>
          <w:iCs/>
          <w:color w:val="000000"/>
          <w:sz w:val="22"/>
        </w:rPr>
        <w:t xml:space="preserve">; or </w:t>
      </w:r>
    </w:p>
    <w:p w14:paraId="0BA904FC" w14:textId="77777777" w:rsidR="00B16D04" w:rsidRPr="00374A1D" w:rsidRDefault="00B16D04" w:rsidP="00B16D04">
      <w:pPr>
        <w:numPr>
          <w:ilvl w:val="1"/>
          <w:numId w:val="21"/>
        </w:numPr>
        <w:autoSpaceDE w:val="0"/>
        <w:autoSpaceDN w:val="0"/>
        <w:adjustRightInd w:val="0"/>
        <w:spacing w:line="259" w:lineRule="auto"/>
        <w:ind w:left="720" w:hanging="357"/>
        <w:rPr>
          <w:rFonts w:ascii="Arial" w:eastAsia="Calibri" w:hAnsi="Arial" w:cs="Arial"/>
          <w:i/>
          <w:iCs/>
          <w:color w:val="000000"/>
          <w:sz w:val="22"/>
        </w:rPr>
      </w:pPr>
      <w:r w:rsidRPr="00374A1D">
        <w:rPr>
          <w:rFonts w:ascii="Arial" w:eastAsia="Calibri" w:hAnsi="Arial" w:cs="Arial"/>
          <w:i/>
          <w:iCs/>
          <w:color w:val="000000"/>
          <w:sz w:val="22"/>
        </w:rPr>
        <w:t xml:space="preserve">An electricity generation station that is critical to ensuring the security and reliability of electricity networks or electricity systems in a State or Territory, in accordance with subsection (2). </w:t>
      </w:r>
    </w:p>
    <w:p w14:paraId="68D15307" w14:textId="6EDE0306" w:rsidR="00B16D04" w:rsidRPr="00744F6D" w:rsidRDefault="00B16D04" w:rsidP="00744F6D">
      <w:pPr>
        <w:numPr>
          <w:ilvl w:val="0"/>
          <w:numId w:val="112"/>
        </w:numPr>
        <w:autoSpaceDE w:val="0"/>
        <w:autoSpaceDN w:val="0"/>
        <w:adjustRightInd w:val="0"/>
        <w:ind w:left="357" w:hanging="357"/>
        <w:rPr>
          <w:rFonts w:ascii="Arial" w:eastAsia="Calibri" w:hAnsi="Arial" w:cs="Arial"/>
          <w:color w:val="000000"/>
          <w:sz w:val="22"/>
        </w:rPr>
      </w:pPr>
      <w:r w:rsidRPr="00374A1D">
        <w:rPr>
          <w:rFonts w:ascii="Arial" w:eastAsia="Calibri" w:hAnsi="Arial" w:cs="Arial"/>
          <w:i/>
          <w:iCs/>
          <w:color w:val="000000"/>
          <w:sz w:val="22"/>
        </w:rPr>
        <w:t xml:space="preserve">For the purposes of paragraph (1)(b), the rules may prescribe requirements for an electricity generation station to be critical to ensuring the security and reliability of electricity networks or electricity systems in a particular State or Territory. </w:t>
      </w:r>
    </w:p>
    <w:p w14:paraId="416B1660" w14:textId="77777777" w:rsidR="00640029" w:rsidRDefault="00640029" w:rsidP="004F16FE">
      <w:pPr>
        <w:pStyle w:val="AppendixH2"/>
      </w:pPr>
      <w:r>
        <w:t xml:space="preserve">Impacts of a disruption to </w:t>
      </w:r>
      <w:r w:rsidR="000039CA">
        <w:t xml:space="preserve">critical </w:t>
      </w:r>
      <w:r w:rsidR="006A294E">
        <w:t>electricity asset</w:t>
      </w:r>
    </w:p>
    <w:p w14:paraId="44462AC1" w14:textId="77777777" w:rsidR="00D42A9A" w:rsidRDefault="00914190" w:rsidP="009B4BA2">
      <w:pPr>
        <w:pStyle w:val="BodyText"/>
        <w:rPr>
          <w:rFonts w:ascii="Arial" w:eastAsia="Calibri" w:hAnsi="Arial" w:cs="Arial"/>
          <w:color w:val="000000"/>
        </w:rPr>
      </w:pPr>
      <w:r>
        <w:t>T</w:t>
      </w:r>
      <w:r w:rsidR="00D42A9A">
        <w:rPr>
          <w:rFonts w:ascii="Arial" w:eastAsia="Calibri" w:hAnsi="Arial" w:cs="Arial"/>
        </w:rPr>
        <w:t>he consequences of a prolonged and widespread disruption to a critical electricity asset may include:</w:t>
      </w:r>
    </w:p>
    <w:p w14:paraId="52E30BB3" w14:textId="77777777" w:rsidR="00D42A9A" w:rsidRDefault="00D42A9A" w:rsidP="003B2055">
      <w:pPr>
        <w:pStyle w:val="Bullet1stlevel"/>
      </w:pPr>
      <w:r>
        <w:t xml:space="preserve">shortages in or destruction of essential medical supplies which require refrigeration; </w:t>
      </w:r>
    </w:p>
    <w:p w14:paraId="6B44A6D8" w14:textId="77777777" w:rsidR="00D42A9A" w:rsidRDefault="00D42A9A" w:rsidP="003B2055">
      <w:pPr>
        <w:pStyle w:val="Bullet1stlevel"/>
      </w:pPr>
      <w:r>
        <w:t xml:space="preserve">reductions in the reliability of the supply of food and groceries; </w:t>
      </w:r>
    </w:p>
    <w:p w14:paraId="43C19DFC" w14:textId="77777777" w:rsidR="00D42A9A" w:rsidRDefault="00D42A9A" w:rsidP="003B2055">
      <w:pPr>
        <w:pStyle w:val="Bullet1stlevel"/>
      </w:pPr>
      <w:r>
        <w:t xml:space="preserve">disruption to water supply and sanitation facilities; </w:t>
      </w:r>
    </w:p>
    <w:p w14:paraId="75D6AD93" w14:textId="77777777" w:rsidR="00D42A9A" w:rsidRDefault="00D42A9A" w:rsidP="003B2055">
      <w:pPr>
        <w:pStyle w:val="Bullet1stlevel"/>
      </w:pPr>
      <w:r>
        <w:t xml:space="preserve">disruption to telecommunications networks which are dependent on electricity; </w:t>
      </w:r>
    </w:p>
    <w:p w14:paraId="47CDE939" w14:textId="77777777" w:rsidR="00D42A9A" w:rsidRDefault="00D42A9A" w:rsidP="003B2055">
      <w:pPr>
        <w:pStyle w:val="Bullet1stlevel"/>
      </w:pPr>
      <w:r>
        <w:t xml:space="preserve">disruptions to transport infrastructure, traffic management systems and fuel supplies; </w:t>
      </w:r>
    </w:p>
    <w:p w14:paraId="4178FD42" w14:textId="77777777" w:rsidR="00D42A9A" w:rsidRDefault="00D42A9A" w:rsidP="003B2055">
      <w:pPr>
        <w:pStyle w:val="Bullet1stlevel"/>
      </w:pPr>
      <w:r>
        <w:t xml:space="preserve">reduced services or closure of banking, finance and retail sectors; </w:t>
      </w:r>
    </w:p>
    <w:p w14:paraId="5998A6BD" w14:textId="77777777" w:rsidR="00D42A9A" w:rsidRDefault="00D42A9A" w:rsidP="003B2055">
      <w:pPr>
        <w:pStyle w:val="Bullet1stlevel"/>
      </w:pPr>
      <w:r>
        <w:lastRenderedPageBreak/>
        <w:t xml:space="preserve">disruptions to Australia’s defence capabilities; </w:t>
      </w:r>
    </w:p>
    <w:p w14:paraId="504191BA" w14:textId="77777777" w:rsidR="00D42A9A" w:rsidRDefault="00D42A9A" w:rsidP="003B2055">
      <w:pPr>
        <w:pStyle w:val="Bullet1stlevel"/>
      </w:pPr>
      <w:r>
        <w:t xml:space="preserve">a reduction in social cohesion or public safety; and </w:t>
      </w:r>
    </w:p>
    <w:p w14:paraId="7E806A14" w14:textId="77777777" w:rsidR="00D42A9A" w:rsidRDefault="00D42A9A" w:rsidP="003B2055">
      <w:pPr>
        <w:pStyle w:val="Bullet1stlevel"/>
      </w:pPr>
      <w:r>
        <w:t xml:space="preserve">an inability for businesses and governments to function as normal. </w:t>
      </w:r>
    </w:p>
    <w:p w14:paraId="1F72757B" w14:textId="77777777" w:rsidR="00F136BE" w:rsidRDefault="00640029" w:rsidP="004F16FE">
      <w:pPr>
        <w:pStyle w:val="AppendixH2"/>
      </w:pPr>
      <w:r>
        <w:t xml:space="preserve">Examples of disruptions to </w:t>
      </w:r>
      <w:r w:rsidR="006A294E">
        <w:t>critical electricity assets</w:t>
      </w:r>
      <w:r w:rsidR="00F136BE">
        <w:t xml:space="preserve"> – domestic and international</w:t>
      </w:r>
    </w:p>
    <w:p w14:paraId="0511BF09" w14:textId="3218D0E5" w:rsidR="001656B3" w:rsidRDefault="001656B3" w:rsidP="003B2055">
      <w:pPr>
        <w:pStyle w:val="BodyText"/>
      </w:pPr>
      <w:r>
        <w:t>In May 2021, the Callide Power Station, located in Queensland was affected by an explosion which left more than 470,000 customers without power until it was restored with support from other states and with the help of renewables</w:t>
      </w:r>
      <w:r>
        <w:rPr>
          <w:rFonts w:ascii="Calibri" w:hAnsi="Calibri" w:cs="Times New Roman"/>
          <w:vertAlign w:val="superscript"/>
        </w:rPr>
        <w:footnoteReference w:id="61"/>
      </w:r>
      <w:r>
        <w:t>. Damage to the power station itself was deemed ‘catastrophic’ and the incident had cascading effects for several other services across Queensland, as demonstrated by the figure below.</w:t>
      </w:r>
      <w:r>
        <w:rPr>
          <w:rFonts w:ascii="Calibri" w:hAnsi="Calibri" w:cs="Times New Roman"/>
          <w:vertAlign w:val="superscript"/>
        </w:rPr>
        <w:footnoteReference w:id="62"/>
      </w:r>
      <w:r>
        <w:t xml:space="preserve"> Following an inspection of the power station site, the original return to service dates of the three affected generators was delayed. While two affected units were deemed fit to return to service in June 2021, almost a month after the incident, the unit located at the explosion site will remain offline for a period of 12 months, as it must be entirely rebuilt.</w:t>
      </w:r>
      <w:r>
        <w:rPr>
          <w:vertAlign w:val="superscript"/>
        </w:rPr>
        <w:footnoteReference w:id="63"/>
      </w:r>
    </w:p>
    <w:p w14:paraId="1F98E982" w14:textId="77777777" w:rsidR="003B2055" w:rsidRDefault="003B2055" w:rsidP="003B2055">
      <w:pPr>
        <w:pStyle w:val="Caption"/>
        <w:rPr>
          <w:noProof/>
          <w:color w:val="000000"/>
        </w:rPr>
      </w:pPr>
      <w:r>
        <w:rPr>
          <w:lang w:eastAsia="en-US"/>
        </w:rPr>
        <w:t>Cascading impacts of Callide power station explosion</w:t>
      </w:r>
    </w:p>
    <w:p w14:paraId="00D9AB7A" w14:textId="31D5FA2C" w:rsidR="004B2F93" w:rsidRDefault="00BF7F5D" w:rsidP="00352D93">
      <w:pPr>
        <w:pStyle w:val="BodyText"/>
      </w:pPr>
      <w:r w:rsidRPr="00BF7F5D">
        <w:rPr>
          <w:noProof/>
          <w:lang w:eastAsia="en-AU"/>
        </w:rPr>
        <w:drawing>
          <wp:inline distT="0" distB="0" distL="0" distR="0" wp14:anchorId="7C80034F" wp14:editId="29710470">
            <wp:extent cx="6120130" cy="35699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356997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022826" w14:paraId="19249DA7" w14:textId="77777777" w:rsidTr="000C29EB">
        <w:tc>
          <w:tcPr>
            <w:tcW w:w="6663" w:type="dxa"/>
            <w:shd w:val="clear" w:color="auto" w:fill="034EA2" w:themeFill="accent1"/>
          </w:tcPr>
          <w:p w14:paraId="14DBD240" w14:textId="036407AD" w:rsidR="00022826" w:rsidRDefault="000C29EB" w:rsidP="000C29EB">
            <w:pPr>
              <w:pStyle w:val="TableHeading"/>
            </w:pPr>
            <w:r w:rsidRPr="000C29EB">
              <w:t>Australia’s summer bushfires threaten electricity grid (2020)</w:t>
            </w:r>
          </w:p>
        </w:tc>
        <w:tc>
          <w:tcPr>
            <w:tcW w:w="2965" w:type="dxa"/>
            <w:shd w:val="clear" w:color="auto" w:fill="007BC3" w:themeFill="accent2"/>
          </w:tcPr>
          <w:p w14:paraId="501D8FDB" w14:textId="64336FE6" w:rsidR="00022826" w:rsidRDefault="000C29EB" w:rsidP="000C29EB">
            <w:pPr>
              <w:pStyle w:val="Tableriskcategory"/>
            </w:pPr>
            <w:r w:rsidRPr="000C29EB">
              <w:t>Natural hazard &amp; physical risk</w:t>
            </w:r>
          </w:p>
        </w:tc>
      </w:tr>
      <w:tr w:rsidR="000C29EB" w14:paraId="24BAE191" w14:textId="77777777" w:rsidTr="00515681">
        <w:tc>
          <w:tcPr>
            <w:tcW w:w="9628" w:type="dxa"/>
            <w:gridSpan w:val="2"/>
          </w:tcPr>
          <w:p w14:paraId="79E0160D" w14:textId="1CEA18D3" w:rsidR="000C29EB" w:rsidRDefault="000C29EB" w:rsidP="000C29EB">
            <w:pPr>
              <w:pStyle w:val="TableBody"/>
            </w:pPr>
            <w:r w:rsidRPr="000C29EB">
              <w:rPr>
                <w:b/>
                <w:bCs/>
              </w:rPr>
              <w:t>Situation:</w:t>
            </w:r>
            <w:r w:rsidRPr="000C29EB">
              <w:t xml:space="preserve"> The Australian bushfires in the summer of 2020, which destroyed more than 10 million hectares of land and killed more than a billion animals, saw unprecedented pressure on Australia’s electricity grid. While the biggest potential threat, that bushfires would strike the critical interconnector </w:t>
            </w:r>
            <w:r w:rsidRPr="000C29EB">
              <w:lastRenderedPageBreak/>
              <w:t>linking the Victorian and New South Wales electricity grids, was not realised, accompanying extreme hot weather saw significant increases in the demand for electricity.</w:t>
            </w:r>
            <w:r w:rsidRPr="000C29EB">
              <w:rPr>
                <w:vertAlign w:val="superscript"/>
              </w:rPr>
              <w:footnoteReference w:id="64"/>
            </w:r>
          </w:p>
        </w:tc>
      </w:tr>
      <w:tr w:rsidR="000C29EB" w14:paraId="01D4B273" w14:textId="77777777" w:rsidTr="00515681">
        <w:tc>
          <w:tcPr>
            <w:tcW w:w="9628" w:type="dxa"/>
            <w:gridSpan w:val="2"/>
            <w:shd w:val="clear" w:color="auto" w:fill="F2F2F2" w:themeFill="background1" w:themeFillShade="F2"/>
          </w:tcPr>
          <w:p w14:paraId="43F0A41D" w14:textId="2AFBFF2F" w:rsidR="000C29EB" w:rsidRDefault="000C29EB" w:rsidP="000C29EB">
            <w:pPr>
              <w:pStyle w:val="TableBody"/>
            </w:pPr>
            <w:r w:rsidRPr="000C29EB">
              <w:rPr>
                <w:b/>
                <w:bCs/>
              </w:rPr>
              <w:lastRenderedPageBreak/>
              <w:t>Outcome:</w:t>
            </w:r>
            <w:r>
              <w:t xml:space="preserve"> </w:t>
            </w:r>
            <w:r w:rsidRPr="000C29EB">
              <w:t>The combination of catastrophic bushfires and extreme weather conditions saw some Australian customers without electricity for an extended period of time. The Australian Energy Market Operator (AEMO) issued a level two ‘lack of reserve’ warning and signalled a potential need to call on emergency power reserves to avoid widespread blackouts. Approximately 10,000 customers in the Tumbarumba and South Coast regions, as well as an additional 5,800 were without electricity between New Years Eve of 2019 and early January 2020.</w:t>
            </w:r>
            <w:r w:rsidRPr="000C29EB">
              <w:rPr>
                <w:vertAlign w:val="superscript"/>
              </w:rPr>
              <w:footnoteReference w:id="65"/>
            </w:r>
          </w:p>
        </w:tc>
      </w:tr>
      <w:tr w:rsidR="000C29EB" w14:paraId="455E6F5D" w14:textId="77777777" w:rsidTr="00515681">
        <w:tc>
          <w:tcPr>
            <w:tcW w:w="9628" w:type="dxa"/>
            <w:gridSpan w:val="2"/>
          </w:tcPr>
          <w:p w14:paraId="3B624E31" w14:textId="72A4518D" w:rsidR="000C29EB" w:rsidRDefault="000C29EB" w:rsidP="000C29EB">
            <w:pPr>
              <w:pStyle w:val="TableBody"/>
            </w:pPr>
            <w:r w:rsidRPr="000C29EB">
              <w:rPr>
                <w:b/>
                <w:bCs/>
              </w:rPr>
              <w:t>Identified Gap:</w:t>
            </w:r>
            <w:r>
              <w:t xml:space="preserve"> </w:t>
            </w:r>
            <w:r w:rsidRPr="000C29EB">
              <w:t>Rural towns and those residing on the edge of the electricity grid had no or insufficient back-up supplies or lacked a contingency plan. This caused power outages across regional communities and meant some critical electricity assets were unable to sustain operation for the duration of the bushfire disaster. The continued emergency reflected the need for smaller entities to have RMPs which reflect ways to mitigate the risks associated with the increase in natural hazards such as bushfires to prevent outages in the provision of electricity during times of emergency.</w:t>
            </w:r>
          </w:p>
        </w:tc>
      </w:tr>
    </w:tbl>
    <w:p w14:paraId="39942297" w14:textId="23A64E79" w:rsidR="004B2F93" w:rsidRDefault="004B2F93" w:rsidP="000C29EB">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0C29EB" w14:paraId="56CB1DBD" w14:textId="77777777" w:rsidTr="00515681">
        <w:tc>
          <w:tcPr>
            <w:tcW w:w="6663" w:type="dxa"/>
            <w:shd w:val="clear" w:color="auto" w:fill="034EA2" w:themeFill="accent1"/>
          </w:tcPr>
          <w:p w14:paraId="0FDC5821" w14:textId="33D6F96A" w:rsidR="000C29EB" w:rsidRDefault="000C29EB" w:rsidP="00515681">
            <w:pPr>
              <w:pStyle w:val="TableHeading"/>
            </w:pPr>
            <w:r w:rsidRPr="000C29EB">
              <w:t>Ukraine’s extended power disruptions (2015)</w:t>
            </w:r>
            <w:r w:rsidRPr="000C29EB">
              <w:tab/>
            </w:r>
          </w:p>
        </w:tc>
        <w:tc>
          <w:tcPr>
            <w:tcW w:w="2965" w:type="dxa"/>
            <w:shd w:val="clear" w:color="auto" w:fill="007BC3" w:themeFill="accent2"/>
          </w:tcPr>
          <w:p w14:paraId="132D9573" w14:textId="1C528377" w:rsidR="000C29EB" w:rsidRDefault="000C29EB" w:rsidP="00515681">
            <w:pPr>
              <w:pStyle w:val="Tableriskcategory"/>
            </w:pPr>
            <w:r w:rsidRPr="000C29EB">
              <w:t>Cyber &amp; supply chain risk</w:t>
            </w:r>
          </w:p>
        </w:tc>
      </w:tr>
      <w:tr w:rsidR="000C29EB" w14:paraId="5545C13A" w14:textId="77777777" w:rsidTr="00515681">
        <w:tc>
          <w:tcPr>
            <w:tcW w:w="9628" w:type="dxa"/>
            <w:gridSpan w:val="2"/>
          </w:tcPr>
          <w:p w14:paraId="4940C802" w14:textId="0EFF9C8F" w:rsidR="000C29EB" w:rsidRDefault="000C29EB" w:rsidP="00515681">
            <w:pPr>
              <w:pStyle w:val="TableBody"/>
            </w:pPr>
            <w:r w:rsidRPr="000C29EB">
              <w:rPr>
                <w:b/>
                <w:bCs/>
              </w:rPr>
              <w:t>Situation:</w:t>
            </w:r>
            <w:r w:rsidRPr="000C29EB">
              <w:t xml:space="preserve"> On 23 December 2015, malicious actors launched a sophisticated attack on the Ukrainian power grid, taking control of three energy distributors’ Supervisory Control and Data Acquisition Networks. The attack saw the malicious actors attain remote access to and control over the firms’ computers, allowing circuit breakers to be tripped and eventually taking thirty substations offline. Attackers also sought to disable or destroy other digital infrastructure, by wiping essential data from the companies’ networks. Concurrently, a call centre that provided up to date information to consumers about the blackout was rendered inoperable due to a denial-of-service attack.</w:t>
            </w:r>
          </w:p>
        </w:tc>
      </w:tr>
      <w:tr w:rsidR="000C29EB" w14:paraId="195E2930" w14:textId="77777777" w:rsidTr="00515681">
        <w:tc>
          <w:tcPr>
            <w:tcW w:w="9628" w:type="dxa"/>
            <w:gridSpan w:val="2"/>
            <w:shd w:val="clear" w:color="auto" w:fill="F2F2F2" w:themeFill="background1" w:themeFillShade="F2"/>
          </w:tcPr>
          <w:p w14:paraId="7012B95D" w14:textId="0672A295" w:rsidR="000C29EB" w:rsidRDefault="000C29EB" w:rsidP="00515681">
            <w:pPr>
              <w:pStyle w:val="TableBody"/>
            </w:pPr>
            <w:r w:rsidRPr="000C29EB">
              <w:rPr>
                <w:b/>
                <w:bCs/>
              </w:rPr>
              <w:t>Outcome:</w:t>
            </w:r>
            <w:r>
              <w:t xml:space="preserve"> </w:t>
            </w:r>
            <w:r w:rsidRPr="000C29EB">
              <w:t xml:space="preserve">While less than 1% of the country’s daily consumption of energy was disrupted, the attack left over 225,000 Ukrainians, in the middle of winter, without power for several hours. Two months after the attack, some substations were still not fully operational and required manual operation to continue functioning.  </w:t>
            </w:r>
          </w:p>
        </w:tc>
      </w:tr>
      <w:tr w:rsidR="000C29EB" w14:paraId="6B3B6A44" w14:textId="77777777" w:rsidTr="00515681">
        <w:tc>
          <w:tcPr>
            <w:tcW w:w="9628" w:type="dxa"/>
            <w:gridSpan w:val="2"/>
          </w:tcPr>
          <w:p w14:paraId="4C5EC86A" w14:textId="5D15EDC7" w:rsidR="000C29EB" w:rsidRDefault="000C29EB" w:rsidP="00515681">
            <w:pPr>
              <w:pStyle w:val="TableBody"/>
            </w:pPr>
            <w:r w:rsidRPr="000C29EB">
              <w:rPr>
                <w:b/>
                <w:bCs/>
              </w:rPr>
              <w:t>Identified Gap:</w:t>
            </w:r>
            <w:r>
              <w:t xml:space="preserve"> </w:t>
            </w:r>
            <w:r w:rsidRPr="000C29EB">
              <w:t xml:space="preserve">The attack is believed to be the first known cyber intrusion with success in downing the operation of a power grid. This incident highlights that while it is imperative to ensure the protection of critical electricity assets, supplementary and connected services must also be protected. For example, the disruption of the Ukraine power plant’s customer service centre heightened, and prolonged, the effects of the attack itself.  </w:t>
            </w:r>
          </w:p>
        </w:tc>
      </w:tr>
    </w:tbl>
    <w:p w14:paraId="3E1D2FA1" w14:textId="0E511DFE" w:rsidR="000C29EB" w:rsidRDefault="000C29EB" w:rsidP="000C29EB">
      <w:pPr>
        <w:pStyle w:val="BodyText"/>
      </w:pPr>
    </w:p>
    <w:p w14:paraId="58F84AA6" w14:textId="4854B70B" w:rsidR="00DB4CBA" w:rsidRDefault="00DB4CBA" w:rsidP="000C29EB">
      <w:pPr>
        <w:pStyle w:val="BodyText"/>
      </w:pPr>
    </w:p>
    <w:p w14:paraId="74FEFAAF" w14:textId="74E3F5AB" w:rsidR="00DB4CBA" w:rsidRDefault="00DB4CBA" w:rsidP="000C29EB">
      <w:pPr>
        <w:pStyle w:val="BodyText"/>
      </w:pPr>
    </w:p>
    <w:p w14:paraId="6854A91D" w14:textId="12E8B174" w:rsidR="00DB4CBA" w:rsidRDefault="00DB4CBA" w:rsidP="000C29EB">
      <w:pPr>
        <w:pStyle w:val="BodyText"/>
      </w:pPr>
    </w:p>
    <w:p w14:paraId="03EC628C" w14:textId="77777777" w:rsidR="00DB4CBA" w:rsidRDefault="00DB4CBA" w:rsidP="000C29EB">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6A71A6" w14:paraId="4C9A49C2" w14:textId="77777777" w:rsidTr="00515681">
        <w:tc>
          <w:tcPr>
            <w:tcW w:w="6663" w:type="dxa"/>
            <w:shd w:val="clear" w:color="auto" w:fill="034EA2" w:themeFill="accent1"/>
          </w:tcPr>
          <w:p w14:paraId="69FC092A" w14:textId="06D265ED" w:rsidR="006A71A6" w:rsidRDefault="006A71A6" w:rsidP="00515681">
            <w:pPr>
              <w:pStyle w:val="TableHeading"/>
            </w:pPr>
            <w:r w:rsidRPr="006A71A6">
              <w:t>Malware attack on Saudi Arabian petrochemical plant (2017)</w:t>
            </w:r>
          </w:p>
        </w:tc>
        <w:tc>
          <w:tcPr>
            <w:tcW w:w="2965" w:type="dxa"/>
            <w:shd w:val="clear" w:color="auto" w:fill="007BC3" w:themeFill="accent2"/>
          </w:tcPr>
          <w:p w14:paraId="04F881DA" w14:textId="29AB38D9" w:rsidR="006A71A6" w:rsidRDefault="006A71A6" w:rsidP="00515681">
            <w:pPr>
              <w:pStyle w:val="Tableriskcategory"/>
            </w:pPr>
            <w:r w:rsidRPr="006A71A6">
              <w:t>Physical, cyber &amp; personnel risk</w:t>
            </w:r>
          </w:p>
        </w:tc>
      </w:tr>
      <w:tr w:rsidR="006A71A6" w14:paraId="3605265E" w14:textId="77777777" w:rsidTr="00515681">
        <w:tc>
          <w:tcPr>
            <w:tcW w:w="9628" w:type="dxa"/>
            <w:gridSpan w:val="2"/>
          </w:tcPr>
          <w:p w14:paraId="560C6ED8" w14:textId="2216A0CC" w:rsidR="006A71A6" w:rsidRDefault="006A71A6" w:rsidP="00515681">
            <w:pPr>
              <w:pStyle w:val="TableBody"/>
            </w:pPr>
            <w:r w:rsidRPr="000C29EB">
              <w:rPr>
                <w:b/>
                <w:bCs/>
              </w:rPr>
              <w:t>Situation:</w:t>
            </w:r>
            <w:r w:rsidRPr="000C29EB">
              <w:t xml:space="preserve"> </w:t>
            </w:r>
            <w:r>
              <w:t xml:space="preserve">In 2017, hackers deployed malware on a Saudi </w:t>
            </w:r>
            <w:r w:rsidRPr="006A71A6">
              <w:t>Arabian</w:t>
            </w:r>
            <w:r>
              <w:t xml:space="preserve"> petrochemical plant, which allowed remote access to and control over the plant’s safety systems. The safety systems were designed as a ‘last line of defence’ against plant malfunctions, supporting plant processes in returning to safe levels or forcing them to cease operating where the threat of continued operation was too great.</w:t>
            </w:r>
            <w:r>
              <w:rPr>
                <w:vertAlign w:val="superscript"/>
              </w:rPr>
              <w:footnoteRef/>
            </w:r>
            <w:r>
              <w:t xml:space="preserve"> The malware deployed to conduct the intrusion is widely suspected to be built by a nation-state actor.</w:t>
            </w:r>
            <w:r>
              <w:rPr>
                <w:vertAlign w:val="superscript"/>
              </w:rPr>
              <w:footnoteReference w:id="66"/>
            </w:r>
          </w:p>
        </w:tc>
      </w:tr>
      <w:tr w:rsidR="006A71A6" w14:paraId="01DF637F" w14:textId="77777777" w:rsidTr="00515681">
        <w:tc>
          <w:tcPr>
            <w:tcW w:w="9628" w:type="dxa"/>
            <w:gridSpan w:val="2"/>
            <w:shd w:val="clear" w:color="auto" w:fill="F2F2F2" w:themeFill="background1" w:themeFillShade="F2"/>
          </w:tcPr>
          <w:p w14:paraId="7E9DAC13" w14:textId="504E64D7" w:rsidR="006A71A6" w:rsidRDefault="006A71A6" w:rsidP="00515681">
            <w:pPr>
              <w:pStyle w:val="TableBody"/>
            </w:pPr>
            <w:r w:rsidRPr="000C29EB">
              <w:rPr>
                <w:b/>
                <w:bCs/>
              </w:rPr>
              <w:lastRenderedPageBreak/>
              <w:t>Outcome:</w:t>
            </w:r>
            <w:r>
              <w:t xml:space="preserve"> </w:t>
            </w:r>
            <w:r w:rsidRPr="006A71A6">
              <w:t>A flaw in the hackers’ code meant their infiltration operation was ultimately unsuccessful. However, had the hackers’ infiltration been successful, it could have led to the release of toxic hydrogen sulphide gas or prompted explosions, putting at risk the lives of those who work at the facility and those in the surrounding area.</w:t>
            </w:r>
            <w:r w:rsidR="00892AC6">
              <w:rPr>
                <w:rStyle w:val="FootnoteReference"/>
              </w:rPr>
              <w:footnoteReference w:id="67"/>
            </w:r>
          </w:p>
        </w:tc>
      </w:tr>
      <w:tr w:rsidR="006A71A6" w14:paraId="6AFA98F3" w14:textId="77777777" w:rsidTr="00515681">
        <w:tc>
          <w:tcPr>
            <w:tcW w:w="9628" w:type="dxa"/>
            <w:gridSpan w:val="2"/>
          </w:tcPr>
          <w:p w14:paraId="71F8A5B9" w14:textId="39CE24BE" w:rsidR="006A71A6" w:rsidRDefault="006A71A6" w:rsidP="00515681">
            <w:pPr>
              <w:pStyle w:val="TableBody"/>
            </w:pPr>
            <w:r w:rsidRPr="000C29EB">
              <w:rPr>
                <w:b/>
                <w:bCs/>
              </w:rPr>
              <w:t>Identified Gap:</w:t>
            </w:r>
            <w:r>
              <w:t xml:space="preserve"> </w:t>
            </w:r>
            <w:r w:rsidR="008411BE" w:rsidRPr="008411BE">
              <w:t>The attack highlighted the need for entities to maintain pace with evolving malware capabilities and work to strengthen their ‘last line of defence’. Without adequate protections and consistent re-evaluations, operating systems considered critical to defending against catastrophic events, may be compromised.</w:t>
            </w:r>
            <w:r w:rsidR="008411BE" w:rsidRPr="008411BE">
              <w:rPr>
                <w:vertAlign w:val="superscript"/>
              </w:rPr>
              <w:footnoteReference w:id="68"/>
            </w:r>
          </w:p>
        </w:tc>
      </w:tr>
    </w:tbl>
    <w:p w14:paraId="0B80DF1D" w14:textId="3564D4E7" w:rsidR="006A71A6" w:rsidRDefault="006A71A6" w:rsidP="000C29EB">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73600B" w14:paraId="5B070C28" w14:textId="77777777" w:rsidTr="00515681">
        <w:tc>
          <w:tcPr>
            <w:tcW w:w="6663" w:type="dxa"/>
            <w:shd w:val="clear" w:color="auto" w:fill="034EA2" w:themeFill="accent1"/>
          </w:tcPr>
          <w:p w14:paraId="55D9A30E" w14:textId="79EEF921" w:rsidR="0073600B" w:rsidRDefault="0073600B" w:rsidP="00515681">
            <w:pPr>
              <w:pStyle w:val="TableHeading"/>
            </w:pPr>
            <w:r w:rsidRPr="0073600B">
              <w:t>Japan’s earthquake and tsunami cause blackouts (2011)</w:t>
            </w:r>
          </w:p>
        </w:tc>
        <w:tc>
          <w:tcPr>
            <w:tcW w:w="2965" w:type="dxa"/>
            <w:shd w:val="clear" w:color="auto" w:fill="007BC3" w:themeFill="accent2"/>
          </w:tcPr>
          <w:p w14:paraId="19513265" w14:textId="2D21A45F" w:rsidR="0073600B" w:rsidRDefault="0073600B" w:rsidP="00515681">
            <w:pPr>
              <w:pStyle w:val="Tableriskcategory"/>
            </w:pPr>
            <w:r w:rsidRPr="0073600B">
              <w:t>Supply chain &amp; natural hazard risk</w:t>
            </w:r>
          </w:p>
        </w:tc>
      </w:tr>
      <w:tr w:rsidR="0073600B" w14:paraId="5C8A9C24" w14:textId="77777777" w:rsidTr="00515681">
        <w:tc>
          <w:tcPr>
            <w:tcW w:w="9628" w:type="dxa"/>
            <w:gridSpan w:val="2"/>
          </w:tcPr>
          <w:p w14:paraId="386A2E9A" w14:textId="4C8DA9F5" w:rsidR="0073600B" w:rsidRDefault="0073600B" w:rsidP="0073600B">
            <w:pPr>
              <w:pStyle w:val="TableBody"/>
            </w:pPr>
            <w:r w:rsidRPr="0073600B">
              <w:rPr>
                <w:b/>
                <w:bCs/>
              </w:rPr>
              <w:t>Situation:</w:t>
            </w:r>
            <w:r w:rsidRPr="000C29EB">
              <w:t xml:space="preserve"> </w:t>
            </w:r>
            <w:r>
              <w:t xml:space="preserve">In March 2011, Japan experienced its strongest earthquake in history, which subsequently caused the Tohoku tsunami – producing waves of up to 40 meters. Following the disaster, large parts of Japan were plunged into darkness amid rolling blackouts caused from a drastic reduction in the supply of electricity. At the time of the </w:t>
            </w:r>
            <w:r w:rsidRPr="0073600B">
              <w:t>incident</w:t>
            </w:r>
            <w:r>
              <w:t>, Japan relied on nuclear energy for approximately one quarter of its electricity. Of the country’s 54 reactors, 11 were forced to close following the disaster, leaving 2.6 million households without power.</w:t>
            </w:r>
            <w:r>
              <w:rPr>
                <w:vertAlign w:val="superscript"/>
              </w:rPr>
              <w:footnoteReference w:id="69"/>
            </w:r>
            <w:r>
              <w:rPr>
                <w:vertAlign w:val="superscript"/>
              </w:rPr>
              <w:t xml:space="preserve">  </w:t>
            </w:r>
          </w:p>
        </w:tc>
      </w:tr>
      <w:tr w:rsidR="0073600B" w14:paraId="098359D9" w14:textId="77777777" w:rsidTr="7EBB1CEE">
        <w:tc>
          <w:tcPr>
            <w:tcW w:w="9628" w:type="dxa"/>
            <w:gridSpan w:val="2"/>
            <w:shd w:val="clear" w:color="auto" w:fill="F2F2F2" w:themeFill="background2" w:themeFillShade="F2"/>
          </w:tcPr>
          <w:p w14:paraId="139AD78D" w14:textId="77777777" w:rsidR="0073600B" w:rsidRDefault="0073600B" w:rsidP="0073600B">
            <w:pPr>
              <w:pStyle w:val="TableBody"/>
            </w:pPr>
            <w:r w:rsidRPr="0073600B">
              <w:rPr>
                <w:b/>
                <w:bCs/>
              </w:rPr>
              <w:t>Outcome:</w:t>
            </w:r>
            <w:r>
              <w:t xml:space="preserve"> Environmental risks, such as natural disasters and weather events, are categorised as an external supply chain risk, with the Australian Productivity Commission recognising Japan’s 2011 disaster as an example of an environmental hazard which caused significant disruption of supply chains.</w:t>
            </w:r>
            <w:r>
              <w:rPr>
                <w:vertAlign w:val="superscript"/>
              </w:rPr>
              <w:footnoteReference w:id="70"/>
            </w:r>
            <w:r>
              <w:t xml:space="preserve"> Following the earthquake and tsunami: </w:t>
            </w:r>
          </w:p>
          <w:p w14:paraId="364C0760" w14:textId="77777777" w:rsidR="0073600B" w:rsidRDefault="0073600B" w:rsidP="0073600B">
            <w:pPr>
              <w:pStyle w:val="TableBullet"/>
              <w:rPr>
                <w:rFonts w:eastAsiaTheme="minorEastAsia"/>
              </w:rPr>
            </w:pPr>
            <w:r w:rsidRPr="7EBB1CEE">
              <w:rPr>
                <w:rFonts w:eastAsiaTheme="minorEastAsia"/>
              </w:rPr>
              <w:t xml:space="preserve">Electricity rationing was introduced, to account for the country’s power shortfall; </w:t>
            </w:r>
          </w:p>
          <w:p w14:paraId="1DC3CED6" w14:textId="77777777" w:rsidR="0073600B" w:rsidRDefault="0073600B" w:rsidP="0073600B">
            <w:pPr>
              <w:pStyle w:val="TableBullet"/>
              <w:rPr>
                <w:rFonts w:eastAsiaTheme="minorEastAsia"/>
              </w:rPr>
            </w:pPr>
            <w:r w:rsidRPr="7EBB1CEE">
              <w:rPr>
                <w:rFonts w:eastAsiaTheme="minorEastAsia"/>
              </w:rPr>
              <w:t xml:space="preserve">Utility companies were forced to approach their top commercial and industrial customers to request that they cut back on their energy usage; </w:t>
            </w:r>
          </w:p>
          <w:p w14:paraId="7BE29CDD" w14:textId="77777777" w:rsidR="0073600B" w:rsidRDefault="0073600B" w:rsidP="0073600B">
            <w:pPr>
              <w:pStyle w:val="TableBullet"/>
              <w:rPr>
                <w:rFonts w:eastAsiaTheme="minorEastAsia"/>
              </w:rPr>
            </w:pPr>
            <w:r w:rsidRPr="7EBB1CEE">
              <w:rPr>
                <w:rFonts w:eastAsiaTheme="minorEastAsia"/>
              </w:rPr>
              <w:t>Train operations were decreased by 30-50% in order to save power; and</w:t>
            </w:r>
          </w:p>
          <w:p w14:paraId="4C94F4E2" w14:textId="3FA8C22C" w:rsidR="0073600B" w:rsidRDefault="0073600B" w:rsidP="0073600B">
            <w:pPr>
              <w:pStyle w:val="TableBody"/>
            </w:pPr>
            <w:r>
              <w:t xml:space="preserve">In the longer term, Japan began importing additional oil, fuel and natural gas resources, to account for the shortfall in electricity </w:t>
            </w:r>
            <w:r w:rsidRPr="0073600B">
              <w:t>generation</w:t>
            </w:r>
            <w:r>
              <w:t>.</w:t>
            </w:r>
            <w:r>
              <w:rPr>
                <w:vertAlign w:val="superscript"/>
              </w:rPr>
              <w:footnoteReference w:id="71"/>
            </w:r>
          </w:p>
        </w:tc>
      </w:tr>
      <w:tr w:rsidR="0073600B" w14:paraId="06F41529" w14:textId="77777777" w:rsidTr="00515681">
        <w:tc>
          <w:tcPr>
            <w:tcW w:w="9628" w:type="dxa"/>
            <w:gridSpan w:val="2"/>
          </w:tcPr>
          <w:p w14:paraId="0F1A81D9" w14:textId="4BFF9CF1" w:rsidR="0073600B" w:rsidRDefault="0073600B" w:rsidP="0073600B">
            <w:pPr>
              <w:pStyle w:val="TableBody"/>
            </w:pPr>
            <w:r w:rsidRPr="0073600B">
              <w:rPr>
                <w:b/>
                <w:bCs/>
              </w:rPr>
              <w:t>Identified Gap:</w:t>
            </w:r>
            <w:r>
              <w:t xml:space="preserve"> The Australian Productivity Commission suggests that the consequences of disruption, such as those caused in Japan, can be mitigated through increased preparedness. Japan’s 2011 disaster was compounded by the nation’s geographic clustering of key electricity-related infrastructure. Such </w:t>
            </w:r>
            <w:r w:rsidRPr="0073600B">
              <w:t>clustering</w:t>
            </w:r>
            <w:r>
              <w:t xml:space="preserve"> caused extensive market-level vulnerabilities, as many firms in the electricity industry were affected.</w:t>
            </w:r>
            <w:r>
              <w:rPr>
                <w:vertAlign w:val="superscript"/>
              </w:rPr>
              <w:footnoteReference w:id="72"/>
            </w:r>
            <w:r>
              <w:t xml:space="preserve"> Diversified supply chains and advanced contingency planning can assist in reducing the levels of disruption caused by environmental risks.</w:t>
            </w:r>
            <w:r>
              <w:rPr>
                <w:vertAlign w:val="superscript"/>
              </w:rPr>
              <w:footnoteReference w:id="73"/>
            </w:r>
          </w:p>
        </w:tc>
      </w:tr>
    </w:tbl>
    <w:p w14:paraId="02E771F4" w14:textId="77777777" w:rsidR="00640029" w:rsidRDefault="00F136BE" w:rsidP="004F16FE">
      <w:pPr>
        <w:pStyle w:val="AppendixH2"/>
      </w:pPr>
      <w:r>
        <w:lastRenderedPageBreak/>
        <w:t xml:space="preserve">Key risks to </w:t>
      </w:r>
      <w:r w:rsidR="006A294E">
        <w:t>critical electricity assets</w:t>
      </w:r>
      <w:r w:rsidR="00640029" w:rsidRPr="002F1B2B">
        <w:t xml:space="preserve"> </w:t>
      </w:r>
    </w:p>
    <w:tbl>
      <w:tblPr>
        <w:tblStyle w:val="GridTable4-Accent12"/>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00" w:firstRow="0" w:lastRow="0" w:firstColumn="0" w:lastColumn="0" w:noHBand="0" w:noVBand="1"/>
      </w:tblPr>
      <w:tblGrid>
        <w:gridCol w:w="1117"/>
        <w:gridCol w:w="4327"/>
        <w:gridCol w:w="4194"/>
      </w:tblGrid>
      <w:tr w:rsidR="009838F6" w:rsidRPr="00E11773" w14:paraId="79E1D0DD" w14:textId="77777777" w:rsidTr="00E11773">
        <w:trPr>
          <w:trHeight w:val="248"/>
          <w:tblHeader/>
        </w:trPr>
        <w:tc>
          <w:tcPr>
            <w:tcW w:w="577" w:type="pct"/>
            <w:shd w:val="clear" w:color="auto" w:fill="034EA2" w:themeFill="accent1"/>
            <w:hideMark/>
          </w:tcPr>
          <w:p w14:paraId="3E4B3F12" w14:textId="77777777" w:rsidR="00AF1139" w:rsidRPr="00E11773" w:rsidRDefault="00AF1139" w:rsidP="00E11773">
            <w:pPr>
              <w:pStyle w:val="TableHeading"/>
            </w:pPr>
            <w:r w:rsidRPr="00E11773">
              <w:t xml:space="preserve">Risk </w:t>
            </w:r>
          </w:p>
        </w:tc>
        <w:tc>
          <w:tcPr>
            <w:tcW w:w="2246" w:type="pct"/>
            <w:shd w:val="clear" w:color="auto" w:fill="034EA2" w:themeFill="accent1"/>
            <w:hideMark/>
          </w:tcPr>
          <w:p w14:paraId="67BF58BD" w14:textId="77777777" w:rsidR="00AF1139" w:rsidRPr="00E11773" w:rsidRDefault="00AF1139" w:rsidP="00E11773">
            <w:pPr>
              <w:pStyle w:val="TableHeading"/>
            </w:pPr>
            <w:r w:rsidRPr="00E11773">
              <w:t>Identified risk</w:t>
            </w:r>
          </w:p>
        </w:tc>
        <w:tc>
          <w:tcPr>
            <w:tcW w:w="2177" w:type="pct"/>
            <w:shd w:val="clear" w:color="auto" w:fill="034EA2" w:themeFill="accent1"/>
            <w:hideMark/>
          </w:tcPr>
          <w:p w14:paraId="32BC38F5" w14:textId="77777777" w:rsidR="00AF1139" w:rsidRPr="00E11773" w:rsidRDefault="00AF1139" w:rsidP="00E11773">
            <w:pPr>
              <w:pStyle w:val="TableHeading"/>
            </w:pPr>
            <w:r w:rsidRPr="00E11773">
              <w:t>Example</w:t>
            </w:r>
          </w:p>
        </w:tc>
      </w:tr>
      <w:tr w:rsidR="0049743E" w14:paraId="60F1ECBE" w14:textId="77777777" w:rsidTr="00E11773">
        <w:trPr>
          <w:cnfStyle w:val="000000100000" w:firstRow="0" w:lastRow="0" w:firstColumn="0" w:lastColumn="0" w:oddVBand="0" w:evenVBand="0" w:oddHBand="1" w:evenHBand="0" w:firstRowFirstColumn="0" w:firstRowLastColumn="0" w:lastRowFirstColumn="0" w:lastRowLastColumn="0"/>
          <w:trHeight w:val="1928"/>
        </w:trPr>
        <w:tc>
          <w:tcPr>
            <w:tcW w:w="577" w:type="pct"/>
            <w:vMerge w:val="restart"/>
            <w:shd w:val="clear" w:color="auto" w:fill="F2F2F2" w:themeFill="accent6"/>
            <w:hideMark/>
          </w:tcPr>
          <w:p w14:paraId="6716A186" w14:textId="77777777" w:rsidR="00AF1139" w:rsidRDefault="00AF1139" w:rsidP="0073600B">
            <w:pPr>
              <w:pStyle w:val="TableBody"/>
            </w:pPr>
            <w:r>
              <w:t>Physical</w:t>
            </w:r>
          </w:p>
        </w:tc>
        <w:tc>
          <w:tcPr>
            <w:tcW w:w="2246" w:type="pct"/>
            <w:shd w:val="clear" w:color="auto" w:fill="FFFFFF" w:themeFill="background1"/>
            <w:hideMark/>
          </w:tcPr>
          <w:p w14:paraId="6A3F799A" w14:textId="77777777" w:rsidR="00AF1139" w:rsidRDefault="00AF1139" w:rsidP="0073600B">
            <w:pPr>
              <w:pStyle w:val="TableBody"/>
            </w:pPr>
            <w:r>
              <w:t>Increased occurrence of extreme weather events and natural disasters, including heatwaves, bushfires and floods, means physical electricity infrastructure is experiencing heightened pressure. This stems from both increased demand for energy and the threat or realisation of damage to critical infrastructure, such as power plants, power lines and pipelines.</w:t>
            </w:r>
          </w:p>
        </w:tc>
        <w:tc>
          <w:tcPr>
            <w:tcW w:w="2177" w:type="pct"/>
            <w:shd w:val="clear" w:color="auto" w:fill="FFFFFF" w:themeFill="background1"/>
            <w:hideMark/>
          </w:tcPr>
          <w:p w14:paraId="202906AD" w14:textId="77777777" w:rsidR="00AF1139" w:rsidRDefault="00AF1139" w:rsidP="0073600B">
            <w:pPr>
              <w:pStyle w:val="TableBody"/>
            </w:pPr>
            <w:r>
              <w:t>In 2016, a series of severe thunderstorms triggered a state-wide blackout in South Australia. The incident damaged transmission and distribution assets and resulted in the suspension of the state’s wholesale market for thirteen hours. The disruption is estimated to have cost South Australian businesses $120,000 per minute.</w:t>
            </w:r>
            <w:r>
              <w:rPr>
                <w:vertAlign w:val="superscript"/>
              </w:rPr>
              <w:footnoteReference w:id="74"/>
            </w:r>
          </w:p>
        </w:tc>
      </w:tr>
      <w:tr w:rsidR="0049743E" w14:paraId="4EB6B56C" w14:textId="77777777" w:rsidTr="00E11773">
        <w:trPr>
          <w:trHeight w:val="1798"/>
        </w:trPr>
        <w:tc>
          <w:tcPr>
            <w:tcW w:w="577" w:type="pct"/>
            <w:vMerge/>
            <w:shd w:val="clear" w:color="auto" w:fill="F2F2F2" w:themeFill="accent6"/>
            <w:hideMark/>
          </w:tcPr>
          <w:p w14:paraId="3C142352" w14:textId="77777777" w:rsidR="00AF1139" w:rsidRDefault="00AF1139" w:rsidP="0073600B">
            <w:pPr>
              <w:pStyle w:val="TableBody"/>
            </w:pPr>
          </w:p>
        </w:tc>
        <w:tc>
          <w:tcPr>
            <w:tcW w:w="2246" w:type="pct"/>
            <w:shd w:val="clear" w:color="auto" w:fill="FFFFFF" w:themeFill="background1"/>
            <w:hideMark/>
          </w:tcPr>
          <w:p w14:paraId="6B9BC2A6" w14:textId="77777777" w:rsidR="00AF1139" w:rsidRDefault="00AF1139" w:rsidP="0073600B">
            <w:pPr>
              <w:pStyle w:val="TableBody"/>
            </w:pPr>
            <w:r>
              <w:t>There is also a risk of sabotage by malicious actors to critical infrastructure’s physical facilities. This could be used to disrupt the functioning of critical infrastructure and the systems which rely upon its function during times of heightened tension or conflict in the case of state-based actors.</w:t>
            </w:r>
          </w:p>
        </w:tc>
        <w:tc>
          <w:tcPr>
            <w:tcW w:w="2177" w:type="pct"/>
            <w:shd w:val="clear" w:color="auto" w:fill="FFFFFF" w:themeFill="background1"/>
            <w:hideMark/>
          </w:tcPr>
          <w:p w14:paraId="51874D8B" w14:textId="77777777" w:rsidR="00AF1139" w:rsidRDefault="00AF1139" w:rsidP="0073600B">
            <w:pPr>
              <w:pStyle w:val="TableBody"/>
            </w:pPr>
            <w:r>
              <w:t>In 1996 the Irish Republican Army (IRA) planned to disrupt the supply of electricity to the south east of England by destroying six electrical sub-stations with explosive devices. If the attack had been successful, there would have been a disruption in supply to the area for several months, with cascading disruptions across services reliant upon the electrical supply to function.</w:t>
            </w:r>
            <w:r>
              <w:rPr>
                <w:vertAlign w:val="superscript"/>
              </w:rPr>
              <w:footnoteReference w:id="75"/>
            </w:r>
          </w:p>
        </w:tc>
      </w:tr>
      <w:tr w:rsidR="009838F6" w14:paraId="64A4AF47" w14:textId="77777777" w:rsidTr="00E11773">
        <w:trPr>
          <w:cnfStyle w:val="000000100000" w:firstRow="0" w:lastRow="0" w:firstColumn="0" w:lastColumn="0" w:oddVBand="0" w:evenVBand="0" w:oddHBand="1" w:evenHBand="0" w:firstRowFirstColumn="0" w:firstRowLastColumn="0" w:lastRowFirstColumn="0" w:lastRowLastColumn="0"/>
          <w:cantSplit/>
          <w:trHeight w:val="1832"/>
        </w:trPr>
        <w:tc>
          <w:tcPr>
            <w:tcW w:w="577" w:type="pct"/>
            <w:vMerge w:val="restart"/>
            <w:shd w:val="clear" w:color="auto" w:fill="F2F2F2" w:themeFill="accent6"/>
            <w:hideMark/>
          </w:tcPr>
          <w:p w14:paraId="525AC79A" w14:textId="77777777" w:rsidR="00AF1139" w:rsidRDefault="00AF1139" w:rsidP="0073600B">
            <w:pPr>
              <w:pStyle w:val="TableBody"/>
              <w:rPr>
                <w:rFonts w:ascii="Calibri" w:hAnsi="Calibri"/>
              </w:rPr>
            </w:pPr>
            <w:r>
              <w:t>Cyber</w:t>
            </w:r>
          </w:p>
        </w:tc>
        <w:tc>
          <w:tcPr>
            <w:tcW w:w="2246" w:type="pct"/>
            <w:shd w:val="clear" w:color="auto" w:fill="FFFFFF" w:themeFill="background1"/>
            <w:hideMark/>
          </w:tcPr>
          <w:p w14:paraId="7FA830D7" w14:textId="77777777" w:rsidR="00AF1139" w:rsidRDefault="00AF1139" w:rsidP="0073600B">
            <w:pPr>
              <w:pStyle w:val="TableBody"/>
            </w:pPr>
            <w:r>
              <w:t>Electricity organisations have displayed greater reliance on software technology, to maintain pace with growing sector complexity and globalisation, creating the potential for unintended taint (where software design or implementation flaws increase susceptibility to cyber risks) and malicious taint (deliberate diversion or disruption to cyber supply chains intentionally introduces cyber risks).</w:t>
            </w:r>
            <w:r>
              <w:rPr>
                <w:vertAlign w:val="superscript"/>
              </w:rPr>
              <w:footnoteReference w:id="76"/>
            </w:r>
          </w:p>
        </w:tc>
        <w:tc>
          <w:tcPr>
            <w:tcW w:w="2177" w:type="pct"/>
            <w:shd w:val="clear" w:color="auto" w:fill="FFFFFF" w:themeFill="background1"/>
            <w:hideMark/>
          </w:tcPr>
          <w:p w14:paraId="72669666" w14:textId="77777777" w:rsidR="00AF1139" w:rsidRDefault="00AF1139" w:rsidP="0073600B">
            <w:pPr>
              <w:pStyle w:val="TableBody"/>
              <w:rPr>
                <w:rFonts w:ascii="Calibri" w:hAnsi="Calibri"/>
              </w:rPr>
            </w:pPr>
            <w:r>
              <w:t>The AEMO has advised it is aware of sustained cyber-attack campaigns targeting Australia’s electricity grid.</w:t>
            </w:r>
            <w:r>
              <w:rPr>
                <w:vertAlign w:val="superscript"/>
              </w:rPr>
              <w:footnoteReference w:id="77"/>
            </w:r>
            <w:r>
              <w:t xml:space="preserve"> The AEMO advised that malicious actors such as the Avaddon Ransomware group had targeted more than 120 organisations globally, including critical infrastructure assets, with one Australian entity being attacked in early 2021.</w:t>
            </w:r>
            <w:r>
              <w:rPr>
                <w:vertAlign w:val="superscript"/>
              </w:rPr>
              <w:footnoteReference w:id="78"/>
            </w:r>
          </w:p>
        </w:tc>
      </w:tr>
      <w:tr w:rsidR="009838F6" w14:paraId="0A85A3B5" w14:textId="77777777" w:rsidTr="00E11773">
        <w:trPr>
          <w:trHeight w:val="223"/>
        </w:trPr>
        <w:tc>
          <w:tcPr>
            <w:tcW w:w="577" w:type="pct"/>
            <w:vMerge/>
            <w:shd w:val="clear" w:color="auto" w:fill="F2F2F2" w:themeFill="accent6"/>
            <w:hideMark/>
          </w:tcPr>
          <w:p w14:paraId="1CE52A1C" w14:textId="77777777" w:rsidR="00AF1139" w:rsidRDefault="00AF1139" w:rsidP="0073600B">
            <w:pPr>
              <w:pStyle w:val="TableBody"/>
              <w:rPr>
                <w:rFonts w:ascii="Calibri" w:hAnsi="Calibri"/>
              </w:rPr>
            </w:pPr>
          </w:p>
        </w:tc>
        <w:tc>
          <w:tcPr>
            <w:tcW w:w="2246" w:type="pct"/>
            <w:shd w:val="clear" w:color="auto" w:fill="FFFFFF" w:themeFill="background1"/>
            <w:hideMark/>
          </w:tcPr>
          <w:p w14:paraId="1E8D3C8E" w14:textId="77777777" w:rsidR="00AF1139" w:rsidRDefault="00AF1139" w:rsidP="0071400B">
            <w:pPr>
              <w:pStyle w:val="TableBody"/>
            </w:pPr>
            <w:r>
              <w:t>Typically, electricity organisations have separated their Information Technology (IT) and Operational Technology (OT) systems. IT refers to software applications with capabilities in process management, resource allocation and decision-making, while OT allows for the operational control of assets within the network, in real time. The integration of OT and IT is desirable as the applications are able to work in tandem to optimise distribution system performance.</w:t>
            </w:r>
            <w:r>
              <w:rPr>
                <w:vertAlign w:val="superscript"/>
              </w:rPr>
              <w:footnoteReference w:id="79"/>
            </w:r>
            <w:r>
              <w:t xml:space="preserve"> However, as this convergence occurs, many organisations are seeking to prioritise investment in IT security, while underestimating the significance of OT for completing critical business activities.</w:t>
            </w:r>
            <w:r>
              <w:rPr>
                <w:vertAlign w:val="superscript"/>
              </w:rPr>
              <w:footnoteReference w:id="80"/>
            </w:r>
          </w:p>
        </w:tc>
        <w:tc>
          <w:tcPr>
            <w:tcW w:w="2177" w:type="pct"/>
            <w:shd w:val="clear" w:color="auto" w:fill="FFFFFF" w:themeFill="background1"/>
            <w:hideMark/>
          </w:tcPr>
          <w:p w14:paraId="2B58D8E5" w14:textId="77777777" w:rsidR="00AF1139" w:rsidRDefault="00AF1139" w:rsidP="0071400B">
            <w:pPr>
              <w:pStyle w:val="TableBody"/>
            </w:pPr>
            <w:r>
              <w:t xml:space="preserve">Shodan, BinaryEdge, Censys and other similar search engines have created opportunities for malicious attacks on vulnerable OT and IT systems. Shodan, for example, allows users to search for, identify and access exposed devices, OT and IT systems, which are connected to the internet. The system provides user insights into the characteristics of listed devices and systems, expanding opportunities for exploitation (through, for example, defeating login safeguards). Where responsible entities have insufficient safeguards across their OT and IT systems, they may be vulnerable to physical breaches, unauthorised access to secure information, </w:t>
            </w:r>
            <w:r>
              <w:lastRenderedPageBreak/>
              <w:t>and the destruction of data or essential services.</w:t>
            </w:r>
            <w:r>
              <w:rPr>
                <w:vertAlign w:val="superscript"/>
              </w:rPr>
              <w:footnoteReference w:id="81"/>
            </w:r>
          </w:p>
        </w:tc>
      </w:tr>
      <w:tr w:rsidR="009838F6" w14:paraId="5CAE32A0" w14:textId="77777777" w:rsidTr="00E11773">
        <w:trPr>
          <w:cnfStyle w:val="000000100000" w:firstRow="0" w:lastRow="0" w:firstColumn="0" w:lastColumn="0" w:oddVBand="0" w:evenVBand="0" w:oddHBand="1" w:evenHBand="0" w:firstRowFirstColumn="0" w:firstRowLastColumn="0" w:lastRowFirstColumn="0" w:lastRowLastColumn="0"/>
          <w:trHeight w:val="2303"/>
        </w:trPr>
        <w:tc>
          <w:tcPr>
            <w:tcW w:w="577" w:type="pct"/>
            <w:shd w:val="clear" w:color="auto" w:fill="F2F2F2" w:themeFill="accent6"/>
            <w:hideMark/>
          </w:tcPr>
          <w:p w14:paraId="43E61A6A" w14:textId="77777777" w:rsidR="00AF1139" w:rsidRDefault="00AF1139" w:rsidP="0073600B">
            <w:pPr>
              <w:pStyle w:val="TableBody"/>
              <w:rPr>
                <w:rFonts w:ascii="Calibri" w:hAnsi="Calibri"/>
              </w:rPr>
            </w:pPr>
            <w:r>
              <w:lastRenderedPageBreak/>
              <w:t>Supply Chain</w:t>
            </w:r>
          </w:p>
        </w:tc>
        <w:tc>
          <w:tcPr>
            <w:tcW w:w="2246" w:type="pct"/>
            <w:shd w:val="clear" w:color="auto" w:fill="FFFFFF" w:themeFill="background1"/>
            <w:hideMark/>
          </w:tcPr>
          <w:p w14:paraId="6D902F2B" w14:textId="77777777" w:rsidR="00AF1139" w:rsidRDefault="00AF1139" w:rsidP="0071400B">
            <w:pPr>
              <w:pStyle w:val="TableBody"/>
            </w:pPr>
            <w:r>
              <w:t>Disruption to supply chains pertinent to critical electricity assets may have detrimental consequences, as many project components and materials required for the maintenance of key pieces of electricity infrastructure are sourced from international suppliers.</w:t>
            </w:r>
            <w:r>
              <w:rPr>
                <w:vertAlign w:val="superscript"/>
              </w:rPr>
              <w:footnoteReference w:id="82"/>
            </w:r>
            <w:r>
              <w:t xml:space="preserve"> This risk is compounded where organisations are primarily reliant on suppliers concentrated in a particular part of the world and may be concurrently affected by supply chain disruptions.</w:t>
            </w:r>
            <w:r>
              <w:rPr>
                <w:vertAlign w:val="superscript"/>
              </w:rPr>
              <w:footnoteReference w:id="83"/>
            </w:r>
          </w:p>
        </w:tc>
        <w:tc>
          <w:tcPr>
            <w:tcW w:w="2177" w:type="pct"/>
            <w:shd w:val="clear" w:color="auto" w:fill="FFFFFF" w:themeFill="background1"/>
            <w:hideMark/>
          </w:tcPr>
          <w:p w14:paraId="4F6E7C95" w14:textId="77777777" w:rsidR="00AF1139" w:rsidRDefault="00AF1139" w:rsidP="0071400B">
            <w:pPr>
              <w:pStyle w:val="TableBody"/>
            </w:pPr>
            <w:r>
              <w:t>The COVID-19 pandemic incited concern that the manufacturing and delivery of materials required for the maintenance of key pieces of electricity infrastructure be delayed, as required components must be sourced from Asia. Supply chain risks arose through the need for some electricity companies to cut back on capital and operational expenditures, which filtered down to suppliers and services companies who are reliant on upstream resources.</w:t>
            </w:r>
            <w:r>
              <w:rPr>
                <w:vertAlign w:val="superscript"/>
              </w:rPr>
              <w:footnoteReference w:id="84"/>
            </w:r>
          </w:p>
        </w:tc>
      </w:tr>
      <w:tr w:rsidR="009838F6" w14:paraId="44A422C4" w14:textId="77777777" w:rsidTr="00E11773">
        <w:trPr>
          <w:cantSplit/>
          <w:trHeight w:val="2986"/>
        </w:trPr>
        <w:tc>
          <w:tcPr>
            <w:tcW w:w="577" w:type="pct"/>
            <w:shd w:val="clear" w:color="auto" w:fill="F2F2F2" w:themeFill="accent6"/>
            <w:hideMark/>
          </w:tcPr>
          <w:p w14:paraId="21D8FD71" w14:textId="77777777" w:rsidR="00AF1139" w:rsidRDefault="00AF1139" w:rsidP="0073600B">
            <w:pPr>
              <w:pStyle w:val="TableBody"/>
              <w:rPr>
                <w:rFonts w:ascii="Calibri" w:hAnsi="Calibri"/>
              </w:rPr>
            </w:pPr>
            <w:r>
              <w:t>Personnel</w:t>
            </w:r>
          </w:p>
        </w:tc>
        <w:tc>
          <w:tcPr>
            <w:tcW w:w="2246" w:type="pct"/>
            <w:shd w:val="clear" w:color="auto" w:fill="FFFFFF" w:themeFill="background1"/>
            <w:hideMark/>
          </w:tcPr>
          <w:p w14:paraId="1C7F9F4F" w14:textId="77777777" w:rsidR="00AF1139" w:rsidRDefault="00AF1139" w:rsidP="0071400B">
            <w:pPr>
              <w:pStyle w:val="TableBody"/>
              <w:rPr>
                <w:rFonts w:ascii="Calibri" w:hAnsi="Calibri"/>
              </w:rPr>
            </w:pPr>
            <w:r>
              <w:t>Where personnel are immobilised for reasons that cannot be controlled, critical electricity operations may be severely delayed or halted. Additionally, personnel with access to systems, data or premises may pose insider threat risks including fraud, theft, espionage, infrastructure sabotage and misuse of sensitive data.</w:t>
            </w:r>
            <w:r>
              <w:rPr>
                <w:vertAlign w:val="superscript"/>
              </w:rPr>
              <w:footnoteReference w:id="85"/>
            </w:r>
          </w:p>
        </w:tc>
        <w:tc>
          <w:tcPr>
            <w:tcW w:w="2177" w:type="pct"/>
            <w:shd w:val="clear" w:color="auto" w:fill="FFFFFF" w:themeFill="background1"/>
            <w:hideMark/>
          </w:tcPr>
          <w:p w14:paraId="670F6992" w14:textId="77777777" w:rsidR="00AF1139" w:rsidRDefault="00AF1139" w:rsidP="0071400B">
            <w:pPr>
              <w:pStyle w:val="TableBody"/>
            </w:pPr>
            <w:r>
              <w:t>The COVID-19 pandemic saw key industry personnel subject to extended periods of quarantine, forcing the closure of some electricity generators or reduced capacity where insufficient personnel were available.</w:t>
            </w:r>
          </w:p>
          <w:p w14:paraId="5551F801" w14:textId="77777777" w:rsidR="00AF1139" w:rsidRDefault="00AF1139" w:rsidP="0071400B">
            <w:pPr>
              <w:pStyle w:val="TableBody"/>
            </w:pPr>
            <w:r>
              <w:t xml:space="preserve">Between 2013 and 2015, a series of attacks occurred on a company responsible for operating over 50 power plants across the US and </w:t>
            </w:r>
            <w:r w:rsidRPr="0071400B">
              <w:t>Canada</w:t>
            </w:r>
            <w:r>
              <w:t>. The attacks were facilitated by information stolen by a company contractor and resulted in the theft of critical power plant designs and system passwords.</w:t>
            </w:r>
            <w:r>
              <w:rPr>
                <w:vertAlign w:val="superscript"/>
              </w:rPr>
              <w:footnoteReference w:id="86"/>
            </w:r>
            <w:r>
              <w:t xml:space="preserve"> </w:t>
            </w:r>
          </w:p>
        </w:tc>
      </w:tr>
    </w:tbl>
    <w:p w14:paraId="00F57B1B" w14:textId="77777777" w:rsidR="008B1972" w:rsidRDefault="008B1972">
      <w:pPr>
        <w:spacing w:before="80" w:after="80"/>
        <w:rPr>
          <w:rFonts w:ascii="Arial" w:hAnsi="Arial" w:cs="Arial"/>
          <w:i/>
          <w:color w:val="034EA2" w:themeColor="accent1"/>
          <w:sz w:val="22"/>
        </w:rPr>
      </w:pPr>
      <w:r>
        <w:rPr>
          <w:rFonts w:ascii="Arial" w:hAnsi="Arial" w:cs="Arial"/>
          <w:i/>
          <w:color w:val="034EA2" w:themeColor="accent1"/>
          <w:sz w:val="22"/>
        </w:rPr>
        <w:br w:type="page"/>
      </w:r>
    </w:p>
    <w:p w14:paraId="648073FA" w14:textId="77777777" w:rsidR="007E3D69" w:rsidRPr="00D67789" w:rsidRDefault="007E3D69" w:rsidP="00445B5B">
      <w:pPr>
        <w:pStyle w:val="AppendixH2"/>
      </w:pPr>
      <w:r>
        <w:lastRenderedPageBreak/>
        <w:t xml:space="preserve">Existing legislation related to electricity </w:t>
      </w:r>
    </w:p>
    <w:tbl>
      <w:tblPr>
        <w:tblStyle w:val="TableGrid2"/>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465"/>
        <w:gridCol w:w="4204"/>
        <w:gridCol w:w="3969"/>
      </w:tblGrid>
      <w:tr w:rsidR="007E3D69" w14:paraId="7F02F09C" w14:textId="77777777" w:rsidTr="00E65CE3">
        <w:trPr>
          <w:trHeight w:val="234"/>
          <w:tblHeader/>
        </w:trPr>
        <w:tc>
          <w:tcPr>
            <w:tcW w:w="2941" w:type="pct"/>
            <w:gridSpan w:val="2"/>
            <w:shd w:val="clear" w:color="auto" w:fill="034EA2" w:themeFill="accent1"/>
            <w:hideMark/>
          </w:tcPr>
          <w:p w14:paraId="02758459" w14:textId="77777777" w:rsidR="007E3D69" w:rsidRDefault="007E3D69" w:rsidP="0071400B">
            <w:pPr>
              <w:pStyle w:val="TableHeading"/>
              <w:rPr>
                <w:sz w:val="22"/>
              </w:rPr>
            </w:pPr>
            <w:r>
              <w:t>Overview of regulation</w:t>
            </w:r>
          </w:p>
        </w:tc>
        <w:tc>
          <w:tcPr>
            <w:tcW w:w="2059" w:type="pct"/>
            <w:shd w:val="clear" w:color="auto" w:fill="034EA2" w:themeFill="accent1"/>
            <w:hideMark/>
          </w:tcPr>
          <w:p w14:paraId="716306A6" w14:textId="77777777" w:rsidR="007E3D69" w:rsidRDefault="007E3D69" w:rsidP="0071400B">
            <w:pPr>
              <w:pStyle w:val="TableHeading"/>
            </w:pPr>
            <w:r>
              <w:t>Identified gaps</w:t>
            </w:r>
          </w:p>
        </w:tc>
      </w:tr>
      <w:tr w:rsidR="007E3D69" w14:paraId="5D84F5C4" w14:textId="77777777" w:rsidTr="7EBB1CEE">
        <w:trPr>
          <w:trHeight w:val="7238"/>
        </w:trPr>
        <w:tc>
          <w:tcPr>
            <w:tcW w:w="760" w:type="pct"/>
            <w:shd w:val="clear" w:color="auto" w:fill="F2F2F2" w:themeFill="background2" w:themeFillShade="F2"/>
          </w:tcPr>
          <w:p w14:paraId="4A81596E" w14:textId="06835E9B" w:rsidR="007E3D69" w:rsidRPr="0071400B" w:rsidRDefault="007E3D69" w:rsidP="0071400B">
            <w:pPr>
              <w:pStyle w:val="TableBody"/>
              <w:rPr>
                <w:i/>
                <w:iCs/>
              </w:rPr>
            </w:pPr>
            <w:r w:rsidRPr="0071400B">
              <w:rPr>
                <w:i/>
                <w:iCs/>
              </w:rPr>
              <w:t>National Electricity (South Australia) Act 1996</w:t>
            </w:r>
          </w:p>
        </w:tc>
        <w:tc>
          <w:tcPr>
            <w:tcW w:w="2181" w:type="pct"/>
          </w:tcPr>
          <w:p w14:paraId="5F50B0F1" w14:textId="77777777" w:rsidR="007E3D69" w:rsidRDefault="007E3D69" w:rsidP="0071400B">
            <w:pPr>
              <w:pStyle w:val="TableBody"/>
            </w:pPr>
            <w:r>
              <w:t>Adopted as the model law, referred to as the National Electricity Law, and implemented (with minor amendments) across Australian State and Territory participants in the NEM.</w:t>
            </w:r>
          </w:p>
          <w:p w14:paraId="7CC4EBDD" w14:textId="77777777" w:rsidR="007E3D69" w:rsidRDefault="007E3D69" w:rsidP="0071400B">
            <w:pPr>
              <w:pStyle w:val="TableBody"/>
            </w:pPr>
            <w:r>
              <w:t>The equivalent State and Territory Acts include:</w:t>
            </w:r>
          </w:p>
          <w:p w14:paraId="29996A3C" w14:textId="77777777" w:rsidR="007E3D69" w:rsidRDefault="007E3D69" w:rsidP="0071400B">
            <w:pPr>
              <w:pStyle w:val="TableBullet"/>
              <w:rPr>
                <w:rFonts w:eastAsia="Calibri"/>
              </w:rPr>
            </w:pPr>
            <w:r w:rsidRPr="0071400B">
              <w:rPr>
                <w:rFonts w:eastAsia="Calibri"/>
                <w:i/>
                <w:iCs/>
              </w:rPr>
              <w:t>Electricity (National Scheme) Act 1997</w:t>
            </w:r>
            <w:r>
              <w:rPr>
                <w:rFonts w:eastAsia="Calibri"/>
              </w:rPr>
              <w:t xml:space="preserve"> (ACT); </w:t>
            </w:r>
          </w:p>
          <w:p w14:paraId="7D8D3777" w14:textId="77777777" w:rsidR="007E3D69" w:rsidRPr="004A521D" w:rsidRDefault="007E3D69" w:rsidP="0071400B">
            <w:pPr>
              <w:pStyle w:val="TableBullet"/>
              <w:rPr>
                <w:rFonts w:eastAsia="Calibri"/>
                <w:i/>
                <w:iCs/>
              </w:rPr>
            </w:pPr>
            <w:r w:rsidRPr="004A521D">
              <w:rPr>
                <w:rFonts w:eastAsia="Calibri"/>
                <w:i/>
                <w:iCs/>
              </w:rPr>
              <w:t xml:space="preserve">National Electricity (New South Wales) Act 1997 No 20 &amp; National Electricity (New South Wales) Law No 20a; </w:t>
            </w:r>
          </w:p>
          <w:p w14:paraId="2D95CEDC" w14:textId="77777777" w:rsidR="007E3D69" w:rsidRPr="004A521D" w:rsidRDefault="007E3D69" w:rsidP="0071400B">
            <w:pPr>
              <w:pStyle w:val="TableBullet"/>
              <w:rPr>
                <w:rFonts w:eastAsia="Calibri"/>
                <w:i/>
                <w:iCs/>
              </w:rPr>
            </w:pPr>
            <w:r w:rsidRPr="004A521D">
              <w:rPr>
                <w:rFonts w:eastAsia="Calibri"/>
                <w:i/>
                <w:iCs/>
              </w:rPr>
              <w:t>National Electricity (Northern Territory) (National Uniform Legislation) Act 2015;</w:t>
            </w:r>
          </w:p>
          <w:p w14:paraId="672DA6DC" w14:textId="77777777" w:rsidR="007E3D69" w:rsidRPr="004A521D" w:rsidRDefault="007E3D69" w:rsidP="0071400B">
            <w:pPr>
              <w:pStyle w:val="TableBullet"/>
              <w:rPr>
                <w:rFonts w:eastAsia="Calibri"/>
                <w:i/>
                <w:iCs/>
              </w:rPr>
            </w:pPr>
            <w:r w:rsidRPr="004A521D">
              <w:rPr>
                <w:rFonts w:eastAsia="Calibri"/>
                <w:i/>
                <w:iCs/>
              </w:rPr>
              <w:t>Electricity – National Scheme (Queensland) Act 1997 &amp; National Electricity (Queensland) Law;</w:t>
            </w:r>
          </w:p>
          <w:p w14:paraId="5D673710" w14:textId="77777777" w:rsidR="007E3D69" w:rsidRDefault="007E3D69" w:rsidP="0071400B">
            <w:pPr>
              <w:pStyle w:val="TableBullet"/>
              <w:rPr>
                <w:rFonts w:eastAsia="Calibri"/>
              </w:rPr>
            </w:pPr>
            <w:r w:rsidRPr="004A521D">
              <w:rPr>
                <w:rFonts w:eastAsia="Calibri"/>
                <w:i/>
                <w:iCs/>
              </w:rPr>
              <w:t>Electricity – National Scheme (Tasmania) Act 1999 &amp; National Electricity (Tasmania) Law;</w:t>
            </w:r>
            <w:r>
              <w:rPr>
                <w:rFonts w:eastAsia="Calibri"/>
              </w:rPr>
              <w:t xml:space="preserve"> and</w:t>
            </w:r>
          </w:p>
          <w:p w14:paraId="5BB8454A" w14:textId="77777777" w:rsidR="007E3D69" w:rsidRPr="004A521D" w:rsidRDefault="007E3D69" w:rsidP="0071400B">
            <w:pPr>
              <w:pStyle w:val="TableBullet"/>
              <w:rPr>
                <w:rFonts w:eastAsia="Calibri"/>
                <w:i/>
                <w:iCs/>
              </w:rPr>
            </w:pPr>
            <w:r w:rsidRPr="004A521D">
              <w:rPr>
                <w:rFonts w:eastAsia="Calibri"/>
                <w:i/>
                <w:iCs/>
              </w:rPr>
              <w:t>National Electricity (Victoria) Act 2005.</w:t>
            </w:r>
          </w:p>
          <w:p w14:paraId="474717FA" w14:textId="77777777" w:rsidR="007E3D69" w:rsidRDefault="007E3D69" w:rsidP="0071400B">
            <w:pPr>
              <w:pStyle w:val="TableBody"/>
            </w:pPr>
            <w:r>
              <w:t xml:space="preserve">In Western Australia, the </w:t>
            </w:r>
            <w:r>
              <w:rPr>
                <w:i/>
                <w:iCs/>
              </w:rPr>
              <w:t>Electricity Act 1945</w:t>
            </w:r>
            <w:r>
              <w:t xml:space="preserve"> and </w:t>
            </w:r>
            <w:r>
              <w:rPr>
                <w:i/>
                <w:iCs/>
              </w:rPr>
              <w:t xml:space="preserve">Electricity Regulations 1947 </w:t>
            </w:r>
            <w:r>
              <w:t xml:space="preserve">operate, in addition to a series of other legislative frameworks. These schemes are similar in content and form to the National Electricity Law but operate as a separate regime. </w:t>
            </w:r>
          </w:p>
        </w:tc>
        <w:tc>
          <w:tcPr>
            <w:tcW w:w="2059" w:type="pct"/>
            <w:shd w:val="clear" w:color="auto" w:fill="F2F2F2" w:themeFill="background2" w:themeFillShade="F2"/>
            <w:hideMark/>
          </w:tcPr>
          <w:p w14:paraId="0D6FA179" w14:textId="77777777" w:rsidR="007E3D69" w:rsidRDefault="007E3D69" w:rsidP="0071400B">
            <w:pPr>
              <w:pStyle w:val="TableBody"/>
            </w:pPr>
            <w:r>
              <w:t xml:space="preserve">The National Electricity Law is contained in a Schedule to the </w:t>
            </w:r>
            <w:r>
              <w:rPr>
                <w:i/>
                <w:iCs/>
              </w:rPr>
              <w:t xml:space="preserve">National Electricity (South Australia) Act 1996 </w:t>
            </w:r>
            <w:r>
              <w:t xml:space="preserve">and seeks to establish the governance framework and key obligations for the NEM, including: </w:t>
            </w:r>
          </w:p>
          <w:p w14:paraId="0E9255A8" w14:textId="77777777" w:rsidR="007E3D69" w:rsidRDefault="007E3D69" w:rsidP="0071400B">
            <w:pPr>
              <w:pStyle w:val="TableBullet"/>
              <w:rPr>
                <w:rFonts w:eastAsia="Calibri"/>
              </w:rPr>
            </w:pPr>
            <w:r>
              <w:rPr>
                <w:rFonts w:eastAsia="Calibri"/>
              </w:rPr>
              <w:t xml:space="preserve">The functions of the AEMO; and </w:t>
            </w:r>
          </w:p>
          <w:p w14:paraId="1EECD870" w14:textId="77777777" w:rsidR="007E3D69" w:rsidRDefault="007E3D69" w:rsidP="0071400B">
            <w:pPr>
              <w:pStyle w:val="TableBullet"/>
              <w:rPr>
                <w:rFonts w:eastAsia="Calibri"/>
              </w:rPr>
            </w:pPr>
            <w:r>
              <w:rPr>
                <w:rFonts w:eastAsia="Calibri"/>
              </w:rPr>
              <w:t xml:space="preserve">The regulation of access to electricity networks. </w:t>
            </w:r>
          </w:p>
          <w:p w14:paraId="7F380252" w14:textId="77777777" w:rsidR="007E3D69" w:rsidRDefault="007E3D69" w:rsidP="0071400B">
            <w:pPr>
              <w:pStyle w:val="TableBody"/>
            </w:pPr>
            <w:r>
              <w:t xml:space="preserve">The National Electricity Law is supported by the National Electricity Regulations and National Electricity Rules, which support the operation of the NEM. </w:t>
            </w:r>
          </w:p>
          <w:p w14:paraId="22BE087D" w14:textId="77777777" w:rsidR="007E3D69" w:rsidRDefault="007E3D69" w:rsidP="0071400B">
            <w:pPr>
              <w:pStyle w:val="TableBody"/>
            </w:pPr>
            <w:r>
              <w:t xml:space="preserve">The National Electricity Law (and its subordinate legislation) does impose certain requirements on specific entities, with some implication for risk management. It requires the AEMO to maintain supply-demand balance (electrical supply security), but does not impose obligations around cyber, physical or other security. </w:t>
            </w:r>
          </w:p>
          <w:p w14:paraId="6F587142" w14:textId="77777777" w:rsidR="007E3D69" w:rsidRDefault="007E3D69" w:rsidP="0071400B">
            <w:pPr>
              <w:pStyle w:val="TableBody"/>
            </w:pPr>
            <w:r>
              <w:t xml:space="preserve">Furthermore, the National Electricity Law is primarily focussed on matters of governance and does not impose baseline risk reduction requirements on all entities. </w:t>
            </w:r>
          </w:p>
          <w:p w14:paraId="2EFDE69E" w14:textId="77777777" w:rsidR="007E3D69" w:rsidRDefault="007E3D69" w:rsidP="0071400B">
            <w:pPr>
              <w:pStyle w:val="TableBody"/>
            </w:pPr>
            <w:r>
              <w:t xml:space="preserve">Finally, the National Electricity Law places obligations on AEMO to operate the system in a particular way, but does not apply obligations to each entity that operates a critical infrastructure asset. </w:t>
            </w:r>
          </w:p>
        </w:tc>
      </w:tr>
      <w:tr w:rsidR="007E3D69" w14:paraId="23C4D986" w14:textId="77777777" w:rsidTr="7EBB1CEE">
        <w:trPr>
          <w:trHeight w:val="1405"/>
        </w:trPr>
        <w:tc>
          <w:tcPr>
            <w:tcW w:w="760" w:type="pct"/>
            <w:shd w:val="clear" w:color="auto" w:fill="F2F2F2" w:themeFill="background2" w:themeFillShade="F2"/>
            <w:hideMark/>
          </w:tcPr>
          <w:p w14:paraId="50D54D26" w14:textId="77777777" w:rsidR="007E3D69" w:rsidRPr="0071400B" w:rsidRDefault="007E3D69" w:rsidP="0071400B">
            <w:pPr>
              <w:pStyle w:val="TableBody"/>
              <w:rPr>
                <w:i/>
                <w:iCs/>
              </w:rPr>
            </w:pPr>
            <w:r w:rsidRPr="0071400B">
              <w:rPr>
                <w:i/>
                <w:iCs/>
              </w:rPr>
              <w:t>Australian Energy Market Act 2004 (Cth)</w:t>
            </w:r>
          </w:p>
        </w:tc>
        <w:tc>
          <w:tcPr>
            <w:tcW w:w="2181" w:type="pct"/>
            <w:hideMark/>
          </w:tcPr>
          <w:p w14:paraId="21FD88B1" w14:textId="77777777" w:rsidR="007E3D69" w:rsidRDefault="007E3D69" w:rsidP="0071400B">
            <w:pPr>
              <w:pStyle w:val="TableBody"/>
            </w:pPr>
            <w:r>
              <w:t>Applies the National Electricity Law, the National Electricity Regulations and the National Electricity Rules as Commonwealth law in offshore areas as part of a uniform scheme of national electricity regulation.</w:t>
            </w:r>
          </w:p>
        </w:tc>
        <w:tc>
          <w:tcPr>
            <w:tcW w:w="2059" w:type="pct"/>
            <w:shd w:val="clear" w:color="auto" w:fill="F2F2F2" w:themeFill="background2" w:themeFillShade="F2"/>
            <w:hideMark/>
          </w:tcPr>
          <w:p w14:paraId="1671B8A2" w14:textId="77777777" w:rsidR="007E3D69" w:rsidRDefault="007E3D69" w:rsidP="0071400B">
            <w:pPr>
              <w:pStyle w:val="TableBody"/>
            </w:pPr>
            <w:r>
              <w:t xml:space="preserve">This Act has, largely, an administrative function in applying the National Electricity Law in offshore areas. It does include provisions supplementary to the National Electricity Law and therefore, does not impose risk reduction requirements. </w:t>
            </w:r>
          </w:p>
        </w:tc>
      </w:tr>
      <w:tr w:rsidR="007E3D69" w14:paraId="557494B3" w14:textId="77777777" w:rsidTr="7EBB1CEE">
        <w:trPr>
          <w:cantSplit/>
          <w:trHeight w:val="1405"/>
        </w:trPr>
        <w:tc>
          <w:tcPr>
            <w:tcW w:w="760" w:type="pct"/>
            <w:shd w:val="clear" w:color="auto" w:fill="F2F2F2" w:themeFill="background2" w:themeFillShade="F2"/>
            <w:hideMark/>
          </w:tcPr>
          <w:p w14:paraId="51D9A5C5" w14:textId="77777777" w:rsidR="007E3D69" w:rsidRPr="0071400B" w:rsidRDefault="007E3D69" w:rsidP="0071400B">
            <w:pPr>
              <w:pStyle w:val="TableBody"/>
              <w:rPr>
                <w:i/>
                <w:iCs/>
              </w:rPr>
            </w:pPr>
            <w:r w:rsidRPr="0071400B">
              <w:rPr>
                <w:i/>
                <w:iCs/>
              </w:rPr>
              <w:t>Electricity Supply (Safety and Network Management) Regulation 2014 (NSW)</w:t>
            </w:r>
          </w:p>
        </w:tc>
        <w:tc>
          <w:tcPr>
            <w:tcW w:w="2181" w:type="pct"/>
            <w:hideMark/>
          </w:tcPr>
          <w:p w14:paraId="25B96A55" w14:textId="77777777" w:rsidR="007E3D69" w:rsidRDefault="007E3D69" w:rsidP="0071400B">
            <w:pPr>
              <w:pStyle w:val="TableBody"/>
            </w:pPr>
            <w:r>
              <w:t xml:space="preserve">These Regulations require that electricity network operators in New South Wales have in place a safety management system. Operators’ systems are evaluated on an annual basis, with results published for public viewing. </w:t>
            </w:r>
          </w:p>
        </w:tc>
        <w:tc>
          <w:tcPr>
            <w:tcW w:w="2059" w:type="pct"/>
            <w:shd w:val="clear" w:color="auto" w:fill="F2F2F2" w:themeFill="background2" w:themeFillShade="F2"/>
            <w:hideMark/>
          </w:tcPr>
          <w:p w14:paraId="55310AB5" w14:textId="77777777" w:rsidR="007E3D69" w:rsidRDefault="007E3D69" w:rsidP="0071400B">
            <w:pPr>
              <w:pStyle w:val="TableBody"/>
            </w:pPr>
            <w:r>
              <w:t xml:space="preserve">While the mandatory requirement for a safety management system may contribute to suitable risk management, it does not amount to an all hazards approach to risk management, nor is the requirement for a safety management system imposed on a whole-of-sector basis. </w:t>
            </w:r>
          </w:p>
        </w:tc>
      </w:tr>
      <w:tr w:rsidR="007E3D69" w14:paraId="6C56F7CA" w14:textId="77777777" w:rsidTr="7EBB1CEE">
        <w:trPr>
          <w:cantSplit/>
          <w:trHeight w:val="1405"/>
        </w:trPr>
        <w:tc>
          <w:tcPr>
            <w:tcW w:w="760" w:type="pct"/>
            <w:shd w:val="clear" w:color="auto" w:fill="F2F2F2" w:themeFill="background2" w:themeFillShade="F2"/>
            <w:hideMark/>
          </w:tcPr>
          <w:p w14:paraId="747973C9" w14:textId="77777777" w:rsidR="007E3D69" w:rsidRPr="0071400B" w:rsidRDefault="007E3D69" w:rsidP="0071400B">
            <w:pPr>
              <w:pStyle w:val="TableBody"/>
              <w:rPr>
                <w:i/>
                <w:iCs/>
              </w:rPr>
            </w:pPr>
            <w:r w:rsidRPr="0071400B">
              <w:rPr>
                <w:i/>
                <w:iCs/>
              </w:rPr>
              <w:lastRenderedPageBreak/>
              <w:t>Electricity Safety Act 1998 (VIC)</w:t>
            </w:r>
          </w:p>
        </w:tc>
        <w:tc>
          <w:tcPr>
            <w:tcW w:w="2181" w:type="pct"/>
            <w:hideMark/>
          </w:tcPr>
          <w:p w14:paraId="725BE146" w14:textId="77777777" w:rsidR="007E3D69" w:rsidRDefault="007E3D69" w:rsidP="0071400B">
            <w:pPr>
              <w:pStyle w:val="TableBody"/>
            </w:pPr>
            <w:r>
              <w:t xml:space="preserve">The Act mandates that major electricity companies in Victoria submit an electricity safety management scheme. </w:t>
            </w:r>
          </w:p>
        </w:tc>
        <w:tc>
          <w:tcPr>
            <w:tcW w:w="2059" w:type="pct"/>
            <w:shd w:val="clear" w:color="auto" w:fill="F2F2F2" w:themeFill="background2" w:themeFillShade="F2"/>
            <w:hideMark/>
          </w:tcPr>
          <w:p w14:paraId="49DE32FD" w14:textId="77777777" w:rsidR="007E3D69" w:rsidRDefault="007E3D69" w:rsidP="0071400B">
            <w:pPr>
              <w:pStyle w:val="TableBody"/>
            </w:pPr>
            <w:r>
              <w:t>While the mandatory requirement for a safety management scheme may contribute to suitable risk management, it does not amount to an all hazards approach to risk management, nor is the requirement for a safety management scheme imposed on a whole-of-sector basis.</w:t>
            </w:r>
          </w:p>
        </w:tc>
      </w:tr>
      <w:tr w:rsidR="007E3D69" w14:paraId="22E4510D" w14:textId="77777777" w:rsidTr="7EBB1CEE">
        <w:trPr>
          <w:cantSplit/>
          <w:trHeight w:val="3329"/>
        </w:trPr>
        <w:tc>
          <w:tcPr>
            <w:tcW w:w="760" w:type="pct"/>
            <w:shd w:val="clear" w:color="auto" w:fill="F2F2F2" w:themeFill="background2" w:themeFillShade="F2"/>
            <w:hideMark/>
          </w:tcPr>
          <w:p w14:paraId="5F6CDF17" w14:textId="77777777" w:rsidR="007E3D69" w:rsidRDefault="007E3D69" w:rsidP="0071400B">
            <w:pPr>
              <w:pStyle w:val="TableBody"/>
            </w:pPr>
            <w:r>
              <w:t>State and Territory Emergency Management Legislation</w:t>
            </w:r>
          </w:p>
        </w:tc>
        <w:tc>
          <w:tcPr>
            <w:tcW w:w="2181" w:type="pct"/>
            <w:hideMark/>
          </w:tcPr>
          <w:p w14:paraId="6EB765F8" w14:textId="77777777" w:rsidR="007E3D69" w:rsidRDefault="007E3D69" w:rsidP="0071400B">
            <w:pPr>
              <w:pStyle w:val="TableBody"/>
            </w:pPr>
            <w:r>
              <w:t xml:space="preserve">Australia’s States and Territories have in place emergency management legislation which may have a risk management element, including: </w:t>
            </w:r>
          </w:p>
          <w:p w14:paraId="0CCFDB86" w14:textId="77777777" w:rsidR="007E3D69" w:rsidRDefault="007E3D69" w:rsidP="0071400B">
            <w:pPr>
              <w:pStyle w:val="TableBullet"/>
            </w:pPr>
            <w:r w:rsidRPr="0071400B">
              <w:rPr>
                <w:i/>
                <w:iCs/>
              </w:rPr>
              <w:t>Electricity Supply Act 1995</w:t>
            </w:r>
            <w:r>
              <w:t xml:space="preserve"> (NSW)</w:t>
            </w:r>
          </w:p>
          <w:p w14:paraId="1D25640C" w14:textId="77777777" w:rsidR="007E3D69" w:rsidRDefault="007E3D69" w:rsidP="0071400B">
            <w:pPr>
              <w:pStyle w:val="TableBullet"/>
            </w:pPr>
            <w:r w:rsidRPr="0071400B">
              <w:rPr>
                <w:i/>
                <w:iCs/>
              </w:rPr>
              <w:t>Essential Goods and Services Act 1981</w:t>
            </w:r>
            <w:r>
              <w:t xml:space="preserve"> (NT)</w:t>
            </w:r>
          </w:p>
          <w:p w14:paraId="3E7BD4F6" w14:textId="77777777" w:rsidR="007E3D69" w:rsidRDefault="007E3D69" w:rsidP="0071400B">
            <w:pPr>
              <w:pStyle w:val="TableBullet"/>
            </w:pPr>
            <w:r w:rsidRPr="0071400B">
              <w:rPr>
                <w:i/>
                <w:iCs/>
              </w:rPr>
              <w:t>Electricity Reform Act 2000</w:t>
            </w:r>
            <w:r>
              <w:t xml:space="preserve"> (NT)</w:t>
            </w:r>
          </w:p>
          <w:p w14:paraId="2FA5A87A" w14:textId="77777777" w:rsidR="007E3D69" w:rsidRDefault="007E3D69" w:rsidP="0071400B">
            <w:pPr>
              <w:pStyle w:val="TableBullet"/>
            </w:pPr>
            <w:r w:rsidRPr="0071400B">
              <w:rPr>
                <w:i/>
                <w:iCs/>
              </w:rPr>
              <w:t>Fuel Energy and Resources Act</w:t>
            </w:r>
            <w:r>
              <w:t xml:space="preserve"> </w:t>
            </w:r>
            <w:r w:rsidRPr="0071400B">
              <w:rPr>
                <w:i/>
                <w:iCs/>
              </w:rPr>
              <w:t>1972</w:t>
            </w:r>
            <w:r>
              <w:t xml:space="preserve"> (WA)</w:t>
            </w:r>
          </w:p>
          <w:p w14:paraId="013D1243" w14:textId="77777777" w:rsidR="007E3D69" w:rsidRDefault="007E3D69" w:rsidP="0071400B">
            <w:pPr>
              <w:pStyle w:val="TableBullet"/>
            </w:pPr>
            <w:r w:rsidRPr="0071400B">
              <w:rPr>
                <w:i/>
                <w:iCs/>
              </w:rPr>
              <w:t>Essential Services Act 1981</w:t>
            </w:r>
            <w:r>
              <w:t xml:space="preserve"> (SA)</w:t>
            </w:r>
          </w:p>
          <w:p w14:paraId="1EF241D3" w14:textId="77777777" w:rsidR="007E3D69" w:rsidRDefault="007E3D69" w:rsidP="0071400B">
            <w:pPr>
              <w:pStyle w:val="TableBullet"/>
            </w:pPr>
            <w:r w:rsidRPr="0071400B">
              <w:rPr>
                <w:i/>
                <w:iCs/>
              </w:rPr>
              <w:t>Electricity Industry Act 2000</w:t>
            </w:r>
            <w:r>
              <w:t xml:space="preserve"> (VIC)</w:t>
            </w:r>
          </w:p>
          <w:p w14:paraId="4ED3F8F2" w14:textId="77777777" w:rsidR="007E3D69" w:rsidRDefault="007E3D69" w:rsidP="0071400B">
            <w:pPr>
              <w:pStyle w:val="TableBullet"/>
            </w:pPr>
            <w:r w:rsidRPr="0071400B">
              <w:rPr>
                <w:i/>
                <w:iCs/>
              </w:rPr>
              <w:t>Electricity Supply Industry Act 1995</w:t>
            </w:r>
            <w:r>
              <w:t xml:space="preserve"> (TAS)</w:t>
            </w:r>
          </w:p>
          <w:p w14:paraId="35023139" w14:textId="77777777" w:rsidR="007E3D69" w:rsidRDefault="007E3D69" w:rsidP="0071400B">
            <w:pPr>
              <w:pStyle w:val="TableBullet"/>
            </w:pPr>
            <w:r w:rsidRPr="0071400B">
              <w:rPr>
                <w:i/>
                <w:iCs/>
              </w:rPr>
              <w:t>Utilities Act 2000</w:t>
            </w:r>
            <w:r>
              <w:t xml:space="preserve"> (ACT)</w:t>
            </w:r>
          </w:p>
          <w:p w14:paraId="302716A6" w14:textId="77777777" w:rsidR="007E3D69" w:rsidRDefault="007E3D69" w:rsidP="0071400B">
            <w:pPr>
              <w:pStyle w:val="TableBullet"/>
              <w:rPr>
                <w:rFonts w:ascii="Calibri" w:eastAsia="Calibri" w:hAnsi="Calibri"/>
              </w:rPr>
            </w:pPr>
            <w:r w:rsidRPr="0071400B">
              <w:rPr>
                <w:i/>
                <w:iCs/>
              </w:rPr>
              <w:t>Electricity Act 1994</w:t>
            </w:r>
            <w:r>
              <w:t xml:space="preserve"> (QLD)</w:t>
            </w:r>
          </w:p>
        </w:tc>
        <w:tc>
          <w:tcPr>
            <w:tcW w:w="2059" w:type="pct"/>
            <w:shd w:val="clear" w:color="auto" w:fill="F2F2F2" w:themeFill="background2" w:themeFillShade="F2"/>
            <w:hideMark/>
          </w:tcPr>
          <w:p w14:paraId="669CA7F5" w14:textId="77777777" w:rsidR="007E3D69" w:rsidRDefault="007E3D69" w:rsidP="0071400B">
            <w:pPr>
              <w:pStyle w:val="TableBody"/>
            </w:pPr>
            <w:r>
              <w:t xml:space="preserve">While the risk management element contained in these legislative regimes may contribute to suitable risk management, they do not amount to an all hazards approach to risk management, nor are risk management obligations imposed on a whole-of-sector basis. </w:t>
            </w:r>
          </w:p>
        </w:tc>
      </w:tr>
      <w:tr w:rsidR="007E3D69" w14:paraId="5475FE09" w14:textId="77777777" w:rsidTr="7EBB1CEE">
        <w:trPr>
          <w:cantSplit/>
          <w:trHeight w:val="3980"/>
        </w:trPr>
        <w:tc>
          <w:tcPr>
            <w:tcW w:w="760" w:type="pct"/>
            <w:shd w:val="clear" w:color="auto" w:fill="F2F2F2" w:themeFill="background2" w:themeFillShade="F2"/>
            <w:hideMark/>
          </w:tcPr>
          <w:p w14:paraId="2C061A8B" w14:textId="77777777" w:rsidR="007E3D69" w:rsidRPr="0071400B" w:rsidRDefault="007E3D69" w:rsidP="0071400B">
            <w:pPr>
              <w:pStyle w:val="TableBody"/>
              <w:rPr>
                <w:i/>
                <w:iCs/>
              </w:rPr>
            </w:pPr>
            <w:r w:rsidRPr="0071400B">
              <w:rPr>
                <w:i/>
                <w:iCs/>
              </w:rPr>
              <w:t>Electricity Supply Act 1995 (NSW)</w:t>
            </w:r>
          </w:p>
        </w:tc>
        <w:tc>
          <w:tcPr>
            <w:tcW w:w="2181" w:type="pct"/>
            <w:hideMark/>
          </w:tcPr>
          <w:p w14:paraId="01351088" w14:textId="77777777" w:rsidR="007E3D69" w:rsidRDefault="007E3D69" w:rsidP="0071400B">
            <w:pPr>
              <w:pStyle w:val="TableBody"/>
            </w:pPr>
            <w:r>
              <w:t>Sets out the requirements relating to electricity suppliers. Under the Act, there are requirements to manage specific risks that may interrupt the supply of electricity. There is a section relating to emergency management with specific reference to bushfire prevention. There are some definitions relating to safety, accident reporting and investigation, and risk management. The Act includes regulation relating to the management of electricity supply emergencies, including the power for the Minister to give directions relating to the emergency. Has an energy security safeguard section which is designed to improve the affordability reliability and sustainability of energy through the creation of financial incentives.</w:t>
            </w:r>
          </w:p>
        </w:tc>
        <w:tc>
          <w:tcPr>
            <w:tcW w:w="2059" w:type="pct"/>
            <w:shd w:val="clear" w:color="auto" w:fill="F2F2F2" w:themeFill="background2" w:themeFillShade="F2"/>
            <w:hideMark/>
          </w:tcPr>
          <w:p w14:paraId="6BC7D033" w14:textId="77777777" w:rsidR="007E3D69" w:rsidRDefault="007E3D69" w:rsidP="0071400B">
            <w:pPr>
              <w:pStyle w:val="TableBody"/>
            </w:pPr>
            <w:r>
              <w:t>While the Act has some risk management features in the sections relating to the management of electricity supply emergencies, and has requirements to reduce the risk of specific hazards such as bushfires, it does not amount to an all hazards approach to risk management.</w:t>
            </w:r>
          </w:p>
          <w:p w14:paraId="6B8B2777" w14:textId="77777777" w:rsidR="007E3D69" w:rsidRDefault="007E3D69" w:rsidP="0071400B">
            <w:pPr>
              <w:pStyle w:val="TableBody"/>
            </w:pPr>
            <w:r>
              <w:t>There is a lack of requirements to reduce cyber security, supply-chain and personnel hazards in the Act.</w:t>
            </w:r>
          </w:p>
        </w:tc>
      </w:tr>
      <w:tr w:rsidR="007E3D69" w14:paraId="6B68B6C9" w14:textId="77777777" w:rsidTr="7EBB1CEE">
        <w:trPr>
          <w:cantSplit/>
          <w:trHeight w:val="2341"/>
        </w:trPr>
        <w:tc>
          <w:tcPr>
            <w:tcW w:w="760" w:type="pct"/>
            <w:shd w:val="clear" w:color="auto" w:fill="F2F2F2" w:themeFill="background2" w:themeFillShade="F2"/>
            <w:hideMark/>
          </w:tcPr>
          <w:p w14:paraId="4D9F7835" w14:textId="77777777" w:rsidR="007E3D69" w:rsidRDefault="007E3D69" w:rsidP="0071400B">
            <w:pPr>
              <w:pStyle w:val="TableBody"/>
            </w:pPr>
            <w:r>
              <w:t>Independent Pricing and Regulatory Tribunal (IPART) Licence Conditions</w:t>
            </w:r>
          </w:p>
        </w:tc>
        <w:tc>
          <w:tcPr>
            <w:tcW w:w="2181" w:type="pct"/>
            <w:hideMark/>
          </w:tcPr>
          <w:p w14:paraId="79D37A64" w14:textId="77777777" w:rsidR="007E3D69" w:rsidRDefault="007E3D69" w:rsidP="0071400B">
            <w:pPr>
              <w:pStyle w:val="TableBody"/>
            </w:pPr>
            <w:r>
              <w:t xml:space="preserve">IPART grants operating licences to four electricity network services in NSW (Ausgrid, Endeavour Energy, Essential Energy and TransGrid) under the </w:t>
            </w:r>
            <w:r>
              <w:rPr>
                <w:i/>
              </w:rPr>
              <w:t>Electricity Supply Act 1995 (NSW)</w:t>
            </w:r>
            <w:r>
              <w:t xml:space="preserve">. The licences include critical infrastructure conditions covering requirements for data security, ensuring a substantial presence in Australia. The licences include compliance obligations for reporting and independent auditing. </w:t>
            </w:r>
          </w:p>
        </w:tc>
        <w:tc>
          <w:tcPr>
            <w:tcW w:w="2059" w:type="pct"/>
            <w:shd w:val="clear" w:color="auto" w:fill="F2F2F2" w:themeFill="background2" w:themeFillShade="F2"/>
            <w:hideMark/>
          </w:tcPr>
          <w:p w14:paraId="410B592C" w14:textId="77777777" w:rsidR="007E3D69" w:rsidRDefault="007E3D69" w:rsidP="0071400B">
            <w:pPr>
              <w:pStyle w:val="TableBody"/>
            </w:pPr>
            <w:r>
              <w:t>While there are some critical infrastructure security requirements in the operating licences, the licences do not require a holistic uplift of security. As such the licence conditions do not amount to an all hazards approach to risk management. The licences also only apply to electricity networks, and thus could not be used to regulate other energy assets/systems in NSW like electricity generators.</w:t>
            </w:r>
          </w:p>
        </w:tc>
      </w:tr>
    </w:tbl>
    <w:p w14:paraId="2B393A00" w14:textId="78904DA2" w:rsidR="00AD3A3E" w:rsidRDefault="007E3D69" w:rsidP="0071400B">
      <w:pPr>
        <w:pStyle w:val="Note"/>
      </w:pPr>
      <w:r>
        <w:rPr>
          <w:b/>
        </w:rPr>
        <w:lastRenderedPageBreak/>
        <w:t>Note:</w:t>
      </w:r>
      <w:r>
        <w:t xml:space="preserve"> The Department received feedback that some existing obligations were not reflected in the existing legislation. It is important to note that some jurisdictions have similar electricity provider obligations with regards to meeting supply standards/ensuring supply. While these obligations align with the purpose of the RMP, the Department does not consider them to be equivalent obligations. The requirement to ensure supply defines an outcome related to the service delivered. The RMP defines an outcome in relation to hazards that could affect the asset (which would affect the service delivered).</w:t>
      </w:r>
    </w:p>
    <w:p w14:paraId="4D72EAF0" w14:textId="77777777" w:rsidR="000F6098" w:rsidRPr="0090241A" w:rsidRDefault="000F6098" w:rsidP="00E65CE3">
      <w:pPr>
        <w:pStyle w:val="AppendixH2"/>
        <w:keepNext w:val="0"/>
        <w:keepLines w:val="0"/>
        <w:rPr>
          <w:spacing w:val="-4"/>
        </w:rPr>
      </w:pPr>
      <w:r w:rsidRPr="0090241A">
        <w:rPr>
          <w:spacing w:val="-4"/>
        </w:rPr>
        <w:t xml:space="preserve">Existing standards, guidelines and regulators for </w:t>
      </w:r>
      <w:r w:rsidR="006A294E" w:rsidRPr="0090241A">
        <w:rPr>
          <w:spacing w:val="-4"/>
        </w:rPr>
        <w:t>critical electricity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318"/>
        <w:gridCol w:w="2934"/>
        <w:gridCol w:w="5363"/>
        <w:gridCol w:w="23"/>
      </w:tblGrid>
      <w:tr w:rsidR="009C4855" w:rsidRPr="00366716" w14:paraId="56E041CC" w14:textId="77777777" w:rsidTr="00366716">
        <w:tc>
          <w:tcPr>
            <w:tcW w:w="684" w:type="pct"/>
            <w:shd w:val="clear" w:color="auto" w:fill="034EA2" w:themeFill="accent1"/>
            <w:hideMark/>
          </w:tcPr>
          <w:p w14:paraId="4CABEA54" w14:textId="63FBB0B7" w:rsidR="001A40B7" w:rsidRPr="00366716" w:rsidRDefault="006B3927" w:rsidP="00366716">
            <w:pPr>
              <w:pStyle w:val="TableHeading"/>
            </w:pPr>
            <w:r w:rsidRPr="00366716">
              <w:t>Hazard domain</w:t>
            </w:r>
          </w:p>
        </w:tc>
        <w:tc>
          <w:tcPr>
            <w:tcW w:w="1522" w:type="pct"/>
            <w:shd w:val="clear" w:color="auto" w:fill="034EA2" w:themeFill="accent1"/>
            <w:hideMark/>
          </w:tcPr>
          <w:p w14:paraId="7A497CFE" w14:textId="77777777" w:rsidR="001A40B7" w:rsidRPr="00366716" w:rsidRDefault="001A40B7" w:rsidP="00366716">
            <w:pPr>
              <w:pStyle w:val="TableHeading"/>
            </w:pPr>
            <w:r w:rsidRPr="00366716">
              <w:t>Organisation</w:t>
            </w:r>
          </w:p>
        </w:tc>
        <w:tc>
          <w:tcPr>
            <w:tcW w:w="2794" w:type="pct"/>
            <w:gridSpan w:val="2"/>
            <w:shd w:val="clear" w:color="auto" w:fill="034EA2" w:themeFill="accent1"/>
            <w:hideMark/>
          </w:tcPr>
          <w:p w14:paraId="704D0C5D" w14:textId="77777777" w:rsidR="001A40B7" w:rsidRPr="00366716" w:rsidRDefault="001A40B7" w:rsidP="00366716">
            <w:pPr>
              <w:pStyle w:val="TableHeading"/>
            </w:pPr>
            <w:r w:rsidRPr="00366716">
              <w:t>Standards &amp; guidelines</w:t>
            </w:r>
          </w:p>
        </w:tc>
      </w:tr>
      <w:tr w:rsidR="009C4855" w14:paraId="39A1F56B" w14:textId="77777777" w:rsidTr="7EBB1CEE">
        <w:trPr>
          <w:gridAfter w:val="1"/>
          <w:wAfter w:w="12" w:type="pct"/>
        </w:trPr>
        <w:tc>
          <w:tcPr>
            <w:tcW w:w="684" w:type="pct"/>
            <w:vMerge w:val="restart"/>
            <w:shd w:val="clear" w:color="auto" w:fill="F2F2F2" w:themeFill="background2" w:themeFillShade="F2"/>
            <w:hideMark/>
          </w:tcPr>
          <w:p w14:paraId="74490C3E" w14:textId="77777777" w:rsidR="001A40B7" w:rsidRDefault="001A40B7" w:rsidP="00E65CE3">
            <w:pPr>
              <w:pStyle w:val="TableBody"/>
            </w:pPr>
            <w:r>
              <w:t>Cyber</w:t>
            </w:r>
          </w:p>
        </w:tc>
        <w:tc>
          <w:tcPr>
            <w:tcW w:w="1522" w:type="pct"/>
            <w:shd w:val="clear" w:color="auto" w:fill="auto"/>
            <w:hideMark/>
          </w:tcPr>
          <w:p w14:paraId="31679E43" w14:textId="77777777" w:rsidR="001A40B7" w:rsidRDefault="001A40B7" w:rsidP="00E65CE3">
            <w:pPr>
              <w:pStyle w:val="TableBody"/>
              <w:rPr>
                <w:b/>
                <w:bCs/>
              </w:rPr>
            </w:pPr>
            <w:r>
              <w:t xml:space="preserve">AEMO </w:t>
            </w:r>
          </w:p>
          <w:p w14:paraId="6F2F2E01" w14:textId="77777777" w:rsidR="001A40B7" w:rsidRDefault="001A40B7" w:rsidP="00E65CE3">
            <w:pPr>
              <w:pStyle w:val="TableBody"/>
              <w:rPr>
                <w:b/>
                <w:bCs/>
              </w:rPr>
            </w:pPr>
            <w:r>
              <w:t>Australian Cyber Security Centre (ACSC)</w:t>
            </w:r>
          </w:p>
          <w:p w14:paraId="0004C903" w14:textId="77777777" w:rsidR="001A40B7" w:rsidRDefault="001A40B7" w:rsidP="00E65CE3">
            <w:pPr>
              <w:pStyle w:val="TableBody"/>
              <w:rPr>
                <w:b/>
                <w:bCs/>
              </w:rPr>
            </w:pPr>
            <w:r>
              <w:t xml:space="preserve">Cyber and Infrastructure Security Centre </w:t>
            </w:r>
          </w:p>
          <w:p w14:paraId="52A03A40" w14:textId="77777777" w:rsidR="001A40B7" w:rsidRDefault="001A40B7" w:rsidP="00E65CE3">
            <w:pPr>
              <w:pStyle w:val="TableBody"/>
            </w:pPr>
            <w:r>
              <w:t>Cyber Security Industry Working Group</w:t>
            </w:r>
          </w:p>
        </w:tc>
        <w:tc>
          <w:tcPr>
            <w:tcW w:w="2782" w:type="pct"/>
            <w:shd w:val="clear" w:color="auto" w:fill="auto"/>
            <w:hideMark/>
          </w:tcPr>
          <w:p w14:paraId="67E79200" w14:textId="77777777" w:rsidR="001A40B7" w:rsidRDefault="001A40B7" w:rsidP="00E65CE3">
            <w:pPr>
              <w:pStyle w:val="TableBody"/>
            </w:pPr>
            <w:r>
              <w:rPr>
                <w:b/>
                <w:bCs/>
              </w:rPr>
              <w:t>Australian Energy Sector Cyber Security Framework</w:t>
            </w:r>
            <w:r>
              <w:t xml:space="preserve"> (AESCSF) was developed with key industry and government stakeholders and leverages existing best practice standards for cyber security and safety, from Australia and overseas. The AESCSF incorporates the following Australian references: </w:t>
            </w:r>
          </w:p>
          <w:p w14:paraId="39D8EF27" w14:textId="77777777" w:rsidR="001A40B7" w:rsidRDefault="001A40B7" w:rsidP="00E65CE3">
            <w:pPr>
              <w:pStyle w:val="TableBullet"/>
              <w:rPr>
                <w:rFonts w:eastAsia="Calibri"/>
              </w:rPr>
            </w:pPr>
            <w:r>
              <w:rPr>
                <w:rFonts w:eastAsia="Calibri"/>
              </w:rPr>
              <w:t xml:space="preserve">ACSC Essential 8 Strategies to Mitigate Cyber Security Incidents; </w:t>
            </w:r>
          </w:p>
          <w:p w14:paraId="525B8D40" w14:textId="77777777" w:rsidR="001A40B7" w:rsidRDefault="001A40B7" w:rsidP="00E65CE3">
            <w:pPr>
              <w:pStyle w:val="TableBullet"/>
              <w:rPr>
                <w:rFonts w:eastAsia="Calibri"/>
              </w:rPr>
            </w:pPr>
            <w:r>
              <w:rPr>
                <w:rFonts w:eastAsia="Calibri"/>
              </w:rPr>
              <w:t xml:space="preserve">The Australian Privacy Principles; and </w:t>
            </w:r>
          </w:p>
          <w:p w14:paraId="1D46A12D" w14:textId="77777777" w:rsidR="001A40B7" w:rsidRDefault="001A40B7" w:rsidP="00E65CE3">
            <w:pPr>
              <w:pStyle w:val="TableBullet"/>
              <w:rPr>
                <w:rFonts w:eastAsia="Calibri"/>
              </w:rPr>
            </w:pPr>
            <w:r>
              <w:rPr>
                <w:rFonts w:eastAsia="Calibri"/>
              </w:rPr>
              <w:t xml:space="preserve">The Notifiable Data Breaches Scheme. </w:t>
            </w:r>
          </w:p>
        </w:tc>
      </w:tr>
      <w:tr w:rsidR="009C4855" w14:paraId="27C9366F" w14:textId="77777777" w:rsidTr="7EBB1CEE">
        <w:trPr>
          <w:gridAfter w:val="1"/>
          <w:wAfter w:w="12" w:type="pct"/>
        </w:trPr>
        <w:tc>
          <w:tcPr>
            <w:tcW w:w="684" w:type="pct"/>
            <w:vMerge/>
            <w:hideMark/>
          </w:tcPr>
          <w:p w14:paraId="1550DAF2" w14:textId="77777777" w:rsidR="001A40B7" w:rsidRDefault="001A40B7" w:rsidP="00E75CFA">
            <w:pPr>
              <w:keepNext/>
              <w:rPr>
                <w:rFonts w:ascii="Arial" w:eastAsia="Calibri" w:hAnsi="Arial" w:cs="Arial"/>
                <w:sz w:val="22"/>
              </w:rPr>
            </w:pPr>
          </w:p>
        </w:tc>
        <w:tc>
          <w:tcPr>
            <w:tcW w:w="1522" w:type="pct"/>
            <w:shd w:val="clear" w:color="auto" w:fill="auto"/>
            <w:hideMark/>
          </w:tcPr>
          <w:p w14:paraId="59EC3DEB" w14:textId="77777777" w:rsidR="001A40B7" w:rsidRDefault="001A40B7" w:rsidP="00E65CE3">
            <w:pPr>
              <w:pStyle w:val="TableBody"/>
            </w:pPr>
            <w:r>
              <w:t>National Institutes of Standards and Technology (NIST)</w:t>
            </w:r>
          </w:p>
        </w:tc>
        <w:tc>
          <w:tcPr>
            <w:tcW w:w="2782" w:type="pct"/>
            <w:shd w:val="clear" w:color="auto" w:fill="auto"/>
            <w:hideMark/>
          </w:tcPr>
          <w:p w14:paraId="57104F90" w14:textId="77777777" w:rsidR="001A40B7" w:rsidRPr="00E65CE3" w:rsidRDefault="001A40B7" w:rsidP="00E65CE3">
            <w:pPr>
              <w:pStyle w:val="TableBody"/>
              <w:rPr>
                <w:b/>
                <w:bCs/>
              </w:rPr>
            </w:pPr>
            <w:r w:rsidRPr="00E65CE3">
              <w:rPr>
                <w:b/>
                <w:bCs/>
              </w:rPr>
              <w:t>Cybersecurity Programs</w:t>
            </w:r>
          </w:p>
        </w:tc>
      </w:tr>
      <w:tr w:rsidR="009C4855" w14:paraId="1622ED6F" w14:textId="77777777" w:rsidTr="7EBB1CEE">
        <w:trPr>
          <w:gridAfter w:val="1"/>
          <w:wAfter w:w="12" w:type="pct"/>
        </w:trPr>
        <w:tc>
          <w:tcPr>
            <w:tcW w:w="684" w:type="pct"/>
            <w:vMerge/>
            <w:hideMark/>
          </w:tcPr>
          <w:p w14:paraId="6D3A021C" w14:textId="77777777" w:rsidR="001A40B7" w:rsidRDefault="001A40B7" w:rsidP="00E75CFA">
            <w:pPr>
              <w:keepNext/>
              <w:rPr>
                <w:rFonts w:ascii="Arial" w:eastAsia="Calibri" w:hAnsi="Arial" w:cs="Arial"/>
                <w:sz w:val="22"/>
              </w:rPr>
            </w:pPr>
          </w:p>
        </w:tc>
        <w:tc>
          <w:tcPr>
            <w:tcW w:w="1522" w:type="pct"/>
            <w:shd w:val="clear" w:color="auto" w:fill="auto"/>
            <w:hideMark/>
          </w:tcPr>
          <w:p w14:paraId="656FD871" w14:textId="48093E6A" w:rsidR="001A40B7" w:rsidRPr="00792DD0" w:rsidRDefault="001A40B7" w:rsidP="002F57EB">
            <w:pPr>
              <w:pStyle w:val="TableBody"/>
            </w:pPr>
            <w:r w:rsidRPr="00792DD0">
              <w:t>International Organi</w:t>
            </w:r>
            <w:r w:rsidR="002F57EB">
              <w:t>z</w:t>
            </w:r>
            <w:r w:rsidRPr="00792DD0">
              <w:t>ation for Standardi</w:t>
            </w:r>
            <w:r w:rsidR="002F57EB">
              <w:t>z</w:t>
            </w:r>
            <w:r w:rsidRPr="00792DD0">
              <w:t>ation (ISO)</w:t>
            </w:r>
          </w:p>
        </w:tc>
        <w:tc>
          <w:tcPr>
            <w:tcW w:w="2782" w:type="pct"/>
            <w:shd w:val="clear" w:color="auto" w:fill="auto"/>
          </w:tcPr>
          <w:p w14:paraId="42B0DD34" w14:textId="4120D739" w:rsidR="001A40B7" w:rsidRPr="00792DD0" w:rsidRDefault="001A40B7" w:rsidP="00792DD0">
            <w:pPr>
              <w:pStyle w:val="TableBody"/>
            </w:pPr>
            <w:r w:rsidRPr="0099456C">
              <w:rPr>
                <w:b/>
                <w:bCs/>
              </w:rPr>
              <w:t>ISO 27001</w:t>
            </w:r>
            <w:r w:rsidRPr="0099456C">
              <w:t xml:space="preserve"> provides requirements for information security management systems.</w:t>
            </w:r>
          </w:p>
        </w:tc>
      </w:tr>
      <w:tr w:rsidR="009C4855" w14:paraId="42DB43E4" w14:textId="77777777" w:rsidTr="7EBB1CEE">
        <w:trPr>
          <w:gridAfter w:val="1"/>
          <w:wAfter w:w="12" w:type="pct"/>
        </w:trPr>
        <w:tc>
          <w:tcPr>
            <w:tcW w:w="684" w:type="pct"/>
            <w:vMerge/>
            <w:hideMark/>
          </w:tcPr>
          <w:p w14:paraId="54FB711F" w14:textId="77777777" w:rsidR="001A40B7" w:rsidRDefault="001A40B7" w:rsidP="00E75CFA">
            <w:pPr>
              <w:keepNext/>
              <w:rPr>
                <w:rFonts w:ascii="Arial" w:eastAsia="Calibri" w:hAnsi="Arial" w:cs="Arial"/>
                <w:sz w:val="22"/>
              </w:rPr>
            </w:pPr>
          </w:p>
        </w:tc>
        <w:tc>
          <w:tcPr>
            <w:tcW w:w="1522" w:type="pct"/>
            <w:shd w:val="clear" w:color="auto" w:fill="auto"/>
            <w:hideMark/>
          </w:tcPr>
          <w:p w14:paraId="4D2F9C23" w14:textId="77777777" w:rsidR="001A40B7" w:rsidRPr="00792DD0" w:rsidRDefault="001A40B7" w:rsidP="00792DD0">
            <w:pPr>
              <w:pStyle w:val="TableBody"/>
            </w:pPr>
            <w:r w:rsidRPr="00792DD0">
              <w:t>United States Department of Energy</w:t>
            </w:r>
          </w:p>
        </w:tc>
        <w:tc>
          <w:tcPr>
            <w:tcW w:w="2782" w:type="pct"/>
            <w:shd w:val="clear" w:color="auto" w:fill="auto"/>
            <w:hideMark/>
          </w:tcPr>
          <w:p w14:paraId="3685B771" w14:textId="77777777" w:rsidR="001A40B7" w:rsidRPr="0099456C" w:rsidRDefault="001A40B7" w:rsidP="00792DD0">
            <w:pPr>
              <w:pStyle w:val="TableBody"/>
            </w:pPr>
            <w:r w:rsidRPr="0099456C">
              <w:rPr>
                <w:b/>
              </w:rPr>
              <w:t>Cybersecurity Capability Maturity Model (C2M2)</w:t>
            </w:r>
            <w:r w:rsidRPr="0099456C">
              <w:t xml:space="preserve"> was developed by the U.S. Department of Energy in conjunction with energy sector subject matter experts. It provides a voluntary evaluation process which allows entities to determine the maturity of their cyber security capabilities. The AESCSF is based upon this model.</w:t>
            </w:r>
          </w:p>
        </w:tc>
      </w:tr>
      <w:tr w:rsidR="009C4855" w14:paraId="3C2A57B6" w14:textId="77777777" w:rsidTr="7EBB1CEE">
        <w:trPr>
          <w:gridAfter w:val="1"/>
          <w:wAfter w:w="12" w:type="pct"/>
        </w:trPr>
        <w:tc>
          <w:tcPr>
            <w:tcW w:w="684" w:type="pct"/>
            <w:vMerge/>
            <w:hideMark/>
          </w:tcPr>
          <w:p w14:paraId="70C8537F" w14:textId="77777777" w:rsidR="001A40B7" w:rsidRDefault="001A40B7" w:rsidP="00E75CFA">
            <w:pPr>
              <w:keepNext/>
              <w:rPr>
                <w:rFonts w:ascii="Arial" w:eastAsia="Calibri" w:hAnsi="Arial" w:cs="Arial"/>
                <w:sz w:val="22"/>
              </w:rPr>
            </w:pPr>
          </w:p>
        </w:tc>
        <w:tc>
          <w:tcPr>
            <w:tcW w:w="1522" w:type="pct"/>
            <w:shd w:val="clear" w:color="auto" w:fill="auto"/>
            <w:hideMark/>
          </w:tcPr>
          <w:p w14:paraId="50382EE4" w14:textId="77777777" w:rsidR="001A40B7" w:rsidRPr="00792DD0" w:rsidRDefault="001A40B7" w:rsidP="00792DD0">
            <w:pPr>
              <w:pStyle w:val="TableBody"/>
            </w:pPr>
            <w:r w:rsidRPr="00792DD0">
              <w:t>ACSC</w:t>
            </w:r>
          </w:p>
        </w:tc>
        <w:tc>
          <w:tcPr>
            <w:tcW w:w="2782" w:type="pct"/>
            <w:shd w:val="clear" w:color="auto" w:fill="auto"/>
            <w:hideMark/>
          </w:tcPr>
          <w:p w14:paraId="166BAF22" w14:textId="77777777" w:rsidR="001A40B7" w:rsidRPr="0099456C" w:rsidRDefault="001A40B7" w:rsidP="00792DD0">
            <w:pPr>
              <w:pStyle w:val="TableBody"/>
            </w:pPr>
            <w:r w:rsidRPr="0099456C">
              <w:rPr>
                <w:b/>
              </w:rPr>
              <w:t>Essential Eight Maturity Model</w:t>
            </w:r>
            <w:r w:rsidRPr="0099456C">
              <w:t xml:space="preserve"> provides requirements to increase business resilience against cyber and information security hazards.</w:t>
            </w:r>
          </w:p>
        </w:tc>
      </w:tr>
    </w:tbl>
    <w:p w14:paraId="0930DC54" w14:textId="650A5A24" w:rsidR="00366716" w:rsidRDefault="00366716" w:rsidP="00366716">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259"/>
        <w:gridCol w:w="7379"/>
      </w:tblGrid>
      <w:tr w:rsidR="00366716" w:rsidRPr="00366716" w14:paraId="5D95DD8C" w14:textId="77777777" w:rsidTr="00366716">
        <w:trPr>
          <w:trHeight w:val="227"/>
        </w:trPr>
        <w:tc>
          <w:tcPr>
            <w:tcW w:w="1172" w:type="pct"/>
            <w:shd w:val="clear" w:color="auto" w:fill="034EA2" w:themeFill="accent1"/>
            <w:hideMark/>
          </w:tcPr>
          <w:p w14:paraId="115F9A13" w14:textId="77777777" w:rsidR="00366716" w:rsidRPr="00366716" w:rsidRDefault="00366716" w:rsidP="00366716">
            <w:pPr>
              <w:pStyle w:val="TableHeading"/>
            </w:pPr>
            <w:r w:rsidRPr="00366716">
              <w:t>Jurisdiction</w:t>
            </w:r>
          </w:p>
        </w:tc>
        <w:tc>
          <w:tcPr>
            <w:tcW w:w="3828" w:type="pct"/>
            <w:shd w:val="clear" w:color="auto" w:fill="034EA2" w:themeFill="accent1"/>
            <w:hideMark/>
          </w:tcPr>
          <w:p w14:paraId="1BA68054" w14:textId="77777777" w:rsidR="00366716" w:rsidRPr="00366716" w:rsidRDefault="00366716" w:rsidP="00366716">
            <w:pPr>
              <w:pStyle w:val="TableHeading"/>
            </w:pPr>
            <w:r w:rsidRPr="00366716">
              <w:t>Regulator/s</w:t>
            </w:r>
          </w:p>
        </w:tc>
      </w:tr>
      <w:tr w:rsidR="00366716" w14:paraId="661D2843" w14:textId="77777777" w:rsidTr="00366716">
        <w:trPr>
          <w:trHeight w:val="3189"/>
        </w:trPr>
        <w:tc>
          <w:tcPr>
            <w:tcW w:w="1172" w:type="pct"/>
            <w:shd w:val="clear" w:color="auto" w:fill="F2F2F2" w:themeFill="background1" w:themeFillShade="F2"/>
            <w:hideMark/>
          </w:tcPr>
          <w:p w14:paraId="59612531" w14:textId="77777777" w:rsidR="00366716" w:rsidRDefault="00366716" w:rsidP="00366716">
            <w:pPr>
              <w:rPr>
                <w:rFonts w:ascii="Arial" w:eastAsia="Calibri" w:hAnsi="Arial" w:cs="Arial"/>
              </w:rPr>
            </w:pPr>
            <w:r>
              <w:rPr>
                <w:rFonts w:ascii="Arial" w:eastAsia="Calibri" w:hAnsi="Arial" w:cs="Arial"/>
              </w:rPr>
              <w:t>Commonwealth</w:t>
            </w:r>
          </w:p>
        </w:tc>
        <w:tc>
          <w:tcPr>
            <w:tcW w:w="3828" w:type="pct"/>
            <w:shd w:val="clear" w:color="auto" w:fill="auto"/>
            <w:hideMark/>
          </w:tcPr>
          <w:p w14:paraId="7EDCA0C3" w14:textId="77777777" w:rsidR="00366716" w:rsidRDefault="00366716" w:rsidP="00366716">
            <w:pPr>
              <w:spacing w:after="80"/>
              <w:rPr>
                <w:rFonts w:ascii="Arial" w:eastAsia="Calibri" w:hAnsi="Arial" w:cs="Arial"/>
              </w:rPr>
            </w:pPr>
            <w:r>
              <w:rPr>
                <w:rFonts w:ascii="Arial" w:eastAsia="Calibri" w:hAnsi="Arial" w:cs="Arial"/>
              </w:rPr>
              <w:t xml:space="preserve">Australian Energy Regulator </w:t>
            </w:r>
          </w:p>
          <w:p w14:paraId="7110627B" w14:textId="77777777" w:rsidR="00366716" w:rsidRDefault="00366716" w:rsidP="00366716">
            <w:pPr>
              <w:spacing w:after="80"/>
              <w:rPr>
                <w:rFonts w:ascii="Arial" w:eastAsia="Calibri" w:hAnsi="Arial" w:cs="Arial"/>
              </w:rPr>
            </w:pPr>
            <w:r>
              <w:rPr>
                <w:rFonts w:ascii="Arial" w:eastAsia="Calibri" w:hAnsi="Arial" w:cs="Arial"/>
              </w:rPr>
              <w:t>(Responsible for regulating wholesale and retail energy markets and energy networks, under national energy legislation and rules. The AER sets network prices so that energy consumers pay no more than necessary for the safe and reliable delivery of electricity services, which includes setting the maximum amount of revenue which can be earned by electricity networks. The AER’s regulatory functions relate, in particular, to energy markets in eastern and southern Australia.)</w:t>
            </w:r>
          </w:p>
          <w:p w14:paraId="1C9EFC73" w14:textId="77777777" w:rsidR="00366716" w:rsidRDefault="00366716" w:rsidP="00366716">
            <w:pPr>
              <w:spacing w:after="80"/>
              <w:rPr>
                <w:rFonts w:ascii="Arial" w:eastAsia="Calibri" w:hAnsi="Arial" w:cs="Arial"/>
              </w:rPr>
            </w:pPr>
            <w:r>
              <w:rPr>
                <w:rFonts w:ascii="Arial" w:eastAsia="Calibri" w:hAnsi="Arial" w:cs="Arial"/>
              </w:rPr>
              <w:t xml:space="preserve">Australian Energy Market Operator </w:t>
            </w:r>
          </w:p>
          <w:p w14:paraId="1A4793AF" w14:textId="77777777" w:rsidR="00366716" w:rsidRDefault="00366716" w:rsidP="00366716">
            <w:pPr>
              <w:rPr>
                <w:rFonts w:ascii="Arial" w:eastAsia="Calibri" w:hAnsi="Arial" w:cs="Arial"/>
              </w:rPr>
            </w:pPr>
            <w:r>
              <w:rPr>
                <w:rFonts w:ascii="Arial" w:eastAsia="Calibri" w:hAnsi="Arial" w:cs="Arial"/>
              </w:rPr>
              <w:t xml:space="preserve">Energy Security Board </w:t>
            </w:r>
          </w:p>
          <w:p w14:paraId="46F95420" w14:textId="77777777" w:rsidR="00366716" w:rsidRDefault="00366716" w:rsidP="00366716">
            <w:pPr>
              <w:rPr>
                <w:rFonts w:ascii="Arial" w:eastAsia="Calibri" w:hAnsi="Arial" w:cs="Arial"/>
              </w:rPr>
            </w:pPr>
            <w:r>
              <w:rPr>
                <w:rFonts w:ascii="Arial" w:eastAsia="Calibri" w:hAnsi="Arial" w:cs="Arial"/>
              </w:rPr>
              <w:t>(Provides whole of system oversight on energy security and reliability.)</w:t>
            </w:r>
          </w:p>
        </w:tc>
      </w:tr>
      <w:tr w:rsidR="00366716" w14:paraId="2973FFAF" w14:textId="77777777" w:rsidTr="00366716">
        <w:trPr>
          <w:trHeight w:val="227"/>
        </w:trPr>
        <w:tc>
          <w:tcPr>
            <w:tcW w:w="1172" w:type="pct"/>
            <w:shd w:val="clear" w:color="auto" w:fill="F2F2F2" w:themeFill="background1" w:themeFillShade="F2"/>
            <w:hideMark/>
          </w:tcPr>
          <w:p w14:paraId="079E8DFA" w14:textId="77777777" w:rsidR="00366716" w:rsidRDefault="00366716" w:rsidP="00366716">
            <w:pPr>
              <w:rPr>
                <w:rFonts w:ascii="Arial" w:eastAsia="Calibri" w:hAnsi="Arial" w:cs="Arial"/>
              </w:rPr>
            </w:pPr>
            <w:r>
              <w:rPr>
                <w:rFonts w:ascii="Arial" w:eastAsia="Calibri" w:hAnsi="Arial" w:cs="Arial"/>
              </w:rPr>
              <w:t>Australian Capital Territory</w:t>
            </w:r>
          </w:p>
        </w:tc>
        <w:tc>
          <w:tcPr>
            <w:tcW w:w="3828" w:type="pct"/>
            <w:shd w:val="clear" w:color="auto" w:fill="auto"/>
            <w:hideMark/>
          </w:tcPr>
          <w:p w14:paraId="68B9580E" w14:textId="77777777" w:rsidR="00366716" w:rsidRDefault="00366716" w:rsidP="00366716">
            <w:pPr>
              <w:rPr>
                <w:rFonts w:ascii="Arial" w:eastAsia="Calibri" w:hAnsi="Arial" w:cs="Arial"/>
              </w:rPr>
            </w:pPr>
            <w:r>
              <w:rPr>
                <w:rFonts w:ascii="Arial" w:eastAsia="Calibri" w:hAnsi="Arial" w:cs="Arial"/>
              </w:rPr>
              <w:t xml:space="preserve">Independent Competition and Regulatory Commission </w:t>
            </w:r>
          </w:p>
        </w:tc>
      </w:tr>
      <w:tr w:rsidR="00366716" w14:paraId="03E3C266" w14:textId="77777777" w:rsidTr="00366716">
        <w:trPr>
          <w:trHeight w:val="454"/>
        </w:trPr>
        <w:tc>
          <w:tcPr>
            <w:tcW w:w="1172" w:type="pct"/>
            <w:shd w:val="clear" w:color="auto" w:fill="F2F2F2" w:themeFill="background1" w:themeFillShade="F2"/>
            <w:hideMark/>
          </w:tcPr>
          <w:p w14:paraId="622493F2" w14:textId="77777777" w:rsidR="00366716" w:rsidRDefault="00366716" w:rsidP="00366716">
            <w:pPr>
              <w:rPr>
                <w:rFonts w:ascii="Arial" w:eastAsia="Calibri" w:hAnsi="Arial" w:cs="Arial"/>
              </w:rPr>
            </w:pPr>
            <w:r>
              <w:rPr>
                <w:rFonts w:ascii="Arial" w:eastAsia="Calibri" w:hAnsi="Arial" w:cs="Arial"/>
              </w:rPr>
              <w:lastRenderedPageBreak/>
              <w:t>New South Wales</w:t>
            </w:r>
          </w:p>
        </w:tc>
        <w:tc>
          <w:tcPr>
            <w:tcW w:w="3828" w:type="pct"/>
            <w:shd w:val="clear" w:color="auto" w:fill="auto"/>
            <w:hideMark/>
          </w:tcPr>
          <w:p w14:paraId="304C8DAC" w14:textId="77777777" w:rsidR="00366716" w:rsidRDefault="00366716" w:rsidP="00366716">
            <w:pPr>
              <w:rPr>
                <w:rFonts w:ascii="Arial" w:eastAsia="Calibri" w:hAnsi="Arial" w:cs="Arial"/>
              </w:rPr>
            </w:pPr>
            <w:r>
              <w:rPr>
                <w:rFonts w:ascii="Arial" w:eastAsia="Calibri" w:hAnsi="Arial" w:cs="Arial"/>
              </w:rPr>
              <w:t>Independent Pricing and Regulatory Tribunal of New South Wales</w:t>
            </w:r>
          </w:p>
        </w:tc>
      </w:tr>
      <w:tr w:rsidR="00366716" w14:paraId="7D9A742C" w14:textId="77777777" w:rsidTr="00366716">
        <w:trPr>
          <w:trHeight w:val="227"/>
        </w:trPr>
        <w:tc>
          <w:tcPr>
            <w:tcW w:w="1172" w:type="pct"/>
            <w:shd w:val="clear" w:color="auto" w:fill="F2F2F2" w:themeFill="background1" w:themeFillShade="F2"/>
            <w:hideMark/>
          </w:tcPr>
          <w:p w14:paraId="53A57E66" w14:textId="77777777" w:rsidR="00366716" w:rsidRDefault="00366716" w:rsidP="00366716">
            <w:pPr>
              <w:rPr>
                <w:rFonts w:ascii="Arial" w:eastAsia="Calibri" w:hAnsi="Arial" w:cs="Arial"/>
              </w:rPr>
            </w:pPr>
            <w:r>
              <w:rPr>
                <w:rFonts w:ascii="Arial" w:eastAsia="Calibri" w:hAnsi="Arial" w:cs="Arial"/>
              </w:rPr>
              <w:t>Northern Territory</w:t>
            </w:r>
          </w:p>
        </w:tc>
        <w:tc>
          <w:tcPr>
            <w:tcW w:w="3828" w:type="pct"/>
            <w:shd w:val="clear" w:color="auto" w:fill="auto"/>
            <w:hideMark/>
          </w:tcPr>
          <w:p w14:paraId="0EEEE381" w14:textId="77777777" w:rsidR="00366716" w:rsidRDefault="00366716" w:rsidP="00366716">
            <w:pPr>
              <w:rPr>
                <w:rFonts w:ascii="Arial" w:eastAsia="Calibri" w:hAnsi="Arial" w:cs="Arial"/>
              </w:rPr>
            </w:pPr>
            <w:r>
              <w:rPr>
                <w:rFonts w:ascii="Arial" w:eastAsia="Calibri" w:hAnsi="Arial" w:cs="Arial"/>
              </w:rPr>
              <w:t xml:space="preserve">Utilities Commission of the Northern Territory </w:t>
            </w:r>
          </w:p>
        </w:tc>
      </w:tr>
      <w:tr w:rsidR="00366716" w14:paraId="1AFAE1F6" w14:textId="77777777" w:rsidTr="00366716">
        <w:trPr>
          <w:trHeight w:val="227"/>
        </w:trPr>
        <w:tc>
          <w:tcPr>
            <w:tcW w:w="1172" w:type="pct"/>
            <w:shd w:val="clear" w:color="auto" w:fill="F2F2F2" w:themeFill="background1" w:themeFillShade="F2"/>
            <w:hideMark/>
          </w:tcPr>
          <w:p w14:paraId="2967B18C" w14:textId="77777777" w:rsidR="00366716" w:rsidRDefault="00366716" w:rsidP="00366716">
            <w:pPr>
              <w:rPr>
                <w:rFonts w:ascii="Arial" w:eastAsia="Calibri" w:hAnsi="Arial" w:cs="Arial"/>
              </w:rPr>
            </w:pPr>
            <w:r>
              <w:rPr>
                <w:rFonts w:ascii="Arial" w:eastAsia="Calibri" w:hAnsi="Arial" w:cs="Arial"/>
              </w:rPr>
              <w:t>Queensland</w:t>
            </w:r>
          </w:p>
        </w:tc>
        <w:tc>
          <w:tcPr>
            <w:tcW w:w="3828" w:type="pct"/>
            <w:shd w:val="clear" w:color="auto" w:fill="auto"/>
            <w:hideMark/>
          </w:tcPr>
          <w:p w14:paraId="0A13218D" w14:textId="77777777" w:rsidR="00366716" w:rsidRDefault="00366716" w:rsidP="00366716">
            <w:pPr>
              <w:rPr>
                <w:rFonts w:ascii="Arial" w:eastAsia="Calibri" w:hAnsi="Arial" w:cs="Arial"/>
              </w:rPr>
            </w:pPr>
            <w:r>
              <w:rPr>
                <w:rFonts w:ascii="Arial" w:eastAsia="Calibri" w:hAnsi="Arial" w:cs="Arial"/>
              </w:rPr>
              <w:t>Department of Natural Resources, Mines and Energy</w:t>
            </w:r>
          </w:p>
        </w:tc>
      </w:tr>
      <w:tr w:rsidR="00366716" w14:paraId="57202818" w14:textId="77777777" w:rsidTr="00366716">
        <w:trPr>
          <w:trHeight w:val="227"/>
        </w:trPr>
        <w:tc>
          <w:tcPr>
            <w:tcW w:w="1172" w:type="pct"/>
            <w:shd w:val="clear" w:color="auto" w:fill="F2F2F2" w:themeFill="background1" w:themeFillShade="F2"/>
            <w:hideMark/>
          </w:tcPr>
          <w:p w14:paraId="25BB55A3" w14:textId="77777777" w:rsidR="00366716" w:rsidRDefault="00366716" w:rsidP="00366716">
            <w:pPr>
              <w:rPr>
                <w:rFonts w:ascii="Arial" w:eastAsia="Calibri" w:hAnsi="Arial" w:cs="Arial"/>
              </w:rPr>
            </w:pPr>
            <w:r>
              <w:rPr>
                <w:rFonts w:ascii="Arial" w:eastAsia="Calibri" w:hAnsi="Arial" w:cs="Arial"/>
              </w:rPr>
              <w:t>South Australia</w:t>
            </w:r>
          </w:p>
        </w:tc>
        <w:tc>
          <w:tcPr>
            <w:tcW w:w="3828" w:type="pct"/>
            <w:shd w:val="clear" w:color="auto" w:fill="auto"/>
            <w:hideMark/>
          </w:tcPr>
          <w:p w14:paraId="1ED11BB1" w14:textId="77777777" w:rsidR="00366716" w:rsidRDefault="00366716" w:rsidP="00366716">
            <w:pPr>
              <w:rPr>
                <w:rFonts w:ascii="Arial" w:eastAsia="Calibri" w:hAnsi="Arial" w:cs="Arial"/>
              </w:rPr>
            </w:pPr>
            <w:r>
              <w:rPr>
                <w:rFonts w:ascii="Arial" w:eastAsia="Calibri" w:hAnsi="Arial" w:cs="Arial"/>
              </w:rPr>
              <w:t xml:space="preserve">Office of the Technical Regulator </w:t>
            </w:r>
          </w:p>
        </w:tc>
      </w:tr>
      <w:tr w:rsidR="00366716" w14:paraId="0348D43F" w14:textId="77777777" w:rsidTr="00366716">
        <w:trPr>
          <w:trHeight w:val="227"/>
        </w:trPr>
        <w:tc>
          <w:tcPr>
            <w:tcW w:w="1172" w:type="pct"/>
            <w:shd w:val="clear" w:color="auto" w:fill="F2F2F2" w:themeFill="background1" w:themeFillShade="F2"/>
            <w:hideMark/>
          </w:tcPr>
          <w:p w14:paraId="07AF15E9" w14:textId="77777777" w:rsidR="00366716" w:rsidRDefault="00366716" w:rsidP="00366716">
            <w:pPr>
              <w:rPr>
                <w:rFonts w:ascii="Arial" w:eastAsia="Calibri" w:hAnsi="Arial" w:cs="Arial"/>
              </w:rPr>
            </w:pPr>
            <w:r>
              <w:rPr>
                <w:rFonts w:ascii="Arial" w:eastAsia="Calibri" w:hAnsi="Arial" w:cs="Arial"/>
              </w:rPr>
              <w:t>Tasmania</w:t>
            </w:r>
          </w:p>
        </w:tc>
        <w:tc>
          <w:tcPr>
            <w:tcW w:w="3828" w:type="pct"/>
            <w:shd w:val="clear" w:color="auto" w:fill="auto"/>
            <w:hideMark/>
          </w:tcPr>
          <w:p w14:paraId="62E8426A" w14:textId="77777777" w:rsidR="00366716" w:rsidRDefault="00366716" w:rsidP="00366716">
            <w:pPr>
              <w:rPr>
                <w:rFonts w:ascii="Arial" w:eastAsia="Calibri" w:hAnsi="Arial" w:cs="Arial"/>
              </w:rPr>
            </w:pPr>
            <w:r>
              <w:rPr>
                <w:rFonts w:ascii="Arial" w:eastAsia="Calibri" w:hAnsi="Arial" w:cs="Arial"/>
              </w:rPr>
              <w:t xml:space="preserve">Office of the Tasmanian Economic Regulator </w:t>
            </w:r>
          </w:p>
        </w:tc>
      </w:tr>
      <w:tr w:rsidR="00366716" w14:paraId="505A6B3F" w14:textId="77777777" w:rsidTr="00366716">
        <w:trPr>
          <w:trHeight w:val="227"/>
        </w:trPr>
        <w:tc>
          <w:tcPr>
            <w:tcW w:w="1172" w:type="pct"/>
            <w:shd w:val="clear" w:color="auto" w:fill="F2F2F2" w:themeFill="background1" w:themeFillShade="F2"/>
            <w:hideMark/>
          </w:tcPr>
          <w:p w14:paraId="1C033268" w14:textId="77777777" w:rsidR="00366716" w:rsidRDefault="00366716" w:rsidP="00366716">
            <w:pPr>
              <w:rPr>
                <w:rFonts w:ascii="Arial" w:eastAsia="Calibri" w:hAnsi="Arial" w:cs="Arial"/>
              </w:rPr>
            </w:pPr>
            <w:r>
              <w:rPr>
                <w:rFonts w:ascii="Arial" w:eastAsia="Calibri" w:hAnsi="Arial" w:cs="Arial"/>
              </w:rPr>
              <w:t>Victoria</w:t>
            </w:r>
          </w:p>
        </w:tc>
        <w:tc>
          <w:tcPr>
            <w:tcW w:w="3828" w:type="pct"/>
            <w:shd w:val="clear" w:color="auto" w:fill="auto"/>
            <w:hideMark/>
          </w:tcPr>
          <w:p w14:paraId="41B17821" w14:textId="77777777" w:rsidR="00366716" w:rsidRDefault="00366716" w:rsidP="00366716">
            <w:pPr>
              <w:rPr>
                <w:rFonts w:ascii="Arial" w:eastAsia="Calibri" w:hAnsi="Arial" w:cs="Arial"/>
              </w:rPr>
            </w:pPr>
            <w:r>
              <w:rPr>
                <w:rFonts w:ascii="Arial" w:eastAsia="Calibri" w:hAnsi="Arial" w:cs="Arial"/>
              </w:rPr>
              <w:t xml:space="preserve">Energy Safe Victoria </w:t>
            </w:r>
          </w:p>
        </w:tc>
      </w:tr>
      <w:tr w:rsidR="00366716" w14:paraId="042DD2D2" w14:textId="77777777" w:rsidTr="00366716">
        <w:trPr>
          <w:trHeight w:val="227"/>
        </w:trPr>
        <w:tc>
          <w:tcPr>
            <w:tcW w:w="1172" w:type="pct"/>
            <w:shd w:val="clear" w:color="auto" w:fill="F2F2F2" w:themeFill="background1" w:themeFillShade="F2"/>
            <w:hideMark/>
          </w:tcPr>
          <w:p w14:paraId="37D120E3" w14:textId="77777777" w:rsidR="00366716" w:rsidRDefault="00366716" w:rsidP="00366716">
            <w:pPr>
              <w:rPr>
                <w:rFonts w:ascii="Arial" w:eastAsia="Calibri" w:hAnsi="Arial" w:cs="Arial"/>
              </w:rPr>
            </w:pPr>
            <w:r>
              <w:rPr>
                <w:rFonts w:ascii="Arial" w:eastAsia="Calibri" w:hAnsi="Arial" w:cs="Arial"/>
              </w:rPr>
              <w:t>Western Australia</w:t>
            </w:r>
          </w:p>
        </w:tc>
        <w:tc>
          <w:tcPr>
            <w:tcW w:w="3828" w:type="pct"/>
            <w:shd w:val="clear" w:color="auto" w:fill="auto"/>
            <w:hideMark/>
          </w:tcPr>
          <w:p w14:paraId="6CE76580" w14:textId="77777777" w:rsidR="00366716" w:rsidRDefault="00366716" w:rsidP="00366716">
            <w:pPr>
              <w:rPr>
                <w:rFonts w:ascii="Arial" w:eastAsia="Calibri" w:hAnsi="Arial" w:cs="Arial"/>
              </w:rPr>
            </w:pPr>
            <w:r>
              <w:rPr>
                <w:rFonts w:ascii="Arial" w:eastAsia="Calibri" w:hAnsi="Arial" w:cs="Arial"/>
              </w:rPr>
              <w:t>Economic Regulation Authority of Western Australia</w:t>
            </w:r>
          </w:p>
        </w:tc>
      </w:tr>
    </w:tbl>
    <w:p w14:paraId="4D1DF57D" w14:textId="755CEBB0" w:rsidR="00366716" w:rsidRDefault="00366716" w:rsidP="00366716">
      <w:pPr>
        <w:pStyle w:val="BodyText"/>
      </w:pPr>
      <w:r>
        <w:br w:type="page"/>
      </w:r>
    </w:p>
    <w:p w14:paraId="39DAAC0D" w14:textId="32814B59" w:rsidR="00496681" w:rsidRDefault="00B15514" w:rsidP="00366716">
      <w:pPr>
        <w:pStyle w:val="AppendixH2"/>
      </w:pPr>
      <w:r>
        <w:lastRenderedPageBreak/>
        <w:t>Additional information on consultation</w:t>
      </w:r>
    </w:p>
    <w:p w14:paraId="15073D53" w14:textId="77777777" w:rsidR="002C39F4" w:rsidRPr="00366716" w:rsidRDefault="00496681" w:rsidP="00366716">
      <w:pPr>
        <w:pStyle w:val="BodyText"/>
      </w:pPr>
      <w:r>
        <w:t>The table b</w:t>
      </w:r>
      <w:r w:rsidR="002C39F4">
        <w:t xml:space="preserve">elow contains an overview of the stakeholder organisations </w:t>
      </w:r>
      <w:r w:rsidR="002C39F4" w:rsidRPr="00366716">
        <w:t xml:space="preserve">consulted. </w:t>
      </w:r>
    </w:p>
    <w:tbl>
      <w:tblPr>
        <w:tblStyle w:val="DHATable"/>
        <w:tblW w:w="9209" w:type="dxa"/>
        <w:tblBorders>
          <w:top w:val="none" w:sz="0" w:space="0" w:color="auto"/>
          <w:left w:val="none" w:sz="0" w:space="0" w:color="auto"/>
          <w:bottom w:val="none" w:sz="0" w:space="0" w:color="auto"/>
          <w:right w:val="none" w:sz="0" w:space="0" w:color="auto"/>
        </w:tblBorders>
        <w:tblLook w:val="0600" w:firstRow="0" w:lastRow="0" w:firstColumn="0" w:lastColumn="0" w:noHBand="1" w:noVBand="1"/>
      </w:tblPr>
      <w:tblGrid>
        <w:gridCol w:w="4491"/>
        <w:gridCol w:w="4718"/>
      </w:tblGrid>
      <w:tr w:rsidR="002C39F4" w14:paraId="0FFB2800" w14:textId="77777777" w:rsidTr="00B901E4">
        <w:tc>
          <w:tcPr>
            <w:tcW w:w="9209" w:type="dxa"/>
            <w:gridSpan w:val="2"/>
            <w:shd w:val="clear" w:color="auto" w:fill="034EA2" w:themeFill="accent1"/>
            <w:hideMark/>
          </w:tcPr>
          <w:p w14:paraId="0F4CCA57" w14:textId="77777777" w:rsidR="002C39F4" w:rsidRDefault="002C39F4" w:rsidP="00366716">
            <w:pPr>
              <w:pStyle w:val="TableHeading"/>
            </w:pPr>
            <w:r>
              <w:t xml:space="preserve">Stakeholders Consulted </w:t>
            </w:r>
          </w:p>
        </w:tc>
      </w:tr>
      <w:tr w:rsidR="002C39F4" w14:paraId="2208CBEC" w14:textId="77777777" w:rsidTr="7EBB1CEE">
        <w:tc>
          <w:tcPr>
            <w:tcW w:w="4491" w:type="dxa"/>
            <w:tcBorders>
              <w:bottom w:val="single" w:sz="4" w:space="0" w:color="BFBFBF" w:themeColor="background2" w:themeShade="BF"/>
            </w:tcBorders>
            <w:shd w:val="clear" w:color="auto" w:fill="auto"/>
            <w:hideMark/>
          </w:tcPr>
          <w:p w14:paraId="313A4AEA" w14:textId="77777777" w:rsidR="002C39F4" w:rsidRPr="009957FE" w:rsidRDefault="002C39F4" w:rsidP="00366716">
            <w:pPr>
              <w:pStyle w:val="TableBullet"/>
              <w:rPr>
                <w:rFonts w:eastAsia="Calibri"/>
              </w:rPr>
            </w:pPr>
            <w:r w:rsidRPr="009957FE">
              <w:rPr>
                <w:rFonts w:eastAsia="Calibri"/>
              </w:rPr>
              <w:t xml:space="preserve">ActewAGL </w:t>
            </w:r>
          </w:p>
          <w:p w14:paraId="2458AE5A" w14:textId="77777777" w:rsidR="002C39F4" w:rsidRPr="009957FE" w:rsidRDefault="002C39F4" w:rsidP="00366716">
            <w:pPr>
              <w:pStyle w:val="TableBullet"/>
              <w:rPr>
                <w:rFonts w:eastAsia="Calibri"/>
              </w:rPr>
            </w:pPr>
            <w:r w:rsidRPr="009957FE">
              <w:rPr>
                <w:rFonts w:eastAsia="Calibri"/>
              </w:rPr>
              <w:t>AGL</w:t>
            </w:r>
          </w:p>
          <w:p w14:paraId="79258723" w14:textId="77777777" w:rsidR="002C39F4" w:rsidRPr="009957FE" w:rsidRDefault="002C39F4" w:rsidP="00366716">
            <w:pPr>
              <w:pStyle w:val="TableBullet"/>
              <w:rPr>
                <w:rFonts w:eastAsia="Calibri"/>
              </w:rPr>
            </w:pPr>
            <w:r w:rsidRPr="009957FE">
              <w:rPr>
                <w:rFonts w:eastAsia="Calibri"/>
              </w:rPr>
              <w:t xml:space="preserve">AGL Energy Limited </w:t>
            </w:r>
          </w:p>
          <w:p w14:paraId="2FBE3EC1" w14:textId="77777777" w:rsidR="002C39F4" w:rsidRPr="009957FE" w:rsidRDefault="002C39F4" w:rsidP="00366716">
            <w:pPr>
              <w:pStyle w:val="TableBullet"/>
              <w:rPr>
                <w:rFonts w:eastAsia="Calibri"/>
              </w:rPr>
            </w:pPr>
            <w:r w:rsidRPr="009957FE">
              <w:rPr>
                <w:rFonts w:eastAsia="Calibri"/>
              </w:rPr>
              <w:t xml:space="preserve">Alinta Energy </w:t>
            </w:r>
          </w:p>
          <w:p w14:paraId="307A4177" w14:textId="77777777" w:rsidR="002C39F4" w:rsidRPr="009957FE" w:rsidRDefault="002C39F4" w:rsidP="00366716">
            <w:pPr>
              <w:pStyle w:val="TableBullet"/>
              <w:rPr>
                <w:rFonts w:eastAsia="Calibri"/>
              </w:rPr>
            </w:pPr>
            <w:r w:rsidRPr="009957FE">
              <w:rPr>
                <w:rFonts w:eastAsia="Calibri"/>
              </w:rPr>
              <w:t xml:space="preserve">ATCO </w:t>
            </w:r>
          </w:p>
          <w:p w14:paraId="5D2E336B" w14:textId="77777777" w:rsidR="002C39F4" w:rsidRPr="009957FE" w:rsidRDefault="002C39F4" w:rsidP="00366716">
            <w:pPr>
              <w:pStyle w:val="TableBullet"/>
              <w:rPr>
                <w:rFonts w:eastAsia="Calibri"/>
              </w:rPr>
            </w:pPr>
            <w:r w:rsidRPr="009957FE">
              <w:rPr>
                <w:rFonts w:eastAsia="Calibri"/>
              </w:rPr>
              <w:t xml:space="preserve">Ausgrid </w:t>
            </w:r>
          </w:p>
          <w:p w14:paraId="50776AC2" w14:textId="77777777" w:rsidR="002C39F4" w:rsidRPr="009957FE" w:rsidRDefault="002C39F4" w:rsidP="00366716">
            <w:pPr>
              <w:pStyle w:val="TableBullet"/>
              <w:rPr>
                <w:rFonts w:eastAsia="Calibri"/>
              </w:rPr>
            </w:pPr>
            <w:r w:rsidRPr="009957FE">
              <w:rPr>
                <w:rFonts w:eastAsia="Calibri"/>
              </w:rPr>
              <w:t xml:space="preserve">AusNet Services </w:t>
            </w:r>
          </w:p>
          <w:p w14:paraId="10477AFB" w14:textId="77777777" w:rsidR="002C39F4" w:rsidRPr="009957FE" w:rsidRDefault="002C39F4" w:rsidP="00366716">
            <w:pPr>
              <w:pStyle w:val="TableBullet"/>
              <w:rPr>
                <w:rFonts w:eastAsia="Calibri"/>
              </w:rPr>
            </w:pPr>
            <w:r w:rsidRPr="009957FE">
              <w:rPr>
                <w:rFonts w:eastAsia="Calibri"/>
              </w:rPr>
              <w:t>Australian Energy Council</w:t>
            </w:r>
          </w:p>
          <w:p w14:paraId="2145B53E" w14:textId="77777777" w:rsidR="002C39F4" w:rsidRPr="009957FE" w:rsidRDefault="002C39F4" w:rsidP="00366716">
            <w:pPr>
              <w:pStyle w:val="TableBullet"/>
              <w:rPr>
                <w:rFonts w:eastAsia="Calibri"/>
              </w:rPr>
            </w:pPr>
            <w:r w:rsidRPr="009957FE">
              <w:rPr>
                <w:rFonts w:eastAsia="Calibri"/>
              </w:rPr>
              <w:t>Australian Energy Market Operator (AEMO)</w:t>
            </w:r>
          </w:p>
          <w:p w14:paraId="0A46DEFF" w14:textId="77777777" w:rsidR="002C39F4" w:rsidRPr="009957FE" w:rsidRDefault="002C39F4" w:rsidP="00366716">
            <w:pPr>
              <w:pStyle w:val="TableBullet"/>
              <w:rPr>
                <w:rFonts w:eastAsia="Calibri"/>
              </w:rPr>
            </w:pPr>
            <w:r w:rsidRPr="009957FE">
              <w:rPr>
                <w:rFonts w:eastAsia="Calibri"/>
              </w:rPr>
              <w:t xml:space="preserve">Basslink </w:t>
            </w:r>
          </w:p>
          <w:p w14:paraId="5BE59D73" w14:textId="77777777" w:rsidR="002C39F4" w:rsidRPr="009957FE" w:rsidRDefault="002C39F4" w:rsidP="00366716">
            <w:pPr>
              <w:pStyle w:val="TableBullet"/>
              <w:rPr>
                <w:rFonts w:eastAsia="Calibri"/>
              </w:rPr>
            </w:pPr>
            <w:r w:rsidRPr="009957FE">
              <w:rPr>
                <w:rFonts w:eastAsia="Calibri"/>
              </w:rPr>
              <w:t xml:space="preserve">Caltex </w:t>
            </w:r>
          </w:p>
          <w:p w14:paraId="12D62331" w14:textId="77777777" w:rsidR="002C39F4" w:rsidRPr="009957FE" w:rsidRDefault="002C39F4" w:rsidP="00366716">
            <w:pPr>
              <w:pStyle w:val="TableBullet"/>
              <w:rPr>
                <w:rFonts w:eastAsia="Calibri"/>
              </w:rPr>
            </w:pPr>
            <w:r w:rsidRPr="009957FE">
              <w:rPr>
                <w:rFonts w:eastAsia="Calibri"/>
              </w:rPr>
              <w:t xml:space="preserve">Chamber of Minerals and Energy of Western Australian </w:t>
            </w:r>
          </w:p>
          <w:p w14:paraId="3C10BD2F" w14:textId="77777777" w:rsidR="002C39F4" w:rsidRPr="009957FE" w:rsidRDefault="002C39F4" w:rsidP="00366716">
            <w:pPr>
              <w:pStyle w:val="TableBullet"/>
              <w:rPr>
                <w:rFonts w:eastAsia="Calibri"/>
              </w:rPr>
            </w:pPr>
            <w:r w:rsidRPr="009957FE">
              <w:rPr>
                <w:rFonts w:eastAsia="Calibri"/>
              </w:rPr>
              <w:t xml:space="preserve">CitiPower Powercor United Energy </w:t>
            </w:r>
          </w:p>
          <w:p w14:paraId="69367842" w14:textId="77777777" w:rsidR="002C39F4" w:rsidRPr="009957FE" w:rsidRDefault="002C39F4" w:rsidP="00366716">
            <w:pPr>
              <w:pStyle w:val="TableBullet"/>
              <w:rPr>
                <w:rFonts w:eastAsia="Calibri"/>
              </w:rPr>
            </w:pPr>
            <w:r w:rsidRPr="009957FE">
              <w:rPr>
                <w:rFonts w:eastAsia="Calibri"/>
              </w:rPr>
              <w:t xml:space="preserve">Claroty </w:t>
            </w:r>
          </w:p>
          <w:p w14:paraId="69B0610D" w14:textId="77777777" w:rsidR="002C39F4" w:rsidRPr="009957FE" w:rsidRDefault="002C39F4" w:rsidP="00366716">
            <w:pPr>
              <w:pStyle w:val="TableBullet"/>
              <w:rPr>
                <w:rFonts w:eastAsia="Calibri"/>
              </w:rPr>
            </w:pPr>
            <w:r w:rsidRPr="009957FE">
              <w:rPr>
                <w:rFonts w:eastAsia="Calibri"/>
              </w:rPr>
              <w:t xml:space="preserve">Clean Energy Council </w:t>
            </w:r>
          </w:p>
          <w:p w14:paraId="2E883133" w14:textId="77777777" w:rsidR="002C39F4" w:rsidRPr="009957FE" w:rsidRDefault="002C39F4" w:rsidP="00366716">
            <w:pPr>
              <w:pStyle w:val="TableBullet"/>
              <w:rPr>
                <w:rFonts w:eastAsia="Calibri"/>
              </w:rPr>
            </w:pPr>
            <w:r w:rsidRPr="009957FE">
              <w:rPr>
                <w:rFonts w:eastAsia="Calibri"/>
              </w:rPr>
              <w:t xml:space="preserve">Clean Energy Investor Group </w:t>
            </w:r>
          </w:p>
          <w:p w14:paraId="39D44692" w14:textId="77777777" w:rsidR="002C39F4" w:rsidRPr="009957FE" w:rsidRDefault="002C39F4" w:rsidP="00366716">
            <w:pPr>
              <w:pStyle w:val="TableBullet"/>
              <w:rPr>
                <w:rFonts w:eastAsia="Calibri"/>
              </w:rPr>
            </w:pPr>
            <w:r w:rsidRPr="009957FE">
              <w:rPr>
                <w:rFonts w:eastAsia="Calibri"/>
              </w:rPr>
              <w:t xml:space="preserve">CleanCo Qld </w:t>
            </w:r>
          </w:p>
          <w:p w14:paraId="1FA42F19" w14:textId="77777777" w:rsidR="002C39F4" w:rsidRPr="009957FE" w:rsidRDefault="002C39F4" w:rsidP="00366716">
            <w:pPr>
              <w:pStyle w:val="TableBullet"/>
              <w:rPr>
                <w:rFonts w:eastAsia="Calibri"/>
              </w:rPr>
            </w:pPr>
            <w:r w:rsidRPr="009957FE">
              <w:rPr>
                <w:rFonts w:eastAsia="Calibri"/>
              </w:rPr>
              <w:t xml:space="preserve">Clough </w:t>
            </w:r>
          </w:p>
          <w:p w14:paraId="78AFA6AC" w14:textId="77777777" w:rsidR="002C39F4" w:rsidRPr="009957FE" w:rsidRDefault="002C39F4" w:rsidP="00366716">
            <w:pPr>
              <w:pStyle w:val="TableBullet"/>
              <w:rPr>
                <w:rFonts w:eastAsia="Calibri"/>
              </w:rPr>
            </w:pPr>
            <w:r w:rsidRPr="009957FE">
              <w:rPr>
                <w:rFonts w:eastAsia="Calibri"/>
              </w:rPr>
              <w:t xml:space="preserve">Delta Electricity </w:t>
            </w:r>
          </w:p>
          <w:p w14:paraId="059A1777" w14:textId="77777777" w:rsidR="002C39F4" w:rsidRPr="009957FE" w:rsidRDefault="002C39F4" w:rsidP="00366716">
            <w:pPr>
              <w:pStyle w:val="TableBullet"/>
              <w:rPr>
                <w:rFonts w:eastAsia="Calibri"/>
              </w:rPr>
            </w:pPr>
            <w:r w:rsidRPr="009957FE">
              <w:rPr>
                <w:rFonts w:eastAsia="Calibri"/>
              </w:rPr>
              <w:t xml:space="preserve">Diamond Offshore Drilling Inc. </w:t>
            </w:r>
          </w:p>
          <w:p w14:paraId="0382D0D4" w14:textId="77777777" w:rsidR="002C39F4" w:rsidRPr="009957FE" w:rsidRDefault="002C39F4" w:rsidP="00366716">
            <w:pPr>
              <w:pStyle w:val="TableBullet"/>
              <w:rPr>
                <w:rFonts w:eastAsia="Calibri"/>
              </w:rPr>
            </w:pPr>
            <w:r w:rsidRPr="009957FE">
              <w:rPr>
                <w:rFonts w:eastAsia="Calibri"/>
              </w:rPr>
              <w:t xml:space="preserve">ElectraNet </w:t>
            </w:r>
          </w:p>
          <w:p w14:paraId="4C920904" w14:textId="77777777" w:rsidR="002C39F4" w:rsidRPr="009957FE" w:rsidRDefault="002C39F4" w:rsidP="00366716">
            <w:pPr>
              <w:pStyle w:val="TableBullet"/>
              <w:rPr>
                <w:rFonts w:eastAsia="Calibri"/>
              </w:rPr>
            </w:pPr>
            <w:r w:rsidRPr="009957FE">
              <w:rPr>
                <w:rFonts w:eastAsia="Calibri"/>
              </w:rPr>
              <w:t xml:space="preserve">Endeavour Energy </w:t>
            </w:r>
          </w:p>
          <w:p w14:paraId="1970BA8B" w14:textId="77777777" w:rsidR="002C39F4" w:rsidRPr="009957FE" w:rsidRDefault="002C39F4" w:rsidP="00366716">
            <w:pPr>
              <w:pStyle w:val="TableBullet"/>
              <w:rPr>
                <w:rFonts w:eastAsia="Calibri"/>
              </w:rPr>
            </w:pPr>
            <w:r w:rsidRPr="009957FE">
              <w:rPr>
                <w:rFonts w:eastAsia="Calibri"/>
              </w:rPr>
              <w:t xml:space="preserve">Energy Australia </w:t>
            </w:r>
          </w:p>
          <w:p w14:paraId="14B1230B" w14:textId="77777777" w:rsidR="002C39F4" w:rsidRPr="009957FE" w:rsidRDefault="002C39F4" w:rsidP="00366716">
            <w:pPr>
              <w:pStyle w:val="TableBullet"/>
              <w:rPr>
                <w:rFonts w:eastAsia="Calibri"/>
              </w:rPr>
            </w:pPr>
            <w:r w:rsidRPr="009957FE">
              <w:rPr>
                <w:rFonts w:eastAsia="Calibri"/>
              </w:rPr>
              <w:t xml:space="preserve">Energy Networks Australia </w:t>
            </w:r>
          </w:p>
          <w:p w14:paraId="6A9A077A" w14:textId="77777777" w:rsidR="002C39F4" w:rsidRPr="009957FE" w:rsidRDefault="002C39F4" w:rsidP="00366716">
            <w:pPr>
              <w:pStyle w:val="TableBullet"/>
              <w:rPr>
                <w:rFonts w:eastAsia="Calibri"/>
              </w:rPr>
            </w:pPr>
            <w:r w:rsidRPr="009957FE">
              <w:rPr>
                <w:rFonts w:eastAsia="Calibri"/>
              </w:rPr>
              <w:t xml:space="preserve">Energy Queensland Limited </w:t>
            </w:r>
          </w:p>
          <w:p w14:paraId="321DD326" w14:textId="77777777" w:rsidR="002C39F4" w:rsidRPr="009957FE" w:rsidRDefault="002C39F4" w:rsidP="00366716">
            <w:pPr>
              <w:pStyle w:val="TableBullet"/>
              <w:rPr>
                <w:rFonts w:eastAsia="Calibri"/>
              </w:rPr>
            </w:pPr>
            <w:r w:rsidRPr="009957FE">
              <w:rPr>
                <w:rFonts w:eastAsia="Calibri"/>
              </w:rPr>
              <w:t xml:space="preserve">Energy Users Association of Australia </w:t>
            </w:r>
          </w:p>
          <w:p w14:paraId="3D3A2E00" w14:textId="77777777" w:rsidR="002C39F4" w:rsidRPr="009957FE" w:rsidRDefault="002C39F4" w:rsidP="00366716">
            <w:pPr>
              <w:pStyle w:val="TableBullet"/>
              <w:rPr>
                <w:rFonts w:eastAsia="Calibri"/>
              </w:rPr>
            </w:pPr>
            <w:r w:rsidRPr="009957FE">
              <w:rPr>
                <w:rFonts w:eastAsia="Calibri"/>
              </w:rPr>
              <w:t xml:space="preserve">Engie </w:t>
            </w:r>
          </w:p>
          <w:p w14:paraId="7C037DA1" w14:textId="77777777" w:rsidR="002C39F4" w:rsidRPr="009957FE" w:rsidRDefault="002C39F4" w:rsidP="00366716">
            <w:pPr>
              <w:pStyle w:val="TableBullet"/>
              <w:rPr>
                <w:rFonts w:eastAsia="Calibri"/>
              </w:rPr>
            </w:pPr>
            <w:r w:rsidRPr="009957FE">
              <w:rPr>
                <w:rFonts w:eastAsia="Calibri"/>
              </w:rPr>
              <w:t xml:space="preserve">Eni Australia Limited </w:t>
            </w:r>
          </w:p>
          <w:p w14:paraId="2CF77C34" w14:textId="77777777" w:rsidR="002C39F4" w:rsidRPr="009957FE" w:rsidRDefault="002C39F4" w:rsidP="00366716">
            <w:pPr>
              <w:pStyle w:val="TableBullet"/>
              <w:rPr>
                <w:rFonts w:eastAsia="Calibri"/>
              </w:rPr>
            </w:pPr>
            <w:r w:rsidRPr="009957FE">
              <w:rPr>
                <w:rFonts w:eastAsia="Calibri"/>
              </w:rPr>
              <w:t xml:space="preserve">Epic Energy </w:t>
            </w:r>
          </w:p>
          <w:p w14:paraId="2D64B454" w14:textId="77777777" w:rsidR="002C39F4" w:rsidRPr="009957FE" w:rsidRDefault="002C39F4" w:rsidP="00366716">
            <w:pPr>
              <w:pStyle w:val="TableBullet"/>
              <w:rPr>
                <w:rFonts w:eastAsia="Calibri"/>
              </w:rPr>
            </w:pPr>
            <w:r w:rsidRPr="009957FE">
              <w:rPr>
                <w:rFonts w:eastAsia="Calibri"/>
              </w:rPr>
              <w:t>Equinor Asia Pacific Pty Ltd</w:t>
            </w:r>
          </w:p>
          <w:p w14:paraId="0B66C167" w14:textId="77777777" w:rsidR="002C39F4" w:rsidRPr="009957FE" w:rsidRDefault="002C39F4" w:rsidP="00366716">
            <w:pPr>
              <w:pStyle w:val="TableBullet"/>
              <w:rPr>
                <w:rFonts w:eastAsia="Calibri"/>
              </w:rPr>
            </w:pPr>
            <w:r w:rsidRPr="009957FE">
              <w:rPr>
                <w:rFonts w:eastAsia="Calibri"/>
              </w:rPr>
              <w:t>Essential Energy</w:t>
            </w:r>
          </w:p>
          <w:p w14:paraId="00163974" w14:textId="77777777" w:rsidR="002C39F4" w:rsidRPr="009957FE" w:rsidRDefault="002C39F4" w:rsidP="00366716">
            <w:pPr>
              <w:pStyle w:val="TableBullet"/>
              <w:rPr>
                <w:rFonts w:eastAsia="Calibri"/>
              </w:rPr>
            </w:pPr>
            <w:r w:rsidRPr="009957FE">
              <w:rPr>
                <w:rFonts w:eastAsia="Calibri"/>
              </w:rPr>
              <w:t xml:space="preserve">Evoenergy </w:t>
            </w:r>
          </w:p>
          <w:p w14:paraId="6FA6D0FC" w14:textId="77777777" w:rsidR="002C39F4" w:rsidRPr="009957FE" w:rsidRDefault="002C39F4" w:rsidP="00366716">
            <w:pPr>
              <w:pStyle w:val="TableBullet"/>
              <w:rPr>
                <w:rFonts w:eastAsia="Calibri"/>
              </w:rPr>
            </w:pPr>
            <w:r w:rsidRPr="009957FE">
              <w:rPr>
                <w:rFonts w:eastAsia="Calibri"/>
              </w:rPr>
              <w:t xml:space="preserve">GE </w:t>
            </w:r>
          </w:p>
          <w:p w14:paraId="6DAC3614" w14:textId="77777777" w:rsidR="002C39F4" w:rsidRPr="009957FE" w:rsidRDefault="002C39F4" w:rsidP="00366716">
            <w:pPr>
              <w:pStyle w:val="TableBullet"/>
              <w:rPr>
                <w:rFonts w:eastAsia="Calibri"/>
              </w:rPr>
            </w:pPr>
            <w:r w:rsidRPr="009957FE">
              <w:rPr>
                <w:rFonts w:eastAsia="Calibri"/>
              </w:rPr>
              <w:t xml:space="preserve">Hydro Tasmania </w:t>
            </w:r>
          </w:p>
          <w:p w14:paraId="02A37F5A" w14:textId="77777777" w:rsidR="002C39F4" w:rsidRPr="00FD1A48" w:rsidRDefault="002C39F4" w:rsidP="00366716">
            <w:pPr>
              <w:pStyle w:val="TableBullet"/>
              <w:rPr>
                <w:rFonts w:eastAsia="Calibri"/>
              </w:rPr>
            </w:pPr>
            <w:r w:rsidRPr="009957FE">
              <w:rPr>
                <w:rFonts w:eastAsia="Calibri"/>
              </w:rPr>
              <w:t>Incitec Pivot</w:t>
            </w:r>
            <w:r w:rsidRPr="00FD1A48">
              <w:rPr>
                <w:rFonts w:eastAsia="Calibri"/>
              </w:rPr>
              <w:t xml:space="preserve"> </w:t>
            </w:r>
          </w:p>
        </w:tc>
        <w:tc>
          <w:tcPr>
            <w:tcW w:w="4718" w:type="dxa"/>
            <w:tcBorders>
              <w:bottom w:val="single" w:sz="4" w:space="0" w:color="BFBFBF" w:themeColor="background2" w:themeShade="BF"/>
            </w:tcBorders>
            <w:shd w:val="clear" w:color="auto" w:fill="auto"/>
            <w:hideMark/>
          </w:tcPr>
          <w:p w14:paraId="55594A54" w14:textId="77777777" w:rsidR="002C39F4" w:rsidRDefault="002C39F4" w:rsidP="00366716">
            <w:pPr>
              <w:pStyle w:val="TableBullet"/>
              <w:rPr>
                <w:rFonts w:eastAsia="Calibri"/>
              </w:rPr>
            </w:pPr>
            <w:r>
              <w:rPr>
                <w:rFonts w:eastAsia="Calibri"/>
              </w:rPr>
              <w:t xml:space="preserve">INPEX Australia </w:t>
            </w:r>
          </w:p>
          <w:p w14:paraId="5D855FEB" w14:textId="77777777" w:rsidR="002C39F4" w:rsidRDefault="002C39F4" w:rsidP="00366716">
            <w:pPr>
              <w:pStyle w:val="TableBullet"/>
              <w:rPr>
                <w:rFonts w:eastAsia="Calibri"/>
              </w:rPr>
            </w:pPr>
            <w:r>
              <w:rPr>
                <w:rFonts w:eastAsia="Calibri"/>
              </w:rPr>
              <w:t xml:space="preserve">Jemena Energy </w:t>
            </w:r>
          </w:p>
          <w:p w14:paraId="60BD9E53" w14:textId="77777777" w:rsidR="002C39F4" w:rsidRDefault="002C39F4" w:rsidP="00366716">
            <w:pPr>
              <w:pStyle w:val="TableBullet"/>
              <w:rPr>
                <w:rFonts w:eastAsia="Calibri"/>
              </w:rPr>
            </w:pPr>
            <w:r>
              <w:rPr>
                <w:rFonts w:eastAsia="Calibri"/>
              </w:rPr>
              <w:t xml:space="preserve">Kompression Communications </w:t>
            </w:r>
          </w:p>
          <w:p w14:paraId="656FBBD4" w14:textId="77777777" w:rsidR="002C39F4" w:rsidRDefault="002C39F4" w:rsidP="00366716">
            <w:pPr>
              <w:pStyle w:val="TableBullet"/>
              <w:rPr>
                <w:rFonts w:eastAsia="Calibri"/>
              </w:rPr>
            </w:pPr>
            <w:r>
              <w:rPr>
                <w:rFonts w:eastAsia="Calibri"/>
              </w:rPr>
              <w:t xml:space="preserve">Kwinana Cogeneration Plant – IPM Operation &amp; Maintenance </w:t>
            </w:r>
          </w:p>
          <w:p w14:paraId="0A85A084" w14:textId="77777777" w:rsidR="002C39F4" w:rsidRDefault="002C39F4" w:rsidP="00366716">
            <w:pPr>
              <w:pStyle w:val="TableBullet"/>
              <w:rPr>
                <w:rFonts w:eastAsia="Calibri"/>
              </w:rPr>
            </w:pPr>
            <w:r>
              <w:rPr>
                <w:rFonts w:eastAsia="Calibri"/>
              </w:rPr>
              <w:t xml:space="preserve">Loy Yang Power Station </w:t>
            </w:r>
          </w:p>
          <w:p w14:paraId="436B9C07" w14:textId="77777777" w:rsidR="002C39F4" w:rsidRDefault="002C39F4" w:rsidP="00366716">
            <w:pPr>
              <w:pStyle w:val="TableBullet"/>
              <w:rPr>
                <w:rFonts w:eastAsia="Calibri"/>
              </w:rPr>
            </w:pPr>
            <w:r>
              <w:rPr>
                <w:rFonts w:eastAsia="Calibri"/>
              </w:rPr>
              <w:t xml:space="preserve">Meridian Energy Australia </w:t>
            </w:r>
          </w:p>
          <w:p w14:paraId="124D9B9A" w14:textId="77777777" w:rsidR="002C39F4" w:rsidRDefault="002C39F4" w:rsidP="00366716">
            <w:pPr>
              <w:pStyle w:val="TableBullet"/>
              <w:rPr>
                <w:rFonts w:eastAsia="Calibri"/>
              </w:rPr>
            </w:pPr>
            <w:r>
              <w:rPr>
                <w:rFonts w:eastAsia="Calibri"/>
              </w:rPr>
              <w:t xml:space="preserve">MODEC Management Services Pty Ltd </w:t>
            </w:r>
          </w:p>
          <w:p w14:paraId="46571B5E" w14:textId="77777777" w:rsidR="002C39F4" w:rsidRDefault="002C39F4" w:rsidP="00366716">
            <w:pPr>
              <w:pStyle w:val="TableBullet"/>
              <w:rPr>
                <w:rFonts w:eastAsia="Calibri"/>
              </w:rPr>
            </w:pPr>
            <w:r>
              <w:rPr>
                <w:rFonts w:eastAsia="Calibri"/>
              </w:rPr>
              <w:t xml:space="preserve">NRF </w:t>
            </w:r>
          </w:p>
          <w:p w14:paraId="16C1B660" w14:textId="77777777" w:rsidR="002C39F4" w:rsidRDefault="002C39F4" w:rsidP="00366716">
            <w:pPr>
              <w:pStyle w:val="TableBullet"/>
              <w:rPr>
                <w:rFonts w:eastAsia="Calibri"/>
              </w:rPr>
            </w:pPr>
            <w:r>
              <w:rPr>
                <w:rFonts w:eastAsia="Calibri"/>
              </w:rPr>
              <w:t xml:space="preserve">NRG GOS Power Gladstone </w:t>
            </w:r>
          </w:p>
          <w:p w14:paraId="207E3075" w14:textId="77777777" w:rsidR="002C39F4" w:rsidRDefault="002C39F4" w:rsidP="00366716">
            <w:pPr>
              <w:pStyle w:val="TableBullet"/>
              <w:rPr>
                <w:rFonts w:eastAsia="Calibri"/>
              </w:rPr>
            </w:pPr>
            <w:r>
              <w:rPr>
                <w:rFonts w:eastAsia="Calibri"/>
              </w:rPr>
              <w:t xml:space="preserve">NT Power and Water </w:t>
            </w:r>
          </w:p>
          <w:p w14:paraId="2415B918" w14:textId="77777777" w:rsidR="002C39F4" w:rsidRDefault="002C39F4" w:rsidP="00366716">
            <w:pPr>
              <w:pStyle w:val="TableBullet"/>
              <w:rPr>
                <w:rFonts w:eastAsia="Calibri"/>
              </w:rPr>
            </w:pPr>
            <w:r>
              <w:rPr>
                <w:rFonts w:eastAsia="Calibri"/>
              </w:rPr>
              <w:t xml:space="preserve">Oranj </w:t>
            </w:r>
          </w:p>
          <w:p w14:paraId="706A9739" w14:textId="77777777" w:rsidR="002C39F4" w:rsidRDefault="002C39F4" w:rsidP="00366716">
            <w:pPr>
              <w:pStyle w:val="TableBullet"/>
              <w:rPr>
                <w:rFonts w:eastAsia="Calibri"/>
              </w:rPr>
            </w:pPr>
            <w:r>
              <w:rPr>
                <w:rFonts w:eastAsia="Calibri"/>
              </w:rPr>
              <w:t xml:space="preserve">Origin Energy </w:t>
            </w:r>
          </w:p>
          <w:p w14:paraId="443846D0" w14:textId="77777777" w:rsidR="002C39F4" w:rsidRDefault="002C39F4" w:rsidP="00366716">
            <w:pPr>
              <w:pStyle w:val="TableBullet"/>
              <w:rPr>
                <w:rFonts w:eastAsia="Calibri"/>
              </w:rPr>
            </w:pPr>
            <w:r>
              <w:rPr>
                <w:rFonts w:eastAsia="Calibri"/>
              </w:rPr>
              <w:t xml:space="preserve">Pacific Hydro </w:t>
            </w:r>
          </w:p>
          <w:p w14:paraId="3E0182FD" w14:textId="77777777" w:rsidR="002C39F4" w:rsidRDefault="002C39F4" w:rsidP="00366716">
            <w:pPr>
              <w:pStyle w:val="TableBullet"/>
              <w:rPr>
                <w:rFonts w:eastAsia="Calibri"/>
              </w:rPr>
            </w:pPr>
            <w:r>
              <w:rPr>
                <w:rFonts w:eastAsia="Calibri"/>
              </w:rPr>
              <w:t xml:space="preserve">Palisade Integrated Management Services Pty Ltd </w:t>
            </w:r>
          </w:p>
          <w:p w14:paraId="5B0AED30" w14:textId="77777777" w:rsidR="002C39F4" w:rsidRDefault="002C39F4" w:rsidP="00366716">
            <w:pPr>
              <w:pStyle w:val="TableBullet"/>
              <w:rPr>
                <w:rFonts w:eastAsia="Calibri"/>
              </w:rPr>
            </w:pPr>
            <w:r>
              <w:rPr>
                <w:rFonts w:eastAsia="Calibri"/>
              </w:rPr>
              <w:t xml:space="preserve">Power and Water Corporation </w:t>
            </w:r>
          </w:p>
          <w:p w14:paraId="4D3A3D01" w14:textId="77777777" w:rsidR="002C39F4" w:rsidRDefault="002C39F4" w:rsidP="00366716">
            <w:pPr>
              <w:pStyle w:val="TableBullet"/>
              <w:rPr>
                <w:rFonts w:eastAsia="Calibri"/>
              </w:rPr>
            </w:pPr>
            <w:r>
              <w:rPr>
                <w:rFonts w:eastAsia="Calibri"/>
              </w:rPr>
              <w:t xml:space="preserve">PowerCor </w:t>
            </w:r>
          </w:p>
          <w:p w14:paraId="4E431EC9" w14:textId="77777777" w:rsidR="002C39F4" w:rsidRDefault="002C39F4" w:rsidP="00366716">
            <w:pPr>
              <w:pStyle w:val="TableBullet"/>
              <w:rPr>
                <w:rFonts w:eastAsia="Calibri"/>
              </w:rPr>
            </w:pPr>
            <w:r>
              <w:rPr>
                <w:rFonts w:eastAsia="Calibri"/>
              </w:rPr>
              <w:t xml:space="preserve">Powerlink Queensland </w:t>
            </w:r>
          </w:p>
          <w:p w14:paraId="0000F38B" w14:textId="77777777" w:rsidR="002C39F4" w:rsidRDefault="002C39F4" w:rsidP="00366716">
            <w:pPr>
              <w:pStyle w:val="TableBullet"/>
              <w:rPr>
                <w:rFonts w:eastAsia="Calibri"/>
              </w:rPr>
            </w:pPr>
            <w:r>
              <w:rPr>
                <w:rFonts w:eastAsia="Calibri"/>
              </w:rPr>
              <w:t xml:space="preserve">SA Power Networks </w:t>
            </w:r>
          </w:p>
          <w:p w14:paraId="3F8BCBE6" w14:textId="77777777" w:rsidR="002C39F4" w:rsidRDefault="002C39F4" w:rsidP="00366716">
            <w:pPr>
              <w:pStyle w:val="TableBullet"/>
              <w:rPr>
                <w:rFonts w:eastAsia="Calibri"/>
              </w:rPr>
            </w:pPr>
            <w:r>
              <w:rPr>
                <w:rFonts w:eastAsia="Calibri"/>
              </w:rPr>
              <w:t xml:space="preserve">Siemens Energy </w:t>
            </w:r>
          </w:p>
          <w:p w14:paraId="711A1D6E" w14:textId="77777777" w:rsidR="002C39F4" w:rsidRDefault="002C39F4" w:rsidP="00366716">
            <w:pPr>
              <w:pStyle w:val="TableBullet"/>
              <w:rPr>
                <w:rFonts w:eastAsia="Calibri"/>
              </w:rPr>
            </w:pPr>
            <w:r>
              <w:rPr>
                <w:rFonts w:eastAsia="Calibri"/>
              </w:rPr>
              <w:t xml:space="preserve">Snowy Hydro Ltd </w:t>
            </w:r>
          </w:p>
          <w:p w14:paraId="11E7FBA7" w14:textId="77777777" w:rsidR="002C39F4" w:rsidRDefault="002C39F4" w:rsidP="00366716">
            <w:pPr>
              <w:pStyle w:val="TableBullet"/>
              <w:rPr>
                <w:rFonts w:eastAsia="Calibri"/>
              </w:rPr>
            </w:pPr>
            <w:r>
              <w:rPr>
                <w:rFonts w:eastAsia="Calibri"/>
              </w:rPr>
              <w:t xml:space="preserve">Stanwell Corporation </w:t>
            </w:r>
          </w:p>
          <w:p w14:paraId="0BADDE5C" w14:textId="77777777" w:rsidR="002C39F4" w:rsidRDefault="002C39F4" w:rsidP="00366716">
            <w:pPr>
              <w:pStyle w:val="TableBullet"/>
              <w:rPr>
                <w:rFonts w:eastAsia="Calibri"/>
              </w:rPr>
            </w:pPr>
            <w:r>
              <w:rPr>
                <w:rFonts w:eastAsia="Calibri"/>
              </w:rPr>
              <w:t xml:space="preserve">Synergy </w:t>
            </w:r>
          </w:p>
          <w:p w14:paraId="283814BD" w14:textId="77777777" w:rsidR="002C39F4" w:rsidRDefault="002C39F4" w:rsidP="00366716">
            <w:pPr>
              <w:pStyle w:val="TableBullet"/>
              <w:rPr>
                <w:rFonts w:eastAsia="Calibri"/>
              </w:rPr>
            </w:pPr>
            <w:r>
              <w:rPr>
                <w:rFonts w:eastAsia="Calibri"/>
              </w:rPr>
              <w:t xml:space="preserve">TasNetworks </w:t>
            </w:r>
          </w:p>
          <w:p w14:paraId="0A805BAC" w14:textId="77777777" w:rsidR="002C39F4" w:rsidRDefault="002C39F4" w:rsidP="00366716">
            <w:pPr>
              <w:pStyle w:val="TableBullet"/>
              <w:rPr>
                <w:rFonts w:eastAsia="Calibri"/>
              </w:rPr>
            </w:pPr>
            <w:r>
              <w:rPr>
                <w:rFonts w:eastAsia="Calibri"/>
              </w:rPr>
              <w:t xml:space="preserve">Telstra Energy </w:t>
            </w:r>
          </w:p>
          <w:p w14:paraId="7949941F" w14:textId="77777777" w:rsidR="002C39F4" w:rsidRDefault="002C39F4" w:rsidP="00366716">
            <w:pPr>
              <w:pStyle w:val="TableBullet"/>
              <w:rPr>
                <w:rFonts w:eastAsia="Calibri"/>
              </w:rPr>
            </w:pPr>
            <w:r>
              <w:rPr>
                <w:rFonts w:eastAsia="Calibri"/>
              </w:rPr>
              <w:t xml:space="preserve">Thiess </w:t>
            </w:r>
          </w:p>
          <w:p w14:paraId="16C463C6" w14:textId="77777777" w:rsidR="002C39F4" w:rsidRDefault="002C39F4" w:rsidP="00366716">
            <w:pPr>
              <w:pStyle w:val="TableBullet"/>
              <w:rPr>
                <w:rFonts w:eastAsia="Calibri"/>
              </w:rPr>
            </w:pPr>
            <w:r>
              <w:rPr>
                <w:rFonts w:eastAsia="Calibri"/>
              </w:rPr>
              <w:t xml:space="preserve">Transgrid </w:t>
            </w:r>
          </w:p>
          <w:p w14:paraId="073455CF" w14:textId="77777777" w:rsidR="002C39F4" w:rsidRDefault="002C39F4" w:rsidP="00366716">
            <w:pPr>
              <w:pStyle w:val="TableBullet"/>
              <w:rPr>
                <w:rFonts w:eastAsia="Calibri"/>
              </w:rPr>
            </w:pPr>
            <w:r>
              <w:rPr>
                <w:rFonts w:eastAsia="Calibri"/>
              </w:rPr>
              <w:t xml:space="preserve">United Energy </w:t>
            </w:r>
          </w:p>
          <w:p w14:paraId="7DCCA67C" w14:textId="77777777" w:rsidR="002C39F4" w:rsidRDefault="002C39F4" w:rsidP="00366716">
            <w:pPr>
              <w:pStyle w:val="TableBullet"/>
              <w:rPr>
                <w:rFonts w:eastAsia="Calibri"/>
              </w:rPr>
            </w:pPr>
            <w:r>
              <w:rPr>
                <w:rFonts w:eastAsia="Calibri"/>
              </w:rPr>
              <w:t xml:space="preserve">Vestas Wind Technologies </w:t>
            </w:r>
          </w:p>
          <w:p w14:paraId="2F1BDD68" w14:textId="77777777" w:rsidR="002C39F4" w:rsidRDefault="002C39F4" w:rsidP="00366716">
            <w:pPr>
              <w:pStyle w:val="TableBullet"/>
              <w:rPr>
                <w:rFonts w:eastAsia="Calibri"/>
              </w:rPr>
            </w:pPr>
            <w:r>
              <w:rPr>
                <w:rFonts w:eastAsia="Calibri"/>
              </w:rPr>
              <w:t xml:space="preserve">Viva Energy Australia Pty Ltd </w:t>
            </w:r>
          </w:p>
          <w:p w14:paraId="5B09AA15" w14:textId="77777777" w:rsidR="002C39F4" w:rsidRDefault="002C39F4" w:rsidP="00366716">
            <w:pPr>
              <w:pStyle w:val="TableBullet"/>
              <w:rPr>
                <w:rFonts w:eastAsia="Calibri"/>
              </w:rPr>
            </w:pPr>
            <w:r>
              <w:rPr>
                <w:rFonts w:eastAsia="Calibri"/>
              </w:rPr>
              <w:t xml:space="preserve">WesCEF </w:t>
            </w:r>
          </w:p>
          <w:p w14:paraId="1CCED686" w14:textId="77777777" w:rsidR="002C39F4" w:rsidRDefault="002C39F4" w:rsidP="00366716">
            <w:pPr>
              <w:pStyle w:val="TableBullet"/>
              <w:rPr>
                <w:rFonts w:eastAsia="Calibri"/>
              </w:rPr>
            </w:pPr>
            <w:r>
              <w:rPr>
                <w:rFonts w:eastAsia="Calibri"/>
              </w:rPr>
              <w:t xml:space="preserve">Western Power </w:t>
            </w:r>
          </w:p>
          <w:p w14:paraId="4608A5ED" w14:textId="77777777" w:rsidR="002C39F4" w:rsidRDefault="002C39F4" w:rsidP="00366716">
            <w:pPr>
              <w:pStyle w:val="TableBullet"/>
              <w:rPr>
                <w:rFonts w:eastAsia="Calibri"/>
              </w:rPr>
            </w:pPr>
            <w:r>
              <w:rPr>
                <w:rFonts w:eastAsia="Calibri"/>
              </w:rPr>
              <w:t xml:space="preserve">Wilson Transformer Co Pty Ltd </w:t>
            </w:r>
          </w:p>
          <w:p w14:paraId="54D2475E" w14:textId="77777777" w:rsidR="002C39F4" w:rsidRDefault="002C39F4" w:rsidP="00366716">
            <w:pPr>
              <w:pStyle w:val="TableBullet"/>
              <w:rPr>
                <w:rFonts w:eastAsia="Calibri"/>
              </w:rPr>
            </w:pPr>
            <w:r>
              <w:rPr>
                <w:rFonts w:eastAsia="Calibri"/>
              </w:rPr>
              <w:t>Worley</w:t>
            </w:r>
          </w:p>
        </w:tc>
      </w:tr>
    </w:tbl>
    <w:p w14:paraId="4EA8A1CF" w14:textId="782EC8FE" w:rsidR="008E4125" w:rsidRDefault="008E4125" w:rsidP="00D7344D">
      <w:pPr>
        <w:pStyle w:val="Caption"/>
      </w:pPr>
      <w:bookmarkStart w:id="578" w:name="_Toc79157270"/>
      <w:r>
        <w:lastRenderedPageBreak/>
        <w:t xml:space="preserve">Consultation </w:t>
      </w:r>
      <w:r w:rsidRPr="00D7344D">
        <w:t>timeline</w:t>
      </w:r>
      <w:bookmarkEnd w:id="578"/>
    </w:p>
    <w:p w14:paraId="3654585E" w14:textId="35692270" w:rsidR="008E4125" w:rsidRDefault="00CD4B8F" w:rsidP="00D7344D">
      <w:pPr>
        <w:pStyle w:val="BodyText"/>
      </w:pPr>
      <w:r>
        <w:rPr>
          <w:noProof/>
          <w:lang w:eastAsia="en-AU"/>
        </w:rPr>
        <w:drawing>
          <wp:inline distT="0" distB="0" distL="0" distR="0" wp14:anchorId="3179573F" wp14:editId="1BD7807E">
            <wp:extent cx="6012180" cy="6789420"/>
            <wp:effectExtent l="0" t="0" r="762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12180" cy="6789420"/>
                    </a:xfrm>
                    <a:prstGeom prst="rect">
                      <a:avLst/>
                    </a:prstGeom>
                    <a:noFill/>
                  </pic:spPr>
                </pic:pic>
              </a:graphicData>
            </a:graphic>
          </wp:inline>
        </w:drawing>
      </w:r>
    </w:p>
    <w:p w14:paraId="2793F76C" w14:textId="433422C1" w:rsidR="002F27BC" w:rsidRDefault="002F27BC" w:rsidP="00D7344D">
      <w:pPr>
        <w:pStyle w:val="BodyText"/>
      </w:pPr>
    </w:p>
    <w:p w14:paraId="42262A5E" w14:textId="4D343356" w:rsidR="002F27BC" w:rsidRDefault="002F27BC" w:rsidP="00D7344D">
      <w:pPr>
        <w:pStyle w:val="BodyText"/>
      </w:pPr>
    </w:p>
    <w:p w14:paraId="66A24641" w14:textId="77777777" w:rsidR="002F27BC" w:rsidRDefault="002F27BC" w:rsidP="00D7344D">
      <w:pPr>
        <w:pStyle w:val="BodyText"/>
      </w:pPr>
    </w:p>
    <w:p w14:paraId="5CCEE3A4" w14:textId="77777777" w:rsidR="00277D8E" w:rsidRPr="000F20CF" w:rsidRDefault="00277D8E" w:rsidP="004F16FE">
      <w:pPr>
        <w:pStyle w:val="AppendixH2"/>
      </w:pPr>
      <w:r w:rsidRPr="000F20CF">
        <w:t xml:space="preserve">RMP Rules consultation </w:t>
      </w:r>
    </w:p>
    <w:p w14:paraId="07FFEE16" w14:textId="77777777" w:rsidR="00277D8E" w:rsidRPr="00936133" w:rsidRDefault="00277D8E" w:rsidP="003B2055">
      <w:pPr>
        <w:pStyle w:val="BodyText"/>
      </w:pPr>
      <w:r w:rsidRPr="00936133">
        <w:t xml:space="preserve">The Department undertook extensive consultation with the electricity industry for the design of the RMP Rules, with the objectives of:  </w:t>
      </w:r>
    </w:p>
    <w:p w14:paraId="005D7DDD" w14:textId="259DA6BF" w:rsidR="00277D8E" w:rsidRPr="00936133" w:rsidRDefault="00277D8E" w:rsidP="003B2055">
      <w:pPr>
        <w:pStyle w:val="Bullet1stlevel"/>
      </w:pPr>
      <w:r w:rsidRPr="00936133">
        <w:lastRenderedPageBreak/>
        <w:t xml:space="preserve">Assessing whether there are existing regulations that meet the SLACIP </w:t>
      </w:r>
      <w:r w:rsidR="00D721DC">
        <w:t>Act</w:t>
      </w:r>
      <w:r w:rsidR="00D721DC" w:rsidRPr="00936133">
        <w:t xml:space="preserve">’s </w:t>
      </w:r>
      <w:r w:rsidRPr="00936133">
        <w:t xml:space="preserve">RMP objectives, to ensure the regulatory burden is reduced where possible; and </w:t>
      </w:r>
    </w:p>
    <w:p w14:paraId="1DB23FC9" w14:textId="77777777" w:rsidR="00277D8E" w:rsidRPr="00936133" w:rsidRDefault="00277D8E" w:rsidP="003B2055">
      <w:pPr>
        <w:pStyle w:val="Bullet1stlevel"/>
      </w:pPr>
      <w:r w:rsidRPr="00936133">
        <w:t>Ensuring there are rules in place that will drive an uplift in the security and resilience of critical electricity assets.</w:t>
      </w:r>
      <w:r w:rsidRPr="00936133">
        <w:rPr>
          <w:vertAlign w:val="superscript"/>
        </w:rPr>
        <w:footnoteReference w:id="87"/>
      </w:r>
    </w:p>
    <w:p w14:paraId="5A45B3D9" w14:textId="35CCD732" w:rsidR="00277D8E" w:rsidRPr="00936133" w:rsidRDefault="00277D8E" w:rsidP="003B2055">
      <w:pPr>
        <w:pStyle w:val="BodyText"/>
      </w:pPr>
      <w:r w:rsidRPr="00936133">
        <w:t xml:space="preserve">Consultation with industry stakeholders occurred </w:t>
      </w:r>
      <w:r w:rsidR="00DE1676">
        <w:t xml:space="preserve">across the following </w:t>
      </w:r>
      <w:r w:rsidRPr="00936133">
        <w:t xml:space="preserve">key stages: </w:t>
      </w:r>
    </w:p>
    <w:p w14:paraId="3F116C0A" w14:textId="77777777" w:rsidR="00277D8E" w:rsidRPr="00936133" w:rsidRDefault="00277D8E" w:rsidP="007F265A">
      <w:pPr>
        <w:numPr>
          <w:ilvl w:val="0"/>
          <w:numId w:val="142"/>
        </w:numPr>
        <w:spacing w:after="160"/>
        <w:ind w:hanging="357"/>
        <w:rPr>
          <w:rFonts w:ascii="Arial" w:eastAsia="Calibri" w:hAnsi="Arial" w:cs="Arial"/>
          <w:sz w:val="22"/>
        </w:rPr>
      </w:pPr>
      <w:r w:rsidRPr="00936133">
        <w:rPr>
          <w:rFonts w:ascii="Arial" w:eastAsia="Calibri" w:hAnsi="Arial" w:cs="Arial"/>
          <w:b/>
          <w:bCs/>
          <w:sz w:val="22"/>
        </w:rPr>
        <w:t>A virtual town hall</w:t>
      </w:r>
      <w:r w:rsidRPr="00936133">
        <w:rPr>
          <w:rFonts w:ascii="Arial" w:eastAsia="Calibri" w:hAnsi="Arial" w:cs="Arial"/>
          <w:sz w:val="22"/>
        </w:rPr>
        <w:t xml:space="preserve">, held in April 2021 attended by approximately 170 industry and Government stakeholders, to communicate the purpose of the co-design process and obtain information to inform the design of future workshops. </w:t>
      </w:r>
    </w:p>
    <w:p w14:paraId="1A6A9E2B" w14:textId="77777777" w:rsidR="00277D8E" w:rsidRPr="00B901E4" w:rsidRDefault="00277D8E" w:rsidP="007F265A">
      <w:pPr>
        <w:numPr>
          <w:ilvl w:val="0"/>
          <w:numId w:val="142"/>
        </w:numPr>
        <w:spacing w:after="160"/>
        <w:ind w:hanging="357"/>
        <w:rPr>
          <w:rFonts w:ascii="Arial" w:eastAsia="Calibri" w:hAnsi="Arial" w:cs="Arial"/>
          <w:spacing w:val="-2"/>
          <w:sz w:val="22"/>
        </w:rPr>
      </w:pPr>
      <w:r w:rsidRPr="00B901E4">
        <w:rPr>
          <w:rFonts w:ascii="Arial" w:eastAsia="Calibri" w:hAnsi="Arial" w:cs="Arial"/>
          <w:b/>
          <w:bCs/>
          <w:spacing w:val="-2"/>
          <w:sz w:val="22"/>
        </w:rPr>
        <w:t>A series of three virtual workshops</w:t>
      </w:r>
      <w:r w:rsidRPr="00B901E4">
        <w:rPr>
          <w:rFonts w:ascii="Arial" w:eastAsia="Calibri" w:hAnsi="Arial" w:cs="Arial"/>
          <w:spacing w:val="-2"/>
          <w:sz w:val="22"/>
        </w:rPr>
        <w:t xml:space="preserve">, held over a six-week period beginning in April 2021 and each attended by approximately 190 industry and Government stakeholders, which provided a forum to design RMP Rules and assisted in understanding the costs and benefits associated with implementing the risk management program framework. Workshops were designed to provide: </w:t>
      </w:r>
    </w:p>
    <w:p w14:paraId="074285A1" w14:textId="77777777" w:rsidR="00277D8E" w:rsidRPr="00936133" w:rsidRDefault="00277D8E" w:rsidP="00CE4B35">
      <w:pPr>
        <w:pStyle w:val="Bullet2ndlevel"/>
        <w:numPr>
          <w:ilvl w:val="0"/>
          <w:numId w:val="177"/>
        </w:numPr>
      </w:pPr>
      <w:r w:rsidRPr="00936133">
        <w:t xml:space="preserve">Several opportunities for discussion and feedback to gather industry perspectives; </w:t>
      </w:r>
    </w:p>
    <w:p w14:paraId="1E0D3932" w14:textId="77777777" w:rsidR="00277D8E" w:rsidRPr="00936133" w:rsidRDefault="00277D8E" w:rsidP="00CE4B35">
      <w:pPr>
        <w:pStyle w:val="Bullet2ndlevel"/>
        <w:numPr>
          <w:ilvl w:val="0"/>
          <w:numId w:val="177"/>
        </w:numPr>
      </w:pPr>
      <w:r w:rsidRPr="00936133">
        <w:t xml:space="preserve">Polling, in-session surveys and facilitated discussions; and </w:t>
      </w:r>
    </w:p>
    <w:p w14:paraId="7C58067B" w14:textId="77777777" w:rsidR="00277D8E" w:rsidRPr="00936133" w:rsidRDefault="00277D8E" w:rsidP="00CE4B35">
      <w:pPr>
        <w:pStyle w:val="Bullet2ndlevel"/>
        <w:numPr>
          <w:ilvl w:val="0"/>
          <w:numId w:val="177"/>
        </w:numPr>
      </w:pPr>
      <w:r w:rsidRPr="00936133">
        <w:t xml:space="preserve">‘Break out room’ discussions, divided into generators, transmitters and distributors, to ensure comprehensive discussion occurred across all subsets of industry. </w:t>
      </w:r>
    </w:p>
    <w:p w14:paraId="57FD9C49" w14:textId="77777777" w:rsidR="00277D8E" w:rsidRPr="00936133" w:rsidRDefault="00277D8E" w:rsidP="007F265A">
      <w:pPr>
        <w:numPr>
          <w:ilvl w:val="0"/>
          <w:numId w:val="142"/>
        </w:numPr>
        <w:spacing w:after="160"/>
        <w:ind w:left="351" w:hanging="357"/>
        <w:rPr>
          <w:rFonts w:ascii="Arial" w:eastAsia="Calibri" w:hAnsi="Arial" w:cs="Arial"/>
          <w:sz w:val="22"/>
        </w:rPr>
      </w:pPr>
      <w:r w:rsidRPr="00936133">
        <w:rPr>
          <w:rFonts w:ascii="Arial" w:eastAsia="Calibri" w:hAnsi="Arial" w:cs="Arial"/>
          <w:b/>
          <w:bCs/>
          <w:sz w:val="22"/>
        </w:rPr>
        <w:t>Out of session consultation</w:t>
      </w:r>
      <w:r w:rsidRPr="00936133">
        <w:rPr>
          <w:rFonts w:ascii="Arial" w:eastAsia="Calibri" w:hAnsi="Arial" w:cs="Arial"/>
          <w:sz w:val="22"/>
        </w:rPr>
        <w:t>, including meetings with a number of stakeholders and extensive email communication.</w:t>
      </w:r>
    </w:p>
    <w:p w14:paraId="3761833F" w14:textId="77777777" w:rsidR="00277D8E" w:rsidRPr="00936133" w:rsidRDefault="00277D8E" w:rsidP="003B2055">
      <w:pPr>
        <w:pStyle w:val="Bullet2ndlevel"/>
      </w:pPr>
      <w:r w:rsidRPr="00936133">
        <w:t xml:space="preserve">Stakeholders were encouraged to contact the Department out of session. The Department availed itself to stakeholders to discuss their concerns, working to ensure stakeholders’ understanding of the rules, and the rules’ proportionality. </w:t>
      </w:r>
    </w:p>
    <w:p w14:paraId="32F4E2DA" w14:textId="77777777" w:rsidR="00277D8E" w:rsidRPr="00936133" w:rsidRDefault="00277D8E" w:rsidP="003B2055">
      <w:pPr>
        <w:pStyle w:val="Bullet2ndlevel"/>
      </w:pPr>
      <w:r w:rsidRPr="00936133">
        <w:t xml:space="preserve">Out of session engagement also assisted in the iterative development of rules between workshops, through addressing concerns raised by individual stakeholders and proposing a solution. </w:t>
      </w:r>
    </w:p>
    <w:p w14:paraId="77AF8C4D" w14:textId="77777777" w:rsidR="00277D8E" w:rsidRPr="00936133" w:rsidRDefault="00277D8E" w:rsidP="003B2055">
      <w:pPr>
        <w:pStyle w:val="Bullet2ndlevel"/>
      </w:pPr>
      <w:r w:rsidRPr="00936133">
        <w:t>This engagement strengthened the relationship between the Department and industry, while providing insights on implementation costs, entities’ operating environments and the overall impacts of the proposed regulatory changes.</w:t>
      </w:r>
    </w:p>
    <w:p w14:paraId="24A64E46" w14:textId="6E6B1F1B" w:rsidR="00277D8E" w:rsidRPr="00936133" w:rsidRDefault="00277D8E" w:rsidP="007F265A">
      <w:pPr>
        <w:pStyle w:val="ListParagraph"/>
        <w:numPr>
          <w:ilvl w:val="0"/>
          <w:numId w:val="142"/>
        </w:numPr>
        <w:spacing w:line="264" w:lineRule="auto"/>
        <w:rPr>
          <w:rFonts w:eastAsia="Calibri"/>
        </w:rPr>
      </w:pPr>
      <w:r w:rsidRPr="00936133">
        <w:rPr>
          <w:rFonts w:eastAsia="Calibri"/>
          <w:b/>
          <w:bCs/>
        </w:rPr>
        <w:t>Two follow-up Consultation Sessions and two Industry-agnostic Town Hall</w:t>
      </w:r>
      <w:r w:rsidR="00AE65BA">
        <w:rPr>
          <w:rFonts w:eastAsia="Calibri"/>
          <w:b/>
          <w:bCs/>
        </w:rPr>
        <w:t>s</w:t>
      </w:r>
      <w:r w:rsidRPr="00936133">
        <w:rPr>
          <w:rFonts w:eastAsia="Calibri"/>
        </w:rPr>
        <w:t xml:space="preserve"> held in October and November 2021. The purpose of these consultation sessions was to provide an update for industry on the move from sector-specific to sector-agnostic RMP Rules and to gain sector-specific feedback on the updated RMP Rules. The purpose of the Industry Town Hall was to present the updated RMP Rules and provide information on the further consultation period. The two consultation sessions were attended by approximately 75 and 60 industry and Government stakeholders respectively. The two Town Halls were attended by approximately 800 industry and Government stakeholders across the </w:t>
      </w:r>
      <w:r w:rsidR="0030492E">
        <w:rPr>
          <w:rFonts w:eastAsia="Calibri"/>
        </w:rPr>
        <w:t>10</w:t>
      </w:r>
      <w:r w:rsidRPr="00936133">
        <w:rPr>
          <w:rFonts w:eastAsia="Calibri"/>
        </w:rPr>
        <w:t xml:space="preserve"> critical infrastructure sectors, including many stakeholders from the electricity sector. </w:t>
      </w:r>
    </w:p>
    <w:p w14:paraId="7B657EDB" w14:textId="0E687AE0" w:rsidR="00DE1676" w:rsidRPr="00CE4B35" w:rsidRDefault="00DE1676" w:rsidP="00CE4B35">
      <w:pPr>
        <w:pStyle w:val="Bullet1stlevel"/>
        <w:numPr>
          <w:ilvl w:val="0"/>
          <w:numId w:val="142"/>
        </w:numPr>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1B15A747" w14:textId="77777777" w:rsidR="00277D8E" w:rsidRPr="00936133" w:rsidRDefault="00277D8E" w:rsidP="001C168F">
      <w:pPr>
        <w:pStyle w:val="Caption"/>
      </w:pPr>
      <w:r w:rsidRPr="00936133">
        <w:lastRenderedPageBreak/>
        <w:t>Summary of Feedback from consultation sessions with responsible entities for critical electricity assets</w:t>
      </w:r>
    </w:p>
    <w:tbl>
      <w:tblPr>
        <w:tblStyle w:val="TableGrid5"/>
        <w:tblW w:w="0" w:type="auto"/>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299"/>
        <w:gridCol w:w="692"/>
        <w:gridCol w:w="3821"/>
        <w:gridCol w:w="3826"/>
      </w:tblGrid>
      <w:tr w:rsidR="00277D8E" w:rsidRPr="00936133" w14:paraId="269A3983" w14:textId="77777777" w:rsidTr="001C168F">
        <w:trPr>
          <w:cantSplit/>
          <w:tblHeader/>
        </w:trPr>
        <w:tc>
          <w:tcPr>
            <w:tcW w:w="0" w:type="auto"/>
            <w:shd w:val="clear" w:color="auto" w:fill="034EA2" w:themeFill="accent1"/>
            <w:hideMark/>
          </w:tcPr>
          <w:p w14:paraId="28BF0C16" w14:textId="77777777" w:rsidR="00277D8E" w:rsidRPr="00936133" w:rsidRDefault="00277D8E" w:rsidP="001C168F">
            <w:pPr>
              <w:pStyle w:val="TableHeading"/>
            </w:pPr>
            <w:r w:rsidRPr="00936133">
              <w:t>Rule category</w:t>
            </w:r>
          </w:p>
        </w:tc>
        <w:tc>
          <w:tcPr>
            <w:tcW w:w="4514" w:type="dxa"/>
            <w:gridSpan w:val="2"/>
            <w:shd w:val="clear" w:color="auto" w:fill="034EA2" w:themeFill="accent1"/>
            <w:hideMark/>
          </w:tcPr>
          <w:p w14:paraId="443F71CC" w14:textId="77777777" w:rsidR="00277D8E" w:rsidRPr="00936133" w:rsidRDefault="00277D8E" w:rsidP="001C168F">
            <w:pPr>
              <w:pStyle w:val="TableHeading"/>
            </w:pPr>
            <w:r w:rsidRPr="00936133">
              <w:t>Identified themes</w:t>
            </w:r>
          </w:p>
        </w:tc>
        <w:tc>
          <w:tcPr>
            <w:tcW w:w="3826" w:type="dxa"/>
            <w:shd w:val="clear" w:color="auto" w:fill="034EA2" w:themeFill="accent1"/>
            <w:hideMark/>
          </w:tcPr>
          <w:p w14:paraId="50FD75BA" w14:textId="77777777" w:rsidR="00277D8E" w:rsidRPr="00936133" w:rsidRDefault="00277D8E" w:rsidP="001C168F">
            <w:pPr>
              <w:pStyle w:val="TableHeading"/>
            </w:pPr>
            <w:r w:rsidRPr="00936133">
              <w:t>Impact on development of rules</w:t>
            </w:r>
          </w:p>
        </w:tc>
      </w:tr>
      <w:tr w:rsidR="00277D8E" w:rsidRPr="00936133" w14:paraId="7974C013" w14:textId="77777777" w:rsidTr="001C168F">
        <w:trPr>
          <w:cantSplit/>
        </w:trPr>
        <w:tc>
          <w:tcPr>
            <w:tcW w:w="0" w:type="auto"/>
            <w:shd w:val="clear" w:color="auto" w:fill="BBDAFD" w:themeFill="accent1" w:themeFillTint="33"/>
            <w:hideMark/>
          </w:tcPr>
          <w:p w14:paraId="059D215F" w14:textId="77777777" w:rsidR="00277D8E" w:rsidRPr="00936133" w:rsidRDefault="00277D8E" w:rsidP="001C168F">
            <w:pPr>
              <w:rPr>
                <w:rFonts w:ascii="Arial" w:eastAsia="Calibri" w:hAnsi="Arial" w:cs="Arial"/>
                <w:b/>
                <w:bCs/>
                <w:szCs w:val="20"/>
              </w:rPr>
            </w:pPr>
            <w:r w:rsidRPr="00936133">
              <w:rPr>
                <w:rFonts w:ascii="Arial" w:eastAsia="Calibri" w:hAnsi="Arial" w:cs="Arial"/>
                <w:b/>
                <w:bCs/>
                <w:szCs w:val="20"/>
              </w:rPr>
              <w:t xml:space="preserve">Sector-agnostic RMP Rules </w:t>
            </w:r>
          </w:p>
        </w:tc>
        <w:tc>
          <w:tcPr>
            <w:tcW w:w="0" w:type="auto"/>
            <w:shd w:val="clear" w:color="auto" w:fill="EDEDED"/>
            <w:textDirection w:val="btLr"/>
            <w:vAlign w:val="center"/>
          </w:tcPr>
          <w:p w14:paraId="7815F7A0" w14:textId="77777777" w:rsidR="00277D8E" w:rsidRPr="00936133" w:rsidRDefault="00277D8E" w:rsidP="001C168F">
            <w:pPr>
              <w:ind w:left="113" w:right="113"/>
              <w:jc w:val="center"/>
              <w:rPr>
                <w:rFonts w:ascii="Arial" w:eastAsia="Calibri" w:hAnsi="Arial" w:cs="Arial"/>
                <w:b/>
                <w:bCs/>
                <w:szCs w:val="20"/>
              </w:rPr>
            </w:pPr>
            <w:r w:rsidRPr="00936133">
              <w:rPr>
                <w:rFonts w:ascii="Arial" w:eastAsia="Calibri" w:hAnsi="Arial" w:cs="Arial"/>
                <w:b/>
                <w:bCs/>
                <w:szCs w:val="20"/>
              </w:rPr>
              <w:t>Consultation Sessions</w:t>
            </w:r>
          </w:p>
          <w:p w14:paraId="7DC9A537" w14:textId="77777777" w:rsidR="00277D8E" w:rsidRPr="00936133" w:rsidRDefault="00277D8E" w:rsidP="001C168F">
            <w:pPr>
              <w:ind w:left="113" w:right="113"/>
              <w:jc w:val="center"/>
              <w:rPr>
                <w:rFonts w:ascii="Arial" w:eastAsia="Calibri" w:hAnsi="Arial" w:cs="Arial"/>
                <w:b/>
                <w:bCs/>
                <w:szCs w:val="20"/>
              </w:rPr>
            </w:pPr>
          </w:p>
        </w:tc>
        <w:tc>
          <w:tcPr>
            <w:tcW w:w="3815" w:type="dxa"/>
          </w:tcPr>
          <w:p w14:paraId="3BD424FE" w14:textId="77777777" w:rsidR="00277D8E" w:rsidRPr="00936133" w:rsidRDefault="00277D8E" w:rsidP="001C168F">
            <w:pPr>
              <w:pStyle w:val="TableBullet"/>
              <w:rPr>
                <w:rFonts w:eastAsia="Calibri"/>
                <w:b/>
                <w:bCs/>
              </w:rPr>
            </w:pPr>
            <w:r w:rsidRPr="00936133">
              <w:rPr>
                <w:rFonts w:eastAsia="Calibri"/>
              </w:rPr>
              <w:t xml:space="preserve">Industry believes the RMP Rules are </w:t>
            </w:r>
            <w:r w:rsidRPr="00936133">
              <w:rPr>
                <w:rFonts w:eastAsia="Calibri"/>
                <w:b/>
                <w:bCs/>
              </w:rPr>
              <w:t>clear and understandable.</w:t>
            </w:r>
          </w:p>
          <w:p w14:paraId="549C0169" w14:textId="77777777" w:rsidR="00277D8E" w:rsidRPr="00936133" w:rsidRDefault="00277D8E" w:rsidP="001C168F">
            <w:pPr>
              <w:pStyle w:val="TableBullet"/>
              <w:rPr>
                <w:rFonts w:eastAsia="Calibri"/>
                <w:b/>
                <w:bCs/>
              </w:rPr>
            </w:pPr>
            <w:r w:rsidRPr="00936133">
              <w:rPr>
                <w:rFonts w:eastAsia="Calibri"/>
              </w:rPr>
              <w:t xml:space="preserve">Industry believes the RMP Rules will </w:t>
            </w:r>
            <w:r w:rsidRPr="00936133">
              <w:rPr>
                <w:rFonts w:eastAsia="Calibri"/>
                <w:b/>
                <w:bCs/>
              </w:rPr>
              <w:t>be able to be implemented.</w:t>
            </w:r>
          </w:p>
          <w:p w14:paraId="7FEEEA83" w14:textId="77777777" w:rsidR="00277D8E" w:rsidRPr="00936133" w:rsidRDefault="00277D8E" w:rsidP="001C168F">
            <w:pPr>
              <w:pStyle w:val="TableBullet"/>
              <w:rPr>
                <w:rFonts w:eastAsia="Calibri"/>
              </w:rPr>
            </w:pPr>
            <w:r w:rsidRPr="00936133">
              <w:rPr>
                <w:rFonts w:eastAsia="Calibri"/>
              </w:rPr>
              <w:t xml:space="preserve">The RMP Rules provide a </w:t>
            </w:r>
            <w:r w:rsidRPr="00936133">
              <w:rPr>
                <w:rFonts w:eastAsia="Calibri"/>
                <w:b/>
                <w:bCs/>
              </w:rPr>
              <w:t>baseline</w:t>
            </w:r>
            <w:r w:rsidRPr="00936133">
              <w:rPr>
                <w:rFonts w:eastAsia="Calibri"/>
              </w:rPr>
              <w:t xml:space="preserve"> for sector resilience and security.</w:t>
            </w:r>
          </w:p>
          <w:p w14:paraId="3AC4A32A" w14:textId="126452E6" w:rsidR="00277D8E" w:rsidRPr="001C168F" w:rsidRDefault="00277D8E" w:rsidP="001C168F">
            <w:pPr>
              <w:pStyle w:val="TableBullet"/>
              <w:rPr>
                <w:rFonts w:eastAsia="Calibri"/>
              </w:rPr>
            </w:pPr>
            <w:r w:rsidRPr="00936133">
              <w:rPr>
                <w:rFonts w:eastAsia="Calibri"/>
              </w:rPr>
              <w:t xml:space="preserve">There is an </w:t>
            </w:r>
            <w:r w:rsidRPr="00936133">
              <w:rPr>
                <w:rFonts w:eastAsia="Calibri"/>
                <w:b/>
                <w:bCs/>
              </w:rPr>
              <w:t xml:space="preserve">appetite for guidance material </w:t>
            </w:r>
            <w:r w:rsidRPr="00936133">
              <w:rPr>
                <w:rFonts w:eastAsia="Calibri"/>
              </w:rPr>
              <w:t>to support sector-specific uplift in security and resilience.</w:t>
            </w:r>
          </w:p>
        </w:tc>
        <w:tc>
          <w:tcPr>
            <w:tcW w:w="3826" w:type="dxa"/>
            <w:hideMark/>
          </w:tcPr>
          <w:p w14:paraId="24B4537B" w14:textId="77777777" w:rsidR="00277D8E" w:rsidRPr="00936133" w:rsidRDefault="00277D8E" w:rsidP="001C168F">
            <w:pPr>
              <w:pStyle w:val="TableBody"/>
            </w:pPr>
            <w:r w:rsidRPr="00936133">
              <w:t xml:space="preserve">In response to feedback received during the consultation sessions, the Department committed to: </w:t>
            </w:r>
          </w:p>
          <w:p w14:paraId="34F36BA1" w14:textId="77777777" w:rsidR="00277D8E" w:rsidRPr="00936133" w:rsidRDefault="00277D8E" w:rsidP="001C168F">
            <w:pPr>
              <w:pStyle w:val="TableBullet"/>
              <w:rPr>
                <w:rFonts w:eastAsia="Calibri"/>
              </w:rPr>
            </w:pPr>
            <w:r w:rsidRPr="00936133">
              <w:rPr>
                <w:rFonts w:eastAsia="Calibri"/>
              </w:rPr>
              <w:t xml:space="preserve">The development of guidance materials, which would highlight aspects of risk management that should be prioritised by responsible entities and assist industry in interpreting and implementing the rules to achieve an uplift in security and resilience.  </w:t>
            </w:r>
          </w:p>
        </w:tc>
      </w:tr>
    </w:tbl>
    <w:p w14:paraId="1600CEC0" w14:textId="77777777" w:rsidR="00277D8E" w:rsidRPr="00936133" w:rsidRDefault="00277D8E" w:rsidP="004F16FE">
      <w:pPr>
        <w:pStyle w:val="AppendixH2"/>
      </w:pPr>
      <w:r w:rsidRPr="00936133">
        <w:t xml:space="preserve">Consultation on costs </w:t>
      </w:r>
    </w:p>
    <w:p w14:paraId="380865C8" w14:textId="77777777" w:rsidR="00277D8E" w:rsidRPr="00936133" w:rsidRDefault="00277D8E" w:rsidP="003B2055">
      <w:pPr>
        <w:pStyle w:val="BodyText"/>
      </w:pPr>
      <w:r w:rsidRPr="00936133">
        <w:t xml:space="preserve">Throughout the workshop series commencing in April 2021, industry was invited to provide feedback that would assist the Department in understanding the potential costs associated with the proposed risk management program framework. Industry was informed that their insights would be used to assess the impact of the proposed reforms during the rules’ development and support the drafting of this RIS and its cost benefit analysis. </w:t>
      </w:r>
    </w:p>
    <w:p w14:paraId="35356ED1" w14:textId="77777777" w:rsidR="00277D8E" w:rsidRPr="00936133" w:rsidRDefault="00277D8E" w:rsidP="003B2055">
      <w:pPr>
        <w:pStyle w:val="BodyText"/>
      </w:pPr>
      <w:r w:rsidRPr="00936133">
        <w:t xml:space="preserve">During workshop 3,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t>
      </w:r>
      <w:r w:rsidR="009957FE" w:rsidRPr="00936133">
        <w:t>was</w:t>
      </w:r>
      <w:r w:rsidRPr="00936133">
        <w:t xml:space="preserve"> asked to provide:</w:t>
      </w:r>
    </w:p>
    <w:p w14:paraId="5DE91480" w14:textId="77777777" w:rsidR="00277D8E" w:rsidRPr="00936133" w:rsidRDefault="00277D8E" w:rsidP="003B2055">
      <w:pPr>
        <w:pStyle w:val="Bullet1stlevel"/>
      </w:pPr>
      <w:r w:rsidRPr="00936133">
        <w:t xml:space="preserve">Their demographic information; </w:t>
      </w:r>
    </w:p>
    <w:p w14:paraId="51C464C4" w14:textId="77777777" w:rsidR="00277D8E" w:rsidRPr="002F27BC" w:rsidRDefault="00277D8E" w:rsidP="003B2055">
      <w:pPr>
        <w:pStyle w:val="Bullet1stlevel"/>
        <w:rPr>
          <w:spacing w:val="-2"/>
        </w:rPr>
      </w:pPr>
      <w:r w:rsidRPr="002F27BC">
        <w:rPr>
          <w:spacing w:val="-2"/>
        </w:rPr>
        <w:t xml:space="preserve">Effort and cost estimates split by one-off and ongoing costs, staff effort, capital and other operating costs, and an estimated range between expected costs and highest possible costs; and </w:t>
      </w:r>
    </w:p>
    <w:p w14:paraId="765A8D1D" w14:textId="77777777" w:rsidR="00277D8E" w:rsidRPr="00936133" w:rsidRDefault="00277D8E" w:rsidP="003B2055">
      <w:pPr>
        <w:pStyle w:val="Bullet1stlevel"/>
      </w:pPr>
      <w:r w:rsidRPr="00936133">
        <w:t xml:space="preserve">Any comments on key boundaries, assumptions and cost drivers attached to the costing estimates provided. </w:t>
      </w:r>
    </w:p>
    <w:p w14:paraId="0AE4908B" w14:textId="78BE95F2" w:rsidR="00277D8E" w:rsidRPr="00936133" w:rsidRDefault="00277D8E" w:rsidP="003B2055">
      <w:pPr>
        <w:pStyle w:val="BodyText"/>
      </w:pPr>
      <w:r w:rsidRPr="00936133">
        <w:t xml:space="preserve">Industry was provided with the template on </w:t>
      </w:r>
      <w:r w:rsidRPr="00936133">
        <w:rPr>
          <w:bCs/>
        </w:rPr>
        <w:t>9 June 2021</w:t>
      </w:r>
      <w:r w:rsidRPr="00936133">
        <w:t xml:space="preserve">, with submissions open for a period of four weeks and closing on </w:t>
      </w:r>
      <w:r w:rsidRPr="00936133">
        <w:rPr>
          <w:bCs/>
        </w:rPr>
        <w:t>7 July 2021</w:t>
      </w:r>
      <w:r w:rsidRPr="00936133">
        <w:t xml:space="preserve">. Following an analysis of the cost impact submissions, these outcomes were shared with industry for comment for a period of </w:t>
      </w:r>
      <w:r w:rsidRPr="00936133">
        <w:rPr>
          <w:bCs/>
        </w:rPr>
        <w:t>two weeks</w:t>
      </w:r>
      <w:r w:rsidRPr="00936133">
        <w:t xml:space="preserve">. Following receipt of completed cost impact submissions, the Department engaged in </w:t>
      </w:r>
      <w:r w:rsidRPr="00936133">
        <w:rPr>
          <w:bCs/>
        </w:rPr>
        <w:t>targeted conversations</w:t>
      </w:r>
      <w:r w:rsidRPr="00936133">
        <w:t xml:space="preserve"> with a selection of industry stakeholders. These conversations were designed to give the Department a better understanding of the basis and scope of industry’s cost submissions. </w:t>
      </w:r>
    </w:p>
    <w:p w14:paraId="7D89D379" w14:textId="77777777" w:rsidR="00277D8E" w:rsidRPr="00936133" w:rsidRDefault="00277D8E" w:rsidP="003B2055">
      <w:pPr>
        <w:pStyle w:val="BodyText"/>
      </w:pPr>
      <w:r w:rsidRPr="00936133">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sidRPr="00936133">
        <w:rPr>
          <w:vertAlign w:val="superscript"/>
        </w:rPr>
        <w:footnoteReference w:id="88"/>
      </w:r>
      <w:r w:rsidRPr="00936133">
        <w:t xml:space="preserve"> </w:t>
      </w:r>
    </w:p>
    <w:p w14:paraId="2B82C4E4" w14:textId="77777777" w:rsidR="00277D8E" w:rsidRPr="001C168F" w:rsidRDefault="00277D8E" w:rsidP="003B2055">
      <w:pPr>
        <w:pStyle w:val="BodyText"/>
        <w:rPr>
          <w:spacing w:val="-4"/>
        </w:rPr>
      </w:pPr>
      <w:r w:rsidRPr="001C168F">
        <w:rPr>
          <w:spacing w:val="-4"/>
        </w:rPr>
        <w:t>The Department confirmed with industry that no additional costings would be requested on the evolved RMP Rules, as they are either similar to the previously costed rules or a specific rule has been removed and the cost estimate for that rule could be excluded from the estimate of regulatory burden.</w:t>
      </w:r>
    </w:p>
    <w:p w14:paraId="52C82316" w14:textId="77777777" w:rsidR="00277D8E" w:rsidRPr="00936133" w:rsidRDefault="00277D8E" w:rsidP="004F16FE">
      <w:pPr>
        <w:pStyle w:val="AppendixH2"/>
      </w:pPr>
      <w:r w:rsidRPr="00936133">
        <w:lastRenderedPageBreak/>
        <w:t xml:space="preserve">Consultation on draft RIS </w:t>
      </w:r>
    </w:p>
    <w:p w14:paraId="62F6EF09" w14:textId="77777777" w:rsidR="00277D8E" w:rsidRPr="001C168F" w:rsidRDefault="00277D8E" w:rsidP="003B2055">
      <w:pPr>
        <w:pStyle w:val="BodyText"/>
        <w:rPr>
          <w:spacing w:val="-2"/>
          <w:lang w:eastAsia="en-AU"/>
        </w:rPr>
      </w:pPr>
      <w:r w:rsidRPr="001C168F">
        <w:rPr>
          <w:spacing w:val="-2"/>
          <w:lang w:eastAsia="en-AU"/>
        </w:rPr>
        <w:t xml:space="preserve">A draft RIS was prepared using the costing information provided by industry. The draft RIS, accompanied by a feedback survey, was provided to industry on 6 August 2021. Industry was given two weeks to review and respond, with responses due back to the Department on 20 August 2021.  </w:t>
      </w:r>
    </w:p>
    <w:p w14:paraId="363D29A0" w14:textId="77DC7948" w:rsidR="001656B3" w:rsidRPr="00476709" w:rsidRDefault="001656B3" w:rsidP="003B2055">
      <w:pPr>
        <w:pStyle w:val="BodyText"/>
      </w:pPr>
      <w:r w:rsidRPr="009739FE">
        <w:t xml:space="preserve">The Department received 14 responses to the feedback survey, from a range of generators, distributors and transmitters, as well Government departments. </w:t>
      </w:r>
      <w:r w:rsidR="00277D8E" w:rsidRPr="009739FE">
        <w:t xml:space="preserve">Overall, the survey responses demonstrated broad agreement with the consultation process and </w:t>
      </w:r>
      <w:r w:rsidRPr="009739FE">
        <w:t xml:space="preserve">the </w:t>
      </w:r>
      <w:r w:rsidR="00277D8E" w:rsidRPr="009739FE">
        <w:t xml:space="preserve">recommended policy option. Where respondents indicated that particular elements of the RIS lacked clarity, the Department amended accordingly. Such amendments included: </w:t>
      </w:r>
    </w:p>
    <w:p w14:paraId="42851508" w14:textId="77777777" w:rsidR="00277D8E" w:rsidRPr="00936133" w:rsidRDefault="00277D8E" w:rsidP="003B2055">
      <w:pPr>
        <w:pStyle w:val="Bullet1stlevel"/>
      </w:pPr>
      <w:r w:rsidRPr="00936133">
        <w:t xml:space="preserve">Additional rationale as to the chosen cost estimation methods; </w:t>
      </w:r>
    </w:p>
    <w:p w14:paraId="0684BA43" w14:textId="77777777" w:rsidR="00277D8E" w:rsidRPr="00936133" w:rsidRDefault="00277D8E" w:rsidP="003B2055">
      <w:pPr>
        <w:pStyle w:val="Bullet1stlevel"/>
      </w:pPr>
      <w:r w:rsidRPr="00936133">
        <w:t xml:space="preserve">Clarification that indirect costs may be passed onto consumers (and that the economic impact of such costs are accounted for in CGE modelling approach); </w:t>
      </w:r>
    </w:p>
    <w:p w14:paraId="2CEA5476" w14:textId="77777777" w:rsidR="00277D8E" w:rsidRPr="00936133" w:rsidRDefault="00277D8E" w:rsidP="003B2055">
      <w:pPr>
        <w:pStyle w:val="Bullet1stlevel"/>
      </w:pPr>
      <w:r w:rsidRPr="00936133">
        <w:t>Additional rationale for selecting the South Australian blackouts as a baseline (moderate) risk scenario; and</w:t>
      </w:r>
    </w:p>
    <w:p w14:paraId="34B70E95" w14:textId="77777777" w:rsidR="00277D8E" w:rsidRPr="00936133" w:rsidRDefault="00277D8E" w:rsidP="003B2055">
      <w:pPr>
        <w:pStyle w:val="Bullet1stlevel"/>
      </w:pPr>
      <w:r w:rsidRPr="00936133">
        <w:t xml:space="preserve">Reiteration of the Department’s use of the ‘on switch’ mechanism to mitigate the potential for regulatory duplication. </w:t>
      </w:r>
    </w:p>
    <w:p w14:paraId="6DB72A31" w14:textId="77777777" w:rsidR="00277D8E" w:rsidRPr="00936133" w:rsidRDefault="00277D8E" w:rsidP="003B2055">
      <w:pPr>
        <w:pStyle w:val="BodyText"/>
      </w:pPr>
      <w:r w:rsidRPr="00936133">
        <w:t xml:space="preserve">The vast majority of comments in these submissions were regarding the draft sector-specific RMP Rules that the Department has subsequently moved away from. There were comments encouraging the Department to ensure that the final rules remain proportionate to the benefits, recommendations to extend the implementation timeline for particular rules, and comments on the potentially </w:t>
      </w:r>
      <w:r w:rsidRPr="003B2055">
        <w:t>high</w:t>
      </w:r>
      <w:r w:rsidRPr="00936133">
        <w:t xml:space="preserve"> cost of personnel rules. These concerns were considered in the shift to sector-agnostic rules through the following methods:</w:t>
      </w:r>
    </w:p>
    <w:p w14:paraId="26DA7F41" w14:textId="77777777" w:rsidR="00277D8E" w:rsidRPr="00936133" w:rsidRDefault="00277D8E" w:rsidP="003B2055">
      <w:pPr>
        <w:pStyle w:val="Bullet1stlevel"/>
      </w:pPr>
      <w:r w:rsidRPr="00936133">
        <w:t>Providing an 18-month period for industry to adhere to the standard based rule for cyber and information security hazards;</w:t>
      </w:r>
    </w:p>
    <w:p w14:paraId="2750B85B" w14:textId="77777777" w:rsidR="00277D8E" w:rsidRPr="00936133" w:rsidRDefault="00277D8E" w:rsidP="003B2055">
      <w:pPr>
        <w:pStyle w:val="Bullet1stlevel"/>
      </w:pPr>
      <w:r w:rsidRPr="00936133">
        <w:t>Presenting AusCheck as an option for industry to use for personnel vetting without mandating its use</w:t>
      </w:r>
    </w:p>
    <w:p w14:paraId="1EB70104" w14:textId="080C158D" w:rsidR="00B15514" w:rsidRDefault="00277D8E" w:rsidP="00B15514">
      <w:pPr>
        <w:pStyle w:val="Bullet1stlevel"/>
      </w:pPr>
      <w:r w:rsidRPr="00936133">
        <w:t>The use of principles</w:t>
      </w:r>
      <w:r w:rsidR="009957FE" w:rsidRPr="00936133">
        <w:t>-</w:t>
      </w:r>
      <w:r w:rsidRPr="00936133">
        <w:t>based rules for most of the RMP rules to provide flexibility to industry in implementing the RMP obligation.</w:t>
      </w:r>
    </w:p>
    <w:p w14:paraId="6DAEBA30" w14:textId="252E1738" w:rsidR="000C3D44" w:rsidRDefault="000C3D44" w:rsidP="004F16FE">
      <w:pPr>
        <w:pStyle w:val="AppendixH1"/>
      </w:pPr>
      <w:bookmarkStart w:id="579" w:name="_Toc121397414"/>
      <w:r w:rsidRPr="005F10B9">
        <w:lastRenderedPageBreak/>
        <w:t>Supplementary information for critical</w:t>
      </w:r>
      <w:r>
        <w:t xml:space="preserve"> </w:t>
      </w:r>
      <w:r w:rsidR="00AD3A7B">
        <w:t>gas</w:t>
      </w:r>
      <w:r>
        <w:t xml:space="preserve"> assets</w:t>
      </w:r>
      <w:bookmarkEnd w:id="579"/>
    </w:p>
    <w:p w14:paraId="6329A511" w14:textId="77777777" w:rsidR="000C3D44" w:rsidRDefault="000C3D44" w:rsidP="004F16FE">
      <w:pPr>
        <w:pStyle w:val="AppendixH2"/>
      </w:pPr>
      <w:r>
        <w:t xml:space="preserve">Overview of the role of </w:t>
      </w:r>
      <w:r w:rsidR="00AD3A7B">
        <w:t>gas</w:t>
      </w:r>
      <w:r>
        <w:t xml:space="preserve"> in Australia</w:t>
      </w:r>
    </w:p>
    <w:p w14:paraId="4FAE7117" w14:textId="77777777" w:rsidR="001656B3" w:rsidRPr="000F20CF" w:rsidRDefault="001656B3" w:rsidP="001656B3">
      <w:pPr>
        <w:pStyle w:val="BodyText"/>
      </w:pPr>
      <w:bookmarkStart w:id="580" w:name="_Toc76051138"/>
      <w:bookmarkStart w:id="581" w:name="_Toc83126090"/>
      <w:bookmarkStart w:id="582" w:name="_Toc83200078"/>
      <w:r w:rsidRPr="001E4026">
        <w:t xml:space="preserve">The production, </w:t>
      </w:r>
      <w:r w:rsidRPr="000F20CF">
        <w:t xml:space="preserve">processing, transmission, distribution, or supply of gas is a major contributor to Australia’s economy </w:t>
      </w:r>
      <w:r>
        <w:rPr>
          <w:rFonts w:ascii="Arial" w:eastAsia="Calibri" w:hAnsi="Arial" w:cs="Arial"/>
        </w:rPr>
        <w:t xml:space="preserve">and is essential to efficiently conduct almost all day-to-day activities. </w:t>
      </w:r>
      <w:r w:rsidRPr="000F20CF">
        <w:t>As Australia’s economy expands, the need for heightened security and resilience in Australia’s critical gas assets</w:t>
      </w:r>
      <w:r>
        <w:t xml:space="preserve"> </w:t>
      </w:r>
      <w:r w:rsidRPr="000F20CF">
        <w:t>increas</w:t>
      </w:r>
      <w:r>
        <w:t>es</w:t>
      </w:r>
      <w:r w:rsidRPr="000F20CF">
        <w:t xml:space="preserve">. </w:t>
      </w:r>
    </w:p>
    <w:p w14:paraId="03A8C4F8" w14:textId="77777777" w:rsidR="00AD3A7B" w:rsidRDefault="00AD3A7B" w:rsidP="000F20CF">
      <w:pPr>
        <w:pStyle w:val="BodyText"/>
        <w:rPr>
          <w:rFonts w:ascii="Arial" w:eastAsia="Calibri" w:hAnsi="Arial"/>
          <w:b/>
          <w:szCs w:val="22"/>
        </w:rPr>
      </w:pPr>
      <w:bookmarkStart w:id="583" w:name="_Toc76051139"/>
      <w:bookmarkStart w:id="584" w:name="_Toc83126091"/>
      <w:bookmarkStart w:id="585" w:name="_Toc83200079"/>
      <w:bookmarkEnd w:id="580"/>
      <w:bookmarkEnd w:id="581"/>
      <w:bookmarkEnd w:id="582"/>
      <w:r>
        <w:t>The lif</w:t>
      </w:r>
      <w:r>
        <w:rPr>
          <w:rFonts w:ascii="Arial" w:eastAsia="Calibri" w:hAnsi="Arial"/>
          <w:szCs w:val="22"/>
        </w:rPr>
        <w:t>ecycle of gas involves:</w:t>
      </w:r>
      <w:bookmarkEnd w:id="583"/>
      <w:bookmarkEnd w:id="584"/>
      <w:bookmarkEnd w:id="585"/>
      <w:r>
        <w:rPr>
          <w:rFonts w:ascii="Arial" w:eastAsia="Calibri" w:hAnsi="Arial"/>
          <w:szCs w:val="22"/>
        </w:rPr>
        <w:t xml:space="preserve">  </w:t>
      </w:r>
    </w:p>
    <w:p w14:paraId="7C991550" w14:textId="77777777" w:rsidR="00AD3A7B" w:rsidRDefault="00AD3A7B" w:rsidP="00DB7646">
      <w:pPr>
        <w:pStyle w:val="Bullet1stlevel"/>
      </w:pPr>
      <w:r>
        <w:t xml:space="preserve">Sourcing gas from coal seam gas wells and offshore gas platforms, which involves drilling into coal seams and rock formations beneath the seabed to obtain a mixture of gas and liquid. </w:t>
      </w:r>
    </w:p>
    <w:p w14:paraId="17D3993F" w14:textId="77777777" w:rsidR="00AD3A7B" w:rsidRDefault="00AD3A7B" w:rsidP="00DB7646">
      <w:pPr>
        <w:pStyle w:val="Bullet1stlevel"/>
      </w:pPr>
      <w:r>
        <w:t xml:space="preserve">Separation of the gas at a processing plant and then transmitted through high pressure pipelines to large industrial customers, LNG plants, electricity generators. </w:t>
      </w:r>
    </w:p>
    <w:p w14:paraId="2BAAD10B" w14:textId="77777777" w:rsidR="00AD3A7B" w:rsidRPr="00DA5870" w:rsidRDefault="00AD3A7B" w:rsidP="00DB7646">
      <w:pPr>
        <w:pStyle w:val="Bullet1stlevel"/>
      </w:pPr>
      <w:r>
        <w:t>Lowering gas pressure and sending to local distribution networks to be disseminated across residential areas or stored for distribution later.</w:t>
      </w:r>
    </w:p>
    <w:p w14:paraId="53224D97" w14:textId="77777777" w:rsidR="000C3D44" w:rsidRPr="00AD3A7B" w:rsidRDefault="00AD3A7B" w:rsidP="00DA5870">
      <w:pPr>
        <w:pStyle w:val="BodyText"/>
        <w:rPr>
          <w:rFonts w:ascii="Arial" w:eastAsia="Calibri" w:hAnsi="Arial" w:cs="Arial"/>
        </w:rPr>
      </w:pPr>
      <w:r>
        <w:t>Gas fields and pip</w:t>
      </w:r>
      <w:r>
        <w:rPr>
          <w:rFonts w:ascii="Arial" w:eastAsia="Calibri" w:hAnsi="Arial" w:cs="Arial"/>
        </w:rPr>
        <w:t xml:space="preserve">elines in Australia are separated into three distinct gas regions: </w:t>
      </w:r>
      <w:r w:rsidR="009957FE">
        <w:rPr>
          <w:rFonts w:ascii="Arial" w:eastAsia="Calibri" w:hAnsi="Arial" w:cs="Arial"/>
        </w:rPr>
        <w:t>The</w:t>
      </w:r>
      <w:r>
        <w:rPr>
          <w:rFonts w:ascii="Arial" w:eastAsia="Calibri" w:hAnsi="Arial" w:cs="Arial"/>
        </w:rPr>
        <w:t xml:space="preserve"> East Coast which includes Queensland, N</w:t>
      </w:r>
      <w:r w:rsidR="009957FE">
        <w:rPr>
          <w:rFonts w:ascii="Arial" w:eastAsia="Calibri" w:hAnsi="Arial" w:cs="Arial"/>
        </w:rPr>
        <w:t>ew South Wales</w:t>
      </w:r>
      <w:r>
        <w:rPr>
          <w:rFonts w:ascii="Arial" w:eastAsia="Calibri" w:hAnsi="Arial" w:cs="Arial"/>
        </w:rPr>
        <w:t>, the A</w:t>
      </w:r>
      <w:r w:rsidR="009957FE">
        <w:rPr>
          <w:rFonts w:ascii="Arial" w:eastAsia="Calibri" w:hAnsi="Arial" w:cs="Arial"/>
        </w:rPr>
        <w:t>ustralian Capital Territory</w:t>
      </w:r>
      <w:r>
        <w:rPr>
          <w:rFonts w:ascii="Arial" w:eastAsia="Calibri" w:hAnsi="Arial" w:cs="Arial"/>
        </w:rPr>
        <w:t>, Victoria, Tasmania and South Australia; the Western region which includes Western Australia; and the northern region which includes the Northern Territory. All three regions sell gas to domestic and international customers. The East Coast gas region is an interconnected market with pipelines joining the five States and the ACT. The recently completed Northern Gas Pipeline has now also joined the Northern region to the East Coast market near Mount Isa. Some residential properties rely on safe and reliable gas supply for cooking, heating</w:t>
      </w:r>
      <w:r w:rsidR="009957FE">
        <w:rPr>
          <w:rFonts w:ascii="Arial" w:eastAsia="Calibri" w:hAnsi="Arial" w:cs="Arial"/>
        </w:rPr>
        <w:t>,</w:t>
      </w:r>
      <w:r>
        <w:rPr>
          <w:rFonts w:ascii="Arial" w:eastAsia="Calibri" w:hAnsi="Arial" w:cs="Arial"/>
        </w:rPr>
        <w:t xml:space="preserve"> and hot water. Approximately 20 per cent of Australia’s electricity is generated by natural gas.</w:t>
      </w:r>
    </w:p>
    <w:p w14:paraId="66077557" w14:textId="79A482C1" w:rsidR="001656B3" w:rsidRPr="00827F58" w:rsidRDefault="006115E5" w:rsidP="009739FE">
      <w:pPr>
        <w:pStyle w:val="BodyText"/>
        <w:rPr>
          <w:rFonts w:ascii="Arial" w:eastAsia="Calibri" w:hAnsi="Arial" w:cs="Arial"/>
        </w:rPr>
      </w:pPr>
      <w:r w:rsidRPr="00827F58">
        <w:t xml:space="preserve">The </w:t>
      </w:r>
      <w:r w:rsidR="00384419">
        <w:t>SOCI Act</w:t>
      </w:r>
      <w:r w:rsidRPr="009739FE">
        <w:rPr>
          <w:rFonts w:ascii="Arial" w:hAnsi="Arial"/>
        </w:rPr>
        <w:t xml:space="preserve"> refers to assets within a critical infrastructure sector as ‘critical infrastructure assets’. </w:t>
      </w:r>
      <w:r w:rsidR="001656B3" w:rsidRPr="004D48AA">
        <w:t xml:space="preserve">Section 12 of the </w:t>
      </w:r>
      <w:r w:rsidR="00384419">
        <w:t>SOCI Act</w:t>
      </w:r>
      <w:r w:rsidR="001656B3" w:rsidRPr="004D48AA">
        <w:t xml:space="preserve"> outlines the following in relation to ‘critical gas assets’:</w:t>
      </w:r>
    </w:p>
    <w:p w14:paraId="37F3E73A" w14:textId="77777777" w:rsidR="006115E5" w:rsidRPr="00827F58" w:rsidRDefault="006115E5" w:rsidP="007F265A">
      <w:pPr>
        <w:pStyle w:val="Default"/>
        <w:numPr>
          <w:ilvl w:val="0"/>
          <w:numId w:val="112"/>
        </w:numPr>
        <w:ind w:left="357" w:hanging="357"/>
        <w:rPr>
          <w:rFonts w:ascii="Arial" w:hAnsi="Arial" w:cs="Arial"/>
          <w:i/>
          <w:iCs/>
          <w:color w:val="000000" w:themeColor="text1"/>
          <w:sz w:val="22"/>
          <w:szCs w:val="22"/>
        </w:rPr>
      </w:pPr>
      <w:r w:rsidRPr="00827F58">
        <w:rPr>
          <w:rFonts w:ascii="Arial" w:hAnsi="Arial" w:cs="Arial"/>
          <w:i/>
          <w:iCs/>
          <w:color w:val="000000" w:themeColor="text1"/>
          <w:sz w:val="22"/>
          <w:szCs w:val="22"/>
        </w:rPr>
        <w:t xml:space="preserve">An asset is a </w:t>
      </w:r>
      <w:r w:rsidRPr="00827F58">
        <w:rPr>
          <w:rFonts w:ascii="Arial" w:hAnsi="Arial" w:cs="Arial"/>
          <w:b/>
          <w:bCs/>
          <w:i/>
          <w:iCs/>
          <w:color w:val="000000" w:themeColor="text1"/>
          <w:sz w:val="22"/>
          <w:szCs w:val="22"/>
        </w:rPr>
        <w:t>critical gas asset</w:t>
      </w:r>
      <w:r w:rsidRPr="00827F58">
        <w:rPr>
          <w:rFonts w:ascii="Arial" w:hAnsi="Arial" w:cs="Arial"/>
          <w:i/>
          <w:iCs/>
          <w:color w:val="000000" w:themeColor="text1"/>
          <w:sz w:val="22"/>
          <w:szCs w:val="22"/>
        </w:rPr>
        <w:t xml:space="preserve"> if it is: </w:t>
      </w:r>
    </w:p>
    <w:p w14:paraId="22FA728A" w14:textId="77777777" w:rsidR="006115E5" w:rsidRPr="00827F58" w:rsidRDefault="006115E5" w:rsidP="006115E5">
      <w:pPr>
        <w:pStyle w:val="Default"/>
        <w:numPr>
          <w:ilvl w:val="1"/>
          <w:numId w:val="21"/>
        </w:numPr>
        <w:rPr>
          <w:rFonts w:ascii="Arial" w:hAnsi="Arial" w:cs="Arial"/>
          <w:i/>
          <w:iCs/>
          <w:color w:val="000000" w:themeColor="text1"/>
          <w:sz w:val="22"/>
          <w:szCs w:val="22"/>
        </w:rPr>
      </w:pPr>
      <w:r w:rsidRPr="00827F58">
        <w:rPr>
          <w:rFonts w:ascii="Arial" w:hAnsi="Arial" w:cs="Arial"/>
          <w:i/>
          <w:iCs/>
          <w:color w:val="000000" w:themeColor="text1"/>
          <w:sz w:val="22"/>
          <w:szCs w:val="22"/>
        </w:rPr>
        <w:t>a gas processing facility that has a capacity of at least 300 terajoules per day or any other capacity prescribed by the rules;</w:t>
      </w:r>
    </w:p>
    <w:p w14:paraId="7D08E322" w14:textId="77777777" w:rsidR="006115E5" w:rsidRPr="00827F58" w:rsidRDefault="006115E5" w:rsidP="006115E5">
      <w:pPr>
        <w:pStyle w:val="Default"/>
        <w:numPr>
          <w:ilvl w:val="1"/>
          <w:numId w:val="21"/>
        </w:numPr>
        <w:rPr>
          <w:rFonts w:ascii="Arial" w:hAnsi="Arial" w:cs="Arial"/>
          <w:i/>
          <w:iCs/>
          <w:color w:val="000000" w:themeColor="text1"/>
          <w:sz w:val="22"/>
          <w:szCs w:val="22"/>
        </w:rPr>
      </w:pPr>
      <w:r w:rsidRPr="00827F58">
        <w:rPr>
          <w:rFonts w:ascii="Arial" w:hAnsi="Arial" w:cs="Arial"/>
          <w:i/>
          <w:iCs/>
          <w:color w:val="000000" w:themeColor="text1"/>
          <w:sz w:val="22"/>
          <w:szCs w:val="22"/>
        </w:rPr>
        <w:t xml:space="preserve">a gas storage facility that has a maximum daily withdrawal capacity of at least 75 terajoules per day or any other maximum daily withdrawal capacity prescribed by the rules; </w:t>
      </w:r>
    </w:p>
    <w:p w14:paraId="58FE88BC" w14:textId="77777777" w:rsidR="006115E5" w:rsidRPr="00827F58" w:rsidRDefault="006115E5" w:rsidP="006115E5">
      <w:pPr>
        <w:pStyle w:val="Default"/>
        <w:numPr>
          <w:ilvl w:val="1"/>
          <w:numId w:val="21"/>
        </w:numPr>
        <w:rPr>
          <w:rFonts w:ascii="Arial" w:hAnsi="Arial" w:cs="Arial"/>
          <w:i/>
          <w:iCs/>
          <w:color w:val="000000" w:themeColor="text1"/>
          <w:sz w:val="22"/>
          <w:szCs w:val="22"/>
        </w:rPr>
      </w:pPr>
      <w:r w:rsidRPr="00827F58">
        <w:rPr>
          <w:rFonts w:ascii="Arial" w:hAnsi="Arial" w:cs="Arial"/>
          <w:i/>
          <w:iCs/>
          <w:color w:val="000000" w:themeColor="text1"/>
          <w:sz w:val="22"/>
          <w:szCs w:val="22"/>
        </w:rPr>
        <w:t>a network or system for the distribution of gas to ultimately service at least 100,000 customers or any other number of customers prescribed by the rules;</w:t>
      </w:r>
    </w:p>
    <w:p w14:paraId="37D07807" w14:textId="77777777" w:rsidR="006115E5" w:rsidRPr="00827F58" w:rsidRDefault="006115E5" w:rsidP="006115E5">
      <w:pPr>
        <w:pStyle w:val="Default"/>
        <w:numPr>
          <w:ilvl w:val="1"/>
          <w:numId w:val="21"/>
        </w:numPr>
        <w:rPr>
          <w:rFonts w:ascii="Arial" w:hAnsi="Arial" w:cs="Arial"/>
          <w:i/>
          <w:iCs/>
          <w:color w:val="000000" w:themeColor="text1"/>
          <w:sz w:val="22"/>
          <w:szCs w:val="22"/>
        </w:rPr>
      </w:pPr>
      <w:r w:rsidRPr="00827F58">
        <w:rPr>
          <w:rFonts w:ascii="Arial" w:hAnsi="Arial" w:cs="Arial"/>
          <w:i/>
          <w:iCs/>
          <w:color w:val="000000" w:themeColor="text1"/>
          <w:sz w:val="22"/>
          <w:szCs w:val="22"/>
        </w:rPr>
        <w:t>a gas transmission pipeline that is critical to ensuring the security and reliability of a gas market, in accordance with subsection (2).</w:t>
      </w:r>
    </w:p>
    <w:p w14:paraId="703917E4" w14:textId="77777777" w:rsidR="006B65FE" w:rsidRDefault="006B65FE">
      <w:pPr>
        <w:spacing w:before="80" w:after="80"/>
        <w:rPr>
          <w:rFonts w:asciiTheme="majorHAnsi" w:eastAsia="Times New Roman" w:hAnsiTheme="majorHAnsi" w:cs="Arial"/>
          <w:b/>
          <w:bCs/>
          <w:color w:val="007BC3" w:themeColor="accent2"/>
          <w:sz w:val="28"/>
          <w:szCs w:val="28"/>
          <w:lang w:eastAsia="en-AU"/>
        </w:rPr>
      </w:pPr>
      <w:r>
        <w:br w:type="page"/>
      </w:r>
    </w:p>
    <w:p w14:paraId="413676EC" w14:textId="27C5F447" w:rsidR="000C3D44" w:rsidRDefault="000C3D44" w:rsidP="004F16FE">
      <w:pPr>
        <w:pStyle w:val="AppendixH2"/>
      </w:pPr>
      <w:r>
        <w:lastRenderedPageBreak/>
        <w:t xml:space="preserve">Impacts of a disruption to </w:t>
      </w:r>
      <w:r w:rsidR="009E32C1">
        <w:t>critical gas assets</w:t>
      </w:r>
    </w:p>
    <w:p w14:paraId="617D150C" w14:textId="77777777" w:rsidR="00BC08F4" w:rsidRDefault="00BC08F4" w:rsidP="00DA5870">
      <w:pPr>
        <w:pStyle w:val="BodyText"/>
        <w:rPr>
          <w:rFonts w:ascii="Arial" w:eastAsia="Calibri" w:hAnsi="Arial" w:cs="Arial"/>
        </w:rPr>
      </w:pPr>
      <w:r>
        <w:t>T</w:t>
      </w:r>
      <w:r>
        <w:rPr>
          <w:rFonts w:ascii="Arial" w:eastAsia="Calibri" w:hAnsi="Arial" w:cs="Arial"/>
        </w:rPr>
        <w:t>he consequences of a prolonged and widespread disruption to a critical gas asset may include:</w:t>
      </w:r>
    </w:p>
    <w:p w14:paraId="169D5AFB" w14:textId="77777777" w:rsidR="00BC08F4" w:rsidRPr="00DA5870" w:rsidRDefault="00BC08F4" w:rsidP="00DB7646">
      <w:pPr>
        <w:pStyle w:val="Bullet1stlevel"/>
      </w:pPr>
      <w:r w:rsidRPr="00DA5870">
        <w:t xml:space="preserve">shortages or destruction of essential medical supplies which require refrigeration; </w:t>
      </w:r>
    </w:p>
    <w:p w14:paraId="2DB81F0F" w14:textId="77777777" w:rsidR="00BC08F4" w:rsidRPr="00DA5870" w:rsidRDefault="00BC08F4" w:rsidP="00DB7646">
      <w:pPr>
        <w:pStyle w:val="Bullet1stlevel"/>
      </w:pPr>
      <w:r w:rsidRPr="00DA5870">
        <w:t xml:space="preserve">unreliability in the supply of food and groceries; </w:t>
      </w:r>
    </w:p>
    <w:p w14:paraId="0B8C4E0E" w14:textId="77777777" w:rsidR="00BC08F4" w:rsidRPr="00DA5870" w:rsidRDefault="00BC08F4" w:rsidP="00DB7646">
      <w:pPr>
        <w:pStyle w:val="Bullet1stlevel"/>
      </w:pPr>
      <w:r w:rsidRPr="00DA5870">
        <w:t xml:space="preserve">disruption to water supply and sanitation facilities; </w:t>
      </w:r>
    </w:p>
    <w:p w14:paraId="209B2D21" w14:textId="77777777" w:rsidR="00BC08F4" w:rsidRPr="00DA5870" w:rsidRDefault="00BC08F4" w:rsidP="00DB7646">
      <w:pPr>
        <w:pStyle w:val="Bullet1stlevel"/>
      </w:pPr>
      <w:r w:rsidRPr="00DA5870">
        <w:t xml:space="preserve">disruption to telecommunications networks which are ultimately dependent on gas; </w:t>
      </w:r>
    </w:p>
    <w:p w14:paraId="7C1F0DBF" w14:textId="77777777" w:rsidR="00BC08F4" w:rsidRPr="00DA5870" w:rsidRDefault="00BC08F4" w:rsidP="00DB7646">
      <w:pPr>
        <w:pStyle w:val="Bullet1stlevel"/>
      </w:pPr>
      <w:r w:rsidRPr="00DA5870">
        <w:t xml:space="preserve">disruptions to transport infrastructure, traffic management systems and fuel supplies; and </w:t>
      </w:r>
    </w:p>
    <w:p w14:paraId="4E5F5285" w14:textId="77777777" w:rsidR="00BE5357" w:rsidRPr="00BE5357" w:rsidRDefault="00BC08F4" w:rsidP="00DB7646">
      <w:pPr>
        <w:pStyle w:val="Bullet1stlevel"/>
      </w:pPr>
      <w:r w:rsidRPr="00DA5870">
        <w:t xml:space="preserve">an inability for businesses and governments to function as normal. </w:t>
      </w:r>
    </w:p>
    <w:p w14:paraId="39ED9527" w14:textId="59566656" w:rsidR="00BE5357" w:rsidRDefault="000C3D44" w:rsidP="004F16FE">
      <w:pPr>
        <w:pStyle w:val="AppendixH2"/>
      </w:pPr>
      <w:r>
        <w:t xml:space="preserve">Examples of disruptions to </w:t>
      </w:r>
      <w:r w:rsidR="00BC08F4">
        <w:t>critical gas assets</w:t>
      </w:r>
      <w:r>
        <w:t xml:space="preserve"> –domestic and international</w:t>
      </w: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F5205F" w14:paraId="7A8D09CD" w14:textId="77777777" w:rsidTr="00515681">
        <w:tc>
          <w:tcPr>
            <w:tcW w:w="6663" w:type="dxa"/>
            <w:shd w:val="clear" w:color="auto" w:fill="034EA2" w:themeFill="accent1"/>
          </w:tcPr>
          <w:p w14:paraId="4026798A" w14:textId="69ED327B" w:rsidR="00F5205F" w:rsidRDefault="00F5205F" w:rsidP="00515681">
            <w:pPr>
              <w:pStyle w:val="TableHeading"/>
            </w:pPr>
            <w:r w:rsidRPr="00F5205F">
              <w:t>Cyber Attack Shuts Down U.S. Fuel Pipeline System (2021)</w:t>
            </w:r>
          </w:p>
        </w:tc>
        <w:tc>
          <w:tcPr>
            <w:tcW w:w="2965" w:type="dxa"/>
            <w:shd w:val="clear" w:color="auto" w:fill="007BC3" w:themeFill="accent2"/>
          </w:tcPr>
          <w:p w14:paraId="1F116CF1" w14:textId="1CA1749A" w:rsidR="00F5205F" w:rsidRDefault="00F5205F" w:rsidP="00515681">
            <w:pPr>
              <w:pStyle w:val="Tableriskcategory"/>
            </w:pPr>
            <w:r w:rsidRPr="00F5205F">
              <w:t>Cyber &amp; Supply Chain Risk</w:t>
            </w:r>
          </w:p>
        </w:tc>
      </w:tr>
      <w:tr w:rsidR="00F5205F" w14:paraId="06972926" w14:textId="77777777" w:rsidTr="00515681">
        <w:tc>
          <w:tcPr>
            <w:tcW w:w="9628" w:type="dxa"/>
            <w:gridSpan w:val="2"/>
          </w:tcPr>
          <w:p w14:paraId="0FBDFCC7" w14:textId="4A527341" w:rsidR="00F5205F" w:rsidRDefault="00F5205F" w:rsidP="00F5205F">
            <w:pPr>
              <w:pStyle w:val="TableBody"/>
            </w:pPr>
            <w:r w:rsidRPr="00F5205F">
              <w:rPr>
                <w:b/>
              </w:rPr>
              <w:t>Situation:</w:t>
            </w:r>
            <w:r w:rsidRPr="000C29EB">
              <w:t xml:space="preserve"> </w:t>
            </w:r>
            <w:r>
              <w:t xml:space="preserve">A cyber-attack allegedly conducted by a criminal network on the Colonial Pipeline, an 8,850km pipeline which carries almost half of the fuel consumed along the U.S. East Coast, forced the Pipeline’s closure for almost a week. Although the infiltration immediately affected the Pipeline’s business computer systems (rather than the systems which run </w:t>
            </w:r>
            <w:r w:rsidRPr="00F5205F">
              <w:t>the</w:t>
            </w:r>
            <w:r>
              <w:t xml:space="preserve"> pipelines), the pipelines’ closure was a necessary precaution while investigations were undertaken. The incident is thought to be the largest cyber-attack on oil infrastructure in the U.S.’s history.</w:t>
            </w:r>
            <w:r>
              <w:rPr>
                <w:rStyle w:val="FootnoteReference"/>
                <w:rFonts w:ascii="Arial" w:eastAsiaTheme="majorEastAsia" w:hAnsi="Arial"/>
                <w:b/>
              </w:rPr>
              <w:footnoteReference w:id="89"/>
            </w:r>
          </w:p>
        </w:tc>
      </w:tr>
      <w:tr w:rsidR="00F5205F" w14:paraId="0B5BFF71" w14:textId="77777777" w:rsidTr="00515681">
        <w:tc>
          <w:tcPr>
            <w:tcW w:w="9628" w:type="dxa"/>
            <w:gridSpan w:val="2"/>
            <w:shd w:val="clear" w:color="auto" w:fill="F2F2F2" w:themeFill="background1" w:themeFillShade="F2"/>
          </w:tcPr>
          <w:p w14:paraId="70125BE3" w14:textId="6FFBDDD6" w:rsidR="00F5205F" w:rsidRDefault="00F5205F" w:rsidP="00F5205F">
            <w:pPr>
              <w:pStyle w:val="TableBody"/>
            </w:pPr>
            <w:r w:rsidRPr="00F5205F">
              <w:rPr>
                <w:b/>
              </w:rPr>
              <w:t>Outcome:</w:t>
            </w:r>
            <w:r>
              <w:t xml:space="preserve"> </w:t>
            </w:r>
            <w:r w:rsidRPr="000E49BD">
              <w:rPr>
                <w:shd w:val="clear" w:color="auto" w:fill="F2F2F2" w:themeFill="accent6"/>
              </w:rPr>
              <w:t xml:space="preserve">The pipelines’ shutdown reduced the short-term availability of fuel, forcing fuel prices to climb and refiners to reduce production levels, as they had no means of distributing the gas. Consumers rushed to gas stations and engaged in ‘panic buying’, exacerbating shortages and contributing to price increases.  In </w:t>
            </w:r>
            <w:r w:rsidRPr="00F5205F">
              <w:t>the</w:t>
            </w:r>
            <w:r w:rsidRPr="000E49BD">
              <w:rPr>
                <w:shd w:val="clear" w:color="auto" w:fill="F2F2F2" w:themeFill="accent6"/>
              </w:rPr>
              <w:t xml:space="preserve"> first two hours following the attack, more than 100GB was stolen. On 13 May 2021, it was reported that Colonial Pipeline paid a ransom demand of close to $5 million USD in order to obtain a decryption key from the hackers responsible for the attack.</w:t>
            </w:r>
            <w:r w:rsidRPr="000E49BD">
              <w:rPr>
                <w:shd w:val="clear" w:color="auto" w:fill="F2F2F2" w:themeFill="accent6"/>
                <w:vertAlign w:val="superscript"/>
              </w:rPr>
              <w:footnoteReference w:id="90"/>
            </w:r>
            <w:r w:rsidRPr="000E49BD">
              <w:rPr>
                <w:shd w:val="clear" w:color="auto" w:fill="F2F2F2" w:themeFill="accent6"/>
              </w:rPr>
              <w:t xml:space="preserve"> Chainalysis, a US cyber-security firm, suggests the amount paid in Bitcoin ransoms increased by</w:t>
            </w:r>
            <w:r>
              <w:t xml:space="preserve"> 311% in 2020 (compared with 2019), to approximately $350m.</w:t>
            </w:r>
            <w:r>
              <w:rPr>
                <w:rStyle w:val="FootnoteReference"/>
                <w:rFonts w:ascii="Arial" w:eastAsiaTheme="majorEastAsia" w:hAnsi="Arial"/>
                <w:b/>
              </w:rPr>
              <w:footnoteReference w:id="91"/>
            </w:r>
          </w:p>
        </w:tc>
      </w:tr>
      <w:tr w:rsidR="00F5205F" w14:paraId="70F96E86" w14:textId="77777777" w:rsidTr="00F5205F">
        <w:trPr>
          <w:trHeight w:val="459"/>
        </w:trPr>
        <w:tc>
          <w:tcPr>
            <w:tcW w:w="9628" w:type="dxa"/>
            <w:gridSpan w:val="2"/>
          </w:tcPr>
          <w:p w14:paraId="63633BC9" w14:textId="4E3377FB" w:rsidR="00F5205F" w:rsidRDefault="00F5205F" w:rsidP="00F5205F">
            <w:pPr>
              <w:pStyle w:val="TableBody"/>
            </w:pPr>
            <w:r w:rsidRPr="00F5205F">
              <w:rPr>
                <w:b/>
              </w:rPr>
              <w:t>Identified Gap:</w:t>
            </w:r>
            <w:r>
              <w:t xml:space="preserve"> The attack highlighted the need for entities to maintain pace with evolving malware capabilities and work to </w:t>
            </w:r>
            <w:r w:rsidRPr="00F5205F">
              <w:t>strengthen</w:t>
            </w:r>
            <w:r>
              <w:t xml:space="preserve"> their ‘last line of defence’. Without adequate protections and consistent re-evaluations, operating systems may be compromised.</w:t>
            </w:r>
            <w:r w:rsidRPr="002D3CA7">
              <w:rPr>
                <w:rStyle w:val="FootnoteReference"/>
                <w:rFonts w:ascii="Arial" w:eastAsiaTheme="majorEastAsia" w:hAnsi="Arial"/>
                <w:bCs/>
              </w:rPr>
              <w:footnoteReference w:id="92"/>
            </w:r>
            <w:r>
              <w:t xml:space="preserve"> It also highlights that while it is imperative to ensure the protection of critical gas assets, supplementary and connected services must also be preserved.</w:t>
            </w:r>
          </w:p>
        </w:tc>
      </w:tr>
    </w:tbl>
    <w:p w14:paraId="61D4E14F" w14:textId="550B1DC4" w:rsidR="00F5205F" w:rsidRDefault="00F5205F" w:rsidP="00F5205F">
      <w:pPr>
        <w:pStyle w:val="BodyText"/>
      </w:pPr>
    </w:p>
    <w:p w14:paraId="2681C976" w14:textId="5C1A84DD" w:rsidR="006B65FE" w:rsidRDefault="006B65FE" w:rsidP="00F5205F">
      <w:pPr>
        <w:pStyle w:val="BodyText"/>
      </w:pPr>
    </w:p>
    <w:p w14:paraId="0067F9B1" w14:textId="2FE2A1E4" w:rsidR="006B65FE" w:rsidRDefault="006B65FE" w:rsidP="00F5205F">
      <w:pPr>
        <w:pStyle w:val="BodyText"/>
      </w:pPr>
    </w:p>
    <w:p w14:paraId="24697036" w14:textId="77777777" w:rsidR="006B65FE" w:rsidRDefault="006B65FE" w:rsidP="00F5205F">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FB419F" w14:paraId="4FCB20D6" w14:textId="77777777" w:rsidTr="00515681">
        <w:tc>
          <w:tcPr>
            <w:tcW w:w="6663" w:type="dxa"/>
            <w:shd w:val="clear" w:color="auto" w:fill="034EA2" w:themeFill="accent1"/>
          </w:tcPr>
          <w:p w14:paraId="1BD1031B" w14:textId="4F1A3F51" w:rsidR="00FB419F" w:rsidRDefault="00622C23" w:rsidP="00515681">
            <w:pPr>
              <w:pStyle w:val="TableHeading"/>
            </w:pPr>
            <w:r w:rsidRPr="00622C23">
              <w:t>Ransomware Attack on Mexico’s Pemex (2019)</w:t>
            </w:r>
          </w:p>
        </w:tc>
        <w:tc>
          <w:tcPr>
            <w:tcW w:w="2965" w:type="dxa"/>
            <w:shd w:val="clear" w:color="auto" w:fill="007BC3" w:themeFill="accent2"/>
          </w:tcPr>
          <w:p w14:paraId="3C70D5E9" w14:textId="77777777" w:rsidR="00FB419F" w:rsidRDefault="00FB419F" w:rsidP="00515681">
            <w:pPr>
              <w:pStyle w:val="Tableriskcategory"/>
            </w:pPr>
            <w:r w:rsidRPr="00F5205F">
              <w:t>Cyber &amp; Supply Chain Risk</w:t>
            </w:r>
          </w:p>
        </w:tc>
      </w:tr>
      <w:tr w:rsidR="00FB419F" w14:paraId="2577E204" w14:textId="77777777" w:rsidTr="00515681">
        <w:tc>
          <w:tcPr>
            <w:tcW w:w="9628" w:type="dxa"/>
            <w:gridSpan w:val="2"/>
          </w:tcPr>
          <w:p w14:paraId="3EB79FBD" w14:textId="51158D48" w:rsidR="00FB419F" w:rsidRDefault="00FB419F" w:rsidP="00515681">
            <w:pPr>
              <w:pStyle w:val="TableBody"/>
            </w:pPr>
            <w:r w:rsidRPr="00F5205F">
              <w:rPr>
                <w:b/>
              </w:rPr>
              <w:t>Situation:</w:t>
            </w:r>
            <w:r w:rsidRPr="000C29EB">
              <w:t xml:space="preserve"> </w:t>
            </w:r>
            <w:r w:rsidR="002D3CA7">
              <w:rPr>
                <w:rFonts w:ascii="Arial" w:eastAsiaTheme="majorEastAsia" w:hAnsi="Arial" w:cs="Arial"/>
              </w:rPr>
              <w:t xml:space="preserve">In November 2019, a Mexican state-owned petroleum company was infiltrated by a ransomware attack, with attackers demanding approximately a USD $5 million ransom in bitcoin to </w:t>
            </w:r>
            <w:r w:rsidR="002D3CA7">
              <w:rPr>
                <w:rFonts w:ascii="Arial" w:eastAsiaTheme="majorEastAsia" w:hAnsi="Arial" w:cs="Arial"/>
              </w:rPr>
              <w:lastRenderedPageBreak/>
              <w:t>remove the ransomware from the company’s systems. Pemex was targeted by ‘Ryuk’, a kind of ransomware which typically seeks to target companies with annual revenue between $500 million and $1 billion.</w:t>
            </w:r>
            <w:r w:rsidR="002D3CA7">
              <w:rPr>
                <w:rStyle w:val="FootnoteReference"/>
                <w:rFonts w:ascii="Arial" w:eastAsiaTheme="majorEastAsia" w:hAnsi="Arial"/>
              </w:rPr>
              <w:footnoteReference w:id="93"/>
            </w:r>
          </w:p>
        </w:tc>
      </w:tr>
      <w:tr w:rsidR="00FB419F" w14:paraId="73CEA40D" w14:textId="77777777" w:rsidTr="00515681">
        <w:tc>
          <w:tcPr>
            <w:tcW w:w="9628" w:type="dxa"/>
            <w:gridSpan w:val="2"/>
            <w:shd w:val="clear" w:color="auto" w:fill="F2F2F2" w:themeFill="background1" w:themeFillShade="F2"/>
          </w:tcPr>
          <w:p w14:paraId="03266A74" w14:textId="52F95838" w:rsidR="00FB419F" w:rsidRDefault="00FB419F" w:rsidP="00515681">
            <w:pPr>
              <w:pStyle w:val="TableBody"/>
            </w:pPr>
            <w:r w:rsidRPr="00F5205F">
              <w:rPr>
                <w:b/>
              </w:rPr>
              <w:lastRenderedPageBreak/>
              <w:t>Outcome:</w:t>
            </w:r>
            <w:r>
              <w:t xml:space="preserve"> </w:t>
            </w:r>
            <w:r w:rsidR="00205F6E">
              <w:rPr>
                <w:rFonts w:ascii="Arial" w:eastAsiaTheme="majorEastAsia" w:hAnsi="Arial" w:cs="Arial"/>
              </w:rPr>
              <w:t>Hackers claimed the attack was successful in gathering sensitive data from the Pemex network and threatened to share the information publicly if the company did not pay the ransom. It is not clear whether Pemex paid the ransom amount. The attack allegedly impacted approximately 5% of the computers in Pemex’s network, temporarily suspending staff access to computer systems, including those responsible for payments. Pemex became reliant on manual billing, which affected the payment of personnel, suppliers and hindered supply chain operations.</w:t>
            </w:r>
            <w:r w:rsidR="00205F6E">
              <w:rPr>
                <w:rStyle w:val="FootnoteReference"/>
                <w:rFonts w:ascii="Arial" w:eastAsiaTheme="majorEastAsia" w:hAnsi="Arial"/>
              </w:rPr>
              <w:footnoteReference w:id="94"/>
            </w:r>
            <w:r w:rsidR="00205F6E">
              <w:rPr>
                <w:rFonts w:ascii="Arial" w:eastAsiaTheme="majorEastAsia" w:hAnsi="Arial" w:cs="Arial"/>
              </w:rPr>
              <w:t xml:space="preserve"> Staff were instructed to disconnect from its network and back up critical information from hard drives.</w:t>
            </w:r>
          </w:p>
        </w:tc>
      </w:tr>
      <w:tr w:rsidR="00FB419F" w14:paraId="7F83FEDA" w14:textId="77777777" w:rsidTr="00515681">
        <w:trPr>
          <w:trHeight w:val="459"/>
        </w:trPr>
        <w:tc>
          <w:tcPr>
            <w:tcW w:w="9628" w:type="dxa"/>
            <w:gridSpan w:val="2"/>
          </w:tcPr>
          <w:p w14:paraId="5978849A" w14:textId="4B2811EA" w:rsidR="00FB419F" w:rsidRDefault="00FB419F" w:rsidP="00515681">
            <w:pPr>
              <w:pStyle w:val="TableBody"/>
            </w:pPr>
            <w:r w:rsidRPr="00F5205F">
              <w:rPr>
                <w:b/>
              </w:rPr>
              <w:t>Identified Gap:</w:t>
            </w:r>
            <w:r>
              <w:t xml:space="preserve"> </w:t>
            </w:r>
            <w:r w:rsidR="00573103">
              <w:rPr>
                <w:rFonts w:ascii="Arial" w:eastAsiaTheme="majorEastAsia" w:hAnsi="Arial" w:cs="Arial"/>
              </w:rPr>
              <w:t>The attack highlighted the need for entities to maintain pace with evolving malware capabilities, work to strengthen their data security initiatives and ensure adequate contingencies are in place in the event of an attack. This includes ensuring that protections and contingencies reach sufficiently far back in an entities’ supply chain.</w:t>
            </w:r>
          </w:p>
        </w:tc>
      </w:tr>
    </w:tbl>
    <w:p w14:paraId="59473534" w14:textId="4D807F62" w:rsidR="00FB419F" w:rsidRDefault="00FB419F" w:rsidP="00F5205F">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573103" w14:paraId="37F020F6" w14:textId="77777777" w:rsidTr="00515681">
        <w:tc>
          <w:tcPr>
            <w:tcW w:w="6663" w:type="dxa"/>
            <w:shd w:val="clear" w:color="auto" w:fill="034EA2" w:themeFill="accent1"/>
          </w:tcPr>
          <w:p w14:paraId="014991AD" w14:textId="4D384A12" w:rsidR="00573103" w:rsidRDefault="00CD145F" w:rsidP="00515681">
            <w:pPr>
              <w:pStyle w:val="TableHeading"/>
            </w:pPr>
            <w:r w:rsidRPr="00CD145F">
              <w:t>Varanus Island disruption, Western Australia (2008)</w:t>
            </w:r>
          </w:p>
        </w:tc>
        <w:tc>
          <w:tcPr>
            <w:tcW w:w="2965" w:type="dxa"/>
            <w:shd w:val="clear" w:color="auto" w:fill="007BC3" w:themeFill="accent2"/>
          </w:tcPr>
          <w:p w14:paraId="7E665C4E" w14:textId="62886ADE" w:rsidR="00573103" w:rsidRDefault="007B6000" w:rsidP="00515681">
            <w:pPr>
              <w:pStyle w:val="Tableriskcategory"/>
            </w:pPr>
            <w:r w:rsidRPr="007B6000">
              <w:t>Physical Risk</w:t>
            </w:r>
          </w:p>
        </w:tc>
      </w:tr>
      <w:tr w:rsidR="00573103" w14:paraId="6F57EADB" w14:textId="77777777" w:rsidTr="00515681">
        <w:tc>
          <w:tcPr>
            <w:tcW w:w="9628" w:type="dxa"/>
            <w:gridSpan w:val="2"/>
          </w:tcPr>
          <w:p w14:paraId="122D4FB7" w14:textId="654E363D" w:rsidR="00573103" w:rsidRDefault="00573103" w:rsidP="00515681">
            <w:pPr>
              <w:pStyle w:val="TableBody"/>
            </w:pPr>
            <w:r w:rsidRPr="00F5205F">
              <w:rPr>
                <w:b/>
              </w:rPr>
              <w:t>Situation:</w:t>
            </w:r>
            <w:r w:rsidRPr="000C29EB">
              <w:t xml:space="preserve"> </w:t>
            </w:r>
            <w:r w:rsidR="00960D8F" w:rsidRPr="00960D8F">
              <w:t>In June 2008, a major disruption to the natural gas supply in Western Australia occurred after an explosion at the Apache Energy operated processing plant on Varanus Island, off the state's north west coast. The explosion and subsequent fire at the processing plant was caused as a result of a rupture of a corroded gas export pipeline. The main causal factors of the incident were ineffective anti-corrosion coating and cathodic protection on the gas pipeline and ineffective monitoring and inspection by Apache Energy.</w:t>
            </w:r>
          </w:p>
        </w:tc>
      </w:tr>
      <w:tr w:rsidR="00573103" w14:paraId="3011036F" w14:textId="77777777" w:rsidTr="00515681">
        <w:tc>
          <w:tcPr>
            <w:tcW w:w="9628" w:type="dxa"/>
            <w:gridSpan w:val="2"/>
            <w:shd w:val="clear" w:color="auto" w:fill="F2F2F2" w:themeFill="background1" w:themeFillShade="F2"/>
          </w:tcPr>
          <w:p w14:paraId="1AD9C96C" w14:textId="5E279D92" w:rsidR="00573103" w:rsidRDefault="00573103" w:rsidP="00515681">
            <w:pPr>
              <w:pStyle w:val="TableBody"/>
            </w:pPr>
            <w:r w:rsidRPr="00F5205F">
              <w:rPr>
                <w:b/>
              </w:rPr>
              <w:t>Outcome:</w:t>
            </w:r>
            <w:r>
              <w:t xml:space="preserve"> </w:t>
            </w:r>
            <w:r w:rsidR="004364B0">
              <w:rPr>
                <w:rFonts w:ascii="Arial" w:eastAsiaTheme="majorEastAsia" w:hAnsi="Arial" w:cs="Arial"/>
              </w:rPr>
              <w:t>The explosion and subsequent fire caused widespread damage at the plant. Apache Energy’s plant was immediately shut down, reducing Western Australia’s gas supply by around 30% for over two months while a detailed </w:t>
            </w:r>
            <w:hyperlink r:id="rId51" w:tooltip="Forensic engineering" w:history="1">
              <w:r w:rsidR="004364B0" w:rsidRPr="000B28C0">
                <w:rPr>
                  <w:rStyle w:val="Hyperlink"/>
                  <w:rFonts w:ascii="Arial" w:eastAsiaTheme="majorEastAsia" w:hAnsi="Arial" w:cs="Arial"/>
                  <w:u w:val="none"/>
                </w:rPr>
                <w:t>engineering investigation</w:t>
              </w:r>
            </w:hyperlink>
            <w:r w:rsidR="004364B0">
              <w:rPr>
                <w:rFonts w:ascii="Arial" w:eastAsiaTheme="majorEastAsia" w:hAnsi="Arial" w:cs="Arial"/>
              </w:rPr>
              <w:t> and major repairs were carried out. Gas spot prices increased sharply, and several mining and industrial companies were forced to curtail production. Some electricity generators switched to emergency diesel stocks, and coal fired power plants that had been closed were also brought back online.</w:t>
            </w:r>
            <w:r w:rsidR="004364B0">
              <w:rPr>
                <w:rFonts w:ascii="Arial" w:eastAsiaTheme="majorEastAsia" w:hAnsi="Arial" w:cs="Arial"/>
                <w:vertAlign w:val="superscript"/>
              </w:rPr>
              <w:footnoteReference w:id="95"/>
            </w:r>
          </w:p>
        </w:tc>
      </w:tr>
      <w:tr w:rsidR="00573103" w14:paraId="5EBAE451" w14:textId="77777777" w:rsidTr="00515681">
        <w:trPr>
          <w:trHeight w:val="459"/>
        </w:trPr>
        <w:tc>
          <w:tcPr>
            <w:tcW w:w="9628" w:type="dxa"/>
            <w:gridSpan w:val="2"/>
          </w:tcPr>
          <w:p w14:paraId="17BD92F1" w14:textId="7876B4EB" w:rsidR="00573103" w:rsidRDefault="00573103" w:rsidP="00515681">
            <w:pPr>
              <w:pStyle w:val="TableBody"/>
            </w:pPr>
            <w:r w:rsidRPr="00F5205F">
              <w:rPr>
                <w:b/>
              </w:rPr>
              <w:t>Identified Gap:</w:t>
            </w:r>
            <w:r>
              <w:t xml:space="preserve"> </w:t>
            </w:r>
            <w:r w:rsidR="000A6E83">
              <w:rPr>
                <w:rFonts w:ascii="Arial" w:eastAsiaTheme="majorEastAsia" w:hAnsi="Arial" w:cs="Arial"/>
              </w:rPr>
              <w:t>This incident demonstrates the importance of effectively maintaining all physical assets and having an appropriate framework in place for the monitoring and inspection of physical assets. This incident highlights the importance of having an effective Risk management Program implemented.</w:t>
            </w:r>
          </w:p>
        </w:tc>
      </w:tr>
    </w:tbl>
    <w:p w14:paraId="55A3A04D" w14:textId="730FD373" w:rsidR="00573103" w:rsidRDefault="00573103" w:rsidP="00F5205F">
      <w:pPr>
        <w:pStyle w:val="BodyText"/>
      </w:pPr>
    </w:p>
    <w:p w14:paraId="412FCEAD" w14:textId="62188BE7" w:rsidR="00B501F0" w:rsidRDefault="00B501F0" w:rsidP="00F5205F">
      <w:pPr>
        <w:pStyle w:val="BodyText"/>
      </w:pPr>
    </w:p>
    <w:p w14:paraId="62BBFA94" w14:textId="6088DB8D" w:rsidR="00B501F0" w:rsidRDefault="00B501F0" w:rsidP="00F5205F">
      <w:pPr>
        <w:pStyle w:val="BodyText"/>
      </w:pPr>
    </w:p>
    <w:p w14:paraId="7D5B9D9D" w14:textId="3EBA97BB" w:rsidR="00B501F0" w:rsidRDefault="00B501F0" w:rsidP="00F5205F">
      <w:pPr>
        <w:pStyle w:val="BodyText"/>
      </w:pPr>
    </w:p>
    <w:p w14:paraId="175BB8FA" w14:textId="77777777" w:rsidR="00B501F0" w:rsidRDefault="00B501F0" w:rsidP="00F5205F">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B501F0" w14:paraId="09051DBF" w14:textId="77777777" w:rsidTr="00515681">
        <w:tc>
          <w:tcPr>
            <w:tcW w:w="6663" w:type="dxa"/>
            <w:shd w:val="clear" w:color="auto" w:fill="034EA2" w:themeFill="accent1"/>
          </w:tcPr>
          <w:p w14:paraId="5E545061" w14:textId="17F9CFAB" w:rsidR="00B501F0" w:rsidRDefault="000736A5" w:rsidP="00515681">
            <w:pPr>
              <w:pStyle w:val="TableHeading"/>
            </w:pPr>
            <w:r w:rsidRPr="000736A5">
              <w:t>Enbridge Natural Gas Pipeline Explosion in Canada (2018)</w:t>
            </w:r>
          </w:p>
        </w:tc>
        <w:tc>
          <w:tcPr>
            <w:tcW w:w="2965" w:type="dxa"/>
            <w:shd w:val="clear" w:color="auto" w:fill="007BC3" w:themeFill="accent2"/>
          </w:tcPr>
          <w:p w14:paraId="639C94CB" w14:textId="7D8AD0DE" w:rsidR="00B501F0" w:rsidRDefault="00773C9D" w:rsidP="00515681">
            <w:pPr>
              <w:pStyle w:val="Tableriskcategory"/>
            </w:pPr>
            <w:r w:rsidRPr="00773C9D">
              <w:t>Physical, Supply Chain &amp; Personnel</w:t>
            </w:r>
            <w:r>
              <w:t> </w:t>
            </w:r>
            <w:r w:rsidRPr="00773C9D">
              <w:t>Risk</w:t>
            </w:r>
          </w:p>
        </w:tc>
      </w:tr>
      <w:tr w:rsidR="00B501F0" w14:paraId="17C4163D" w14:textId="77777777" w:rsidTr="00515681">
        <w:tc>
          <w:tcPr>
            <w:tcW w:w="9628" w:type="dxa"/>
            <w:gridSpan w:val="2"/>
          </w:tcPr>
          <w:p w14:paraId="2452CE61" w14:textId="7EAFCEE7" w:rsidR="00B501F0" w:rsidRDefault="00B501F0" w:rsidP="00515681">
            <w:pPr>
              <w:pStyle w:val="TableBody"/>
            </w:pPr>
            <w:r w:rsidRPr="00F5205F">
              <w:rPr>
                <w:b/>
              </w:rPr>
              <w:t>Situation:</w:t>
            </w:r>
            <w:r w:rsidRPr="000C29EB">
              <w:t xml:space="preserve"> </w:t>
            </w:r>
            <w:r w:rsidR="00A0095F">
              <w:rPr>
                <w:rFonts w:ascii="Arial" w:eastAsiaTheme="majorEastAsia" w:hAnsi="Arial" w:cs="Arial"/>
              </w:rPr>
              <w:t xml:space="preserve">In 2018, undetected stress corrosion cracking saw the rupture of Canada’s Enbridge pipeline, which resulted in a fire near the city of Prince George, British Columbia province. The pipes’ external stress corrosion cracks had broken down over time and significantly reduced the pipeline’s load-bearing capabilities. The Transportation Safety Board of Canada found that personnel and equipment deficiencies in detecting the extent of the cracking, as well as the deferral of a routine inspection, allowed the pipeline’s </w:t>
            </w:r>
            <w:r w:rsidR="00A0095F">
              <w:rPr>
                <w:rFonts w:ascii="Arial" w:eastAsiaTheme="majorEastAsia" w:hAnsi="Arial" w:cs="Arial"/>
              </w:rPr>
              <w:lastRenderedPageBreak/>
              <w:t>vulnerabilities to go undetected. There were no records indicating that a proposed deviation, rationale or technical assessment had been completed, or that an inspection deferral request had been approved.</w:t>
            </w:r>
            <w:r w:rsidR="00A0095F">
              <w:rPr>
                <w:rStyle w:val="FootnoteReference"/>
                <w:rFonts w:ascii="Arial" w:eastAsiaTheme="majorEastAsia" w:hAnsi="Arial"/>
              </w:rPr>
              <w:footnoteReference w:id="96"/>
            </w:r>
          </w:p>
        </w:tc>
      </w:tr>
      <w:tr w:rsidR="00B501F0" w14:paraId="090ECA6C" w14:textId="77777777" w:rsidTr="00515681">
        <w:tc>
          <w:tcPr>
            <w:tcW w:w="9628" w:type="dxa"/>
            <w:gridSpan w:val="2"/>
            <w:shd w:val="clear" w:color="auto" w:fill="F2F2F2" w:themeFill="background1" w:themeFillShade="F2"/>
          </w:tcPr>
          <w:p w14:paraId="5895E213" w14:textId="1D1A84D7" w:rsidR="00B501F0" w:rsidRDefault="00B501F0" w:rsidP="00515681">
            <w:pPr>
              <w:pStyle w:val="TableBody"/>
            </w:pPr>
            <w:r w:rsidRPr="00F5205F">
              <w:rPr>
                <w:b/>
              </w:rPr>
              <w:lastRenderedPageBreak/>
              <w:t>Outcome:</w:t>
            </w:r>
            <w:r>
              <w:t xml:space="preserve"> </w:t>
            </w:r>
            <w:r w:rsidR="00D44E36">
              <w:rPr>
                <w:rFonts w:ascii="Arial" w:eastAsiaTheme="majorEastAsia" w:hAnsi="Arial" w:cs="Arial"/>
              </w:rPr>
              <w:t>The rupture and subsequent fire caused significant damage to the pipeline and surrounding environment, compounded by substantial natural gas leakages from the pipeline. The rupture forced the evacuation of approximately 125 residents within a 2km radius of the explosion site, resulted in province-wide natural gas shortages and required heightened energy conservation efforts throughout winter. Despite this, emergency response activities were considered successful in mitigating the impacts of the incident.</w:t>
            </w:r>
          </w:p>
        </w:tc>
      </w:tr>
      <w:tr w:rsidR="00B501F0" w14:paraId="7CD6C171" w14:textId="77777777" w:rsidTr="00515681">
        <w:trPr>
          <w:trHeight w:val="459"/>
        </w:trPr>
        <w:tc>
          <w:tcPr>
            <w:tcW w:w="9628" w:type="dxa"/>
            <w:gridSpan w:val="2"/>
          </w:tcPr>
          <w:p w14:paraId="17784AB5" w14:textId="265B7D9A" w:rsidR="00B501F0" w:rsidRDefault="00B501F0" w:rsidP="00515681">
            <w:pPr>
              <w:pStyle w:val="TableBody"/>
            </w:pPr>
            <w:r w:rsidRPr="00F5205F">
              <w:rPr>
                <w:b/>
              </w:rPr>
              <w:t>Identified Gap:</w:t>
            </w:r>
            <w:r>
              <w:t xml:space="preserve"> </w:t>
            </w:r>
            <w:r w:rsidR="00D8516E">
              <w:rPr>
                <w:rFonts w:ascii="Arial" w:eastAsiaTheme="majorEastAsia" w:hAnsi="Arial" w:cs="Arial"/>
              </w:rPr>
              <w:t>This incident demonstrates the importance of implementing incentives for risk management compliance, to reduce the potential that critical assessment, evaluation and reporting practices are not ignored or unnecessarily postponed. Without this incentive, entities may overlook deficiencies in their critical gas assets, compounding the risk and subsequent consequences of a potential disruption.</w:t>
            </w:r>
          </w:p>
        </w:tc>
      </w:tr>
    </w:tbl>
    <w:p w14:paraId="77A0F824" w14:textId="7CD74F30" w:rsidR="00FB419F" w:rsidRDefault="00FB419F" w:rsidP="00F5205F">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0211AC" w14:paraId="6747319D" w14:textId="77777777" w:rsidTr="00515681">
        <w:tc>
          <w:tcPr>
            <w:tcW w:w="6663" w:type="dxa"/>
            <w:shd w:val="clear" w:color="auto" w:fill="034EA2" w:themeFill="accent1"/>
          </w:tcPr>
          <w:p w14:paraId="5B86004F" w14:textId="362DD359" w:rsidR="000211AC" w:rsidRDefault="00FC3AE6" w:rsidP="00515681">
            <w:pPr>
              <w:pStyle w:val="TableHeading"/>
            </w:pPr>
            <w:r w:rsidRPr="00FC3AE6">
              <w:t>US natural gas compressor cyber-attack (2020)</w:t>
            </w:r>
          </w:p>
        </w:tc>
        <w:tc>
          <w:tcPr>
            <w:tcW w:w="2965" w:type="dxa"/>
            <w:shd w:val="clear" w:color="auto" w:fill="007BC3" w:themeFill="accent2"/>
          </w:tcPr>
          <w:p w14:paraId="3EC6AF7D" w14:textId="6445B255" w:rsidR="000211AC" w:rsidRDefault="001B5334" w:rsidP="00515681">
            <w:pPr>
              <w:pStyle w:val="Tableriskcategory"/>
            </w:pPr>
            <w:r w:rsidRPr="001B5334">
              <w:t>Cyber &amp; Supply Chain Risk</w:t>
            </w:r>
          </w:p>
        </w:tc>
      </w:tr>
      <w:tr w:rsidR="000211AC" w14:paraId="158C1B76" w14:textId="77777777" w:rsidTr="00515681">
        <w:tc>
          <w:tcPr>
            <w:tcW w:w="9628" w:type="dxa"/>
            <w:gridSpan w:val="2"/>
          </w:tcPr>
          <w:p w14:paraId="314740C2" w14:textId="37C1C4C5" w:rsidR="000211AC" w:rsidRDefault="000211AC" w:rsidP="00515681">
            <w:pPr>
              <w:pStyle w:val="TableBody"/>
            </w:pPr>
            <w:r w:rsidRPr="00F5205F">
              <w:rPr>
                <w:b/>
              </w:rPr>
              <w:t>Situation:</w:t>
            </w:r>
            <w:r w:rsidRPr="000C29EB">
              <w:t xml:space="preserve"> </w:t>
            </w:r>
            <w:r w:rsidR="006D2F69">
              <w:rPr>
                <w:rFonts w:ascii="Arial" w:eastAsiaTheme="majorEastAsia" w:hAnsi="Arial" w:cs="Arial"/>
              </w:rPr>
              <w:t>A major U.S. natural gas compression facility was entirely shut down for two days due to a ransomware attack. The attackers gained control of the facilities information technology system by through malicious links in phishing emails. The attacker deployed the commodity ransomware to encrypt data on both the operational and information technology networks at the same time before demanding a ransom payment</w:t>
            </w:r>
            <w:r w:rsidR="006D2F69">
              <w:t>.</w:t>
            </w:r>
            <w:r w:rsidR="006D2F69">
              <w:rPr>
                <w:vertAlign w:val="superscript"/>
              </w:rPr>
              <w:footnoteReference w:id="97"/>
            </w:r>
          </w:p>
        </w:tc>
      </w:tr>
      <w:tr w:rsidR="000211AC" w14:paraId="77271412" w14:textId="77777777" w:rsidTr="00515681">
        <w:tc>
          <w:tcPr>
            <w:tcW w:w="9628" w:type="dxa"/>
            <w:gridSpan w:val="2"/>
            <w:shd w:val="clear" w:color="auto" w:fill="F2F2F2" w:themeFill="background1" w:themeFillShade="F2"/>
          </w:tcPr>
          <w:p w14:paraId="3B062E32" w14:textId="6BD6AF9C" w:rsidR="000211AC" w:rsidRDefault="000211AC" w:rsidP="00515681">
            <w:pPr>
              <w:pStyle w:val="TableBody"/>
            </w:pPr>
            <w:r w:rsidRPr="00F5205F">
              <w:rPr>
                <w:b/>
              </w:rPr>
              <w:t>Outcome:</w:t>
            </w:r>
            <w:r>
              <w:t xml:space="preserve"> </w:t>
            </w:r>
            <w:r w:rsidR="00DB5772">
              <w:rPr>
                <w:rFonts w:ascii="Arial" w:eastAsiaTheme="majorEastAsia" w:hAnsi="Arial" w:cs="Arial"/>
              </w:rPr>
              <w:t>According to a security alert issued by the U.S. Cybersecurity and Infrastructure Security Agency (CISA), the ransomware attack led to the facility being shut down for two days. The shutdown led to a loss of productivity and decrease in revenue.</w:t>
            </w:r>
          </w:p>
        </w:tc>
      </w:tr>
      <w:tr w:rsidR="000211AC" w14:paraId="14DBC9E1" w14:textId="77777777" w:rsidTr="00515681">
        <w:trPr>
          <w:trHeight w:val="459"/>
        </w:trPr>
        <w:tc>
          <w:tcPr>
            <w:tcW w:w="9628" w:type="dxa"/>
            <w:gridSpan w:val="2"/>
          </w:tcPr>
          <w:p w14:paraId="3139E390" w14:textId="3074B5BF" w:rsidR="000211AC" w:rsidRDefault="000211AC" w:rsidP="00515681">
            <w:pPr>
              <w:pStyle w:val="TableBody"/>
            </w:pPr>
            <w:r w:rsidRPr="00F5205F">
              <w:rPr>
                <w:b/>
              </w:rPr>
              <w:t>Identified Gap:</w:t>
            </w:r>
            <w:r>
              <w:t xml:space="preserve"> </w:t>
            </w:r>
            <w:r w:rsidR="0096194D">
              <w:rPr>
                <w:rFonts w:ascii="Arial" w:eastAsiaTheme="majorEastAsia" w:hAnsi="Arial" w:cs="Arial"/>
              </w:rPr>
              <w:t>The entity attacked had an insufficient cyber emergency response plan as their existing emergency response plan focused on threats to physical safety and not cyber incidents. The incident also highlighted an inadequate segregation of IT and OT systems and insufficient personnel training on cyber and phishing attacks.</w:t>
            </w:r>
          </w:p>
        </w:tc>
      </w:tr>
    </w:tbl>
    <w:p w14:paraId="6B05E097" w14:textId="266CE69D" w:rsidR="000211AC" w:rsidRDefault="000211AC" w:rsidP="00F5205F">
      <w:pPr>
        <w:pStyle w:val="BodyText"/>
      </w:pPr>
    </w:p>
    <w:p w14:paraId="3AD7E1D6" w14:textId="06FFAF8E" w:rsidR="0096194D" w:rsidRDefault="0096194D" w:rsidP="00F5205F">
      <w:pPr>
        <w:pStyle w:val="BodyText"/>
      </w:pPr>
    </w:p>
    <w:p w14:paraId="19FE81C7" w14:textId="53C562B1" w:rsidR="0096194D" w:rsidRDefault="0096194D" w:rsidP="00F5205F">
      <w:pPr>
        <w:pStyle w:val="BodyText"/>
      </w:pPr>
    </w:p>
    <w:p w14:paraId="5668115E" w14:textId="716F20A8" w:rsidR="0096194D" w:rsidRDefault="0096194D" w:rsidP="00F5205F">
      <w:pPr>
        <w:pStyle w:val="BodyText"/>
      </w:pPr>
    </w:p>
    <w:p w14:paraId="4F44C13F" w14:textId="77777777" w:rsidR="0096194D" w:rsidRDefault="0096194D" w:rsidP="00F5205F">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96194D" w14:paraId="13D6C192" w14:textId="77777777" w:rsidTr="00515681">
        <w:tc>
          <w:tcPr>
            <w:tcW w:w="6663" w:type="dxa"/>
            <w:shd w:val="clear" w:color="auto" w:fill="034EA2" w:themeFill="accent1"/>
          </w:tcPr>
          <w:p w14:paraId="4F262072" w14:textId="7E7F5BD7" w:rsidR="0096194D" w:rsidRDefault="0096194D" w:rsidP="00515681">
            <w:pPr>
              <w:pStyle w:val="TableHeading"/>
            </w:pPr>
            <w:r w:rsidRPr="0096194D">
              <w:t>Cyberattack on US shared data network (2018)</w:t>
            </w:r>
          </w:p>
        </w:tc>
        <w:tc>
          <w:tcPr>
            <w:tcW w:w="2965" w:type="dxa"/>
            <w:shd w:val="clear" w:color="auto" w:fill="007BC3" w:themeFill="accent2"/>
          </w:tcPr>
          <w:p w14:paraId="04B7A237" w14:textId="77777777" w:rsidR="0096194D" w:rsidRDefault="0096194D" w:rsidP="00515681">
            <w:pPr>
              <w:pStyle w:val="Tableriskcategory"/>
            </w:pPr>
            <w:r w:rsidRPr="001B5334">
              <w:t>Cyber &amp; Supply Chain Risk</w:t>
            </w:r>
          </w:p>
        </w:tc>
      </w:tr>
      <w:tr w:rsidR="0096194D" w14:paraId="36AC132C" w14:textId="77777777" w:rsidTr="00515681">
        <w:tc>
          <w:tcPr>
            <w:tcW w:w="9628" w:type="dxa"/>
            <w:gridSpan w:val="2"/>
          </w:tcPr>
          <w:p w14:paraId="30CCAA3F" w14:textId="48A1E1AC" w:rsidR="0096194D" w:rsidRDefault="0096194D" w:rsidP="00515681">
            <w:pPr>
              <w:pStyle w:val="TableBody"/>
            </w:pPr>
            <w:r w:rsidRPr="00F5205F">
              <w:rPr>
                <w:b/>
              </w:rPr>
              <w:t>Situation:</w:t>
            </w:r>
            <w:r w:rsidRPr="000C29EB">
              <w:t xml:space="preserve"> </w:t>
            </w:r>
            <w:r>
              <w:rPr>
                <w:rFonts w:ascii="Arial" w:eastAsiaTheme="majorEastAsia" w:hAnsi="Arial" w:cs="Arial"/>
              </w:rPr>
              <w:t xml:space="preserve">In June </w:t>
            </w:r>
            <w:r w:rsidRPr="000B28C0">
              <w:rPr>
                <w:rFonts w:ascii="Arial" w:eastAsiaTheme="majorEastAsia" w:hAnsi="Arial" w:cs="Arial"/>
              </w:rPr>
              <w:t xml:space="preserve">2018, a </w:t>
            </w:r>
            <w:hyperlink r:id="rId52" w:history="1">
              <w:r w:rsidRPr="000B28C0">
                <w:rPr>
                  <w:rStyle w:val="Hyperlink"/>
                  <w:rFonts w:ascii="Arial" w:eastAsiaTheme="majorEastAsia" w:hAnsi="Arial" w:cs="Arial"/>
                  <w:u w:val="none"/>
                </w:rPr>
                <w:t>cyberattack</w:t>
              </w:r>
            </w:hyperlink>
            <w:r w:rsidRPr="000B28C0">
              <w:rPr>
                <w:rFonts w:ascii="Arial" w:eastAsiaTheme="majorEastAsia" w:hAnsi="Arial" w:cs="Arial"/>
              </w:rPr>
              <w:t xml:space="preserve"> on a shared</w:t>
            </w:r>
            <w:r>
              <w:rPr>
                <w:rFonts w:ascii="Arial" w:eastAsiaTheme="majorEastAsia" w:hAnsi="Arial" w:cs="Arial"/>
              </w:rPr>
              <w:t xml:space="preserve"> data network forced four natural-gas pipeline operators in the U.S. to temporarily shut down computer communications with their customers.  The attack’s target appears to have been Latitude Technologies, a Texas-based provider of electronic data-sharing between pipeline companies and their gas producer and utility customers.</w:t>
            </w:r>
          </w:p>
        </w:tc>
      </w:tr>
      <w:tr w:rsidR="0096194D" w14:paraId="74BD6F82" w14:textId="77777777" w:rsidTr="00515681">
        <w:tc>
          <w:tcPr>
            <w:tcW w:w="9628" w:type="dxa"/>
            <w:gridSpan w:val="2"/>
            <w:shd w:val="clear" w:color="auto" w:fill="F2F2F2" w:themeFill="background1" w:themeFillShade="F2"/>
          </w:tcPr>
          <w:p w14:paraId="02684220" w14:textId="3B57E8A8" w:rsidR="0096194D" w:rsidRDefault="0096194D" w:rsidP="00515681">
            <w:pPr>
              <w:pStyle w:val="TableBody"/>
            </w:pPr>
            <w:r w:rsidRPr="00F5205F">
              <w:rPr>
                <w:b/>
              </w:rPr>
              <w:t>Outcome:</w:t>
            </w:r>
            <w:r>
              <w:t xml:space="preserve"> </w:t>
            </w:r>
            <w:r w:rsidRPr="0096194D">
              <w:rPr>
                <w:rFonts w:ascii="Arial" w:eastAsiaTheme="majorEastAsia" w:hAnsi="Arial" w:cs="Arial"/>
              </w:rPr>
              <w:t>The cyberattack led to a temporary shutdown in customer communications for the four operators. There was no impact to gas supply and no customer data was compromised.  Although the incident did not affect any gas supplies, the attack shows the potential vulnerability of gas networks to cyberattacks and the significant impact that would occur.</w:t>
            </w:r>
          </w:p>
        </w:tc>
      </w:tr>
      <w:tr w:rsidR="0096194D" w14:paraId="1A31F95D" w14:textId="77777777" w:rsidTr="00515681">
        <w:trPr>
          <w:trHeight w:val="459"/>
        </w:trPr>
        <w:tc>
          <w:tcPr>
            <w:tcW w:w="9628" w:type="dxa"/>
            <w:gridSpan w:val="2"/>
          </w:tcPr>
          <w:p w14:paraId="226BBCAD" w14:textId="05F57F19" w:rsidR="0096194D" w:rsidRDefault="0096194D" w:rsidP="00515681">
            <w:pPr>
              <w:pStyle w:val="TableBody"/>
            </w:pPr>
            <w:r w:rsidRPr="00F5205F">
              <w:rPr>
                <w:b/>
              </w:rPr>
              <w:t>Identified Gap:</w:t>
            </w:r>
            <w:r>
              <w:t xml:space="preserve"> </w:t>
            </w:r>
            <w:r w:rsidRPr="0096194D">
              <w:rPr>
                <w:rFonts w:ascii="Arial" w:eastAsiaTheme="majorEastAsia" w:hAnsi="Arial" w:cs="Arial"/>
              </w:rPr>
              <w:t>The cyberattack highlighted the need for entities to maintain pace with evolving malware capabilities, work to strengthen their data security initiatives and ensure adequate contingencies are in place in the event of an attack.</w:t>
            </w:r>
          </w:p>
        </w:tc>
      </w:tr>
    </w:tbl>
    <w:p w14:paraId="75FD3EF8" w14:textId="77777777" w:rsidR="00FB419F" w:rsidRDefault="00FB419F" w:rsidP="00F5205F">
      <w:pPr>
        <w:pStyle w:val="BodyText"/>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96194D" w14:paraId="6B3BD4F8" w14:textId="77777777" w:rsidTr="00515681">
        <w:tc>
          <w:tcPr>
            <w:tcW w:w="6663" w:type="dxa"/>
            <w:shd w:val="clear" w:color="auto" w:fill="034EA2" w:themeFill="accent1"/>
          </w:tcPr>
          <w:p w14:paraId="7B44B743" w14:textId="5B8D76BD" w:rsidR="0096194D" w:rsidRDefault="0096194D" w:rsidP="00515681">
            <w:pPr>
              <w:pStyle w:val="TableHeading"/>
            </w:pPr>
            <w:r w:rsidRPr="0096194D">
              <w:t>Disruption to Longford gas plant (2021)</w:t>
            </w:r>
          </w:p>
        </w:tc>
        <w:tc>
          <w:tcPr>
            <w:tcW w:w="2965" w:type="dxa"/>
            <w:shd w:val="clear" w:color="auto" w:fill="007BC3" w:themeFill="accent2"/>
          </w:tcPr>
          <w:p w14:paraId="163786D2" w14:textId="3B5BC629" w:rsidR="0096194D" w:rsidRDefault="0096194D" w:rsidP="00515681">
            <w:pPr>
              <w:pStyle w:val="Tableriskcategory"/>
            </w:pPr>
            <w:r w:rsidRPr="0096194D">
              <w:t>Physical &amp; Supply Chain Risk</w:t>
            </w:r>
          </w:p>
        </w:tc>
      </w:tr>
      <w:tr w:rsidR="0096194D" w14:paraId="7339C2E9" w14:textId="77777777" w:rsidTr="00515681">
        <w:tc>
          <w:tcPr>
            <w:tcW w:w="9628" w:type="dxa"/>
            <w:gridSpan w:val="2"/>
          </w:tcPr>
          <w:p w14:paraId="71660E26" w14:textId="432E775B" w:rsidR="0096194D" w:rsidRDefault="0096194D" w:rsidP="00515681">
            <w:pPr>
              <w:pStyle w:val="TableBody"/>
            </w:pPr>
            <w:r w:rsidRPr="00F5205F">
              <w:rPr>
                <w:b/>
              </w:rPr>
              <w:t>Situation:</w:t>
            </w:r>
            <w:r w:rsidRPr="000C29EB">
              <w:t xml:space="preserve"> </w:t>
            </w:r>
            <w:r w:rsidRPr="0096194D">
              <w:rPr>
                <w:rFonts w:ascii="Arial" w:eastAsiaTheme="majorEastAsia" w:hAnsi="Arial" w:cs="Arial"/>
              </w:rPr>
              <w:t>The Longford gas plant in Victoria, the largest domestic gas production plant on the east coast suffered a disruption to production due to technical problems over a weekend in mid-July 2021, triggering a spike in prices. Gas production at Longford fell due to reported issues with the gas dehydrators.</w:t>
            </w:r>
          </w:p>
        </w:tc>
      </w:tr>
      <w:tr w:rsidR="0096194D" w14:paraId="6FA8CFD2" w14:textId="77777777" w:rsidTr="00515681">
        <w:tc>
          <w:tcPr>
            <w:tcW w:w="9628" w:type="dxa"/>
            <w:gridSpan w:val="2"/>
            <w:shd w:val="clear" w:color="auto" w:fill="F2F2F2" w:themeFill="background1" w:themeFillShade="F2"/>
          </w:tcPr>
          <w:p w14:paraId="09F74F45" w14:textId="3723CB8E" w:rsidR="0096194D" w:rsidRDefault="0096194D" w:rsidP="00515681">
            <w:pPr>
              <w:pStyle w:val="TableBody"/>
            </w:pPr>
            <w:r w:rsidRPr="00F5205F">
              <w:rPr>
                <w:b/>
              </w:rPr>
              <w:t>Outcome:</w:t>
            </w:r>
            <w:r>
              <w:t xml:space="preserve"> </w:t>
            </w:r>
            <w:r>
              <w:rPr>
                <w:rFonts w:ascii="Arial" w:eastAsia="Times New Roman" w:hAnsi="Arial" w:cs="Arial"/>
              </w:rPr>
              <w:t>The decrease in gas supply meant that Victorian wholesale gas price jumped to $39.99 a gigajoule on Saturday afternoon, about six times the average earlier in the year. The plant’s production was reduced by about 30-35% for more than 24 hours due to technical problems.</w:t>
            </w:r>
            <w:r>
              <w:rPr>
                <w:rFonts w:ascii="Arial" w:eastAsia="Times New Roman" w:hAnsi="Arial" w:cs="Arial"/>
                <w:vertAlign w:val="superscript"/>
              </w:rPr>
              <w:footnoteReference w:id="98"/>
            </w:r>
          </w:p>
        </w:tc>
      </w:tr>
      <w:tr w:rsidR="0096194D" w14:paraId="5212EB7B" w14:textId="77777777" w:rsidTr="00515681">
        <w:trPr>
          <w:trHeight w:val="459"/>
        </w:trPr>
        <w:tc>
          <w:tcPr>
            <w:tcW w:w="9628" w:type="dxa"/>
            <w:gridSpan w:val="2"/>
          </w:tcPr>
          <w:p w14:paraId="3A39AF9D" w14:textId="4A47B4C9" w:rsidR="0096194D" w:rsidRDefault="0096194D" w:rsidP="00515681">
            <w:pPr>
              <w:pStyle w:val="TableBody"/>
            </w:pPr>
            <w:r w:rsidRPr="00F5205F">
              <w:rPr>
                <w:b/>
              </w:rPr>
              <w:t>Identified Gap:</w:t>
            </w:r>
            <w:r>
              <w:t xml:space="preserve"> </w:t>
            </w:r>
            <w:r w:rsidRPr="0096194D">
              <w:rPr>
                <w:rFonts w:ascii="Arial" w:eastAsiaTheme="majorEastAsia" w:hAnsi="Arial" w:cs="Arial"/>
              </w:rPr>
              <w:t xml:space="preserve">The disruption highlighted the need for multiple supply sources and adequate contingencies in the event of an incident.  </w:t>
            </w:r>
          </w:p>
        </w:tc>
      </w:tr>
    </w:tbl>
    <w:p w14:paraId="4F255370" w14:textId="6A034601" w:rsidR="00E559EB" w:rsidRDefault="00E559EB" w:rsidP="00F5205F">
      <w:pPr>
        <w:pStyle w:val="BodyText"/>
      </w:pPr>
    </w:p>
    <w:p w14:paraId="1AA18CDA" w14:textId="77777777" w:rsidR="00E559EB" w:rsidRDefault="00E559EB">
      <w:pPr>
        <w:spacing w:before="80" w:after="80"/>
        <w:rPr>
          <w:rFonts w:cstheme="majorHAnsi"/>
          <w:sz w:val="22"/>
          <w:szCs w:val="28"/>
        </w:rPr>
      </w:pPr>
      <w:r>
        <w:br w:type="page"/>
      </w:r>
    </w:p>
    <w:p w14:paraId="4DAE017B" w14:textId="77777777" w:rsidR="009D1ADA" w:rsidRPr="009D1ADA" w:rsidRDefault="000C3D44" w:rsidP="00553B71">
      <w:pPr>
        <w:pStyle w:val="AppendixH2"/>
        <w:spacing w:after="120"/>
      </w:pPr>
      <w:r>
        <w:lastRenderedPageBreak/>
        <w:t xml:space="preserve">Key risks to </w:t>
      </w:r>
      <w:r w:rsidR="002D0254">
        <w:t xml:space="preserve">critical gas assets </w:t>
      </w:r>
      <w:r w:rsidRPr="002F1B2B">
        <w:t xml:space="preserve"> </w:t>
      </w:r>
    </w:p>
    <w:tbl>
      <w:tblPr>
        <w:tblStyle w:val="GridTable4-Accent12"/>
        <w:tblW w:w="0" w:type="auto"/>
        <w:tblInd w:w="1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1143"/>
        <w:gridCol w:w="3100"/>
        <w:gridCol w:w="5355"/>
      </w:tblGrid>
      <w:tr w:rsidR="005B2654" w14:paraId="375512CD" w14:textId="77777777" w:rsidTr="00E559EB">
        <w:trPr>
          <w:tblHeader/>
        </w:trPr>
        <w:tc>
          <w:tcPr>
            <w:tcW w:w="1143" w:type="dxa"/>
            <w:shd w:val="clear" w:color="auto" w:fill="034EA2" w:themeFill="accent1"/>
            <w:hideMark/>
          </w:tcPr>
          <w:p w14:paraId="4FF6BB6B" w14:textId="77777777" w:rsidR="00E70ED0" w:rsidRDefault="00E70ED0" w:rsidP="00E559EB">
            <w:pPr>
              <w:pStyle w:val="TableHeading"/>
            </w:pPr>
            <w:r>
              <w:t xml:space="preserve">Risk </w:t>
            </w:r>
          </w:p>
        </w:tc>
        <w:tc>
          <w:tcPr>
            <w:tcW w:w="3100" w:type="dxa"/>
            <w:shd w:val="clear" w:color="auto" w:fill="034EA2" w:themeFill="accent1"/>
            <w:hideMark/>
          </w:tcPr>
          <w:p w14:paraId="4780C978" w14:textId="77777777" w:rsidR="00E70ED0" w:rsidRDefault="00E70ED0" w:rsidP="00E559EB">
            <w:pPr>
              <w:pStyle w:val="TableHeading"/>
            </w:pPr>
            <w:r>
              <w:t>Identified risk</w:t>
            </w:r>
          </w:p>
        </w:tc>
        <w:tc>
          <w:tcPr>
            <w:tcW w:w="5355" w:type="dxa"/>
            <w:shd w:val="clear" w:color="auto" w:fill="034EA2" w:themeFill="accent1"/>
            <w:hideMark/>
          </w:tcPr>
          <w:p w14:paraId="32BDD304" w14:textId="77777777" w:rsidR="00E70ED0" w:rsidRDefault="00E70ED0" w:rsidP="00E559EB">
            <w:pPr>
              <w:pStyle w:val="TableHeading"/>
            </w:pPr>
            <w:r>
              <w:t>Example</w:t>
            </w:r>
          </w:p>
        </w:tc>
      </w:tr>
      <w:tr w:rsidR="00A94A5F" w14:paraId="6A6ED207" w14:textId="77777777" w:rsidTr="00E559EB">
        <w:tc>
          <w:tcPr>
            <w:tcW w:w="1143" w:type="dxa"/>
            <w:shd w:val="clear" w:color="auto" w:fill="F2F2F2" w:themeFill="accent6"/>
            <w:hideMark/>
          </w:tcPr>
          <w:p w14:paraId="55BF0DD9" w14:textId="77777777" w:rsidR="00E70ED0" w:rsidRDefault="00E70ED0" w:rsidP="00E559EB">
            <w:pPr>
              <w:pStyle w:val="TableBody"/>
            </w:pPr>
            <w:r>
              <w:t>Physical</w:t>
            </w:r>
          </w:p>
        </w:tc>
        <w:tc>
          <w:tcPr>
            <w:tcW w:w="3100" w:type="dxa"/>
            <w:shd w:val="clear" w:color="auto" w:fill="FFFFFF" w:themeFill="background1"/>
          </w:tcPr>
          <w:p w14:paraId="1D8333B2" w14:textId="77777777" w:rsidR="00E70ED0" w:rsidRDefault="00E70ED0" w:rsidP="00E559EB">
            <w:pPr>
              <w:pStyle w:val="TableBody"/>
            </w:pPr>
            <w:r>
              <w:t>Increased occurrence of extreme weather events and natural disasters, including heatwaves, bushfires and floods, means physical gas infrastructure is experiencing heightened pressure. This stems from both increased demand for energy and the threat or realisation of damage to critical infrastructure, such as power plants, power lines and pipelines.</w:t>
            </w:r>
          </w:p>
        </w:tc>
        <w:tc>
          <w:tcPr>
            <w:tcW w:w="5355" w:type="dxa"/>
            <w:shd w:val="clear" w:color="auto" w:fill="FFFFFF" w:themeFill="background1"/>
          </w:tcPr>
          <w:p w14:paraId="4D6302CA" w14:textId="77777777" w:rsidR="00E70ED0" w:rsidRDefault="00E70ED0" w:rsidP="00E559EB">
            <w:pPr>
              <w:pStyle w:val="TableBody"/>
            </w:pPr>
            <w:r>
              <w:rPr>
                <w:rFonts w:eastAsiaTheme="majorEastAsia"/>
              </w:rPr>
              <w:t>The Australian bushfires in the summer of 2020, which destroyed more than 10 million hectares of land and killed more than a billion animals, put unprecedented pressure on Australia’s critical gas assets. The combination of catastrophic bushfires and extreme weather conditions saw some Australian customers without electricity for an extended period. The Australian Energy Market Operator (AEMO) issued a level two ‘lack of reserve’ warning and signalled a potential need to call on emergency power reserves to avoid widespread blackouts. Approximately 10,000 customers in the Tumbarumba and South Coast regions, as well as an additional 5,800 Australians, were without electricity between New Years Eve of 2019 and early January 2020.</w:t>
            </w:r>
            <w:r>
              <w:rPr>
                <w:rStyle w:val="FootnoteReference"/>
                <w:rFonts w:ascii="Arial" w:eastAsiaTheme="majorEastAsia" w:hAnsi="Arial"/>
              </w:rPr>
              <w:footnoteReference w:id="99"/>
            </w:r>
          </w:p>
        </w:tc>
      </w:tr>
      <w:tr w:rsidR="00A94A5F" w14:paraId="3D88D1CF" w14:textId="77777777" w:rsidTr="00E559EB">
        <w:tc>
          <w:tcPr>
            <w:tcW w:w="1143" w:type="dxa"/>
            <w:shd w:val="clear" w:color="auto" w:fill="F2F2F2" w:themeFill="accent6"/>
            <w:hideMark/>
          </w:tcPr>
          <w:p w14:paraId="387C3DCC" w14:textId="77777777" w:rsidR="00E70ED0" w:rsidRDefault="00E70ED0" w:rsidP="00E559EB">
            <w:pPr>
              <w:pStyle w:val="TableBody"/>
              <w:rPr>
                <w:rFonts w:ascii="Calibri" w:hAnsi="Calibri"/>
              </w:rPr>
            </w:pPr>
            <w:r>
              <w:t>Cyber</w:t>
            </w:r>
          </w:p>
        </w:tc>
        <w:tc>
          <w:tcPr>
            <w:tcW w:w="3100" w:type="dxa"/>
            <w:shd w:val="clear" w:color="auto" w:fill="FFFFFF" w:themeFill="background1"/>
          </w:tcPr>
          <w:p w14:paraId="115B7A21" w14:textId="77777777" w:rsidR="00E70ED0" w:rsidRDefault="00E70ED0" w:rsidP="00E559EB">
            <w:pPr>
              <w:pStyle w:val="TableBody"/>
            </w:pPr>
            <w:r>
              <w:t>Critical gas assets are vulnerable to potential cyber-attacks at the production, transportation and distribution stages. Due to constant improvements in infiltration capabilities, it has become easier to carry out destructive cyber-attacks that cause operational and environmental disruptions to critical gas assets.</w:t>
            </w:r>
          </w:p>
        </w:tc>
        <w:tc>
          <w:tcPr>
            <w:tcW w:w="5355" w:type="dxa"/>
            <w:shd w:val="clear" w:color="auto" w:fill="FFFFFF" w:themeFill="background1"/>
          </w:tcPr>
          <w:p w14:paraId="7D68EE3F" w14:textId="77777777" w:rsidR="00E70ED0" w:rsidRDefault="00E70ED0" w:rsidP="00E559EB">
            <w:pPr>
              <w:pStyle w:val="TableBody"/>
              <w:rPr>
                <w:rFonts w:ascii="Calibri" w:hAnsi="Calibri"/>
              </w:rPr>
            </w:pPr>
            <w:r>
              <w:rPr>
                <w:rFonts w:eastAsiaTheme="majorEastAsia"/>
              </w:rPr>
              <w:t>In 2017, hackers deployed malware on a Saudi Arabian petrochemical plant, which allowed remote access to and control over the plant’s safety systems. The safety systems were designed as a ‘last line of defence’ against plant malfunctions, supporting plant processes in returning to safe levels or forcing them to cease operating where the threat of continued operation was too great.</w:t>
            </w:r>
            <w:r>
              <w:rPr>
                <w:rStyle w:val="FootnoteReference"/>
                <w:rFonts w:ascii="Arial" w:eastAsiaTheme="majorEastAsia" w:hAnsi="Arial"/>
              </w:rPr>
              <w:footnoteReference w:id="100"/>
            </w:r>
            <w:r>
              <w:rPr>
                <w:rFonts w:eastAsiaTheme="majorEastAsia"/>
              </w:rPr>
              <w:t xml:space="preserve"> Had the hackers’ infiltration been successful, it could have led to the release of toxic hydrogen sulphide gas or prompted explosions, putting at risk the lives of those who work at the facility and those in the surrounding area.</w:t>
            </w:r>
            <w:r>
              <w:rPr>
                <w:rStyle w:val="FootnoteReference"/>
                <w:rFonts w:ascii="Arial" w:eastAsiaTheme="majorEastAsia" w:hAnsi="Arial"/>
              </w:rPr>
              <w:footnoteReference w:id="101"/>
            </w:r>
          </w:p>
        </w:tc>
      </w:tr>
      <w:tr w:rsidR="00A94A5F" w14:paraId="31509CE2" w14:textId="77777777" w:rsidTr="00E559EB">
        <w:tc>
          <w:tcPr>
            <w:tcW w:w="1143" w:type="dxa"/>
            <w:shd w:val="clear" w:color="auto" w:fill="F2F2F2" w:themeFill="accent6"/>
            <w:hideMark/>
          </w:tcPr>
          <w:p w14:paraId="44E5D3D5" w14:textId="77777777" w:rsidR="00E70ED0" w:rsidRDefault="00E70ED0" w:rsidP="00E559EB">
            <w:pPr>
              <w:pStyle w:val="TableBody"/>
              <w:rPr>
                <w:rFonts w:ascii="Calibri" w:hAnsi="Calibri"/>
              </w:rPr>
            </w:pPr>
            <w:r>
              <w:t>Supply Chain</w:t>
            </w:r>
          </w:p>
        </w:tc>
        <w:tc>
          <w:tcPr>
            <w:tcW w:w="3100" w:type="dxa"/>
            <w:shd w:val="clear" w:color="auto" w:fill="FFFFFF" w:themeFill="background1"/>
          </w:tcPr>
          <w:p w14:paraId="3FFC5FDB" w14:textId="77777777" w:rsidR="00E70ED0" w:rsidRDefault="00E70ED0" w:rsidP="00E559EB">
            <w:pPr>
              <w:pStyle w:val="TableBody"/>
            </w:pPr>
            <w:r>
              <w:t>Critical gas assets rely heavily on international relationships, leaving, at times, suppliers and service providers vulnerable to the consequences of political instability and environmental concerns. Supply disruptions have the ability to immediately and detrimentally effect oil and gas prices.</w:t>
            </w:r>
            <w:r>
              <w:rPr>
                <w:rStyle w:val="FootnoteReference"/>
                <w:rFonts w:ascii="Arial" w:hAnsi="Arial"/>
              </w:rPr>
              <w:footnoteReference w:id="102"/>
            </w:r>
          </w:p>
        </w:tc>
        <w:tc>
          <w:tcPr>
            <w:tcW w:w="5355" w:type="dxa"/>
            <w:shd w:val="clear" w:color="auto" w:fill="FFFFFF" w:themeFill="background1"/>
          </w:tcPr>
          <w:p w14:paraId="4FF6275B" w14:textId="77777777" w:rsidR="00E70ED0" w:rsidRDefault="00E70ED0" w:rsidP="00E559EB">
            <w:pPr>
              <w:pStyle w:val="TableBody"/>
            </w:pPr>
            <w:r>
              <w:t>The COVID-19 pandemic resulted in a reduced need for gas products, stemming from industrial stoppages and travel restrictions. Supply chain risks arose through the need for some gas companies to cut back on capital and operational expenditures, which filtered down to suppliers and services companies who are reliant on upstream resources.</w:t>
            </w:r>
            <w:r>
              <w:rPr>
                <w:rStyle w:val="FootnoteReference"/>
                <w:rFonts w:ascii="Arial" w:hAnsi="Arial"/>
              </w:rPr>
              <w:footnoteReference w:id="103"/>
            </w:r>
          </w:p>
        </w:tc>
      </w:tr>
      <w:tr w:rsidR="00A94A5F" w14:paraId="0824FFF9" w14:textId="77777777" w:rsidTr="00E559EB">
        <w:tc>
          <w:tcPr>
            <w:tcW w:w="1143" w:type="dxa"/>
            <w:shd w:val="clear" w:color="auto" w:fill="F2F2F2" w:themeFill="accent6"/>
            <w:hideMark/>
          </w:tcPr>
          <w:p w14:paraId="7C9F673C" w14:textId="77777777" w:rsidR="00E70ED0" w:rsidRDefault="00E70ED0" w:rsidP="00E559EB">
            <w:pPr>
              <w:pStyle w:val="TableBody"/>
              <w:rPr>
                <w:rFonts w:ascii="Calibri" w:hAnsi="Calibri"/>
              </w:rPr>
            </w:pPr>
            <w:r>
              <w:t>Personnel</w:t>
            </w:r>
          </w:p>
        </w:tc>
        <w:tc>
          <w:tcPr>
            <w:tcW w:w="3100" w:type="dxa"/>
            <w:shd w:val="clear" w:color="auto" w:fill="FFFFFF" w:themeFill="background1"/>
          </w:tcPr>
          <w:p w14:paraId="0A486089" w14:textId="77777777" w:rsidR="00E70ED0" w:rsidRDefault="00E70ED0" w:rsidP="00E559EB">
            <w:pPr>
              <w:pStyle w:val="TableBody"/>
              <w:rPr>
                <w:rFonts w:ascii="Calibri" w:hAnsi="Calibri"/>
              </w:rPr>
            </w:pPr>
            <w:r>
              <w:t xml:space="preserve">Where personnel are immobilised for reasons that cannot be controlled, critical gas operations may be severely delayed or halted. </w:t>
            </w:r>
          </w:p>
        </w:tc>
        <w:tc>
          <w:tcPr>
            <w:tcW w:w="5355" w:type="dxa"/>
            <w:shd w:val="clear" w:color="auto" w:fill="FFFFFF" w:themeFill="background1"/>
          </w:tcPr>
          <w:p w14:paraId="15AC2570" w14:textId="77777777" w:rsidR="00E70ED0" w:rsidRDefault="00E70ED0" w:rsidP="00E559EB">
            <w:pPr>
              <w:pStyle w:val="TableBody"/>
            </w:pPr>
            <w:r>
              <w:t>The COVID-19 pandemic saw key industry personnel subject to extended periods of quarantine, forcing the closure of some gas generators or reduced capacity where insufficient personnel were available. Further, in the wake of extensive retrenchments to preserve and maintain economic viability through the pandemic, gas companies may face skilled labour shortages in the event of a market rebound.</w:t>
            </w:r>
          </w:p>
        </w:tc>
      </w:tr>
    </w:tbl>
    <w:p w14:paraId="059F5052" w14:textId="77777777" w:rsidR="000C3D44" w:rsidRDefault="000C3D44" w:rsidP="004F16FE">
      <w:pPr>
        <w:pStyle w:val="AppendixH2"/>
      </w:pPr>
      <w:r w:rsidRPr="000F6098">
        <w:lastRenderedPageBreak/>
        <w:t xml:space="preserve">Existing legislation related to </w:t>
      </w:r>
      <w:r w:rsidR="009D1ADA">
        <w:t xml:space="preserve">critical gas assets </w:t>
      </w:r>
    </w:p>
    <w:tbl>
      <w:tblPr>
        <w:tblStyle w:val="TableGrid"/>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560"/>
        <w:gridCol w:w="4304"/>
        <w:gridCol w:w="3774"/>
      </w:tblGrid>
      <w:tr w:rsidR="00106C06" w14:paraId="220EAB18" w14:textId="77777777" w:rsidTr="00E376CC">
        <w:trPr>
          <w:trHeight w:val="227"/>
          <w:tblHeader/>
        </w:trPr>
        <w:tc>
          <w:tcPr>
            <w:tcW w:w="3042" w:type="pct"/>
            <w:gridSpan w:val="2"/>
            <w:shd w:val="clear" w:color="auto" w:fill="034EA2" w:themeFill="accent1"/>
            <w:hideMark/>
          </w:tcPr>
          <w:p w14:paraId="544AB81D" w14:textId="77777777" w:rsidR="00106C06" w:rsidRDefault="00106C06" w:rsidP="00553B71">
            <w:pPr>
              <w:pStyle w:val="TableHeading"/>
              <w:rPr>
                <w:i/>
                <w:iCs/>
              </w:rPr>
            </w:pPr>
            <w:r>
              <w:t>Overview of regulation</w:t>
            </w:r>
          </w:p>
        </w:tc>
        <w:tc>
          <w:tcPr>
            <w:tcW w:w="1958" w:type="pct"/>
            <w:shd w:val="clear" w:color="auto" w:fill="034EA2" w:themeFill="accent1"/>
            <w:hideMark/>
          </w:tcPr>
          <w:p w14:paraId="5186238D" w14:textId="77777777" w:rsidR="00106C06" w:rsidRDefault="00106C06" w:rsidP="00553B71">
            <w:pPr>
              <w:pStyle w:val="TableHeading"/>
            </w:pPr>
            <w:r>
              <w:t>Identified gaps</w:t>
            </w:r>
          </w:p>
        </w:tc>
      </w:tr>
      <w:tr w:rsidR="00106C06" w14:paraId="636A5B30" w14:textId="77777777" w:rsidTr="7EBB1CEE">
        <w:tc>
          <w:tcPr>
            <w:tcW w:w="809" w:type="pct"/>
            <w:shd w:val="clear" w:color="auto" w:fill="F2F2F2" w:themeFill="background2" w:themeFillShade="F2"/>
            <w:hideMark/>
          </w:tcPr>
          <w:p w14:paraId="27C68D83" w14:textId="77777777" w:rsidR="00106C06" w:rsidRPr="00553B71" w:rsidRDefault="00106C06" w:rsidP="00553B71">
            <w:pPr>
              <w:pStyle w:val="TableBody"/>
              <w:rPr>
                <w:i/>
                <w:iCs/>
              </w:rPr>
            </w:pPr>
            <w:r w:rsidRPr="00553B71">
              <w:rPr>
                <w:i/>
                <w:iCs/>
              </w:rPr>
              <w:t>National Gas (South Australia) Act 2008</w:t>
            </w:r>
          </w:p>
        </w:tc>
        <w:tc>
          <w:tcPr>
            <w:tcW w:w="2232" w:type="pct"/>
          </w:tcPr>
          <w:p w14:paraId="072FB39C" w14:textId="77777777" w:rsidR="00106C06" w:rsidRDefault="00106C06" w:rsidP="00553B71">
            <w:pPr>
              <w:pStyle w:val="TableBody"/>
            </w:pPr>
            <w:r>
              <w:t xml:space="preserve">Adopted as the model law, referred to as the National Gas Law, and implemented (with minor amendments) across Australian State and Territory participants in the National Gas Market. </w:t>
            </w:r>
          </w:p>
          <w:p w14:paraId="3989E072" w14:textId="77777777" w:rsidR="00106C06" w:rsidRDefault="00106C06" w:rsidP="00553B71">
            <w:pPr>
              <w:pStyle w:val="TableBody"/>
            </w:pPr>
            <w:r>
              <w:t>The equivalent State and Territory Acts include:</w:t>
            </w:r>
          </w:p>
          <w:p w14:paraId="79743F84" w14:textId="77777777" w:rsidR="00106C06" w:rsidRPr="00553B71" w:rsidRDefault="00106C06" w:rsidP="00553B71">
            <w:pPr>
              <w:pStyle w:val="TableBullet"/>
              <w:rPr>
                <w:i/>
                <w:iCs/>
              </w:rPr>
            </w:pPr>
            <w:r w:rsidRPr="00553B71">
              <w:rPr>
                <w:i/>
                <w:iCs/>
              </w:rPr>
              <w:t xml:space="preserve">National Gas (ACT) Act 2008; </w:t>
            </w:r>
          </w:p>
          <w:p w14:paraId="7BB59D71" w14:textId="77777777" w:rsidR="00106C06" w:rsidRPr="00553B71" w:rsidRDefault="00106C06" w:rsidP="00553B71">
            <w:pPr>
              <w:pStyle w:val="TableBullet"/>
              <w:rPr>
                <w:i/>
                <w:iCs/>
              </w:rPr>
            </w:pPr>
            <w:r w:rsidRPr="00553B71">
              <w:rPr>
                <w:i/>
                <w:iCs/>
              </w:rPr>
              <w:t xml:space="preserve">National Gas (New South Wales) Act 2008 No 31 &amp; National Gas (New South Wales) Law No 31a; </w:t>
            </w:r>
          </w:p>
          <w:p w14:paraId="0165E6E0" w14:textId="77777777" w:rsidR="00106C06" w:rsidRPr="00553B71" w:rsidRDefault="00106C06" w:rsidP="00553B71">
            <w:pPr>
              <w:pStyle w:val="TableBullet"/>
              <w:rPr>
                <w:i/>
                <w:iCs/>
              </w:rPr>
            </w:pPr>
            <w:r w:rsidRPr="00553B71">
              <w:rPr>
                <w:i/>
                <w:iCs/>
              </w:rPr>
              <w:t xml:space="preserve">National Gas (Northern Territory) Act 2008; </w:t>
            </w:r>
          </w:p>
          <w:p w14:paraId="3D56C55D" w14:textId="77777777" w:rsidR="00106C06" w:rsidRPr="00553B71" w:rsidRDefault="00106C06" w:rsidP="00553B71">
            <w:pPr>
              <w:pStyle w:val="TableBullet"/>
              <w:rPr>
                <w:i/>
                <w:iCs/>
              </w:rPr>
            </w:pPr>
            <w:r w:rsidRPr="00553B71">
              <w:rPr>
                <w:i/>
                <w:iCs/>
              </w:rPr>
              <w:t xml:space="preserve">National Gas (Queensland) Act 2008; </w:t>
            </w:r>
          </w:p>
          <w:p w14:paraId="44DE5E26" w14:textId="77777777" w:rsidR="00106C06" w:rsidRPr="00553B71" w:rsidRDefault="00106C06" w:rsidP="00553B71">
            <w:pPr>
              <w:pStyle w:val="TableBullet"/>
              <w:rPr>
                <w:i/>
                <w:iCs/>
              </w:rPr>
            </w:pPr>
            <w:r w:rsidRPr="00553B71">
              <w:rPr>
                <w:i/>
                <w:iCs/>
              </w:rPr>
              <w:t xml:space="preserve">National Gas (Tasmania) Act 2008; and </w:t>
            </w:r>
          </w:p>
          <w:p w14:paraId="21CEA32F" w14:textId="77777777" w:rsidR="00106C06" w:rsidRPr="00553B71" w:rsidRDefault="00106C06" w:rsidP="00553B71">
            <w:pPr>
              <w:pStyle w:val="TableBullet"/>
              <w:rPr>
                <w:i/>
                <w:iCs/>
              </w:rPr>
            </w:pPr>
            <w:r w:rsidRPr="00553B71">
              <w:rPr>
                <w:i/>
                <w:iCs/>
              </w:rPr>
              <w:t xml:space="preserve">National Gas (Victoria) Act 2008. </w:t>
            </w:r>
          </w:p>
          <w:p w14:paraId="0F571194" w14:textId="77777777" w:rsidR="00106C06" w:rsidRDefault="00106C06" w:rsidP="00553B71">
            <w:pPr>
              <w:pStyle w:val="TableBody"/>
            </w:pPr>
            <w:r>
              <w:t xml:space="preserve">Western Australia participates in the National Gas Market to the extent set out in the </w:t>
            </w:r>
            <w:r>
              <w:rPr>
                <w:i/>
                <w:iCs/>
              </w:rPr>
              <w:t>National Gas Access (WA) Act 2009</w:t>
            </w:r>
            <w:r>
              <w:t xml:space="preserve">. </w:t>
            </w:r>
          </w:p>
        </w:tc>
        <w:tc>
          <w:tcPr>
            <w:tcW w:w="1958" w:type="pct"/>
            <w:shd w:val="clear" w:color="auto" w:fill="F2F2F2" w:themeFill="background2" w:themeFillShade="F2"/>
            <w:hideMark/>
          </w:tcPr>
          <w:p w14:paraId="1A4A0387" w14:textId="77777777" w:rsidR="00106C06" w:rsidRDefault="00106C06" w:rsidP="00553B71">
            <w:pPr>
              <w:pStyle w:val="TableBody"/>
            </w:pPr>
            <w:r>
              <w:t xml:space="preserve">The National Gas Law is contained in a Schedule to the </w:t>
            </w:r>
            <w:r>
              <w:rPr>
                <w:i/>
                <w:iCs/>
              </w:rPr>
              <w:t>National Gas (South Australia) Act 2008</w:t>
            </w:r>
            <w:r>
              <w:t xml:space="preserve"> and sets out a State and Territory access regime for gas pipelines, which are subject to either ‘light’ or ‘full’ regulation, if classified as ‘covered’ pipelines. A person seeking access to a natural gas pipeline must satisfy certain criteria before obtaining a statutory right of access.</w:t>
            </w:r>
            <w:r>
              <w:rPr>
                <w:rStyle w:val="FootnoteReference"/>
                <w:rFonts w:ascii="Arial" w:hAnsi="Arial" w:cs="Arial"/>
              </w:rPr>
              <w:footnoteReference w:id="104"/>
            </w:r>
          </w:p>
          <w:p w14:paraId="247624B1" w14:textId="77777777" w:rsidR="00106C06" w:rsidRDefault="00106C06" w:rsidP="00553B71">
            <w:pPr>
              <w:pStyle w:val="TableBody"/>
            </w:pPr>
            <w:r>
              <w:t>The National Gas Law is supported by the National Gas Regulations and National Gas Rules, which govern access to natural gas pipeline services. However, the National Gas Law is focussed on access and licensing regimes. It does not impose baseline risk reduction requirements on entities.</w:t>
            </w:r>
          </w:p>
        </w:tc>
      </w:tr>
      <w:tr w:rsidR="00106C06" w14:paraId="763F8D36" w14:textId="77777777" w:rsidTr="7EBB1CEE">
        <w:tc>
          <w:tcPr>
            <w:tcW w:w="809" w:type="pct"/>
            <w:shd w:val="clear" w:color="auto" w:fill="F2F2F2" w:themeFill="background2" w:themeFillShade="F2"/>
            <w:hideMark/>
          </w:tcPr>
          <w:p w14:paraId="023925D2" w14:textId="77777777" w:rsidR="00106C06" w:rsidRDefault="00106C06" w:rsidP="00553B71">
            <w:pPr>
              <w:pStyle w:val="TableBody"/>
            </w:pPr>
            <w:r w:rsidRPr="00553B71">
              <w:rPr>
                <w:i/>
                <w:iCs/>
              </w:rPr>
              <w:t>Australian Energy Market Act 2004</w:t>
            </w:r>
            <w:r>
              <w:t xml:space="preserve"> (Cth)</w:t>
            </w:r>
          </w:p>
        </w:tc>
        <w:tc>
          <w:tcPr>
            <w:tcW w:w="2232" w:type="pct"/>
            <w:hideMark/>
          </w:tcPr>
          <w:p w14:paraId="656C938C" w14:textId="77777777" w:rsidR="00106C06" w:rsidRDefault="00106C06" w:rsidP="00553B71">
            <w:pPr>
              <w:pStyle w:val="TableBody"/>
            </w:pPr>
            <w:r>
              <w:t>Applies the National Gas Law, the National Gas Regulations and the National Gas Rules as Commonwealth law in offshore areas as part of a uniform scheme of national electricity regulation.</w:t>
            </w:r>
          </w:p>
        </w:tc>
        <w:tc>
          <w:tcPr>
            <w:tcW w:w="1958" w:type="pct"/>
            <w:shd w:val="clear" w:color="auto" w:fill="F2F2F2" w:themeFill="background2" w:themeFillShade="F2"/>
            <w:hideMark/>
          </w:tcPr>
          <w:p w14:paraId="11654CCA" w14:textId="77777777" w:rsidR="00106C06" w:rsidRDefault="00106C06" w:rsidP="00553B71">
            <w:pPr>
              <w:pStyle w:val="TableBody"/>
            </w:pPr>
            <w:r>
              <w:t xml:space="preserve">This Act has, largely, an administrative purpose in applying the National Gas Law in offshore areas. It does not seek to impose any provisions supplementary to the National Gas Law and therefore, does not impose risk reduction requirements. </w:t>
            </w:r>
          </w:p>
        </w:tc>
      </w:tr>
      <w:tr w:rsidR="00106C06" w14:paraId="448E6A8A" w14:textId="77777777" w:rsidTr="7EBB1CEE">
        <w:tc>
          <w:tcPr>
            <w:tcW w:w="809" w:type="pct"/>
            <w:shd w:val="clear" w:color="auto" w:fill="F2F2F2" w:themeFill="background2" w:themeFillShade="F2"/>
            <w:hideMark/>
          </w:tcPr>
          <w:p w14:paraId="7F195AC8" w14:textId="77777777" w:rsidR="00106C06" w:rsidRDefault="00106C06" w:rsidP="00553B71">
            <w:pPr>
              <w:pStyle w:val="TableBody"/>
            </w:pPr>
            <w:r w:rsidRPr="00553B71">
              <w:rPr>
                <w:i/>
                <w:iCs/>
              </w:rPr>
              <w:t>Customs (Prohibited Exports) Regulations 1958</w:t>
            </w:r>
            <w:r>
              <w:t xml:space="preserve"> (Cth)</w:t>
            </w:r>
          </w:p>
        </w:tc>
        <w:tc>
          <w:tcPr>
            <w:tcW w:w="2232" w:type="pct"/>
            <w:hideMark/>
          </w:tcPr>
          <w:p w14:paraId="0ABCA8C4" w14:textId="77777777" w:rsidR="00106C06" w:rsidRDefault="00106C06" w:rsidP="00553B71">
            <w:pPr>
              <w:pStyle w:val="TableBody"/>
            </w:pPr>
            <w:r>
              <w:t>Division 6 of the Regulations introduces the Australian Domestic Gas Security Mechanism (ADGSM), designed to ensure a sufficient supply of natural gas is maintained to meet the Australia’s needs. Where a supply shortfall arises, the ADGSM may mandate that Liquified Natural Gas projects limit their exports or find new gas sources.</w:t>
            </w:r>
            <w:r>
              <w:rPr>
                <w:rStyle w:val="FootnoteReference"/>
                <w:rFonts w:ascii="Arial" w:hAnsi="Arial" w:cs="Arial"/>
              </w:rPr>
              <w:footnoteReference w:id="105"/>
            </w:r>
            <w:r>
              <w:t xml:space="preserve"> </w:t>
            </w:r>
          </w:p>
        </w:tc>
        <w:tc>
          <w:tcPr>
            <w:tcW w:w="1958" w:type="pct"/>
            <w:shd w:val="clear" w:color="auto" w:fill="F2F2F2" w:themeFill="background2" w:themeFillShade="F2"/>
            <w:hideMark/>
          </w:tcPr>
          <w:p w14:paraId="02A30F4B" w14:textId="1A82C650" w:rsidR="00106C06" w:rsidRDefault="00106C06" w:rsidP="00553B71">
            <w:pPr>
              <w:pStyle w:val="TableBody"/>
            </w:pPr>
            <w:r>
              <w:t xml:space="preserve">The ADGSM offers a targeted approach to securing Australia’s supply chains only. It does not seek to mitigate threats which exist in other identified </w:t>
            </w:r>
            <w:r w:rsidR="006B3927">
              <w:t xml:space="preserve">hazard </w:t>
            </w:r>
            <w:r>
              <w:t xml:space="preserve">domains – including physical, cyber and personnel risks.  </w:t>
            </w:r>
          </w:p>
        </w:tc>
      </w:tr>
      <w:tr w:rsidR="00106C06" w14:paraId="27F0B2C0" w14:textId="77777777" w:rsidTr="7EBB1CEE">
        <w:trPr>
          <w:cantSplit/>
        </w:trPr>
        <w:tc>
          <w:tcPr>
            <w:tcW w:w="809" w:type="pct"/>
            <w:shd w:val="clear" w:color="auto" w:fill="F2F2F2" w:themeFill="background2" w:themeFillShade="F2"/>
            <w:hideMark/>
          </w:tcPr>
          <w:p w14:paraId="269A161D" w14:textId="77777777" w:rsidR="00106C06" w:rsidRDefault="00106C06" w:rsidP="00553B71">
            <w:pPr>
              <w:pStyle w:val="TableBody"/>
              <w:rPr>
                <w:rFonts w:eastAsiaTheme="majorEastAsia"/>
              </w:rPr>
            </w:pPr>
            <w:r w:rsidRPr="00553B71">
              <w:rPr>
                <w:i/>
                <w:iCs/>
              </w:rPr>
              <w:t>Gas Supply Act 1996 (NSW) &amp; Gas Supply (Safety and Network Management) Regulation 2013</w:t>
            </w:r>
            <w:r>
              <w:t xml:space="preserve"> (NSW)</w:t>
            </w:r>
          </w:p>
        </w:tc>
        <w:tc>
          <w:tcPr>
            <w:tcW w:w="2232" w:type="pct"/>
            <w:hideMark/>
          </w:tcPr>
          <w:p w14:paraId="004F292F" w14:textId="77777777" w:rsidR="00106C06" w:rsidRDefault="00106C06" w:rsidP="00553B71">
            <w:pPr>
              <w:pStyle w:val="TableBody"/>
            </w:pPr>
            <w:r>
              <w:t xml:space="preserve">Requires that all Network Operators in New South Wales submit a Safety and Operating Plan with the Secretary of the NSW Department of Planning &amp; Environment. </w:t>
            </w:r>
          </w:p>
        </w:tc>
        <w:tc>
          <w:tcPr>
            <w:tcW w:w="1958" w:type="pct"/>
            <w:shd w:val="clear" w:color="auto" w:fill="F2F2F2" w:themeFill="background2" w:themeFillShade="F2"/>
            <w:hideMark/>
          </w:tcPr>
          <w:p w14:paraId="77EBB0F6" w14:textId="77777777" w:rsidR="00106C06" w:rsidRDefault="00106C06" w:rsidP="00553B71">
            <w:pPr>
              <w:pStyle w:val="TableBody"/>
            </w:pPr>
            <w:r>
              <w:t>While the requirement for a safety management system may contribute to suitable risk management, it does not amount to an all hazards approach to risk management, nor is the requirement for a Plan imposed on a whole-of-sector basis.</w:t>
            </w:r>
          </w:p>
        </w:tc>
      </w:tr>
      <w:tr w:rsidR="00106C06" w14:paraId="017D2A01" w14:textId="77777777" w:rsidTr="7EBB1CEE">
        <w:trPr>
          <w:cantSplit/>
        </w:trPr>
        <w:tc>
          <w:tcPr>
            <w:tcW w:w="809" w:type="pct"/>
            <w:shd w:val="clear" w:color="auto" w:fill="F2F2F2" w:themeFill="background2" w:themeFillShade="F2"/>
            <w:hideMark/>
          </w:tcPr>
          <w:p w14:paraId="58062878" w14:textId="77777777" w:rsidR="00106C06" w:rsidRDefault="00106C06" w:rsidP="00553B71">
            <w:pPr>
              <w:pStyle w:val="TableBody"/>
            </w:pPr>
            <w:r w:rsidRPr="00553B71">
              <w:rPr>
                <w:i/>
                <w:iCs/>
              </w:rPr>
              <w:lastRenderedPageBreak/>
              <w:t>Petroleum and Gas (Production and Safety) Act 2004</w:t>
            </w:r>
            <w:r>
              <w:t xml:space="preserve"> (QLD)</w:t>
            </w:r>
          </w:p>
        </w:tc>
        <w:tc>
          <w:tcPr>
            <w:tcW w:w="2232" w:type="pct"/>
            <w:hideMark/>
          </w:tcPr>
          <w:p w14:paraId="7F4B70B0" w14:textId="77777777" w:rsidR="00106C06" w:rsidRDefault="00106C06" w:rsidP="00553B71">
            <w:pPr>
              <w:pStyle w:val="TableBody"/>
            </w:pPr>
            <w:r>
              <w:t xml:space="preserve">Requires that captured operators in Queensland have in place a safety management system which details, most relevantly, organisational safety policies, structures and responsibilities, a formal safety assessment including a systematic assessment of risks, how they may arise and how they will be controlled.  </w:t>
            </w:r>
          </w:p>
        </w:tc>
        <w:tc>
          <w:tcPr>
            <w:tcW w:w="1958" w:type="pct"/>
            <w:shd w:val="clear" w:color="auto" w:fill="F2F2F2" w:themeFill="background2" w:themeFillShade="F2"/>
            <w:hideMark/>
          </w:tcPr>
          <w:p w14:paraId="0C2EFBC3" w14:textId="77777777" w:rsidR="00106C06" w:rsidRDefault="00106C06" w:rsidP="00553B71">
            <w:pPr>
              <w:pStyle w:val="TableBody"/>
            </w:pPr>
            <w:r>
              <w:t>While the requirement for a safety management system may contribute to suitable risk management, it does not amount to an all hazards approach to risk management, nor is the requirement for a safety management system imposed on a whole-of-sector basis.</w:t>
            </w:r>
          </w:p>
        </w:tc>
      </w:tr>
      <w:tr w:rsidR="00106C06" w14:paraId="6CF1E35C" w14:textId="77777777" w:rsidTr="7EBB1CEE">
        <w:trPr>
          <w:cantSplit/>
        </w:trPr>
        <w:tc>
          <w:tcPr>
            <w:tcW w:w="809" w:type="pct"/>
            <w:shd w:val="clear" w:color="auto" w:fill="F2F2F2" w:themeFill="background2" w:themeFillShade="F2"/>
            <w:hideMark/>
          </w:tcPr>
          <w:p w14:paraId="39C12AC0" w14:textId="77777777" w:rsidR="00106C06" w:rsidRDefault="00106C06" w:rsidP="00553B71">
            <w:pPr>
              <w:pStyle w:val="TableBody"/>
            </w:pPr>
            <w:r w:rsidRPr="00553B71">
              <w:rPr>
                <w:i/>
                <w:iCs/>
              </w:rPr>
              <w:t>Gas Safety Act 1997</w:t>
            </w:r>
            <w:r>
              <w:t xml:space="preserve"> (VIC)</w:t>
            </w:r>
          </w:p>
        </w:tc>
        <w:tc>
          <w:tcPr>
            <w:tcW w:w="2232" w:type="pct"/>
            <w:hideMark/>
          </w:tcPr>
          <w:p w14:paraId="4291DF0B" w14:textId="77777777" w:rsidR="00106C06" w:rsidRDefault="00106C06" w:rsidP="00553B71">
            <w:pPr>
              <w:pStyle w:val="TableBody"/>
            </w:pPr>
            <w:r>
              <w:t>Imposes general duties on gas companies in Victoria, including a requirement to manage and operate facilities to minimise, as far as practicable, hazards and risks to the safety of the public and customers arising from gas, interruptions to the conveyance or supply of gas, and the reinstatement of an interrupted gas supply.</w:t>
            </w:r>
          </w:p>
        </w:tc>
        <w:tc>
          <w:tcPr>
            <w:tcW w:w="1958" w:type="pct"/>
            <w:shd w:val="clear" w:color="auto" w:fill="F2F2F2" w:themeFill="background2" w:themeFillShade="F2"/>
            <w:hideMark/>
          </w:tcPr>
          <w:p w14:paraId="71267F63" w14:textId="77777777" w:rsidR="00106C06" w:rsidRDefault="00106C06" w:rsidP="00553B71">
            <w:pPr>
              <w:pStyle w:val="TableBody"/>
            </w:pPr>
            <w:r>
              <w:t>While a general duty to manage and operate gas facilities with hazards and risks in mind may contribute to suitable risk management, it does not amount to an all hazards approach to risk management, nor are the identified duties imposed on a whole-of-sector basis.</w:t>
            </w:r>
          </w:p>
        </w:tc>
      </w:tr>
    </w:tbl>
    <w:p w14:paraId="16AC3DEE" w14:textId="77777777" w:rsidR="00F47981" w:rsidRPr="00F47981" w:rsidRDefault="00F47981" w:rsidP="001D347E">
      <w:pPr>
        <w:pStyle w:val="BodyText"/>
        <w:spacing w:before="240"/>
      </w:pPr>
      <w:r>
        <w:t>The National Gas Law, while providing a comprehensive framework for the operation and regulation of the NEM, does not offer guidelines for consistent risk management practice across all critical gas assets. While some states and territories have sought to supplement this national regime with other safety and risk management obligations, the interconnected nature of critical gas assets, and Australia’s critical infrastructure as a whole (as discussed throughout this RIS) means consistent, national standards are imperative.</w:t>
      </w:r>
    </w:p>
    <w:p w14:paraId="68D09086" w14:textId="6CB1756F" w:rsidR="000C3D44" w:rsidRDefault="000C3D44" w:rsidP="004F16FE">
      <w:pPr>
        <w:pStyle w:val="AppendixH2"/>
      </w:pPr>
      <w:r>
        <w:t xml:space="preserve">Existing standards, guidelines and regulators for </w:t>
      </w:r>
      <w:r w:rsidR="008C77B5">
        <w:t>critical gas assets</w:t>
      </w: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555"/>
        <w:gridCol w:w="2556"/>
        <w:gridCol w:w="5517"/>
      </w:tblGrid>
      <w:tr w:rsidR="007D7452" w14:paraId="06E6CED2" w14:textId="77777777" w:rsidTr="7EBB1CEE">
        <w:trPr>
          <w:tblHeader/>
        </w:trPr>
        <w:tc>
          <w:tcPr>
            <w:tcW w:w="1555" w:type="dxa"/>
            <w:tcBorders>
              <w:bottom w:val="single" w:sz="4" w:space="0" w:color="BFBFBF" w:themeColor="background2" w:themeShade="BF"/>
            </w:tcBorders>
            <w:shd w:val="clear" w:color="auto" w:fill="034EA2" w:themeFill="accent1"/>
          </w:tcPr>
          <w:p w14:paraId="3795AE33" w14:textId="4029ED13" w:rsidR="007D7452" w:rsidRDefault="007D7452" w:rsidP="007D7452">
            <w:pPr>
              <w:pStyle w:val="TableHeading"/>
              <w:rPr>
                <w:lang w:eastAsia="en-AU"/>
              </w:rPr>
            </w:pPr>
            <w:r>
              <w:rPr>
                <w:lang w:eastAsia="en-AU"/>
              </w:rPr>
              <w:t>Hazard domain</w:t>
            </w:r>
          </w:p>
        </w:tc>
        <w:tc>
          <w:tcPr>
            <w:tcW w:w="2556" w:type="dxa"/>
            <w:shd w:val="clear" w:color="auto" w:fill="034EA2" w:themeFill="accent1"/>
          </w:tcPr>
          <w:p w14:paraId="0448ADA1" w14:textId="01171BBC" w:rsidR="007D7452" w:rsidRDefault="007D7452" w:rsidP="007D7452">
            <w:pPr>
              <w:pStyle w:val="TableHeading"/>
              <w:rPr>
                <w:lang w:eastAsia="en-AU"/>
              </w:rPr>
            </w:pPr>
            <w:r>
              <w:rPr>
                <w:lang w:eastAsia="en-AU"/>
              </w:rPr>
              <w:t>Organisation</w:t>
            </w:r>
          </w:p>
        </w:tc>
        <w:tc>
          <w:tcPr>
            <w:tcW w:w="5517" w:type="dxa"/>
            <w:shd w:val="clear" w:color="auto" w:fill="034EA2" w:themeFill="accent1"/>
          </w:tcPr>
          <w:p w14:paraId="7339AE76" w14:textId="577E2CB1" w:rsidR="007D7452" w:rsidRDefault="007D7452" w:rsidP="007D7452">
            <w:pPr>
              <w:pStyle w:val="TableHeading"/>
              <w:rPr>
                <w:lang w:eastAsia="en-AU"/>
              </w:rPr>
            </w:pPr>
            <w:r>
              <w:rPr>
                <w:lang w:eastAsia="en-AU"/>
              </w:rPr>
              <w:t>Standards &amp; Guidelines</w:t>
            </w:r>
          </w:p>
        </w:tc>
      </w:tr>
      <w:tr w:rsidR="007D7452" w14:paraId="0A85305F" w14:textId="77777777" w:rsidTr="7EBB1CEE">
        <w:tc>
          <w:tcPr>
            <w:tcW w:w="1555" w:type="dxa"/>
            <w:tcBorders>
              <w:top w:val="single" w:sz="4" w:space="0" w:color="BFBFBF" w:themeColor="background2" w:themeShade="BF"/>
              <w:bottom w:val="nil"/>
            </w:tcBorders>
            <w:shd w:val="clear" w:color="auto" w:fill="F2F2F2" w:themeFill="background2" w:themeFillShade="F2"/>
          </w:tcPr>
          <w:p w14:paraId="4989A86A" w14:textId="46F79EA9" w:rsidR="007D7452" w:rsidRDefault="007D7452" w:rsidP="007D7452">
            <w:pPr>
              <w:pStyle w:val="TableBody"/>
              <w:rPr>
                <w:lang w:eastAsia="en-AU"/>
              </w:rPr>
            </w:pPr>
            <w:r>
              <w:rPr>
                <w:lang w:eastAsia="en-AU"/>
              </w:rPr>
              <w:t>Cyber</w:t>
            </w:r>
          </w:p>
        </w:tc>
        <w:tc>
          <w:tcPr>
            <w:tcW w:w="2556" w:type="dxa"/>
          </w:tcPr>
          <w:p w14:paraId="558D3C6D" w14:textId="77777777" w:rsidR="00821F47" w:rsidRDefault="00821F47" w:rsidP="00821F47">
            <w:pPr>
              <w:spacing w:after="80"/>
              <w:rPr>
                <w:rFonts w:ascii="Arial" w:hAnsi="Arial" w:cs="Arial"/>
                <w:b/>
                <w:bCs/>
              </w:rPr>
            </w:pPr>
            <w:r>
              <w:rPr>
                <w:rFonts w:ascii="Arial" w:hAnsi="Arial" w:cs="Arial"/>
              </w:rPr>
              <w:t xml:space="preserve">AEMO </w:t>
            </w:r>
          </w:p>
          <w:p w14:paraId="265414C4" w14:textId="77777777" w:rsidR="00821F47" w:rsidRDefault="00821F47" w:rsidP="00821F47">
            <w:pPr>
              <w:spacing w:after="80"/>
              <w:rPr>
                <w:rFonts w:ascii="Arial" w:hAnsi="Arial" w:cs="Arial"/>
                <w:b/>
                <w:bCs/>
              </w:rPr>
            </w:pPr>
            <w:r>
              <w:rPr>
                <w:rFonts w:ascii="Arial" w:hAnsi="Arial" w:cs="Arial"/>
              </w:rPr>
              <w:t>Australian Cyber Security Centre (ACSC)</w:t>
            </w:r>
          </w:p>
          <w:p w14:paraId="02AD6B4A" w14:textId="77777777" w:rsidR="00821F47" w:rsidRDefault="00821F47" w:rsidP="00821F47">
            <w:pPr>
              <w:spacing w:after="80"/>
              <w:rPr>
                <w:rFonts w:ascii="Arial" w:hAnsi="Arial" w:cs="Arial"/>
                <w:b/>
                <w:bCs/>
              </w:rPr>
            </w:pPr>
            <w:r>
              <w:rPr>
                <w:rFonts w:ascii="Arial" w:hAnsi="Arial" w:cs="Arial"/>
              </w:rPr>
              <w:t xml:space="preserve">Cyber Infrastructure and Security Centre </w:t>
            </w:r>
          </w:p>
          <w:p w14:paraId="410ED043" w14:textId="51F99F51" w:rsidR="007D7452" w:rsidRDefault="00821F47" w:rsidP="00821F47">
            <w:pPr>
              <w:pStyle w:val="TableBody"/>
              <w:rPr>
                <w:lang w:eastAsia="en-AU"/>
              </w:rPr>
            </w:pPr>
            <w:r>
              <w:rPr>
                <w:rFonts w:ascii="Arial" w:hAnsi="Arial" w:cs="Arial"/>
              </w:rPr>
              <w:t>Cyber Security Industry Working Group</w:t>
            </w:r>
          </w:p>
        </w:tc>
        <w:tc>
          <w:tcPr>
            <w:tcW w:w="5517" w:type="dxa"/>
          </w:tcPr>
          <w:p w14:paraId="6A8AAC82" w14:textId="77777777" w:rsidR="00821F47" w:rsidRDefault="00821F47" w:rsidP="00821F47">
            <w:pPr>
              <w:pStyle w:val="TableBody"/>
              <w:rPr>
                <w:lang w:eastAsia="en-AU"/>
              </w:rPr>
            </w:pPr>
            <w:r w:rsidRPr="00821F47">
              <w:rPr>
                <w:b/>
                <w:bCs/>
                <w:lang w:eastAsia="en-AU"/>
              </w:rPr>
              <w:t>Australian Energy Sector Cyber Security Framework</w:t>
            </w:r>
            <w:r>
              <w:rPr>
                <w:lang w:eastAsia="en-AU"/>
              </w:rPr>
              <w:t xml:space="preserve"> (AESCSF) was developed with key industry and government stakeholders and leverages existing best practice standards for cyber security and safety, from Australia and overseas. The AESCSF incorporates the following Australian references: </w:t>
            </w:r>
          </w:p>
          <w:p w14:paraId="6508F794" w14:textId="3A35403E" w:rsidR="00821F47" w:rsidRDefault="00821F47" w:rsidP="00821F47">
            <w:pPr>
              <w:pStyle w:val="TableBullet"/>
            </w:pPr>
            <w:r>
              <w:t xml:space="preserve">ACSC Essential 8 Strategies to Mitigate Cyber Security Incidents; </w:t>
            </w:r>
          </w:p>
          <w:p w14:paraId="240EC860" w14:textId="7D0EF22A" w:rsidR="00821F47" w:rsidRDefault="00821F47" w:rsidP="00821F47">
            <w:pPr>
              <w:pStyle w:val="TableBullet"/>
            </w:pPr>
            <w:r>
              <w:t xml:space="preserve">The Australian Privacy Principles; and </w:t>
            </w:r>
          </w:p>
          <w:p w14:paraId="70586770" w14:textId="14B74C7B" w:rsidR="007D7452" w:rsidRDefault="00821F47" w:rsidP="00821F47">
            <w:pPr>
              <w:pStyle w:val="TableBullet"/>
            </w:pPr>
            <w:r>
              <w:t>The Notifiable Data Breaches Scheme.</w:t>
            </w:r>
          </w:p>
        </w:tc>
      </w:tr>
      <w:tr w:rsidR="007D7452" w14:paraId="36D0E9C1" w14:textId="77777777" w:rsidTr="7EBB1CEE">
        <w:tc>
          <w:tcPr>
            <w:tcW w:w="1555" w:type="dxa"/>
            <w:tcBorders>
              <w:top w:val="nil"/>
              <w:bottom w:val="nil"/>
            </w:tcBorders>
            <w:shd w:val="clear" w:color="auto" w:fill="F2F2F2" w:themeFill="background2" w:themeFillShade="F2"/>
          </w:tcPr>
          <w:p w14:paraId="400C333C" w14:textId="77777777" w:rsidR="007D7452" w:rsidRDefault="007D7452" w:rsidP="007D7452">
            <w:pPr>
              <w:pStyle w:val="TableBody"/>
              <w:rPr>
                <w:lang w:eastAsia="en-AU"/>
              </w:rPr>
            </w:pPr>
          </w:p>
        </w:tc>
        <w:tc>
          <w:tcPr>
            <w:tcW w:w="2556" w:type="dxa"/>
          </w:tcPr>
          <w:p w14:paraId="2F165100" w14:textId="3A3FA97C" w:rsidR="007D7452" w:rsidRDefault="00821F47" w:rsidP="007D7452">
            <w:pPr>
              <w:pStyle w:val="TableBody"/>
              <w:rPr>
                <w:lang w:eastAsia="en-AU"/>
              </w:rPr>
            </w:pPr>
            <w:r w:rsidRPr="00821F47">
              <w:rPr>
                <w:lang w:eastAsia="en-AU"/>
              </w:rPr>
              <w:t>National Institutes of Standards and Technology (NIST)</w:t>
            </w:r>
          </w:p>
        </w:tc>
        <w:tc>
          <w:tcPr>
            <w:tcW w:w="5517" w:type="dxa"/>
          </w:tcPr>
          <w:p w14:paraId="062E3C6E" w14:textId="4F2B133E" w:rsidR="007D7452" w:rsidRPr="00821F47" w:rsidRDefault="00821F47" w:rsidP="007D7452">
            <w:pPr>
              <w:pStyle w:val="TableBody"/>
              <w:rPr>
                <w:b/>
                <w:bCs/>
                <w:lang w:eastAsia="en-AU"/>
              </w:rPr>
            </w:pPr>
            <w:r w:rsidRPr="00821F47">
              <w:rPr>
                <w:b/>
                <w:bCs/>
                <w:lang w:eastAsia="en-AU"/>
              </w:rPr>
              <w:t>Cybersecurity Programs</w:t>
            </w:r>
          </w:p>
        </w:tc>
      </w:tr>
      <w:tr w:rsidR="00821F47" w14:paraId="131C6C74" w14:textId="77777777" w:rsidTr="7EBB1CEE">
        <w:tc>
          <w:tcPr>
            <w:tcW w:w="1555" w:type="dxa"/>
            <w:tcBorders>
              <w:top w:val="nil"/>
              <w:bottom w:val="nil"/>
            </w:tcBorders>
            <w:shd w:val="clear" w:color="auto" w:fill="F2F2F2" w:themeFill="background2" w:themeFillShade="F2"/>
          </w:tcPr>
          <w:p w14:paraId="2D472214" w14:textId="77777777" w:rsidR="00821F47" w:rsidRDefault="00821F47" w:rsidP="007D7452">
            <w:pPr>
              <w:pStyle w:val="TableBody"/>
              <w:rPr>
                <w:lang w:eastAsia="en-AU"/>
              </w:rPr>
            </w:pPr>
          </w:p>
        </w:tc>
        <w:tc>
          <w:tcPr>
            <w:tcW w:w="2556" w:type="dxa"/>
          </w:tcPr>
          <w:p w14:paraId="1CF318CF" w14:textId="4EB8175D" w:rsidR="00821F47" w:rsidRPr="00821F47" w:rsidRDefault="002F57EB" w:rsidP="007D7452">
            <w:pPr>
              <w:pStyle w:val="TableBody"/>
              <w:rPr>
                <w:lang w:eastAsia="en-AU"/>
              </w:rPr>
            </w:pPr>
            <w:r>
              <w:rPr>
                <w:lang w:eastAsia="en-AU"/>
              </w:rPr>
              <w:t>International Organization for Standardization</w:t>
            </w:r>
            <w:r w:rsidR="00821F47" w:rsidRPr="00821F47">
              <w:rPr>
                <w:lang w:eastAsia="en-AU"/>
              </w:rPr>
              <w:t xml:space="preserve"> (ISO)</w:t>
            </w:r>
          </w:p>
        </w:tc>
        <w:tc>
          <w:tcPr>
            <w:tcW w:w="5517" w:type="dxa"/>
          </w:tcPr>
          <w:p w14:paraId="574AFFCA" w14:textId="77777777" w:rsidR="00821F47" w:rsidRPr="00821F47" w:rsidRDefault="00821F47" w:rsidP="00821F47">
            <w:pPr>
              <w:pStyle w:val="TableBody"/>
              <w:rPr>
                <w:lang w:eastAsia="en-AU"/>
              </w:rPr>
            </w:pPr>
            <w:r w:rsidRPr="00821F47">
              <w:rPr>
                <w:b/>
                <w:bCs/>
                <w:lang w:eastAsia="en-AU"/>
              </w:rPr>
              <w:t xml:space="preserve">ISO 27001 </w:t>
            </w:r>
            <w:r w:rsidRPr="00821F47">
              <w:rPr>
                <w:lang w:eastAsia="en-AU"/>
              </w:rPr>
              <w:t>provides requirements for information security management systems.</w:t>
            </w:r>
          </w:p>
          <w:p w14:paraId="350B71E0" w14:textId="7343BC99" w:rsidR="00821F47" w:rsidRPr="00821F47" w:rsidRDefault="00821F47" w:rsidP="00821F47">
            <w:pPr>
              <w:pStyle w:val="TableBody"/>
              <w:rPr>
                <w:b/>
                <w:bCs/>
                <w:lang w:eastAsia="en-AU"/>
              </w:rPr>
            </w:pPr>
            <w:r w:rsidRPr="00821F47">
              <w:rPr>
                <w:b/>
                <w:bCs/>
                <w:lang w:eastAsia="en-AU"/>
              </w:rPr>
              <w:t xml:space="preserve">ISO 27002 </w:t>
            </w:r>
            <w:r w:rsidRPr="00821F47">
              <w:rPr>
                <w:lang w:eastAsia="en-AU"/>
              </w:rPr>
              <w:t>provides guidelines for organisational information security standards and security management practices.</w:t>
            </w:r>
          </w:p>
        </w:tc>
      </w:tr>
      <w:tr w:rsidR="00821F47" w14:paraId="3FBD4CC1" w14:textId="77777777" w:rsidTr="7EBB1CEE">
        <w:tc>
          <w:tcPr>
            <w:tcW w:w="1555" w:type="dxa"/>
            <w:tcBorders>
              <w:top w:val="nil"/>
              <w:bottom w:val="nil"/>
            </w:tcBorders>
            <w:shd w:val="clear" w:color="auto" w:fill="F2F2F2" w:themeFill="background2" w:themeFillShade="F2"/>
          </w:tcPr>
          <w:p w14:paraId="36921F73" w14:textId="77777777" w:rsidR="00821F47" w:rsidRDefault="00821F47" w:rsidP="007D7452">
            <w:pPr>
              <w:pStyle w:val="TableBody"/>
              <w:rPr>
                <w:lang w:eastAsia="en-AU"/>
              </w:rPr>
            </w:pPr>
          </w:p>
        </w:tc>
        <w:tc>
          <w:tcPr>
            <w:tcW w:w="2556" w:type="dxa"/>
          </w:tcPr>
          <w:p w14:paraId="1ECD55FF" w14:textId="4FAA276F" w:rsidR="00821F47" w:rsidRPr="00821F47" w:rsidRDefault="00821F47" w:rsidP="007D7452">
            <w:pPr>
              <w:pStyle w:val="TableBody"/>
              <w:rPr>
                <w:lang w:eastAsia="en-AU"/>
              </w:rPr>
            </w:pPr>
            <w:r w:rsidRPr="00821F47">
              <w:rPr>
                <w:lang w:eastAsia="en-AU"/>
              </w:rPr>
              <w:t>Australian Government</w:t>
            </w:r>
          </w:p>
        </w:tc>
        <w:tc>
          <w:tcPr>
            <w:tcW w:w="5517" w:type="dxa"/>
          </w:tcPr>
          <w:p w14:paraId="4668DB99" w14:textId="7D36A086" w:rsidR="00821F47" w:rsidRPr="00821F47" w:rsidRDefault="00821F47" w:rsidP="00821F47">
            <w:pPr>
              <w:pStyle w:val="TableBody"/>
              <w:rPr>
                <w:b/>
                <w:bCs/>
                <w:lang w:eastAsia="en-AU"/>
              </w:rPr>
            </w:pPr>
            <w:r w:rsidRPr="00821F47">
              <w:rPr>
                <w:b/>
                <w:bCs/>
                <w:lang w:eastAsia="en-AU"/>
              </w:rPr>
              <w:t>Information Security Manual</w:t>
            </w:r>
          </w:p>
        </w:tc>
      </w:tr>
      <w:tr w:rsidR="00821F47" w14:paraId="52C261BC" w14:textId="77777777" w:rsidTr="7EBB1CEE">
        <w:tc>
          <w:tcPr>
            <w:tcW w:w="1555" w:type="dxa"/>
            <w:tcBorders>
              <w:top w:val="nil"/>
              <w:bottom w:val="single" w:sz="4" w:space="0" w:color="BFBFBF" w:themeColor="background2" w:themeShade="BF"/>
            </w:tcBorders>
            <w:shd w:val="clear" w:color="auto" w:fill="F2F2F2" w:themeFill="background2" w:themeFillShade="F2"/>
          </w:tcPr>
          <w:p w14:paraId="297B2425" w14:textId="77777777" w:rsidR="00821F47" w:rsidRDefault="00821F47" w:rsidP="007D7452">
            <w:pPr>
              <w:pStyle w:val="TableBody"/>
              <w:rPr>
                <w:lang w:eastAsia="en-AU"/>
              </w:rPr>
            </w:pPr>
          </w:p>
        </w:tc>
        <w:tc>
          <w:tcPr>
            <w:tcW w:w="2556" w:type="dxa"/>
          </w:tcPr>
          <w:p w14:paraId="742667F8" w14:textId="6356AF2E" w:rsidR="00821F47" w:rsidRPr="00821F47" w:rsidRDefault="00821F47" w:rsidP="007D7452">
            <w:pPr>
              <w:pStyle w:val="TableBody"/>
              <w:rPr>
                <w:lang w:eastAsia="en-AU"/>
              </w:rPr>
            </w:pPr>
            <w:r w:rsidRPr="00821F47">
              <w:rPr>
                <w:lang w:eastAsia="en-AU"/>
              </w:rPr>
              <w:t>International Electrotechnical Commission</w:t>
            </w:r>
          </w:p>
        </w:tc>
        <w:tc>
          <w:tcPr>
            <w:tcW w:w="5517" w:type="dxa"/>
          </w:tcPr>
          <w:p w14:paraId="24FF24CB" w14:textId="77777777" w:rsidR="00821F47" w:rsidRDefault="00821F47" w:rsidP="00821F47">
            <w:pPr>
              <w:pStyle w:val="TableBody"/>
              <w:rPr>
                <w:b/>
                <w:bCs/>
                <w:lang w:eastAsia="en-AU"/>
              </w:rPr>
            </w:pPr>
            <w:r w:rsidRPr="00821F47">
              <w:rPr>
                <w:b/>
                <w:bCs/>
                <w:lang w:eastAsia="en-AU"/>
              </w:rPr>
              <w:t xml:space="preserve">ISA/IEC 62443 </w:t>
            </w:r>
            <w:r w:rsidRPr="00821F47">
              <w:rPr>
                <w:lang w:eastAsia="en-AU"/>
              </w:rPr>
              <w:t>standard specifies security capabilities for control system components.</w:t>
            </w:r>
          </w:p>
          <w:p w14:paraId="006F8EB5" w14:textId="079F099E" w:rsidR="00821F47" w:rsidRPr="00821F47" w:rsidRDefault="00821F47" w:rsidP="00821F47">
            <w:pPr>
              <w:pStyle w:val="TableBody"/>
              <w:rPr>
                <w:b/>
                <w:bCs/>
                <w:lang w:eastAsia="en-AU"/>
              </w:rPr>
            </w:pPr>
            <w:r w:rsidRPr="00821F47">
              <w:rPr>
                <w:b/>
                <w:bCs/>
                <w:lang w:eastAsia="en-AU"/>
              </w:rPr>
              <w:t xml:space="preserve">ISO 31000 </w:t>
            </w:r>
            <w:r w:rsidRPr="00821F47">
              <w:rPr>
                <w:lang w:eastAsia="en-AU"/>
              </w:rPr>
              <w:t>provides principles, a framework and a process for risk management.</w:t>
            </w:r>
            <w:r w:rsidRPr="00821F47">
              <w:rPr>
                <w:b/>
                <w:bCs/>
                <w:lang w:eastAsia="en-AU"/>
              </w:rPr>
              <w:t xml:space="preserve">  </w:t>
            </w:r>
          </w:p>
        </w:tc>
      </w:tr>
      <w:tr w:rsidR="00821F47" w14:paraId="659E0902" w14:textId="77777777" w:rsidTr="7EBB1CEE">
        <w:tc>
          <w:tcPr>
            <w:tcW w:w="1555" w:type="dxa"/>
            <w:tcBorders>
              <w:top w:val="single" w:sz="4" w:space="0" w:color="BFBFBF" w:themeColor="background2" w:themeShade="BF"/>
              <w:bottom w:val="nil"/>
            </w:tcBorders>
            <w:shd w:val="clear" w:color="auto" w:fill="F2F2F2" w:themeFill="background2" w:themeFillShade="F2"/>
          </w:tcPr>
          <w:p w14:paraId="1538AA2E" w14:textId="7A0C02BC" w:rsidR="00821F47" w:rsidRDefault="00821F47" w:rsidP="007D7452">
            <w:pPr>
              <w:pStyle w:val="TableBody"/>
              <w:rPr>
                <w:lang w:eastAsia="en-AU"/>
              </w:rPr>
            </w:pPr>
            <w:r>
              <w:rPr>
                <w:lang w:eastAsia="en-AU"/>
              </w:rPr>
              <w:lastRenderedPageBreak/>
              <w:t>Physical</w:t>
            </w:r>
          </w:p>
        </w:tc>
        <w:tc>
          <w:tcPr>
            <w:tcW w:w="2556" w:type="dxa"/>
          </w:tcPr>
          <w:p w14:paraId="39E56D12" w14:textId="4346CEC4" w:rsidR="00821F47" w:rsidRPr="00821F47" w:rsidRDefault="00821F47" w:rsidP="007D7452">
            <w:pPr>
              <w:pStyle w:val="TableBody"/>
              <w:rPr>
                <w:lang w:eastAsia="en-AU"/>
              </w:rPr>
            </w:pPr>
            <w:r w:rsidRPr="00821F47">
              <w:rPr>
                <w:lang w:eastAsia="en-AU"/>
              </w:rPr>
              <w:t>Commonwealth Attorney-General’s Department</w:t>
            </w:r>
          </w:p>
        </w:tc>
        <w:tc>
          <w:tcPr>
            <w:tcW w:w="5517" w:type="dxa"/>
          </w:tcPr>
          <w:p w14:paraId="532D4149" w14:textId="77777777" w:rsidR="00821F47" w:rsidRDefault="00821F47" w:rsidP="00821F47">
            <w:pPr>
              <w:pStyle w:val="TableBody"/>
            </w:pPr>
            <w:r>
              <w:rPr>
                <w:b/>
                <w:bCs/>
              </w:rPr>
              <w:t>Protective Security Policy Framework</w:t>
            </w:r>
            <w:r>
              <w:t xml:space="preserve"> (PSPF)</w:t>
            </w:r>
            <w:r>
              <w:rPr>
                <w:b/>
                <w:bCs/>
              </w:rPr>
              <w:t xml:space="preserve"> </w:t>
            </w:r>
            <w:r>
              <w:t xml:space="preserve">outlines the Government’s protective security policy and ensures effective implementation by entities, in line with the following outcomes: </w:t>
            </w:r>
          </w:p>
          <w:p w14:paraId="0A2E6244" w14:textId="77777777" w:rsidR="00821F47" w:rsidRDefault="00821F47" w:rsidP="00821F47">
            <w:pPr>
              <w:pStyle w:val="TableBullet"/>
            </w:pPr>
            <w:r>
              <w:t xml:space="preserve">Security governance; </w:t>
            </w:r>
          </w:p>
          <w:p w14:paraId="307C8EE4" w14:textId="77777777" w:rsidR="00821F47" w:rsidRDefault="00821F47" w:rsidP="00821F47">
            <w:pPr>
              <w:pStyle w:val="TableBullet"/>
            </w:pPr>
            <w:r>
              <w:t xml:space="preserve">Information security; </w:t>
            </w:r>
          </w:p>
          <w:p w14:paraId="35827F8B" w14:textId="77777777" w:rsidR="00821F47" w:rsidRDefault="00821F47" w:rsidP="00821F47">
            <w:pPr>
              <w:pStyle w:val="TableBullet"/>
            </w:pPr>
            <w:r>
              <w:t xml:space="preserve">Personnel security; and </w:t>
            </w:r>
          </w:p>
          <w:p w14:paraId="31961485" w14:textId="6A63D29B" w:rsidR="00821F47" w:rsidRPr="00821F47" w:rsidRDefault="00821F47" w:rsidP="00821F47">
            <w:pPr>
              <w:pStyle w:val="TableBullet"/>
              <w:rPr>
                <w:b/>
                <w:bCs/>
              </w:rPr>
            </w:pPr>
            <w:r>
              <w:t>Physical security.</w:t>
            </w:r>
          </w:p>
        </w:tc>
      </w:tr>
      <w:tr w:rsidR="00821F47" w14:paraId="602618A7" w14:textId="77777777" w:rsidTr="7EBB1CEE">
        <w:tc>
          <w:tcPr>
            <w:tcW w:w="1555" w:type="dxa"/>
            <w:tcBorders>
              <w:top w:val="nil"/>
              <w:bottom w:val="nil"/>
            </w:tcBorders>
            <w:shd w:val="clear" w:color="auto" w:fill="F2F2F2" w:themeFill="background2" w:themeFillShade="F2"/>
          </w:tcPr>
          <w:p w14:paraId="47E84D1A" w14:textId="77777777" w:rsidR="00821F47" w:rsidRDefault="00821F47" w:rsidP="007D7452">
            <w:pPr>
              <w:pStyle w:val="TableBody"/>
              <w:rPr>
                <w:lang w:eastAsia="en-AU"/>
              </w:rPr>
            </w:pPr>
          </w:p>
        </w:tc>
        <w:tc>
          <w:tcPr>
            <w:tcW w:w="2556" w:type="dxa"/>
          </w:tcPr>
          <w:p w14:paraId="35E2CBD7" w14:textId="3D3FEA62" w:rsidR="00821F47" w:rsidRPr="00821F47" w:rsidRDefault="00821F47" w:rsidP="007D7452">
            <w:pPr>
              <w:pStyle w:val="TableBody"/>
              <w:rPr>
                <w:lang w:eastAsia="en-AU"/>
              </w:rPr>
            </w:pPr>
            <w:r w:rsidRPr="00821F47">
              <w:rPr>
                <w:lang w:eastAsia="en-AU"/>
              </w:rPr>
              <w:t>Energy Networks Association</w:t>
            </w:r>
          </w:p>
        </w:tc>
        <w:tc>
          <w:tcPr>
            <w:tcW w:w="5517" w:type="dxa"/>
          </w:tcPr>
          <w:p w14:paraId="58B2D870" w14:textId="25628996" w:rsidR="00821F47" w:rsidRPr="00821F47" w:rsidRDefault="00821F47" w:rsidP="00821F47">
            <w:pPr>
              <w:pStyle w:val="TableBody"/>
              <w:rPr>
                <w:b/>
                <w:bCs/>
                <w:lang w:eastAsia="en-AU"/>
              </w:rPr>
            </w:pPr>
            <w:r w:rsidRPr="00821F47">
              <w:rPr>
                <w:b/>
                <w:bCs/>
                <w:lang w:eastAsia="en-AU"/>
              </w:rPr>
              <w:t xml:space="preserve">ENA DOC 015-2006 </w:t>
            </w:r>
            <w:r w:rsidRPr="00821F47">
              <w:rPr>
                <w:lang w:eastAsia="en-AU"/>
              </w:rPr>
              <w:t>National Guidelines for Prevention of Unauthorised Access to Electricity Infrastructure.</w:t>
            </w:r>
          </w:p>
        </w:tc>
      </w:tr>
      <w:tr w:rsidR="00821F47" w14:paraId="33CE0BD1" w14:textId="77777777" w:rsidTr="7EBB1CEE">
        <w:tc>
          <w:tcPr>
            <w:tcW w:w="1555" w:type="dxa"/>
            <w:tcBorders>
              <w:top w:val="nil"/>
              <w:bottom w:val="nil"/>
            </w:tcBorders>
            <w:shd w:val="clear" w:color="auto" w:fill="F2F2F2" w:themeFill="background2" w:themeFillShade="F2"/>
          </w:tcPr>
          <w:p w14:paraId="3507EA1E" w14:textId="77777777" w:rsidR="00821F47" w:rsidRDefault="00821F47" w:rsidP="007D7452">
            <w:pPr>
              <w:pStyle w:val="TableBody"/>
              <w:rPr>
                <w:lang w:eastAsia="en-AU"/>
              </w:rPr>
            </w:pPr>
          </w:p>
        </w:tc>
        <w:tc>
          <w:tcPr>
            <w:tcW w:w="2556" w:type="dxa"/>
          </w:tcPr>
          <w:p w14:paraId="0BAD4AB5" w14:textId="2D59273B" w:rsidR="00821F47" w:rsidRPr="00821F47" w:rsidRDefault="00821F47" w:rsidP="007D7452">
            <w:pPr>
              <w:pStyle w:val="TableBody"/>
              <w:rPr>
                <w:lang w:eastAsia="en-AU"/>
              </w:rPr>
            </w:pPr>
            <w:r w:rsidRPr="00821F47">
              <w:rPr>
                <w:lang w:eastAsia="en-AU"/>
              </w:rPr>
              <w:t>ISO</w:t>
            </w:r>
          </w:p>
        </w:tc>
        <w:tc>
          <w:tcPr>
            <w:tcW w:w="5517" w:type="dxa"/>
          </w:tcPr>
          <w:p w14:paraId="1217BD83" w14:textId="3B42B639" w:rsidR="00821F47" w:rsidRPr="00821F47" w:rsidRDefault="0080732A" w:rsidP="00821F47">
            <w:pPr>
              <w:pStyle w:val="TableBody"/>
              <w:rPr>
                <w:b/>
                <w:bCs/>
                <w:lang w:eastAsia="en-AU"/>
              </w:rPr>
            </w:pPr>
            <w:r w:rsidRPr="0080732A">
              <w:rPr>
                <w:b/>
                <w:bCs/>
                <w:lang w:eastAsia="en-AU"/>
              </w:rPr>
              <w:t xml:space="preserve">ISO 55001 </w:t>
            </w:r>
            <w:r w:rsidRPr="0080732A">
              <w:rPr>
                <w:lang w:eastAsia="en-AU"/>
              </w:rPr>
              <w:t>provides an overview of asset management.</w:t>
            </w:r>
          </w:p>
        </w:tc>
      </w:tr>
      <w:tr w:rsidR="00821F47" w14:paraId="6FA50511" w14:textId="77777777" w:rsidTr="7EBB1CEE">
        <w:tc>
          <w:tcPr>
            <w:tcW w:w="1555" w:type="dxa"/>
            <w:tcBorders>
              <w:top w:val="nil"/>
              <w:bottom w:val="single" w:sz="4" w:space="0" w:color="BFBFBF" w:themeColor="background2" w:themeShade="BF"/>
            </w:tcBorders>
            <w:shd w:val="clear" w:color="auto" w:fill="F2F2F2" w:themeFill="background2" w:themeFillShade="F2"/>
          </w:tcPr>
          <w:p w14:paraId="03396211" w14:textId="77777777" w:rsidR="00821F47" w:rsidRDefault="00821F47" w:rsidP="007D7452">
            <w:pPr>
              <w:pStyle w:val="TableBody"/>
              <w:rPr>
                <w:lang w:eastAsia="en-AU"/>
              </w:rPr>
            </w:pPr>
          </w:p>
        </w:tc>
        <w:tc>
          <w:tcPr>
            <w:tcW w:w="2556" w:type="dxa"/>
          </w:tcPr>
          <w:p w14:paraId="4B73CEA3" w14:textId="1C18BF6A" w:rsidR="00821F47" w:rsidRPr="00821F47" w:rsidRDefault="00821F47" w:rsidP="007D7452">
            <w:pPr>
              <w:pStyle w:val="TableBody"/>
              <w:rPr>
                <w:lang w:eastAsia="en-AU"/>
              </w:rPr>
            </w:pPr>
            <w:r w:rsidRPr="00821F47">
              <w:rPr>
                <w:lang w:eastAsia="en-AU"/>
              </w:rPr>
              <w:t>Australian Security Intelligence Organisation (ASIO)</w:t>
            </w:r>
          </w:p>
        </w:tc>
        <w:tc>
          <w:tcPr>
            <w:tcW w:w="5517" w:type="dxa"/>
          </w:tcPr>
          <w:p w14:paraId="34CB205B" w14:textId="55E8A0DC" w:rsidR="00821F47" w:rsidRPr="00821F47" w:rsidRDefault="0080732A" w:rsidP="00821F47">
            <w:pPr>
              <w:pStyle w:val="TableBody"/>
              <w:rPr>
                <w:b/>
                <w:bCs/>
                <w:lang w:eastAsia="en-AU"/>
              </w:rPr>
            </w:pPr>
            <w:r w:rsidRPr="0080732A">
              <w:rPr>
                <w:b/>
                <w:bCs/>
                <w:lang w:eastAsia="en-AU"/>
              </w:rPr>
              <w:t xml:space="preserve">ASIO T4 </w:t>
            </w:r>
            <w:r w:rsidRPr="0080732A">
              <w:rPr>
                <w:lang w:eastAsia="en-AU"/>
              </w:rPr>
              <w:t>Protective Security Advice for Australian Government Agencies.</w:t>
            </w:r>
          </w:p>
        </w:tc>
      </w:tr>
      <w:tr w:rsidR="00821F47" w14:paraId="77F96FE4" w14:textId="77777777" w:rsidTr="7EBB1CEE">
        <w:tc>
          <w:tcPr>
            <w:tcW w:w="1555" w:type="dxa"/>
            <w:tcBorders>
              <w:top w:val="single" w:sz="4" w:space="0" w:color="BFBFBF" w:themeColor="background2" w:themeShade="BF"/>
              <w:bottom w:val="nil"/>
            </w:tcBorders>
            <w:shd w:val="clear" w:color="auto" w:fill="F2F2F2" w:themeFill="background2" w:themeFillShade="F2"/>
          </w:tcPr>
          <w:p w14:paraId="3B98BB5A" w14:textId="1AD12014" w:rsidR="00821F47" w:rsidRDefault="0080732A" w:rsidP="007D7452">
            <w:pPr>
              <w:pStyle w:val="TableBody"/>
              <w:rPr>
                <w:lang w:eastAsia="en-AU"/>
              </w:rPr>
            </w:pPr>
            <w:r>
              <w:rPr>
                <w:lang w:eastAsia="en-AU"/>
              </w:rPr>
              <w:t>Personnel</w:t>
            </w:r>
          </w:p>
        </w:tc>
        <w:tc>
          <w:tcPr>
            <w:tcW w:w="2556" w:type="dxa"/>
          </w:tcPr>
          <w:p w14:paraId="3122B2DD" w14:textId="77777777" w:rsidR="0080732A" w:rsidRDefault="0080732A" w:rsidP="0080732A">
            <w:pPr>
              <w:pStyle w:val="TableBody"/>
              <w:rPr>
                <w:lang w:eastAsia="en-AU"/>
              </w:rPr>
            </w:pPr>
            <w:r>
              <w:rPr>
                <w:lang w:eastAsia="en-AU"/>
              </w:rPr>
              <w:t xml:space="preserve">AEMO </w:t>
            </w:r>
          </w:p>
          <w:p w14:paraId="1B348C66" w14:textId="77777777" w:rsidR="0080732A" w:rsidRDefault="0080732A" w:rsidP="0080732A">
            <w:pPr>
              <w:pStyle w:val="TableBody"/>
              <w:rPr>
                <w:lang w:eastAsia="en-AU"/>
              </w:rPr>
            </w:pPr>
            <w:r>
              <w:rPr>
                <w:lang w:eastAsia="en-AU"/>
              </w:rPr>
              <w:t>ACSC</w:t>
            </w:r>
          </w:p>
          <w:p w14:paraId="49FADCCD" w14:textId="77777777" w:rsidR="0080732A" w:rsidRDefault="0080732A" w:rsidP="0080732A">
            <w:pPr>
              <w:pStyle w:val="TableBody"/>
              <w:rPr>
                <w:lang w:eastAsia="en-AU"/>
              </w:rPr>
            </w:pPr>
            <w:r>
              <w:rPr>
                <w:lang w:eastAsia="en-AU"/>
              </w:rPr>
              <w:t xml:space="preserve">Cyber Infrastructure and Security Centre </w:t>
            </w:r>
          </w:p>
          <w:p w14:paraId="6D583173" w14:textId="37F583B5" w:rsidR="00821F47" w:rsidRPr="00821F47" w:rsidRDefault="0080732A" w:rsidP="0080732A">
            <w:pPr>
              <w:pStyle w:val="TableBody"/>
              <w:rPr>
                <w:lang w:eastAsia="en-AU"/>
              </w:rPr>
            </w:pPr>
            <w:r>
              <w:rPr>
                <w:lang w:eastAsia="en-AU"/>
              </w:rPr>
              <w:t>Cyber Security Industry Working Group</w:t>
            </w:r>
          </w:p>
        </w:tc>
        <w:tc>
          <w:tcPr>
            <w:tcW w:w="5517" w:type="dxa"/>
          </w:tcPr>
          <w:p w14:paraId="6B6E0D19" w14:textId="76942FBC" w:rsidR="00821F47" w:rsidRPr="00821F47" w:rsidRDefault="0080732A" w:rsidP="00821F47">
            <w:pPr>
              <w:pStyle w:val="TableBody"/>
              <w:rPr>
                <w:b/>
                <w:bCs/>
                <w:lang w:eastAsia="en-AU"/>
              </w:rPr>
            </w:pPr>
            <w:r w:rsidRPr="0080732A">
              <w:rPr>
                <w:b/>
                <w:bCs/>
                <w:lang w:eastAsia="en-AU"/>
              </w:rPr>
              <w:t xml:space="preserve">AESCSF </w:t>
            </w:r>
            <w:r w:rsidRPr="0080732A">
              <w:rPr>
                <w:lang w:eastAsia="en-AU"/>
              </w:rPr>
              <w:t>Workforce Management Domain.</w:t>
            </w:r>
          </w:p>
        </w:tc>
      </w:tr>
      <w:tr w:rsidR="00821F47" w14:paraId="2C600886" w14:textId="77777777" w:rsidTr="7EBB1CEE">
        <w:tc>
          <w:tcPr>
            <w:tcW w:w="1555" w:type="dxa"/>
            <w:tcBorders>
              <w:top w:val="nil"/>
              <w:bottom w:val="nil"/>
            </w:tcBorders>
            <w:shd w:val="clear" w:color="auto" w:fill="F2F2F2" w:themeFill="background2" w:themeFillShade="F2"/>
          </w:tcPr>
          <w:p w14:paraId="6FA408C7" w14:textId="77777777" w:rsidR="00821F47" w:rsidRDefault="00821F47" w:rsidP="007D7452">
            <w:pPr>
              <w:pStyle w:val="TableBody"/>
              <w:rPr>
                <w:lang w:eastAsia="en-AU"/>
              </w:rPr>
            </w:pPr>
          </w:p>
        </w:tc>
        <w:tc>
          <w:tcPr>
            <w:tcW w:w="2556" w:type="dxa"/>
          </w:tcPr>
          <w:p w14:paraId="02F1B867" w14:textId="0892E17D" w:rsidR="00821F47" w:rsidRPr="00821F47" w:rsidRDefault="0080732A" w:rsidP="007D7452">
            <w:pPr>
              <w:pStyle w:val="TableBody"/>
              <w:rPr>
                <w:lang w:eastAsia="en-AU"/>
              </w:rPr>
            </w:pPr>
            <w:r w:rsidRPr="0080732A">
              <w:rPr>
                <w:lang w:eastAsia="en-AU"/>
              </w:rPr>
              <w:t>Commonwealth Attorney-General’s Department</w:t>
            </w:r>
          </w:p>
        </w:tc>
        <w:tc>
          <w:tcPr>
            <w:tcW w:w="5517" w:type="dxa"/>
          </w:tcPr>
          <w:p w14:paraId="0E3BEF82" w14:textId="6C0EB747" w:rsidR="00821F47" w:rsidRPr="00821F47" w:rsidRDefault="0080732A" w:rsidP="00821F47">
            <w:pPr>
              <w:pStyle w:val="TableBody"/>
              <w:rPr>
                <w:b/>
                <w:bCs/>
                <w:lang w:eastAsia="en-AU"/>
              </w:rPr>
            </w:pPr>
            <w:r w:rsidRPr="0080732A">
              <w:rPr>
                <w:b/>
                <w:bCs/>
                <w:lang w:eastAsia="en-AU"/>
              </w:rPr>
              <w:t xml:space="preserve">PSPF </w:t>
            </w:r>
            <w:r w:rsidRPr="0080732A">
              <w:rPr>
                <w:lang w:eastAsia="en-AU"/>
              </w:rPr>
              <w:t>(see above).</w:t>
            </w:r>
          </w:p>
        </w:tc>
      </w:tr>
      <w:tr w:rsidR="0080732A" w14:paraId="0F36E2D7" w14:textId="77777777" w:rsidTr="7EBB1CEE">
        <w:tc>
          <w:tcPr>
            <w:tcW w:w="1555" w:type="dxa"/>
            <w:tcBorders>
              <w:top w:val="nil"/>
              <w:bottom w:val="single" w:sz="4" w:space="0" w:color="BFBFBF" w:themeColor="background2" w:themeShade="BF"/>
            </w:tcBorders>
            <w:shd w:val="clear" w:color="auto" w:fill="F2F2F2" w:themeFill="background2" w:themeFillShade="F2"/>
          </w:tcPr>
          <w:p w14:paraId="562EC420" w14:textId="77777777" w:rsidR="0080732A" w:rsidRDefault="0080732A" w:rsidP="007D7452">
            <w:pPr>
              <w:pStyle w:val="TableBody"/>
              <w:rPr>
                <w:lang w:eastAsia="en-AU"/>
              </w:rPr>
            </w:pPr>
          </w:p>
        </w:tc>
        <w:tc>
          <w:tcPr>
            <w:tcW w:w="2556" w:type="dxa"/>
          </w:tcPr>
          <w:p w14:paraId="5B26D39E" w14:textId="7B73537A" w:rsidR="0080732A" w:rsidRPr="00821F47" w:rsidRDefault="0080732A" w:rsidP="007D7452">
            <w:pPr>
              <w:pStyle w:val="TableBody"/>
              <w:rPr>
                <w:lang w:eastAsia="en-AU"/>
              </w:rPr>
            </w:pPr>
            <w:r>
              <w:rPr>
                <w:lang w:eastAsia="en-AU"/>
              </w:rPr>
              <w:t>ISO</w:t>
            </w:r>
          </w:p>
        </w:tc>
        <w:tc>
          <w:tcPr>
            <w:tcW w:w="5517" w:type="dxa"/>
          </w:tcPr>
          <w:p w14:paraId="7B9145FD" w14:textId="1B313F5F" w:rsidR="0080732A" w:rsidRPr="00821F47" w:rsidRDefault="0080732A" w:rsidP="00821F47">
            <w:pPr>
              <w:pStyle w:val="TableBody"/>
              <w:rPr>
                <w:b/>
                <w:bCs/>
                <w:lang w:eastAsia="en-AU"/>
              </w:rPr>
            </w:pPr>
            <w:r w:rsidRPr="0080732A">
              <w:rPr>
                <w:b/>
                <w:bCs/>
                <w:lang w:eastAsia="en-AU"/>
              </w:rPr>
              <w:t xml:space="preserve">ISO 45001 </w:t>
            </w:r>
            <w:r w:rsidRPr="0080732A">
              <w:rPr>
                <w:lang w:eastAsia="en-AU"/>
              </w:rPr>
              <w:t>provides the International Standard for health and safety management.</w:t>
            </w:r>
          </w:p>
        </w:tc>
      </w:tr>
      <w:tr w:rsidR="0080732A" w14:paraId="14F52855" w14:textId="77777777" w:rsidTr="7EBB1CEE">
        <w:tc>
          <w:tcPr>
            <w:tcW w:w="1555" w:type="dxa"/>
            <w:tcBorders>
              <w:top w:val="single" w:sz="4" w:space="0" w:color="BFBFBF" w:themeColor="background2" w:themeShade="BF"/>
              <w:bottom w:val="nil"/>
            </w:tcBorders>
            <w:shd w:val="clear" w:color="auto" w:fill="F2F2F2" w:themeFill="background2" w:themeFillShade="F2"/>
          </w:tcPr>
          <w:p w14:paraId="736DDD0D" w14:textId="2EE1BC6B" w:rsidR="0080732A" w:rsidRDefault="0080732A" w:rsidP="007D7452">
            <w:pPr>
              <w:pStyle w:val="TableBody"/>
              <w:rPr>
                <w:lang w:eastAsia="en-AU"/>
              </w:rPr>
            </w:pPr>
            <w:r w:rsidRPr="0080732A">
              <w:rPr>
                <w:lang w:eastAsia="en-AU"/>
              </w:rPr>
              <w:t>Supply Chain</w:t>
            </w:r>
          </w:p>
        </w:tc>
        <w:tc>
          <w:tcPr>
            <w:tcW w:w="2556" w:type="dxa"/>
          </w:tcPr>
          <w:p w14:paraId="56C8FFD1" w14:textId="77777777" w:rsidR="0080732A" w:rsidRDefault="0080732A" w:rsidP="0080732A">
            <w:pPr>
              <w:pStyle w:val="TableBody"/>
              <w:rPr>
                <w:lang w:eastAsia="en-AU"/>
              </w:rPr>
            </w:pPr>
            <w:r>
              <w:rPr>
                <w:lang w:eastAsia="en-AU"/>
              </w:rPr>
              <w:t xml:space="preserve">AEMO </w:t>
            </w:r>
          </w:p>
          <w:p w14:paraId="780ACA0B" w14:textId="77777777" w:rsidR="0080732A" w:rsidRDefault="0080732A" w:rsidP="0080732A">
            <w:pPr>
              <w:pStyle w:val="TableBody"/>
              <w:rPr>
                <w:lang w:eastAsia="en-AU"/>
              </w:rPr>
            </w:pPr>
            <w:r>
              <w:rPr>
                <w:lang w:eastAsia="en-AU"/>
              </w:rPr>
              <w:t>ACSC</w:t>
            </w:r>
          </w:p>
          <w:p w14:paraId="50F5EF06" w14:textId="77777777" w:rsidR="0080732A" w:rsidRDefault="0080732A" w:rsidP="0080732A">
            <w:pPr>
              <w:pStyle w:val="TableBody"/>
              <w:rPr>
                <w:lang w:eastAsia="en-AU"/>
              </w:rPr>
            </w:pPr>
            <w:r>
              <w:rPr>
                <w:lang w:eastAsia="en-AU"/>
              </w:rPr>
              <w:t xml:space="preserve">Cyber Infrastructure and Security Centre </w:t>
            </w:r>
          </w:p>
          <w:p w14:paraId="58C6431E" w14:textId="05DF89BB" w:rsidR="0080732A" w:rsidRPr="00821F47" w:rsidRDefault="0080732A" w:rsidP="0080732A">
            <w:pPr>
              <w:pStyle w:val="TableBody"/>
              <w:rPr>
                <w:lang w:eastAsia="en-AU"/>
              </w:rPr>
            </w:pPr>
            <w:r>
              <w:rPr>
                <w:lang w:eastAsia="en-AU"/>
              </w:rPr>
              <w:t>Cyber Security Industry Working Group</w:t>
            </w:r>
          </w:p>
        </w:tc>
        <w:tc>
          <w:tcPr>
            <w:tcW w:w="5517" w:type="dxa"/>
          </w:tcPr>
          <w:p w14:paraId="4909B86E" w14:textId="0D57CBA6" w:rsidR="0080732A" w:rsidRPr="00821F47" w:rsidRDefault="0080732A" w:rsidP="00821F47">
            <w:pPr>
              <w:pStyle w:val="TableBody"/>
              <w:rPr>
                <w:b/>
                <w:bCs/>
                <w:lang w:eastAsia="en-AU"/>
              </w:rPr>
            </w:pPr>
            <w:r w:rsidRPr="0080732A">
              <w:rPr>
                <w:b/>
                <w:bCs/>
                <w:lang w:eastAsia="en-AU"/>
              </w:rPr>
              <w:t xml:space="preserve">AESCSF </w:t>
            </w:r>
            <w:r w:rsidRPr="0080732A">
              <w:rPr>
                <w:lang w:eastAsia="en-AU"/>
              </w:rPr>
              <w:t>(see above).</w:t>
            </w:r>
          </w:p>
        </w:tc>
      </w:tr>
      <w:tr w:rsidR="0080732A" w14:paraId="1D0E5C7B" w14:textId="77777777" w:rsidTr="7EBB1CEE">
        <w:tc>
          <w:tcPr>
            <w:tcW w:w="1555" w:type="dxa"/>
            <w:tcBorders>
              <w:top w:val="nil"/>
            </w:tcBorders>
            <w:shd w:val="clear" w:color="auto" w:fill="F2F2F2" w:themeFill="background2" w:themeFillShade="F2"/>
          </w:tcPr>
          <w:p w14:paraId="34C6CB00" w14:textId="77777777" w:rsidR="0080732A" w:rsidRDefault="0080732A" w:rsidP="007D7452">
            <w:pPr>
              <w:pStyle w:val="TableBody"/>
              <w:rPr>
                <w:lang w:eastAsia="en-AU"/>
              </w:rPr>
            </w:pPr>
          </w:p>
        </w:tc>
        <w:tc>
          <w:tcPr>
            <w:tcW w:w="2556" w:type="dxa"/>
          </w:tcPr>
          <w:p w14:paraId="496694DE" w14:textId="241DAE72" w:rsidR="0080732A" w:rsidRPr="00821F47" w:rsidRDefault="0080732A" w:rsidP="007D7452">
            <w:pPr>
              <w:pStyle w:val="TableBody"/>
              <w:rPr>
                <w:lang w:eastAsia="en-AU"/>
              </w:rPr>
            </w:pPr>
            <w:r>
              <w:rPr>
                <w:lang w:eastAsia="en-AU"/>
              </w:rPr>
              <w:t>ISO</w:t>
            </w:r>
          </w:p>
        </w:tc>
        <w:tc>
          <w:tcPr>
            <w:tcW w:w="5517" w:type="dxa"/>
          </w:tcPr>
          <w:p w14:paraId="7F69E8A1" w14:textId="70E32BB9" w:rsidR="0080732A" w:rsidRPr="00821F47" w:rsidRDefault="0080732A" w:rsidP="00821F47">
            <w:pPr>
              <w:pStyle w:val="TableBody"/>
              <w:rPr>
                <w:b/>
                <w:bCs/>
                <w:lang w:eastAsia="en-AU"/>
              </w:rPr>
            </w:pPr>
            <w:r w:rsidRPr="0080732A">
              <w:rPr>
                <w:b/>
                <w:bCs/>
                <w:lang w:eastAsia="en-AU"/>
              </w:rPr>
              <w:t xml:space="preserve">ISO 22301 </w:t>
            </w:r>
            <w:r w:rsidRPr="0080732A">
              <w:rPr>
                <w:lang w:eastAsia="en-AU"/>
              </w:rPr>
              <w:t>specifies requirements to implement, maintain and improve a management system to protect against, reduce the likelihood of the occurrence of, prepare for, respond to and recover from disruptions as they arise.</w:t>
            </w:r>
          </w:p>
        </w:tc>
      </w:tr>
    </w:tbl>
    <w:p w14:paraId="6EF3258C" w14:textId="00F46061" w:rsidR="007D7452" w:rsidRDefault="007D7452" w:rsidP="007D7452">
      <w:pPr>
        <w:pStyle w:val="BodyText"/>
        <w:rPr>
          <w:lang w:eastAsia="en-AU"/>
        </w:rPr>
      </w:pPr>
    </w:p>
    <w:p w14:paraId="3A2207BC" w14:textId="789B99B8" w:rsidR="007D7452" w:rsidRDefault="007D7452" w:rsidP="007D7452">
      <w:pPr>
        <w:pStyle w:val="BodyText"/>
        <w:rPr>
          <w:lang w:eastAsia="en-AU"/>
        </w:rPr>
      </w:pPr>
    </w:p>
    <w:p w14:paraId="046522A8" w14:textId="36EF2F6B" w:rsidR="0080732A" w:rsidRDefault="0080732A" w:rsidP="007D7452">
      <w:pPr>
        <w:pStyle w:val="BodyText"/>
        <w:rPr>
          <w:lang w:eastAsia="en-AU"/>
        </w:rPr>
      </w:pPr>
    </w:p>
    <w:p w14:paraId="10FAF20B" w14:textId="06243F21" w:rsidR="0080732A" w:rsidRDefault="0080732A" w:rsidP="007D7452">
      <w:pPr>
        <w:pStyle w:val="BodyText"/>
        <w:rPr>
          <w:lang w:eastAsia="en-AU"/>
        </w:rPr>
      </w:pPr>
    </w:p>
    <w:tbl>
      <w:tblPr>
        <w:tblStyle w:val="GridTable4-Accent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930"/>
        <w:gridCol w:w="6708"/>
      </w:tblGrid>
      <w:tr w:rsidR="00AD01F7" w14:paraId="1D24D6E1" w14:textId="77777777" w:rsidTr="00065DAB">
        <w:tc>
          <w:tcPr>
            <w:tcW w:w="1520" w:type="pct"/>
            <w:shd w:val="clear" w:color="auto" w:fill="034EA2" w:themeFill="accent1"/>
            <w:hideMark/>
          </w:tcPr>
          <w:p w14:paraId="0EE2EF91" w14:textId="77777777" w:rsidR="00E43E64" w:rsidRDefault="00E43E64" w:rsidP="00065DAB">
            <w:pPr>
              <w:pStyle w:val="TableHeading"/>
            </w:pPr>
            <w:r>
              <w:t>Jurisdiction</w:t>
            </w:r>
          </w:p>
        </w:tc>
        <w:tc>
          <w:tcPr>
            <w:tcW w:w="3480" w:type="pct"/>
            <w:shd w:val="clear" w:color="auto" w:fill="034EA2" w:themeFill="accent1"/>
          </w:tcPr>
          <w:p w14:paraId="330D37DD" w14:textId="77777777" w:rsidR="008C77B5" w:rsidRDefault="00E43E64" w:rsidP="00065DAB">
            <w:pPr>
              <w:pStyle w:val="TableHeading"/>
            </w:pPr>
            <w:r>
              <w:t>Regulator/s</w:t>
            </w:r>
          </w:p>
        </w:tc>
      </w:tr>
      <w:tr w:rsidR="00A94A5F" w14:paraId="1809CC38" w14:textId="77777777" w:rsidTr="00065DAB">
        <w:tc>
          <w:tcPr>
            <w:tcW w:w="1520" w:type="pct"/>
            <w:shd w:val="clear" w:color="auto" w:fill="F2F2F2" w:themeFill="background1" w:themeFillShade="F2"/>
            <w:hideMark/>
          </w:tcPr>
          <w:p w14:paraId="2954350E" w14:textId="77777777" w:rsidR="008C77B5" w:rsidRDefault="008C77B5" w:rsidP="00065DAB">
            <w:pPr>
              <w:pStyle w:val="Tabletext"/>
            </w:pPr>
            <w:r>
              <w:t>Commonwealth</w:t>
            </w:r>
          </w:p>
        </w:tc>
        <w:tc>
          <w:tcPr>
            <w:tcW w:w="3480" w:type="pct"/>
            <w:shd w:val="clear" w:color="auto" w:fill="auto"/>
            <w:hideMark/>
          </w:tcPr>
          <w:p w14:paraId="1E842039" w14:textId="77777777" w:rsidR="008C77B5" w:rsidRDefault="008C77B5" w:rsidP="00065DAB">
            <w:pPr>
              <w:pStyle w:val="Tabletext"/>
            </w:pPr>
            <w:r>
              <w:t xml:space="preserve">Australian Energy Regulator </w:t>
            </w:r>
          </w:p>
          <w:p w14:paraId="4DD4DEC8" w14:textId="77777777" w:rsidR="008C77B5" w:rsidRDefault="008C77B5" w:rsidP="00065DAB">
            <w:pPr>
              <w:pStyle w:val="Tabletext"/>
            </w:pPr>
            <w:r>
              <w:t xml:space="preserve">Australian Energy Market Operator </w:t>
            </w:r>
          </w:p>
          <w:p w14:paraId="7A7381B5" w14:textId="77777777" w:rsidR="008C77B5" w:rsidRDefault="008C77B5" w:rsidP="00065DAB">
            <w:pPr>
              <w:pStyle w:val="Tabletext"/>
            </w:pPr>
            <w:r>
              <w:t xml:space="preserve">Energy Security Board </w:t>
            </w:r>
          </w:p>
          <w:p w14:paraId="3C4401E7" w14:textId="77777777" w:rsidR="008C77B5" w:rsidRDefault="008C77B5" w:rsidP="00065DAB">
            <w:pPr>
              <w:pStyle w:val="Tabletext"/>
            </w:pPr>
            <w:r>
              <w:t>(Provides whole of system oversight on energy security and reliability)</w:t>
            </w:r>
          </w:p>
        </w:tc>
      </w:tr>
      <w:tr w:rsidR="00A94A5F" w14:paraId="78803C45" w14:textId="77777777" w:rsidTr="00065DAB">
        <w:tc>
          <w:tcPr>
            <w:tcW w:w="1520" w:type="pct"/>
            <w:shd w:val="clear" w:color="auto" w:fill="F2F2F2" w:themeFill="background1" w:themeFillShade="F2"/>
            <w:hideMark/>
          </w:tcPr>
          <w:p w14:paraId="4AEC36E4" w14:textId="77777777" w:rsidR="008C77B5" w:rsidRDefault="008C77B5" w:rsidP="00065DAB">
            <w:pPr>
              <w:pStyle w:val="Tabletext"/>
            </w:pPr>
            <w:r>
              <w:lastRenderedPageBreak/>
              <w:t>Australian Capital Territory</w:t>
            </w:r>
          </w:p>
        </w:tc>
        <w:tc>
          <w:tcPr>
            <w:tcW w:w="3480" w:type="pct"/>
            <w:shd w:val="clear" w:color="auto" w:fill="auto"/>
            <w:hideMark/>
          </w:tcPr>
          <w:p w14:paraId="6302ABA8" w14:textId="77777777" w:rsidR="008C77B5" w:rsidRDefault="008C77B5" w:rsidP="00065DAB">
            <w:pPr>
              <w:pStyle w:val="Tabletext"/>
            </w:pPr>
            <w:r>
              <w:t xml:space="preserve">Independent Competition and Regulatory Commission </w:t>
            </w:r>
          </w:p>
        </w:tc>
      </w:tr>
      <w:tr w:rsidR="00A94A5F" w14:paraId="5335BD74" w14:textId="77777777" w:rsidTr="00065DAB">
        <w:tc>
          <w:tcPr>
            <w:tcW w:w="1520" w:type="pct"/>
            <w:shd w:val="clear" w:color="auto" w:fill="F2F2F2" w:themeFill="background1" w:themeFillShade="F2"/>
            <w:hideMark/>
          </w:tcPr>
          <w:p w14:paraId="6A952703" w14:textId="77777777" w:rsidR="008C77B5" w:rsidRDefault="008C77B5" w:rsidP="00065DAB">
            <w:pPr>
              <w:pStyle w:val="Tabletext"/>
            </w:pPr>
            <w:r>
              <w:t>New South Wales</w:t>
            </w:r>
          </w:p>
        </w:tc>
        <w:tc>
          <w:tcPr>
            <w:tcW w:w="3480" w:type="pct"/>
            <w:shd w:val="clear" w:color="auto" w:fill="auto"/>
            <w:hideMark/>
          </w:tcPr>
          <w:p w14:paraId="77069958" w14:textId="77777777" w:rsidR="008C77B5" w:rsidRDefault="008C77B5" w:rsidP="00065DAB">
            <w:pPr>
              <w:pStyle w:val="Tabletext"/>
            </w:pPr>
            <w:r>
              <w:t>Independent Pricing and Regulatory Tribunal of New South Wales</w:t>
            </w:r>
          </w:p>
        </w:tc>
      </w:tr>
      <w:tr w:rsidR="00A94A5F" w14:paraId="37D43093" w14:textId="77777777" w:rsidTr="00065DAB">
        <w:tc>
          <w:tcPr>
            <w:tcW w:w="1520" w:type="pct"/>
            <w:shd w:val="clear" w:color="auto" w:fill="F2F2F2" w:themeFill="background1" w:themeFillShade="F2"/>
            <w:hideMark/>
          </w:tcPr>
          <w:p w14:paraId="4FB1E7FA" w14:textId="77777777" w:rsidR="008C77B5" w:rsidRDefault="008C77B5" w:rsidP="00065DAB">
            <w:pPr>
              <w:pStyle w:val="Tabletext"/>
            </w:pPr>
            <w:r>
              <w:t>Northern Territory</w:t>
            </w:r>
          </w:p>
        </w:tc>
        <w:tc>
          <w:tcPr>
            <w:tcW w:w="3480" w:type="pct"/>
            <w:shd w:val="clear" w:color="auto" w:fill="auto"/>
            <w:hideMark/>
          </w:tcPr>
          <w:p w14:paraId="771D3DAE" w14:textId="77777777" w:rsidR="008C77B5" w:rsidRDefault="008C77B5" w:rsidP="00065DAB">
            <w:pPr>
              <w:pStyle w:val="Tabletext"/>
            </w:pPr>
            <w:r>
              <w:t xml:space="preserve">Utilities Commission of the Northern Territory </w:t>
            </w:r>
          </w:p>
        </w:tc>
      </w:tr>
      <w:tr w:rsidR="00A94A5F" w14:paraId="65102386" w14:textId="77777777" w:rsidTr="00065DAB">
        <w:tc>
          <w:tcPr>
            <w:tcW w:w="1520" w:type="pct"/>
            <w:shd w:val="clear" w:color="auto" w:fill="F2F2F2" w:themeFill="background1" w:themeFillShade="F2"/>
            <w:hideMark/>
          </w:tcPr>
          <w:p w14:paraId="625854B0" w14:textId="77777777" w:rsidR="008C77B5" w:rsidRDefault="008C77B5" w:rsidP="00065DAB">
            <w:pPr>
              <w:pStyle w:val="Tabletext"/>
            </w:pPr>
            <w:r>
              <w:t>Queensland</w:t>
            </w:r>
          </w:p>
        </w:tc>
        <w:tc>
          <w:tcPr>
            <w:tcW w:w="3480" w:type="pct"/>
            <w:shd w:val="clear" w:color="auto" w:fill="auto"/>
            <w:hideMark/>
          </w:tcPr>
          <w:p w14:paraId="71B5C33E" w14:textId="77777777" w:rsidR="008C77B5" w:rsidRDefault="008C77B5" w:rsidP="00065DAB">
            <w:pPr>
              <w:pStyle w:val="Tabletext"/>
            </w:pPr>
            <w:r>
              <w:t>Department of Natural Resources, Mines and Energy</w:t>
            </w:r>
          </w:p>
        </w:tc>
      </w:tr>
      <w:tr w:rsidR="00A94A5F" w14:paraId="2B9322FE" w14:textId="77777777" w:rsidTr="00065DAB">
        <w:tc>
          <w:tcPr>
            <w:tcW w:w="1520" w:type="pct"/>
            <w:shd w:val="clear" w:color="auto" w:fill="F2F2F2" w:themeFill="background1" w:themeFillShade="F2"/>
            <w:hideMark/>
          </w:tcPr>
          <w:p w14:paraId="372FAB37" w14:textId="77777777" w:rsidR="008C77B5" w:rsidRDefault="008C77B5" w:rsidP="00065DAB">
            <w:pPr>
              <w:pStyle w:val="Tabletext"/>
            </w:pPr>
            <w:r>
              <w:t>South Australia</w:t>
            </w:r>
          </w:p>
        </w:tc>
        <w:tc>
          <w:tcPr>
            <w:tcW w:w="3480" w:type="pct"/>
            <w:shd w:val="clear" w:color="auto" w:fill="auto"/>
            <w:hideMark/>
          </w:tcPr>
          <w:p w14:paraId="3AC82729" w14:textId="77777777" w:rsidR="008C77B5" w:rsidRDefault="008C77B5" w:rsidP="00065DAB">
            <w:pPr>
              <w:pStyle w:val="Tabletext"/>
            </w:pPr>
            <w:r>
              <w:t xml:space="preserve">Office of the Technical Regulator </w:t>
            </w:r>
          </w:p>
        </w:tc>
      </w:tr>
      <w:tr w:rsidR="00A94A5F" w14:paraId="35C7BA06" w14:textId="77777777" w:rsidTr="00065DAB">
        <w:tc>
          <w:tcPr>
            <w:tcW w:w="1520" w:type="pct"/>
            <w:shd w:val="clear" w:color="auto" w:fill="F2F2F2" w:themeFill="background1" w:themeFillShade="F2"/>
            <w:hideMark/>
          </w:tcPr>
          <w:p w14:paraId="46B22E9C" w14:textId="77777777" w:rsidR="008C77B5" w:rsidRDefault="008C77B5" w:rsidP="00065DAB">
            <w:pPr>
              <w:pStyle w:val="Tabletext"/>
            </w:pPr>
            <w:r>
              <w:t>Tasmania</w:t>
            </w:r>
          </w:p>
        </w:tc>
        <w:tc>
          <w:tcPr>
            <w:tcW w:w="3480" w:type="pct"/>
            <w:shd w:val="clear" w:color="auto" w:fill="auto"/>
            <w:hideMark/>
          </w:tcPr>
          <w:p w14:paraId="3CB2E353" w14:textId="77777777" w:rsidR="008C77B5" w:rsidRDefault="008C77B5" w:rsidP="00065DAB">
            <w:pPr>
              <w:pStyle w:val="Tabletext"/>
            </w:pPr>
            <w:r>
              <w:t xml:space="preserve">Office of the Tasmanian Economic Regulator </w:t>
            </w:r>
          </w:p>
        </w:tc>
      </w:tr>
      <w:tr w:rsidR="00A94A5F" w14:paraId="387B4DB4" w14:textId="77777777" w:rsidTr="00065DAB">
        <w:tc>
          <w:tcPr>
            <w:tcW w:w="1520" w:type="pct"/>
            <w:shd w:val="clear" w:color="auto" w:fill="F2F2F2" w:themeFill="background1" w:themeFillShade="F2"/>
            <w:hideMark/>
          </w:tcPr>
          <w:p w14:paraId="4A384DF9" w14:textId="77777777" w:rsidR="008C77B5" w:rsidRDefault="008C77B5" w:rsidP="00065DAB">
            <w:pPr>
              <w:pStyle w:val="Tabletext"/>
            </w:pPr>
            <w:r>
              <w:t>Victoria</w:t>
            </w:r>
          </w:p>
        </w:tc>
        <w:tc>
          <w:tcPr>
            <w:tcW w:w="3480" w:type="pct"/>
            <w:shd w:val="clear" w:color="auto" w:fill="auto"/>
            <w:hideMark/>
          </w:tcPr>
          <w:p w14:paraId="6D142278" w14:textId="77777777" w:rsidR="008C77B5" w:rsidRDefault="008C77B5" w:rsidP="00065DAB">
            <w:pPr>
              <w:pStyle w:val="Tabletext"/>
            </w:pPr>
            <w:r>
              <w:t xml:space="preserve">Energy Safe Victoria </w:t>
            </w:r>
          </w:p>
        </w:tc>
      </w:tr>
      <w:tr w:rsidR="00A94A5F" w14:paraId="1CD5DCBB" w14:textId="77777777" w:rsidTr="00065DAB">
        <w:tc>
          <w:tcPr>
            <w:tcW w:w="1520" w:type="pct"/>
            <w:shd w:val="clear" w:color="auto" w:fill="F2F2F2" w:themeFill="background1" w:themeFillShade="F2"/>
            <w:hideMark/>
          </w:tcPr>
          <w:p w14:paraId="6D60D2D2" w14:textId="77777777" w:rsidR="008C77B5" w:rsidRDefault="008C77B5" w:rsidP="00065DAB">
            <w:pPr>
              <w:pStyle w:val="Tabletext"/>
            </w:pPr>
            <w:r>
              <w:t>Western Australia</w:t>
            </w:r>
          </w:p>
        </w:tc>
        <w:tc>
          <w:tcPr>
            <w:tcW w:w="3480" w:type="pct"/>
            <w:shd w:val="clear" w:color="auto" w:fill="auto"/>
            <w:hideMark/>
          </w:tcPr>
          <w:p w14:paraId="3684B9BA" w14:textId="77777777" w:rsidR="008C77B5" w:rsidRDefault="008C77B5" w:rsidP="00065DAB">
            <w:pPr>
              <w:pStyle w:val="Tabletext"/>
            </w:pPr>
            <w:r>
              <w:t>Economic Regulation Authority of Western Australia</w:t>
            </w:r>
          </w:p>
        </w:tc>
      </w:tr>
    </w:tbl>
    <w:p w14:paraId="2F3DA41F" w14:textId="77777777" w:rsidR="008F446D" w:rsidRPr="008F446D" w:rsidRDefault="000C3D44" w:rsidP="004F16FE">
      <w:pPr>
        <w:pStyle w:val="AppendixH2"/>
      </w:pPr>
      <w:r>
        <w:t>Additional information on consultation</w:t>
      </w:r>
    </w:p>
    <w:p w14:paraId="6ACDFBCC" w14:textId="77777777" w:rsidR="00F93F24" w:rsidRPr="005D2A94" w:rsidRDefault="005D2A94" w:rsidP="005D2A94">
      <w:pPr>
        <w:spacing w:after="160"/>
        <w:rPr>
          <w:rFonts w:ascii="Arial" w:eastAsia="Calibri" w:hAnsi="Arial" w:cs="Arial"/>
          <w:sz w:val="22"/>
        </w:rPr>
      </w:pPr>
      <w:r>
        <w:rPr>
          <w:rFonts w:ascii="Arial" w:eastAsia="Calibri" w:hAnsi="Arial" w:cs="Arial"/>
          <w:sz w:val="22"/>
        </w:rPr>
        <w:t>The table</w:t>
      </w:r>
      <w:r w:rsidR="00F93F24">
        <w:rPr>
          <w:rFonts w:ascii="Arial" w:eastAsia="Calibri" w:hAnsi="Arial" w:cs="Arial"/>
          <w:sz w:val="22"/>
        </w:rPr>
        <w:t xml:space="preserve"> below contains an overview of the stakeholder organisations </w:t>
      </w:r>
      <w:r w:rsidR="00F93F24" w:rsidRPr="008F446D">
        <w:rPr>
          <w:rFonts w:ascii="Arial" w:eastAsia="Calibri" w:hAnsi="Arial" w:cs="Arial"/>
          <w:sz w:val="22"/>
        </w:rPr>
        <w:t>consulted during the consultation process.</w:t>
      </w:r>
      <w:r w:rsidR="00F93F24">
        <w:rPr>
          <w:rFonts w:ascii="Arial" w:eastAsia="Calibri" w:hAnsi="Arial" w:cs="Arial"/>
          <w:sz w:val="22"/>
        </w:rPr>
        <w:t xml:space="preserve"> </w:t>
      </w:r>
    </w:p>
    <w:tbl>
      <w:tblPr>
        <w:tblStyle w:val="TableGrid5"/>
        <w:tblW w:w="9493" w:type="dxa"/>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4746"/>
        <w:gridCol w:w="4747"/>
      </w:tblGrid>
      <w:tr w:rsidR="00F93F24" w14:paraId="20971A5E" w14:textId="77777777" w:rsidTr="00065DAB">
        <w:tc>
          <w:tcPr>
            <w:tcW w:w="9493" w:type="dxa"/>
            <w:gridSpan w:val="2"/>
            <w:shd w:val="clear" w:color="auto" w:fill="034EA2" w:themeFill="accent1"/>
            <w:hideMark/>
          </w:tcPr>
          <w:p w14:paraId="7B41A656" w14:textId="77777777" w:rsidR="00F93F24" w:rsidRDefault="00F93F24" w:rsidP="00065DAB">
            <w:pPr>
              <w:pStyle w:val="TableHeading"/>
              <w:rPr>
                <w:sz w:val="22"/>
              </w:rPr>
            </w:pPr>
            <w:r>
              <w:t xml:space="preserve">Stakeholders Consulted </w:t>
            </w:r>
          </w:p>
        </w:tc>
      </w:tr>
      <w:tr w:rsidR="00F93F24" w14:paraId="6F5F7055" w14:textId="77777777" w:rsidTr="00065DAB">
        <w:tc>
          <w:tcPr>
            <w:tcW w:w="4746" w:type="dxa"/>
          </w:tcPr>
          <w:p w14:paraId="5FDB5BFE" w14:textId="77777777" w:rsidR="00F93F24" w:rsidRDefault="00F93F24" w:rsidP="00065DAB">
            <w:pPr>
              <w:pStyle w:val="TableBullet"/>
            </w:pPr>
            <w:r>
              <w:t xml:space="preserve">Australia New Zealand Industrial Gas Association </w:t>
            </w:r>
          </w:p>
          <w:p w14:paraId="7D6502ED" w14:textId="77777777" w:rsidR="00F93F24" w:rsidRDefault="00F93F24" w:rsidP="00065DAB">
            <w:pPr>
              <w:pStyle w:val="TableBullet"/>
            </w:pPr>
            <w:r>
              <w:t xml:space="preserve">Australia Pacific LNG </w:t>
            </w:r>
          </w:p>
          <w:p w14:paraId="272E2E44" w14:textId="0F9E1702" w:rsidR="00F93F24" w:rsidRDefault="00F93F24" w:rsidP="00065DAB">
            <w:pPr>
              <w:pStyle w:val="TableBullet"/>
            </w:pPr>
            <w:r>
              <w:t>Australia Pipelin and Gas Association</w:t>
            </w:r>
          </w:p>
          <w:p w14:paraId="0ABBAB9A" w14:textId="0A082608" w:rsidR="00F93F24" w:rsidRPr="00065DAB" w:rsidRDefault="00F93F24" w:rsidP="00065DAB">
            <w:pPr>
              <w:pStyle w:val="TableBullet"/>
            </w:pPr>
            <w:r>
              <w:t xml:space="preserve">Australian Gas Infrastructure Group </w:t>
            </w:r>
          </w:p>
        </w:tc>
        <w:tc>
          <w:tcPr>
            <w:tcW w:w="4747" w:type="dxa"/>
            <w:hideMark/>
          </w:tcPr>
          <w:p w14:paraId="5CB2F99A" w14:textId="77777777" w:rsidR="00F93F24" w:rsidRDefault="00F93F24" w:rsidP="00065DAB">
            <w:pPr>
              <w:pStyle w:val="TableBullet"/>
            </w:pPr>
            <w:r>
              <w:t>Conoco Philips Australia</w:t>
            </w:r>
          </w:p>
          <w:p w14:paraId="591E6DCC" w14:textId="77777777" w:rsidR="00F93F24" w:rsidRDefault="00F93F24" w:rsidP="00065DAB">
            <w:pPr>
              <w:pStyle w:val="TableBullet"/>
            </w:pPr>
            <w:r>
              <w:t xml:space="preserve">Gas Energy Australia </w:t>
            </w:r>
          </w:p>
          <w:p w14:paraId="7F6717AD" w14:textId="77777777" w:rsidR="00F93F24" w:rsidRDefault="00F93F24" w:rsidP="00065DAB">
            <w:pPr>
              <w:pStyle w:val="TableBullet"/>
            </w:pPr>
            <w:r>
              <w:t xml:space="preserve">GLNG Operations Pty Ltd </w:t>
            </w:r>
          </w:p>
          <w:p w14:paraId="31044F9E" w14:textId="77777777" w:rsidR="00F93F24" w:rsidRDefault="00F93F24" w:rsidP="00065DAB">
            <w:pPr>
              <w:pStyle w:val="TableBullet"/>
            </w:pPr>
            <w:r>
              <w:t xml:space="preserve">Lochard Energy </w:t>
            </w:r>
          </w:p>
          <w:p w14:paraId="0D6F3F56" w14:textId="77777777" w:rsidR="00F93F24" w:rsidRDefault="00F93F24" w:rsidP="00065DAB">
            <w:pPr>
              <w:pStyle w:val="TableBullet"/>
            </w:pPr>
            <w:r>
              <w:t xml:space="preserve">Santos LTD </w:t>
            </w:r>
          </w:p>
          <w:p w14:paraId="7FDD7F09" w14:textId="77777777" w:rsidR="00F93F24" w:rsidRDefault="00F93F24" w:rsidP="00065DAB">
            <w:pPr>
              <w:pStyle w:val="TableBullet"/>
            </w:pPr>
            <w:r>
              <w:t>Vermilion Oil and Gas Australia</w:t>
            </w:r>
          </w:p>
        </w:tc>
      </w:tr>
    </w:tbl>
    <w:p w14:paraId="396D7A89" w14:textId="77777777" w:rsidR="00EE4608" w:rsidRDefault="00EE4608" w:rsidP="008E1A28">
      <w:pPr>
        <w:pStyle w:val="Caption"/>
      </w:pPr>
      <w:r>
        <w:lastRenderedPageBreak/>
        <w:t>Consultation timeline</w:t>
      </w:r>
    </w:p>
    <w:p w14:paraId="3802BAE1" w14:textId="2357CA75" w:rsidR="00EE4608" w:rsidRDefault="00C245A4" w:rsidP="006874A3">
      <w:pPr>
        <w:pStyle w:val="BodyText"/>
      </w:pPr>
      <w:r>
        <w:rPr>
          <w:noProof/>
          <w:lang w:eastAsia="en-AU"/>
        </w:rPr>
        <w:drawing>
          <wp:inline distT="0" distB="0" distL="0" distR="0" wp14:anchorId="4617EDD8" wp14:editId="380AE4B0">
            <wp:extent cx="6004560" cy="67909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3"/>
                    <a:stretch>
                      <a:fillRect/>
                    </a:stretch>
                  </pic:blipFill>
                  <pic:spPr>
                    <a:xfrm>
                      <a:off x="0" y="0"/>
                      <a:ext cx="6004560" cy="6790944"/>
                    </a:xfrm>
                    <a:prstGeom prst="rect">
                      <a:avLst/>
                    </a:prstGeom>
                  </pic:spPr>
                </pic:pic>
              </a:graphicData>
            </a:graphic>
          </wp:inline>
        </w:drawing>
      </w:r>
    </w:p>
    <w:p w14:paraId="06992ADC" w14:textId="3D0DEC59" w:rsidR="006874A3" w:rsidRDefault="006874A3" w:rsidP="006874A3">
      <w:pPr>
        <w:pStyle w:val="BodyText"/>
      </w:pPr>
    </w:p>
    <w:p w14:paraId="5A30F589" w14:textId="2348757E" w:rsidR="006874A3" w:rsidRDefault="006874A3" w:rsidP="006874A3">
      <w:pPr>
        <w:pStyle w:val="BodyText"/>
      </w:pPr>
    </w:p>
    <w:p w14:paraId="2DD02BC1" w14:textId="32629B76" w:rsidR="006874A3" w:rsidRDefault="006874A3" w:rsidP="006874A3">
      <w:pPr>
        <w:pStyle w:val="BodyText"/>
      </w:pPr>
    </w:p>
    <w:p w14:paraId="5BC80CCC" w14:textId="77777777" w:rsidR="001E4026" w:rsidRPr="00D65A59" w:rsidRDefault="001E4026" w:rsidP="008E1A28">
      <w:pPr>
        <w:pStyle w:val="AppendixH2"/>
      </w:pPr>
      <w:r w:rsidRPr="00D65A59">
        <w:t xml:space="preserve">RMP Rules consultation </w:t>
      </w:r>
    </w:p>
    <w:p w14:paraId="249FDDC1" w14:textId="1EA4882D" w:rsidR="00BC0B60" w:rsidRPr="00BC0B60" w:rsidRDefault="00BC0B60" w:rsidP="004F6E47">
      <w:pPr>
        <w:pStyle w:val="BodyText"/>
      </w:pPr>
      <w:r w:rsidRPr="00BC0B60">
        <w:t xml:space="preserve">Consultation with industry stakeholders occurred </w:t>
      </w:r>
      <w:r w:rsidR="00177639">
        <w:t>across</w:t>
      </w:r>
      <w:r w:rsidRPr="00BC0B60">
        <w:t xml:space="preserve"> </w:t>
      </w:r>
      <w:r w:rsidR="007845A4">
        <w:t xml:space="preserve">the following </w:t>
      </w:r>
      <w:r w:rsidR="007845A4" w:rsidRPr="00936133">
        <w:t>key stages</w:t>
      </w:r>
      <w:r w:rsidRPr="00BC0B60">
        <w:t xml:space="preserve"> : </w:t>
      </w:r>
    </w:p>
    <w:p w14:paraId="240B0151" w14:textId="77777777" w:rsidR="00BC0B60" w:rsidRPr="00BC0B60" w:rsidRDefault="00BC0B60" w:rsidP="007F265A">
      <w:pPr>
        <w:pStyle w:val="ListParagraph"/>
        <w:numPr>
          <w:ilvl w:val="0"/>
          <w:numId w:val="117"/>
        </w:numPr>
        <w:ind w:hanging="357"/>
        <w:contextualSpacing w:val="0"/>
        <w:rPr>
          <w:szCs w:val="22"/>
        </w:rPr>
      </w:pPr>
      <w:r w:rsidRPr="00BC0B60">
        <w:rPr>
          <w:b/>
          <w:bCs/>
          <w:szCs w:val="22"/>
        </w:rPr>
        <w:lastRenderedPageBreak/>
        <w:t>A virtual town hall</w:t>
      </w:r>
      <w:r w:rsidRPr="00BC0B60">
        <w:rPr>
          <w:szCs w:val="22"/>
        </w:rPr>
        <w:t xml:space="preserve">, held on 28 April </w:t>
      </w:r>
      <w:r w:rsidR="001656B3">
        <w:rPr>
          <w:szCs w:val="22"/>
        </w:rPr>
        <w:t xml:space="preserve">2021 </w:t>
      </w:r>
      <w:r w:rsidRPr="00BC0B60">
        <w:rPr>
          <w:szCs w:val="22"/>
        </w:rPr>
        <w:t xml:space="preserve">attended by approximately 79 industry and Government stakeholders, to communicate the purpose of the consultation process and obtain information to inform the design of future workshops. </w:t>
      </w:r>
    </w:p>
    <w:p w14:paraId="553E4FD9" w14:textId="77777777" w:rsidR="00BC0B60" w:rsidRPr="00BC0B60" w:rsidRDefault="00BC0B60" w:rsidP="007F265A">
      <w:pPr>
        <w:pStyle w:val="ListParagraph"/>
        <w:numPr>
          <w:ilvl w:val="0"/>
          <w:numId w:val="117"/>
        </w:numPr>
        <w:spacing w:after="0"/>
        <w:ind w:hanging="357"/>
        <w:contextualSpacing w:val="0"/>
        <w:rPr>
          <w:szCs w:val="22"/>
        </w:rPr>
      </w:pPr>
      <w:r w:rsidRPr="00BC0B60">
        <w:rPr>
          <w:b/>
          <w:bCs/>
          <w:szCs w:val="22"/>
        </w:rPr>
        <w:t>A series of three virtual workshops</w:t>
      </w:r>
      <w:r w:rsidRPr="00BC0B60">
        <w:rPr>
          <w:szCs w:val="22"/>
        </w:rPr>
        <w:t xml:space="preserve">, held over a six-week period beginning 11 May </w:t>
      </w:r>
      <w:r w:rsidR="001656B3">
        <w:rPr>
          <w:szCs w:val="22"/>
        </w:rPr>
        <w:t>2021</w:t>
      </w:r>
      <w:r w:rsidRPr="00BC0B60">
        <w:rPr>
          <w:szCs w:val="22"/>
        </w:rPr>
        <w:t xml:space="preserve"> and each attended by approximately 50 industry and Government stakeholders, which provided a forum for the consultation of Risk Management Program rules and understand the costs and benefits associated with implementing the Risk Management Program Framework. Workshops were designed to provide: </w:t>
      </w:r>
    </w:p>
    <w:p w14:paraId="528A265A" w14:textId="77777777" w:rsidR="00BC0B60" w:rsidRPr="00BC0B60" w:rsidRDefault="00BC0B60" w:rsidP="00CE4B35">
      <w:pPr>
        <w:pStyle w:val="Bullet2ndlevel"/>
        <w:numPr>
          <w:ilvl w:val="0"/>
          <w:numId w:val="176"/>
        </w:numPr>
      </w:pPr>
      <w:r w:rsidRPr="00BC0B60">
        <w:t xml:space="preserve">Several opportunities for discussion and feedback to gather industry perspectives; </w:t>
      </w:r>
    </w:p>
    <w:p w14:paraId="18EE2177" w14:textId="77777777" w:rsidR="00BC0B60" w:rsidRPr="00BC0B60" w:rsidRDefault="00BC0B60" w:rsidP="00CE4B35">
      <w:pPr>
        <w:pStyle w:val="Bullet2ndlevel"/>
        <w:numPr>
          <w:ilvl w:val="0"/>
          <w:numId w:val="176"/>
        </w:numPr>
      </w:pPr>
      <w:r w:rsidRPr="00BC0B60">
        <w:t xml:space="preserve">Polling, in-session surveys and facilitated discussions; and </w:t>
      </w:r>
    </w:p>
    <w:p w14:paraId="028692BF" w14:textId="77777777" w:rsidR="00BC0B60" w:rsidRPr="00BC0B60" w:rsidRDefault="00BC0B60" w:rsidP="00CE4B35">
      <w:pPr>
        <w:pStyle w:val="Bullet2ndlevel"/>
        <w:numPr>
          <w:ilvl w:val="0"/>
          <w:numId w:val="176"/>
        </w:numPr>
      </w:pPr>
      <w:r w:rsidRPr="00BC0B60">
        <w:t xml:space="preserve">‘Break out room’ discussions, divided into Generators, Transmitters and Distributors, to ensure comprehensive discussion occurred across all subsets of industry. </w:t>
      </w:r>
    </w:p>
    <w:p w14:paraId="7FB86BEB" w14:textId="77777777" w:rsidR="00BC0B60" w:rsidRPr="00BC0B60" w:rsidRDefault="00BC0B60" w:rsidP="007F265A">
      <w:pPr>
        <w:pStyle w:val="ListParagraph"/>
        <w:numPr>
          <w:ilvl w:val="0"/>
          <w:numId w:val="117"/>
        </w:numPr>
        <w:spacing w:after="0"/>
        <w:ind w:left="351" w:hanging="357"/>
        <w:contextualSpacing w:val="0"/>
        <w:rPr>
          <w:szCs w:val="22"/>
        </w:rPr>
      </w:pPr>
      <w:r w:rsidRPr="00BC0B60">
        <w:rPr>
          <w:b/>
          <w:bCs/>
          <w:szCs w:val="22"/>
        </w:rPr>
        <w:t>Out of session consultation</w:t>
      </w:r>
      <w:r w:rsidRPr="00BC0B60">
        <w:rPr>
          <w:szCs w:val="22"/>
        </w:rPr>
        <w:t>, including meetings with a number of stakeholders and extensive email communication.</w:t>
      </w:r>
    </w:p>
    <w:p w14:paraId="611121F7" w14:textId="77B7A94D" w:rsidR="00BC0B60" w:rsidRPr="00BC0B60" w:rsidRDefault="00BC0B60" w:rsidP="004F6E47">
      <w:pPr>
        <w:pStyle w:val="Bullet2ndlevel"/>
      </w:pPr>
      <w:r w:rsidRPr="00BC0B60">
        <w:t xml:space="preserve">Stakeholders were encouraged to contact the Department out of session. The </w:t>
      </w:r>
      <w:r w:rsidR="00CC0C25">
        <w:t>Department</w:t>
      </w:r>
      <w:r w:rsidR="00CC0C25" w:rsidRPr="00BC0B60">
        <w:t xml:space="preserve"> </w:t>
      </w:r>
      <w:r w:rsidRPr="00BC0B60">
        <w:t xml:space="preserve">availed itself to stakeholders to discuss their concerns, working to ensure stakeholders’ understanding of the rules, and the rules’ proportionality. </w:t>
      </w:r>
    </w:p>
    <w:p w14:paraId="6950DA6B" w14:textId="77777777" w:rsidR="00BC0B60" w:rsidRPr="00BC0B60" w:rsidRDefault="00BC0B60" w:rsidP="004F6E47">
      <w:pPr>
        <w:pStyle w:val="Bullet2ndlevel"/>
      </w:pPr>
      <w:r w:rsidRPr="00BC0B60">
        <w:t xml:space="preserve">Out of session engagement also assisted in the iterative development of rules between workshops, through addressing concerns raised by individual stakeholders and proposing a solution. </w:t>
      </w:r>
    </w:p>
    <w:p w14:paraId="5DD824F8" w14:textId="77777777" w:rsidR="00BC0B60" w:rsidRPr="00BC0B60" w:rsidRDefault="00BC0B60" w:rsidP="004F6E47">
      <w:pPr>
        <w:pStyle w:val="Bullet2ndlevel"/>
      </w:pPr>
      <w:r w:rsidRPr="00BC0B60">
        <w:t xml:space="preserve">This engagement strengthened the relationship between the Department and industry, while providing insights on implementation costs, entities’ operating environments and the overall impacts of the proposed regulatory changes. </w:t>
      </w:r>
    </w:p>
    <w:p w14:paraId="0740F00D" w14:textId="5FBA66A2" w:rsidR="00BC0B60" w:rsidRPr="00BC0B60" w:rsidRDefault="00BC0B60" w:rsidP="007F265A">
      <w:pPr>
        <w:pStyle w:val="ListParagraph"/>
        <w:numPr>
          <w:ilvl w:val="0"/>
          <w:numId w:val="117"/>
        </w:numPr>
        <w:spacing w:after="0" w:line="264" w:lineRule="auto"/>
        <w:rPr>
          <w:rFonts w:eastAsia="Calibri"/>
        </w:rPr>
      </w:pPr>
      <w:r w:rsidRPr="00BC0B60">
        <w:rPr>
          <w:rFonts w:eastAsia="Calibri"/>
          <w:b/>
          <w:bCs/>
        </w:rPr>
        <w:t>Two follow-up Information Sessions and one Industry-agnostic Town Hall</w:t>
      </w:r>
      <w:r w:rsidRPr="00BC0B60">
        <w:rPr>
          <w:rFonts w:eastAsia="Calibri"/>
        </w:rPr>
        <w:t xml:space="preserve"> held in </w:t>
      </w:r>
      <w:r w:rsidR="001656B3">
        <w:rPr>
          <w:rFonts w:eastAsia="Calibri"/>
        </w:rPr>
        <w:t xml:space="preserve">October </w:t>
      </w:r>
      <w:r w:rsidR="001656B3" w:rsidRPr="00BC0B60">
        <w:rPr>
          <w:rFonts w:eastAsia="Calibri"/>
        </w:rPr>
        <w:t xml:space="preserve">and </w:t>
      </w:r>
      <w:r w:rsidR="001656B3">
        <w:rPr>
          <w:rFonts w:eastAsia="Calibri"/>
        </w:rPr>
        <w:t>November</w:t>
      </w:r>
      <w:r w:rsidR="001656B3" w:rsidRPr="00BC0B60">
        <w:rPr>
          <w:rFonts w:eastAsia="Calibri"/>
        </w:rPr>
        <w:t xml:space="preserve"> 202</w:t>
      </w:r>
      <w:r w:rsidR="001656B3">
        <w:rPr>
          <w:rFonts w:eastAsia="Calibri"/>
        </w:rPr>
        <w:t>1</w:t>
      </w:r>
      <w:r w:rsidR="001656B3" w:rsidRPr="00BC0B60">
        <w:rPr>
          <w:rFonts w:eastAsia="Calibri"/>
        </w:rPr>
        <w:t xml:space="preserve">. </w:t>
      </w:r>
      <w:r w:rsidRPr="00BC0B60">
        <w:rPr>
          <w:rFonts w:eastAsia="Calibri"/>
        </w:rPr>
        <w:t xml:space="preserve">The purpose of the information sessions was to provide an update for industry on the move from sector-specific to sector-agnostic Risk Management Program rules and to gain sector-specific feedback on the updated Risk Management Program rules. The purpose of the Industry Town Hall was to present the updated Risk Management Program rules and provide information on the further consultation period. The two information sessions were attended by approximately 160 and 200 industry and Government stakeholders respectively. The Town Hall was attended by approximately 800 industry and Government stakeholders across the </w:t>
      </w:r>
      <w:r w:rsidR="0030492E">
        <w:rPr>
          <w:rFonts w:eastAsia="Calibri"/>
        </w:rPr>
        <w:t>10</w:t>
      </w:r>
      <w:r w:rsidRPr="00BC0B60">
        <w:rPr>
          <w:rFonts w:eastAsia="Calibri"/>
        </w:rPr>
        <w:t xml:space="preserve"> critical infrastructure sectors, including by many stakeholders from the gas sector. </w:t>
      </w:r>
    </w:p>
    <w:p w14:paraId="0E23A8FB" w14:textId="2908E9B6" w:rsidR="00E01658" w:rsidRPr="00D309FE" w:rsidRDefault="00E01658" w:rsidP="00E01658">
      <w:pPr>
        <w:pStyle w:val="Bullet1stlevel"/>
        <w:numPr>
          <w:ilvl w:val="0"/>
          <w:numId w:val="117"/>
        </w:numPr>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718ECB8C" w14:textId="77777777" w:rsidR="00E01658" w:rsidRPr="00E13ED2" w:rsidRDefault="00E01658" w:rsidP="00CE4B35">
      <w:pPr>
        <w:spacing w:after="0" w:line="264" w:lineRule="auto"/>
        <w:rPr>
          <w:rFonts w:eastAsia="Calibri"/>
        </w:rPr>
      </w:pPr>
    </w:p>
    <w:p w14:paraId="6145CF27" w14:textId="77777777" w:rsidR="00643600" w:rsidRDefault="00643600" w:rsidP="004F6E47">
      <w:pPr>
        <w:pStyle w:val="BodyText"/>
      </w:pPr>
    </w:p>
    <w:p w14:paraId="4E29005B" w14:textId="77777777" w:rsidR="001B0A11" w:rsidRPr="00643600" w:rsidRDefault="00643600" w:rsidP="008E1A28">
      <w:pPr>
        <w:pStyle w:val="Caption"/>
      </w:pPr>
      <w:bookmarkStart w:id="586" w:name="_Toc83301983"/>
      <w:r>
        <w:lastRenderedPageBreak/>
        <w:t>Key themes from sector-specific consultation</w:t>
      </w:r>
      <w:bookmarkEnd w:id="586"/>
    </w:p>
    <w:tbl>
      <w:tblPr>
        <w:tblStyle w:val="TableGrid5"/>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440"/>
        <w:gridCol w:w="700"/>
        <w:gridCol w:w="4807"/>
        <w:gridCol w:w="2691"/>
      </w:tblGrid>
      <w:tr w:rsidR="001B0A11" w:rsidRPr="00643600" w14:paraId="286E2504" w14:textId="77777777" w:rsidTr="002A643C">
        <w:trPr>
          <w:cantSplit/>
          <w:tblHeader/>
        </w:trPr>
        <w:tc>
          <w:tcPr>
            <w:tcW w:w="747" w:type="pct"/>
            <w:shd w:val="clear" w:color="auto" w:fill="034EA2" w:themeFill="accent1"/>
            <w:hideMark/>
          </w:tcPr>
          <w:p w14:paraId="15FF8033" w14:textId="77777777" w:rsidR="001B0A11" w:rsidRPr="00643600" w:rsidRDefault="001B0A11" w:rsidP="002A643C">
            <w:pPr>
              <w:rPr>
                <w:rFonts w:ascii="Arial" w:eastAsia="Calibri" w:hAnsi="Arial" w:cs="Arial"/>
                <w:b/>
                <w:bCs/>
                <w:color w:val="FFFFFF"/>
                <w:szCs w:val="20"/>
              </w:rPr>
            </w:pPr>
            <w:r w:rsidRPr="00643600">
              <w:rPr>
                <w:rFonts w:ascii="Arial" w:eastAsia="Calibri" w:hAnsi="Arial" w:cs="Arial"/>
                <w:b/>
                <w:bCs/>
                <w:color w:val="FFFFFF"/>
                <w:szCs w:val="20"/>
              </w:rPr>
              <w:t>Rule category</w:t>
            </w:r>
          </w:p>
        </w:tc>
        <w:tc>
          <w:tcPr>
            <w:tcW w:w="2857" w:type="pct"/>
            <w:gridSpan w:val="2"/>
            <w:shd w:val="clear" w:color="auto" w:fill="034EA2" w:themeFill="accent1"/>
            <w:hideMark/>
          </w:tcPr>
          <w:p w14:paraId="05E5CF8A" w14:textId="77777777" w:rsidR="001B0A11" w:rsidRPr="00643600" w:rsidRDefault="001B0A11" w:rsidP="002A643C">
            <w:pPr>
              <w:rPr>
                <w:rFonts w:ascii="Arial" w:eastAsia="Calibri" w:hAnsi="Arial" w:cs="Arial"/>
                <w:b/>
                <w:bCs/>
                <w:color w:val="FFFFFF"/>
                <w:szCs w:val="20"/>
              </w:rPr>
            </w:pPr>
            <w:r w:rsidRPr="00643600">
              <w:rPr>
                <w:rFonts w:ascii="Arial" w:eastAsia="Calibri" w:hAnsi="Arial" w:cs="Arial"/>
                <w:b/>
                <w:bCs/>
                <w:color w:val="FFFFFF"/>
                <w:szCs w:val="20"/>
              </w:rPr>
              <w:t>Identified themes</w:t>
            </w:r>
          </w:p>
        </w:tc>
        <w:tc>
          <w:tcPr>
            <w:tcW w:w="1397" w:type="pct"/>
            <w:shd w:val="clear" w:color="auto" w:fill="034EA2" w:themeFill="accent1"/>
            <w:hideMark/>
          </w:tcPr>
          <w:p w14:paraId="5C579EA6" w14:textId="77777777" w:rsidR="001B0A11" w:rsidRPr="00643600" w:rsidRDefault="001B0A11" w:rsidP="002A643C">
            <w:pPr>
              <w:rPr>
                <w:rFonts w:ascii="Arial" w:eastAsia="Calibri" w:hAnsi="Arial" w:cs="Arial"/>
                <w:b/>
                <w:bCs/>
                <w:color w:val="FFFFFF"/>
                <w:szCs w:val="20"/>
              </w:rPr>
            </w:pPr>
            <w:r w:rsidRPr="00643600">
              <w:rPr>
                <w:rFonts w:ascii="Arial" w:eastAsia="Calibri" w:hAnsi="Arial" w:cs="Arial"/>
                <w:b/>
                <w:bCs/>
                <w:color w:val="FFFFFF"/>
                <w:szCs w:val="20"/>
              </w:rPr>
              <w:t>Impact on development of rules</w:t>
            </w:r>
          </w:p>
        </w:tc>
      </w:tr>
      <w:tr w:rsidR="001B0A11" w:rsidRPr="00643600" w14:paraId="4DC1CD52" w14:textId="77777777" w:rsidTr="002A643C">
        <w:trPr>
          <w:cantSplit/>
        </w:trPr>
        <w:tc>
          <w:tcPr>
            <w:tcW w:w="747" w:type="pct"/>
            <w:shd w:val="clear" w:color="auto" w:fill="BBDAFD" w:themeFill="accent1" w:themeFillTint="33"/>
            <w:hideMark/>
          </w:tcPr>
          <w:p w14:paraId="248ED4B6" w14:textId="77777777" w:rsidR="001B0A11" w:rsidRPr="00643600" w:rsidRDefault="001B0A11" w:rsidP="002A643C">
            <w:pPr>
              <w:rPr>
                <w:rFonts w:ascii="Arial" w:eastAsia="Calibri" w:hAnsi="Arial" w:cs="Arial"/>
                <w:b/>
                <w:bCs/>
                <w:szCs w:val="20"/>
              </w:rPr>
            </w:pPr>
            <w:r w:rsidRPr="00643600">
              <w:rPr>
                <w:rFonts w:ascii="Arial" w:eastAsia="Calibri" w:hAnsi="Arial" w:cs="Arial"/>
                <w:b/>
                <w:bCs/>
                <w:szCs w:val="20"/>
              </w:rPr>
              <w:t xml:space="preserve">Sector-agnostic Risk Management Program Rules </w:t>
            </w:r>
          </w:p>
        </w:tc>
        <w:tc>
          <w:tcPr>
            <w:tcW w:w="363" w:type="pct"/>
            <w:shd w:val="clear" w:color="auto" w:fill="EDEDED"/>
            <w:textDirection w:val="btLr"/>
          </w:tcPr>
          <w:p w14:paraId="1682FDD2" w14:textId="77777777" w:rsidR="001B0A11" w:rsidRPr="00643600" w:rsidRDefault="001B0A11" w:rsidP="002A643C">
            <w:pPr>
              <w:ind w:left="113" w:right="113"/>
              <w:jc w:val="center"/>
              <w:rPr>
                <w:rFonts w:ascii="Arial" w:eastAsia="Calibri" w:hAnsi="Arial" w:cs="Arial"/>
                <w:b/>
                <w:bCs/>
                <w:szCs w:val="20"/>
              </w:rPr>
            </w:pPr>
            <w:r w:rsidRPr="00643600">
              <w:rPr>
                <w:rFonts w:ascii="Arial" w:eastAsia="Calibri" w:hAnsi="Arial" w:cs="Arial"/>
                <w:b/>
                <w:bCs/>
                <w:szCs w:val="20"/>
              </w:rPr>
              <w:t>Information Sessions</w:t>
            </w:r>
          </w:p>
          <w:p w14:paraId="3A502181" w14:textId="77777777" w:rsidR="001B0A11" w:rsidRPr="00643600" w:rsidRDefault="001B0A11" w:rsidP="002A643C">
            <w:pPr>
              <w:ind w:left="113" w:right="113"/>
              <w:rPr>
                <w:rFonts w:ascii="Arial" w:eastAsia="Calibri" w:hAnsi="Arial" w:cs="Arial"/>
                <w:b/>
                <w:bCs/>
                <w:szCs w:val="20"/>
              </w:rPr>
            </w:pPr>
          </w:p>
        </w:tc>
        <w:tc>
          <w:tcPr>
            <w:tcW w:w="2494" w:type="pct"/>
            <w:hideMark/>
          </w:tcPr>
          <w:p w14:paraId="2F221EE4" w14:textId="77777777" w:rsidR="001B0A11" w:rsidRPr="00643600" w:rsidRDefault="001B0A11" w:rsidP="002A643C">
            <w:pPr>
              <w:pStyle w:val="TableBullet"/>
              <w:rPr>
                <w:rFonts w:eastAsia="Calibri"/>
                <w:b/>
                <w:bCs/>
              </w:rPr>
            </w:pPr>
            <w:r w:rsidRPr="00643600">
              <w:rPr>
                <w:rFonts w:eastAsia="Calibri"/>
              </w:rPr>
              <w:t xml:space="preserve">Industry believes the Risk Management Program Rules are </w:t>
            </w:r>
            <w:r w:rsidRPr="00643600">
              <w:rPr>
                <w:rFonts w:eastAsia="Calibri"/>
                <w:b/>
                <w:bCs/>
              </w:rPr>
              <w:t>clear and understandable.</w:t>
            </w:r>
          </w:p>
          <w:p w14:paraId="4B07E02D" w14:textId="77777777" w:rsidR="001B0A11" w:rsidRPr="00643600" w:rsidRDefault="001B0A11" w:rsidP="002A643C">
            <w:pPr>
              <w:pStyle w:val="TableBullet"/>
              <w:rPr>
                <w:rFonts w:eastAsia="Calibri"/>
                <w:b/>
                <w:bCs/>
              </w:rPr>
            </w:pPr>
            <w:r w:rsidRPr="00643600">
              <w:rPr>
                <w:rFonts w:eastAsia="Calibri"/>
              </w:rPr>
              <w:t xml:space="preserve">Industry believes the Risk Management Program rules will </w:t>
            </w:r>
            <w:r w:rsidRPr="00643600">
              <w:rPr>
                <w:rFonts w:eastAsia="Calibri"/>
                <w:b/>
                <w:bCs/>
              </w:rPr>
              <w:t>be able to be implemented.</w:t>
            </w:r>
          </w:p>
          <w:p w14:paraId="083005E7" w14:textId="77777777" w:rsidR="001B0A11" w:rsidRPr="00643600" w:rsidRDefault="001B0A11" w:rsidP="002A643C">
            <w:pPr>
              <w:pStyle w:val="TableBullet"/>
              <w:rPr>
                <w:rFonts w:eastAsia="Calibri"/>
              </w:rPr>
            </w:pPr>
            <w:r w:rsidRPr="00643600">
              <w:rPr>
                <w:rFonts w:eastAsia="Calibri"/>
              </w:rPr>
              <w:t xml:space="preserve">The Risk Management Program rules provide a </w:t>
            </w:r>
            <w:r w:rsidRPr="00643600">
              <w:rPr>
                <w:rFonts w:eastAsia="Calibri"/>
                <w:b/>
                <w:bCs/>
              </w:rPr>
              <w:t>baseline</w:t>
            </w:r>
            <w:r w:rsidRPr="00643600">
              <w:rPr>
                <w:rFonts w:eastAsia="Calibri"/>
              </w:rPr>
              <w:t xml:space="preserve"> for sector resilience and security.</w:t>
            </w:r>
          </w:p>
          <w:p w14:paraId="355F2372" w14:textId="77777777" w:rsidR="001B0A11" w:rsidRPr="00643600" w:rsidRDefault="001B0A11" w:rsidP="002A643C">
            <w:pPr>
              <w:pStyle w:val="TableBullet"/>
              <w:rPr>
                <w:rFonts w:eastAsia="Calibri"/>
              </w:rPr>
            </w:pPr>
            <w:r w:rsidRPr="00643600">
              <w:rPr>
                <w:rFonts w:eastAsia="Calibri"/>
              </w:rPr>
              <w:t xml:space="preserve">There is a </w:t>
            </w:r>
            <w:r w:rsidRPr="00643600">
              <w:rPr>
                <w:rFonts w:eastAsia="Calibri"/>
                <w:b/>
                <w:bCs/>
              </w:rPr>
              <w:t xml:space="preserve">high appetite for guidance material </w:t>
            </w:r>
            <w:r w:rsidRPr="00643600">
              <w:rPr>
                <w:rFonts w:eastAsia="Calibri"/>
              </w:rPr>
              <w:t xml:space="preserve">to support sector-specific uplift in security and resilience.  </w:t>
            </w:r>
          </w:p>
          <w:p w14:paraId="1DDF8C8E" w14:textId="77777777" w:rsidR="001B0A11" w:rsidRPr="00643600" w:rsidRDefault="001B0A11" w:rsidP="002A643C">
            <w:pPr>
              <w:pStyle w:val="TableBullet"/>
              <w:rPr>
                <w:rFonts w:eastAsia="Calibri"/>
              </w:rPr>
            </w:pPr>
            <w:r w:rsidRPr="00643600">
              <w:rPr>
                <w:rFonts w:eastAsia="Calibri"/>
                <w:b/>
                <w:bCs/>
              </w:rPr>
              <w:t>Further clarity required</w:t>
            </w:r>
            <w:r w:rsidRPr="00643600">
              <w:rPr>
                <w:rFonts w:eastAsia="Calibri"/>
              </w:rPr>
              <w:t xml:space="preserve"> on material risk definitions – how to determine what may prejudice the ‘social or economic stability’, ‘defence’ or ‘national security’ of Australia. </w:t>
            </w:r>
          </w:p>
        </w:tc>
        <w:tc>
          <w:tcPr>
            <w:tcW w:w="1397" w:type="pct"/>
            <w:hideMark/>
          </w:tcPr>
          <w:p w14:paraId="241FE9A5" w14:textId="77777777" w:rsidR="001B0A11" w:rsidRPr="00643600" w:rsidRDefault="001B0A11" w:rsidP="002A643C">
            <w:pPr>
              <w:pStyle w:val="TableBody"/>
            </w:pPr>
            <w:r w:rsidRPr="00643600">
              <w:t xml:space="preserve">In response to feedback received during the information sessions, the Department committed to: </w:t>
            </w:r>
          </w:p>
          <w:p w14:paraId="77533269" w14:textId="77777777" w:rsidR="001B0A11" w:rsidRPr="00643600" w:rsidRDefault="001B0A11" w:rsidP="002A643C">
            <w:pPr>
              <w:pStyle w:val="TableBullet"/>
              <w:rPr>
                <w:rFonts w:eastAsia="Calibri"/>
              </w:rPr>
            </w:pPr>
            <w:r w:rsidRPr="00643600">
              <w:rPr>
                <w:rFonts w:eastAsia="Calibri"/>
              </w:rPr>
              <w:t xml:space="preserve">The development of guidance materials, which would highlight aspects of risk management that should be prioritised by responsible entities, and assist industry in interpreting and implementing the rules to achieve an uplift in security and resilience.  </w:t>
            </w:r>
          </w:p>
        </w:tc>
      </w:tr>
    </w:tbl>
    <w:p w14:paraId="43ADD624" w14:textId="77777777" w:rsidR="001B0A11" w:rsidRDefault="001B0A11" w:rsidP="008E1A28">
      <w:pPr>
        <w:pStyle w:val="AppendixH2"/>
      </w:pPr>
      <w:r>
        <w:t xml:space="preserve">Consultation on costs </w:t>
      </w:r>
    </w:p>
    <w:p w14:paraId="7EFD0980" w14:textId="77777777" w:rsidR="001B0A11" w:rsidRDefault="001B0A11" w:rsidP="004F6E47">
      <w:pPr>
        <w:pStyle w:val="BodyText"/>
      </w:pPr>
      <w:r>
        <w:t>During workshop 3,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4C627F51" w14:textId="77777777" w:rsidR="001B0A11" w:rsidRDefault="001B0A11" w:rsidP="004F6E47">
      <w:pPr>
        <w:pStyle w:val="Bullet1stlevel"/>
      </w:pPr>
      <w:r>
        <w:t xml:space="preserve">Their demographic information; </w:t>
      </w:r>
    </w:p>
    <w:p w14:paraId="79BB1E2A" w14:textId="77777777" w:rsidR="001B0A11" w:rsidRDefault="001B0A11" w:rsidP="004F6E47">
      <w:pPr>
        <w:pStyle w:val="Bullet1stlevel"/>
      </w:pPr>
      <w:r>
        <w:t xml:space="preserve">Effort and cost estimates split by one-off and ongoing costs, staff effort, capital and other operating costs, and an estimated range between expected costs and highest possible costs; and </w:t>
      </w:r>
    </w:p>
    <w:p w14:paraId="1A812600" w14:textId="77777777" w:rsidR="001B0A11" w:rsidRDefault="001B0A11" w:rsidP="004F6E47">
      <w:pPr>
        <w:pStyle w:val="Bullet1stlevel"/>
      </w:pPr>
      <w:r>
        <w:t xml:space="preserve">Any comments on key boundaries, assumptions and cost drivers attached to the costing estimates provided. </w:t>
      </w:r>
    </w:p>
    <w:p w14:paraId="679B8179" w14:textId="77777777" w:rsidR="001656B3" w:rsidRPr="00476709" w:rsidRDefault="001656B3" w:rsidP="009739FE">
      <w:pPr>
        <w:rPr>
          <w:rFonts w:eastAsia="Calibri"/>
        </w:rPr>
      </w:pPr>
      <w:r w:rsidRPr="009739FE">
        <w:rPr>
          <w:rFonts w:eastAsia="Calibri"/>
          <w:sz w:val="22"/>
        </w:rPr>
        <w:t xml:space="preserve">Industry was provided with the template on 18 June 2021, with submissions open for a period of </w:t>
      </w:r>
      <w:r w:rsidRPr="009739FE">
        <w:rPr>
          <w:rFonts w:eastAsia="Calibri"/>
          <w:bCs/>
          <w:sz w:val="22"/>
        </w:rPr>
        <w:t>13</w:t>
      </w:r>
      <w:r w:rsidRPr="009739FE">
        <w:rPr>
          <w:rFonts w:eastAsia="Calibri"/>
          <w:sz w:val="22"/>
        </w:rPr>
        <w:t xml:space="preserve"> weeks and closing on </w:t>
      </w:r>
      <w:r w:rsidRPr="009739FE">
        <w:rPr>
          <w:rFonts w:eastAsia="Calibri"/>
          <w:bCs/>
          <w:sz w:val="22"/>
        </w:rPr>
        <w:t>18 September 2021.</w:t>
      </w:r>
      <w:r w:rsidRPr="009739FE">
        <w:rPr>
          <w:rFonts w:eastAsia="Calibri"/>
          <w:sz w:val="22"/>
        </w:rPr>
        <w:t xml:space="preserve"> Following an analysis of the cost impact submissions, these outcomes were shared with industry for comment for a period of </w:t>
      </w:r>
      <w:r w:rsidRPr="009739FE">
        <w:rPr>
          <w:rFonts w:eastAsia="Calibri"/>
          <w:bCs/>
          <w:sz w:val="22"/>
        </w:rPr>
        <w:t>two weeks</w:t>
      </w:r>
      <w:r w:rsidRPr="009739FE">
        <w:rPr>
          <w:rFonts w:eastAsia="Calibri"/>
          <w:sz w:val="22"/>
        </w:rPr>
        <w:t xml:space="preserve">. Following receipt of completed cost impact submissions, the Department engaged in </w:t>
      </w:r>
      <w:r w:rsidRPr="009739FE">
        <w:rPr>
          <w:rFonts w:eastAsia="Calibri"/>
          <w:bCs/>
          <w:sz w:val="22"/>
        </w:rPr>
        <w:t>targeted conversations</w:t>
      </w:r>
      <w:r w:rsidRPr="009739FE">
        <w:rPr>
          <w:rFonts w:eastAsia="Calibri"/>
          <w:sz w:val="22"/>
        </w:rPr>
        <w:t xml:space="preserve"> with a selection of industry stakeholders. These conversations assisted the Department in better understanding the basis and scope of industry’s cost submissions. </w:t>
      </w:r>
    </w:p>
    <w:p w14:paraId="798A47A9" w14:textId="77777777" w:rsidR="001B0A11" w:rsidRDefault="001B0A11" w:rsidP="001B0A11">
      <w:pPr>
        <w:spacing w:after="160"/>
        <w:rPr>
          <w:rFonts w:ascii="Arial" w:eastAsia="Calibri" w:hAnsi="Arial" w:cs="Arial"/>
          <w:sz w:val="22"/>
        </w:rPr>
      </w:pPr>
      <w:r>
        <w:rPr>
          <w:rFonts w:ascii="Arial" w:eastAsia="Calibri" w:hAnsi="Arial" w:cs="Arial"/>
          <w:sz w:val="22"/>
        </w:rPr>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Pr>
          <w:rFonts w:ascii="Arial" w:eastAsia="Calibri" w:hAnsi="Arial" w:cs="Arial"/>
          <w:sz w:val="22"/>
          <w:vertAlign w:val="superscript"/>
        </w:rPr>
        <w:footnoteReference w:id="106"/>
      </w:r>
      <w:r>
        <w:rPr>
          <w:rFonts w:ascii="Arial" w:eastAsia="Calibri" w:hAnsi="Arial" w:cs="Arial"/>
          <w:sz w:val="22"/>
        </w:rPr>
        <w:t xml:space="preserve"> </w:t>
      </w:r>
    </w:p>
    <w:p w14:paraId="48EC12FC" w14:textId="77777777" w:rsidR="001B0A11" w:rsidRPr="002465E5" w:rsidRDefault="001B0A11" w:rsidP="002465E5">
      <w:pPr>
        <w:spacing w:after="160"/>
        <w:rPr>
          <w:rFonts w:ascii="Arial" w:eastAsia="Calibri" w:hAnsi="Arial" w:cs="Arial"/>
          <w:sz w:val="22"/>
        </w:rPr>
      </w:pPr>
      <w:r w:rsidRPr="000A2DC8">
        <w:rPr>
          <w:rFonts w:ascii="Arial" w:eastAsia="Calibri" w:hAnsi="Arial" w:cs="Arial"/>
          <w:sz w:val="22"/>
        </w:rPr>
        <w:t>The Department confirmed with industry that no additional costings would be requested on the evolved Risk Management Program rules, as they are either similar to the previously costed rules or a specific rule has been removed and the costings can be excluded.</w:t>
      </w:r>
    </w:p>
    <w:p w14:paraId="23A1194D" w14:textId="235EEAC4" w:rsidR="000C3D44" w:rsidRDefault="000C3D44" w:rsidP="008E1A28">
      <w:pPr>
        <w:pStyle w:val="AppendixH1"/>
      </w:pPr>
      <w:bookmarkStart w:id="587" w:name="_Toc121397415"/>
      <w:r w:rsidRPr="00C57B69">
        <w:lastRenderedPageBreak/>
        <w:t xml:space="preserve">Supplementary information for </w:t>
      </w:r>
      <w:r w:rsidR="00B14333" w:rsidRPr="00C57B69">
        <w:t>critical water assets</w:t>
      </w:r>
      <w:bookmarkEnd w:id="587"/>
    </w:p>
    <w:p w14:paraId="76546AF2" w14:textId="77777777" w:rsidR="000C3D44" w:rsidRDefault="000C3D44" w:rsidP="006874A3">
      <w:pPr>
        <w:pStyle w:val="AppendixH2"/>
        <w:spacing w:after="120"/>
      </w:pPr>
      <w:r>
        <w:t xml:space="preserve">Overview of the role of </w:t>
      </w:r>
      <w:r w:rsidR="00995187">
        <w:t>water</w:t>
      </w:r>
      <w:r w:rsidR="00B95BEA">
        <w:t xml:space="preserve"> and sewerage</w:t>
      </w:r>
      <w:r>
        <w:t xml:space="preserve"> in Australia</w:t>
      </w:r>
    </w:p>
    <w:p w14:paraId="1F97CD29" w14:textId="1EB4EB0D" w:rsidR="00052C34" w:rsidRPr="006874A3" w:rsidRDefault="00052C34" w:rsidP="004F6E47">
      <w:pPr>
        <w:pStyle w:val="BodyText"/>
        <w:rPr>
          <w:spacing w:val="-4"/>
        </w:rPr>
      </w:pPr>
      <w:r w:rsidRPr="006874A3">
        <w:rPr>
          <w:spacing w:val="-4"/>
        </w:rPr>
        <w:t xml:space="preserve">Australia’s critical water assets, including critical sewage assets, are an essential part of life and critical for the ongoing health and prosperity of Australia. Critical water assets can be categorised into: </w:t>
      </w:r>
    </w:p>
    <w:p w14:paraId="1DA6727E" w14:textId="77777777" w:rsidR="00052C34" w:rsidRDefault="00052C34" w:rsidP="004F6E47">
      <w:pPr>
        <w:pStyle w:val="ListParagraph"/>
        <w:numPr>
          <w:ilvl w:val="0"/>
          <w:numId w:val="79"/>
        </w:numPr>
        <w:spacing w:after="120"/>
        <w:ind w:left="357" w:hanging="357"/>
        <w:contextualSpacing w:val="0"/>
        <w:rPr>
          <w:szCs w:val="22"/>
        </w:rPr>
      </w:pPr>
      <w:r>
        <w:rPr>
          <w:b/>
          <w:szCs w:val="22"/>
        </w:rPr>
        <w:t>Water supply assets</w:t>
      </w:r>
      <w:r>
        <w:rPr>
          <w:szCs w:val="22"/>
        </w:rPr>
        <w:t xml:space="preserve">, including water catchment and bulk water supply services; </w:t>
      </w:r>
    </w:p>
    <w:p w14:paraId="15830206" w14:textId="77777777" w:rsidR="00052C34" w:rsidRDefault="00052C34" w:rsidP="004F6E47">
      <w:pPr>
        <w:pStyle w:val="ListParagraph"/>
        <w:numPr>
          <w:ilvl w:val="0"/>
          <w:numId w:val="79"/>
        </w:numPr>
        <w:spacing w:after="120"/>
        <w:ind w:left="357" w:hanging="357"/>
        <w:contextualSpacing w:val="0"/>
        <w:rPr>
          <w:szCs w:val="22"/>
        </w:rPr>
      </w:pPr>
      <w:r>
        <w:rPr>
          <w:b/>
          <w:szCs w:val="22"/>
        </w:rPr>
        <w:t>Water distribution assets</w:t>
      </w:r>
      <w:r>
        <w:rPr>
          <w:szCs w:val="22"/>
        </w:rPr>
        <w:t>, such as water reticulation systems; and</w:t>
      </w:r>
    </w:p>
    <w:p w14:paraId="5DF16723" w14:textId="77777777" w:rsidR="00052C34" w:rsidRDefault="00052C34" w:rsidP="004F6E47">
      <w:pPr>
        <w:pStyle w:val="ListParagraph"/>
        <w:numPr>
          <w:ilvl w:val="0"/>
          <w:numId w:val="79"/>
        </w:numPr>
        <w:spacing w:after="120"/>
        <w:ind w:left="357" w:hanging="357"/>
        <w:contextualSpacing w:val="0"/>
        <w:rPr>
          <w:szCs w:val="22"/>
        </w:rPr>
      </w:pPr>
      <w:r>
        <w:rPr>
          <w:b/>
          <w:szCs w:val="22"/>
        </w:rPr>
        <w:t>Sewage and drainage services</w:t>
      </w:r>
      <w:r>
        <w:rPr>
          <w:szCs w:val="22"/>
        </w:rPr>
        <w:t>, including water and sewage treatment plants and sewage network operations.</w:t>
      </w:r>
    </w:p>
    <w:p w14:paraId="110E8415" w14:textId="77777777" w:rsidR="00052C34" w:rsidRDefault="00052C34" w:rsidP="004F6E47">
      <w:pPr>
        <w:pStyle w:val="BodyText"/>
      </w:pPr>
      <w:r>
        <w:t xml:space="preserve">Following the accumulation, desalination, and initial treatment of water received in designated catchment facilities, water is ready for distribution and management through major water transmission piping. Further treatment is mandated for water used in industry and in particular, households, where vigorous drinking water standards are required to be met. </w:t>
      </w:r>
    </w:p>
    <w:p w14:paraId="74EDCF59" w14:textId="77777777" w:rsidR="000C3D44" w:rsidRPr="009718C8" w:rsidRDefault="00052C34" w:rsidP="004F6E47">
      <w:pPr>
        <w:pStyle w:val="BodyText"/>
      </w:pPr>
      <w:r>
        <w:t xml:space="preserve">Critical water assets display diversity across both their geographical operations and interconnectedness with other aspects of Australia’s critical infrastructure. For example, critical water assets are an essential input into Australia’s energy sector, specifically in hydro-power generation, liquid and biofuel, and across fossil fuel power generation plants. These sectors display distinct co-dependence, with water required to generate electricity, and energy required to distribute water. Therefore, a disruption to critical water assets is likely to significantly disrupt the everyday lives of Australians. </w:t>
      </w:r>
    </w:p>
    <w:p w14:paraId="62389299" w14:textId="7EA8CD60" w:rsidR="000C77D2" w:rsidRPr="00FA54E4" w:rsidRDefault="000C77D2" w:rsidP="004F6E47">
      <w:pPr>
        <w:pStyle w:val="BodyText"/>
        <w:rPr>
          <w:b/>
        </w:rPr>
      </w:pPr>
      <w:r w:rsidRPr="006919AB">
        <w:t xml:space="preserve">The </w:t>
      </w:r>
      <w:r w:rsidR="00384419">
        <w:t>SOCI Act</w:t>
      </w:r>
      <w:r w:rsidRPr="006919AB">
        <w:t xml:space="preserve"> refers to assets within a critical infrastructure sector as ‘critical infrastructure assets’. Section 5 of the </w:t>
      </w:r>
      <w:r w:rsidR="00384419">
        <w:t>SOCI Act</w:t>
      </w:r>
      <w:r w:rsidRPr="006919AB">
        <w:t xml:space="preserve"> provides that:</w:t>
      </w:r>
    </w:p>
    <w:p w14:paraId="2F5CEECB" w14:textId="77777777" w:rsidR="000C77D2" w:rsidRPr="006919AB" w:rsidRDefault="000C77D2" w:rsidP="004F6E47">
      <w:pPr>
        <w:pStyle w:val="BodyText"/>
      </w:pPr>
      <w:r w:rsidRPr="006919AB">
        <w:rPr>
          <w:b/>
          <w:i/>
        </w:rPr>
        <w:t>Critical water asset</w:t>
      </w:r>
      <w:r w:rsidRPr="006919AB">
        <w:t xml:space="preserve"> means one or more water and sewerage systems or networks that:</w:t>
      </w:r>
    </w:p>
    <w:p w14:paraId="1B41BB37" w14:textId="77777777" w:rsidR="000C77D2" w:rsidRPr="006919AB" w:rsidRDefault="000C77D2" w:rsidP="007F265A">
      <w:pPr>
        <w:pStyle w:val="ListParagraph"/>
        <w:numPr>
          <w:ilvl w:val="0"/>
          <w:numId w:val="124"/>
        </w:numPr>
        <w:autoSpaceDE w:val="0"/>
        <w:autoSpaceDN w:val="0"/>
        <w:adjustRightInd w:val="0"/>
        <w:spacing w:before="240"/>
        <w:contextualSpacing w:val="0"/>
        <w:rPr>
          <w:rFonts w:eastAsia="Calibri"/>
          <w:i/>
        </w:rPr>
      </w:pPr>
      <w:r w:rsidRPr="006919AB">
        <w:rPr>
          <w:rFonts w:eastAsia="Calibri"/>
          <w:i/>
          <w:iCs/>
        </w:rPr>
        <w:t>are</w:t>
      </w:r>
      <w:r w:rsidRPr="006919AB">
        <w:rPr>
          <w:rFonts w:eastAsia="Calibri"/>
          <w:i/>
        </w:rPr>
        <w:t xml:space="preserve"> managed by a single water utility; and</w:t>
      </w:r>
    </w:p>
    <w:p w14:paraId="43B7DBD0" w14:textId="77777777" w:rsidR="000C77D2" w:rsidRPr="006919AB" w:rsidRDefault="000C77D2" w:rsidP="007F265A">
      <w:pPr>
        <w:pStyle w:val="ListParagraph"/>
        <w:numPr>
          <w:ilvl w:val="0"/>
          <w:numId w:val="124"/>
        </w:numPr>
        <w:autoSpaceDE w:val="0"/>
        <w:autoSpaceDN w:val="0"/>
        <w:adjustRightInd w:val="0"/>
        <w:spacing w:before="240"/>
        <w:contextualSpacing w:val="0"/>
        <w:rPr>
          <w:rFonts w:eastAsia="Calibri"/>
          <w:i/>
        </w:rPr>
      </w:pPr>
      <w:r w:rsidRPr="006919AB">
        <w:rPr>
          <w:rFonts w:eastAsia="Calibri"/>
          <w:i/>
          <w:iCs/>
        </w:rPr>
        <w:t>ultimately</w:t>
      </w:r>
      <w:r w:rsidRPr="006919AB">
        <w:rPr>
          <w:rFonts w:eastAsia="Calibri"/>
          <w:i/>
        </w:rPr>
        <w:t xml:space="preserve"> deliver services to at least 100,000 water connections or 100,000 sewerage connections.</w:t>
      </w:r>
    </w:p>
    <w:p w14:paraId="7F788231" w14:textId="77777777" w:rsidR="000C3D44" w:rsidRDefault="000C3D44" w:rsidP="006874A3">
      <w:pPr>
        <w:pStyle w:val="AppendixH2"/>
        <w:spacing w:after="120"/>
      </w:pPr>
      <w:r>
        <w:t>Impacts of a disruption to</w:t>
      </w:r>
      <w:r w:rsidR="00452E0C">
        <w:t xml:space="preserve"> </w:t>
      </w:r>
      <w:r w:rsidR="00B14333">
        <w:t>critical water assets</w:t>
      </w:r>
      <w:r w:rsidR="00452E0C">
        <w:t xml:space="preserve"> </w:t>
      </w:r>
    </w:p>
    <w:p w14:paraId="4D278484" w14:textId="77777777" w:rsidR="00146290" w:rsidRDefault="00662916" w:rsidP="004F6E47">
      <w:pPr>
        <w:pStyle w:val="BodyText"/>
      </w:pPr>
      <w:r>
        <w:t>T</w:t>
      </w:r>
      <w:r w:rsidR="00146290">
        <w:t>he consequences of a prolonged and widespread disruption to a critical water asset may include:</w:t>
      </w:r>
    </w:p>
    <w:p w14:paraId="00139965" w14:textId="77777777" w:rsidR="00146290" w:rsidRDefault="00146290" w:rsidP="004F6E47">
      <w:pPr>
        <w:pStyle w:val="Bullet1stlevel"/>
      </w:pPr>
      <w:r>
        <w:t>Heightened risk of illness and disease because of a lack of access to safe and clean drinking water, due to consuming water with chemical pollutants or other contaminants.</w:t>
      </w:r>
      <w:r>
        <w:rPr>
          <w:rStyle w:val="FootnoteReference"/>
          <w:rFonts w:eastAsia="Calibri"/>
        </w:rPr>
        <w:footnoteReference w:id="107"/>
      </w:r>
    </w:p>
    <w:p w14:paraId="0AF05837" w14:textId="77777777" w:rsidR="00146290" w:rsidRDefault="00146290" w:rsidP="004F6E47">
      <w:pPr>
        <w:pStyle w:val="Bullet1stlevel"/>
      </w:pPr>
      <w:r>
        <w:t>Additional burden on health systems including hospitals, with cleanliness and quality standards challenges through lack of access to clean water, sanitation or hygiene services.</w:t>
      </w:r>
    </w:p>
    <w:p w14:paraId="4174E304" w14:textId="77777777" w:rsidR="00146290" w:rsidRDefault="00146290" w:rsidP="004F6E47">
      <w:pPr>
        <w:pStyle w:val="Bullet1stlevel"/>
      </w:pPr>
      <w:r>
        <w:t>Economic instability and loss of productivity, with many energy sources and other industries dependent on the availability of water to function properly and without water, output may be severely restricted. Similarly, there is a direct impact on worker productivity when there is a lack of access to water, sanitation, and hygiene.</w:t>
      </w:r>
      <w:r>
        <w:rPr>
          <w:rStyle w:val="FootnoteReference"/>
          <w:rFonts w:eastAsia="Calibri"/>
        </w:rPr>
        <w:footnoteReference w:id="108"/>
      </w:r>
    </w:p>
    <w:p w14:paraId="3C35D7F4" w14:textId="77777777" w:rsidR="000C3D44" w:rsidRPr="00662916" w:rsidRDefault="00146290" w:rsidP="004F6E47">
      <w:pPr>
        <w:pStyle w:val="Bullet1stlevel"/>
      </w:pPr>
      <w:r>
        <w:lastRenderedPageBreak/>
        <w:t>Sanitation facilities become defunct:</w:t>
      </w:r>
      <w:r>
        <w:rPr>
          <w:rStyle w:val="FootnoteReference"/>
          <w:rFonts w:eastAsia="Calibri"/>
        </w:rPr>
        <w:footnoteReference w:id="109"/>
      </w:r>
      <w:r>
        <w:t xml:space="preserve"> when infrastructure cannot cope with increased demand or is deprived of necessary assets to function, which in this case is water, wastewater treatment systems and garbage and sanitation services cannot cope with the conditions that contribute to spread of disease and often results in water pooling.</w:t>
      </w:r>
    </w:p>
    <w:p w14:paraId="78AA888C" w14:textId="77777777" w:rsidR="000C3D44" w:rsidRDefault="000C3D44" w:rsidP="008E1A28">
      <w:pPr>
        <w:pStyle w:val="AppendixH2"/>
      </w:pPr>
      <w:r>
        <w:t xml:space="preserve">Examples of disruptions to </w:t>
      </w:r>
      <w:r w:rsidR="00B14333">
        <w:t>critical water assets</w:t>
      </w:r>
      <w:r>
        <w:t xml:space="preserve"> – domestic and international</w:t>
      </w:r>
    </w:p>
    <w:p w14:paraId="1F4F1F0B" w14:textId="77777777" w:rsidR="00DB46B3" w:rsidRDefault="00DB46B3" w:rsidP="004F6E47">
      <w:pPr>
        <w:pStyle w:val="BodyText"/>
      </w:pPr>
      <w:r>
        <w:t>In 2020, one of Queensland’s largest water entities, Sunwater (who is responsible for managing 19 dams and approximately 40% of Queensland’s commercial-use water), was the victim of a cyber-attack which was continued for nine months. The cyber-attack was conducted by threat actors whose intentions to use IT infrastructure to direct bots to increase the amount of view on a particular YouTube video for financial gain.</w:t>
      </w:r>
      <w:r>
        <w:rPr>
          <w:rStyle w:val="FootnoteReference"/>
        </w:rPr>
        <w:footnoteRef/>
      </w:r>
      <w:r>
        <w:t xml:space="preserve">  The hackers were able to infiltrate an older and more vulnerable version of a Sunwater system. The hackers were able to operate within the system for nine months before the breach was identified</w:t>
      </w:r>
      <w:r>
        <w:rPr>
          <w:rStyle w:val="FootnoteReference"/>
        </w:rPr>
        <w:footnoteRef/>
      </w:r>
      <w:r>
        <w:t>. The incident highlighted a significant threat opportunity in several areas:</w:t>
      </w:r>
    </w:p>
    <w:p w14:paraId="3966A730" w14:textId="77777777" w:rsidR="00DB46B3" w:rsidRDefault="00DB46B3" w:rsidP="004F6E47">
      <w:pPr>
        <w:pStyle w:val="Bullet1stlevel"/>
      </w:pPr>
      <w:r>
        <w:t>Financial and payment systems data could have been accessed for the company, potentially putting Sunwater and their partners at financial risk;</w:t>
      </w:r>
    </w:p>
    <w:p w14:paraId="3228AD23" w14:textId="77777777" w:rsidR="00DB46B3" w:rsidRDefault="00DB46B3" w:rsidP="004F6E47">
      <w:pPr>
        <w:pStyle w:val="Bullet1stlevel"/>
      </w:pPr>
      <w:r>
        <w:t>Customer data could have been accessed, leaving thousands of customers at risk of financial loss, identity fraud and breach of confidential information;</w:t>
      </w:r>
    </w:p>
    <w:p w14:paraId="5D86E33E" w14:textId="77777777" w:rsidR="00DB46B3" w:rsidRPr="009739FE" w:rsidRDefault="00DB46B3" w:rsidP="006874A3">
      <w:pPr>
        <w:pStyle w:val="Bullet1stlevel"/>
        <w:spacing w:after="240"/>
        <w:rPr>
          <w:rFonts w:eastAsia="Calibri"/>
        </w:rPr>
      </w:pPr>
      <w:r>
        <w:t>Should the threat attackers had more malicious intentions, they had opportunity to control operational systems, creating potential risks such as contamination of the Sunwater water supply, potentially exposing thousands to contaminated water which could cause sickness, severe illness, or possibly death.</w:t>
      </w:r>
    </w:p>
    <w:tbl>
      <w:tblPr>
        <w:tblStyle w:val="DHATable"/>
        <w:tblpPr w:leftFromText="180" w:rightFromText="180" w:vertAnchor="text" w:horzAnchor="margin" w:tblpY="-63"/>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030"/>
        <w:gridCol w:w="3608"/>
      </w:tblGrid>
      <w:tr w:rsidR="000D0B03" w14:paraId="396389F6" w14:textId="77777777" w:rsidTr="000C1FCD">
        <w:tc>
          <w:tcPr>
            <w:tcW w:w="3128" w:type="pct"/>
            <w:shd w:val="clear" w:color="auto" w:fill="034EA2" w:themeFill="accent1"/>
            <w:hideMark/>
          </w:tcPr>
          <w:p w14:paraId="7E311248" w14:textId="77777777" w:rsidR="000D0B03" w:rsidRDefault="000D0B03" w:rsidP="000C1FCD">
            <w:pPr>
              <w:pStyle w:val="TableHeading"/>
              <w:rPr>
                <w:rFonts w:ascii="Calibri" w:eastAsia="Calibri" w:hAnsi="Calibri" w:cs="Times New Roman"/>
              </w:rPr>
            </w:pPr>
            <w:r>
              <w:t>Queensland Floods (2010-2011)</w:t>
            </w:r>
          </w:p>
        </w:tc>
        <w:tc>
          <w:tcPr>
            <w:tcW w:w="1872" w:type="pct"/>
            <w:shd w:val="clear" w:color="auto" w:fill="007BC3" w:themeFill="accent2"/>
            <w:hideMark/>
          </w:tcPr>
          <w:p w14:paraId="3B9760A6" w14:textId="77777777" w:rsidR="000D0B03" w:rsidRDefault="000D0B03" w:rsidP="000C1FCD">
            <w:pPr>
              <w:pStyle w:val="Tableriskcategory"/>
            </w:pPr>
            <w:r>
              <w:t>Physical and Natural Hazards</w:t>
            </w:r>
          </w:p>
        </w:tc>
      </w:tr>
      <w:tr w:rsidR="000D0B03" w14:paraId="1D078C8B" w14:textId="77777777" w:rsidTr="000C1FCD">
        <w:tc>
          <w:tcPr>
            <w:tcW w:w="5000" w:type="pct"/>
            <w:gridSpan w:val="2"/>
            <w:shd w:val="clear" w:color="auto" w:fill="auto"/>
            <w:hideMark/>
          </w:tcPr>
          <w:p w14:paraId="3AB06B0C" w14:textId="77777777" w:rsidR="000D0B03" w:rsidRPr="008537DC" w:rsidRDefault="000D0B03" w:rsidP="00030F46">
            <w:pPr>
              <w:pStyle w:val="TableBody"/>
              <w:rPr>
                <w:b/>
              </w:rPr>
            </w:pPr>
            <w:r w:rsidRPr="00030F46">
              <w:rPr>
                <w:b/>
                <w:bCs/>
              </w:rPr>
              <w:t>Situation:</w:t>
            </w:r>
            <w:r w:rsidRPr="008537DC">
              <w:t xml:space="preserve"> A series of natural disasters struck Queensland between November 2010 and February 2011, having catastrophic impacts across the entire state. Floods forced the evacuation of thousands of people, with at least 90 towns and 200,000 people affected.</w:t>
            </w:r>
            <w:r w:rsidR="00767E9E">
              <w:rPr>
                <w:rStyle w:val="FootnoteReference"/>
                <w:rFonts w:ascii="Arial" w:eastAsia="Times New Roman" w:hAnsi="Arial" w:cs="Arial"/>
              </w:rPr>
              <w:footnoteReference w:id="110"/>
            </w:r>
            <w:r w:rsidRPr="008537DC">
              <w:t xml:space="preserve"> The floods occurred in the wake of heavy rainfall caused by Tropical Cyclone Tasha that combined with a trough during the peak of a La </w:t>
            </w:r>
            <w:r w:rsidRPr="008537DC">
              <w:rPr>
                <w:bCs/>
                <w:color w:val="202122"/>
                <w:shd w:val="clear" w:color="auto" w:fill="FFFFFF"/>
              </w:rPr>
              <w:t>Niñ</w:t>
            </w:r>
            <w:r>
              <w:rPr>
                <w:bCs/>
                <w:color w:val="202122"/>
                <w:shd w:val="clear" w:color="auto" w:fill="FFFFFF"/>
              </w:rPr>
              <w:t>a event.</w:t>
            </w:r>
            <w:r>
              <w:rPr>
                <w:rStyle w:val="FootnoteReference"/>
                <w:rFonts w:ascii="Arial" w:hAnsi="Arial"/>
                <w:color w:val="202122"/>
                <w:shd w:val="clear" w:color="auto" w:fill="FFFFFF"/>
              </w:rPr>
              <w:footnoteReference w:id="111"/>
            </w:r>
          </w:p>
        </w:tc>
      </w:tr>
      <w:tr w:rsidR="000D0B03" w14:paraId="45145234" w14:textId="77777777" w:rsidTr="000D1AA4">
        <w:tc>
          <w:tcPr>
            <w:tcW w:w="5000" w:type="pct"/>
            <w:gridSpan w:val="2"/>
            <w:shd w:val="clear" w:color="auto" w:fill="F2F2F2" w:themeFill="background1" w:themeFillShade="F2"/>
            <w:hideMark/>
          </w:tcPr>
          <w:p w14:paraId="45A77A86" w14:textId="231CB315" w:rsidR="000D0B03" w:rsidRPr="00BD786F" w:rsidRDefault="000D0B03" w:rsidP="00030F46">
            <w:pPr>
              <w:pStyle w:val="TableBody"/>
              <w:rPr>
                <w:rFonts w:ascii="Calibri" w:eastAsia="Calibri" w:hAnsi="Calibri"/>
                <w:b/>
              </w:rPr>
            </w:pPr>
            <w:r w:rsidRPr="00030F46">
              <w:rPr>
                <w:b/>
                <w:bCs/>
              </w:rPr>
              <w:t>Outcome:</w:t>
            </w:r>
            <w:r>
              <w:t xml:space="preserve"> The floods saw three-quarters of the council areas within the state of Queensland declared disaster zones,</w:t>
            </w:r>
            <w:r>
              <w:rPr>
                <w:rStyle w:val="FootnoteReference"/>
                <w:rFonts w:ascii="Arial" w:hAnsi="Arial"/>
              </w:rPr>
              <w:footnoteReference w:id="112"/>
            </w:r>
            <w:r>
              <w:t xml:space="preserve"> with communities along the Fitzroy, Burnett, Condamine, Ballone and Mary Rivers recording substantial flooding. Flash flooding caused by a thunderstorm affected Toowoomba, with the same rainfall hitting communities in the </w:t>
            </w:r>
            <w:r w:rsidR="00767E9E">
              <w:t>Lockyer</w:t>
            </w:r>
            <w:r>
              <w:t xml:space="preserve"> Valley. Thousands of houses in Ipswich and Brisbane were inundated as the Brisbane River </w:t>
            </w:r>
            <w:r w:rsidR="00767E9E">
              <w:t>r</w:t>
            </w:r>
            <w:r>
              <w:t>ose</w:t>
            </w:r>
            <w:r w:rsidR="00767E9E">
              <w:t xml:space="preserve">, </w:t>
            </w:r>
            <w:r w:rsidR="00DC0241">
              <w:t xml:space="preserve">caused by the forced release of water from the Wivenhoe Dam </w:t>
            </w:r>
            <w:r w:rsidR="00767E9E">
              <w:t>due to significant inflows</w:t>
            </w:r>
            <w:r>
              <w:t>.</w:t>
            </w:r>
            <w:r w:rsidR="00DC0241">
              <w:rPr>
                <w:rStyle w:val="FootnoteReference"/>
                <w:rFonts w:ascii="Arial" w:eastAsia="Times New Roman" w:hAnsi="Arial" w:cs="Arial"/>
                <w:bCs/>
              </w:rPr>
              <w:footnoteReference w:id="113"/>
            </w:r>
            <w:r>
              <w:t xml:space="preserve"> 33 deaths were attributed to the floods.</w:t>
            </w:r>
            <w:r>
              <w:rPr>
                <w:rStyle w:val="FootnoteReference"/>
                <w:rFonts w:ascii="Arial" w:hAnsi="Arial"/>
              </w:rPr>
              <w:footnoteReference w:id="114"/>
            </w:r>
            <w:r>
              <w:t xml:space="preserve"> </w:t>
            </w:r>
            <w:r w:rsidR="006D643F">
              <w:t>Insurance claim</w:t>
            </w:r>
            <w:r w:rsidR="00CB2A42">
              <w:t xml:space="preserve"> payouts, Australian Government Disaster Recovery Payments, Disaster Income Recovery Subsidy payments, personal hardship and assistance payments, community wellbeing payments, grants, and other payments following the floods totalled $4.1 billion.</w:t>
            </w:r>
            <w:r w:rsidR="00CB2A42">
              <w:rPr>
                <w:rStyle w:val="FootnoteReference"/>
                <w:rFonts w:ascii="Arial" w:eastAsia="Times New Roman" w:hAnsi="Arial" w:cs="Arial"/>
                <w:bCs/>
              </w:rPr>
              <w:footnoteReference w:id="115"/>
            </w:r>
          </w:p>
        </w:tc>
      </w:tr>
      <w:tr w:rsidR="000D0B03" w14:paraId="6B82047E" w14:textId="77777777" w:rsidTr="000C1FCD">
        <w:trPr>
          <w:trHeight w:val="279"/>
        </w:trPr>
        <w:tc>
          <w:tcPr>
            <w:tcW w:w="5000" w:type="pct"/>
            <w:gridSpan w:val="2"/>
            <w:shd w:val="clear" w:color="auto" w:fill="auto"/>
            <w:hideMark/>
          </w:tcPr>
          <w:p w14:paraId="37A26178" w14:textId="39E8256A" w:rsidR="000D0B03" w:rsidRDefault="000D0B03" w:rsidP="00030F46">
            <w:pPr>
              <w:pStyle w:val="TableBody"/>
            </w:pPr>
            <w:r w:rsidRPr="00030F46">
              <w:rPr>
                <w:b/>
                <w:bCs/>
              </w:rPr>
              <w:t>Identified Gap:</w:t>
            </w:r>
            <w:r>
              <w:t xml:space="preserve"> This case study was not caused by the realisation of a specific threat, rather extreme</w:t>
            </w:r>
            <w:r w:rsidR="00767E9E">
              <w:t xml:space="preserve"> compounding</w:t>
            </w:r>
            <w:r>
              <w:t xml:space="preserve"> weather events </w:t>
            </w:r>
            <w:r w:rsidR="00767E9E">
              <w:t xml:space="preserve">which led to significant impacts on individuals, businesses, and the state as a whole. The case study does demonstrate the potentially catastrophic consequences of a compromise of critical water assets and the resulting impacts on lives and livelihoods. In an alternate scenario, the release of water from the Wivenhoe Dam (which was determined to be the primary cause of flooding of the Brisbane River) could be caused by compromise of the critical water asset as a result of an attack or other incident, with similar real-world impacts anticipated as what was experienced in 2011. </w:t>
            </w:r>
          </w:p>
        </w:tc>
      </w:tr>
    </w:tbl>
    <w:p w14:paraId="069A7216" w14:textId="77777777" w:rsidR="006874A3" w:rsidRDefault="006874A3"/>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030"/>
        <w:gridCol w:w="3608"/>
      </w:tblGrid>
      <w:tr w:rsidR="000D0B03" w14:paraId="74BC570E" w14:textId="77777777" w:rsidTr="006874A3">
        <w:tc>
          <w:tcPr>
            <w:tcW w:w="3128" w:type="pct"/>
            <w:shd w:val="clear" w:color="auto" w:fill="034EA2" w:themeFill="accent1"/>
            <w:hideMark/>
          </w:tcPr>
          <w:p w14:paraId="0E290A22" w14:textId="77777777" w:rsidR="000D0B03" w:rsidRPr="00CE44A8" w:rsidRDefault="000D0B03" w:rsidP="006874A3">
            <w:pPr>
              <w:pStyle w:val="TableHeading"/>
              <w:rPr>
                <w:rFonts w:ascii="Calibri" w:eastAsia="Calibri" w:hAnsi="Calibri" w:cs="Times New Roman"/>
              </w:rPr>
            </w:pPr>
            <w:r w:rsidRPr="00CE44A8">
              <w:t>Hackers Infiltrate and Modify Water Treatment Parameters</w:t>
            </w:r>
          </w:p>
        </w:tc>
        <w:tc>
          <w:tcPr>
            <w:tcW w:w="1872" w:type="pct"/>
            <w:shd w:val="clear" w:color="auto" w:fill="007BC3" w:themeFill="accent2"/>
            <w:hideMark/>
          </w:tcPr>
          <w:p w14:paraId="5776698E" w14:textId="77777777" w:rsidR="000D0B03" w:rsidRPr="009739FE" w:rsidRDefault="000D0B03" w:rsidP="006874A3">
            <w:pPr>
              <w:pStyle w:val="Tableriskcategory"/>
            </w:pPr>
            <w:r w:rsidRPr="009739FE">
              <w:t>Physical and Cyber Hazards</w:t>
            </w:r>
          </w:p>
        </w:tc>
      </w:tr>
      <w:tr w:rsidR="000D0B03" w14:paraId="3D5A6B62" w14:textId="77777777" w:rsidTr="006874A3">
        <w:tc>
          <w:tcPr>
            <w:tcW w:w="5000" w:type="pct"/>
            <w:gridSpan w:val="2"/>
            <w:shd w:val="clear" w:color="auto" w:fill="auto"/>
            <w:hideMark/>
          </w:tcPr>
          <w:p w14:paraId="7864B88E" w14:textId="77777777" w:rsidR="000D0B03" w:rsidRPr="00932E20" w:rsidRDefault="000D0B03" w:rsidP="006874A3">
            <w:pPr>
              <w:pStyle w:val="TableBody"/>
            </w:pPr>
            <w:r w:rsidRPr="00030F46">
              <w:rPr>
                <w:b/>
                <w:bCs/>
              </w:rPr>
              <w:t>Situation:</w:t>
            </w:r>
            <w:r w:rsidRPr="00932E20">
              <w:t xml:space="preserve"> In 2016, a company generically identified as </w:t>
            </w:r>
            <w:r w:rsidRPr="00030F46">
              <w:t>Kemuri</w:t>
            </w:r>
            <w:r w:rsidRPr="00932E20">
              <w:t xml:space="preserve"> Water Company (KWC) noticed that its water treatment centre was operating erratically, with chemical values being modified without any manual intervention from company employees.</w:t>
            </w:r>
            <w:r w:rsidRPr="00932E20">
              <w:rPr>
                <w:rStyle w:val="FootnoteReference"/>
                <w:rFonts w:ascii="Arial" w:hAnsi="Arial" w:cs="Arial"/>
              </w:rPr>
              <w:footnoteReference w:id="116"/>
            </w:r>
            <w:r w:rsidRPr="00932E20">
              <w:t xml:space="preserve"> After its internal IT staff were unable to identify the issue, KWC enlisted the assistance from an external investigator who identified a series of issues, including that: </w:t>
            </w:r>
          </w:p>
          <w:p w14:paraId="4B09252F" w14:textId="77777777" w:rsidR="000D0B03" w:rsidRPr="00932E20" w:rsidRDefault="000D0B03" w:rsidP="006874A3">
            <w:pPr>
              <w:pStyle w:val="TableBullet"/>
            </w:pPr>
            <w:r w:rsidRPr="00932E20">
              <w:t xml:space="preserve">KWC’s computer systems were extremely outdated, some up to ten years old; </w:t>
            </w:r>
          </w:p>
          <w:p w14:paraId="38E450D2" w14:textId="77777777" w:rsidR="000D0B03" w:rsidRPr="00932E20" w:rsidRDefault="000D0B03" w:rsidP="006874A3">
            <w:pPr>
              <w:pStyle w:val="TableBullet"/>
            </w:pPr>
            <w:r w:rsidRPr="00932E20">
              <w:t>The entire IT network was reliant on a single piece of equipment to manage the water treatment facility;</w:t>
            </w:r>
          </w:p>
          <w:p w14:paraId="29FD4C7A" w14:textId="77777777" w:rsidR="000D0B03" w:rsidRPr="00932E20" w:rsidRDefault="000D0B03" w:rsidP="006874A3">
            <w:pPr>
              <w:pStyle w:val="TableBullet"/>
              <w:rPr>
                <w:b/>
              </w:rPr>
            </w:pPr>
            <w:r w:rsidRPr="00932E20">
              <w:t xml:space="preserve">The company’s IT system was exposed to the internet, through an unsecure mechanism designed to allow customers to check their monthly water bills, water consumption levels and make bill payments; and </w:t>
            </w:r>
          </w:p>
          <w:p w14:paraId="756BA308" w14:textId="77777777" w:rsidR="000D0B03" w:rsidRPr="00932E20" w:rsidRDefault="000D0B03" w:rsidP="006874A3">
            <w:pPr>
              <w:pStyle w:val="TableBody"/>
              <w:rPr>
                <w:rFonts w:eastAsia="Times New Roman"/>
                <w:b/>
              </w:rPr>
            </w:pPr>
            <w:r w:rsidRPr="00932E20">
              <w:t>KWC had only one employee capable of managing its IT system, leaving the company vulnerable to cyber-attacks when that employee was off duty.</w:t>
            </w:r>
            <w:r w:rsidRPr="00932E20">
              <w:rPr>
                <w:rStyle w:val="FootnoteReference"/>
                <w:rFonts w:ascii="Arial" w:hAnsi="Arial" w:cs="Arial"/>
              </w:rPr>
              <w:footnoteReference w:id="117"/>
            </w:r>
            <w:r w:rsidRPr="00932E20">
              <w:t xml:space="preserve"> </w:t>
            </w:r>
          </w:p>
        </w:tc>
      </w:tr>
      <w:tr w:rsidR="000D0B03" w14:paraId="4BB99100" w14:textId="77777777" w:rsidTr="006874A3">
        <w:tc>
          <w:tcPr>
            <w:tcW w:w="5000" w:type="pct"/>
            <w:gridSpan w:val="2"/>
            <w:shd w:val="clear" w:color="auto" w:fill="auto"/>
            <w:hideMark/>
          </w:tcPr>
          <w:p w14:paraId="50D663A5" w14:textId="77777777" w:rsidR="000D0B03" w:rsidRPr="00932E20" w:rsidRDefault="000D0B03" w:rsidP="006874A3">
            <w:pPr>
              <w:pStyle w:val="TableBody"/>
              <w:rPr>
                <w:rFonts w:eastAsia="Calibri"/>
                <w:b/>
                <w:bCs/>
              </w:rPr>
            </w:pPr>
            <w:r w:rsidRPr="00030F46">
              <w:rPr>
                <w:b/>
                <w:bCs/>
              </w:rPr>
              <w:t>Outcome:</w:t>
            </w:r>
            <w:r w:rsidRPr="00932E20">
              <w:t xml:space="preserve"> The external investigation determined that hackers were able to breach KWC’s water treatment system through its customer payment application, allowing them to access sensitive personal and financial records for more than 2.5 million customers. The hackers then preceded to modify the chemical parameters of the water treatment plant at random. Ultimately, secondary security measures allowed KWC to detect abnormal chemical levels and adjust the parameters accordingly.</w:t>
            </w:r>
            <w:r w:rsidRPr="00932E20">
              <w:rPr>
                <w:rStyle w:val="FootnoteReference"/>
                <w:rFonts w:ascii="Arial" w:hAnsi="Arial" w:cs="Arial"/>
              </w:rPr>
              <w:footnoteReference w:id="118"/>
            </w:r>
            <w:r w:rsidRPr="00932E20">
              <w:t xml:space="preserve"> </w:t>
            </w:r>
          </w:p>
        </w:tc>
      </w:tr>
      <w:tr w:rsidR="000D0B03" w14:paraId="7A0480D4" w14:textId="77777777" w:rsidTr="006874A3">
        <w:tc>
          <w:tcPr>
            <w:tcW w:w="5000" w:type="pct"/>
            <w:gridSpan w:val="2"/>
            <w:shd w:val="clear" w:color="auto" w:fill="auto"/>
            <w:hideMark/>
          </w:tcPr>
          <w:p w14:paraId="28FC8199" w14:textId="77777777" w:rsidR="000D0B03" w:rsidRPr="00932E20" w:rsidRDefault="000D0B03" w:rsidP="006874A3">
            <w:pPr>
              <w:pStyle w:val="TableBody"/>
              <w:rPr>
                <w:rFonts w:eastAsia="Times New Roman"/>
                <w:b/>
              </w:rPr>
            </w:pPr>
            <w:r w:rsidRPr="00030F46">
              <w:rPr>
                <w:rFonts w:eastAsia="Times New Roman"/>
                <w:b/>
                <w:bCs/>
              </w:rPr>
              <w:t>Identified Gap:</w:t>
            </w:r>
            <w:r w:rsidRPr="00932E20">
              <w:rPr>
                <w:rFonts w:eastAsia="Times New Roman"/>
              </w:rPr>
              <w:t xml:space="preserve"> </w:t>
            </w:r>
            <w:r w:rsidRPr="00932E20">
              <w:t>This case study demonstrates the need for critical water assets to ensure their computer systems are up to date, secure and that staff are adequately trained and knowledgeable on matters of cyber-security. It also emphasizes the importance of implementing secondary security systems, capable of detecting and mitigating threats which eventuate due to shortcomings in primary security mechanisms.</w:t>
            </w:r>
          </w:p>
        </w:tc>
      </w:tr>
    </w:tbl>
    <w:p w14:paraId="3BE325CE" w14:textId="5DB17EB3" w:rsidR="000D1AA4" w:rsidRDefault="000D1AA4"/>
    <w:p w14:paraId="7D567928" w14:textId="77777777" w:rsidR="000D1AA4" w:rsidRDefault="000D1AA4">
      <w:pPr>
        <w:spacing w:before="80" w:after="80"/>
      </w:pPr>
      <w:r>
        <w:br w:type="page"/>
      </w:r>
    </w:p>
    <w:p w14:paraId="25DE56B7" w14:textId="77777777" w:rsidR="006874A3" w:rsidRPr="000D1AA4" w:rsidRDefault="006874A3" w:rsidP="000D1AA4">
      <w:pPr>
        <w:spacing w:before="0" w:after="0"/>
        <w:rPr>
          <w:sz w:val="2"/>
          <w:szCs w:val="2"/>
        </w:rPr>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030"/>
        <w:gridCol w:w="3608"/>
      </w:tblGrid>
      <w:tr w:rsidR="000D0B03" w14:paraId="175DA8A3" w14:textId="77777777" w:rsidTr="006874A3">
        <w:tc>
          <w:tcPr>
            <w:tcW w:w="3128" w:type="pct"/>
            <w:shd w:val="clear" w:color="auto" w:fill="034EA2" w:themeFill="accent1"/>
            <w:hideMark/>
          </w:tcPr>
          <w:p w14:paraId="4F26E144" w14:textId="77777777" w:rsidR="000D0B03" w:rsidRPr="002646F4" w:rsidRDefault="000D0B03" w:rsidP="006874A3">
            <w:pPr>
              <w:pStyle w:val="TableHeading"/>
              <w:rPr>
                <w:rFonts w:ascii="Calibri" w:eastAsia="Calibri" w:hAnsi="Calibri" w:cs="Times New Roman"/>
              </w:rPr>
            </w:pPr>
            <w:r>
              <w:t>Sydney Water Contamination Crisis (1998)</w:t>
            </w:r>
          </w:p>
        </w:tc>
        <w:tc>
          <w:tcPr>
            <w:tcW w:w="1872" w:type="pct"/>
            <w:shd w:val="clear" w:color="auto" w:fill="007BC3" w:themeFill="accent2"/>
            <w:hideMark/>
          </w:tcPr>
          <w:p w14:paraId="219CCC7D" w14:textId="77777777" w:rsidR="000D0B03" w:rsidRPr="009739FE" w:rsidRDefault="000D0B03" w:rsidP="006874A3">
            <w:pPr>
              <w:pStyle w:val="Tableriskcategory"/>
            </w:pPr>
            <w:r w:rsidRPr="009739FE">
              <w:t>Physical Hazards</w:t>
            </w:r>
          </w:p>
        </w:tc>
      </w:tr>
      <w:tr w:rsidR="000D0B03" w14:paraId="4F5F66B2" w14:textId="77777777" w:rsidTr="006874A3">
        <w:tc>
          <w:tcPr>
            <w:tcW w:w="5000" w:type="pct"/>
            <w:gridSpan w:val="2"/>
            <w:shd w:val="clear" w:color="auto" w:fill="auto"/>
            <w:hideMark/>
          </w:tcPr>
          <w:p w14:paraId="7F1B24CA" w14:textId="77777777" w:rsidR="000D0B03" w:rsidRPr="008537DC" w:rsidRDefault="000D0B03" w:rsidP="006874A3">
            <w:pPr>
              <w:pStyle w:val="TableBody"/>
              <w:rPr>
                <w:rFonts w:eastAsia="Times New Roman"/>
                <w:b/>
              </w:rPr>
            </w:pPr>
            <w:r w:rsidRPr="004F217A">
              <w:rPr>
                <w:b/>
                <w:bCs/>
              </w:rPr>
              <w:t>Situation:</w:t>
            </w:r>
            <w:r>
              <w:t xml:space="preserve"> Between July and September 1998, microscopic pathogens cryptosporidium and giardia were detected in the water supply system of Greater Metropolitan Sydney. The detected levels were capable of causing stomach and diarrheal illness, with cryptosporidium capable of causing fatalities in people with weak immune systems.</w:t>
            </w:r>
            <w:r>
              <w:rPr>
                <w:rStyle w:val="FootnoteReference"/>
                <w:rFonts w:ascii="Arial" w:hAnsi="Arial"/>
              </w:rPr>
              <w:footnoteReference w:id="119"/>
            </w:r>
            <w:r>
              <w:t xml:space="preserve"> The contamination was detected following routine water sampling and testing over a series of weeks, with the pathogens found in the drinking water of a number of Sydney suburbs and at several water treatment facilities. The affected suburbs received ‘boil water’ alerts and the NSW Health Department initiated enhanced surveillance, household surveys and increased water analysis to assure the quality of Sydney’s water supply.</w:t>
            </w:r>
            <w:r>
              <w:rPr>
                <w:rStyle w:val="FootnoteReference"/>
                <w:rFonts w:ascii="Arial" w:hAnsi="Arial"/>
              </w:rPr>
              <w:footnoteReference w:id="120"/>
            </w:r>
          </w:p>
        </w:tc>
      </w:tr>
      <w:tr w:rsidR="000D0B03" w14:paraId="33E7C441" w14:textId="77777777" w:rsidTr="000D1AA4">
        <w:tc>
          <w:tcPr>
            <w:tcW w:w="5000" w:type="pct"/>
            <w:gridSpan w:val="2"/>
            <w:shd w:val="clear" w:color="auto" w:fill="F2F2F2" w:themeFill="background1" w:themeFillShade="F2"/>
            <w:hideMark/>
          </w:tcPr>
          <w:p w14:paraId="19F3AAAF" w14:textId="76BD9B36" w:rsidR="000D0B03" w:rsidRPr="00BD786F" w:rsidRDefault="000D0B03" w:rsidP="006874A3">
            <w:pPr>
              <w:rPr>
                <w:rFonts w:ascii="Calibri" w:eastAsia="Calibri" w:hAnsi="Calibri" w:cs="Times New Roman"/>
                <w:b/>
                <w:bCs/>
              </w:rPr>
            </w:pPr>
            <w:r w:rsidRPr="004F217A">
              <w:rPr>
                <w:rFonts w:ascii="Arial" w:eastAsia="Times New Roman" w:hAnsi="Arial" w:cs="Arial"/>
                <w:b/>
                <w:bCs/>
              </w:rPr>
              <w:t>Outcome:</w:t>
            </w:r>
            <w:r>
              <w:rPr>
                <w:rFonts w:ascii="Arial" w:eastAsia="Times New Roman" w:hAnsi="Arial" w:cs="Arial"/>
              </w:rPr>
              <w:t xml:space="preserve"> At the time of the incident, 3.5 million Sydney residents were told they may have to wait six months or longer before the quality of their water could be guaranteed.</w:t>
            </w:r>
            <w:r>
              <w:rPr>
                <w:rStyle w:val="FootnoteReference"/>
                <w:rFonts w:ascii="Arial" w:hAnsi="Arial"/>
              </w:rPr>
              <w:footnoteReference w:id="121"/>
            </w:r>
            <w:r>
              <w:rPr>
                <w:rFonts w:ascii="Arial" w:eastAsia="Times New Roman" w:hAnsi="Arial" w:cs="Arial"/>
              </w:rPr>
              <w:t xml:space="preserve"> The NSW Government established a Commission of Inquiry in response to the crisis, handing down a report which contained 91 recommendations, including the reorganisation of water supply, water management functions and agencies in Greater Metropolitan Sydney. While Sydney Water would maintain management of water supply distribution, water treatment and sewage, and stormwater management, the newly established Sydney Catchment Authority was allocated responsibility for catchments, dams and bulk supply reservoirs. Both the Chairman and Managing Director of Sydney Water stood down as a result of the crisis</w:t>
            </w:r>
            <w:r w:rsidR="00C56E86">
              <w:rPr>
                <w:rFonts w:ascii="Arial" w:eastAsia="Times New Roman" w:hAnsi="Arial" w:cs="Arial"/>
              </w:rPr>
              <w:t xml:space="preserve"> which was estimated to cost $33 million</w:t>
            </w:r>
            <w:r w:rsidR="006571C1">
              <w:rPr>
                <w:rFonts w:ascii="Arial" w:eastAsia="Times New Roman" w:hAnsi="Arial" w:cs="Arial"/>
              </w:rPr>
              <w:t xml:space="preserve"> (in 1998)</w:t>
            </w:r>
            <w:r>
              <w:rPr>
                <w:rFonts w:ascii="Arial" w:eastAsia="Times New Roman" w:hAnsi="Arial" w:cs="Arial"/>
              </w:rPr>
              <w:t>.</w:t>
            </w:r>
            <w:r>
              <w:rPr>
                <w:rStyle w:val="FootnoteReference"/>
                <w:rFonts w:ascii="Arial" w:hAnsi="Arial"/>
              </w:rPr>
              <w:footnoteReference w:id="122"/>
            </w:r>
            <w:r>
              <w:rPr>
                <w:rFonts w:ascii="Arial" w:eastAsia="Times New Roman" w:hAnsi="Arial" w:cs="Arial"/>
              </w:rPr>
              <w:t xml:space="preserve">  </w:t>
            </w:r>
          </w:p>
        </w:tc>
      </w:tr>
      <w:tr w:rsidR="000D0B03" w14:paraId="6683A623" w14:textId="77777777" w:rsidTr="006874A3">
        <w:tc>
          <w:tcPr>
            <w:tcW w:w="5000" w:type="pct"/>
            <w:gridSpan w:val="2"/>
            <w:shd w:val="clear" w:color="auto" w:fill="auto"/>
            <w:hideMark/>
          </w:tcPr>
          <w:p w14:paraId="5D60D2CB" w14:textId="1F0EFADB" w:rsidR="000D0B03" w:rsidRDefault="000D0B03" w:rsidP="006874A3">
            <w:pPr>
              <w:pStyle w:val="TableBody"/>
              <w:rPr>
                <w:b/>
              </w:rPr>
            </w:pPr>
            <w:r w:rsidRPr="004F217A">
              <w:rPr>
                <w:b/>
                <w:bCs/>
              </w:rPr>
              <w:t>Identified Gap:</w:t>
            </w:r>
            <w:r>
              <w:t xml:space="preserve"> This case study demonstrates the extent of the disruption which can be caused as a result of water quality issues. Water contamination can result in severe health and economic consequences for individuals, businesses reliant on water supply to support operations and, in this instance, costs associated with determining the cause of contamination and a plan for rectification. This case study highlights the need for Governments and private entities alike to have in place identification, mitigation and response mechanisms, in the event of water contamination incidents. </w:t>
            </w:r>
          </w:p>
        </w:tc>
      </w:tr>
    </w:tbl>
    <w:p w14:paraId="7E41AB96" w14:textId="77777777" w:rsidR="004F217A" w:rsidRDefault="004F217A"/>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030"/>
        <w:gridCol w:w="3608"/>
      </w:tblGrid>
      <w:tr w:rsidR="000D0B03" w14:paraId="30CAB5B6" w14:textId="77777777" w:rsidTr="000D1AA4">
        <w:tc>
          <w:tcPr>
            <w:tcW w:w="3128" w:type="pct"/>
            <w:shd w:val="clear" w:color="auto" w:fill="034EA2" w:themeFill="accent1"/>
            <w:hideMark/>
          </w:tcPr>
          <w:p w14:paraId="60488690" w14:textId="77777777" w:rsidR="000D0B03" w:rsidRPr="002646F4" w:rsidRDefault="000D0B03" w:rsidP="000D1AA4">
            <w:pPr>
              <w:pStyle w:val="TableHeading"/>
              <w:rPr>
                <w:rFonts w:ascii="Calibri" w:eastAsia="Calibri" w:hAnsi="Calibri" w:cs="Times New Roman"/>
              </w:rPr>
            </w:pPr>
            <w:r>
              <w:t>UK water supplier scammed through malicious insider (2017)</w:t>
            </w:r>
          </w:p>
        </w:tc>
        <w:tc>
          <w:tcPr>
            <w:tcW w:w="1872" w:type="pct"/>
            <w:shd w:val="clear" w:color="auto" w:fill="007BC3" w:themeFill="accent2"/>
            <w:hideMark/>
          </w:tcPr>
          <w:p w14:paraId="595F1C3A" w14:textId="77777777" w:rsidR="000D0B03" w:rsidRPr="009739FE" w:rsidRDefault="000D0B03" w:rsidP="000D1AA4">
            <w:pPr>
              <w:pStyle w:val="Tableriskcategory"/>
            </w:pPr>
            <w:r w:rsidRPr="009739FE">
              <w:t>Cyber, Supply Chain &amp; Personnel Hazards</w:t>
            </w:r>
          </w:p>
        </w:tc>
      </w:tr>
      <w:tr w:rsidR="000D0B03" w14:paraId="6E789090" w14:textId="77777777" w:rsidTr="000D1AA4">
        <w:tc>
          <w:tcPr>
            <w:tcW w:w="5000" w:type="pct"/>
            <w:gridSpan w:val="2"/>
            <w:shd w:val="clear" w:color="auto" w:fill="auto"/>
            <w:hideMark/>
          </w:tcPr>
          <w:p w14:paraId="6BA9DC62" w14:textId="77777777" w:rsidR="000D0B03" w:rsidRPr="008537DC" w:rsidRDefault="000D0B03" w:rsidP="000D1AA4">
            <w:pPr>
              <w:pStyle w:val="TableBody"/>
              <w:rPr>
                <w:rFonts w:eastAsia="Times New Roman"/>
                <w:b/>
              </w:rPr>
            </w:pPr>
            <w:r w:rsidRPr="00FA1666">
              <w:rPr>
                <w:b/>
                <w:bCs/>
              </w:rPr>
              <w:t>Situation:</w:t>
            </w:r>
            <w:r>
              <w:t xml:space="preserve"> Published in the 2017 Verizon Data Breach Digest Report, a UK water supplier discovered that the bank account details of several clients had been changed, and a total of £500,000 had been requested and sent to two bank accounts in England. Ninety percent of the funds were discovered to have been rewired to overseas accounts and then converted into Bitcoin. It was discovered that the source of the data breach was a call centre employee in Mumbai, working at the call centre to which the water supplier had outsourced its customer support operations. He had taken photos of the clients’ CRM profiles and sent them to his cousin, who then initiated a reset password and changed the bank account details to his own account. </w:t>
            </w:r>
          </w:p>
        </w:tc>
      </w:tr>
      <w:tr w:rsidR="000D0B03" w14:paraId="4500CBF6" w14:textId="77777777" w:rsidTr="000D1AA4">
        <w:tc>
          <w:tcPr>
            <w:tcW w:w="5000" w:type="pct"/>
            <w:gridSpan w:val="2"/>
            <w:shd w:val="clear" w:color="auto" w:fill="auto"/>
            <w:hideMark/>
          </w:tcPr>
          <w:p w14:paraId="224ED2FC" w14:textId="77777777" w:rsidR="000D0B03" w:rsidRPr="00BD786F" w:rsidRDefault="000D0B03" w:rsidP="000D1AA4">
            <w:pPr>
              <w:pStyle w:val="TableBody"/>
              <w:rPr>
                <w:rFonts w:ascii="Calibri" w:eastAsia="Calibri" w:hAnsi="Calibri"/>
                <w:b/>
                <w:bCs/>
              </w:rPr>
            </w:pPr>
            <w:r w:rsidRPr="00FA1666">
              <w:rPr>
                <w:b/>
                <w:bCs/>
              </w:rPr>
              <w:t>Outcome:</w:t>
            </w:r>
            <w:r>
              <w:t xml:space="preserve"> With the help of a global law firm, the water supplier secured a conviction for the cousin, after having lost over $645,000 to the scam.  </w:t>
            </w:r>
          </w:p>
        </w:tc>
      </w:tr>
      <w:tr w:rsidR="000D0B03" w14:paraId="178FECA0" w14:textId="77777777" w:rsidTr="000D1AA4">
        <w:tc>
          <w:tcPr>
            <w:tcW w:w="5000" w:type="pct"/>
            <w:gridSpan w:val="2"/>
            <w:shd w:val="clear" w:color="auto" w:fill="auto"/>
            <w:hideMark/>
          </w:tcPr>
          <w:p w14:paraId="4A9D81F8" w14:textId="77777777" w:rsidR="000D0B03" w:rsidRDefault="000D0B03" w:rsidP="000D1AA4">
            <w:pPr>
              <w:pStyle w:val="TableBody"/>
              <w:rPr>
                <w:b/>
              </w:rPr>
            </w:pPr>
            <w:r w:rsidRPr="00FA1666">
              <w:rPr>
                <w:b/>
                <w:bCs/>
              </w:rPr>
              <w:t>Identified Gap:</w:t>
            </w:r>
            <w:r>
              <w:t xml:space="preserve">  This case study demonstrates how important it is for critical water assets to have risk management processes in place to protect sensitive data. It also demonstrates the need for critical water assets to be aware of and put in place practices to mitigate the effects of adverse action by employees, including ensuring through service level agreements that their critical vendors with access to sensitive data have commensurate personnel security policies. </w:t>
            </w:r>
          </w:p>
        </w:tc>
      </w:tr>
      <w:tr w:rsidR="000D0B03" w14:paraId="06817BAD" w14:textId="77777777" w:rsidTr="000D1AA4">
        <w:tc>
          <w:tcPr>
            <w:tcW w:w="3128" w:type="pct"/>
            <w:shd w:val="clear" w:color="auto" w:fill="034EA2" w:themeFill="accent1"/>
            <w:hideMark/>
          </w:tcPr>
          <w:p w14:paraId="4F3537E6" w14:textId="77777777" w:rsidR="000D0B03" w:rsidRPr="002646F4" w:rsidRDefault="000D0B03" w:rsidP="000D1AA4">
            <w:pPr>
              <w:pStyle w:val="TableHeading"/>
              <w:rPr>
                <w:rFonts w:ascii="Calibri" w:eastAsia="Calibri" w:hAnsi="Calibri" w:cs="Times New Roman"/>
              </w:rPr>
            </w:pPr>
            <w:r>
              <w:t>Australian Man Perpetrates Revenge Sewage Attacks (2000)</w:t>
            </w:r>
          </w:p>
        </w:tc>
        <w:tc>
          <w:tcPr>
            <w:tcW w:w="1872" w:type="pct"/>
            <w:shd w:val="clear" w:color="auto" w:fill="007BC3" w:themeFill="accent2"/>
            <w:hideMark/>
          </w:tcPr>
          <w:p w14:paraId="47AE5862" w14:textId="77777777" w:rsidR="000D0B03" w:rsidRPr="009739FE" w:rsidRDefault="000D0B03" w:rsidP="000D1AA4">
            <w:pPr>
              <w:pStyle w:val="Tableriskcategory"/>
            </w:pPr>
            <w:r w:rsidRPr="009739FE">
              <w:t>Physical, Cyber &amp; Personnel Hazards</w:t>
            </w:r>
          </w:p>
        </w:tc>
      </w:tr>
      <w:tr w:rsidR="000D0B03" w14:paraId="2B34C204" w14:textId="77777777" w:rsidTr="000D1AA4">
        <w:tc>
          <w:tcPr>
            <w:tcW w:w="5000" w:type="pct"/>
            <w:gridSpan w:val="2"/>
            <w:shd w:val="clear" w:color="auto" w:fill="auto"/>
            <w:hideMark/>
          </w:tcPr>
          <w:p w14:paraId="307247AF" w14:textId="77777777" w:rsidR="000D0B03" w:rsidRPr="008537DC" w:rsidRDefault="000D0B03" w:rsidP="000D1AA4">
            <w:pPr>
              <w:pStyle w:val="TableBody"/>
              <w:rPr>
                <w:b/>
              </w:rPr>
            </w:pPr>
            <w:r w:rsidRPr="00FA1666">
              <w:rPr>
                <w:b/>
                <w:bCs/>
              </w:rPr>
              <w:t>Situation:</w:t>
            </w:r>
            <w:r>
              <w:t xml:space="preserve"> Between March and April 2000, an Australian man conducted a series of 46 electronic attacks on the Maroochy Shire sewage control systems in the Maroochy Shire, Queensland. The attacks came </w:t>
            </w:r>
            <w:r>
              <w:lastRenderedPageBreak/>
              <w:t>after the man’s job application was denied by the responsible Council. At the time of the attacks, the man was employed by the company who had installed the sewage control system. The man used his laptop, which contained software for accessing and controlling the sewage management system, to conduct the attacks.</w:t>
            </w:r>
            <w:r>
              <w:rPr>
                <w:rStyle w:val="FootnoteReference"/>
                <w:rFonts w:ascii="Arial" w:hAnsi="Arial"/>
              </w:rPr>
              <w:footnoteReference w:id="123"/>
            </w:r>
          </w:p>
        </w:tc>
      </w:tr>
      <w:tr w:rsidR="000D0B03" w14:paraId="0B62AB8B" w14:textId="77777777" w:rsidTr="000D1AA4">
        <w:tc>
          <w:tcPr>
            <w:tcW w:w="5000" w:type="pct"/>
            <w:gridSpan w:val="2"/>
            <w:shd w:val="clear" w:color="auto" w:fill="F2F2F2" w:themeFill="background1" w:themeFillShade="F2"/>
            <w:hideMark/>
          </w:tcPr>
          <w:p w14:paraId="2203EB32" w14:textId="77777777" w:rsidR="000D0B03" w:rsidRPr="00BD786F" w:rsidRDefault="000D0B03" w:rsidP="000D1AA4">
            <w:pPr>
              <w:pStyle w:val="TableBody"/>
              <w:rPr>
                <w:rFonts w:ascii="Calibri" w:eastAsia="Calibri" w:hAnsi="Calibri"/>
                <w:b/>
                <w:bCs/>
              </w:rPr>
            </w:pPr>
            <w:r w:rsidRPr="00FA1666">
              <w:rPr>
                <w:b/>
                <w:bCs/>
              </w:rPr>
              <w:lastRenderedPageBreak/>
              <w:t>Outcome:</w:t>
            </w:r>
            <w:r>
              <w:t xml:space="preserve"> The perpetrator of the attack was sentenced to two years imprisonment for infiltrating the Maroochy Shire’s waste management system. The attack caused millions of litres of raw sewage to spill into local parks and rivers, including the ground of the Hyatt Regency Hotel. A representative from the Australian Environmental Protection Agency provided that, as a result of the attacks, ‘…marine life died, creek water turned black, and the stench was unbearable for residents.’</w:t>
            </w:r>
            <w:r>
              <w:rPr>
                <w:rStyle w:val="FootnoteReference"/>
                <w:rFonts w:ascii="Arial" w:hAnsi="Arial"/>
              </w:rPr>
              <w:footnoteReference w:id="124"/>
            </w:r>
            <w:r>
              <w:t xml:space="preserve"> The incident cost the city council $176,000 in repairs, monitoring, clean-ups and extra security. Hunter Watertech spent more than $500,000 due to the incident.</w:t>
            </w:r>
            <w:r>
              <w:rPr>
                <w:rStyle w:val="FootnoteReference"/>
                <w:rFonts w:ascii="Arial" w:eastAsia="Times New Roman" w:hAnsi="Arial" w:cs="Arial"/>
              </w:rPr>
              <w:footnoteReference w:id="125"/>
            </w:r>
            <w:r>
              <w:t xml:space="preserve"> </w:t>
            </w:r>
          </w:p>
        </w:tc>
      </w:tr>
      <w:tr w:rsidR="000D0B03" w14:paraId="4E1BB063" w14:textId="77777777" w:rsidTr="000D1AA4">
        <w:tc>
          <w:tcPr>
            <w:tcW w:w="5000" w:type="pct"/>
            <w:gridSpan w:val="2"/>
            <w:shd w:val="clear" w:color="auto" w:fill="auto"/>
            <w:hideMark/>
          </w:tcPr>
          <w:p w14:paraId="635BA6D2" w14:textId="77777777" w:rsidR="000D0B03" w:rsidRDefault="000D0B03" w:rsidP="000D1AA4">
            <w:pPr>
              <w:pStyle w:val="TableBody"/>
              <w:rPr>
                <w:b/>
              </w:rPr>
            </w:pPr>
            <w:r w:rsidRPr="00FA1666">
              <w:rPr>
                <w:b/>
                <w:bCs/>
              </w:rPr>
              <w:t>Identified Gap:</w:t>
            </w:r>
            <w:r>
              <w:t xml:space="preserve"> This case study reiterates the need for critical water assets to have in place secure, up to date detection, protection and mitigation mechanisms to prevent the occurrence of attacks such as this. While this case study involves a prospective employee, rather than an ongoing employee, it also demonstrates the need for critical water assets to be aware of and put in place practices to mitigate the effects of adverse action by employees. </w:t>
            </w:r>
          </w:p>
        </w:tc>
      </w:tr>
    </w:tbl>
    <w:p w14:paraId="7FD453F7" w14:textId="77777777" w:rsidR="00FA1666" w:rsidRDefault="00FA1666"/>
    <w:tbl>
      <w:tblPr>
        <w:tblStyle w:val="DHATable"/>
        <w:tblpPr w:leftFromText="180" w:rightFromText="180" w:vertAnchor="text" w:horzAnchor="margin" w:tblpY="-63"/>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030"/>
        <w:gridCol w:w="3608"/>
      </w:tblGrid>
      <w:tr w:rsidR="000D0B03" w14:paraId="0CA42642" w14:textId="77777777" w:rsidTr="000D1AA4">
        <w:tc>
          <w:tcPr>
            <w:tcW w:w="3128" w:type="pct"/>
            <w:shd w:val="clear" w:color="auto" w:fill="034EA2" w:themeFill="accent1"/>
            <w:hideMark/>
          </w:tcPr>
          <w:p w14:paraId="44B4203F" w14:textId="77777777" w:rsidR="000D0B03" w:rsidRPr="002646F4" w:rsidRDefault="000D0B03" w:rsidP="000C1FCD">
            <w:pPr>
              <w:pStyle w:val="TableHeading"/>
              <w:rPr>
                <w:rFonts w:ascii="Calibri" w:eastAsia="Calibri" w:hAnsi="Calibri" w:cs="Times New Roman"/>
              </w:rPr>
            </w:pPr>
            <w:r>
              <w:t>Attack on Illinois water station destroys pump (2011)</w:t>
            </w:r>
          </w:p>
        </w:tc>
        <w:tc>
          <w:tcPr>
            <w:tcW w:w="1872" w:type="pct"/>
            <w:shd w:val="clear" w:color="auto" w:fill="007BC3" w:themeFill="accent2"/>
            <w:hideMark/>
          </w:tcPr>
          <w:p w14:paraId="4D45DFB6" w14:textId="77777777" w:rsidR="000D0B03" w:rsidRDefault="000D0B03" w:rsidP="000C1FCD">
            <w:pPr>
              <w:pStyle w:val="Tableriskcategory"/>
            </w:pPr>
            <w:r>
              <w:t>Physical &amp; Cyber Hazards</w:t>
            </w:r>
          </w:p>
        </w:tc>
      </w:tr>
      <w:tr w:rsidR="000D0B03" w:rsidRPr="008537DC" w14:paraId="4268136D" w14:textId="77777777" w:rsidTr="000D1AA4">
        <w:tc>
          <w:tcPr>
            <w:tcW w:w="5000" w:type="pct"/>
            <w:gridSpan w:val="2"/>
            <w:shd w:val="clear" w:color="auto" w:fill="auto"/>
            <w:hideMark/>
          </w:tcPr>
          <w:p w14:paraId="105C5CFD" w14:textId="77777777" w:rsidR="000D0B03" w:rsidRPr="008537DC" w:rsidRDefault="000D0B03" w:rsidP="00D26103">
            <w:pPr>
              <w:pStyle w:val="TableBody"/>
              <w:rPr>
                <w:rFonts w:eastAsia="Times New Roman"/>
                <w:b/>
              </w:rPr>
            </w:pPr>
            <w:r w:rsidRPr="00D26103">
              <w:rPr>
                <w:b/>
                <w:bCs/>
              </w:rPr>
              <w:t>Situation</w:t>
            </w:r>
            <w:r>
              <w:t>: In November 2011, it was reported that hackers had gained remote access into the control system of the city water utility in Springfield, Illinois, and destroyed a pump. The hackers were discovered on 8 November 2011, when an employee noticed problems in the city's Supervisory Control and Data Acquisition System (SCADA).</w:t>
            </w:r>
            <w:r>
              <w:rPr>
                <w:rStyle w:val="FootnoteReference"/>
                <w:rFonts w:ascii="Arial" w:hAnsi="Arial"/>
              </w:rPr>
              <w:footnoteReference w:id="126"/>
            </w:r>
            <w:r>
              <w:t xml:space="preserve"> The system kept turning on and off, resulting in the burnout of a water pump. However, forensic evidence indicated that hackers may have infiltrated and remained in the system as early as September 2011. The intruders launched their attack from IP addresses based in Russia and gained access by first hacking into the network of a software vendor that makes the SCADA system. The hackers stole usernames and passwords that the vendor maintained for its customers, and then used those credentials to gain remote access to the utility's network.</w:t>
            </w:r>
            <w:r>
              <w:rPr>
                <w:rStyle w:val="FootnoteReference"/>
                <w:rFonts w:ascii="Arial" w:hAnsi="Arial"/>
              </w:rPr>
              <w:footnoteReference w:id="127"/>
            </w:r>
          </w:p>
        </w:tc>
      </w:tr>
      <w:tr w:rsidR="000D0B03" w:rsidRPr="00BD786F" w14:paraId="712A6FF3" w14:textId="77777777" w:rsidTr="000D1AA4">
        <w:tc>
          <w:tcPr>
            <w:tcW w:w="5000" w:type="pct"/>
            <w:gridSpan w:val="2"/>
            <w:shd w:val="clear" w:color="auto" w:fill="F2F2F2" w:themeFill="background1" w:themeFillShade="F2"/>
            <w:hideMark/>
          </w:tcPr>
          <w:p w14:paraId="2DBE1B4F" w14:textId="77777777" w:rsidR="000D0B03" w:rsidRPr="00BD786F" w:rsidRDefault="000D0B03" w:rsidP="00D26103">
            <w:pPr>
              <w:pStyle w:val="TableBody"/>
              <w:rPr>
                <w:rFonts w:ascii="Calibri" w:eastAsia="Calibri" w:hAnsi="Calibri"/>
                <w:b/>
                <w:bCs/>
              </w:rPr>
            </w:pPr>
            <w:r w:rsidRPr="00D26103">
              <w:rPr>
                <w:b/>
                <w:bCs/>
              </w:rPr>
              <w:t>Outcome</w:t>
            </w:r>
            <w:r>
              <w:t>: This attack is one of the first of its kind, disrupting a system responsible for the supply of water, electricity and other essential services.</w:t>
            </w:r>
            <w:r>
              <w:rPr>
                <w:rStyle w:val="FootnoteReference"/>
                <w:rFonts w:ascii="Arial" w:hAnsi="Arial"/>
              </w:rPr>
              <w:footnoteReference w:id="128"/>
            </w:r>
            <w:r>
              <w:t xml:space="preserve"> While past attacks have resulted in attempts to steal information or disrupt web services, this incident demonstrates the potential for cyber-attacks to cause physical disruption and destruction.</w:t>
            </w:r>
            <w:r>
              <w:rPr>
                <w:rStyle w:val="FootnoteReference"/>
                <w:rFonts w:ascii="Arial" w:hAnsi="Arial"/>
              </w:rPr>
              <w:footnoteReference w:id="129"/>
            </w:r>
          </w:p>
        </w:tc>
      </w:tr>
      <w:tr w:rsidR="000D0B03" w14:paraId="511B891E" w14:textId="77777777" w:rsidTr="000D1AA4">
        <w:trPr>
          <w:trHeight w:val="279"/>
        </w:trPr>
        <w:tc>
          <w:tcPr>
            <w:tcW w:w="5000" w:type="pct"/>
            <w:gridSpan w:val="2"/>
            <w:shd w:val="clear" w:color="auto" w:fill="auto"/>
            <w:hideMark/>
          </w:tcPr>
          <w:p w14:paraId="0415BDB5" w14:textId="77777777" w:rsidR="000D0B03" w:rsidRDefault="000D0B03" w:rsidP="00D26103">
            <w:pPr>
              <w:pStyle w:val="TableBody"/>
              <w:rPr>
                <w:b/>
              </w:rPr>
            </w:pPr>
            <w:r w:rsidRPr="00D26103">
              <w:rPr>
                <w:b/>
                <w:bCs/>
              </w:rPr>
              <w:t>Identified Gap</w:t>
            </w:r>
            <w:r>
              <w:t xml:space="preserve">: </w:t>
            </w:r>
            <w:r>
              <w:rPr>
                <w:lang w:eastAsia="en-AU"/>
              </w:rPr>
              <w:t xml:space="preserve">This case study demonstrates the potential vulnerability of critical water assets. For example, this incident raises the possibility that other customers using the vendor's SCADA system may be targeted as well. More broadly, </w:t>
            </w:r>
            <w:r>
              <w:t>it demonstrates the need for critical water assets to be aware of and put in place practices to mitigate the effects of potential cyber infiltrations.</w:t>
            </w:r>
          </w:p>
        </w:tc>
      </w:tr>
    </w:tbl>
    <w:p w14:paraId="47B74325" w14:textId="77777777" w:rsidR="008E7670" w:rsidRPr="009515EE" w:rsidRDefault="007F0FCC" w:rsidP="008E1A28">
      <w:pPr>
        <w:pStyle w:val="AppendixH2"/>
      </w:pPr>
      <w:r>
        <w:lastRenderedPageBreak/>
        <w:t xml:space="preserve">Key risks to </w:t>
      </w:r>
      <w:r w:rsidR="00B14333">
        <w:t>critical water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966"/>
        <w:gridCol w:w="4239"/>
        <w:gridCol w:w="4433"/>
      </w:tblGrid>
      <w:tr w:rsidR="00B805A3" w:rsidRPr="00D26103" w14:paraId="49EE18DC" w14:textId="77777777" w:rsidTr="00D26103">
        <w:trPr>
          <w:tblHeader/>
        </w:trPr>
        <w:tc>
          <w:tcPr>
            <w:tcW w:w="501" w:type="pct"/>
            <w:shd w:val="clear" w:color="auto" w:fill="034EA2" w:themeFill="accent1"/>
            <w:hideMark/>
          </w:tcPr>
          <w:p w14:paraId="5C97CDF6" w14:textId="1CBA6F50" w:rsidR="00B805A3" w:rsidRPr="00D26103" w:rsidRDefault="006B3927" w:rsidP="00D26103">
            <w:pPr>
              <w:pStyle w:val="TableHeading"/>
            </w:pPr>
            <w:r w:rsidRPr="00D26103">
              <w:t>Hazard domain</w:t>
            </w:r>
          </w:p>
        </w:tc>
        <w:tc>
          <w:tcPr>
            <w:tcW w:w="2199" w:type="pct"/>
            <w:shd w:val="clear" w:color="auto" w:fill="034EA2" w:themeFill="accent1"/>
            <w:hideMark/>
          </w:tcPr>
          <w:p w14:paraId="46C5494F" w14:textId="77777777" w:rsidR="00B805A3" w:rsidRPr="00D26103" w:rsidRDefault="00B805A3" w:rsidP="00D26103">
            <w:pPr>
              <w:pStyle w:val="TableHeading"/>
            </w:pPr>
            <w:r w:rsidRPr="00D26103">
              <w:t>Identified risk</w:t>
            </w:r>
          </w:p>
        </w:tc>
        <w:tc>
          <w:tcPr>
            <w:tcW w:w="2300" w:type="pct"/>
            <w:shd w:val="clear" w:color="auto" w:fill="034EA2" w:themeFill="accent1"/>
            <w:hideMark/>
          </w:tcPr>
          <w:p w14:paraId="199A279B" w14:textId="77777777" w:rsidR="00B805A3" w:rsidRPr="00D26103" w:rsidRDefault="00B805A3" w:rsidP="00D26103">
            <w:pPr>
              <w:pStyle w:val="TableHeading"/>
            </w:pPr>
            <w:r w:rsidRPr="00D26103">
              <w:t>Example</w:t>
            </w:r>
          </w:p>
        </w:tc>
      </w:tr>
      <w:tr w:rsidR="00B805A3" w14:paraId="23F0412B" w14:textId="77777777" w:rsidTr="00D26103">
        <w:trPr>
          <w:trHeight w:val="827"/>
        </w:trPr>
        <w:tc>
          <w:tcPr>
            <w:tcW w:w="501" w:type="pct"/>
            <w:hideMark/>
          </w:tcPr>
          <w:p w14:paraId="4E3C8890" w14:textId="77777777" w:rsidR="00B805A3" w:rsidRDefault="00B805A3" w:rsidP="00FA1666">
            <w:pPr>
              <w:pStyle w:val="TableBody"/>
              <w:rPr>
                <w:color w:val="FF9933"/>
              </w:rPr>
            </w:pPr>
            <w:r>
              <w:t>Physical</w:t>
            </w:r>
          </w:p>
        </w:tc>
        <w:tc>
          <w:tcPr>
            <w:tcW w:w="2199" w:type="pct"/>
            <w:vMerge w:val="restart"/>
            <w:shd w:val="clear" w:color="auto" w:fill="auto"/>
            <w:hideMark/>
          </w:tcPr>
          <w:p w14:paraId="034FD196" w14:textId="77777777" w:rsidR="00B805A3" w:rsidRDefault="00B805A3" w:rsidP="00FA1666">
            <w:pPr>
              <w:pStyle w:val="TableBody"/>
              <w:rPr>
                <w:color w:val="FF9933"/>
              </w:rPr>
            </w:pPr>
            <w:r>
              <w:t xml:space="preserve">An increase in extreme weather events across Australia and the world, including heatwaves, bushfires and flooding, can undermine the security of critical water assets by placing such assets under strain. Drought and subsequent flooding events also have the ability to create water scarcity events, or compromise the quality of drinking water, which can impact Australians’ access to clean water. </w:t>
            </w:r>
          </w:p>
        </w:tc>
        <w:tc>
          <w:tcPr>
            <w:tcW w:w="2300" w:type="pct"/>
            <w:vMerge w:val="restart"/>
            <w:shd w:val="clear" w:color="auto" w:fill="auto"/>
            <w:hideMark/>
          </w:tcPr>
          <w:p w14:paraId="28280FBB" w14:textId="77777777" w:rsidR="00B805A3" w:rsidRDefault="00B805A3" w:rsidP="00FA1666">
            <w:pPr>
              <w:pStyle w:val="TableBody"/>
            </w:pPr>
            <w:r>
              <w:t>In June 2021, extreme storm events across Victoria resulted in serious water contamination events. Yarra Valley Water issues an urgent health warning for three affected suburbs (Kalista, Sherbrook and The Patch) to refrain from drinking tap water, even if boiled. Yarra Valley Water provided that Victoria’s severe weather events led to equipment failure, with potentially unsafe water entering the drinking water system.</w:t>
            </w:r>
            <w:r>
              <w:rPr>
                <w:rStyle w:val="FootnoteReference"/>
                <w:rFonts w:ascii="Arial" w:eastAsia="Calibri" w:hAnsi="Arial"/>
              </w:rPr>
              <w:footnoteReference w:id="130"/>
            </w:r>
          </w:p>
        </w:tc>
      </w:tr>
      <w:tr w:rsidR="00B805A3" w14:paraId="537406E1" w14:textId="77777777" w:rsidTr="00D26103">
        <w:trPr>
          <w:trHeight w:val="826"/>
        </w:trPr>
        <w:tc>
          <w:tcPr>
            <w:tcW w:w="501" w:type="pct"/>
            <w:hideMark/>
          </w:tcPr>
          <w:p w14:paraId="5300DCFF" w14:textId="77777777" w:rsidR="00B805A3" w:rsidRDefault="00B805A3" w:rsidP="00FA1666">
            <w:pPr>
              <w:pStyle w:val="TableBody"/>
            </w:pPr>
            <w:r>
              <w:t>Natural Hazard</w:t>
            </w:r>
          </w:p>
        </w:tc>
        <w:tc>
          <w:tcPr>
            <w:tcW w:w="2199" w:type="pct"/>
            <w:vMerge/>
            <w:shd w:val="clear" w:color="auto" w:fill="auto"/>
            <w:hideMark/>
          </w:tcPr>
          <w:p w14:paraId="632AFC53" w14:textId="77777777" w:rsidR="00B805A3" w:rsidRDefault="00B805A3" w:rsidP="00FA1666">
            <w:pPr>
              <w:pStyle w:val="TableBody"/>
              <w:rPr>
                <w:color w:val="FF9933"/>
              </w:rPr>
            </w:pPr>
          </w:p>
        </w:tc>
        <w:tc>
          <w:tcPr>
            <w:tcW w:w="2300" w:type="pct"/>
            <w:vMerge/>
            <w:shd w:val="clear" w:color="auto" w:fill="auto"/>
            <w:hideMark/>
          </w:tcPr>
          <w:p w14:paraId="031EE641" w14:textId="77777777" w:rsidR="00B805A3" w:rsidRDefault="00B805A3" w:rsidP="00FA1666">
            <w:pPr>
              <w:pStyle w:val="TableBody"/>
            </w:pPr>
          </w:p>
        </w:tc>
      </w:tr>
      <w:tr w:rsidR="00B805A3" w14:paraId="65C55DD1" w14:textId="77777777" w:rsidTr="00D26103">
        <w:tc>
          <w:tcPr>
            <w:tcW w:w="501" w:type="pct"/>
            <w:hideMark/>
          </w:tcPr>
          <w:p w14:paraId="2538D995" w14:textId="77777777" w:rsidR="00B805A3" w:rsidRDefault="00B805A3" w:rsidP="00FA1666">
            <w:pPr>
              <w:pStyle w:val="TableBody"/>
              <w:rPr>
                <w:rFonts w:ascii="Calibri" w:hAnsi="Calibri"/>
              </w:rPr>
            </w:pPr>
            <w:r>
              <w:t>Cyber</w:t>
            </w:r>
          </w:p>
        </w:tc>
        <w:tc>
          <w:tcPr>
            <w:tcW w:w="2199" w:type="pct"/>
            <w:shd w:val="clear" w:color="auto" w:fill="auto"/>
            <w:hideMark/>
          </w:tcPr>
          <w:p w14:paraId="10FFEC91" w14:textId="77777777" w:rsidR="00B805A3" w:rsidRDefault="00B805A3" w:rsidP="00FA1666">
            <w:pPr>
              <w:pStyle w:val="TableBody"/>
            </w:pPr>
            <w:r>
              <w:t>As the complexity of critical water assets has developed, the risk of vulnerabilities rises, as many water utilities may not have been constructed with cyber security resilience in mind. This creates difficulties for detecting potential cyber infiltrations. The critical nature of water and dependent services means the mere detection of vulnerabilities can be problematic, as critical systems cannot be taken offline to undergo repair or upgrade. This reiterates the need for critical water assets to consider cyber security from the commencement of design, planning and operation.</w:t>
            </w:r>
            <w:r>
              <w:rPr>
                <w:rStyle w:val="FootnoteReference"/>
                <w:rFonts w:ascii="Arial" w:eastAsia="Calibri" w:hAnsi="Arial"/>
              </w:rPr>
              <w:footnoteReference w:id="131"/>
            </w:r>
          </w:p>
        </w:tc>
        <w:tc>
          <w:tcPr>
            <w:tcW w:w="2300" w:type="pct"/>
            <w:shd w:val="clear" w:color="auto" w:fill="auto"/>
            <w:hideMark/>
          </w:tcPr>
          <w:p w14:paraId="45233C6F" w14:textId="1A4106AC" w:rsidR="00B805A3" w:rsidRDefault="00B805A3" w:rsidP="00FA1666">
            <w:pPr>
              <w:pStyle w:val="TableBody"/>
            </w:pPr>
            <w:r>
              <w:t xml:space="preserve">In June 2021, the United States’ Water Information Sharing and Analysis Centre surveyed the water industry to determine entities’ levels of cybersecurity preparedness. Specifically, more than 60% of water utilities say they have not fully identified IT-networked assets in their networks, and only a little more than 21% of those utilities said they are working to do so. Further, roughly 70% said they have not fully identified all OT (operational technology) networked assets and </w:t>
            </w:r>
            <w:r w:rsidR="00384419">
              <w:t>less</w:t>
            </w:r>
            <w:r>
              <w:t xml:space="preserve"> than a quarter are working to do so.</w:t>
            </w:r>
            <w:r>
              <w:rPr>
                <w:vertAlign w:val="superscript"/>
              </w:rPr>
              <w:footnoteReference w:id="132"/>
            </w:r>
          </w:p>
          <w:p w14:paraId="73D24C48" w14:textId="77777777" w:rsidR="00B805A3" w:rsidRDefault="00B805A3" w:rsidP="00FA1666">
            <w:pPr>
              <w:pStyle w:val="TableBody"/>
              <w:rPr>
                <w:color w:val="FF9933"/>
              </w:rPr>
            </w:pPr>
            <w:r>
              <w:t>In Australia, Auditor General audits have also highlighted cybersecurity deficiencies.</w:t>
            </w:r>
          </w:p>
        </w:tc>
      </w:tr>
      <w:tr w:rsidR="00B805A3" w14:paraId="43E65436" w14:textId="77777777" w:rsidTr="00D26103">
        <w:trPr>
          <w:trHeight w:val="914"/>
        </w:trPr>
        <w:tc>
          <w:tcPr>
            <w:tcW w:w="501" w:type="pct"/>
            <w:hideMark/>
          </w:tcPr>
          <w:p w14:paraId="5FACF7E9" w14:textId="77777777" w:rsidR="00B805A3" w:rsidRDefault="00B805A3" w:rsidP="00FA1666">
            <w:pPr>
              <w:pStyle w:val="TableBody"/>
              <w:rPr>
                <w:rFonts w:ascii="Calibri" w:hAnsi="Calibri"/>
              </w:rPr>
            </w:pPr>
            <w:r>
              <w:t>Supply Chain</w:t>
            </w:r>
          </w:p>
        </w:tc>
        <w:tc>
          <w:tcPr>
            <w:tcW w:w="2199" w:type="pct"/>
            <w:shd w:val="clear" w:color="auto" w:fill="auto"/>
            <w:hideMark/>
          </w:tcPr>
          <w:p w14:paraId="09AF8F72" w14:textId="77777777" w:rsidR="00B805A3" w:rsidRDefault="00B805A3" w:rsidP="00FA1666">
            <w:pPr>
              <w:pStyle w:val="TableBody"/>
            </w:pPr>
            <w:r>
              <w:t xml:space="preserve">A streamlined water supply chain and surety of water supply is imperative for the continued operation of critical water assets and other critical infrastructure assets. A suitable supply of water is essential to enable appropriate sanitation and hygiene practices. </w:t>
            </w:r>
          </w:p>
          <w:p w14:paraId="2F1ECE2C" w14:textId="77777777" w:rsidR="00B805A3" w:rsidRDefault="00B805A3" w:rsidP="00FA1666">
            <w:pPr>
              <w:pStyle w:val="TableBody"/>
              <w:rPr>
                <w:color w:val="FF9933"/>
              </w:rPr>
            </w:pPr>
            <w:r>
              <w:t>Where supply chains are undermined, as a result of disruptions to water treatment of distribution, essential services may be forced to cease operation. The price of water may be increased, placing a considerable burden on households and businesses. Further, where labour bases are interrupted, this can have a flow on affect to other services dependent on water – for example, food supply.</w:t>
            </w:r>
            <w:r>
              <w:rPr>
                <w:rStyle w:val="FootnoteReference"/>
                <w:rFonts w:ascii="Arial" w:eastAsia="Calibri" w:hAnsi="Arial"/>
              </w:rPr>
              <w:footnoteReference w:id="133"/>
            </w:r>
          </w:p>
        </w:tc>
        <w:tc>
          <w:tcPr>
            <w:tcW w:w="2300" w:type="pct"/>
            <w:shd w:val="clear" w:color="auto" w:fill="auto"/>
            <w:hideMark/>
          </w:tcPr>
          <w:p w14:paraId="4BD84BF2" w14:textId="77777777" w:rsidR="00B805A3" w:rsidRDefault="00B805A3" w:rsidP="00FA1666">
            <w:pPr>
              <w:pStyle w:val="TableBody"/>
              <w:rPr>
                <w:color w:val="FF9933"/>
              </w:rPr>
            </w:pPr>
            <w:r>
              <w:t>The COVID-19 pandemic has reiterated the interconnections and interdependencies between water and essential services, across health, food, transport, environment and the economy.  During the pandemic, many water utility providers were strained as a result of challenges to business continuity and risks arising across water supply and treatment chains and personnel availability (due to quarantine requirements). In a developing country context, these pressures were compounded by existing resource inadequacies, construction of eater treatment plants and inability to maintain existing water infrastructure.</w:t>
            </w:r>
            <w:r>
              <w:rPr>
                <w:rStyle w:val="FootnoteReference"/>
                <w:rFonts w:ascii="Arial" w:eastAsia="Calibri" w:hAnsi="Arial"/>
              </w:rPr>
              <w:footnoteReference w:id="134"/>
            </w:r>
          </w:p>
        </w:tc>
      </w:tr>
    </w:tbl>
    <w:p w14:paraId="15D1B5E0" w14:textId="2AC74100" w:rsidR="000C3D44" w:rsidRDefault="000C3D44" w:rsidP="008E1A28">
      <w:pPr>
        <w:pStyle w:val="AppendixH2"/>
      </w:pPr>
      <w:r w:rsidRPr="000F6098">
        <w:lastRenderedPageBreak/>
        <w:t xml:space="preserve">Existing legislation related to </w:t>
      </w:r>
      <w:r w:rsidR="00B14333">
        <w:t>critical water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55"/>
        <w:gridCol w:w="1604"/>
        <w:gridCol w:w="3878"/>
        <w:gridCol w:w="3501"/>
      </w:tblGrid>
      <w:tr w:rsidR="00045391" w14:paraId="22A82E3D" w14:textId="77777777" w:rsidTr="00C24AB4">
        <w:trPr>
          <w:tblHeader/>
        </w:trPr>
        <w:tc>
          <w:tcPr>
            <w:tcW w:w="3183" w:type="pct"/>
            <w:gridSpan w:val="3"/>
            <w:shd w:val="clear" w:color="auto" w:fill="034EA2" w:themeFill="accent1"/>
            <w:hideMark/>
          </w:tcPr>
          <w:p w14:paraId="293B1C55" w14:textId="77777777" w:rsidR="00045391" w:rsidRPr="009807CA" w:rsidRDefault="00045391" w:rsidP="00D26103">
            <w:pPr>
              <w:pStyle w:val="TableHeading"/>
            </w:pPr>
            <w:r w:rsidRPr="009807CA">
              <w:t>Overview of regulation</w:t>
            </w:r>
          </w:p>
        </w:tc>
        <w:tc>
          <w:tcPr>
            <w:tcW w:w="1817" w:type="pct"/>
            <w:shd w:val="clear" w:color="auto" w:fill="034EA2" w:themeFill="accent1"/>
            <w:hideMark/>
          </w:tcPr>
          <w:p w14:paraId="5BBAA711" w14:textId="77777777" w:rsidR="00045391" w:rsidRPr="009807CA" w:rsidRDefault="00045391" w:rsidP="00D26103">
            <w:pPr>
              <w:pStyle w:val="TableHeading"/>
            </w:pPr>
            <w:r w:rsidRPr="009807CA">
              <w:t>Identified gaps</w:t>
            </w:r>
          </w:p>
        </w:tc>
      </w:tr>
      <w:tr w:rsidR="00045391" w14:paraId="604BB6A9" w14:textId="77777777" w:rsidTr="7EBB1CEE">
        <w:trPr>
          <w:trHeight w:val="1134"/>
        </w:trPr>
        <w:tc>
          <w:tcPr>
            <w:tcW w:w="340" w:type="pct"/>
            <w:vMerge w:val="restart"/>
            <w:shd w:val="clear" w:color="auto" w:fill="F2F2F2" w:themeFill="background2" w:themeFillShade="F2"/>
            <w:textDirection w:val="btLr"/>
            <w:hideMark/>
          </w:tcPr>
          <w:p w14:paraId="2902A5B1" w14:textId="77777777" w:rsidR="00045391" w:rsidRPr="00CC16EA" w:rsidRDefault="00045391" w:rsidP="00CC16EA">
            <w:pPr>
              <w:pStyle w:val="TableBody"/>
              <w:jc w:val="center"/>
              <w:rPr>
                <w:b/>
                <w:bCs/>
              </w:rPr>
            </w:pPr>
            <w:r w:rsidRPr="00CC16EA">
              <w:rPr>
                <w:b/>
                <w:bCs/>
              </w:rPr>
              <w:t>Commonwealth</w:t>
            </w:r>
          </w:p>
        </w:tc>
        <w:tc>
          <w:tcPr>
            <w:tcW w:w="832" w:type="pct"/>
            <w:shd w:val="clear" w:color="auto" w:fill="auto"/>
            <w:hideMark/>
          </w:tcPr>
          <w:p w14:paraId="659B2E5F" w14:textId="77777777" w:rsidR="00045391" w:rsidRPr="00CC16EA" w:rsidRDefault="00045391" w:rsidP="00CC16EA">
            <w:pPr>
              <w:pStyle w:val="TableBody"/>
              <w:rPr>
                <w:i/>
                <w:iCs/>
              </w:rPr>
            </w:pPr>
            <w:r w:rsidRPr="00CC16EA">
              <w:rPr>
                <w:i/>
                <w:iCs/>
              </w:rPr>
              <w:t xml:space="preserve">Criminal Code Act 1995 </w:t>
            </w:r>
          </w:p>
        </w:tc>
        <w:tc>
          <w:tcPr>
            <w:tcW w:w="2012" w:type="pct"/>
            <w:shd w:val="clear" w:color="auto" w:fill="auto"/>
            <w:hideMark/>
          </w:tcPr>
          <w:p w14:paraId="0D4EDFC3" w14:textId="77777777" w:rsidR="00045391" w:rsidRDefault="00045391" w:rsidP="00CC16EA">
            <w:pPr>
              <w:pStyle w:val="TableBody"/>
            </w:pPr>
            <w:r>
              <w:t>Includes offences relating to:</w:t>
            </w:r>
          </w:p>
          <w:p w14:paraId="25EAE8E0" w14:textId="77777777" w:rsidR="00045391" w:rsidRDefault="00045391" w:rsidP="00CC16EA">
            <w:pPr>
              <w:pStyle w:val="TableBullet"/>
            </w:pPr>
            <w:r>
              <w:t>computer intrusions;</w:t>
            </w:r>
          </w:p>
          <w:p w14:paraId="3FF49338" w14:textId="77777777" w:rsidR="00045391" w:rsidRDefault="00045391" w:rsidP="00CC16EA">
            <w:pPr>
              <w:pStyle w:val="TableBullet"/>
            </w:pPr>
            <w:r>
              <w:t xml:space="preserve">unauthorised modification and destruction of data; </w:t>
            </w:r>
          </w:p>
          <w:p w14:paraId="24C0ADE0" w14:textId="77777777" w:rsidR="00045391" w:rsidRDefault="00045391" w:rsidP="00CC16EA">
            <w:pPr>
              <w:pStyle w:val="TableBullet"/>
            </w:pPr>
            <w:r>
              <w:t>attacks on electronic communications; and</w:t>
            </w:r>
          </w:p>
          <w:p w14:paraId="0EDB3EBF" w14:textId="77777777" w:rsidR="00045391" w:rsidRDefault="00045391" w:rsidP="00CC16EA">
            <w:pPr>
              <w:pStyle w:val="TableBullet"/>
            </w:pPr>
            <w:r>
              <w:t>creation and distribution of malicious software.</w:t>
            </w:r>
          </w:p>
          <w:p w14:paraId="0C02ED19" w14:textId="77777777" w:rsidR="00045391" w:rsidRDefault="00045391" w:rsidP="00CC16EA">
            <w:pPr>
              <w:pStyle w:val="TableBody"/>
            </w:pPr>
            <w:r>
              <w:t xml:space="preserve">Dishonesty in obtaining or dealing in personal financial information. </w:t>
            </w:r>
          </w:p>
          <w:p w14:paraId="674E8509" w14:textId="77777777" w:rsidR="00045391" w:rsidRDefault="00045391" w:rsidP="00CC16EA">
            <w:pPr>
              <w:pStyle w:val="TableBody"/>
            </w:pPr>
            <w:r>
              <w:t xml:space="preserve">In 2018, the </w:t>
            </w:r>
            <w:r>
              <w:rPr>
                <w:i/>
              </w:rPr>
              <w:t>National Security Legislation Amendment (Espionage and Foreign Interference) Act</w:t>
            </w:r>
            <w:r>
              <w:t xml:space="preserve"> amended the Criminal Code to broaden the range of espionage offences, including offences related to the sabotage of critical infrastructure and the theft of intellectual property.</w:t>
            </w:r>
          </w:p>
        </w:tc>
        <w:tc>
          <w:tcPr>
            <w:tcW w:w="1817" w:type="pct"/>
            <w:shd w:val="clear" w:color="auto" w:fill="auto"/>
            <w:hideMark/>
          </w:tcPr>
          <w:p w14:paraId="4A52A9DF" w14:textId="77777777" w:rsidR="00045391" w:rsidRDefault="00045391" w:rsidP="00CC16EA">
            <w:pPr>
              <w:pStyle w:val="TableBody"/>
              <w:rPr>
                <w:rFonts w:eastAsia="Calibri"/>
              </w:rPr>
            </w:pPr>
            <w:r>
              <w:t>This legislation applies penalties to individuals or groups who may seek to infiltrate critical infrastructure assets, rather than the operators of the assets. As such it does not enable a holistic uplift in the security of critical infrastructure in Australia.</w:t>
            </w:r>
          </w:p>
        </w:tc>
      </w:tr>
      <w:tr w:rsidR="00045391" w14:paraId="3CA1DCB3" w14:textId="77777777" w:rsidTr="7EBB1CEE">
        <w:trPr>
          <w:trHeight w:val="1134"/>
        </w:trPr>
        <w:tc>
          <w:tcPr>
            <w:tcW w:w="340" w:type="pct"/>
            <w:vMerge/>
            <w:hideMark/>
          </w:tcPr>
          <w:p w14:paraId="53AB6BC0" w14:textId="77777777" w:rsidR="00045391" w:rsidRPr="00CC16EA" w:rsidRDefault="00045391" w:rsidP="00CC16EA">
            <w:pPr>
              <w:pStyle w:val="TableBody"/>
              <w:jc w:val="center"/>
              <w:rPr>
                <w:b/>
                <w:bCs/>
              </w:rPr>
            </w:pPr>
          </w:p>
        </w:tc>
        <w:tc>
          <w:tcPr>
            <w:tcW w:w="832" w:type="pct"/>
            <w:shd w:val="clear" w:color="auto" w:fill="auto"/>
            <w:hideMark/>
          </w:tcPr>
          <w:p w14:paraId="72519657" w14:textId="77777777" w:rsidR="00045391" w:rsidRPr="00CC16EA" w:rsidRDefault="00045391" w:rsidP="00CC16EA">
            <w:pPr>
              <w:pStyle w:val="TableBody"/>
              <w:rPr>
                <w:i/>
                <w:iCs/>
              </w:rPr>
            </w:pPr>
            <w:r w:rsidRPr="00CC16EA">
              <w:rPr>
                <w:i/>
                <w:iCs/>
              </w:rPr>
              <w:t>Water Efficiency Labelling &amp; Standards Act</w:t>
            </w:r>
          </w:p>
        </w:tc>
        <w:tc>
          <w:tcPr>
            <w:tcW w:w="2012" w:type="pct"/>
            <w:shd w:val="clear" w:color="auto" w:fill="auto"/>
            <w:hideMark/>
          </w:tcPr>
          <w:p w14:paraId="3F016F88" w14:textId="77777777" w:rsidR="00045391" w:rsidRDefault="00045391" w:rsidP="00CC16EA">
            <w:pPr>
              <w:pStyle w:val="TableBody"/>
            </w:pPr>
            <w:r>
              <w:t>Aims to conserve water supplies through reducing water consumption, providing water use and water saving insights to consumers and promoting the adoption of efficient water conservation technologies.</w:t>
            </w:r>
          </w:p>
        </w:tc>
        <w:tc>
          <w:tcPr>
            <w:tcW w:w="1817" w:type="pct"/>
            <w:shd w:val="clear" w:color="auto" w:fill="auto"/>
            <w:hideMark/>
          </w:tcPr>
          <w:p w14:paraId="35208BD9" w14:textId="374D1C0A" w:rsidR="00045391" w:rsidRDefault="00045391" w:rsidP="00CC16EA">
            <w:pPr>
              <w:pStyle w:val="TableBody"/>
            </w:pPr>
            <w:r>
              <w:t>This Act is primarily focussed on securing water supply. It does not address the safety and security threats which may undermine supply and therefor</w:t>
            </w:r>
            <w:r w:rsidR="00B7313C">
              <w:t>e</w:t>
            </w:r>
            <w:r>
              <w:t xml:space="preserve">, does not encourage a holistic uplift in the security and resilience of critical water assets. </w:t>
            </w:r>
          </w:p>
        </w:tc>
      </w:tr>
      <w:tr w:rsidR="00045391" w14:paraId="07B71776" w14:textId="77777777" w:rsidTr="7EBB1CEE">
        <w:trPr>
          <w:trHeight w:val="1134"/>
        </w:trPr>
        <w:tc>
          <w:tcPr>
            <w:tcW w:w="340" w:type="pct"/>
            <w:vMerge w:val="restart"/>
            <w:shd w:val="clear" w:color="auto" w:fill="F2F2F2" w:themeFill="background2" w:themeFillShade="F2"/>
            <w:textDirection w:val="btLr"/>
            <w:hideMark/>
          </w:tcPr>
          <w:p w14:paraId="289C82D7" w14:textId="345E8447" w:rsidR="00045391" w:rsidRPr="00CC16EA" w:rsidRDefault="00045391" w:rsidP="00CC16EA">
            <w:pPr>
              <w:pStyle w:val="TableBody"/>
              <w:jc w:val="center"/>
              <w:rPr>
                <w:b/>
                <w:bCs/>
              </w:rPr>
            </w:pPr>
            <w:r w:rsidRPr="00CC16EA">
              <w:rPr>
                <w:b/>
                <w:bCs/>
              </w:rPr>
              <w:t>New South Wales</w:t>
            </w:r>
          </w:p>
        </w:tc>
        <w:tc>
          <w:tcPr>
            <w:tcW w:w="832" w:type="pct"/>
            <w:shd w:val="clear" w:color="auto" w:fill="auto"/>
            <w:hideMark/>
          </w:tcPr>
          <w:p w14:paraId="17543458" w14:textId="77777777" w:rsidR="00045391" w:rsidRPr="00CC16EA" w:rsidRDefault="00045391" w:rsidP="00CC16EA">
            <w:pPr>
              <w:pStyle w:val="TableBody"/>
              <w:rPr>
                <w:i/>
                <w:iCs/>
              </w:rPr>
            </w:pPr>
            <w:r w:rsidRPr="00CC16EA">
              <w:rPr>
                <w:i/>
                <w:iCs/>
              </w:rPr>
              <w:t>Water Act 1912</w:t>
            </w:r>
          </w:p>
        </w:tc>
        <w:tc>
          <w:tcPr>
            <w:tcW w:w="2012" w:type="pct"/>
            <w:shd w:val="clear" w:color="auto" w:fill="auto"/>
            <w:hideMark/>
          </w:tcPr>
          <w:p w14:paraId="1468DD54" w14:textId="77777777" w:rsidR="00045391" w:rsidRDefault="00045391" w:rsidP="00CC16EA">
            <w:pPr>
              <w:pStyle w:val="TableBody"/>
            </w:pPr>
            <w:r>
              <w:t>Sets out the obligations for water users in New South Wales, including licensing, permit requirements and joint water supply schemes. It provides for the state to create allocation schemes for water, and has some sections relating to environmental protection.</w:t>
            </w:r>
          </w:p>
        </w:tc>
        <w:tc>
          <w:tcPr>
            <w:tcW w:w="1817" w:type="pct"/>
            <w:shd w:val="clear" w:color="auto" w:fill="auto"/>
            <w:hideMark/>
          </w:tcPr>
          <w:p w14:paraId="15FF8C53" w14:textId="77777777" w:rsidR="00045391" w:rsidRDefault="00045391" w:rsidP="00CC16EA">
            <w:pPr>
              <w:pStyle w:val="TableBody"/>
            </w:pPr>
            <w:r>
              <w:t>This Act is primarily focussed on the sustainable provision of water and the commercial behaviours of responsible entities. It does not address the safety and security threats which may undermine supply and therefor, does not encourage a holistic uplift in the security and resilience of critical water assets.</w:t>
            </w:r>
          </w:p>
        </w:tc>
      </w:tr>
      <w:tr w:rsidR="00045391" w14:paraId="74F5F54D" w14:textId="77777777" w:rsidTr="7EBB1CEE">
        <w:trPr>
          <w:trHeight w:val="1134"/>
        </w:trPr>
        <w:tc>
          <w:tcPr>
            <w:tcW w:w="340" w:type="pct"/>
            <w:vMerge/>
            <w:hideMark/>
          </w:tcPr>
          <w:p w14:paraId="160BAC0A" w14:textId="77777777" w:rsidR="00045391" w:rsidRPr="00CC16EA" w:rsidRDefault="00045391" w:rsidP="00CC16EA">
            <w:pPr>
              <w:pStyle w:val="TableBody"/>
              <w:jc w:val="center"/>
              <w:rPr>
                <w:b/>
                <w:bCs/>
              </w:rPr>
            </w:pPr>
          </w:p>
        </w:tc>
        <w:tc>
          <w:tcPr>
            <w:tcW w:w="832" w:type="pct"/>
            <w:shd w:val="clear" w:color="auto" w:fill="auto"/>
            <w:hideMark/>
          </w:tcPr>
          <w:p w14:paraId="58D3A884" w14:textId="77777777" w:rsidR="00045391" w:rsidRPr="00CC16EA" w:rsidRDefault="00045391" w:rsidP="00CC16EA">
            <w:pPr>
              <w:pStyle w:val="TableBody"/>
              <w:rPr>
                <w:i/>
                <w:iCs/>
              </w:rPr>
            </w:pPr>
            <w:r w:rsidRPr="00CC16EA">
              <w:rPr>
                <w:i/>
                <w:iCs/>
              </w:rPr>
              <w:t>Water Management Act 2000</w:t>
            </w:r>
          </w:p>
        </w:tc>
        <w:tc>
          <w:tcPr>
            <w:tcW w:w="2012" w:type="pct"/>
            <w:shd w:val="clear" w:color="auto" w:fill="auto"/>
            <w:hideMark/>
          </w:tcPr>
          <w:p w14:paraId="4AF4A239" w14:textId="77777777" w:rsidR="00045391" w:rsidRDefault="00045391" w:rsidP="00CC16EA">
            <w:pPr>
              <w:pStyle w:val="TableBody"/>
            </w:pPr>
            <w:r>
              <w:t>This Act requires corporations to have measures in place to ensure the reliable supply of water and to have a water management plan. It includes some details on flood management for the Hunter Valley, partially addressing the Natural Hazard Vector.</w:t>
            </w:r>
          </w:p>
        </w:tc>
        <w:tc>
          <w:tcPr>
            <w:tcW w:w="1817" w:type="pct"/>
            <w:shd w:val="clear" w:color="auto" w:fill="auto"/>
            <w:hideMark/>
          </w:tcPr>
          <w:p w14:paraId="26004F7B" w14:textId="77777777" w:rsidR="00045391" w:rsidRDefault="00045391" w:rsidP="00CC16EA">
            <w:pPr>
              <w:pStyle w:val="TableBody"/>
            </w:pPr>
            <w:r>
              <w:t xml:space="preserve">While this Act refers to the protection of water resources, it does not discuss the security requirements defined in the </w:t>
            </w:r>
            <w:r>
              <w:rPr>
                <w:i/>
              </w:rPr>
              <w:t>Australian Security Intelligence Organisation Act 1979</w:t>
            </w:r>
            <w:r>
              <w:t>. It does not encourage a holistic uplift in the security and resilience of critical water assets.</w:t>
            </w:r>
          </w:p>
        </w:tc>
      </w:tr>
      <w:tr w:rsidR="00045391" w14:paraId="4F04D707" w14:textId="77777777" w:rsidTr="7EBB1CEE">
        <w:trPr>
          <w:trHeight w:val="1134"/>
        </w:trPr>
        <w:tc>
          <w:tcPr>
            <w:tcW w:w="340" w:type="pct"/>
            <w:vMerge w:val="restart"/>
            <w:shd w:val="clear" w:color="auto" w:fill="F2F2F2" w:themeFill="background2" w:themeFillShade="F2"/>
            <w:textDirection w:val="btLr"/>
            <w:hideMark/>
          </w:tcPr>
          <w:p w14:paraId="1AD08017" w14:textId="77777777" w:rsidR="00045391" w:rsidRPr="00CC16EA" w:rsidRDefault="00045391" w:rsidP="00CC16EA">
            <w:pPr>
              <w:pStyle w:val="TableBody"/>
              <w:jc w:val="center"/>
              <w:rPr>
                <w:b/>
                <w:bCs/>
              </w:rPr>
            </w:pPr>
            <w:r w:rsidRPr="00CC16EA">
              <w:rPr>
                <w:b/>
                <w:bCs/>
              </w:rPr>
              <w:t>Victoria</w:t>
            </w:r>
          </w:p>
        </w:tc>
        <w:tc>
          <w:tcPr>
            <w:tcW w:w="832" w:type="pct"/>
            <w:shd w:val="clear" w:color="auto" w:fill="auto"/>
            <w:hideMark/>
          </w:tcPr>
          <w:p w14:paraId="4BCEA23C" w14:textId="77777777" w:rsidR="00045391" w:rsidRPr="00CC16EA" w:rsidRDefault="00045391" w:rsidP="00CC16EA">
            <w:pPr>
              <w:pStyle w:val="TableBody"/>
              <w:rPr>
                <w:i/>
                <w:iCs/>
              </w:rPr>
            </w:pPr>
            <w:r w:rsidRPr="00CC16EA">
              <w:rPr>
                <w:i/>
                <w:iCs/>
              </w:rPr>
              <w:t>Water Act 1989</w:t>
            </w:r>
          </w:p>
        </w:tc>
        <w:tc>
          <w:tcPr>
            <w:tcW w:w="2012" w:type="pct"/>
            <w:shd w:val="clear" w:color="auto" w:fill="auto"/>
            <w:hideMark/>
          </w:tcPr>
          <w:p w14:paraId="5132B442" w14:textId="77777777" w:rsidR="00045391" w:rsidRDefault="00045391" w:rsidP="00CC16EA">
            <w:pPr>
              <w:pStyle w:val="TableBody"/>
            </w:pPr>
            <w:r>
              <w:t>Sets out the requirements for sustainable water strategies, environmental water, water shares the allocation of water, water use licences, works, and permits. It also regulates water corporations, districts and land management areas, water supply and other matters related to water.</w:t>
            </w:r>
          </w:p>
        </w:tc>
        <w:tc>
          <w:tcPr>
            <w:tcW w:w="1817" w:type="pct"/>
            <w:shd w:val="clear" w:color="auto" w:fill="auto"/>
            <w:hideMark/>
          </w:tcPr>
          <w:p w14:paraId="213A275D" w14:textId="77777777" w:rsidR="00045391" w:rsidRDefault="00045391" w:rsidP="00CC16EA">
            <w:pPr>
              <w:pStyle w:val="TableBody"/>
            </w:pPr>
            <w:r>
              <w:t>This Act is primarily focussed on water sustainability measures, rather than entities’ risk practices. It does not address the safety and security threats which may undermine supply and therefor, does not encourage a holistic uplift in the security and resilience of critical water assets.</w:t>
            </w:r>
          </w:p>
        </w:tc>
      </w:tr>
      <w:tr w:rsidR="00045391" w14:paraId="578EB116" w14:textId="77777777" w:rsidTr="7EBB1CEE">
        <w:trPr>
          <w:trHeight w:val="1134"/>
        </w:trPr>
        <w:tc>
          <w:tcPr>
            <w:tcW w:w="340" w:type="pct"/>
            <w:vMerge/>
            <w:hideMark/>
          </w:tcPr>
          <w:p w14:paraId="07BA02E2" w14:textId="77777777" w:rsidR="00045391" w:rsidRPr="00CC16EA" w:rsidRDefault="00045391" w:rsidP="00CC16EA">
            <w:pPr>
              <w:pStyle w:val="TableBody"/>
              <w:jc w:val="center"/>
              <w:rPr>
                <w:b/>
                <w:bCs/>
              </w:rPr>
            </w:pPr>
          </w:p>
        </w:tc>
        <w:tc>
          <w:tcPr>
            <w:tcW w:w="832" w:type="pct"/>
            <w:shd w:val="clear" w:color="auto" w:fill="auto"/>
            <w:hideMark/>
          </w:tcPr>
          <w:p w14:paraId="060D5BB1" w14:textId="77777777" w:rsidR="00045391" w:rsidRPr="00CC16EA" w:rsidRDefault="00045391" w:rsidP="00CC16EA">
            <w:pPr>
              <w:pStyle w:val="TableBody"/>
              <w:rPr>
                <w:i/>
                <w:iCs/>
              </w:rPr>
            </w:pPr>
            <w:r w:rsidRPr="00CC16EA">
              <w:rPr>
                <w:i/>
                <w:iCs/>
              </w:rPr>
              <w:t>Safe Drinking Water 2003</w:t>
            </w:r>
          </w:p>
        </w:tc>
        <w:tc>
          <w:tcPr>
            <w:tcW w:w="2012" w:type="pct"/>
            <w:shd w:val="clear" w:color="auto" w:fill="auto"/>
            <w:hideMark/>
          </w:tcPr>
          <w:p w14:paraId="498342A2" w14:textId="77777777" w:rsidR="00045391" w:rsidRDefault="00045391" w:rsidP="00CC16EA">
            <w:pPr>
              <w:pStyle w:val="TableBody"/>
            </w:pPr>
            <w:r>
              <w:t>Requires water suppliers to implement a risk management plan for water supplied for public consumption. This program must address any risks which may affect the quality of the water. It also stipulates drinking water quality standards and requires reporting on contaminated of water supply.</w:t>
            </w:r>
          </w:p>
        </w:tc>
        <w:tc>
          <w:tcPr>
            <w:tcW w:w="1817" w:type="pct"/>
            <w:shd w:val="clear" w:color="auto" w:fill="auto"/>
            <w:hideMark/>
          </w:tcPr>
          <w:p w14:paraId="4BA01692" w14:textId="77777777" w:rsidR="00045391" w:rsidRDefault="00045391" w:rsidP="00CC16EA">
            <w:pPr>
              <w:pStyle w:val="TableBody"/>
            </w:pPr>
            <w:r>
              <w:t xml:space="preserve">While this Act mandates the implementation of a RMP, such a program need not consider cyber, physical, supply chain, personnel or natural hazard risks. As such, it does not encourage a holistic uplift in the security and resilience of critical water assets. </w:t>
            </w:r>
          </w:p>
        </w:tc>
      </w:tr>
      <w:tr w:rsidR="00045391" w14:paraId="1CA52B0A" w14:textId="77777777" w:rsidTr="7EBB1CEE">
        <w:trPr>
          <w:trHeight w:val="1134"/>
        </w:trPr>
        <w:tc>
          <w:tcPr>
            <w:tcW w:w="340" w:type="pct"/>
            <w:vMerge w:val="restart"/>
            <w:shd w:val="clear" w:color="auto" w:fill="F2F2F2" w:themeFill="background2" w:themeFillShade="F2"/>
            <w:textDirection w:val="btLr"/>
            <w:hideMark/>
          </w:tcPr>
          <w:p w14:paraId="182C6EDD" w14:textId="77777777" w:rsidR="00045391" w:rsidRPr="00CC16EA" w:rsidRDefault="00045391" w:rsidP="00CC16EA">
            <w:pPr>
              <w:pStyle w:val="TableBody"/>
              <w:jc w:val="center"/>
              <w:rPr>
                <w:b/>
                <w:bCs/>
              </w:rPr>
            </w:pPr>
            <w:r w:rsidRPr="00CC16EA">
              <w:rPr>
                <w:b/>
                <w:bCs/>
              </w:rPr>
              <w:t>Queensland</w:t>
            </w:r>
          </w:p>
        </w:tc>
        <w:tc>
          <w:tcPr>
            <w:tcW w:w="832" w:type="pct"/>
            <w:shd w:val="clear" w:color="auto" w:fill="auto"/>
            <w:hideMark/>
          </w:tcPr>
          <w:p w14:paraId="7BA5CDE7" w14:textId="77777777" w:rsidR="00045391" w:rsidRPr="00CC16EA" w:rsidRDefault="00045391" w:rsidP="00CC16EA">
            <w:pPr>
              <w:pStyle w:val="TableBody"/>
              <w:rPr>
                <w:i/>
                <w:iCs/>
              </w:rPr>
            </w:pPr>
            <w:r w:rsidRPr="00CC16EA">
              <w:rPr>
                <w:i/>
                <w:iCs/>
              </w:rPr>
              <w:t>Water Act 2000</w:t>
            </w:r>
          </w:p>
        </w:tc>
        <w:tc>
          <w:tcPr>
            <w:tcW w:w="2012" w:type="pct"/>
            <w:shd w:val="clear" w:color="auto" w:fill="auto"/>
            <w:hideMark/>
          </w:tcPr>
          <w:p w14:paraId="22D90AE9" w14:textId="77777777" w:rsidR="00045391" w:rsidRDefault="00045391" w:rsidP="00CC16EA">
            <w:pPr>
              <w:pStyle w:val="TableBody"/>
            </w:pPr>
            <w:r>
              <w:t>Outlined requirements for the supply of water during emergencies and the management and allocation of water across Queensland.</w:t>
            </w:r>
          </w:p>
        </w:tc>
        <w:tc>
          <w:tcPr>
            <w:tcW w:w="1817" w:type="pct"/>
            <w:vMerge w:val="restart"/>
            <w:shd w:val="clear" w:color="auto" w:fill="auto"/>
            <w:hideMark/>
          </w:tcPr>
          <w:p w14:paraId="7B844703" w14:textId="77777777" w:rsidR="00045391" w:rsidRDefault="00045391" w:rsidP="00CC16EA">
            <w:pPr>
              <w:pStyle w:val="TableBody"/>
            </w:pPr>
            <w:r>
              <w:t>While these Acts offer some discussion on the processes surrounding water supply, they do not offer detailed requirements for risk management across all identified risk vectors. As such, they do not encourage a holistic uplift in the security and resilience of critical water assets.</w:t>
            </w:r>
          </w:p>
        </w:tc>
      </w:tr>
      <w:tr w:rsidR="00045391" w14:paraId="7CA83838" w14:textId="77777777" w:rsidTr="7EBB1CEE">
        <w:trPr>
          <w:trHeight w:val="1134"/>
        </w:trPr>
        <w:tc>
          <w:tcPr>
            <w:tcW w:w="340" w:type="pct"/>
            <w:vMerge/>
            <w:hideMark/>
          </w:tcPr>
          <w:p w14:paraId="0770D64F" w14:textId="77777777" w:rsidR="00045391" w:rsidRPr="00CC16EA" w:rsidRDefault="00045391" w:rsidP="00CC16EA">
            <w:pPr>
              <w:pStyle w:val="TableBody"/>
              <w:jc w:val="center"/>
              <w:rPr>
                <w:b/>
                <w:bCs/>
              </w:rPr>
            </w:pPr>
          </w:p>
        </w:tc>
        <w:tc>
          <w:tcPr>
            <w:tcW w:w="832" w:type="pct"/>
            <w:shd w:val="clear" w:color="auto" w:fill="auto"/>
            <w:hideMark/>
          </w:tcPr>
          <w:p w14:paraId="0EDA469B" w14:textId="77777777" w:rsidR="00045391" w:rsidRPr="00CC16EA" w:rsidRDefault="00045391" w:rsidP="00CC16EA">
            <w:pPr>
              <w:pStyle w:val="TableBody"/>
              <w:rPr>
                <w:i/>
                <w:iCs/>
              </w:rPr>
            </w:pPr>
            <w:r w:rsidRPr="00CC16EA">
              <w:rPr>
                <w:i/>
                <w:iCs/>
              </w:rPr>
              <w:t>Water Supply (Safety and Reliability) Act 2008</w:t>
            </w:r>
          </w:p>
        </w:tc>
        <w:tc>
          <w:tcPr>
            <w:tcW w:w="2012" w:type="pct"/>
            <w:shd w:val="clear" w:color="auto" w:fill="auto"/>
            <w:hideMark/>
          </w:tcPr>
          <w:p w14:paraId="66D35ABC" w14:textId="77777777" w:rsidR="00045391" w:rsidRDefault="00045391" w:rsidP="00CC16EA">
            <w:pPr>
              <w:pStyle w:val="TableBody"/>
            </w:pPr>
            <w:r>
              <w:t xml:space="preserve">Outlines the customer service, recycled water management, flood and drought mitigation standards for water service providers. </w:t>
            </w:r>
          </w:p>
        </w:tc>
        <w:tc>
          <w:tcPr>
            <w:tcW w:w="1817" w:type="pct"/>
            <w:vMerge/>
            <w:hideMark/>
          </w:tcPr>
          <w:p w14:paraId="554CC180" w14:textId="77777777" w:rsidR="00045391" w:rsidRDefault="00045391" w:rsidP="00CC16EA">
            <w:pPr>
              <w:pStyle w:val="TableBody"/>
            </w:pPr>
          </w:p>
        </w:tc>
      </w:tr>
      <w:tr w:rsidR="00045391" w14:paraId="03DCA71F" w14:textId="77777777" w:rsidTr="7EBB1CEE">
        <w:trPr>
          <w:trHeight w:val="1134"/>
        </w:trPr>
        <w:tc>
          <w:tcPr>
            <w:tcW w:w="340" w:type="pct"/>
            <w:vMerge w:val="restart"/>
            <w:shd w:val="clear" w:color="auto" w:fill="F2F2F2" w:themeFill="background2" w:themeFillShade="F2"/>
            <w:textDirection w:val="btLr"/>
            <w:hideMark/>
          </w:tcPr>
          <w:p w14:paraId="5C81ABB0" w14:textId="77777777" w:rsidR="00045391" w:rsidRPr="00CC16EA" w:rsidRDefault="00045391" w:rsidP="00CC16EA">
            <w:pPr>
              <w:pStyle w:val="TableBody"/>
              <w:jc w:val="center"/>
              <w:rPr>
                <w:b/>
                <w:bCs/>
              </w:rPr>
            </w:pPr>
            <w:r w:rsidRPr="00CC16EA">
              <w:rPr>
                <w:b/>
                <w:bCs/>
              </w:rPr>
              <w:t>South Australia</w:t>
            </w:r>
          </w:p>
        </w:tc>
        <w:tc>
          <w:tcPr>
            <w:tcW w:w="832" w:type="pct"/>
            <w:shd w:val="clear" w:color="auto" w:fill="auto"/>
            <w:hideMark/>
          </w:tcPr>
          <w:p w14:paraId="75A455C7" w14:textId="77777777" w:rsidR="00045391" w:rsidRPr="00CC16EA" w:rsidRDefault="00045391" w:rsidP="00CC16EA">
            <w:pPr>
              <w:pStyle w:val="TableBody"/>
              <w:rPr>
                <w:i/>
                <w:iCs/>
              </w:rPr>
            </w:pPr>
            <w:r w:rsidRPr="00CC16EA">
              <w:rPr>
                <w:i/>
                <w:iCs/>
              </w:rPr>
              <w:t>Water Industry Act 2012</w:t>
            </w:r>
          </w:p>
        </w:tc>
        <w:tc>
          <w:tcPr>
            <w:tcW w:w="2012" w:type="pct"/>
            <w:shd w:val="clear" w:color="auto" w:fill="auto"/>
            <w:hideMark/>
          </w:tcPr>
          <w:p w14:paraId="3C7BA123" w14:textId="77777777" w:rsidR="00045391" w:rsidRDefault="00045391" w:rsidP="00CC16EA">
            <w:pPr>
              <w:pStyle w:val="TableBody"/>
            </w:pPr>
            <w:r>
              <w:t xml:space="preserve">Establishes, for the state’s water sector, a licensing regime, pricing regulation, customer service standards, technical standards and performance monitoring processes. It empowers the Minister to impose additional requirements on responsible entities.  </w:t>
            </w:r>
          </w:p>
        </w:tc>
        <w:tc>
          <w:tcPr>
            <w:tcW w:w="1817" w:type="pct"/>
            <w:shd w:val="clear" w:color="auto" w:fill="auto"/>
            <w:hideMark/>
          </w:tcPr>
          <w:p w14:paraId="6DE1A0A4" w14:textId="77777777" w:rsidR="00045391" w:rsidRDefault="00045391" w:rsidP="00CC16EA">
            <w:pPr>
              <w:pStyle w:val="TableBody"/>
            </w:pPr>
            <w:r>
              <w:t>While this Act empowers the Minister to impose requirements on responsible entities in the listed categories, it does not address the security and resilience of critical water assets, across the identified risk vectors.</w:t>
            </w:r>
          </w:p>
        </w:tc>
      </w:tr>
      <w:tr w:rsidR="00045391" w14:paraId="4064C8B6" w14:textId="77777777" w:rsidTr="7EBB1CEE">
        <w:trPr>
          <w:trHeight w:val="1134"/>
        </w:trPr>
        <w:tc>
          <w:tcPr>
            <w:tcW w:w="340" w:type="pct"/>
            <w:vMerge/>
            <w:hideMark/>
          </w:tcPr>
          <w:p w14:paraId="43040756" w14:textId="77777777" w:rsidR="00045391" w:rsidRPr="00CC16EA" w:rsidRDefault="00045391" w:rsidP="00CC16EA">
            <w:pPr>
              <w:pStyle w:val="TableBody"/>
              <w:jc w:val="center"/>
              <w:rPr>
                <w:b/>
                <w:bCs/>
              </w:rPr>
            </w:pPr>
          </w:p>
        </w:tc>
        <w:tc>
          <w:tcPr>
            <w:tcW w:w="832" w:type="pct"/>
            <w:shd w:val="clear" w:color="auto" w:fill="auto"/>
            <w:hideMark/>
          </w:tcPr>
          <w:p w14:paraId="0C9A3521" w14:textId="77777777" w:rsidR="00045391" w:rsidRPr="00CC16EA" w:rsidRDefault="00045391" w:rsidP="00CC16EA">
            <w:pPr>
              <w:pStyle w:val="TableBody"/>
              <w:rPr>
                <w:i/>
                <w:iCs/>
              </w:rPr>
            </w:pPr>
            <w:r w:rsidRPr="00CC16EA">
              <w:rPr>
                <w:i/>
                <w:iCs/>
              </w:rPr>
              <w:t>Safe Drinking Water Act 2012</w:t>
            </w:r>
          </w:p>
        </w:tc>
        <w:tc>
          <w:tcPr>
            <w:tcW w:w="2012" w:type="pct"/>
            <w:shd w:val="clear" w:color="auto" w:fill="auto"/>
            <w:hideMark/>
          </w:tcPr>
          <w:p w14:paraId="12F4E006" w14:textId="77777777" w:rsidR="00045391" w:rsidRDefault="00045391" w:rsidP="00CC16EA">
            <w:pPr>
              <w:pStyle w:val="TableBody"/>
            </w:pPr>
            <w:r>
              <w:t xml:space="preserve">Requires risk management plans for the provision of safe drinking water, through identifying, assessing and managing the risks to water quality. The plans must also include monitoring, incident identification and notification protocol. </w:t>
            </w:r>
          </w:p>
        </w:tc>
        <w:tc>
          <w:tcPr>
            <w:tcW w:w="1817" w:type="pct"/>
            <w:shd w:val="clear" w:color="auto" w:fill="auto"/>
            <w:hideMark/>
          </w:tcPr>
          <w:p w14:paraId="57430006" w14:textId="77777777" w:rsidR="00045391" w:rsidRDefault="00045391" w:rsidP="00CC16EA">
            <w:pPr>
              <w:pStyle w:val="TableBody"/>
            </w:pPr>
            <w:r>
              <w:t>While this Act mandates the implementation of risk management plans, such plans need not consider cyber, physical, supply chain, personnel or natural hazard risks. As such, it does not encourage a holistic uplift in the security and resilience of critical water assets</w:t>
            </w:r>
          </w:p>
        </w:tc>
      </w:tr>
      <w:tr w:rsidR="00045391" w14:paraId="7CA820AB" w14:textId="77777777" w:rsidTr="7EBB1CEE">
        <w:trPr>
          <w:trHeight w:val="1134"/>
        </w:trPr>
        <w:tc>
          <w:tcPr>
            <w:tcW w:w="340" w:type="pct"/>
            <w:shd w:val="clear" w:color="auto" w:fill="F2F2F2" w:themeFill="background2" w:themeFillShade="F2"/>
            <w:textDirection w:val="btLr"/>
            <w:hideMark/>
          </w:tcPr>
          <w:p w14:paraId="7574C27C" w14:textId="77777777" w:rsidR="00045391" w:rsidRPr="00CC16EA" w:rsidRDefault="00045391" w:rsidP="00CC16EA">
            <w:pPr>
              <w:pStyle w:val="TableBody"/>
              <w:jc w:val="center"/>
              <w:rPr>
                <w:b/>
                <w:bCs/>
              </w:rPr>
            </w:pPr>
            <w:r w:rsidRPr="00CC16EA">
              <w:rPr>
                <w:b/>
                <w:bCs/>
              </w:rPr>
              <w:t>WA</w:t>
            </w:r>
          </w:p>
        </w:tc>
        <w:tc>
          <w:tcPr>
            <w:tcW w:w="832" w:type="pct"/>
            <w:shd w:val="clear" w:color="auto" w:fill="auto"/>
            <w:hideMark/>
          </w:tcPr>
          <w:p w14:paraId="1B55FD1E" w14:textId="77777777" w:rsidR="00045391" w:rsidRPr="00CC16EA" w:rsidRDefault="00045391" w:rsidP="00CC16EA">
            <w:pPr>
              <w:pStyle w:val="TableBody"/>
              <w:rPr>
                <w:i/>
                <w:iCs/>
              </w:rPr>
            </w:pPr>
            <w:r w:rsidRPr="00CC16EA">
              <w:rPr>
                <w:i/>
                <w:iCs/>
              </w:rPr>
              <w:t>Water Services Act 2012</w:t>
            </w:r>
          </w:p>
        </w:tc>
        <w:tc>
          <w:tcPr>
            <w:tcW w:w="2012" w:type="pct"/>
            <w:shd w:val="clear" w:color="auto" w:fill="auto"/>
            <w:hideMark/>
          </w:tcPr>
          <w:p w14:paraId="4CDC3B4B" w14:textId="77777777" w:rsidR="00045391" w:rsidRDefault="00045391" w:rsidP="00CC16EA">
            <w:pPr>
              <w:pStyle w:val="TableBody"/>
            </w:pPr>
            <w:r>
              <w:t xml:space="preserve">Sets out licencing arrangements for water services providers, compliance requirements and subsequent penalties for breaches of licensing arrangements. </w:t>
            </w:r>
          </w:p>
        </w:tc>
        <w:tc>
          <w:tcPr>
            <w:tcW w:w="1817" w:type="pct"/>
            <w:shd w:val="clear" w:color="auto" w:fill="auto"/>
            <w:hideMark/>
          </w:tcPr>
          <w:p w14:paraId="37DB8C74" w14:textId="77777777" w:rsidR="00045391" w:rsidRDefault="00045391" w:rsidP="00CC16EA">
            <w:pPr>
              <w:pStyle w:val="TableBody"/>
            </w:pPr>
            <w:r>
              <w:t>The compliance measures outlined by this Act are not capable of uplifting the security and resilience of critical water assets.</w:t>
            </w:r>
          </w:p>
        </w:tc>
      </w:tr>
      <w:tr w:rsidR="00045391" w14:paraId="131F6DEE" w14:textId="77777777" w:rsidTr="7EBB1CEE">
        <w:trPr>
          <w:trHeight w:val="1134"/>
        </w:trPr>
        <w:tc>
          <w:tcPr>
            <w:tcW w:w="340" w:type="pct"/>
            <w:vMerge w:val="restart"/>
            <w:shd w:val="clear" w:color="auto" w:fill="F2F2F2" w:themeFill="background2" w:themeFillShade="F2"/>
            <w:textDirection w:val="btLr"/>
            <w:hideMark/>
          </w:tcPr>
          <w:p w14:paraId="58FA3ADA" w14:textId="77777777" w:rsidR="00045391" w:rsidRPr="00CC16EA" w:rsidRDefault="00045391" w:rsidP="00CC16EA">
            <w:pPr>
              <w:pStyle w:val="TableBody"/>
              <w:jc w:val="center"/>
              <w:rPr>
                <w:b/>
                <w:bCs/>
              </w:rPr>
            </w:pPr>
            <w:r w:rsidRPr="00CC16EA">
              <w:rPr>
                <w:b/>
                <w:bCs/>
              </w:rPr>
              <w:t>Northern Territory</w:t>
            </w:r>
          </w:p>
        </w:tc>
        <w:tc>
          <w:tcPr>
            <w:tcW w:w="832" w:type="pct"/>
            <w:shd w:val="clear" w:color="auto" w:fill="auto"/>
            <w:hideMark/>
          </w:tcPr>
          <w:p w14:paraId="12B0AB6B" w14:textId="77777777" w:rsidR="00045391" w:rsidRPr="00CC16EA" w:rsidRDefault="00045391" w:rsidP="00CC16EA">
            <w:pPr>
              <w:pStyle w:val="TableBody"/>
              <w:rPr>
                <w:i/>
                <w:iCs/>
              </w:rPr>
            </w:pPr>
            <w:r w:rsidRPr="00CC16EA">
              <w:rPr>
                <w:i/>
                <w:iCs/>
              </w:rPr>
              <w:t>Water Supply and Sewerage Services Act 2009</w:t>
            </w:r>
          </w:p>
        </w:tc>
        <w:tc>
          <w:tcPr>
            <w:tcW w:w="2012" w:type="pct"/>
            <w:shd w:val="clear" w:color="auto" w:fill="auto"/>
            <w:hideMark/>
          </w:tcPr>
          <w:p w14:paraId="1EACE2C4" w14:textId="77777777" w:rsidR="00045391" w:rsidRDefault="00045391" w:rsidP="00CC16EA">
            <w:pPr>
              <w:pStyle w:val="TableBody"/>
            </w:pPr>
            <w:r>
              <w:t xml:space="preserve">Sets out requirements for entities responsible for the provision of water services, including criminalising interference with critical water infrastructure. </w:t>
            </w:r>
          </w:p>
        </w:tc>
        <w:tc>
          <w:tcPr>
            <w:tcW w:w="1817" w:type="pct"/>
            <w:shd w:val="clear" w:color="auto" w:fill="auto"/>
            <w:hideMark/>
          </w:tcPr>
          <w:p w14:paraId="69844A33" w14:textId="77777777" w:rsidR="00045391" w:rsidRDefault="00045391" w:rsidP="00CC16EA">
            <w:pPr>
              <w:pStyle w:val="TableBody"/>
            </w:pPr>
            <w:r>
              <w:t>While this Act seeks to impose penalties for interference with critical water assets, it does not impose requirements for risk management practices to prevent the occurrence of such incidents. As such, it does not address the security and resilience of critical water assets, across the identified risk vectors.</w:t>
            </w:r>
          </w:p>
        </w:tc>
      </w:tr>
      <w:tr w:rsidR="00045391" w14:paraId="2A5E8218" w14:textId="77777777" w:rsidTr="7EBB1CEE">
        <w:trPr>
          <w:trHeight w:val="1134"/>
        </w:trPr>
        <w:tc>
          <w:tcPr>
            <w:tcW w:w="340" w:type="pct"/>
            <w:vMerge/>
            <w:hideMark/>
          </w:tcPr>
          <w:p w14:paraId="37C9106A" w14:textId="77777777" w:rsidR="00045391" w:rsidRPr="00CC16EA" w:rsidRDefault="00045391" w:rsidP="00CC16EA">
            <w:pPr>
              <w:pStyle w:val="TableBody"/>
              <w:jc w:val="center"/>
              <w:rPr>
                <w:b/>
                <w:bCs/>
              </w:rPr>
            </w:pPr>
          </w:p>
        </w:tc>
        <w:tc>
          <w:tcPr>
            <w:tcW w:w="832" w:type="pct"/>
            <w:shd w:val="clear" w:color="auto" w:fill="auto"/>
            <w:hideMark/>
          </w:tcPr>
          <w:p w14:paraId="37877AE4" w14:textId="77777777" w:rsidR="00045391" w:rsidRPr="00CC16EA" w:rsidRDefault="00045391" w:rsidP="00CC16EA">
            <w:pPr>
              <w:pStyle w:val="TableBody"/>
              <w:rPr>
                <w:i/>
                <w:iCs/>
              </w:rPr>
            </w:pPr>
            <w:r w:rsidRPr="00CC16EA">
              <w:rPr>
                <w:i/>
                <w:iCs/>
              </w:rPr>
              <w:t>Waste Management and Pollution Control Act 1998</w:t>
            </w:r>
          </w:p>
        </w:tc>
        <w:tc>
          <w:tcPr>
            <w:tcW w:w="2012" w:type="pct"/>
            <w:shd w:val="clear" w:color="auto" w:fill="auto"/>
            <w:hideMark/>
          </w:tcPr>
          <w:p w14:paraId="63824223" w14:textId="77777777" w:rsidR="00045391" w:rsidRDefault="00045391" w:rsidP="00CC16EA">
            <w:pPr>
              <w:pStyle w:val="TableBody"/>
            </w:pPr>
            <w:r>
              <w:t>This piece of legislation imposes a burden to perform environmental duties, including notifying the Northern Territory Environmental Protection Agency of any incidents which cause or threaten to cause pollution.</w:t>
            </w:r>
          </w:p>
        </w:tc>
        <w:tc>
          <w:tcPr>
            <w:tcW w:w="1817" w:type="pct"/>
            <w:shd w:val="clear" w:color="auto" w:fill="auto"/>
            <w:hideMark/>
          </w:tcPr>
          <w:p w14:paraId="1730133B" w14:textId="77777777" w:rsidR="00045391" w:rsidRDefault="00045391" w:rsidP="00CC16EA">
            <w:pPr>
              <w:pStyle w:val="TableBody"/>
            </w:pPr>
            <w:r>
              <w:t>While the requirement to notify may encourage responsible entities to manage the physical security of their hazards in terms of the requirement to manage potential hazards to water quality, it does not require entities to follow a RMP which identifies and manages all hazard vectors.</w:t>
            </w:r>
          </w:p>
        </w:tc>
      </w:tr>
      <w:tr w:rsidR="00045391" w14:paraId="1E18F981" w14:textId="77777777" w:rsidTr="7EBB1CEE">
        <w:trPr>
          <w:trHeight w:val="1134"/>
        </w:trPr>
        <w:tc>
          <w:tcPr>
            <w:tcW w:w="340" w:type="pct"/>
            <w:vMerge w:val="restart"/>
            <w:shd w:val="clear" w:color="auto" w:fill="F2F2F2" w:themeFill="background2" w:themeFillShade="F2"/>
            <w:textDirection w:val="btLr"/>
            <w:hideMark/>
          </w:tcPr>
          <w:p w14:paraId="06B1AD63" w14:textId="77777777" w:rsidR="00045391" w:rsidRPr="00CC16EA" w:rsidRDefault="00045391" w:rsidP="00CC16EA">
            <w:pPr>
              <w:pStyle w:val="TableBody"/>
              <w:jc w:val="center"/>
              <w:rPr>
                <w:b/>
                <w:bCs/>
              </w:rPr>
            </w:pPr>
            <w:r w:rsidRPr="00CC16EA">
              <w:rPr>
                <w:b/>
                <w:bCs/>
              </w:rPr>
              <w:lastRenderedPageBreak/>
              <w:t>Tasmania</w:t>
            </w:r>
          </w:p>
        </w:tc>
        <w:tc>
          <w:tcPr>
            <w:tcW w:w="832" w:type="pct"/>
            <w:shd w:val="clear" w:color="auto" w:fill="auto"/>
            <w:hideMark/>
          </w:tcPr>
          <w:p w14:paraId="69555A32" w14:textId="77777777" w:rsidR="00045391" w:rsidRPr="00CC16EA" w:rsidRDefault="00045391" w:rsidP="00CC16EA">
            <w:pPr>
              <w:pStyle w:val="TableBody"/>
              <w:rPr>
                <w:i/>
                <w:iCs/>
              </w:rPr>
            </w:pPr>
            <w:r w:rsidRPr="00CC16EA">
              <w:rPr>
                <w:i/>
                <w:iCs/>
              </w:rPr>
              <w:t>Water and Sewerage Industry Act 2008</w:t>
            </w:r>
          </w:p>
        </w:tc>
        <w:tc>
          <w:tcPr>
            <w:tcW w:w="2012" w:type="pct"/>
            <w:shd w:val="clear" w:color="auto" w:fill="auto"/>
            <w:hideMark/>
          </w:tcPr>
          <w:p w14:paraId="0A7228F4" w14:textId="77777777" w:rsidR="00045391" w:rsidRDefault="00045391" w:rsidP="00CC16EA">
            <w:pPr>
              <w:pStyle w:val="TableBody"/>
            </w:pPr>
            <w:r>
              <w:t>Defines the regulator and outlines requirements for licencing, customer service, price regulation, performance monitoring and the powers and obligations of regulated entities.</w:t>
            </w:r>
          </w:p>
        </w:tc>
        <w:tc>
          <w:tcPr>
            <w:tcW w:w="1817" w:type="pct"/>
            <w:shd w:val="clear" w:color="auto" w:fill="auto"/>
            <w:hideMark/>
          </w:tcPr>
          <w:p w14:paraId="5899C49F" w14:textId="77777777" w:rsidR="00045391" w:rsidRDefault="00045391" w:rsidP="00CC16EA">
            <w:pPr>
              <w:pStyle w:val="TableBody"/>
            </w:pPr>
            <w:r>
              <w:t>While this Act empowers the defined regulator to impose requirements on responsible entities in the listed categories, it does not address the security and resilience of critical water assets, across the identified risk vectors.</w:t>
            </w:r>
          </w:p>
        </w:tc>
      </w:tr>
      <w:tr w:rsidR="00045391" w14:paraId="282B47BB" w14:textId="77777777" w:rsidTr="7EBB1CEE">
        <w:trPr>
          <w:trHeight w:val="1134"/>
        </w:trPr>
        <w:tc>
          <w:tcPr>
            <w:tcW w:w="340" w:type="pct"/>
            <w:vMerge/>
            <w:hideMark/>
          </w:tcPr>
          <w:p w14:paraId="3F28995D" w14:textId="77777777" w:rsidR="00045391" w:rsidRPr="00CC16EA" w:rsidRDefault="00045391" w:rsidP="00CC16EA">
            <w:pPr>
              <w:pStyle w:val="TableBody"/>
              <w:jc w:val="center"/>
              <w:rPr>
                <w:b/>
                <w:bCs/>
              </w:rPr>
            </w:pPr>
          </w:p>
        </w:tc>
        <w:tc>
          <w:tcPr>
            <w:tcW w:w="832" w:type="pct"/>
            <w:shd w:val="clear" w:color="auto" w:fill="auto"/>
            <w:hideMark/>
          </w:tcPr>
          <w:p w14:paraId="139053EA" w14:textId="77777777" w:rsidR="00045391" w:rsidRPr="00CC16EA" w:rsidRDefault="00045391" w:rsidP="00CC16EA">
            <w:pPr>
              <w:pStyle w:val="TableBody"/>
              <w:rPr>
                <w:i/>
                <w:iCs/>
              </w:rPr>
            </w:pPr>
            <w:r w:rsidRPr="00CC16EA">
              <w:rPr>
                <w:i/>
                <w:iCs/>
              </w:rPr>
              <w:t>Water Management Act 1999</w:t>
            </w:r>
          </w:p>
        </w:tc>
        <w:tc>
          <w:tcPr>
            <w:tcW w:w="2012" w:type="pct"/>
            <w:shd w:val="clear" w:color="auto" w:fill="auto"/>
            <w:hideMark/>
          </w:tcPr>
          <w:p w14:paraId="22EFE44B" w14:textId="77777777" w:rsidR="00045391" w:rsidRDefault="00045391" w:rsidP="00CC16EA">
            <w:pPr>
              <w:pStyle w:val="TableBody"/>
            </w:pPr>
            <w:r>
              <w:t>Sets out the requirements for water management plans, water rights, the licencing and allocation of water and matters relating to water infrastructure, such as dams and meters.</w:t>
            </w:r>
          </w:p>
        </w:tc>
        <w:tc>
          <w:tcPr>
            <w:tcW w:w="1817" w:type="pct"/>
            <w:shd w:val="clear" w:color="auto" w:fill="auto"/>
            <w:hideMark/>
          </w:tcPr>
          <w:p w14:paraId="6815D222" w14:textId="77777777" w:rsidR="00045391" w:rsidRDefault="00045391" w:rsidP="00CC16EA">
            <w:pPr>
              <w:pStyle w:val="TableBody"/>
            </w:pPr>
            <w:r>
              <w:t>This Act is primarily focussed on securing water supply. It does not address the safety and security threats which may undermine supply and therefor, does not encourage a holistic uplift in the security and resilience of critical water assets.</w:t>
            </w:r>
          </w:p>
        </w:tc>
      </w:tr>
      <w:tr w:rsidR="00045391" w14:paraId="356EA9B4" w14:textId="77777777" w:rsidTr="7EBB1CEE">
        <w:trPr>
          <w:trHeight w:val="1134"/>
        </w:trPr>
        <w:tc>
          <w:tcPr>
            <w:tcW w:w="340" w:type="pct"/>
            <w:vMerge w:val="restart"/>
            <w:shd w:val="clear" w:color="auto" w:fill="F2F2F2" w:themeFill="background2" w:themeFillShade="F2"/>
            <w:textDirection w:val="btLr"/>
            <w:hideMark/>
          </w:tcPr>
          <w:p w14:paraId="1F6BA18F" w14:textId="77777777" w:rsidR="00045391" w:rsidRPr="00CC16EA" w:rsidRDefault="00045391" w:rsidP="00CC16EA">
            <w:pPr>
              <w:pStyle w:val="TableBody"/>
              <w:jc w:val="center"/>
              <w:rPr>
                <w:b/>
                <w:bCs/>
              </w:rPr>
            </w:pPr>
            <w:r w:rsidRPr="00CC16EA">
              <w:rPr>
                <w:b/>
                <w:bCs/>
              </w:rPr>
              <w:t>Australian Capital Territory</w:t>
            </w:r>
          </w:p>
        </w:tc>
        <w:tc>
          <w:tcPr>
            <w:tcW w:w="832" w:type="pct"/>
            <w:shd w:val="clear" w:color="auto" w:fill="auto"/>
            <w:hideMark/>
          </w:tcPr>
          <w:p w14:paraId="7F21AF81" w14:textId="77777777" w:rsidR="00045391" w:rsidRPr="00CC16EA" w:rsidRDefault="00045391" w:rsidP="00CC16EA">
            <w:pPr>
              <w:pStyle w:val="TableBody"/>
              <w:rPr>
                <w:i/>
                <w:iCs/>
              </w:rPr>
            </w:pPr>
            <w:r w:rsidRPr="00CC16EA">
              <w:rPr>
                <w:i/>
                <w:iCs/>
              </w:rPr>
              <w:t>Water Resources Act 2007</w:t>
            </w:r>
          </w:p>
        </w:tc>
        <w:tc>
          <w:tcPr>
            <w:tcW w:w="2012" w:type="pct"/>
            <w:shd w:val="clear" w:color="auto" w:fill="auto"/>
            <w:hideMark/>
          </w:tcPr>
          <w:p w14:paraId="4A56EFC8" w14:textId="77777777" w:rsidR="00045391" w:rsidRDefault="00045391" w:rsidP="00CC16EA">
            <w:pPr>
              <w:pStyle w:val="TableBody"/>
            </w:pPr>
            <w:r>
              <w:t xml:space="preserve">Provides a framework for the protection of water resources, including provisions for water restrictions, licensing arrangements and management of unauthorised access to water resources. </w:t>
            </w:r>
          </w:p>
        </w:tc>
        <w:tc>
          <w:tcPr>
            <w:tcW w:w="1817" w:type="pct"/>
            <w:shd w:val="clear" w:color="auto" w:fill="auto"/>
            <w:hideMark/>
          </w:tcPr>
          <w:p w14:paraId="0439B8AE" w14:textId="77777777" w:rsidR="00045391" w:rsidRDefault="00045391" w:rsidP="00CC16EA">
            <w:pPr>
              <w:pStyle w:val="TableBody"/>
            </w:pPr>
            <w:r>
              <w:t>This Act is primarily focussed on securing water supply. It does not address the safety and security threats which may undermine supply and therefor, does not encourage a holistic uplift in the security and resilience of critical water assets.</w:t>
            </w:r>
          </w:p>
        </w:tc>
      </w:tr>
      <w:tr w:rsidR="00045391" w14:paraId="2FA68931" w14:textId="77777777" w:rsidTr="7EBB1CEE">
        <w:trPr>
          <w:trHeight w:val="1134"/>
        </w:trPr>
        <w:tc>
          <w:tcPr>
            <w:tcW w:w="340" w:type="pct"/>
            <w:vMerge/>
            <w:hideMark/>
          </w:tcPr>
          <w:p w14:paraId="71712499" w14:textId="77777777" w:rsidR="00045391" w:rsidRDefault="00045391" w:rsidP="00D26103">
            <w:pPr>
              <w:rPr>
                <w:rFonts w:ascii="Arial" w:eastAsia="Calibri" w:hAnsi="Arial" w:cs="Arial"/>
                <w:i/>
              </w:rPr>
            </w:pPr>
          </w:p>
        </w:tc>
        <w:tc>
          <w:tcPr>
            <w:tcW w:w="832" w:type="pct"/>
            <w:shd w:val="clear" w:color="auto" w:fill="auto"/>
            <w:hideMark/>
          </w:tcPr>
          <w:p w14:paraId="1C95E2FE" w14:textId="77777777" w:rsidR="00045391" w:rsidRPr="00CC16EA" w:rsidRDefault="00045391" w:rsidP="00CC16EA">
            <w:pPr>
              <w:pStyle w:val="TableBody"/>
              <w:rPr>
                <w:i/>
                <w:iCs/>
              </w:rPr>
            </w:pPr>
            <w:r w:rsidRPr="00CC16EA">
              <w:rPr>
                <w:i/>
                <w:iCs/>
              </w:rPr>
              <w:t>Territory Owned Corporations Act 1990</w:t>
            </w:r>
          </w:p>
        </w:tc>
        <w:tc>
          <w:tcPr>
            <w:tcW w:w="2012" w:type="pct"/>
            <w:shd w:val="clear" w:color="auto" w:fill="auto"/>
            <w:hideMark/>
          </w:tcPr>
          <w:p w14:paraId="3D31E2D8" w14:textId="77777777" w:rsidR="00045391" w:rsidRDefault="00045391" w:rsidP="00CC16EA">
            <w:pPr>
              <w:pStyle w:val="TableBody"/>
            </w:pPr>
            <w:r>
              <w:t xml:space="preserve">Creates an audit committee with the ability to oversee the risk management practices of Territory-owned responsible water entities. </w:t>
            </w:r>
          </w:p>
        </w:tc>
        <w:tc>
          <w:tcPr>
            <w:tcW w:w="1817" w:type="pct"/>
            <w:shd w:val="clear" w:color="auto" w:fill="auto"/>
            <w:hideMark/>
          </w:tcPr>
          <w:p w14:paraId="3DD857A1" w14:textId="77777777" w:rsidR="00045391" w:rsidRDefault="00045391" w:rsidP="00CC16EA">
            <w:pPr>
              <w:pStyle w:val="TableBody"/>
            </w:pPr>
            <w:r>
              <w:t>While this Act allows for the oversight of the risk management of some responsible entities, such powers do not apply to privately owned responsible entities. As such, it cannot incite an asset-wide uplift in security and resilience.</w:t>
            </w:r>
          </w:p>
        </w:tc>
      </w:tr>
    </w:tbl>
    <w:p w14:paraId="6A54940D" w14:textId="77777777" w:rsidR="00B7309A" w:rsidRDefault="00B7309A">
      <w:pPr>
        <w:spacing w:before="80" w:after="80"/>
        <w:rPr>
          <w:rFonts w:asciiTheme="majorHAnsi" w:eastAsia="Times New Roman" w:hAnsiTheme="majorHAnsi" w:cs="Arial"/>
          <w:b/>
          <w:bCs/>
          <w:color w:val="007BC3" w:themeColor="accent2"/>
          <w:sz w:val="28"/>
          <w:szCs w:val="28"/>
          <w:lang w:eastAsia="en-AU"/>
        </w:rPr>
      </w:pPr>
      <w:r>
        <w:br w:type="page"/>
      </w:r>
    </w:p>
    <w:p w14:paraId="00FBCD8B" w14:textId="2FE47476" w:rsidR="000C3D44" w:rsidRDefault="000C3D44" w:rsidP="008E1A28">
      <w:pPr>
        <w:pStyle w:val="AppendixH2"/>
      </w:pPr>
      <w:r>
        <w:lastRenderedPageBreak/>
        <w:t xml:space="preserve">Existing standards, guidelines and regulators for </w:t>
      </w:r>
      <w:r w:rsidR="00B14333">
        <w:t>critical water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993"/>
        <w:gridCol w:w="1985"/>
        <w:gridCol w:w="6660"/>
      </w:tblGrid>
      <w:tr w:rsidR="001A6CE2" w14:paraId="30D93507" w14:textId="77777777" w:rsidTr="00B7309A">
        <w:tc>
          <w:tcPr>
            <w:tcW w:w="515" w:type="pct"/>
            <w:shd w:val="clear" w:color="auto" w:fill="034EA2" w:themeFill="accent1"/>
            <w:hideMark/>
          </w:tcPr>
          <w:p w14:paraId="1020BA81" w14:textId="24398C84" w:rsidR="001A6CE2" w:rsidRPr="000F20CF" w:rsidRDefault="006B3927" w:rsidP="00CC16EA">
            <w:pPr>
              <w:pStyle w:val="TableHeading"/>
            </w:pPr>
            <w:r>
              <w:t>Hazard domain</w:t>
            </w:r>
          </w:p>
        </w:tc>
        <w:tc>
          <w:tcPr>
            <w:tcW w:w="1030" w:type="pct"/>
            <w:shd w:val="clear" w:color="auto" w:fill="034EA2" w:themeFill="accent1"/>
            <w:hideMark/>
          </w:tcPr>
          <w:p w14:paraId="529F9864" w14:textId="77777777" w:rsidR="001A6CE2" w:rsidRPr="000F20CF" w:rsidRDefault="001A6CE2" w:rsidP="00CC16EA">
            <w:pPr>
              <w:pStyle w:val="TableHeading"/>
            </w:pPr>
            <w:r w:rsidRPr="00852944">
              <w:t>Organisation</w:t>
            </w:r>
          </w:p>
        </w:tc>
        <w:tc>
          <w:tcPr>
            <w:tcW w:w="3456" w:type="pct"/>
            <w:shd w:val="clear" w:color="auto" w:fill="034EA2" w:themeFill="accent1"/>
            <w:hideMark/>
          </w:tcPr>
          <w:p w14:paraId="4FA610A4" w14:textId="77777777" w:rsidR="001A6CE2" w:rsidRPr="000F20CF" w:rsidRDefault="001A6CE2" w:rsidP="00CC16EA">
            <w:pPr>
              <w:pStyle w:val="TableHeading"/>
            </w:pPr>
            <w:r w:rsidRPr="00852944">
              <w:t>Standards &amp; guidelines</w:t>
            </w:r>
          </w:p>
        </w:tc>
      </w:tr>
      <w:tr w:rsidR="00613A45" w14:paraId="6DE746B9" w14:textId="77777777" w:rsidTr="00B7309A">
        <w:tc>
          <w:tcPr>
            <w:tcW w:w="515" w:type="pct"/>
            <w:shd w:val="clear" w:color="auto" w:fill="F2F2F2" w:themeFill="background1" w:themeFillShade="F2"/>
            <w:hideMark/>
          </w:tcPr>
          <w:p w14:paraId="17D41208" w14:textId="77777777" w:rsidR="001A6CE2" w:rsidRDefault="001A6CE2" w:rsidP="00CC16EA">
            <w:pPr>
              <w:pStyle w:val="TableBody"/>
            </w:pPr>
            <w:r>
              <w:t>Cyber</w:t>
            </w:r>
          </w:p>
        </w:tc>
        <w:tc>
          <w:tcPr>
            <w:tcW w:w="1030" w:type="pct"/>
            <w:shd w:val="clear" w:color="auto" w:fill="auto"/>
            <w:hideMark/>
          </w:tcPr>
          <w:p w14:paraId="3DC47122" w14:textId="25544072" w:rsidR="001A6CE2" w:rsidRDefault="002F57EB" w:rsidP="00B7309A">
            <w:pPr>
              <w:pStyle w:val="TableBody"/>
            </w:pPr>
            <w:r>
              <w:t>International Organization for Standardization</w:t>
            </w:r>
            <w:r w:rsidR="001A6CE2">
              <w:t xml:space="preserve"> (ISO)</w:t>
            </w:r>
          </w:p>
        </w:tc>
        <w:tc>
          <w:tcPr>
            <w:tcW w:w="3456" w:type="pct"/>
            <w:shd w:val="clear" w:color="auto" w:fill="auto"/>
            <w:hideMark/>
          </w:tcPr>
          <w:p w14:paraId="3434EFFB" w14:textId="77777777" w:rsidR="001A6CE2" w:rsidRDefault="001A6CE2" w:rsidP="00B7309A">
            <w:pPr>
              <w:pStyle w:val="TableBody"/>
            </w:pPr>
            <w:r>
              <w:rPr>
                <w:b/>
              </w:rPr>
              <w:t>ISO 27001</w:t>
            </w:r>
            <w:r>
              <w:t xml:space="preserve"> provides requirements for information security management systems.</w:t>
            </w:r>
          </w:p>
        </w:tc>
      </w:tr>
      <w:tr w:rsidR="001A6CE2" w14:paraId="61F10514" w14:textId="77777777" w:rsidTr="00B7309A">
        <w:tc>
          <w:tcPr>
            <w:tcW w:w="515" w:type="pct"/>
            <w:vMerge w:val="restart"/>
            <w:shd w:val="clear" w:color="auto" w:fill="F2F2F2" w:themeFill="background1" w:themeFillShade="F2"/>
            <w:hideMark/>
          </w:tcPr>
          <w:p w14:paraId="5C911F8A" w14:textId="77777777" w:rsidR="001A6CE2" w:rsidRDefault="001A6CE2" w:rsidP="00CC16EA">
            <w:pPr>
              <w:pStyle w:val="TableBody"/>
              <w:rPr>
                <w:sz w:val="22"/>
              </w:rPr>
            </w:pPr>
            <w:r>
              <w:t>Supply chain</w:t>
            </w:r>
          </w:p>
        </w:tc>
        <w:tc>
          <w:tcPr>
            <w:tcW w:w="1030" w:type="pct"/>
            <w:shd w:val="clear" w:color="auto" w:fill="auto"/>
            <w:hideMark/>
          </w:tcPr>
          <w:p w14:paraId="4673E68C" w14:textId="35A1BFB5" w:rsidR="001A6CE2" w:rsidRDefault="001A6CE2" w:rsidP="0032055F">
            <w:pPr>
              <w:pStyle w:val="TableBody"/>
              <w:rPr>
                <w:color w:val="000000"/>
                <w:shd w:val="clear" w:color="auto" w:fill="FFFFFF"/>
              </w:rPr>
            </w:pPr>
            <w:r>
              <w:rPr>
                <w:rFonts w:asciiTheme="majorHAnsi" w:hAnsiTheme="majorHAnsi" w:cstheme="majorHAnsi"/>
              </w:rPr>
              <w:t xml:space="preserve">Department of </w:t>
            </w:r>
            <w:r w:rsidR="0032055F">
              <w:rPr>
                <w:rFonts w:asciiTheme="majorHAnsi" w:hAnsiTheme="majorHAnsi" w:cstheme="majorHAnsi"/>
              </w:rPr>
              <w:t>Climate Change, Energy, the Environment and Water</w:t>
            </w:r>
          </w:p>
        </w:tc>
        <w:tc>
          <w:tcPr>
            <w:tcW w:w="3456" w:type="pct"/>
            <w:shd w:val="clear" w:color="auto" w:fill="auto"/>
            <w:hideMark/>
          </w:tcPr>
          <w:p w14:paraId="67605489" w14:textId="77777777" w:rsidR="001A6CE2" w:rsidRDefault="001A6CE2" w:rsidP="00B7309A">
            <w:pPr>
              <w:pStyle w:val="TableBody"/>
            </w:pPr>
            <w:r>
              <w:rPr>
                <w:b/>
              </w:rPr>
              <w:t xml:space="preserve">Water Efficiency Program </w:t>
            </w:r>
            <w:r>
              <w:t>increases water use efficient and recovers water for the environment.</w:t>
            </w:r>
          </w:p>
          <w:p w14:paraId="7597F724" w14:textId="77777777" w:rsidR="001A6CE2" w:rsidRDefault="001A6CE2" w:rsidP="00B7309A">
            <w:pPr>
              <w:pStyle w:val="TableBody"/>
              <w:rPr>
                <w:rFonts w:ascii="Arial" w:hAnsi="Arial" w:cs="Arial"/>
                <w:color w:val="000000"/>
                <w:sz w:val="18"/>
                <w:szCs w:val="18"/>
                <w:shd w:val="clear" w:color="auto" w:fill="FFFFFF"/>
              </w:rPr>
            </w:pPr>
            <w:r>
              <w:rPr>
                <w:b/>
              </w:rPr>
              <w:t xml:space="preserve">Great Artesian Basin Strategic Management Plan </w:t>
            </w:r>
            <w:r>
              <w:t xml:space="preserve">which regulates the amount of water that can be taken from the basin every year. </w:t>
            </w:r>
          </w:p>
        </w:tc>
      </w:tr>
      <w:tr w:rsidR="00C171D6" w14:paraId="2120FE47" w14:textId="77777777" w:rsidTr="00B7309A">
        <w:tc>
          <w:tcPr>
            <w:tcW w:w="515" w:type="pct"/>
            <w:vMerge/>
            <w:shd w:val="clear" w:color="auto" w:fill="F2F2F2" w:themeFill="background1" w:themeFillShade="F2"/>
            <w:hideMark/>
          </w:tcPr>
          <w:p w14:paraId="765CCAC5" w14:textId="77777777" w:rsidR="001A6CE2" w:rsidRDefault="001A6CE2" w:rsidP="00CC16EA">
            <w:pPr>
              <w:pStyle w:val="TableBody"/>
              <w:rPr>
                <w:sz w:val="22"/>
              </w:rPr>
            </w:pPr>
          </w:p>
        </w:tc>
        <w:tc>
          <w:tcPr>
            <w:tcW w:w="1030" w:type="pct"/>
            <w:shd w:val="clear" w:color="auto" w:fill="auto"/>
            <w:hideMark/>
          </w:tcPr>
          <w:p w14:paraId="60DBE718" w14:textId="77777777" w:rsidR="001A6CE2" w:rsidRDefault="001A6CE2" w:rsidP="00CC16EA">
            <w:pPr>
              <w:pStyle w:val="TableBody"/>
              <w:rPr>
                <w:rFonts w:asciiTheme="majorHAnsi" w:hAnsiTheme="majorHAnsi" w:cstheme="majorHAnsi"/>
                <w:b/>
              </w:rPr>
            </w:pPr>
            <w:r>
              <w:rPr>
                <w:rFonts w:asciiTheme="majorHAnsi" w:hAnsiTheme="majorHAnsi" w:cstheme="majorHAnsi"/>
              </w:rPr>
              <w:t xml:space="preserve">Australian Government </w:t>
            </w:r>
          </w:p>
        </w:tc>
        <w:tc>
          <w:tcPr>
            <w:tcW w:w="3456" w:type="pct"/>
            <w:shd w:val="clear" w:color="auto" w:fill="auto"/>
            <w:hideMark/>
          </w:tcPr>
          <w:p w14:paraId="6F3D638D" w14:textId="77777777" w:rsidR="001A6CE2" w:rsidRDefault="001A6CE2" w:rsidP="00B7309A">
            <w:pPr>
              <w:pStyle w:val="TableBody"/>
            </w:pPr>
            <w:r>
              <w:rPr>
                <w:b/>
              </w:rPr>
              <w:t xml:space="preserve">Inspector-General of Water Compliance </w:t>
            </w:r>
            <w:r>
              <w:t>is a regulatory role to improve trust and transparency in implementing the Commonwealth’s Basin water reform agenda delivering greater consistency and harmonisation of water regulation across the Basin and strengthen Basin Plan compliance and enforcement.</w:t>
            </w:r>
          </w:p>
        </w:tc>
      </w:tr>
      <w:tr w:rsidR="001A6CE2" w14:paraId="76A01F4F" w14:textId="77777777" w:rsidTr="00B7309A">
        <w:tc>
          <w:tcPr>
            <w:tcW w:w="515" w:type="pct"/>
            <w:vMerge/>
            <w:shd w:val="clear" w:color="auto" w:fill="F2F2F2" w:themeFill="background1" w:themeFillShade="F2"/>
            <w:hideMark/>
          </w:tcPr>
          <w:p w14:paraId="09C7AC8F" w14:textId="77777777" w:rsidR="001A6CE2" w:rsidRDefault="001A6CE2" w:rsidP="00CC16EA">
            <w:pPr>
              <w:pStyle w:val="TableBody"/>
              <w:rPr>
                <w:sz w:val="22"/>
              </w:rPr>
            </w:pPr>
          </w:p>
        </w:tc>
        <w:tc>
          <w:tcPr>
            <w:tcW w:w="1030" w:type="pct"/>
            <w:shd w:val="clear" w:color="auto" w:fill="auto"/>
            <w:hideMark/>
          </w:tcPr>
          <w:p w14:paraId="4C33975B" w14:textId="77777777" w:rsidR="001A6CE2" w:rsidRDefault="001A6CE2" w:rsidP="00CC16EA">
            <w:pPr>
              <w:pStyle w:val="TableBody"/>
              <w:rPr>
                <w:rFonts w:asciiTheme="majorHAnsi" w:hAnsiTheme="majorHAnsi" w:cstheme="majorHAnsi"/>
              </w:rPr>
            </w:pPr>
            <w:r>
              <w:rPr>
                <w:rFonts w:asciiTheme="majorHAnsi" w:hAnsiTheme="majorHAnsi" w:cstheme="majorHAnsi"/>
                <w:color w:val="000000"/>
                <w:shd w:val="clear" w:color="auto" w:fill="FFFFFF"/>
              </w:rPr>
              <w:t>National Water Quality Management Strategy: Australian Drinking Water Guidelines 6</w:t>
            </w:r>
          </w:p>
        </w:tc>
        <w:tc>
          <w:tcPr>
            <w:tcW w:w="3456" w:type="pct"/>
            <w:shd w:val="clear" w:color="auto" w:fill="auto"/>
            <w:hideMark/>
          </w:tcPr>
          <w:p w14:paraId="72425ABE" w14:textId="77777777" w:rsidR="001A6CE2" w:rsidRDefault="001A6CE2" w:rsidP="00B7309A">
            <w:pPr>
              <w:pStyle w:val="TableBody"/>
              <w:rPr>
                <w:rFonts w:eastAsia="Calibri"/>
              </w:rPr>
            </w:pPr>
            <w:r>
              <w:rPr>
                <w:shd w:val="clear" w:color="auto" w:fill="FFFFFF"/>
              </w:rPr>
              <w:t xml:space="preserve">The </w:t>
            </w:r>
            <w:r>
              <w:rPr>
                <w:b/>
                <w:shd w:val="clear" w:color="auto" w:fill="FFFFFF"/>
              </w:rPr>
              <w:t>Australian Drinking Water Guidelines (ADWG)</w:t>
            </w:r>
            <w:r>
              <w:rPr>
                <w:shd w:val="clear" w:color="auto" w:fill="FFFFFF"/>
              </w:rPr>
              <w:t xml:space="preserve"> provides guidance to water regulators and suppliers on monitoring and managing drinking water quality. The ADWG provides details on the framework for Management of Drinking Water Quality (the Framework), a preventive management approach that encompasses all steps in water production from catchment to consumer, and aims to assure safe, good quality drinking water. The ADWG is used by state and territory health departments, local health authorities and water utilities. </w:t>
            </w:r>
          </w:p>
        </w:tc>
      </w:tr>
      <w:tr w:rsidR="00C171D6" w14:paraId="2F1F7524" w14:textId="77777777" w:rsidTr="00B7309A">
        <w:tc>
          <w:tcPr>
            <w:tcW w:w="515" w:type="pct"/>
            <w:vMerge/>
            <w:shd w:val="clear" w:color="auto" w:fill="F2F2F2" w:themeFill="background1" w:themeFillShade="F2"/>
            <w:hideMark/>
          </w:tcPr>
          <w:p w14:paraId="77DE164D" w14:textId="77777777" w:rsidR="001A6CE2" w:rsidRDefault="001A6CE2" w:rsidP="00CC16EA">
            <w:pPr>
              <w:pStyle w:val="TableBody"/>
              <w:rPr>
                <w:sz w:val="22"/>
              </w:rPr>
            </w:pPr>
          </w:p>
        </w:tc>
        <w:tc>
          <w:tcPr>
            <w:tcW w:w="1030" w:type="pct"/>
            <w:shd w:val="clear" w:color="auto" w:fill="auto"/>
            <w:hideMark/>
          </w:tcPr>
          <w:p w14:paraId="1E0A8AE0" w14:textId="77777777" w:rsidR="001A6CE2" w:rsidRDefault="001A6CE2" w:rsidP="00CC16EA">
            <w:pPr>
              <w:pStyle w:val="TableBody"/>
              <w:rPr>
                <w:rFonts w:asciiTheme="majorHAnsi" w:hAnsiTheme="majorHAnsi" w:cstheme="majorHAnsi"/>
              </w:rPr>
            </w:pPr>
            <w:r>
              <w:rPr>
                <w:rFonts w:asciiTheme="majorHAnsi" w:hAnsiTheme="majorHAnsi" w:cstheme="majorHAnsi"/>
              </w:rPr>
              <w:t xml:space="preserve">National Water Quality Management Strategy: Australian Drinking Water Guidelines 6 </w:t>
            </w:r>
          </w:p>
        </w:tc>
        <w:tc>
          <w:tcPr>
            <w:tcW w:w="3456" w:type="pct"/>
            <w:shd w:val="clear" w:color="auto" w:fill="auto"/>
            <w:hideMark/>
          </w:tcPr>
          <w:p w14:paraId="157E7371" w14:textId="4ED07879" w:rsidR="001A6CE2" w:rsidRDefault="001A6CE2" w:rsidP="00B7309A">
            <w:pPr>
              <w:pStyle w:val="TableBody"/>
            </w:pPr>
            <w:r>
              <w:t>The</w:t>
            </w:r>
            <w:r>
              <w:rPr>
                <w:b/>
              </w:rPr>
              <w:t xml:space="preserve"> </w:t>
            </w:r>
            <w:r>
              <w:t>Australian Drinking Water Guidelines (ADWG) provides guidance to water regulators and suppliers on monitoring and managing drinking water quality. The ADWG provides details on the framework for Management of Drinking Water Quality (the Framework), a preventative management approach that encompasses all steps in water production from catchment to consumer, and aims to assure safe, good quality drinking water. The ADWG is used by state</w:t>
            </w:r>
            <w:r w:rsidR="00B7313C">
              <w:t>s</w:t>
            </w:r>
            <w:r>
              <w:t xml:space="preserve"> and territories.</w:t>
            </w:r>
          </w:p>
        </w:tc>
      </w:tr>
      <w:tr w:rsidR="001A6CE2" w14:paraId="5C312D1B" w14:textId="77777777" w:rsidTr="00B7309A">
        <w:tc>
          <w:tcPr>
            <w:tcW w:w="515" w:type="pct"/>
            <w:vMerge/>
            <w:shd w:val="clear" w:color="auto" w:fill="F2F2F2" w:themeFill="background1" w:themeFillShade="F2"/>
            <w:hideMark/>
          </w:tcPr>
          <w:p w14:paraId="64DDBDAB" w14:textId="77777777" w:rsidR="001A6CE2" w:rsidRDefault="001A6CE2" w:rsidP="00CC16EA">
            <w:pPr>
              <w:pStyle w:val="TableBody"/>
              <w:rPr>
                <w:sz w:val="22"/>
              </w:rPr>
            </w:pPr>
          </w:p>
        </w:tc>
        <w:tc>
          <w:tcPr>
            <w:tcW w:w="1030" w:type="pct"/>
            <w:shd w:val="clear" w:color="auto" w:fill="auto"/>
            <w:hideMark/>
          </w:tcPr>
          <w:p w14:paraId="29C22FED" w14:textId="77777777" w:rsidR="001A6CE2" w:rsidRDefault="001A6CE2" w:rsidP="00CC16EA">
            <w:pPr>
              <w:pStyle w:val="TableBody"/>
              <w:rPr>
                <w:rFonts w:asciiTheme="majorHAnsi" w:hAnsiTheme="majorHAnsi" w:cstheme="majorHAnsi"/>
              </w:rPr>
            </w:pPr>
            <w:r>
              <w:rPr>
                <w:rFonts w:asciiTheme="majorHAnsi" w:hAnsiTheme="majorHAnsi" w:cstheme="majorHAnsi"/>
                <w:color w:val="000000"/>
                <w:shd w:val="clear" w:color="auto" w:fill="FFFFFF"/>
              </w:rPr>
              <w:t>National Water Quality Management Strategy</w:t>
            </w:r>
          </w:p>
        </w:tc>
        <w:tc>
          <w:tcPr>
            <w:tcW w:w="3456" w:type="pct"/>
            <w:shd w:val="clear" w:color="auto" w:fill="auto"/>
            <w:hideMark/>
          </w:tcPr>
          <w:p w14:paraId="19B552AB" w14:textId="32FAF05E" w:rsidR="001A6CE2" w:rsidRDefault="001A6CE2" w:rsidP="00B7309A">
            <w:pPr>
              <w:pStyle w:val="TableBody"/>
              <w:rPr>
                <w:rFonts w:eastAsia="Calibri"/>
              </w:rPr>
            </w:pPr>
            <w:r>
              <w:rPr>
                <w:shd w:val="clear" w:color="auto" w:fill="FFFFFF"/>
              </w:rPr>
              <w:t>The National Water Quality Management Strategy (NWQMS) aims to assist water resource managers</w:t>
            </w:r>
            <w:r w:rsidR="00CC16EA">
              <w:rPr>
                <w:shd w:val="clear" w:color="auto" w:fill="FFFFFF"/>
              </w:rPr>
              <w:t xml:space="preserve"> </w:t>
            </w:r>
            <w:r>
              <w:rPr>
                <w:shd w:val="clear" w:color="auto" w:fill="FFFFFF"/>
              </w:rPr>
              <w:t>to understand and protect (which could be maintain or improve) water quality so that it is ‘fit for</w:t>
            </w:r>
            <w:r w:rsidR="00CC16EA">
              <w:rPr>
                <w:shd w:val="clear" w:color="auto" w:fill="FFFFFF"/>
              </w:rPr>
              <w:t xml:space="preserve"> </w:t>
            </w:r>
            <w:r>
              <w:rPr>
                <w:shd w:val="clear" w:color="auto" w:fill="FFFFFF"/>
              </w:rPr>
              <w:t>purpose’— i.e., water that is suitable to desired values and uses and in accordance with specific local</w:t>
            </w:r>
            <w:r w:rsidR="00CC16EA">
              <w:rPr>
                <w:shd w:val="clear" w:color="auto" w:fill="FFFFFF"/>
              </w:rPr>
              <w:t xml:space="preserve"> </w:t>
            </w:r>
            <w:r>
              <w:rPr>
                <w:shd w:val="clear" w:color="auto" w:fill="FFFFFF"/>
              </w:rPr>
              <w:t>conditions. The NWQMS can also support the integration of water quality into water quantity</w:t>
            </w:r>
            <w:r w:rsidR="00CC16EA">
              <w:rPr>
                <w:shd w:val="clear" w:color="auto" w:fill="FFFFFF"/>
              </w:rPr>
              <w:t xml:space="preserve"> </w:t>
            </w:r>
            <w:r>
              <w:rPr>
                <w:shd w:val="clear" w:color="auto" w:fill="FFFFFF"/>
              </w:rPr>
              <w:t>planning.</w:t>
            </w:r>
          </w:p>
        </w:tc>
      </w:tr>
    </w:tbl>
    <w:p w14:paraId="659C4D7B" w14:textId="3E967AF8" w:rsidR="000C3D44" w:rsidRDefault="000C3D44" w:rsidP="000C3D44">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560"/>
        <w:gridCol w:w="8078"/>
      </w:tblGrid>
      <w:tr w:rsidR="00800565" w14:paraId="5B042CFD" w14:textId="77777777" w:rsidTr="007E3DEA">
        <w:trPr>
          <w:tblHeader/>
        </w:trPr>
        <w:tc>
          <w:tcPr>
            <w:tcW w:w="809" w:type="pct"/>
            <w:shd w:val="clear" w:color="auto" w:fill="034EA2" w:themeFill="accent1"/>
            <w:hideMark/>
          </w:tcPr>
          <w:p w14:paraId="38555E5F" w14:textId="77777777" w:rsidR="00800565" w:rsidRDefault="00800565" w:rsidP="00B7309A">
            <w:pPr>
              <w:pStyle w:val="TableHeading"/>
            </w:pPr>
            <w:r>
              <w:t>Jurisdiction</w:t>
            </w:r>
          </w:p>
        </w:tc>
        <w:tc>
          <w:tcPr>
            <w:tcW w:w="4191" w:type="pct"/>
            <w:shd w:val="clear" w:color="auto" w:fill="034EA2" w:themeFill="accent1"/>
            <w:hideMark/>
          </w:tcPr>
          <w:p w14:paraId="3E123190" w14:textId="77777777" w:rsidR="00800565" w:rsidRDefault="00800565" w:rsidP="00B7309A">
            <w:pPr>
              <w:pStyle w:val="TableHeading"/>
            </w:pPr>
            <w:r>
              <w:t>Regulator/s</w:t>
            </w:r>
          </w:p>
        </w:tc>
      </w:tr>
      <w:tr w:rsidR="00800565" w14:paraId="3FF848BD" w14:textId="77777777" w:rsidTr="7EBB1CEE">
        <w:tc>
          <w:tcPr>
            <w:tcW w:w="809" w:type="pct"/>
            <w:shd w:val="clear" w:color="auto" w:fill="F2F2F2" w:themeFill="background2" w:themeFillShade="F2"/>
            <w:hideMark/>
          </w:tcPr>
          <w:p w14:paraId="4A3ED148" w14:textId="77777777" w:rsidR="00800565" w:rsidRDefault="00800565" w:rsidP="00B7309A">
            <w:pPr>
              <w:pStyle w:val="TableBody"/>
            </w:pPr>
            <w:r>
              <w:t>Commonwealth</w:t>
            </w:r>
          </w:p>
        </w:tc>
        <w:tc>
          <w:tcPr>
            <w:tcW w:w="4191" w:type="pct"/>
            <w:shd w:val="clear" w:color="auto" w:fill="auto"/>
            <w:hideMark/>
          </w:tcPr>
          <w:p w14:paraId="66EF9C28" w14:textId="77777777" w:rsidR="00800565" w:rsidRDefault="00800565" w:rsidP="00B7309A">
            <w:pPr>
              <w:pStyle w:val="TableBullet"/>
            </w:pPr>
            <w:r>
              <w:t>Attorney-General’s Department</w:t>
            </w:r>
          </w:p>
          <w:p w14:paraId="1146A50B" w14:textId="77777777" w:rsidR="00800565" w:rsidRDefault="00800565" w:rsidP="00B7309A">
            <w:pPr>
              <w:pStyle w:val="TableBullet"/>
            </w:pPr>
            <w:r>
              <w:t>Australian Competition &amp; Consumer Commission (ACCC)</w:t>
            </w:r>
          </w:p>
          <w:p w14:paraId="5E3649CC" w14:textId="28B1F723" w:rsidR="00800565" w:rsidRPr="0032055F" w:rsidRDefault="00800565" w:rsidP="0032055F">
            <w:pPr>
              <w:pStyle w:val="TableBullet"/>
              <w:ind w:left="170" w:hanging="170"/>
            </w:pPr>
            <w:r w:rsidRPr="0032055F">
              <w:t xml:space="preserve">Department of </w:t>
            </w:r>
            <w:r w:rsidR="0032055F" w:rsidRPr="0032055F">
              <w:t>Climate Change, Energy, the Environment and Water</w:t>
            </w:r>
          </w:p>
          <w:p w14:paraId="63B9F6CA" w14:textId="77777777" w:rsidR="00800565" w:rsidRDefault="00800565" w:rsidP="00B7309A">
            <w:pPr>
              <w:pStyle w:val="TableBullet"/>
            </w:pPr>
            <w:r>
              <w:t>Department of Home Affairs</w:t>
            </w:r>
          </w:p>
          <w:p w14:paraId="703DA1DC" w14:textId="77777777" w:rsidR="00800565" w:rsidRDefault="00800565" w:rsidP="00B7309A">
            <w:pPr>
              <w:pStyle w:val="TableBullet"/>
            </w:pPr>
            <w:r>
              <w:t>Murray-Darling Basin Authority</w:t>
            </w:r>
          </w:p>
          <w:p w14:paraId="07776624" w14:textId="77777777" w:rsidR="00800565" w:rsidRDefault="00800565" w:rsidP="00B7309A">
            <w:pPr>
              <w:pStyle w:val="TableBullet"/>
            </w:pPr>
            <w:r>
              <w:t>National Water Reform Committee (NWRC)</w:t>
            </w:r>
          </w:p>
          <w:p w14:paraId="0A96383E" w14:textId="77777777" w:rsidR="00800565" w:rsidRDefault="00800565" w:rsidP="00B7309A">
            <w:pPr>
              <w:pStyle w:val="TableBullet"/>
              <w:rPr>
                <w:rFonts w:eastAsia="Calibri"/>
              </w:rPr>
            </w:pPr>
            <w:r>
              <w:t>Water Quality Policy Sub Committee (WQPSC)</w:t>
            </w:r>
          </w:p>
        </w:tc>
      </w:tr>
      <w:tr w:rsidR="00800565" w14:paraId="6F779C62" w14:textId="77777777" w:rsidTr="7EBB1CEE">
        <w:tc>
          <w:tcPr>
            <w:tcW w:w="809" w:type="pct"/>
            <w:shd w:val="clear" w:color="auto" w:fill="F2F2F2" w:themeFill="background2" w:themeFillShade="F2"/>
            <w:hideMark/>
          </w:tcPr>
          <w:p w14:paraId="330B4690" w14:textId="77777777" w:rsidR="00800565" w:rsidRDefault="00800565" w:rsidP="00B7309A">
            <w:pPr>
              <w:pStyle w:val="TableBody"/>
              <w:rPr>
                <w:sz w:val="22"/>
              </w:rPr>
            </w:pPr>
            <w:r>
              <w:t>Australian Capital Territory</w:t>
            </w:r>
          </w:p>
        </w:tc>
        <w:tc>
          <w:tcPr>
            <w:tcW w:w="4191" w:type="pct"/>
            <w:shd w:val="clear" w:color="auto" w:fill="auto"/>
            <w:hideMark/>
          </w:tcPr>
          <w:p w14:paraId="529EDC3A" w14:textId="77777777" w:rsidR="00800565" w:rsidRDefault="00800565" w:rsidP="00B7309A">
            <w:pPr>
              <w:pStyle w:val="TableBullet"/>
              <w:rPr>
                <w:shd w:val="clear" w:color="auto" w:fill="FFFFFF"/>
              </w:rPr>
            </w:pPr>
            <w:r>
              <w:rPr>
                <w:shd w:val="clear" w:color="auto" w:fill="FFFFFF"/>
              </w:rPr>
              <w:t>Environment, Planning and Sustainable Development Directorate</w:t>
            </w:r>
          </w:p>
          <w:p w14:paraId="337375B6" w14:textId="77777777" w:rsidR="00800565" w:rsidRDefault="00800565" w:rsidP="00B7309A">
            <w:pPr>
              <w:pStyle w:val="TableBullet"/>
              <w:rPr>
                <w:rFonts w:eastAsia="Calibri"/>
              </w:rPr>
            </w:pPr>
            <w:r>
              <w:rPr>
                <w:rFonts w:eastAsia="Calibri"/>
              </w:rPr>
              <w:t>Independent Competition and Regulatory Commission</w:t>
            </w:r>
          </w:p>
        </w:tc>
      </w:tr>
      <w:tr w:rsidR="00800565" w14:paraId="4534B4FE" w14:textId="77777777" w:rsidTr="7EBB1CEE">
        <w:tc>
          <w:tcPr>
            <w:tcW w:w="809" w:type="pct"/>
            <w:shd w:val="clear" w:color="auto" w:fill="F2F2F2" w:themeFill="background2" w:themeFillShade="F2"/>
            <w:hideMark/>
          </w:tcPr>
          <w:p w14:paraId="5AB75090" w14:textId="77777777" w:rsidR="00800565" w:rsidRDefault="00800565" w:rsidP="00B7309A">
            <w:pPr>
              <w:pStyle w:val="TableBody"/>
              <w:rPr>
                <w:sz w:val="22"/>
              </w:rPr>
            </w:pPr>
            <w:r>
              <w:lastRenderedPageBreak/>
              <w:t>New South Wales</w:t>
            </w:r>
          </w:p>
        </w:tc>
        <w:tc>
          <w:tcPr>
            <w:tcW w:w="4191" w:type="pct"/>
            <w:shd w:val="clear" w:color="auto" w:fill="auto"/>
            <w:hideMark/>
          </w:tcPr>
          <w:p w14:paraId="459A92FB" w14:textId="77777777" w:rsidR="00800565" w:rsidRDefault="00800565" w:rsidP="00B7309A">
            <w:pPr>
              <w:pStyle w:val="TableBullet"/>
            </w:pPr>
            <w:r>
              <w:t>Department of Industry (DoI) Water (formerly DPI Water)</w:t>
            </w:r>
          </w:p>
          <w:p w14:paraId="56058BE3" w14:textId="77777777" w:rsidR="00800565" w:rsidRDefault="00800565" w:rsidP="00B7309A">
            <w:pPr>
              <w:pStyle w:val="TableBullet"/>
            </w:pPr>
            <w:r>
              <w:t>Independent Pricing and Regulatory Tribunal (IPART)</w:t>
            </w:r>
          </w:p>
          <w:p w14:paraId="2DD4621A" w14:textId="77777777" w:rsidR="00800565" w:rsidRDefault="00800565" w:rsidP="00B7309A">
            <w:pPr>
              <w:pStyle w:val="TableBullet"/>
            </w:pPr>
            <w:r>
              <w:t>Natural Resources Access Regulator (NRAR)</w:t>
            </w:r>
          </w:p>
          <w:p w14:paraId="47C442BB" w14:textId="77777777" w:rsidR="00800565" w:rsidRDefault="00800565" w:rsidP="00B7309A">
            <w:pPr>
              <w:pStyle w:val="TableBullet"/>
            </w:pPr>
            <w:r>
              <w:t>New South Wales Department of Health</w:t>
            </w:r>
          </w:p>
          <w:p w14:paraId="4F40DE1E" w14:textId="77777777" w:rsidR="00800565" w:rsidRDefault="00800565" w:rsidP="00B7309A">
            <w:pPr>
              <w:pStyle w:val="TableBullet"/>
              <w:rPr>
                <w:rFonts w:eastAsia="Calibri"/>
              </w:rPr>
            </w:pPr>
            <w:r>
              <w:rPr>
                <w:rFonts w:eastAsia="Calibri"/>
              </w:rPr>
              <w:t>New South Wales Department of Planning, Industry &amp; Environment</w:t>
            </w:r>
          </w:p>
          <w:p w14:paraId="06960B1B" w14:textId="77777777" w:rsidR="00800565" w:rsidRDefault="00800565" w:rsidP="00B7309A">
            <w:pPr>
              <w:pStyle w:val="TableBullet"/>
              <w:rPr>
                <w:rFonts w:eastAsia="Calibri"/>
              </w:rPr>
            </w:pPr>
            <w:r>
              <w:t>Water Infrastructure NSW</w:t>
            </w:r>
          </w:p>
        </w:tc>
      </w:tr>
      <w:tr w:rsidR="00800565" w14:paraId="7803522F" w14:textId="77777777" w:rsidTr="7EBB1CEE">
        <w:tc>
          <w:tcPr>
            <w:tcW w:w="809" w:type="pct"/>
            <w:shd w:val="clear" w:color="auto" w:fill="F2F2F2" w:themeFill="background2" w:themeFillShade="F2"/>
            <w:hideMark/>
          </w:tcPr>
          <w:p w14:paraId="1210583B" w14:textId="77777777" w:rsidR="00800565" w:rsidRDefault="00800565" w:rsidP="00B7309A">
            <w:pPr>
              <w:pStyle w:val="TableBody"/>
              <w:rPr>
                <w:sz w:val="22"/>
              </w:rPr>
            </w:pPr>
            <w:r>
              <w:t>Northern Territory</w:t>
            </w:r>
          </w:p>
        </w:tc>
        <w:tc>
          <w:tcPr>
            <w:tcW w:w="4191" w:type="pct"/>
            <w:shd w:val="clear" w:color="auto" w:fill="auto"/>
            <w:hideMark/>
          </w:tcPr>
          <w:p w14:paraId="18158EC0" w14:textId="77777777" w:rsidR="00800565" w:rsidRDefault="00800565" w:rsidP="00B7309A">
            <w:pPr>
              <w:pStyle w:val="TableBullet"/>
              <w:rPr>
                <w:rFonts w:eastAsia="Calibri"/>
              </w:rPr>
            </w:pPr>
            <w:r>
              <w:rPr>
                <w:rFonts w:eastAsia="Calibri"/>
              </w:rPr>
              <w:t>Northern Territory Government Department of Environment, Parks and Water Security</w:t>
            </w:r>
          </w:p>
          <w:p w14:paraId="0E1221E3" w14:textId="77777777" w:rsidR="00800565" w:rsidRDefault="00800565" w:rsidP="00B7309A">
            <w:pPr>
              <w:pStyle w:val="TableBullet"/>
              <w:rPr>
                <w:rFonts w:eastAsia="Calibri"/>
              </w:rPr>
            </w:pPr>
            <w:r>
              <w:rPr>
                <w:rFonts w:eastAsia="Calibri"/>
              </w:rPr>
              <w:t>Power and Water</w:t>
            </w:r>
          </w:p>
          <w:p w14:paraId="68AAB58A" w14:textId="77777777" w:rsidR="00800565" w:rsidRDefault="00800565" w:rsidP="00B7309A">
            <w:pPr>
              <w:pStyle w:val="TableBullet"/>
              <w:rPr>
                <w:rFonts w:eastAsia="Calibri"/>
              </w:rPr>
            </w:pPr>
            <w:r>
              <w:rPr>
                <w:rFonts w:eastAsia="Calibri"/>
              </w:rPr>
              <w:t>Utilities Commission of the Northern Territory</w:t>
            </w:r>
          </w:p>
        </w:tc>
      </w:tr>
      <w:tr w:rsidR="00800565" w14:paraId="00A9D539" w14:textId="77777777" w:rsidTr="7EBB1CEE">
        <w:tc>
          <w:tcPr>
            <w:tcW w:w="809" w:type="pct"/>
            <w:shd w:val="clear" w:color="auto" w:fill="F2F2F2" w:themeFill="background2" w:themeFillShade="F2"/>
            <w:hideMark/>
          </w:tcPr>
          <w:p w14:paraId="3274DA39" w14:textId="77777777" w:rsidR="00800565" w:rsidRDefault="00800565" w:rsidP="00B7309A">
            <w:pPr>
              <w:pStyle w:val="TableBody"/>
              <w:rPr>
                <w:sz w:val="22"/>
              </w:rPr>
            </w:pPr>
            <w:r>
              <w:t>Queensland</w:t>
            </w:r>
          </w:p>
        </w:tc>
        <w:tc>
          <w:tcPr>
            <w:tcW w:w="4191" w:type="pct"/>
            <w:shd w:val="clear" w:color="auto" w:fill="auto"/>
            <w:hideMark/>
          </w:tcPr>
          <w:p w14:paraId="47E48E01" w14:textId="77777777" w:rsidR="00800565" w:rsidRDefault="00800565" w:rsidP="00B7309A">
            <w:pPr>
              <w:pStyle w:val="TableBullet"/>
              <w:rPr>
                <w:rFonts w:eastAsia="Calibri"/>
              </w:rPr>
            </w:pPr>
            <w:r>
              <w:rPr>
                <w:rFonts w:eastAsia="Calibri"/>
              </w:rPr>
              <w:t>Department of Natural Resources, Mines and Energy (DNRME)</w:t>
            </w:r>
          </w:p>
          <w:p w14:paraId="26289947" w14:textId="77777777" w:rsidR="00800565" w:rsidRDefault="00800565" w:rsidP="00B7309A">
            <w:pPr>
              <w:pStyle w:val="TableBullet"/>
              <w:rPr>
                <w:rFonts w:eastAsia="Calibri"/>
              </w:rPr>
            </w:pPr>
            <w:r>
              <w:rPr>
                <w:rFonts w:eastAsia="Calibri"/>
              </w:rPr>
              <w:t>Director-General of the Department of Regional Development, Manufacturing and Water</w:t>
            </w:r>
          </w:p>
          <w:p w14:paraId="7E8CF542" w14:textId="77777777" w:rsidR="00800565" w:rsidRDefault="00800565" w:rsidP="00B7309A">
            <w:pPr>
              <w:pStyle w:val="TableBullet"/>
              <w:rPr>
                <w:rFonts w:eastAsia="Calibri"/>
              </w:rPr>
            </w:pPr>
            <w:r>
              <w:rPr>
                <w:rFonts w:eastAsia="Calibri"/>
              </w:rPr>
              <w:t>Queensland Government Department of Environment and Science</w:t>
            </w:r>
          </w:p>
        </w:tc>
      </w:tr>
      <w:tr w:rsidR="00800565" w14:paraId="6F03D289" w14:textId="77777777" w:rsidTr="7EBB1CEE">
        <w:tc>
          <w:tcPr>
            <w:tcW w:w="809" w:type="pct"/>
            <w:shd w:val="clear" w:color="auto" w:fill="F2F2F2" w:themeFill="background2" w:themeFillShade="F2"/>
            <w:hideMark/>
          </w:tcPr>
          <w:p w14:paraId="0E65A315" w14:textId="77777777" w:rsidR="00800565" w:rsidRDefault="00800565" w:rsidP="00B7309A">
            <w:pPr>
              <w:pStyle w:val="TableBody"/>
              <w:rPr>
                <w:sz w:val="22"/>
              </w:rPr>
            </w:pPr>
            <w:r>
              <w:t>South Australia</w:t>
            </w:r>
          </w:p>
        </w:tc>
        <w:tc>
          <w:tcPr>
            <w:tcW w:w="4191" w:type="pct"/>
            <w:shd w:val="clear" w:color="auto" w:fill="auto"/>
            <w:hideMark/>
          </w:tcPr>
          <w:p w14:paraId="6C2E1905" w14:textId="77777777" w:rsidR="00800565" w:rsidRDefault="00800565" w:rsidP="00B7309A">
            <w:pPr>
              <w:pStyle w:val="TableBullet"/>
              <w:rPr>
                <w:rFonts w:eastAsia="Calibri"/>
              </w:rPr>
            </w:pPr>
            <w:r>
              <w:rPr>
                <w:rFonts w:eastAsia="Calibri"/>
              </w:rPr>
              <w:t>Environment Protection Authority</w:t>
            </w:r>
          </w:p>
          <w:p w14:paraId="3F82C998" w14:textId="77777777" w:rsidR="00800565" w:rsidRDefault="00800565" w:rsidP="00B7309A">
            <w:pPr>
              <w:pStyle w:val="TableBullet"/>
              <w:rPr>
                <w:rFonts w:eastAsia="Calibri"/>
              </w:rPr>
            </w:pPr>
            <w:r>
              <w:rPr>
                <w:rFonts w:eastAsia="Calibri"/>
              </w:rPr>
              <w:t>Essential Services Commission of South Australia (ESCOSA)</w:t>
            </w:r>
          </w:p>
          <w:p w14:paraId="177C9653" w14:textId="77777777" w:rsidR="00800565" w:rsidRDefault="00800565" w:rsidP="00B7309A">
            <w:pPr>
              <w:pStyle w:val="TableBullet"/>
              <w:rPr>
                <w:rFonts w:eastAsia="Calibri"/>
              </w:rPr>
            </w:pPr>
            <w:r>
              <w:rPr>
                <w:rFonts w:eastAsia="Calibri"/>
              </w:rPr>
              <w:t>Government of South Australia Department for Environment and Water</w:t>
            </w:r>
          </w:p>
          <w:p w14:paraId="219FBA48" w14:textId="77777777" w:rsidR="00800565" w:rsidRDefault="00800565" w:rsidP="00B7309A">
            <w:pPr>
              <w:pStyle w:val="TableBullet"/>
              <w:rPr>
                <w:rFonts w:eastAsia="Calibri"/>
              </w:rPr>
            </w:pPr>
            <w:r>
              <w:rPr>
                <w:rFonts w:eastAsia="Calibri"/>
              </w:rPr>
              <w:t>Government of South Australia Department of Treasury and Finance</w:t>
            </w:r>
          </w:p>
          <w:p w14:paraId="07BA249E" w14:textId="77777777" w:rsidR="00800565" w:rsidRDefault="00800565" w:rsidP="00B7309A">
            <w:pPr>
              <w:pStyle w:val="TableBullet"/>
              <w:rPr>
                <w:rFonts w:eastAsia="Calibri"/>
              </w:rPr>
            </w:pPr>
            <w:r>
              <w:rPr>
                <w:rFonts w:eastAsia="Calibri"/>
              </w:rPr>
              <w:t>Local Government Association of South Australia</w:t>
            </w:r>
          </w:p>
          <w:p w14:paraId="0B1B6751" w14:textId="77777777" w:rsidR="00800565" w:rsidRDefault="00800565" w:rsidP="00B7309A">
            <w:pPr>
              <w:pStyle w:val="TableBullet"/>
              <w:rPr>
                <w:rFonts w:eastAsia="Calibri"/>
              </w:rPr>
            </w:pPr>
            <w:r>
              <w:rPr>
                <w:rFonts w:eastAsia="Calibri"/>
              </w:rPr>
              <w:t>SA Health</w:t>
            </w:r>
          </w:p>
          <w:p w14:paraId="35573E75" w14:textId="77777777" w:rsidR="00800565" w:rsidRDefault="00800565" w:rsidP="00B7309A">
            <w:pPr>
              <w:pStyle w:val="TableBullet"/>
              <w:rPr>
                <w:rFonts w:eastAsia="Calibri"/>
              </w:rPr>
            </w:pPr>
            <w:r>
              <w:rPr>
                <w:rFonts w:eastAsia="Calibri"/>
              </w:rPr>
              <w:t>SA Water</w:t>
            </w:r>
          </w:p>
        </w:tc>
      </w:tr>
      <w:tr w:rsidR="00800565" w14:paraId="02014834" w14:textId="77777777" w:rsidTr="7EBB1CEE">
        <w:tc>
          <w:tcPr>
            <w:tcW w:w="809" w:type="pct"/>
            <w:shd w:val="clear" w:color="auto" w:fill="F2F2F2" w:themeFill="background2" w:themeFillShade="F2"/>
            <w:hideMark/>
          </w:tcPr>
          <w:p w14:paraId="00B0CF47" w14:textId="77777777" w:rsidR="00800565" w:rsidRDefault="00800565" w:rsidP="00B7309A">
            <w:pPr>
              <w:pStyle w:val="TableBody"/>
              <w:rPr>
                <w:sz w:val="22"/>
              </w:rPr>
            </w:pPr>
            <w:r>
              <w:t>Tasmania</w:t>
            </w:r>
          </w:p>
        </w:tc>
        <w:tc>
          <w:tcPr>
            <w:tcW w:w="4191" w:type="pct"/>
            <w:shd w:val="clear" w:color="auto" w:fill="auto"/>
            <w:hideMark/>
          </w:tcPr>
          <w:p w14:paraId="1A0C93DD" w14:textId="77777777" w:rsidR="00800565" w:rsidRDefault="00800565" w:rsidP="00B7309A">
            <w:pPr>
              <w:pStyle w:val="TableBullet"/>
              <w:rPr>
                <w:rFonts w:eastAsia="Calibri"/>
              </w:rPr>
            </w:pPr>
            <w:r>
              <w:rPr>
                <w:rFonts w:eastAsia="Calibri"/>
              </w:rPr>
              <w:t>Environmental Protection Authority (EPA) Tasmania</w:t>
            </w:r>
          </w:p>
          <w:p w14:paraId="6F913A2F" w14:textId="77777777" w:rsidR="00800565" w:rsidRDefault="00800565" w:rsidP="00B7309A">
            <w:pPr>
              <w:pStyle w:val="TableBullet"/>
              <w:rPr>
                <w:rFonts w:eastAsia="Calibri"/>
              </w:rPr>
            </w:pPr>
            <w:r>
              <w:rPr>
                <w:rFonts w:eastAsia="Calibri"/>
              </w:rPr>
              <w:t>Office of the Tasmanian Economic Regulator</w:t>
            </w:r>
          </w:p>
          <w:p w14:paraId="31720B8F" w14:textId="77777777" w:rsidR="00800565" w:rsidRDefault="00800565" w:rsidP="00B7309A">
            <w:pPr>
              <w:pStyle w:val="TableBullet"/>
              <w:rPr>
                <w:rFonts w:eastAsia="Calibri"/>
              </w:rPr>
            </w:pPr>
            <w:r>
              <w:rPr>
                <w:rFonts w:eastAsia="Calibri"/>
              </w:rPr>
              <w:t>Tasmanian Government Consumer, Building and Occupational Services</w:t>
            </w:r>
          </w:p>
          <w:p w14:paraId="7F322D29" w14:textId="77777777" w:rsidR="00800565" w:rsidRDefault="00800565" w:rsidP="00B7309A">
            <w:pPr>
              <w:pStyle w:val="TableBullet"/>
              <w:rPr>
                <w:rFonts w:eastAsia="Calibri"/>
              </w:rPr>
            </w:pPr>
            <w:r>
              <w:rPr>
                <w:rFonts w:eastAsia="Calibri"/>
              </w:rPr>
              <w:t>Tasmanian Government Department of Health</w:t>
            </w:r>
          </w:p>
          <w:p w14:paraId="42FB7149" w14:textId="77777777" w:rsidR="00800565" w:rsidRDefault="00800565" w:rsidP="00B7309A">
            <w:pPr>
              <w:pStyle w:val="TableBullet"/>
              <w:rPr>
                <w:rFonts w:eastAsia="Calibri"/>
              </w:rPr>
            </w:pPr>
            <w:r>
              <w:rPr>
                <w:rFonts w:eastAsia="Calibri"/>
              </w:rPr>
              <w:t>Tasmanian Government Department of Natural Resources and Environment Tasmania</w:t>
            </w:r>
          </w:p>
          <w:p w14:paraId="4335CCDE" w14:textId="77777777" w:rsidR="00800565" w:rsidRDefault="00800565" w:rsidP="00B7309A">
            <w:pPr>
              <w:pStyle w:val="TableBullet"/>
              <w:rPr>
                <w:rFonts w:eastAsia="Calibri"/>
              </w:rPr>
            </w:pPr>
            <w:r>
              <w:rPr>
                <w:rFonts w:eastAsia="Calibri"/>
              </w:rPr>
              <w:t>Tasmanian Government Department of Treasury and Finance</w:t>
            </w:r>
          </w:p>
        </w:tc>
      </w:tr>
      <w:tr w:rsidR="00800565" w14:paraId="52FDE73B" w14:textId="77777777" w:rsidTr="7EBB1CEE">
        <w:tc>
          <w:tcPr>
            <w:tcW w:w="809" w:type="pct"/>
            <w:shd w:val="clear" w:color="auto" w:fill="F2F2F2" w:themeFill="background2" w:themeFillShade="F2"/>
            <w:hideMark/>
          </w:tcPr>
          <w:p w14:paraId="063BA76B" w14:textId="77777777" w:rsidR="00800565" w:rsidRDefault="00800565" w:rsidP="00B7309A">
            <w:pPr>
              <w:pStyle w:val="TableBody"/>
              <w:rPr>
                <w:sz w:val="22"/>
              </w:rPr>
            </w:pPr>
            <w:r>
              <w:t>Victoria</w:t>
            </w:r>
          </w:p>
        </w:tc>
        <w:tc>
          <w:tcPr>
            <w:tcW w:w="4191" w:type="pct"/>
            <w:shd w:val="clear" w:color="auto" w:fill="auto"/>
            <w:hideMark/>
          </w:tcPr>
          <w:p w14:paraId="39927403" w14:textId="77777777" w:rsidR="00800565" w:rsidRDefault="00800565" w:rsidP="00B7309A">
            <w:pPr>
              <w:pStyle w:val="TableBullet"/>
              <w:rPr>
                <w:rFonts w:eastAsia="Calibri"/>
              </w:rPr>
            </w:pPr>
            <w:r>
              <w:rPr>
                <w:rFonts w:eastAsia="Calibri"/>
              </w:rPr>
              <w:t xml:space="preserve">Victorian Department of Environment, Land, Water &amp; Planning (DELWP) </w:t>
            </w:r>
          </w:p>
          <w:p w14:paraId="42797424" w14:textId="77777777" w:rsidR="00800565" w:rsidRDefault="00800565" w:rsidP="00B7309A">
            <w:pPr>
              <w:pStyle w:val="TableBullet"/>
              <w:rPr>
                <w:rFonts w:eastAsia="Calibri"/>
              </w:rPr>
            </w:pPr>
            <w:r>
              <w:rPr>
                <w:rFonts w:eastAsia="Calibri"/>
              </w:rPr>
              <w:t xml:space="preserve">Environment Protection Authority (EPA) </w:t>
            </w:r>
          </w:p>
          <w:p w14:paraId="48696A8F" w14:textId="77777777" w:rsidR="00800565" w:rsidRDefault="00800565" w:rsidP="00B7309A">
            <w:pPr>
              <w:pStyle w:val="TableBullet"/>
              <w:rPr>
                <w:rFonts w:eastAsia="Calibri"/>
              </w:rPr>
            </w:pPr>
            <w:r>
              <w:rPr>
                <w:rFonts w:eastAsia="Calibri"/>
              </w:rPr>
              <w:t>Essential Services Commission</w:t>
            </w:r>
          </w:p>
          <w:p w14:paraId="0F29D5DB" w14:textId="77777777" w:rsidR="00800565" w:rsidRDefault="00800565" w:rsidP="00B7309A">
            <w:pPr>
              <w:pStyle w:val="TableBullet"/>
              <w:rPr>
                <w:rFonts w:eastAsia="Calibri"/>
              </w:rPr>
            </w:pPr>
            <w:r>
              <w:rPr>
                <w:rFonts w:eastAsia="Calibri"/>
              </w:rPr>
              <w:t>Victorian Catchment Management Council (VCMC)</w:t>
            </w:r>
          </w:p>
        </w:tc>
      </w:tr>
      <w:tr w:rsidR="00800565" w14:paraId="3F211FBB" w14:textId="77777777" w:rsidTr="7EBB1CEE">
        <w:tc>
          <w:tcPr>
            <w:tcW w:w="809" w:type="pct"/>
            <w:shd w:val="clear" w:color="auto" w:fill="F2F2F2" w:themeFill="background2" w:themeFillShade="F2"/>
            <w:hideMark/>
          </w:tcPr>
          <w:p w14:paraId="719CB6DF" w14:textId="77777777" w:rsidR="00800565" w:rsidRDefault="00800565" w:rsidP="00B7309A">
            <w:pPr>
              <w:pStyle w:val="TableBody"/>
              <w:rPr>
                <w:sz w:val="22"/>
              </w:rPr>
            </w:pPr>
            <w:r>
              <w:t>Western Australia</w:t>
            </w:r>
          </w:p>
        </w:tc>
        <w:tc>
          <w:tcPr>
            <w:tcW w:w="4191" w:type="pct"/>
            <w:shd w:val="clear" w:color="auto" w:fill="auto"/>
            <w:hideMark/>
          </w:tcPr>
          <w:p w14:paraId="24206D31" w14:textId="77777777" w:rsidR="00800565" w:rsidRDefault="00800565" w:rsidP="00B7309A">
            <w:pPr>
              <w:pStyle w:val="TableBullet"/>
              <w:rPr>
                <w:rFonts w:eastAsia="Calibri"/>
              </w:rPr>
            </w:pPr>
            <w:r>
              <w:rPr>
                <w:rFonts w:eastAsia="Calibri"/>
              </w:rPr>
              <w:t>Economic Regulation Authority</w:t>
            </w:r>
          </w:p>
          <w:p w14:paraId="0B09C519" w14:textId="77777777" w:rsidR="00800565" w:rsidRDefault="00800565" w:rsidP="00B7309A">
            <w:pPr>
              <w:pStyle w:val="TableBullet"/>
              <w:rPr>
                <w:rFonts w:eastAsia="Calibri"/>
              </w:rPr>
            </w:pPr>
            <w:r>
              <w:rPr>
                <w:rFonts w:eastAsia="Calibri"/>
              </w:rPr>
              <w:t>Government of Western Australia Department of Health</w:t>
            </w:r>
          </w:p>
          <w:p w14:paraId="10DB10D3" w14:textId="77777777" w:rsidR="00800565" w:rsidRDefault="00800565" w:rsidP="00B7309A">
            <w:pPr>
              <w:pStyle w:val="TableBullet"/>
              <w:rPr>
                <w:rFonts w:eastAsia="Calibri"/>
              </w:rPr>
            </w:pPr>
            <w:r>
              <w:rPr>
                <w:rFonts w:eastAsia="Calibri"/>
              </w:rPr>
              <w:t>Government of Western Australia Department of Water and Environmental Regulation</w:t>
            </w:r>
          </w:p>
        </w:tc>
      </w:tr>
    </w:tbl>
    <w:p w14:paraId="74CB21CC" w14:textId="77777777" w:rsidR="00800565" w:rsidRDefault="00800565" w:rsidP="000C3D44">
      <w:pPr>
        <w:pStyle w:val="BodyText"/>
      </w:pPr>
    </w:p>
    <w:p w14:paraId="2FDC7949" w14:textId="77777777" w:rsidR="00005037" w:rsidRDefault="000C3D44" w:rsidP="008E1A28">
      <w:pPr>
        <w:pStyle w:val="AppendixH2"/>
      </w:pPr>
      <w:r>
        <w:t>Additional information on consultation</w:t>
      </w:r>
    </w:p>
    <w:p w14:paraId="3825A7D5" w14:textId="77777777" w:rsidR="00005037" w:rsidRDefault="00005037" w:rsidP="008E1A28">
      <w:pPr>
        <w:pStyle w:val="Caption"/>
      </w:pPr>
      <w:bookmarkStart w:id="588" w:name="_Toc90641081"/>
      <w:r>
        <w:t>Overview of stakeholders consulted</w:t>
      </w:r>
      <w:bookmarkEnd w:id="588"/>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5102"/>
        <w:gridCol w:w="4536"/>
      </w:tblGrid>
      <w:tr w:rsidR="00005037" w14:paraId="1904D671" w14:textId="77777777" w:rsidTr="00817F8D">
        <w:tc>
          <w:tcPr>
            <w:tcW w:w="5000" w:type="pct"/>
            <w:gridSpan w:val="2"/>
            <w:shd w:val="clear" w:color="auto" w:fill="034EA2" w:themeFill="accent1"/>
            <w:hideMark/>
          </w:tcPr>
          <w:p w14:paraId="17A466B4" w14:textId="77777777" w:rsidR="00005037" w:rsidRPr="00E43E64" w:rsidRDefault="00005037" w:rsidP="00817F8D">
            <w:pPr>
              <w:pStyle w:val="TableHeading"/>
              <w:rPr>
                <w:sz w:val="22"/>
              </w:rPr>
            </w:pPr>
            <w:r w:rsidRPr="00E43E64">
              <w:t xml:space="preserve">Stakeholders Consulted </w:t>
            </w:r>
          </w:p>
        </w:tc>
      </w:tr>
      <w:tr w:rsidR="00005037" w14:paraId="2CD20A88" w14:textId="77777777" w:rsidTr="00817F8D">
        <w:tc>
          <w:tcPr>
            <w:tcW w:w="2647" w:type="pct"/>
            <w:shd w:val="clear" w:color="auto" w:fill="auto"/>
            <w:hideMark/>
          </w:tcPr>
          <w:p w14:paraId="69A378BA" w14:textId="77777777" w:rsidR="00005037" w:rsidRPr="005B2654" w:rsidRDefault="00005037" w:rsidP="00817F8D">
            <w:pPr>
              <w:pStyle w:val="TableBullet"/>
              <w:rPr>
                <w:rFonts w:eastAsiaTheme="minorEastAsia" w:cstheme="minorBidi"/>
                <w:b/>
                <w:lang w:eastAsia="en-US"/>
              </w:rPr>
            </w:pPr>
            <w:r w:rsidRPr="009739FE">
              <w:rPr>
                <w:rFonts w:eastAsia="Calibri"/>
              </w:rPr>
              <w:t>Barwon Water</w:t>
            </w:r>
          </w:p>
          <w:p w14:paraId="3F5B62F1" w14:textId="77777777" w:rsidR="00005037" w:rsidRPr="005B2654" w:rsidRDefault="00005037" w:rsidP="00817F8D">
            <w:pPr>
              <w:pStyle w:val="TableBullet"/>
              <w:rPr>
                <w:rFonts w:eastAsia="Calibri"/>
                <w:b/>
                <w:bCs/>
                <w:lang w:eastAsia="en-US"/>
              </w:rPr>
            </w:pPr>
            <w:r w:rsidRPr="009739FE">
              <w:rPr>
                <w:rFonts w:eastAsia="Calibri"/>
              </w:rPr>
              <w:t>City of Gold Coast Water and Sewerage</w:t>
            </w:r>
          </w:p>
          <w:p w14:paraId="2FEF9C8E" w14:textId="77777777" w:rsidR="00005037" w:rsidRPr="005B2654" w:rsidRDefault="00005037" w:rsidP="00817F8D">
            <w:pPr>
              <w:pStyle w:val="TableBullet"/>
              <w:rPr>
                <w:rFonts w:eastAsia="Calibri"/>
                <w:b/>
                <w:bCs/>
                <w:lang w:eastAsia="en-US"/>
              </w:rPr>
            </w:pPr>
            <w:r w:rsidRPr="009739FE">
              <w:rPr>
                <w:rFonts w:eastAsia="Calibri"/>
              </w:rPr>
              <w:lastRenderedPageBreak/>
              <w:t>Dams Safety NSW</w:t>
            </w:r>
          </w:p>
          <w:p w14:paraId="1655C7BC" w14:textId="77777777" w:rsidR="00005037" w:rsidRPr="005B2654" w:rsidRDefault="00005037" w:rsidP="00817F8D">
            <w:pPr>
              <w:pStyle w:val="TableBullet"/>
              <w:rPr>
                <w:rFonts w:eastAsia="Calibri"/>
                <w:b/>
                <w:bCs/>
                <w:lang w:eastAsia="en-US"/>
              </w:rPr>
            </w:pPr>
            <w:r w:rsidRPr="009739FE">
              <w:rPr>
                <w:rFonts w:eastAsia="Calibri"/>
              </w:rPr>
              <w:t xml:space="preserve">Department of Regional Development, Manufacturing and Water </w:t>
            </w:r>
          </w:p>
          <w:p w14:paraId="73DC2A18" w14:textId="77777777" w:rsidR="00005037" w:rsidRPr="005B2654" w:rsidRDefault="00005037" w:rsidP="00817F8D">
            <w:pPr>
              <w:pStyle w:val="TableBullet"/>
              <w:rPr>
                <w:rFonts w:eastAsia="Calibri"/>
                <w:b/>
                <w:bCs/>
                <w:lang w:eastAsia="en-US"/>
              </w:rPr>
            </w:pPr>
            <w:r w:rsidRPr="009739FE">
              <w:rPr>
                <w:rFonts w:eastAsia="Calibri"/>
              </w:rPr>
              <w:t>Economic Regulation Authority Western Australia</w:t>
            </w:r>
          </w:p>
          <w:p w14:paraId="6047E0C4" w14:textId="77777777" w:rsidR="00005037" w:rsidRPr="005B2654" w:rsidRDefault="00005037" w:rsidP="00817F8D">
            <w:pPr>
              <w:pStyle w:val="TableBullet"/>
              <w:rPr>
                <w:rFonts w:eastAsia="Calibri"/>
                <w:b/>
                <w:bCs/>
                <w:lang w:eastAsia="en-US"/>
              </w:rPr>
            </w:pPr>
            <w:r w:rsidRPr="009739FE">
              <w:rPr>
                <w:rFonts w:eastAsia="Calibri"/>
              </w:rPr>
              <w:t>Greater Western Water</w:t>
            </w:r>
          </w:p>
          <w:p w14:paraId="40869765" w14:textId="77777777" w:rsidR="00005037" w:rsidRPr="005B2654" w:rsidRDefault="00005037" w:rsidP="00817F8D">
            <w:pPr>
              <w:pStyle w:val="TableBullet"/>
              <w:rPr>
                <w:rFonts w:eastAsia="Calibri"/>
                <w:b/>
                <w:bCs/>
                <w:lang w:eastAsia="en-US"/>
              </w:rPr>
            </w:pPr>
            <w:r w:rsidRPr="009739FE">
              <w:rPr>
                <w:rFonts w:eastAsia="Calibri"/>
              </w:rPr>
              <w:t>GWMWater</w:t>
            </w:r>
          </w:p>
          <w:p w14:paraId="066ACF84" w14:textId="77777777" w:rsidR="00005037" w:rsidRPr="005B2654" w:rsidRDefault="00005037" w:rsidP="00817F8D">
            <w:pPr>
              <w:pStyle w:val="TableBullet"/>
              <w:rPr>
                <w:rFonts w:eastAsia="Calibri"/>
                <w:b/>
                <w:bCs/>
                <w:lang w:eastAsia="en-US"/>
              </w:rPr>
            </w:pPr>
            <w:r w:rsidRPr="009739FE">
              <w:rPr>
                <w:rFonts w:eastAsia="Calibri"/>
              </w:rPr>
              <w:t>Hunter Water</w:t>
            </w:r>
          </w:p>
          <w:p w14:paraId="4AA7BBEA" w14:textId="77777777" w:rsidR="00005037" w:rsidRPr="009739FE" w:rsidRDefault="00005037" w:rsidP="00817F8D">
            <w:pPr>
              <w:pStyle w:val="TableBullet"/>
              <w:rPr>
                <w:rFonts w:eastAsia="Calibri"/>
                <w:b/>
              </w:rPr>
            </w:pPr>
            <w:r w:rsidRPr="009739FE">
              <w:rPr>
                <w:rFonts w:eastAsia="Calibri"/>
              </w:rPr>
              <w:t>Icon Water</w:t>
            </w:r>
          </w:p>
          <w:p w14:paraId="1FE0EC5B" w14:textId="77777777" w:rsidR="00005037" w:rsidRPr="009739FE" w:rsidRDefault="00005037" w:rsidP="00817F8D">
            <w:pPr>
              <w:pStyle w:val="TableBullet"/>
              <w:rPr>
                <w:rFonts w:eastAsia="Calibri"/>
                <w:b/>
              </w:rPr>
            </w:pPr>
            <w:r w:rsidRPr="009739FE">
              <w:rPr>
                <w:rFonts w:eastAsia="Calibri"/>
              </w:rPr>
              <w:t xml:space="preserve">Ixom </w:t>
            </w:r>
          </w:p>
          <w:p w14:paraId="12D82B90" w14:textId="77777777" w:rsidR="008B74AB" w:rsidRPr="009739FE" w:rsidRDefault="008B74AB" w:rsidP="00817F8D">
            <w:pPr>
              <w:pStyle w:val="TableBullet"/>
              <w:rPr>
                <w:rFonts w:eastAsia="Calibri"/>
                <w:b/>
              </w:rPr>
            </w:pPr>
            <w:r w:rsidRPr="009739FE">
              <w:rPr>
                <w:rFonts w:eastAsia="Calibri"/>
              </w:rPr>
              <w:t>Mackay Regional Council</w:t>
            </w:r>
          </w:p>
          <w:p w14:paraId="0A0BF840" w14:textId="77777777" w:rsidR="008B74AB" w:rsidRPr="009739FE" w:rsidRDefault="008B74AB" w:rsidP="00817F8D">
            <w:pPr>
              <w:pStyle w:val="TableBullet"/>
              <w:rPr>
                <w:rFonts w:eastAsia="Calibri"/>
                <w:b/>
              </w:rPr>
            </w:pPr>
            <w:r w:rsidRPr="009739FE">
              <w:rPr>
                <w:rFonts w:eastAsia="Calibri"/>
              </w:rPr>
              <w:t>Melbourne Water</w:t>
            </w:r>
          </w:p>
          <w:p w14:paraId="083F66ED" w14:textId="77777777" w:rsidR="008B74AB" w:rsidRPr="009739FE" w:rsidRDefault="008B74AB" w:rsidP="00817F8D">
            <w:pPr>
              <w:pStyle w:val="TableBullet"/>
              <w:rPr>
                <w:rFonts w:eastAsia="Calibri"/>
                <w:b/>
              </w:rPr>
            </w:pPr>
            <w:r w:rsidRPr="009739FE">
              <w:rPr>
                <w:rFonts w:eastAsia="Calibri"/>
              </w:rPr>
              <w:t>North East Water</w:t>
            </w:r>
          </w:p>
          <w:p w14:paraId="05A98CCB" w14:textId="6A3DD0FC" w:rsidR="00005037" w:rsidRPr="00817F8D" w:rsidRDefault="008B74AB" w:rsidP="00817F8D">
            <w:pPr>
              <w:pStyle w:val="TableBullet"/>
              <w:rPr>
                <w:rFonts w:eastAsia="Calibri"/>
                <w:b/>
              </w:rPr>
            </w:pPr>
            <w:r w:rsidRPr="009739FE">
              <w:rPr>
                <w:rFonts w:eastAsia="Calibri"/>
              </w:rPr>
              <w:t>Power Water</w:t>
            </w:r>
          </w:p>
        </w:tc>
        <w:tc>
          <w:tcPr>
            <w:tcW w:w="2353" w:type="pct"/>
            <w:shd w:val="clear" w:color="auto" w:fill="auto"/>
          </w:tcPr>
          <w:p w14:paraId="548B0496" w14:textId="77777777" w:rsidR="00005037" w:rsidRPr="005B2654" w:rsidRDefault="00005037" w:rsidP="00817F8D">
            <w:pPr>
              <w:pStyle w:val="TableBullet"/>
              <w:rPr>
                <w:rFonts w:eastAsia="Calibri"/>
                <w:bCs/>
                <w:lang w:eastAsia="en-US"/>
              </w:rPr>
            </w:pPr>
            <w:r w:rsidRPr="005B2654">
              <w:rPr>
                <w:rFonts w:eastAsia="Calibri"/>
                <w:bCs/>
                <w:lang w:eastAsia="en-US"/>
              </w:rPr>
              <w:lastRenderedPageBreak/>
              <w:t>South Australia Water</w:t>
            </w:r>
          </w:p>
          <w:p w14:paraId="743BDB36" w14:textId="77777777" w:rsidR="00005037" w:rsidRPr="005B2654" w:rsidRDefault="00005037" w:rsidP="00817F8D">
            <w:pPr>
              <w:pStyle w:val="TableBullet"/>
              <w:rPr>
                <w:rFonts w:eastAsia="Calibri"/>
                <w:bCs/>
                <w:lang w:eastAsia="en-US"/>
              </w:rPr>
            </w:pPr>
            <w:r w:rsidRPr="005B2654">
              <w:rPr>
                <w:rFonts w:eastAsia="Calibri"/>
                <w:bCs/>
                <w:lang w:eastAsia="en-US"/>
              </w:rPr>
              <w:t>South East Water</w:t>
            </w:r>
          </w:p>
          <w:p w14:paraId="375595F6" w14:textId="77777777" w:rsidR="00005037" w:rsidRPr="005B2654" w:rsidRDefault="00005037" w:rsidP="00817F8D">
            <w:pPr>
              <w:pStyle w:val="TableBullet"/>
              <w:rPr>
                <w:rFonts w:eastAsia="Calibri"/>
                <w:bCs/>
                <w:lang w:eastAsia="en-US"/>
              </w:rPr>
            </w:pPr>
            <w:r w:rsidRPr="005B2654">
              <w:rPr>
                <w:rFonts w:eastAsia="Calibri"/>
                <w:bCs/>
                <w:lang w:eastAsia="en-US"/>
              </w:rPr>
              <w:lastRenderedPageBreak/>
              <w:t>Sunwater</w:t>
            </w:r>
          </w:p>
          <w:p w14:paraId="6966D535" w14:textId="77777777" w:rsidR="00005037" w:rsidRPr="005B2654" w:rsidRDefault="00005037" w:rsidP="00817F8D">
            <w:pPr>
              <w:pStyle w:val="TableBullet"/>
              <w:rPr>
                <w:rFonts w:eastAsia="Calibri"/>
                <w:bCs/>
                <w:lang w:eastAsia="en-US"/>
              </w:rPr>
            </w:pPr>
            <w:r w:rsidRPr="005B2654">
              <w:rPr>
                <w:rFonts w:eastAsia="Calibri"/>
                <w:bCs/>
                <w:lang w:eastAsia="en-US"/>
              </w:rPr>
              <w:t>Sydney Water</w:t>
            </w:r>
          </w:p>
          <w:p w14:paraId="290E401A" w14:textId="77777777" w:rsidR="00005037" w:rsidRPr="005B2654" w:rsidRDefault="00005037" w:rsidP="00817F8D">
            <w:pPr>
              <w:pStyle w:val="TableBullet"/>
              <w:rPr>
                <w:rFonts w:eastAsia="Calibri"/>
                <w:bCs/>
                <w:lang w:eastAsia="en-US"/>
              </w:rPr>
            </w:pPr>
            <w:r w:rsidRPr="005B2654">
              <w:rPr>
                <w:rFonts w:eastAsia="Calibri"/>
                <w:bCs/>
                <w:lang w:eastAsia="en-US"/>
              </w:rPr>
              <w:t>TasWater</w:t>
            </w:r>
          </w:p>
          <w:p w14:paraId="22BDE3DD" w14:textId="77777777" w:rsidR="00005037" w:rsidRPr="005B2654" w:rsidRDefault="00005037" w:rsidP="00817F8D">
            <w:pPr>
              <w:pStyle w:val="TableBullet"/>
              <w:rPr>
                <w:rFonts w:eastAsia="Calibri"/>
                <w:bCs/>
                <w:lang w:eastAsia="en-US"/>
              </w:rPr>
            </w:pPr>
            <w:r w:rsidRPr="005B2654">
              <w:rPr>
                <w:rFonts w:eastAsia="Calibri"/>
                <w:bCs/>
                <w:lang w:eastAsia="en-US"/>
              </w:rPr>
              <w:t>The Water Directorate</w:t>
            </w:r>
          </w:p>
          <w:p w14:paraId="69DB5486" w14:textId="77777777" w:rsidR="00005037" w:rsidRPr="005B2654" w:rsidRDefault="00005037" w:rsidP="00817F8D">
            <w:pPr>
              <w:pStyle w:val="TableBullet"/>
              <w:rPr>
                <w:rFonts w:eastAsia="Calibri"/>
                <w:bCs/>
                <w:lang w:eastAsia="en-US"/>
              </w:rPr>
            </w:pPr>
            <w:r w:rsidRPr="005B2654">
              <w:rPr>
                <w:rFonts w:eastAsia="Calibri"/>
                <w:bCs/>
                <w:lang w:eastAsia="en-US"/>
              </w:rPr>
              <w:t>Trility</w:t>
            </w:r>
          </w:p>
          <w:p w14:paraId="1E467E36" w14:textId="77777777" w:rsidR="00005037" w:rsidRPr="005B2654" w:rsidRDefault="00005037" w:rsidP="00817F8D">
            <w:pPr>
              <w:pStyle w:val="TableBullet"/>
              <w:rPr>
                <w:rFonts w:eastAsia="Calibri"/>
                <w:bCs/>
                <w:lang w:eastAsia="en-US"/>
              </w:rPr>
            </w:pPr>
            <w:r w:rsidRPr="005B2654">
              <w:rPr>
                <w:rFonts w:eastAsia="Calibri"/>
                <w:bCs/>
                <w:lang w:eastAsia="en-US"/>
              </w:rPr>
              <w:t>Unity Water</w:t>
            </w:r>
          </w:p>
          <w:p w14:paraId="116495D1" w14:textId="77777777" w:rsidR="00005037" w:rsidRPr="005B2654" w:rsidRDefault="00005037" w:rsidP="00817F8D">
            <w:pPr>
              <w:pStyle w:val="TableBullet"/>
              <w:rPr>
                <w:rFonts w:eastAsia="Calibri"/>
                <w:bCs/>
                <w:lang w:eastAsia="en-US"/>
              </w:rPr>
            </w:pPr>
            <w:r w:rsidRPr="005B2654">
              <w:rPr>
                <w:rFonts w:eastAsia="Calibri"/>
                <w:bCs/>
                <w:lang w:eastAsia="en-US"/>
              </w:rPr>
              <w:t xml:space="preserve">Urban Utilities </w:t>
            </w:r>
          </w:p>
          <w:p w14:paraId="5AD42F3E" w14:textId="77777777" w:rsidR="00005037" w:rsidRPr="005B2654" w:rsidRDefault="00005037" w:rsidP="00817F8D">
            <w:pPr>
              <w:pStyle w:val="TableBullet"/>
              <w:rPr>
                <w:rFonts w:eastAsia="Calibri"/>
                <w:bCs/>
                <w:lang w:eastAsia="en-US"/>
              </w:rPr>
            </w:pPr>
            <w:r w:rsidRPr="005B2654">
              <w:rPr>
                <w:rFonts w:eastAsia="Calibri"/>
                <w:bCs/>
                <w:lang w:eastAsia="en-US"/>
              </w:rPr>
              <w:t>VicWater</w:t>
            </w:r>
          </w:p>
          <w:p w14:paraId="19253FD5" w14:textId="77777777" w:rsidR="00005037" w:rsidRPr="005B2654" w:rsidRDefault="00005037" w:rsidP="00817F8D">
            <w:pPr>
              <w:pStyle w:val="TableBullet"/>
              <w:rPr>
                <w:rFonts w:eastAsia="Calibri"/>
                <w:bCs/>
                <w:lang w:eastAsia="en-US"/>
              </w:rPr>
            </w:pPr>
            <w:r w:rsidRPr="005B2654">
              <w:rPr>
                <w:rFonts w:eastAsia="Calibri"/>
                <w:bCs/>
                <w:lang w:eastAsia="en-US"/>
              </w:rPr>
              <w:t>Water Corporation WA</w:t>
            </w:r>
          </w:p>
          <w:p w14:paraId="450E8DD8" w14:textId="77777777" w:rsidR="00005037" w:rsidRPr="005B2654" w:rsidRDefault="00005037" w:rsidP="00817F8D">
            <w:pPr>
              <w:pStyle w:val="TableBullet"/>
              <w:rPr>
                <w:rFonts w:eastAsia="Calibri"/>
                <w:bCs/>
                <w:lang w:eastAsia="en-US"/>
              </w:rPr>
            </w:pPr>
            <w:r w:rsidRPr="005B2654">
              <w:rPr>
                <w:rFonts w:eastAsia="Calibri"/>
                <w:bCs/>
                <w:lang w:eastAsia="en-US"/>
              </w:rPr>
              <w:t>Water NSW</w:t>
            </w:r>
          </w:p>
          <w:p w14:paraId="5A646B89" w14:textId="77777777" w:rsidR="00005037" w:rsidRPr="005B2654" w:rsidRDefault="00005037" w:rsidP="00817F8D">
            <w:pPr>
              <w:pStyle w:val="TableBullet"/>
              <w:rPr>
                <w:rFonts w:eastAsia="Calibri"/>
                <w:bCs/>
                <w:lang w:eastAsia="en-US"/>
              </w:rPr>
            </w:pPr>
            <w:r w:rsidRPr="005B2654">
              <w:rPr>
                <w:rFonts w:eastAsia="Calibri"/>
                <w:bCs/>
                <w:lang w:eastAsia="en-US"/>
              </w:rPr>
              <w:t>Water Services Association of Australia (WSAA)</w:t>
            </w:r>
          </w:p>
          <w:p w14:paraId="601BFD52" w14:textId="61A34CC4" w:rsidR="00005037" w:rsidRPr="00817F8D" w:rsidRDefault="00005037" w:rsidP="00817F8D">
            <w:pPr>
              <w:pStyle w:val="TableBullet"/>
              <w:rPr>
                <w:rFonts w:eastAsia="Calibri"/>
                <w:bCs/>
                <w:lang w:eastAsia="en-US"/>
              </w:rPr>
            </w:pPr>
            <w:r w:rsidRPr="005B2654">
              <w:rPr>
                <w:rFonts w:eastAsia="Calibri"/>
                <w:bCs/>
                <w:lang w:eastAsia="en-US"/>
              </w:rPr>
              <w:t>Yarra Valley Water</w:t>
            </w:r>
          </w:p>
        </w:tc>
      </w:tr>
    </w:tbl>
    <w:p w14:paraId="10EAD1C9" w14:textId="77777777" w:rsidR="00005037" w:rsidRDefault="00005037" w:rsidP="008E1A28">
      <w:pPr>
        <w:pStyle w:val="Caption"/>
      </w:pPr>
      <w:bookmarkStart w:id="589" w:name="_Toc90641201"/>
      <w:r>
        <w:lastRenderedPageBreak/>
        <w:t>Consultation timeline</w:t>
      </w:r>
      <w:bookmarkEnd w:id="589"/>
    </w:p>
    <w:p w14:paraId="1B7EBF59" w14:textId="691BC074" w:rsidR="00005037" w:rsidRPr="000C2734" w:rsidRDefault="00E47D1D" w:rsidP="000C2734">
      <w:pPr>
        <w:pStyle w:val="BodyText"/>
      </w:pPr>
      <w:r w:rsidRPr="00E47D1D">
        <w:rPr>
          <w:noProof/>
          <w:lang w:eastAsia="en-AU"/>
        </w:rPr>
        <w:drawing>
          <wp:inline distT="0" distB="0" distL="0" distR="0" wp14:anchorId="5CE749CB" wp14:editId="2293578D">
            <wp:extent cx="5992544" cy="6777355"/>
            <wp:effectExtent l="0" t="0" r="8255" b="444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a:picLocks noChangeAspect="1" noChangeArrowheads="1"/>
                    </pic:cNvPicPr>
                  </pic:nvPicPr>
                  <pic:blipFill>
                    <a:blip r:embed="rId54"/>
                    <a:stretch>
                      <a:fillRect/>
                    </a:stretch>
                  </pic:blipFill>
                  <pic:spPr bwMode="auto">
                    <a:xfrm>
                      <a:off x="0" y="0"/>
                      <a:ext cx="5992544" cy="6777355"/>
                    </a:xfrm>
                    <a:prstGeom prst="rect">
                      <a:avLst/>
                    </a:prstGeom>
                    <a:noFill/>
                    <a:ln>
                      <a:noFill/>
                    </a:ln>
                  </pic:spPr>
                </pic:pic>
              </a:graphicData>
            </a:graphic>
          </wp:inline>
        </w:drawing>
      </w:r>
    </w:p>
    <w:p w14:paraId="1C32B973" w14:textId="6101241A" w:rsidR="000C2734" w:rsidRDefault="000C2734" w:rsidP="000C2734">
      <w:pPr>
        <w:pStyle w:val="BodyText"/>
      </w:pPr>
    </w:p>
    <w:p w14:paraId="03D2E38C" w14:textId="4C702D21" w:rsidR="000C2734" w:rsidRDefault="000C2734" w:rsidP="000C2734">
      <w:pPr>
        <w:pStyle w:val="BodyText"/>
      </w:pPr>
    </w:p>
    <w:p w14:paraId="06801878" w14:textId="77777777" w:rsidR="000C2734" w:rsidRDefault="000C2734" w:rsidP="000C2734">
      <w:pPr>
        <w:pStyle w:val="BodyText"/>
      </w:pPr>
    </w:p>
    <w:p w14:paraId="687F7D11" w14:textId="460A823A" w:rsidR="001E4026" w:rsidRPr="000F20CF" w:rsidRDefault="001E4026" w:rsidP="008E1A28">
      <w:pPr>
        <w:pStyle w:val="AppendixH2"/>
      </w:pPr>
      <w:r w:rsidRPr="00D65A59">
        <w:t xml:space="preserve">RMP Rules consultation </w:t>
      </w:r>
    </w:p>
    <w:p w14:paraId="7DEDD6CE" w14:textId="7D22F679" w:rsidR="003D2196" w:rsidRDefault="003D2196" w:rsidP="004F6E47">
      <w:pPr>
        <w:pStyle w:val="BodyText"/>
      </w:pPr>
      <w:r>
        <w:t xml:space="preserve">Consultation with industry stakeholders occurred </w:t>
      </w:r>
      <w:r w:rsidR="00177639">
        <w:t>across the following</w:t>
      </w:r>
      <w:r>
        <w:t xml:space="preserve"> key stages: </w:t>
      </w:r>
    </w:p>
    <w:p w14:paraId="285690AD" w14:textId="77777777" w:rsidR="003D2196" w:rsidRDefault="003D2196" w:rsidP="007F265A">
      <w:pPr>
        <w:numPr>
          <w:ilvl w:val="0"/>
          <w:numId w:val="168"/>
        </w:numPr>
        <w:spacing w:before="240" w:after="240" w:line="256" w:lineRule="auto"/>
        <w:ind w:hanging="357"/>
        <w:rPr>
          <w:rFonts w:ascii="Arial" w:eastAsia="Calibri" w:hAnsi="Arial" w:cs="Arial"/>
          <w:sz w:val="22"/>
        </w:rPr>
      </w:pPr>
      <w:r>
        <w:rPr>
          <w:rFonts w:ascii="Arial" w:eastAsia="Calibri" w:hAnsi="Arial" w:cs="Arial"/>
          <w:b/>
          <w:bCs/>
          <w:sz w:val="22"/>
        </w:rPr>
        <w:lastRenderedPageBreak/>
        <w:t>A virtual town hall</w:t>
      </w:r>
      <w:r>
        <w:rPr>
          <w:rFonts w:ascii="Arial" w:eastAsia="Calibri" w:hAnsi="Arial" w:cs="Arial"/>
          <w:sz w:val="22"/>
        </w:rPr>
        <w:t xml:space="preserve">, held in July 2021 attended by approximately 83 industry and Government stakeholders, to communicate the purpose of the consultation process and obtain information to inform the design of future workshops. </w:t>
      </w:r>
    </w:p>
    <w:p w14:paraId="1BF90FCC" w14:textId="77777777" w:rsidR="003D2196" w:rsidRPr="000C2734" w:rsidRDefault="003D2196" w:rsidP="007F265A">
      <w:pPr>
        <w:numPr>
          <w:ilvl w:val="0"/>
          <w:numId w:val="168"/>
        </w:numPr>
        <w:spacing w:before="240" w:after="240" w:line="256" w:lineRule="auto"/>
        <w:ind w:hanging="357"/>
        <w:rPr>
          <w:rFonts w:ascii="Arial" w:eastAsia="Calibri" w:hAnsi="Arial" w:cs="Arial"/>
          <w:spacing w:val="-2"/>
          <w:sz w:val="22"/>
        </w:rPr>
      </w:pPr>
      <w:r w:rsidRPr="000C2734">
        <w:rPr>
          <w:rFonts w:ascii="Arial" w:eastAsia="Calibri" w:hAnsi="Arial" w:cs="Arial"/>
          <w:b/>
          <w:bCs/>
          <w:spacing w:val="-2"/>
          <w:sz w:val="22"/>
        </w:rPr>
        <w:t>A series of</w:t>
      </w:r>
      <w:r w:rsidRPr="000C2734">
        <w:rPr>
          <w:rFonts w:ascii="Arial" w:eastAsia="Calibri" w:hAnsi="Arial" w:cs="Arial"/>
          <w:b/>
          <w:spacing w:val="-2"/>
          <w:sz w:val="22"/>
        </w:rPr>
        <w:t xml:space="preserve"> 3</w:t>
      </w:r>
      <w:r w:rsidRPr="000C2734">
        <w:rPr>
          <w:rFonts w:ascii="Arial" w:eastAsia="Calibri" w:hAnsi="Arial" w:cs="Arial"/>
          <w:b/>
          <w:bCs/>
          <w:spacing w:val="-2"/>
          <w:sz w:val="22"/>
        </w:rPr>
        <w:t xml:space="preserve"> virtual workshops</w:t>
      </w:r>
      <w:r w:rsidRPr="000C2734">
        <w:rPr>
          <w:rFonts w:ascii="Arial" w:eastAsia="Calibri" w:hAnsi="Arial" w:cs="Arial"/>
          <w:spacing w:val="-2"/>
          <w:sz w:val="22"/>
        </w:rPr>
        <w:t xml:space="preserve">, held over a six-week period beginning in July and August 2021 and each attended by approximately 90 industry and Government stakeholders, which provided a forum to consult on RMP Rules and assisted in understanding the costs and benefits associated with implementing the RMP framework. Workshops were designed to provide: </w:t>
      </w:r>
    </w:p>
    <w:p w14:paraId="3CDFBB82" w14:textId="77777777" w:rsidR="003D2196" w:rsidRDefault="003D2196" w:rsidP="00CE4B35">
      <w:pPr>
        <w:pStyle w:val="Bullet2ndlevel"/>
        <w:numPr>
          <w:ilvl w:val="0"/>
          <w:numId w:val="178"/>
        </w:numPr>
      </w:pPr>
      <w:r>
        <w:t xml:space="preserve">Several opportunities for discussion and feedback to gather industry perspectives; </w:t>
      </w:r>
    </w:p>
    <w:p w14:paraId="6E293F1E" w14:textId="77777777" w:rsidR="003D2196" w:rsidRDefault="003D2196" w:rsidP="00CE4B35">
      <w:pPr>
        <w:pStyle w:val="Bullet2ndlevel"/>
        <w:numPr>
          <w:ilvl w:val="0"/>
          <w:numId w:val="178"/>
        </w:numPr>
      </w:pPr>
      <w:r>
        <w:t xml:space="preserve">Polling, in-session surveys and facilitated discussions; and </w:t>
      </w:r>
    </w:p>
    <w:p w14:paraId="3F675A62" w14:textId="77777777" w:rsidR="003D2196" w:rsidRDefault="003D2196" w:rsidP="00CE4B35">
      <w:pPr>
        <w:pStyle w:val="Bullet2ndlevel"/>
        <w:numPr>
          <w:ilvl w:val="0"/>
          <w:numId w:val="178"/>
        </w:numPr>
      </w:pPr>
      <w:r>
        <w:t xml:space="preserve">‘Break out room’ discussions, divided into [categories if applicable] to ensure comprehensive discussion occurred across all subsets of industry. </w:t>
      </w:r>
    </w:p>
    <w:p w14:paraId="7B033E6F" w14:textId="77777777" w:rsidR="003D2196" w:rsidRDefault="003D2196" w:rsidP="007F265A">
      <w:pPr>
        <w:numPr>
          <w:ilvl w:val="0"/>
          <w:numId w:val="168"/>
        </w:numPr>
        <w:spacing w:before="240" w:after="240" w:line="256" w:lineRule="auto"/>
        <w:ind w:left="351" w:hanging="357"/>
        <w:rPr>
          <w:rFonts w:ascii="Arial" w:eastAsia="Calibri" w:hAnsi="Arial" w:cs="Arial"/>
          <w:sz w:val="22"/>
        </w:rPr>
      </w:pPr>
      <w:r>
        <w:rPr>
          <w:rFonts w:ascii="Arial" w:eastAsia="Calibri" w:hAnsi="Arial" w:cs="Arial"/>
          <w:b/>
          <w:bCs/>
          <w:sz w:val="22"/>
        </w:rPr>
        <w:t>Out-of-session consultation</w:t>
      </w:r>
      <w:r>
        <w:rPr>
          <w:rFonts w:ascii="Arial" w:eastAsia="Calibri" w:hAnsi="Arial" w:cs="Arial"/>
          <w:sz w:val="22"/>
        </w:rPr>
        <w:t>, including meetings with several stakeholders and extensive email communication.</w:t>
      </w:r>
    </w:p>
    <w:p w14:paraId="467F2A8D" w14:textId="77777777" w:rsidR="003D2196" w:rsidRDefault="003D2196" w:rsidP="004F6E47">
      <w:pPr>
        <w:pStyle w:val="Bullet2ndlevel"/>
      </w:pPr>
      <w:r>
        <w:t xml:space="preserve">Stakeholders were encouraged to contact the Department out-of-session. The Department availed itself to stakeholders to discuss their concerns, working to ensure stakeholders’ understanding of the rules, and the rules’ proportionality. </w:t>
      </w:r>
    </w:p>
    <w:p w14:paraId="17903160" w14:textId="77777777" w:rsidR="003D2196" w:rsidRDefault="003D2196" w:rsidP="004F6E47">
      <w:pPr>
        <w:pStyle w:val="Bullet2ndlevel"/>
      </w:pPr>
      <w:r>
        <w:t xml:space="preserve">Out-of-session engagement also assisted in the iterative development of rules between workshops, through addressing concerns raised by individual stakeholders and proposing a solution. </w:t>
      </w:r>
    </w:p>
    <w:p w14:paraId="11C2F4AA" w14:textId="77777777" w:rsidR="003D2196" w:rsidRDefault="003D2196" w:rsidP="004F6E47">
      <w:pPr>
        <w:pStyle w:val="Bullet2ndlevel"/>
      </w:pPr>
      <w:r>
        <w:t>This engagement strengthened the relationship between the Department and industry, while providing insights on implementation costs, entities’ operating environments and the overall impacts of the proposed regulatory changes.</w:t>
      </w:r>
    </w:p>
    <w:p w14:paraId="7F30C77D" w14:textId="5D031757" w:rsidR="003D2196" w:rsidRDefault="003D2196" w:rsidP="007F265A">
      <w:pPr>
        <w:pStyle w:val="ListParagraph"/>
        <w:numPr>
          <w:ilvl w:val="0"/>
          <w:numId w:val="168"/>
        </w:numPr>
        <w:spacing w:line="264" w:lineRule="auto"/>
        <w:rPr>
          <w:rFonts w:eastAsia="Calibri"/>
        </w:rPr>
      </w:pPr>
      <w:r>
        <w:rPr>
          <w:rFonts w:eastAsia="Calibri"/>
          <w:b/>
          <w:bCs/>
        </w:rPr>
        <w:t xml:space="preserve">Two follow-up Consultation Sessions and </w:t>
      </w:r>
      <w:r w:rsidR="005C3A1B">
        <w:rPr>
          <w:rFonts w:eastAsia="Calibri"/>
          <w:b/>
          <w:bCs/>
        </w:rPr>
        <w:t xml:space="preserve">two </w:t>
      </w:r>
      <w:r>
        <w:rPr>
          <w:rFonts w:eastAsia="Calibri"/>
          <w:b/>
          <w:bCs/>
        </w:rPr>
        <w:t>Industry-agnostic Town Hall</w:t>
      </w:r>
      <w:r w:rsidR="005C3A1B">
        <w:rPr>
          <w:rFonts w:eastAsia="Calibri"/>
          <w:b/>
          <w:bCs/>
        </w:rPr>
        <w:t>s</w:t>
      </w:r>
      <w:r>
        <w:rPr>
          <w:rFonts w:eastAsia="Calibri"/>
        </w:rPr>
        <w:t xml:space="preserve"> held in </w:t>
      </w:r>
      <w:r w:rsidR="005C3A1B">
        <w:rPr>
          <w:rFonts w:eastAsia="Calibri"/>
        </w:rPr>
        <w:t xml:space="preserve">October </w:t>
      </w:r>
      <w:r>
        <w:rPr>
          <w:rFonts w:eastAsia="Calibri"/>
        </w:rPr>
        <w:t xml:space="preserve">and </w:t>
      </w:r>
      <w:r w:rsidR="005C3A1B">
        <w:rPr>
          <w:rFonts w:eastAsia="Calibri"/>
        </w:rPr>
        <w:t xml:space="preserve">November </w:t>
      </w:r>
      <w:r>
        <w:rPr>
          <w:rFonts w:eastAsia="Calibri"/>
        </w:rPr>
        <w:t>2021. The purpose of the consultation sessions was to provide an update for industry on the move from sector-specific to sector-agnostic RMP rules and to gain sector-specific feedback on the updated RMP rules. The purpose of the Industry Town Hall was to present the updated RMP rules and provide information on the further consultation period. The two consultation sessions were attended by approximately 75 and 60 industry and Government stakeholders respectively. The</w:t>
      </w:r>
      <w:r w:rsidR="005C3A1B">
        <w:rPr>
          <w:rFonts w:eastAsia="Calibri"/>
        </w:rPr>
        <w:t xml:space="preserve"> later</w:t>
      </w:r>
      <w:r>
        <w:rPr>
          <w:rFonts w:eastAsia="Calibri"/>
        </w:rPr>
        <w:t xml:space="preserve"> Town Hall was attended by approximately 800 industry and Government stakeholders across the </w:t>
      </w:r>
      <w:r w:rsidR="0030492E">
        <w:rPr>
          <w:rFonts w:eastAsia="Calibri"/>
        </w:rPr>
        <w:t>10</w:t>
      </w:r>
      <w:r>
        <w:rPr>
          <w:rFonts w:eastAsia="Calibri"/>
        </w:rPr>
        <w:t xml:space="preserve"> critical infrastructure sectors, including by many stakeholders from the water and sewerage sector.  </w:t>
      </w:r>
    </w:p>
    <w:p w14:paraId="7FB7C59E" w14:textId="41568122" w:rsidR="00F318A5" w:rsidRPr="00CE4B35" w:rsidRDefault="00F318A5" w:rsidP="00CE4B35">
      <w:pPr>
        <w:pStyle w:val="Bullet1stlevel"/>
        <w:numPr>
          <w:ilvl w:val="0"/>
          <w:numId w:val="168"/>
        </w:numPr>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0D620D49" w14:textId="77777777" w:rsidR="0062033C" w:rsidRDefault="0062033C" w:rsidP="004F6E47">
      <w:pPr>
        <w:pStyle w:val="BodyText"/>
      </w:pPr>
      <w:r>
        <w:t xml:space="preserve">There were some concerns that the sector-agnostic rules would not provide enough sector-specific guidance on risk management processes to achieve an uplift in security and resilience. There were also concerns that the drafting of the sector-agnostic rules had not adequately leveraged the sector-specific discussions to-date. However, industry was appreciative of the Government’s commitment to working with industry to provide sector-specific guidance material, which would be both reflective of the sector’s maturity levels and best practices, and easily updatable in response to new threats, to support a sustainable uplift in risk management practices. They understood that this guidance material would heavily leverage the sector-specific discussions to-date. </w:t>
      </w:r>
    </w:p>
    <w:p w14:paraId="0D4B776A" w14:textId="77777777" w:rsidR="0062033C" w:rsidRDefault="0062033C" w:rsidP="008E1A28">
      <w:pPr>
        <w:pStyle w:val="Caption"/>
      </w:pPr>
      <w:bookmarkStart w:id="590" w:name="_Toc90641085"/>
      <w:r>
        <w:lastRenderedPageBreak/>
        <w:t>Key themes from consultation</w:t>
      </w:r>
      <w:bookmarkEnd w:id="590"/>
    </w:p>
    <w:tbl>
      <w:tblPr>
        <w:tblStyle w:val="TableGrid5"/>
        <w:tblW w:w="5000" w:type="pct"/>
        <w:jc w:val="center"/>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1115"/>
        <w:gridCol w:w="599"/>
        <w:gridCol w:w="3566"/>
        <w:gridCol w:w="4358"/>
      </w:tblGrid>
      <w:tr w:rsidR="0062033C" w14:paraId="758D0B52" w14:textId="77777777" w:rsidTr="00817F8D">
        <w:trPr>
          <w:cantSplit/>
          <w:tblHeader/>
          <w:jc w:val="center"/>
        </w:trPr>
        <w:tc>
          <w:tcPr>
            <w:tcW w:w="578" w:type="pct"/>
            <w:shd w:val="clear" w:color="auto" w:fill="034EA2" w:themeFill="accent1"/>
            <w:vAlign w:val="center"/>
            <w:hideMark/>
          </w:tcPr>
          <w:p w14:paraId="2330E6B7" w14:textId="77777777" w:rsidR="0062033C" w:rsidRDefault="0062033C" w:rsidP="00817F8D">
            <w:pPr>
              <w:pStyle w:val="TableHeading"/>
            </w:pPr>
            <w:r>
              <w:t>Rule category</w:t>
            </w:r>
          </w:p>
        </w:tc>
        <w:tc>
          <w:tcPr>
            <w:tcW w:w="2161" w:type="pct"/>
            <w:gridSpan w:val="2"/>
            <w:shd w:val="clear" w:color="auto" w:fill="034EA2" w:themeFill="accent1"/>
            <w:vAlign w:val="center"/>
            <w:hideMark/>
          </w:tcPr>
          <w:p w14:paraId="260FBFB7" w14:textId="77777777" w:rsidR="0062033C" w:rsidRDefault="0062033C" w:rsidP="00817F8D">
            <w:pPr>
              <w:pStyle w:val="TableHeading"/>
            </w:pPr>
            <w:r>
              <w:t>Identified themes</w:t>
            </w:r>
          </w:p>
        </w:tc>
        <w:tc>
          <w:tcPr>
            <w:tcW w:w="2261" w:type="pct"/>
            <w:shd w:val="clear" w:color="auto" w:fill="034EA2" w:themeFill="accent1"/>
            <w:vAlign w:val="center"/>
            <w:hideMark/>
          </w:tcPr>
          <w:p w14:paraId="453AA307" w14:textId="77777777" w:rsidR="0062033C" w:rsidRDefault="0062033C" w:rsidP="00817F8D">
            <w:pPr>
              <w:pStyle w:val="TableHeading"/>
            </w:pPr>
            <w:r>
              <w:t>Impact on development of rules</w:t>
            </w:r>
          </w:p>
        </w:tc>
      </w:tr>
      <w:tr w:rsidR="0062033C" w14:paraId="55A23787" w14:textId="77777777" w:rsidTr="00817F8D">
        <w:trPr>
          <w:cantSplit/>
          <w:trHeight w:val="3101"/>
          <w:jc w:val="center"/>
        </w:trPr>
        <w:tc>
          <w:tcPr>
            <w:tcW w:w="578" w:type="pct"/>
            <w:shd w:val="clear" w:color="auto" w:fill="BBDAFD" w:themeFill="accent1" w:themeFillTint="33"/>
            <w:hideMark/>
          </w:tcPr>
          <w:p w14:paraId="3EF84971" w14:textId="77777777" w:rsidR="0062033C" w:rsidRDefault="0062033C" w:rsidP="00817F8D">
            <w:pPr>
              <w:pStyle w:val="TableBody"/>
            </w:pPr>
            <w:r>
              <w:t xml:space="preserve">Sector-agnostic RMP Rules </w:t>
            </w:r>
          </w:p>
        </w:tc>
        <w:tc>
          <w:tcPr>
            <w:tcW w:w="311" w:type="pct"/>
            <w:shd w:val="clear" w:color="auto" w:fill="EDEDED"/>
            <w:textDirection w:val="btLr"/>
          </w:tcPr>
          <w:p w14:paraId="15D4BD85" w14:textId="5F58FECC" w:rsidR="0062033C" w:rsidRPr="00817F8D" w:rsidRDefault="0062033C" w:rsidP="00817F8D">
            <w:pPr>
              <w:pStyle w:val="TableBody"/>
              <w:jc w:val="center"/>
              <w:rPr>
                <w:b/>
                <w:bCs/>
              </w:rPr>
            </w:pPr>
            <w:r w:rsidRPr="00817F8D">
              <w:rPr>
                <w:b/>
                <w:bCs/>
              </w:rPr>
              <w:t>Information Sessions</w:t>
            </w:r>
          </w:p>
        </w:tc>
        <w:tc>
          <w:tcPr>
            <w:tcW w:w="1850" w:type="pct"/>
          </w:tcPr>
          <w:p w14:paraId="1D7763AC" w14:textId="77777777" w:rsidR="0062033C" w:rsidRDefault="0062033C" w:rsidP="00817F8D">
            <w:pPr>
              <w:pStyle w:val="TableBullet"/>
              <w:rPr>
                <w:rFonts w:eastAsia="Calibri"/>
                <w:b/>
                <w:bCs/>
              </w:rPr>
            </w:pPr>
            <w:r>
              <w:rPr>
                <w:rFonts w:eastAsia="Calibri"/>
              </w:rPr>
              <w:t xml:space="preserve">Industry mostly believes the RMP Rules are </w:t>
            </w:r>
            <w:r>
              <w:rPr>
                <w:rFonts w:eastAsia="Calibri"/>
                <w:b/>
                <w:bCs/>
              </w:rPr>
              <w:t>clear and understandable.</w:t>
            </w:r>
          </w:p>
          <w:p w14:paraId="0837747C" w14:textId="77777777" w:rsidR="0062033C" w:rsidRDefault="0062033C" w:rsidP="00817F8D">
            <w:pPr>
              <w:pStyle w:val="TableBullet"/>
              <w:rPr>
                <w:rFonts w:eastAsia="Calibri"/>
              </w:rPr>
            </w:pPr>
            <w:r>
              <w:rPr>
                <w:rFonts w:eastAsia="Calibri"/>
              </w:rPr>
              <w:t xml:space="preserve">There is an </w:t>
            </w:r>
            <w:r>
              <w:rPr>
                <w:rFonts w:eastAsia="Calibri"/>
                <w:b/>
                <w:bCs/>
              </w:rPr>
              <w:t xml:space="preserve">appetite for guidance material </w:t>
            </w:r>
            <w:r>
              <w:rPr>
                <w:rFonts w:eastAsia="Calibri"/>
              </w:rPr>
              <w:t xml:space="preserve">to support sector-specific uplift in security and resilience and leverage sector-specific discussions to-date, particularly in designating appropriate equivalent standards. </w:t>
            </w:r>
          </w:p>
          <w:p w14:paraId="0C394CE3" w14:textId="4268BCA7" w:rsidR="0062033C" w:rsidRPr="00817F8D" w:rsidRDefault="0062033C" w:rsidP="00817F8D">
            <w:pPr>
              <w:pStyle w:val="TableBullet"/>
              <w:rPr>
                <w:rFonts w:eastAsia="Calibri"/>
              </w:rPr>
            </w:pPr>
            <w:r>
              <w:rPr>
                <w:rFonts w:eastAsia="Calibri"/>
              </w:rPr>
              <w:t>There was a desire to move towards the previously agreed definition of ‘</w:t>
            </w:r>
            <w:r>
              <w:rPr>
                <w:rFonts w:eastAsia="Calibri"/>
                <w:b/>
                <w:bCs/>
              </w:rPr>
              <w:t>critical positions’</w:t>
            </w:r>
            <w:r>
              <w:rPr>
                <w:rFonts w:eastAsia="Calibri"/>
              </w:rPr>
              <w:t xml:space="preserve"> rather than ‘critical employees’. </w:t>
            </w:r>
          </w:p>
        </w:tc>
        <w:tc>
          <w:tcPr>
            <w:tcW w:w="2261" w:type="pct"/>
            <w:hideMark/>
          </w:tcPr>
          <w:p w14:paraId="0D4759F0" w14:textId="77777777" w:rsidR="0062033C" w:rsidRDefault="0062033C" w:rsidP="00817F8D">
            <w:pPr>
              <w:pStyle w:val="TableBody"/>
            </w:pPr>
            <w:r>
              <w:t xml:space="preserve">In response to feedback received during the information sessions, the Department committed to: </w:t>
            </w:r>
          </w:p>
          <w:p w14:paraId="05520BE1" w14:textId="77777777" w:rsidR="0062033C" w:rsidRDefault="0062033C" w:rsidP="00817F8D">
            <w:pPr>
              <w:pStyle w:val="TableBullet"/>
              <w:rPr>
                <w:rFonts w:eastAsia="Calibri"/>
              </w:rPr>
            </w:pPr>
            <w:r>
              <w:rPr>
                <w:rFonts w:eastAsia="Calibri"/>
              </w:rPr>
              <w:t xml:space="preserve">The development of guidance materials, which would highlight aspects of risk management that should be prioritised by responsible entities and assist industry in interpreting and implementing the rules for their sector to achieve an uplift in security and resilience. </w:t>
            </w:r>
          </w:p>
          <w:p w14:paraId="379E795A" w14:textId="77777777" w:rsidR="0062033C" w:rsidRDefault="0062033C" w:rsidP="00817F8D">
            <w:pPr>
              <w:pStyle w:val="TableBullet"/>
              <w:rPr>
                <w:rFonts w:eastAsia="Calibri"/>
              </w:rPr>
            </w:pPr>
            <w:r>
              <w:t>Changing the personnel hazards rules to refer to ‘critical positions and/or critical personnel’ rather than critical employees.  </w:t>
            </w:r>
            <w:r>
              <w:rPr>
                <w:rFonts w:eastAsia="Calibri"/>
              </w:rPr>
              <w:t xml:space="preserve"> </w:t>
            </w:r>
          </w:p>
        </w:tc>
      </w:tr>
    </w:tbl>
    <w:p w14:paraId="4B391AF9" w14:textId="77777777" w:rsidR="0062033C" w:rsidRDefault="0062033C" w:rsidP="008E1A28">
      <w:pPr>
        <w:pStyle w:val="AppendixH2"/>
      </w:pPr>
      <w:r>
        <w:t xml:space="preserve">Consultation on costs </w:t>
      </w:r>
    </w:p>
    <w:p w14:paraId="68CC8FA2" w14:textId="77777777" w:rsidR="0062033C" w:rsidRDefault="0062033C" w:rsidP="004F6E47">
      <w:pPr>
        <w:pStyle w:val="BodyText"/>
      </w:pPr>
      <w:r>
        <w:t>During workshop 3,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0AAF1724" w14:textId="77777777" w:rsidR="0062033C" w:rsidRDefault="0062033C" w:rsidP="004F6E47">
      <w:pPr>
        <w:pStyle w:val="Bullet1stlevel"/>
      </w:pPr>
      <w:r>
        <w:t xml:space="preserve">Their demographic information; </w:t>
      </w:r>
    </w:p>
    <w:p w14:paraId="7A177905" w14:textId="77777777" w:rsidR="0062033C" w:rsidRDefault="0062033C" w:rsidP="004F6E47">
      <w:pPr>
        <w:pStyle w:val="Bullet1stlevel"/>
      </w:pPr>
      <w:r>
        <w:t xml:space="preserve">Effort and cost estimates split by one-off and ongoing costs, staff effort, capital and other operating costs, and an estimated range between expected costs and highest possible costs; and </w:t>
      </w:r>
    </w:p>
    <w:p w14:paraId="718AB6D0" w14:textId="77777777" w:rsidR="0062033C" w:rsidRDefault="0062033C" w:rsidP="004F6E47">
      <w:pPr>
        <w:pStyle w:val="Bullet1stlevel"/>
      </w:pPr>
      <w:r>
        <w:t xml:space="preserve">Any comments on key boundaries, assumptions and cost drivers attached to the costing estimates provided. </w:t>
      </w:r>
    </w:p>
    <w:p w14:paraId="71944F75" w14:textId="77777777" w:rsidR="0062033C" w:rsidRDefault="0062033C" w:rsidP="004F6E47">
      <w:pPr>
        <w:pStyle w:val="BodyText"/>
      </w:pPr>
      <w:r>
        <w:t xml:space="preserve">Industry was provided with the template on 12 November 2021, with submissions open for a period of four weeks and closing on 10 December 2021. </w:t>
      </w:r>
    </w:p>
    <w:p w14:paraId="61B92C1F" w14:textId="77777777" w:rsidR="0062033C" w:rsidRDefault="0062033C" w:rsidP="004F6E47">
      <w:pPr>
        <w:pStyle w:val="BodyText"/>
      </w:pPr>
      <w:r>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Pr>
          <w:vertAlign w:val="superscript"/>
        </w:rPr>
        <w:footnoteReference w:id="135"/>
      </w:r>
      <w:r>
        <w:t xml:space="preserve"> </w:t>
      </w:r>
    </w:p>
    <w:p w14:paraId="17DE7B67" w14:textId="77777777" w:rsidR="000C3D44" w:rsidRDefault="000C3D44" w:rsidP="004F6E47">
      <w:pPr>
        <w:pStyle w:val="BodyText"/>
      </w:pPr>
      <w:r>
        <w:br w:type="page"/>
      </w:r>
    </w:p>
    <w:p w14:paraId="4D30E599" w14:textId="0B6131D4" w:rsidR="000C3D44" w:rsidRDefault="000C3D44" w:rsidP="008E1A28">
      <w:pPr>
        <w:pStyle w:val="AppendixH1"/>
      </w:pPr>
      <w:bookmarkStart w:id="591" w:name="_Toc121397416"/>
      <w:r w:rsidRPr="00C57B69">
        <w:lastRenderedPageBreak/>
        <w:t>Supplementary information for critical</w:t>
      </w:r>
      <w:r w:rsidRPr="00B518B4">
        <w:t xml:space="preserve"> </w:t>
      </w:r>
      <w:r w:rsidR="0062033C" w:rsidRPr="00B518B4">
        <w:t>data processing or storage</w:t>
      </w:r>
      <w:r w:rsidRPr="00B518B4">
        <w:t xml:space="preserve"> assets</w:t>
      </w:r>
      <w:bookmarkEnd w:id="591"/>
    </w:p>
    <w:p w14:paraId="67E50DD9" w14:textId="77777777" w:rsidR="000C3D44" w:rsidRDefault="000C3D44" w:rsidP="008E1A28">
      <w:pPr>
        <w:pStyle w:val="AppendixH2"/>
      </w:pPr>
      <w:r>
        <w:t>Overview of the role of</w:t>
      </w:r>
      <w:r w:rsidR="00843916">
        <w:t xml:space="preserve"> data processing </w:t>
      </w:r>
      <w:r w:rsidR="00754B55">
        <w:t>and storage</w:t>
      </w:r>
      <w:r>
        <w:t xml:space="preserve"> in Australia</w:t>
      </w:r>
    </w:p>
    <w:p w14:paraId="595133EB" w14:textId="77777777" w:rsidR="00503A20" w:rsidRDefault="00503A20" w:rsidP="004F6E47">
      <w:pPr>
        <w:pStyle w:val="BodyText"/>
      </w:pPr>
      <w:r>
        <w:t xml:space="preserve">Data is an integral part of everyday life and commonly used by individuals, industry and governments across Australia. Data storage and processing is integral for the functioning of internet services, other digital services, the processing of payments, and the use of digital applications. The increasingly digital nature of Australian businesses and governments means the ongoing security and resilience of data storage and processing assets is critical and will become more important over time. </w:t>
      </w:r>
    </w:p>
    <w:p w14:paraId="40000FB3" w14:textId="77777777" w:rsidR="000B61C1" w:rsidRDefault="000F3A0E" w:rsidP="004F6E47">
      <w:pPr>
        <w:pStyle w:val="BodyText"/>
      </w:pPr>
      <w:r>
        <w:t xml:space="preserve">The table </w:t>
      </w:r>
      <w:r w:rsidR="000B61C1">
        <w:t xml:space="preserve">below provides an overview of Australia’s critical data storage and processing assets, which can be categorised into: </w:t>
      </w:r>
    </w:p>
    <w:p w14:paraId="5D672E67" w14:textId="77777777" w:rsidR="000B61C1" w:rsidRDefault="000B61C1" w:rsidP="004F6E47">
      <w:pPr>
        <w:pStyle w:val="ListParagraph"/>
        <w:numPr>
          <w:ilvl w:val="0"/>
          <w:numId w:val="81"/>
        </w:numPr>
        <w:spacing w:after="120" w:line="257" w:lineRule="auto"/>
        <w:ind w:left="357" w:hanging="357"/>
        <w:contextualSpacing w:val="0"/>
        <w:rPr>
          <w:szCs w:val="22"/>
        </w:rPr>
      </w:pPr>
      <w:r>
        <w:rPr>
          <w:szCs w:val="22"/>
        </w:rPr>
        <w:t xml:space="preserve">Software-as-a-service (SaaS); </w:t>
      </w:r>
    </w:p>
    <w:p w14:paraId="5A6C003B" w14:textId="77777777" w:rsidR="000B61C1" w:rsidRDefault="000B61C1" w:rsidP="004F6E47">
      <w:pPr>
        <w:pStyle w:val="ListParagraph"/>
        <w:numPr>
          <w:ilvl w:val="0"/>
          <w:numId w:val="81"/>
        </w:numPr>
        <w:spacing w:after="120" w:line="257" w:lineRule="auto"/>
        <w:ind w:left="357" w:hanging="357"/>
        <w:contextualSpacing w:val="0"/>
        <w:rPr>
          <w:szCs w:val="22"/>
        </w:rPr>
      </w:pPr>
      <w:r>
        <w:rPr>
          <w:szCs w:val="22"/>
        </w:rPr>
        <w:t xml:space="preserve">Infrastructure-as-a-service (IaaS); and </w:t>
      </w:r>
    </w:p>
    <w:p w14:paraId="7C51B6F7" w14:textId="77777777" w:rsidR="000B61C1" w:rsidRDefault="000B61C1" w:rsidP="004F6E47">
      <w:pPr>
        <w:pStyle w:val="ListParagraph"/>
        <w:numPr>
          <w:ilvl w:val="0"/>
          <w:numId w:val="81"/>
        </w:numPr>
        <w:spacing w:after="120" w:line="257" w:lineRule="auto"/>
        <w:ind w:left="357" w:hanging="357"/>
        <w:contextualSpacing w:val="0"/>
        <w:rPr>
          <w:szCs w:val="22"/>
        </w:rPr>
      </w:pPr>
      <w:r>
        <w:rPr>
          <w:szCs w:val="22"/>
        </w:rPr>
        <w:t xml:space="preserve">Platform-as-a-service (PaaS). </w:t>
      </w:r>
    </w:p>
    <w:p w14:paraId="65E51245" w14:textId="77777777" w:rsidR="000B61C1" w:rsidRDefault="000B61C1" w:rsidP="00E8024A">
      <w:pPr>
        <w:pStyle w:val="BodyText"/>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
        <w:gridCol w:w="1685"/>
        <w:gridCol w:w="2965"/>
        <w:gridCol w:w="2080"/>
        <w:gridCol w:w="2209"/>
      </w:tblGrid>
      <w:tr w:rsidR="000B61C1" w14:paraId="3BB4F82E" w14:textId="77777777" w:rsidTr="00E8024A">
        <w:trPr>
          <w:jc w:val="center"/>
        </w:trPr>
        <w:tc>
          <w:tcPr>
            <w:tcW w:w="363" w:type="pct"/>
            <w:vMerge w:val="restart"/>
          </w:tcPr>
          <w:p w14:paraId="1FFADAAD" w14:textId="77777777" w:rsidR="000B61C1" w:rsidRDefault="000B61C1" w:rsidP="00E8024A">
            <w:pPr>
              <w:rPr>
                <w:rFonts w:ascii="Arial" w:hAnsi="Arial" w:cs="Arial"/>
                <w:szCs w:val="20"/>
              </w:rPr>
            </w:pPr>
          </w:p>
        </w:tc>
        <w:tc>
          <w:tcPr>
            <w:tcW w:w="874" w:type="pct"/>
            <w:vMerge w:val="restart"/>
            <w:shd w:val="clear" w:color="auto" w:fill="034EA2" w:themeFill="accent1"/>
            <w:hideMark/>
          </w:tcPr>
          <w:p w14:paraId="75A3F11E" w14:textId="77777777" w:rsidR="000B61C1" w:rsidRPr="003A1BA4" w:rsidRDefault="007272B6" w:rsidP="00E8024A">
            <w:pPr>
              <w:rPr>
                <w:rFonts w:ascii="Arial" w:hAnsi="Arial" w:cs="Arial"/>
                <w:b/>
                <w:color w:val="FFFFFF" w:themeColor="background1"/>
                <w:szCs w:val="20"/>
              </w:rPr>
            </w:pPr>
            <w:r w:rsidRPr="003A1BA4">
              <w:rPr>
                <w:rFonts w:ascii="Arial" w:hAnsi="Arial" w:cs="Arial"/>
                <w:b/>
                <w:color w:val="FFFFFF" w:themeColor="background1"/>
                <w:szCs w:val="20"/>
              </w:rPr>
              <w:t>On-</w:t>
            </w:r>
            <w:r>
              <w:rPr>
                <w:rFonts w:ascii="Arial" w:hAnsi="Arial" w:cs="Arial"/>
                <w:b/>
                <w:color w:val="FFFFFF" w:themeColor="background1"/>
                <w:szCs w:val="20"/>
              </w:rPr>
              <w:t>p</w:t>
            </w:r>
            <w:r w:rsidRPr="003A1BA4">
              <w:rPr>
                <w:rFonts w:ascii="Arial" w:hAnsi="Arial" w:cs="Arial"/>
                <w:b/>
                <w:color w:val="FFFFFF" w:themeColor="background1"/>
                <w:szCs w:val="20"/>
              </w:rPr>
              <w:t>remise</w:t>
            </w:r>
            <w:r w:rsidR="000B61C1" w:rsidRPr="003A1BA4">
              <w:rPr>
                <w:rFonts w:ascii="Arial" w:hAnsi="Arial" w:cs="Arial"/>
                <w:b/>
                <w:color w:val="FFFFFF" w:themeColor="background1"/>
                <w:szCs w:val="20"/>
              </w:rPr>
              <w:t xml:space="preserve"> Solutions</w:t>
            </w:r>
          </w:p>
        </w:tc>
        <w:tc>
          <w:tcPr>
            <w:tcW w:w="3763" w:type="pct"/>
            <w:gridSpan w:val="3"/>
            <w:shd w:val="clear" w:color="auto" w:fill="034EA2" w:themeFill="accent1"/>
            <w:hideMark/>
          </w:tcPr>
          <w:p w14:paraId="2D65F6AC" w14:textId="77777777" w:rsidR="000B61C1" w:rsidRPr="003A1BA4" w:rsidRDefault="000B61C1" w:rsidP="00E8024A">
            <w:pPr>
              <w:rPr>
                <w:rFonts w:ascii="Arial" w:hAnsi="Arial" w:cs="Arial"/>
                <w:b/>
                <w:color w:val="FFFFFF" w:themeColor="background1"/>
                <w:szCs w:val="20"/>
              </w:rPr>
            </w:pPr>
            <w:r w:rsidRPr="003A1BA4">
              <w:rPr>
                <w:rFonts w:ascii="Arial" w:hAnsi="Arial" w:cs="Arial"/>
                <w:b/>
                <w:color w:val="FFFFFF" w:themeColor="background1"/>
                <w:szCs w:val="20"/>
              </w:rPr>
              <w:t>Models of Cloud Services</w:t>
            </w:r>
          </w:p>
        </w:tc>
      </w:tr>
      <w:tr w:rsidR="000B61C1" w14:paraId="679CC1AF" w14:textId="77777777" w:rsidTr="00E8024A">
        <w:trPr>
          <w:jc w:val="center"/>
        </w:trPr>
        <w:tc>
          <w:tcPr>
            <w:tcW w:w="363" w:type="pct"/>
            <w:vMerge/>
            <w:hideMark/>
          </w:tcPr>
          <w:p w14:paraId="28A1D26E" w14:textId="77777777" w:rsidR="000B61C1" w:rsidRDefault="000B61C1" w:rsidP="00E8024A">
            <w:pPr>
              <w:rPr>
                <w:rFonts w:ascii="Arial" w:hAnsi="Arial" w:cs="Arial"/>
                <w:sz w:val="22"/>
                <w:szCs w:val="20"/>
              </w:rPr>
            </w:pPr>
          </w:p>
        </w:tc>
        <w:tc>
          <w:tcPr>
            <w:tcW w:w="874" w:type="pct"/>
            <w:vMerge/>
            <w:shd w:val="clear" w:color="auto" w:fill="034EA2" w:themeFill="accent1"/>
            <w:hideMark/>
          </w:tcPr>
          <w:p w14:paraId="63129801" w14:textId="77777777" w:rsidR="000B61C1" w:rsidRPr="003A1BA4" w:rsidRDefault="000B61C1" w:rsidP="00E8024A">
            <w:pPr>
              <w:rPr>
                <w:rFonts w:ascii="Arial" w:hAnsi="Arial" w:cs="Arial"/>
                <w:b/>
                <w:color w:val="FFFFFF" w:themeColor="background1"/>
                <w:szCs w:val="20"/>
              </w:rPr>
            </w:pPr>
          </w:p>
        </w:tc>
        <w:tc>
          <w:tcPr>
            <w:tcW w:w="1538" w:type="pct"/>
            <w:shd w:val="clear" w:color="auto" w:fill="007BC3" w:themeFill="accent2"/>
            <w:hideMark/>
          </w:tcPr>
          <w:p w14:paraId="5B5E5A98" w14:textId="77777777" w:rsidR="000B61C1" w:rsidRPr="003A1BA4" w:rsidRDefault="000B61C1" w:rsidP="00E8024A">
            <w:pPr>
              <w:rPr>
                <w:rFonts w:ascii="Arial" w:hAnsi="Arial" w:cs="Arial"/>
                <w:color w:val="FFFFFF" w:themeColor="background1"/>
                <w:szCs w:val="20"/>
              </w:rPr>
            </w:pPr>
            <w:r w:rsidRPr="003A1BA4">
              <w:rPr>
                <w:rFonts w:ascii="Arial" w:hAnsi="Arial" w:cs="Arial"/>
                <w:color w:val="FFFFFF" w:themeColor="background1"/>
                <w:szCs w:val="20"/>
              </w:rPr>
              <w:t>SaaS</w:t>
            </w:r>
          </w:p>
        </w:tc>
        <w:tc>
          <w:tcPr>
            <w:tcW w:w="1079" w:type="pct"/>
            <w:shd w:val="clear" w:color="auto" w:fill="007BC3" w:themeFill="accent2"/>
            <w:hideMark/>
          </w:tcPr>
          <w:p w14:paraId="4DC65934" w14:textId="77777777" w:rsidR="000B61C1" w:rsidRPr="003A1BA4" w:rsidRDefault="000B61C1" w:rsidP="00E8024A">
            <w:pPr>
              <w:rPr>
                <w:rFonts w:ascii="Arial" w:hAnsi="Arial" w:cs="Arial"/>
                <w:color w:val="FFFFFF" w:themeColor="background1"/>
                <w:szCs w:val="20"/>
              </w:rPr>
            </w:pPr>
            <w:r w:rsidRPr="003A1BA4">
              <w:rPr>
                <w:rFonts w:ascii="Arial" w:hAnsi="Arial" w:cs="Arial"/>
                <w:color w:val="FFFFFF" w:themeColor="background1"/>
                <w:szCs w:val="20"/>
              </w:rPr>
              <w:t>IaaS</w:t>
            </w:r>
          </w:p>
        </w:tc>
        <w:tc>
          <w:tcPr>
            <w:tcW w:w="1146" w:type="pct"/>
            <w:shd w:val="clear" w:color="auto" w:fill="007BC3" w:themeFill="accent2"/>
            <w:hideMark/>
          </w:tcPr>
          <w:p w14:paraId="4D58ED84" w14:textId="77777777" w:rsidR="000B61C1" w:rsidRPr="003A1BA4" w:rsidRDefault="000B61C1" w:rsidP="00E8024A">
            <w:pPr>
              <w:rPr>
                <w:rFonts w:ascii="Arial" w:hAnsi="Arial" w:cs="Arial"/>
                <w:color w:val="FFFFFF" w:themeColor="background1"/>
                <w:szCs w:val="20"/>
              </w:rPr>
            </w:pPr>
            <w:r w:rsidRPr="003A1BA4">
              <w:rPr>
                <w:rFonts w:ascii="Arial" w:hAnsi="Arial" w:cs="Arial"/>
                <w:color w:val="FFFFFF" w:themeColor="background1"/>
                <w:szCs w:val="20"/>
              </w:rPr>
              <w:t>PaaS</w:t>
            </w:r>
          </w:p>
        </w:tc>
      </w:tr>
      <w:tr w:rsidR="000B61C1" w14:paraId="743A3DA6" w14:textId="77777777" w:rsidTr="00E8024A">
        <w:trPr>
          <w:cantSplit/>
          <w:trHeight w:val="1134"/>
          <w:jc w:val="center"/>
        </w:trPr>
        <w:tc>
          <w:tcPr>
            <w:tcW w:w="363" w:type="pct"/>
            <w:tcBorders>
              <w:bottom w:val="single" w:sz="4" w:space="0" w:color="BFBFBF" w:themeColor="background1" w:themeShade="BF"/>
            </w:tcBorders>
            <w:shd w:val="clear" w:color="auto" w:fill="F2F2F2" w:themeFill="background1" w:themeFillShade="F2"/>
            <w:textDirection w:val="btLr"/>
            <w:vAlign w:val="center"/>
            <w:hideMark/>
          </w:tcPr>
          <w:p w14:paraId="03BF4386" w14:textId="77777777" w:rsidR="000B61C1" w:rsidRPr="00E8024A" w:rsidRDefault="000B61C1" w:rsidP="00E8024A">
            <w:pPr>
              <w:ind w:left="113" w:right="113"/>
              <w:jc w:val="center"/>
              <w:rPr>
                <w:rFonts w:ascii="Arial" w:hAnsi="Arial" w:cs="Arial"/>
                <w:b/>
                <w:bCs/>
                <w:szCs w:val="20"/>
              </w:rPr>
            </w:pPr>
            <w:r w:rsidRPr="00E8024A">
              <w:rPr>
                <w:rFonts w:ascii="Arial" w:hAnsi="Arial" w:cs="Arial"/>
                <w:b/>
                <w:bCs/>
                <w:szCs w:val="20"/>
              </w:rPr>
              <w:t>Overview</w:t>
            </w:r>
          </w:p>
        </w:tc>
        <w:tc>
          <w:tcPr>
            <w:tcW w:w="874" w:type="pct"/>
            <w:tcBorders>
              <w:bottom w:val="single" w:sz="4" w:space="0" w:color="BFBFBF" w:themeColor="background1" w:themeShade="BF"/>
            </w:tcBorders>
            <w:hideMark/>
          </w:tcPr>
          <w:p w14:paraId="5B8E2333" w14:textId="77777777" w:rsidR="000B61C1" w:rsidRDefault="000B61C1" w:rsidP="00E8024A">
            <w:pPr>
              <w:rPr>
                <w:rFonts w:ascii="Arial" w:hAnsi="Arial" w:cs="Arial"/>
                <w:szCs w:val="20"/>
              </w:rPr>
            </w:pPr>
            <w:r>
              <w:rPr>
                <w:rFonts w:ascii="Arial" w:hAnsi="Arial" w:cs="Arial"/>
                <w:szCs w:val="20"/>
              </w:rPr>
              <w:t>Resources deployed ‘in-house’ and forming part of a business’ IT infrastructure.</w:t>
            </w:r>
          </w:p>
        </w:tc>
        <w:tc>
          <w:tcPr>
            <w:tcW w:w="1538" w:type="pct"/>
            <w:tcBorders>
              <w:bottom w:val="single" w:sz="4" w:space="0" w:color="BFBFBF" w:themeColor="background1" w:themeShade="BF"/>
            </w:tcBorders>
          </w:tcPr>
          <w:p w14:paraId="76E94C37" w14:textId="77777777" w:rsidR="000B61C1" w:rsidRDefault="000B61C1" w:rsidP="00E8024A">
            <w:pPr>
              <w:rPr>
                <w:rFonts w:ascii="Arial" w:hAnsi="Arial" w:cs="Arial"/>
                <w:szCs w:val="20"/>
              </w:rPr>
            </w:pPr>
            <w:r>
              <w:rPr>
                <w:rFonts w:ascii="Arial" w:hAnsi="Arial" w:cs="Arial"/>
                <w:szCs w:val="20"/>
              </w:rPr>
              <w:t>Also known as ‘Cloud Application Services’.</w:t>
            </w:r>
          </w:p>
          <w:p w14:paraId="685C0267" w14:textId="77777777" w:rsidR="000B61C1" w:rsidRDefault="000B61C1" w:rsidP="00E8024A">
            <w:pPr>
              <w:rPr>
                <w:rFonts w:ascii="Arial" w:hAnsi="Arial" w:cs="Arial"/>
                <w:szCs w:val="20"/>
              </w:rPr>
            </w:pPr>
            <w:r>
              <w:rPr>
                <w:rFonts w:ascii="Arial" w:hAnsi="Arial" w:cs="Arial"/>
                <w:szCs w:val="20"/>
              </w:rPr>
              <w:t>Leverages the Internet to deliver applications to its users, typically managed by third-party vendors. Represents the most common model for businesses in the cloud market.</w:t>
            </w:r>
          </w:p>
        </w:tc>
        <w:tc>
          <w:tcPr>
            <w:tcW w:w="1079" w:type="pct"/>
            <w:tcBorders>
              <w:bottom w:val="single" w:sz="4" w:space="0" w:color="BFBFBF" w:themeColor="background1" w:themeShade="BF"/>
            </w:tcBorders>
          </w:tcPr>
          <w:p w14:paraId="2CD5243A" w14:textId="77777777" w:rsidR="000B61C1" w:rsidRDefault="000B61C1" w:rsidP="00E8024A">
            <w:pPr>
              <w:rPr>
                <w:rFonts w:ascii="Arial" w:hAnsi="Arial" w:cs="Arial"/>
                <w:szCs w:val="20"/>
              </w:rPr>
            </w:pPr>
            <w:r>
              <w:rPr>
                <w:rFonts w:ascii="Arial" w:hAnsi="Arial" w:cs="Arial"/>
                <w:szCs w:val="20"/>
              </w:rPr>
              <w:t>Also known as ‘Cloud Infrastructure Services’.</w:t>
            </w:r>
          </w:p>
          <w:p w14:paraId="0DBFD597" w14:textId="77777777" w:rsidR="000B61C1" w:rsidRDefault="000B61C1" w:rsidP="00E8024A">
            <w:pPr>
              <w:rPr>
                <w:rFonts w:ascii="Arial" w:hAnsi="Arial" w:cs="Arial"/>
                <w:szCs w:val="20"/>
              </w:rPr>
            </w:pPr>
            <w:r>
              <w:rPr>
                <w:rFonts w:ascii="Arial" w:hAnsi="Arial" w:cs="Arial"/>
                <w:szCs w:val="20"/>
              </w:rPr>
              <w:t>Self-service model for monitoring computers, networking, storage and other services.</w:t>
            </w:r>
          </w:p>
        </w:tc>
        <w:tc>
          <w:tcPr>
            <w:tcW w:w="1146" w:type="pct"/>
            <w:tcBorders>
              <w:bottom w:val="single" w:sz="4" w:space="0" w:color="BFBFBF" w:themeColor="background1" w:themeShade="BF"/>
            </w:tcBorders>
          </w:tcPr>
          <w:p w14:paraId="1371B51C" w14:textId="77777777" w:rsidR="000B61C1" w:rsidRDefault="000B61C1" w:rsidP="00E8024A">
            <w:pPr>
              <w:rPr>
                <w:rFonts w:ascii="Arial" w:hAnsi="Arial" w:cs="Arial"/>
                <w:szCs w:val="20"/>
              </w:rPr>
            </w:pPr>
            <w:r>
              <w:rPr>
                <w:rFonts w:ascii="Arial" w:hAnsi="Arial" w:cs="Arial"/>
                <w:szCs w:val="20"/>
              </w:rPr>
              <w:t>Also known as ‘Cloud Platform Services’.</w:t>
            </w:r>
          </w:p>
          <w:p w14:paraId="35936FF1" w14:textId="77777777" w:rsidR="000B61C1" w:rsidRDefault="000B61C1" w:rsidP="00E8024A">
            <w:pPr>
              <w:rPr>
                <w:rFonts w:ascii="Arial" w:hAnsi="Arial" w:cs="Arial"/>
                <w:szCs w:val="20"/>
              </w:rPr>
            </w:pPr>
            <w:r>
              <w:rPr>
                <w:rFonts w:ascii="Arial" w:hAnsi="Arial" w:cs="Arial"/>
                <w:szCs w:val="20"/>
              </w:rPr>
              <w:t>Delivers a framework for user to build on and create customised applications.</w:t>
            </w:r>
          </w:p>
        </w:tc>
      </w:tr>
      <w:tr w:rsidR="000B61C1" w14:paraId="3B797CB2" w14:textId="77777777" w:rsidTr="00E8024A">
        <w:trPr>
          <w:cantSplit/>
          <w:trHeight w:val="1166"/>
          <w:jc w:val="center"/>
        </w:trPr>
        <w:tc>
          <w:tcPr>
            <w:tcW w:w="363" w:type="pct"/>
            <w:tcBorders>
              <w:top w:val="single" w:sz="4" w:space="0" w:color="BFBFBF" w:themeColor="background1" w:themeShade="BF"/>
              <w:bottom w:val="single" w:sz="4" w:space="0" w:color="BFBFBF" w:themeColor="background1" w:themeShade="BF"/>
            </w:tcBorders>
            <w:shd w:val="clear" w:color="auto" w:fill="F2F2F2" w:themeFill="background1" w:themeFillShade="F2"/>
            <w:textDirection w:val="btLr"/>
            <w:hideMark/>
          </w:tcPr>
          <w:p w14:paraId="795C05FB" w14:textId="77777777" w:rsidR="000B61C1" w:rsidRPr="00E8024A" w:rsidRDefault="000B61C1" w:rsidP="00E8024A">
            <w:pPr>
              <w:ind w:left="113" w:right="113"/>
              <w:rPr>
                <w:rFonts w:ascii="Arial" w:hAnsi="Arial" w:cs="Arial"/>
                <w:b/>
                <w:bCs/>
                <w:szCs w:val="20"/>
              </w:rPr>
            </w:pPr>
            <w:r w:rsidRPr="00E8024A">
              <w:rPr>
                <w:rFonts w:ascii="Arial" w:hAnsi="Arial" w:cs="Arial"/>
                <w:b/>
                <w:bCs/>
                <w:szCs w:val="20"/>
              </w:rPr>
              <w:t>Examples</w:t>
            </w:r>
          </w:p>
        </w:tc>
        <w:tc>
          <w:tcPr>
            <w:tcW w:w="874" w:type="pct"/>
            <w:tcBorders>
              <w:top w:val="single" w:sz="4" w:space="0" w:color="BFBFBF" w:themeColor="background1" w:themeShade="BF"/>
              <w:bottom w:val="single" w:sz="4" w:space="0" w:color="BFBFBF" w:themeColor="background1" w:themeShade="BF"/>
            </w:tcBorders>
            <w:hideMark/>
          </w:tcPr>
          <w:p w14:paraId="5A5E77FA" w14:textId="77777777" w:rsidR="000B61C1" w:rsidRDefault="000B61C1" w:rsidP="00E8024A">
            <w:pPr>
              <w:rPr>
                <w:rFonts w:ascii="Arial" w:hAnsi="Arial" w:cs="Arial"/>
                <w:szCs w:val="20"/>
              </w:rPr>
            </w:pPr>
            <w:r>
              <w:rPr>
                <w:rFonts w:ascii="Arial" w:hAnsi="Arial" w:cs="Arial"/>
                <w:szCs w:val="20"/>
              </w:rPr>
              <w:t>Microsoft Office</w:t>
            </w:r>
          </w:p>
          <w:p w14:paraId="752D8D28" w14:textId="77777777" w:rsidR="000B61C1" w:rsidRDefault="000B61C1" w:rsidP="00E8024A">
            <w:pPr>
              <w:rPr>
                <w:rFonts w:ascii="Arial" w:hAnsi="Arial" w:cs="Arial"/>
                <w:szCs w:val="20"/>
              </w:rPr>
            </w:pPr>
            <w:r>
              <w:rPr>
                <w:rFonts w:ascii="Arial" w:hAnsi="Arial" w:cs="Arial"/>
                <w:szCs w:val="20"/>
              </w:rPr>
              <w:t>SAP Software &amp; Solutions</w:t>
            </w:r>
          </w:p>
        </w:tc>
        <w:tc>
          <w:tcPr>
            <w:tcW w:w="1538" w:type="pct"/>
            <w:tcBorders>
              <w:top w:val="single" w:sz="4" w:space="0" w:color="BFBFBF" w:themeColor="background1" w:themeShade="BF"/>
              <w:bottom w:val="single" w:sz="4" w:space="0" w:color="BFBFBF" w:themeColor="background1" w:themeShade="BF"/>
            </w:tcBorders>
            <w:hideMark/>
          </w:tcPr>
          <w:p w14:paraId="6F8D217A" w14:textId="77777777" w:rsidR="000B61C1" w:rsidRDefault="000B61C1" w:rsidP="00E8024A">
            <w:pPr>
              <w:rPr>
                <w:rFonts w:ascii="Arial" w:hAnsi="Arial" w:cs="Arial"/>
                <w:szCs w:val="20"/>
              </w:rPr>
            </w:pPr>
            <w:r>
              <w:rPr>
                <w:rFonts w:ascii="Arial" w:hAnsi="Arial" w:cs="Arial"/>
                <w:szCs w:val="20"/>
              </w:rPr>
              <w:t>Google Workspace</w:t>
            </w:r>
          </w:p>
          <w:p w14:paraId="144A3F88" w14:textId="77777777" w:rsidR="000B61C1" w:rsidRDefault="000B61C1" w:rsidP="00E8024A">
            <w:pPr>
              <w:rPr>
                <w:rFonts w:ascii="Arial" w:hAnsi="Arial" w:cs="Arial"/>
                <w:szCs w:val="20"/>
              </w:rPr>
            </w:pPr>
            <w:r>
              <w:rPr>
                <w:rFonts w:ascii="Arial" w:hAnsi="Arial" w:cs="Arial"/>
                <w:szCs w:val="20"/>
              </w:rPr>
              <w:t>Cisco WebEx</w:t>
            </w:r>
          </w:p>
        </w:tc>
        <w:tc>
          <w:tcPr>
            <w:tcW w:w="1079" w:type="pct"/>
            <w:tcBorders>
              <w:top w:val="single" w:sz="4" w:space="0" w:color="BFBFBF" w:themeColor="background1" w:themeShade="BF"/>
              <w:bottom w:val="single" w:sz="4" w:space="0" w:color="BFBFBF" w:themeColor="background1" w:themeShade="BF"/>
            </w:tcBorders>
            <w:hideMark/>
          </w:tcPr>
          <w:p w14:paraId="7F7401C5" w14:textId="77777777" w:rsidR="000B61C1" w:rsidRDefault="000B61C1" w:rsidP="00E8024A">
            <w:pPr>
              <w:rPr>
                <w:rFonts w:ascii="Arial" w:hAnsi="Arial" w:cs="Arial"/>
                <w:szCs w:val="20"/>
              </w:rPr>
            </w:pPr>
            <w:r>
              <w:rPr>
                <w:rFonts w:ascii="Arial" w:hAnsi="Arial" w:cs="Arial"/>
                <w:szCs w:val="20"/>
              </w:rPr>
              <w:t>DigitalOcean</w:t>
            </w:r>
          </w:p>
          <w:p w14:paraId="2074D9B4" w14:textId="77777777" w:rsidR="000B61C1" w:rsidRDefault="000B61C1" w:rsidP="00E8024A">
            <w:pPr>
              <w:rPr>
                <w:rFonts w:ascii="Arial" w:hAnsi="Arial" w:cs="Arial"/>
                <w:szCs w:val="20"/>
              </w:rPr>
            </w:pPr>
            <w:r>
              <w:rPr>
                <w:rFonts w:ascii="Arial" w:hAnsi="Arial" w:cs="Arial"/>
                <w:szCs w:val="20"/>
              </w:rPr>
              <w:t>Amazon Web Services</w:t>
            </w:r>
          </w:p>
        </w:tc>
        <w:tc>
          <w:tcPr>
            <w:tcW w:w="1146" w:type="pct"/>
            <w:tcBorders>
              <w:top w:val="single" w:sz="4" w:space="0" w:color="BFBFBF" w:themeColor="background1" w:themeShade="BF"/>
              <w:bottom w:val="single" w:sz="4" w:space="0" w:color="BFBFBF" w:themeColor="background1" w:themeShade="BF"/>
            </w:tcBorders>
            <w:hideMark/>
          </w:tcPr>
          <w:p w14:paraId="3DD0A109" w14:textId="77777777" w:rsidR="000B61C1" w:rsidRDefault="000B61C1" w:rsidP="00E8024A">
            <w:pPr>
              <w:rPr>
                <w:rFonts w:ascii="Arial" w:hAnsi="Arial" w:cs="Arial"/>
                <w:szCs w:val="20"/>
              </w:rPr>
            </w:pPr>
            <w:r>
              <w:rPr>
                <w:rFonts w:ascii="Arial" w:hAnsi="Arial" w:cs="Arial"/>
                <w:szCs w:val="20"/>
              </w:rPr>
              <w:t>Force.com</w:t>
            </w:r>
          </w:p>
          <w:p w14:paraId="07BEBD86" w14:textId="77777777" w:rsidR="000B61C1" w:rsidRDefault="000B61C1" w:rsidP="00E8024A">
            <w:pPr>
              <w:rPr>
                <w:rFonts w:ascii="Arial" w:hAnsi="Arial" w:cs="Arial"/>
                <w:szCs w:val="20"/>
              </w:rPr>
            </w:pPr>
            <w:r>
              <w:rPr>
                <w:rFonts w:ascii="Arial" w:hAnsi="Arial" w:cs="Arial"/>
                <w:szCs w:val="20"/>
              </w:rPr>
              <w:t>OpenShift</w:t>
            </w:r>
          </w:p>
        </w:tc>
      </w:tr>
    </w:tbl>
    <w:p w14:paraId="4B99755D" w14:textId="77777777" w:rsidR="00E8024A" w:rsidRDefault="00E8024A" w:rsidP="004F6E47">
      <w:pPr>
        <w:pStyle w:val="BodyText"/>
      </w:pPr>
    </w:p>
    <w:p w14:paraId="3EB1894A" w14:textId="72052CED" w:rsidR="00184C4B" w:rsidRPr="000931DA" w:rsidRDefault="00184C4B" w:rsidP="004F6E47">
      <w:pPr>
        <w:pStyle w:val="BodyText"/>
      </w:pPr>
      <w:r w:rsidRPr="000931DA">
        <w:t xml:space="preserve">The </w:t>
      </w:r>
      <w:r w:rsidR="00384419">
        <w:t>SOCI Act</w:t>
      </w:r>
      <w:r w:rsidRPr="000931DA">
        <w:t xml:space="preserve"> refers to assets within a critical infrastructure sector as ‘critical infrastructure assets’. </w:t>
      </w:r>
      <w:r w:rsidR="009402B7">
        <w:t>T</w:t>
      </w:r>
      <w:r w:rsidRPr="000931DA">
        <w:t xml:space="preserve">he </w:t>
      </w:r>
      <w:r w:rsidR="00384419">
        <w:t>SOCI Act</w:t>
      </w:r>
      <w:r w:rsidRPr="000931DA">
        <w:t xml:space="preserve"> designa</w:t>
      </w:r>
      <w:r w:rsidR="009402B7">
        <w:t>tes</w:t>
      </w:r>
      <w:r w:rsidRPr="000931DA">
        <w:t xml:space="preserve"> ‘critical data storage and processing assets’ as critical infrastructure assets and </w:t>
      </w:r>
      <w:r w:rsidR="009402B7" w:rsidRPr="000931DA">
        <w:t>provid</w:t>
      </w:r>
      <w:r w:rsidR="009402B7">
        <w:t>es</w:t>
      </w:r>
      <w:r w:rsidR="009402B7" w:rsidRPr="000931DA">
        <w:t xml:space="preserve"> </w:t>
      </w:r>
      <w:r w:rsidRPr="000931DA">
        <w:t xml:space="preserve">the following in relation to its definition: </w:t>
      </w:r>
    </w:p>
    <w:p w14:paraId="7FD3F09B" w14:textId="77777777" w:rsidR="00184C4B" w:rsidRPr="000931DA" w:rsidRDefault="00184C4B" w:rsidP="00184C4B">
      <w:pPr>
        <w:rPr>
          <w:i/>
          <w:sz w:val="22"/>
          <w:szCs w:val="24"/>
        </w:rPr>
      </w:pPr>
      <w:r w:rsidRPr="000931DA">
        <w:rPr>
          <w:i/>
          <w:sz w:val="22"/>
          <w:szCs w:val="24"/>
        </w:rPr>
        <w:t xml:space="preserve">(1) An asset is a </w:t>
      </w:r>
      <w:r w:rsidRPr="000931DA">
        <w:rPr>
          <w:b/>
          <w:i/>
          <w:sz w:val="22"/>
          <w:szCs w:val="24"/>
        </w:rPr>
        <w:t>critical data storage or processing</w:t>
      </w:r>
      <w:r w:rsidRPr="000931DA">
        <w:rPr>
          <w:i/>
          <w:sz w:val="22"/>
          <w:szCs w:val="24"/>
        </w:rPr>
        <w:t xml:space="preserve"> asset if:</w:t>
      </w:r>
    </w:p>
    <w:p w14:paraId="00C2572F" w14:textId="77777777" w:rsidR="00184C4B" w:rsidRPr="000931DA" w:rsidRDefault="00184C4B" w:rsidP="00184C4B">
      <w:pPr>
        <w:ind w:firstLine="720"/>
        <w:rPr>
          <w:i/>
          <w:sz w:val="22"/>
          <w:szCs w:val="24"/>
        </w:rPr>
      </w:pPr>
      <w:r w:rsidRPr="000931DA">
        <w:rPr>
          <w:i/>
          <w:sz w:val="22"/>
          <w:szCs w:val="24"/>
        </w:rPr>
        <w:t>(a) it is owned or operated by an entity that is a data storage or processing provider; and</w:t>
      </w:r>
    </w:p>
    <w:p w14:paraId="3A9756B4" w14:textId="77777777" w:rsidR="00184C4B" w:rsidRPr="000931DA" w:rsidRDefault="00184C4B" w:rsidP="00184C4B">
      <w:pPr>
        <w:ind w:left="720"/>
        <w:rPr>
          <w:i/>
          <w:sz w:val="22"/>
          <w:szCs w:val="24"/>
        </w:rPr>
      </w:pPr>
      <w:r w:rsidRPr="000931DA">
        <w:rPr>
          <w:i/>
          <w:sz w:val="22"/>
          <w:szCs w:val="24"/>
        </w:rPr>
        <w:t>(b) it is used wholly or primarily to provide a data storage or processing service that is provided by the entity on a commercial basis to an end-user that is:</w:t>
      </w:r>
    </w:p>
    <w:p w14:paraId="5AE60CCF" w14:textId="77777777" w:rsidR="00184C4B" w:rsidRPr="000931DA" w:rsidRDefault="00184C4B" w:rsidP="00184C4B">
      <w:pPr>
        <w:ind w:left="720" w:firstLine="720"/>
        <w:rPr>
          <w:i/>
          <w:sz w:val="22"/>
          <w:szCs w:val="24"/>
        </w:rPr>
      </w:pPr>
      <w:r w:rsidRPr="000931DA">
        <w:rPr>
          <w:i/>
          <w:sz w:val="22"/>
          <w:szCs w:val="24"/>
        </w:rPr>
        <w:t>(i) the Commonwealth; or</w:t>
      </w:r>
    </w:p>
    <w:p w14:paraId="46864933" w14:textId="77777777" w:rsidR="00184C4B" w:rsidRPr="000931DA" w:rsidRDefault="00184C4B" w:rsidP="00184C4B">
      <w:pPr>
        <w:ind w:left="720" w:firstLine="720"/>
        <w:rPr>
          <w:i/>
          <w:sz w:val="22"/>
          <w:szCs w:val="24"/>
        </w:rPr>
      </w:pPr>
      <w:r w:rsidRPr="000931DA">
        <w:rPr>
          <w:i/>
          <w:sz w:val="22"/>
          <w:szCs w:val="24"/>
        </w:rPr>
        <w:t>(ii) a body corporate established by a law of the Commonwealth; or</w:t>
      </w:r>
    </w:p>
    <w:p w14:paraId="28B307DD" w14:textId="77777777" w:rsidR="00184C4B" w:rsidRPr="000931DA" w:rsidRDefault="00184C4B" w:rsidP="00184C4B">
      <w:pPr>
        <w:ind w:left="720" w:firstLine="720"/>
        <w:rPr>
          <w:i/>
          <w:sz w:val="22"/>
          <w:szCs w:val="24"/>
        </w:rPr>
      </w:pPr>
      <w:r w:rsidRPr="000931DA">
        <w:rPr>
          <w:i/>
          <w:sz w:val="22"/>
          <w:szCs w:val="24"/>
        </w:rPr>
        <w:t>(iii) a State; or</w:t>
      </w:r>
    </w:p>
    <w:p w14:paraId="7741770F" w14:textId="77777777" w:rsidR="00184C4B" w:rsidRPr="000931DA" w:rsidRDefault="00184C4B" w:rsidP="00184C4B">
      <w:pPr>
        <w:ind w:left="720" w:firstLine="720"/>
        <w:rPr>
          <w:i/>
          <w:sz w:val="22"/>
          <w:szCs w:val="24"/>
        </w:rPr>
      </w:pPr>
      <w:r w:rsidRPr="000931DA">
        <w:rPr>
          <w:i/>
          <w:sz w:val="22"/>
          <w:szCs w:val="24"/>
        </w:rPr>
        <w:lastRenderedPageBreak/>
        <w:t>(iv) a body corporate established by a law of a State; or</w:t>
      </w:r>
    </w:p>
    <w:p w14:paraId="2581691F" w14:textId="77777777" w:rsidR="00184C4B" w:rsidRPr="000931DA" w:rsidRDefault="00184C4B" w:rsidP="00184C4B">
      <w:pPr>
        <w:ind w:left="720" w:firstLine="720"/>
        <w:rPr>
          <w:i/>
          <w:sz w:val="22"/>
          <w:szCs w:val="24"/>
        </w:rPr>
      </w:pPr>
      <w:r w:rsidRPr="000931DA">
        <w:rPr>
          <w:i/>
          <w:sz w:val="22"/>
          <w:szCs w:val="24"/>
        </w:rPr>
        <w:t>(v) a Territory; or</w:t>
      </w:r>
    </w:p>
    <w:p w14:paraId="70AA88AD" w14:textId="77777777" w:rsidR="00184C4B" w:rsidRPr="000931DA" w:rsidRDefault="00184C4B" w:rsidP="00184C4B">
      <w:pPr>
        <w:ind w:left="720" w:firstLine="720"/>
        <w:rPr>
          <w:i/>
          <w:sz w:val="22"/>
          <w:szCs w:val="24"/>
        </w:rPr>
      </w:pPr>
      <w:r w:rsidRPr="000931DA">
        <w:rPr>
          <w:i/>
          <w:sz w:val="22"/>
          <w:szCs w:val="24"/>
        </w:rPr>
        <w:t xml:space="preserve">(vi) a body corporate established by a law of a Territory; and </w:t>
      </w:r>
    </w:p>
    <w:p w14:paraId="594A3A73" w14:textId="77777777" w:rsidR="00184C4B" w:rsidRPr="000931DA" w:rsidRDefault="00184C4B" w:rsidP="00184C4B">
      <w:pPr>
        <w:rPr>
          <w:i/>
          <w:sz w:val="22"/>
          <w:szCs w:val="24"/>
        </w:rPr>
      </w:pPr>
      <w:r w:rsidRPr="000931DA">
        <w:rPr>
          <w:i/>
          <w:sz w:val="22"/>
          <w:szCs w:val="24"/>
        </w:rPr>
        <w:t xml:space="preserve">(c) the entity knows that the asset is used as described in paragraph (b). </w:t>
      </w:r>
    </w:p>
    <w:p w14:paraId="0FB1334F" w14:textId="77777777" w:rsidR="00184C4B" w:rsidRPr="000931DA" w:rsidRDefault="00184C4B" w:rsidP="00184C4B">
      <w:pPr>
        <w:rPr>
          <w:i/>
          <w:sz w:val="22"/>
          <w:szCs w:val="24"/>
        </w:rPr>
      </w:pPr>
      <w:r w:rsidRPr="000931DA">
        <w:rPr>
          <w:i/>
          <w:sz w:val="22"/>
          <w:szCs w:val="24"/>
        </w:rPr>
        <w:t xml:space="preserve">(2) An asset is a critical data storage or processing asset if: </w:t>
      </w:r>
    </w:p>
    <w:p w14:paraId="1C0A15E6" w14:textId="77777777" w:rsidR="00184C4B" w:rsidRPr="000931DA" w:rsidRDefault="00184C4B" w:rsidP="00184C4B">
      <w:pPr>
        <w:ind w:firstLine="720"/>
        <w:rPr>
          <w:i/>
          <w:sz w:val="22"/>
          <w:szCs w:val="24"/>
        </w:rPr>
      </w:pPr>
      <w:r w:rsidRPr="000931DA">
        <w:rPr>
          <w:i/>
          <w:sz w:val="22"/>
          <w:szCs w:val="24"/>
        </w:rPr>
        <w:t>(a) it is owned or operated by an entity that is a data storage or processing provider; and</w:t>
      </w:r>
    </w:p>
    <w:p w14:paraId="49F6D4DF" w14:textId="77777777" w:rsidR="00184C4B" w:rsidRPr="000931DA" w:rsidRDefault="00184C4B" w:rsidP="00184C4B">
      <w:pPr>
        <w:ind w:firstLine="720"/>
        <w:rPr>
          <w:i/>
          <w:sz w:val="22"/>
          <w:szCs w:val="24"/>
        </w:rPr>
      </w:pPr>
      <w:r w:rsidRPr="000931DA">
        <w:rPr>
          <w:i/>
          <w:sz w:val="22"/>
          <w:szCs w:val="24"/>
        </w:rPr>
        <w:t xml:space="preserve">(b) it is used wholly or primarily to provide a data storage or processing service that: </w:t>
      </w:r>
    </w:p>
    <w:p w14:paraId="1D515152" w14:textId="77777777" w:rsidR="00184C4B" w:rsidRPr="000931DA" w:rsidRDefault="00184C4B" w:rsidP="00184C4B">
      <w:pPr>
        <w:ind w:left="1440"/>
        <w:rPr>
          <w:i/>
          <w:sz w:val="22"/>
          <w:szCs w:val="24"/>
        </w:rPr>
      </w:pPr>
      <w:r w:rsidRPr="000931DA">
        <w:rPr>
          <w:i/>
          <w:sz w:val="22"/>
          <w:szCs w:val="24"/>
        </w:rPr>
        <w:t>(i) is provided by the entity on a commercial basis to an end-user that is the responsible entity for a critical infrastructure asset; and</w:t>
      </w:r>
    </w:p>
    <w:p w14:paraId="53A97641" w14:textId="77777777" w:rsidR="00184C4B" w:rsidRPr="000931DA" w:rsidRDefault="00184C4B" w:rsidP="00184C4B">
      <w:pPr>
        <w:ind w:left="720" w:firstLine="720"/>
        <w:rPr>
          <w:i/>
          <w:sz w:val="22"/>
          <w:szCs w:val="24"/>
        </w:rPr>
      </w:pPr>
      <w:r w:rsidRPr="000931DA">
        <w:rPr>
          <w:i/>
          <w:sz w:val="22"/>
          <w:szCs w:val="24"/>
        </w:rPr>
        <w:t xml:space="preserve">(ii) relates to business critical data; and </w:t>
      </w:r>
    </w:p>
    <w:p w14:paraId="272A6FAF" w14:textId="77777777" w:rsidR="00184C4B" w:rsidRPr="000931DA" w:rsidRDefault="00184C4B" w:rsidP="00184C4B">
      <w:pPr>
        <w:ind w:left="720" w:firstLine="720"/>
        <w:rPr>
          <w:i/>
          <w:sz w:val="22"/>
          <w:szCs w:val="24"/>
        </w:rPr>
      </w:pPr>
      <w:r w:rsidRPr="000931DA">
        <w:rPr>
          <w:i/>
          <w:sz w:val="22"/>
          <w:szCs w:val="24"/>
        </w:rPr>
        <w:t>(c) the entity knows that the asset is used as described in paragraph (b).</w:t>
      </w:r>
    </w:p>
    <w:p w14:paraId="220B5EC6" w14:textId="77777777" w:rsidR="00184C4B" w:rsidRPr="000931DA" w:rsidRDefault="00184C4B" w:rsidP="004F6E47">
      <w:pPr>
        <w:pStyle w:val="BodyText"/>
      </w:pPr>
    </w:p>
    <w:p w14:paraId="293F8F5F" w14:textId="2EA4D4E3" w:rsidR="00184C4B" w:rsidRPr="000931DA" w:rsidRDefault="00184C4B" w:rsidP="004F6E47">
      <w:pPr>
        <w:pStyle w:val="BodyText"/>
      </w:pPr>
      <w:r w:rsidRPr="000931DA">
        <w:rPr>
          <w:rFonts w:ascii="Arial" w:hAnsi="Arial" w:cs="Arial"/>
        </w:rPr>
        <w:t>For the purposes of the S</w:t>
      </w:r>
      <w:r w:rsidR="00687E88">
        <w:rPr>
          <w:rFonts w:ascii="Arial" w:hAnsi="Arial" w:cs="Arial"/>
        </w:rPr>
        <w:t>OCI</w:t>
      </w:r>
      <w:r w:rsidRPr="000931DA">
        <w:rPr>
          <w:rFonts w:ascii="Arial" w:hAnsi="Arial" w:cs="Arial"/>
        </w:rPr>
        <w:t xml:space="preserve"> Act, </w:t>
      </w:r>
      <w:r w:rsidRPr="000931DA">
        <w:t xml:space="preserve">A </w:t>
      </w:r>
      <w:r w:rsidRPr="000931DA">
        <w:rPr>
          <w:b/>
        </w:rPr>
        <w:t>data storage or processing service</w:t>
      </w:r>
      <w:r w:rsidRPr="000931DA">
        <w:t xml:space="preserve"> means:</w:t>
      </w:r>
    </w:p>
    <w:p w14:paraId="066C0742" w14:textId="77777777" w:rsidR="00184C4B" w:rsidRPr="000931DA" w:rsidRDefault="00184C4B" w:rsidP="004F6E47">
      <w:pPr>
        <w:pStyle w:val="BodyText"/>
      </w:pPr>
      <w:r w:rsidRPr="000931DA">
        <w:t>(a) a service that enables end-users to store or back-up data; or</w:t>
      </w:r>
    </w:p>
    <w:p w14:paraId="795F16FC" w14:textId="77777777" w:rsidR="00184C4B" w:rsidRPr="000931DA" w:rsidRDefault="00184C4B" w:rsidP="004F6E47">
      <w:pPr>
        <w:pStyle w:val="BodyText"/>
      </w:pPr>
      <w:r w:rsidRPr="001E17BC">
        <w:t xml:space="preserve">(b) a data processing service. </w:t>
      </w:r>
    </w:p>
    <w:p w14:paraId="5001C199" w14:textId="77777777" w:rsidR="00184C4B" w:rsidRPr="000931DA" w:rsidRDefault="00184C4B" w:rsidP="004F6E47">
      <w:pPr>
        <w:pStyle w:val="BodyText"/>
      </w:pPr>
      <w:r w:rsidRPr="000931DA">
        <w:t xml:space="preserve">Meanwhile, the data storage or processing sector means the sector of the Australian economy that involves providing data storage or processing services. </w:t>
      </w:r>
    </w:p>
    <w:p w14:paraId="6E6CF4C1" w14:textId="77777777" w:rsidR="000C3D44" w:rsidRDefault="000C3D44" w:rsidP="008E1A28">
      <w:pPr>
        <w:pStyle w:val="AppendixH2"/>
      </w:pPr>
      <w:r>
        <w:t xml:space="preserve">Impacts of a disruption to </w:t>
      </w:r>
      <w:r w:rsidR="00CE1E19">
        <w:t>critical data processing or storage asset</w:t>
      </w:r>
      <w:r w:rsidR="009A1F10">
        <w:t>s</w:t>
      </w:r>
    </w:p>
    <w:p w14:paraId="64F678B6" w14:textId="77777777" w:rsidR="009F78C7" w:rsidRDefault="009F78C7" w:rsidP="004F6E47">
      <w:pPr>
        <w:pStyle w:val="BodyText"/>
      </w:pPr>
      <w:r>
        <w:t>Data processing and storage assets are critical enabling function to a range of critical services across the economy. The consequences of a prolonged and widespread disruption to a critical data storage and processing asset may include:</w:t>
      </w:r>
    </w:p>
    <w:p w14:paraId="5E81CDD5" w14:textId="77777777" w:rsidR="009F78C7" w:rsidRDefault="009F78C7" w:rsidP="004F6E47">
      <w:pPr>
        <w:pStyle w:val="Bullet1stlevel"/>
      </w:pPr>
      <w:r>
        <w:rPr>
          <w:i/>
          <w:iCs/>
        </w:rPr>
        <w:t xml:space="preserve">Operational downtime </w:t>
      </w:r>
      <w:r>
        <w:t xml:space="preserve">– business operations across the economy can be affected by the disruption of a critical data storage or processing asset. For example, point of sale (POS) technology may be disrupted resulting in an inability to purchase groceries or essential services. </w:t>
      </w:r>
    </w:p>
    <w:p w14:paraId="34C25DEA" w14:textId="77777777" w:rsidR="009F78C7" w:rsidRDefault="009F78C7" w:rsidP="004F6E47">
      <w:pPr>
        <w:pStyle w:val="Bullet1stlevel"/>
      </w:pPr>
      <w:r>
        <w:rPr>
          <w:i/>
          <w:iCs/>
        </w:rPr>
        <w:t xml:space="preserve">Financial loss – </w:t>
      </w:r>
      <w:r>
        <w:t xml:space="preserve">prolonged disruptions to data storage or processing assets supporting banking, financial and retail sectors may result in decreased business confidence and market contractions. Responsible entities may also be liable to compensate affected individuals or businesses for any damages because of disruptions. </w:t>
      </w:r>
    </w:p>
    <w:p w14:paraId="1F99A550" w14:textId="77777777" w:rsidR="009F78C7" w:rsidRDefault="009F78C7" w:rsidP="004F6E47">
      <w:pPr>
        <w:pStyle w:val="Bullet1stlevel"/>
      </w:pPr>
      <w:r>
        <w:rPr>
          <w:i/>
          <w:iCs/>
        </w:rPr>
        <w:t xml:space="preserve">Reputational damage </w:t>
      </w:r>
      <w:r>
        <w:t>– reputational damage because of a data breach or disruption to data processing or storage asset can be severe. A loss of consumer trust in critical infrastructure, whether a specific entity or multiple, and subsequent behaviour can have flow-on implications such as increasing reliance on one or a smaller group of critical infrastructure entities.</w:t>
      </w:r>
    </w:p>
    <w:p w14:paraId="6467B697" w14:textId="77777777" w:rsidR="000C3D44" w:rsidRDefault="009F78C7" w:rsidP="004F6E47">
      <w:pPr>
        <w:pStyle w:val="Bullet1stlevel"/>
      </w:pPr>
      <w:r>
        <w:rPr>
          <w:i/>
          <w:iCs/>
        </w:rPr>
        <w:t xml:space="preserve">Sensitive data loss </w:t>
      </w:r>
      <w:r>
        <w:t xml:space="preserve">– any compromise of sensitive data (personal or other) can have significant impacts. For example, a disruption to a critical data storage or processing asset supporting the health sector could result in the theft or compromise of health information. </w:t>
      </w:r>
    </w:p>
    <w:p w14:paraId="70B57F80" w14:textId="77777777" w:rsidR="009642C6" w:rsidRPr="009642C6" w:rsidRDefault="000C3D44" w:rsidP="008E1A28">
      <w:pPr>
        <w:pStyle w:val="AppendixH2"/>
      </w:pPr>
      <w:r>
        <w:t xml:space="preserve">Examples of disruptions to </w:t>
      </w:r>
      <w:r w:rsidR="009A1F10">
        <w:t>critical data processing or storage assets</w:t>
      </w:r>
      <w:r>
        <w:t xml:space="preserve"> – domestic and international</w:t>
      </w:r>
    </w:p>
    <w:p w14:paraId="7DE93C6B" w14:textId="77777777" w:rsidR="00E1525B" w:rsidRDefault="009642C6" w:rsidP="004F6E47">
      <w:pPr>
        <w:pStyle w:val="BodyText"/>
      </w:pPr>
      <w:r>
        <w:t>I</w:t>
      </w:r>
      <w:r w:rsidR="00E1525B">
        <w:t>n November 2021, Frontier Software, one of Australia’s largest software providers of payroll and HR services, was affected by a ransomware attack that left 330 employers without automated payroll for four days, as the company was forced to take down its server following the encryption of</w:t>
      </w:r>
      <w:r w:rsidR="006B6B76">
        <w:t xml:space="preserve"> </w:t>
      </w:r>
      <w:r w:rsidR="00E1525B">
        <w:lastRenderedPageBreak/>
        <w:t>its systems.</w:t>
      </w:r>
      <w:r w:rsidR="00E1525B">
        <w:rPr>
          <w:rStyle w:val="FootnoteReference"/>
          <w:rFonts w:ascii="Arial" w:eastAsia="Calibri" w:hAnsi="Arial" w:cs="Arial"/>
          <w:color w:val="000000"/>
        </w:rPr>
        <w:footnoteReference w:id="136"/>
      </w:r>
      <w:r w:rsidR="00E1525B">
        <w:t xml:space="preserve"> This had cascading effects onto its customers, predominantly in healthcare, hospitality, Government and non-for-profit sectors, as they were forced to either delay pay runs or process them manually.</w:t>
      </w:r>
      <w:r w:rsidR="00E1525B">
        <w:rPr>
          <w:rStyle w:val="FootnoteReference"/>
          <w:rFonts w:ascii="Arial" w:eastAsia="Calibri" w:hAnsi="Arial" w:cs="Arial"/>
          <w:color w:val="000000"/>
        </w:rPr>
        <w:footnoteReference w:id="137"/>
      </w:r>
      <w:r w:rsidR="00E1525B">
        <w:t xml:space="preserve"> The ransomware attack also resulted in a data breach affecting at least 38,000 South Australian Government employees, with a number of employee’s personal details being published on the dark web.</w:t>
      </w:r>
      <w:r w:rsidR="00E1525B">
        <w:rPr>
          <w:rStyle w:val="FootnoteReference"/>
          <w:rFonts w:ascii="Arial" w:eastAsia="Calibri" w:hAnsi="Arial" w:cs="Arial"/>
          <w:color w:val="000000"/>
        </w:rPr>
        <w:footnoteReference w:id="138"/>
      </w:r>
      <w:r w:rsidR="00E1525B">
        <w:t xml:space="preserve"> </w:t>
      </w:r>
    </w:p>
    <w:p w14:paraId="77BFDCDD" w14:textId="44212AE4" w:rsidR="007B07C0" w:rsidRPr="008B2B13" w:rsidRDefault="007B07C0" w:rsidP="004F6E47">
      <w:pPr>
        <w:pStyle w:val="BodyText"/>
      </w:pPr>
      <w:r>
        <w:t>Other case stud</w:t>
      </w:r>
      <w:r w:rsidR="005C3A1B">
        <w:t>i</w:t>
      </w:r>
      <w:r>
        <w:t>es of incidents are included below.</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4A0" w:firstRow="1" w:lastRow="0" w:firstColumn="1" w:lastColumn="0" w:noHBand="0" w:noVBand="1"/>
      </w:tblPr>
      <w:tblGrid>
        <w:gridCol w:w="6669"/>
        <w:gridCol w:w="2969"/>
      </w:tblGrid>
      <w:tr w:rsidR="00BC0C73" w14:paraId="5B493975" w14:textId="77777777" w:rsidTr="00457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0" w:type="pct"/>
            <w:hideMark/>
          </w:tcPr>
          <w:p w14:paraId="24356B0F" w14:textId="06AC1B40" w:rsidR="00BC0C73" w:rsidRDefault="00BC0C73" w:rsidP="00457402">
            <w:pPr>
              <w:pStyle w:val="TableHeading"/>
              <w:rPr>
                <w:rFonts w:ascii="Calibri" w:eastAsia="Calibri" w:hAnsi="Calibri" w:cs="Times New Roman"/>
              </w:rPr>
            </w:pPr>
            <w:r>
              <w:t>Ransomware attack on IT services company Kaseya</w:t>
            </w:r>
          </w:p>
        </w:tc>
        <w:tc>
          <w:tcPr>
            <w:tcW w:w="1540" w:type="pct"/>
            <w:shd w:val="clear" w:color="auto" w:fill="007BC3" w:themeFill="accent2"/>
            <w:hideMark/>
          </w:tcPr>
          <w:p w14:paraId="3058D752" w14:textId="77777777" w:rsidR="00BC0C73" w:rsidRPr="003A1BA4" w:rsidRDefault="00BC0C73" w:rsidP="00457402">
            <w:pPr>
              <w:pStyle w:val="Tableriskcategory"/>
              <w:cnfStyle w:val="100000000000" w:firstRow="1" w:lastRow="0" w:firstColumn="0" w:lastColumn="0" w:oddVBand="0" w:evenVBand="0" w:oddHBand="0" w:evenHBand="0" w:firstRowFirstColumn="0" w:firstRowLastColumn="0" w:lastRowFirstColumn="0" w:lastRowLastColumn="0"/>
            </w:pPr>
            <w:r w:rsidRPr="000F20CF">
              <w:t xml:space="preserve">Physical &amp; Cyber Risk </w:t>
            </w:r>
          </w:p>
        </w:tc>
      </w:tr>
      <w:tr w:rsidR="00BC0C73" w14:paraId="3BB80BD4" w14:textId="77777777" w:rsidTr="00457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232E2116" w14:textId="3AD4E724" w:rsidR="00BC0C73" w:rsidRDefault="00BC0C73" w:rsidP="00457402">
            <w:pPr>
              <w:pStyle w:val="TableBody"/>
            </w:pPr>
            <w:r>
              <w:t xml:space="preserve">Situation: </w:t>
            </w:r>
            <w:r w:rsidR="00670428" w:rsidRPr="00457402">
              <w:rPr>
                <w:b w:val="0"/>
                <w:bCs/>
              </w:rPr>
              <w:t xml:space="preserve">In July 2017, hackers demanded </w:t>
            </w:r>
            <w:r w:rsidR="00920C72">
              <w:rPr>
                <w:b w:val="0"/>
                <w:bCs/>
              </w:rPr>
              <w:t>USD</w:t>
            </w:r>
            <w:r w:rsidR="00670428" w:rsidRPr="00457402">
              <w:rPr>
                <w:b w:val="0"/>
                <w:bCs/>
              </w:rPr>
              <w:t xml:space="preserve">70 million </w:t>
            </w:r>
            <w:r w:rsidR="00920C72" w:rsidRPr="00457402">
              <w:rPr>
                <w:b w:val="0"/>
                <w:bCs/>
              </w:rPr>
              <w:t>(</w:t>
            </w:r>
            <w:r w:rsidR="00920C72">
              <w:rPr>
                <w:b w:val="0"/>
                <w:bCs/>
              </w:rPr>
              <w:t>AUD</w:t>
            </w:r>
            <w:r w:rsidR="00670428" w:rsidRPr="00457402">
              <w:rPr>
                <w:b w:val="0"/>
                <w:bCs/>
              </w:rPr>
              <w:t>92.9 million) in bitcoin in exchange for data stolen during an attack on IT services company Kaseya.</w:t>
            </w:r>
            <w:r w:rsidR="00670428" w:rsidRPr="00457402">
              <w:rPr>
                <w:rStyle w:val="FootnoteReference"/>
                <w:rFonts w:ascii="Arial" w:hAnsi="Arial" w:cs="Arial"/>
                <w:b w:val="0"/>
                <w:bCs/>
              </w:rPr>
              <w:footnoteReference w:id="139"/>
            </w:r>
            <w:r w:rsidR="00670428" w:rsidRPr="00457402">
              <w:rPr>
                <w:b w:val="0"/>
                <w:bCs/>
              </w:rPr>
              <w:t xml:space="preserve"> </w:t>
            </w:r>
            <w:r w:rsidR="003960F2" w:rsidRPr="00457402">
              <w:rPr>
                <w:b w:val="0"/>
                <w:bCs/>
              </w:rPr>
              <w:t>Kaseya provides IT services to over 40,000 business globally, with the attack estimated to have affected more than 1,000 of these. Due to the nature of Kaseya’s customer base, with some businesses retailing IT services underpinned by Kase</w:t>
            </w:r>
            <w:r w:rsidR="00CB2A42" w:rsidRPr="00457402">
              <w:rPr>
                <w:b w:val="0"/>
                <w:bCs/>
              </w:rPr>
              <w:t>y</w:t>
            </w:r>
            <w:r w:rsidR="003960F2" w:rsidRPr="00457402">
              <w:rPr>
                <w:b w:val="0"/>
                <w:bCs/>
              </w:rPr>
              <w:t>a’s service offering, arrange of businesses were indirect</w:t>
            </w:r>
            <w:r w:rsidR="00A0040E" w:rsidRPr="00457402">
              <w:rPr>
                <w:b w:val="0"/>
                <w:bCs/>
              </w:rPr>
              <w:t xml:space="preserve">ly affected by the attack. </w:t>
            </w:r>
            <w:r w:rsidR="003960F2" w:rsidRPr="00457402">
              <w:rPr>
                <w:b w:val="0"/>
                <w:bCs/>
              </w:rPr>
              <w:t xml:space="preserve">Sweden’s Coop supermarket chain was one of the indirectly affected entities, </w:t>
            </w:r>
            <w:r w:rsidR="00A0040E" w:rsidRPr="00457402">
              <w:rPr>
                <w:b w:val="0"/>
                <w:bCs/>
              </w:rPr>
              <w:t>when its IT subcontractor Visma Esscom was hit by the attack</w:t>
            </w:r>
            <w:r w:rsidR="003960F2" w:rsidRPr="00457402">
              <w:rPr>
                <w:b w:val="0"/>
                <w:bCs/>
              </w:rPr>
              <w:t>.</w:t>
            </w:r>
            <w:r w:rsidR="003960F2">
              <w:t xml:space="preserve"> </w:t>
            </w:r>
          </w:p>
        </w:tc>
      </w:tr>
      <w:tr w:rsidR="00BC0C73" w14:paraId="12992AAE" w14:textId="77777777" w:rsidTr="00457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1EAA9EC2" w14:textId="5EFDEAF0" w:rsidR="00BC0C73" w:rsidRPr="0020598D" w:rsidRDefault="00670428" w:rsidP="00457402">
            <w:pPr>
              <w:pStyle w:val="TableBody"/>
              <w:rPr>
                <w:rFonts w:ascii="Calibri" w:eastAsia="Calibri" w:hAnsi="Calibri"/>
              </w:rPr>
            </w:pPr>
            <w:r>
              <w:t xml:space="preserve">Outcome: </w:t>
            </w:r>
            <w:r w:rsidR="00A0040E" w:rsidRPr="00326582">
              <w:rPr>
                <w:b w:val="0"/>
              </w:rPr>
              <w:t xml:space="preserve">Cybersecurity firm ESET identified victims in at least 17 countries, including South Africa, Britain, Mexico and Sweden. A range of essential services were affected – Coop’s 800 supermarkets remained closed on the Monday after Friday’s attack, </w:t>
            </w:r>
            <w:r w:rsidR="00D03114" w:rsidRPr="00326582">
              <w:rPr>
                <w:b w:val="0"/>
              </w:rPr>
              <w:t>with point-of-sale systems still affected and unable to operate. The attack was likely carried out by REvil, a Russian-speaking hacking group known for their frequent ransomware attacks. The hacker’s blog post claiming responsibility for the attack also st</w:t>
            </w:r>
            <w:r w:rsidR="00497D18" w:rsidRPr="00326582">
              <w:rPr>
                <w:b w:val="0"/>
              </w:rPr>
              <w:t>a</w:t>
            </w:r>
            <w:r w:rsidR="00D03114" w:rsidRPr="00326582">
              <w:rPr>
                <w:b w:val="0"/>
              </w:rPr>
              <w:t xml:space="preserve">ted </w:t>
            </w:r>
            <w:r w:rsidR="00497D18" w:rsidRPr="00326582">
              <w:rPr>
                <w:b w:val="0"/>
              </w:rPr>
              <w:t xml:space="preserve">a decryption tool would be released once the bitcoin ransom had been paid. The hackers also reached out to demand </w:t>
            </w:r>
            <w:r w:rsidR="00D03114" w:rsidRPr="00326582">
              <w:rPr>
                <w:b w:val="0"/>
              </w:rPr>
              <w:t xml:space="preserve">smaller payments </w:t>
            </w:r>
            <w:r w:rsidR="00497D18" w:rsidRPr="00326582">
              <w:rPr>
                <w:b w:val="0"/>
              </w:rPr>
              <w:t>from individual affected companies, with reports of demands ranging from US</w:t>
            </w:r>
            <w:r w:rsidR="00A50A0D" w:rsidRPr="00326582">
              <w:rPr>
                <w:b w:val="0"/>
              </w:rPr>
              <w:t>D</w:t>
            </w:r>
            <w:r w:rsidR="00497D18" w:rsidRPr="00326582">
              <w:rPr>
                <w:b w:val="0"/>
              </w:rPr>
              <w:t>50,000 to US</w:t>
            </w:r>
            <w:r w:rsidR="00A50A0D" w:rsidRPr="00326582">
              <w:rPr>
                <w:b w:val="0"/>
              </w:rPr>
              <w:t>D</w:t>
            </w:r>
            <w:r w:rsidR="00497D18" w:rsidRPr="00326582">
              <w:rPr>
                <w:b w:val="0"/>
              </w:rPr>
              <w:t>5 million.</w:t>
            </w:r>
          </w:p>
        </w:tc>
      </w:tr>
      <w:tr w:rsidR="00BC0C73" w14:paraId="41EA2B50" w14:textId="77777777" w:rsidTr="00457402">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19072384" w14:textId="1399B8E1" w:rsidR="00BC0C73" w:rsidRDefault="00BC0C73" w:rsidP="00457402">
            <w:pPr>
              <w:pStyle w:val="TableBody"/>
            </w:pPr>
            <w:r>
              <w:t xml:space="preserve">Identified Gap: </w:t>
            </w:r>
            <w:r w:rsidR="00A3120D" w:rsidRPr="00326582">
              <w:rPr>
                <w:b w:val="0"/>
              </w:rPr>
              <w:t xml:space="preserve">The Kaseya attack demonstrates the potential flow-on consequences as a result of compromise of key cogs in the data processing or storage sector, as well as the importance of understanding potential vulnerabilities underpinning critical infrastructure providing by third parties. While there is uncertainty over the specific payments made as a result of the attack, the amount demanded demonstrates the </w:t>
            </w:r>
            <w:r w:rsidR="003D1E6A" w:rsidRPr="00326582">
              <w:rPr>
                <w:b w:val="0"/>
              </w:rPr>
              <w:t>potentially extreme financial implications of ransomware attacks in addition to the financial impacts of reduced or impacted operations of essential services.</w:t>
            </w:r>
          </w:p>
        </w:tc>
      </w:tr>
    </w:tbl>
    <w:p w14:paraId="7903DCAA" w14:textId="3AE50DB0" w:rsidR="00BC0C73" w:rsidRDefault="00BC0C73" w:rsidP="00457402">
      <w:pPr>
        <w:pStyle w:val="BodyText"/>
      </w:pPr>
    </w:p>
    <w:p w14:paraId="004AE119" w14:textId="48FA9005" w:rsidR="00457402" w:rsidRDefault="00457402" w:rsidP="00457402">
      <w:pPr>
        <w:pStyle w:val="BodyText"/>
      </w:pPr>
    </w:p>
    <w:p w14:paraId="4F73F040" w14:textId="2DD49853" w:rsidR="00457402" w:rsidRDefault="00457402" w:rsidP="00457402">
      <w:pPr>
        <w:pStyle w:val="BodyText"/>
      </w:pPr>
    </w:p>
    <w:p w14:paraId="4FE47028" w14:textId="09AF9DBA" w:rsidR="00457402" w:rsidRDefault="00457402" w:rsidP="00457402">
      <w:pPr>
        <w:pStyle w:val="BodyText"/>
      </w:pPr>
    </w:p>
    <w:p w14:paraId="3142B154" w14:textId="77777777" w:rsidR="00457402" w:rsidRPr="00457402" w:rsidRDefault="00457402" w:rsidP="00457402">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669"/>
        <w:gridCol w:w="2969"/>
      </w:tblGrid>
      <w:tr w:rsidR="00E1525B" w14:paraId="53561BD2" w14:textId="77777777" w:rsidTr="00457402">
        <w:tc>
          <w:tcPr>
            <w:tcW w:w="3460" w:type="pct"/>
            <w:shd w:val="clear" w:color="auto" w:fill="034EA2" w:themeFill="accent1"/>
            <w:hideMark/>
          </w:tcPr>
          <w:p w14:paraId="1688FE34" w14:textId="264423F7" w:rsidR="00E1525B" w:rsidRPr="00457402" w:rsidRDefault="00E1525B" w:rsidP="00457402">
            <w:pPr>
              <w:pStyle w:val="TableHeading"/>
            </w:pPr>
            <w:r w:rsidRPr="00457402">
              <w:t xml:space="preserve">Record-Breaking Google Cloud </w:t>
            </w:r>
            <w:r w:rsidR="00D07EBC" w:rsidRPr="00457402">
              <w:t>d</w:t>
            </w:r>
            <w:r w:rsidR="008E7670" w:rsidRPr="00457402">
              <w:t xml:space="preserve">istributed </w:t>
            </w:r>
            <w:r w:rsidR="00986459" w:rsidRPr="00457402">
              <w:t xml:space="preserve">denial of </w:t>
            </w:r>
            <w:r w:rsidR="00D07EBC" w:rsidRPr="00457402">
              <w:t>s</w:t>
            </w:r>
            <w:r w:rsidR="00986459" w:rsidRPr="00457402">
              <w:t>ervice (</w:t>
            </w:r>
            <w:r w:rsidRPr="00457402">
              <w:t>DDoS</w:t>
            </w:r>
            <w:r w:rsidR="00986459" w:rsidRPr="00457402">
              <w:t>)</w:t>
            </w:r>
            <w:r w:rsidRPr="00457402">
              <w:t xml:space="preserve"> Attack (2017</w:t>
            </w:r>
            <w:r w:rsidR="00D07EBC" w:rsidRPr="00457402">
              <w:t>)</w:t>
            </w:r>
          </w:p>
        </w:tc>
        <w:tc>
          <w:tcPr>
            <w:tcW w:w="1540" w:type="pct"/>
            <w:shd w:val="clear" w:color="auto" w:fill="007BC3" w:themeFill="accent2"/>
            <w:hideMark/>
          </w:tcPr>
          <w:p w14:paraId="208CC45E" w14:textId="77777777" w:rsidR="00E1525B" w:rsidRPr="003A1BA4" w:rsidRDefault="00E1525B" w:rsidP="00457402">
            <w:pPr>
              <w:pStyle w:val="Tableriskcategory"/>
            </w:pPr>
            <w:r w:rsidRPr="000F20CF">
              <w:t xml:space="preserve">Physical &amp; Cyber Risk </w:t>
            </w:r>
          </w:p>
        </w:tc>
      </w:tr>
      <w:tr w:rsidR="00E1525B" w14:paraId="33D08170" w14:textId="77777777" w:rsidTr="00457402">
        <w:tc>
          <w:tcPr>
            <w:tcW w:w="5000" w:type="pct"/>
            <w:gridSpan w:val="2"/>
            <w:shd w:val="clear" w:color="auto" w:fill="auto"/>
            <w:hideMark/>
          </w:tcPr>
          <w:p w14:paraId="297620AE" w14:textId="77777777" w:rsidR="00E1525B" w:rsidRDefault="00E1525B" w:rsidP="00457402">
            <w:pPr>
              <w:pStyle w:val="TableBody"/>
              <w:rPr>
                <w:b/>
                <w:bCs/>
              </w:rPr>
            </w:pPr>
            <w:r w:rsidRPr="00457402">
              <w:rPr>
                <w:b/>
                <w:bCs/>
              </w:rPr>
              <w:t>Situation</w:t>
            </w:r>
            <w:r>
              <w:t>: In September 2017, Google experienced its largest recorded DDoS attack. The attack was not publicly disclosed until October 2020. The attack was alleged to have originated in China, from within a network of four Chinese internet service providers. A Security Reliability Engineer for Google Cloud said the attack represented “…the culmination of a six-month campaign,” that leveraged several attack methods to infiltrate Google's server infrastructure. Google did not reveal the specific services which had been targeted.</w:t>
            </w:r>
            <w:r>
              <w:rPr>
                <w:rStyle w:val="FootnoteReference"/>
                <w:rFonts w:ascii="Arial" w:hAnsi="Arial"/>
              </w:rPr>
              <w:footnoteReference w:id="140"/>
            </w:r>
          </w:p>
        </w:tc>
      </w:tr>
      <w:tr w:rsidR="00E1525B" w14:paraId="35C6C807" w14:textId="77777777" w:rsidTr="00457402">
        <w:tc>
          <w:tcPr>
            <w:tcW w:w="5000" w:type="pct"/>
            <w:gridSpan w:val="2"/>
            <w:hideMark/>
          </w:tcPr>
          <w:p w14:paraId="61027170" w14:textId="77777777" w:rsidR="00E1525B" w:rsidRDefault="00E1525B" w:rsidP="00457402">
            <w:pPr>
              <w:pStyle w:val="TableBody"/>
              <w:rPr>
                <w:rFonts w:ascii="Calibri" w:eastAsia="Calibri" w:hAnsi="Calibri"/>
                <w:b/>
              </w:rPr>
            </w:pPr>
            <w:r w:rsidRPr="00457402">
              <w:rPr>
                <w:b/>
                <w:bCs/>
              </w:rPr>
              <w:lastRenderedPageBreak/>
              <w:t>Outcome</w:t>
            </w:r>
            <w:r>
              <w:t>: The attack was reportedly larger than a similar attack caused by the Mirai Botnet (a form of malware), which occurred in 2016 and was considered record-breaking at the time. Similarly, this attack was larger than a comparable DDoS attack which targeted Amazon infrastructure in early 2020. While many of the attack’s intended effects were successfully mitigated, Google disclosed the occurrence to raise awareness of the increasing number of nation-state hacking incidents, and the high likelihood that DDoS attacks are likely to increase significantly in the coming years.</w:t>
            </w:r>
            <w:r>
              <w:rPr>
                <w:rStyle w:val="FootnoteReference"/>
                <w:rFonts w:ascii="Arial" w:hAnsi="Arial"/>
              </w:rPr>
              <w:footnoteReference w:id="141"/>
            </w:r>
          </w:p>
        </w:tc>
      </w:tr>
      <w:tr w:rsidR="00E1525B" w14:paraId="33154B1E" w14:textId="77777777" w:rsidTr="00457402">
        <w:trPr>
          <w:trHeight w:val="279"/>
        </w:trPr>
        <w:tc>
          <w:tcPr>
            <w:tcW w:w="5000" w:type="pct"/>
            <w:gridSpan w:val="2"/>
            <w:shd w:val="clear" w:color="auto" w:fill="auto"/>
            <w:hideMark/>
          </w:tcPr>
          <w:p w14:paraId="25F4956D" w14:textId="77777777" w:rsidR="00E1525B" w:rsidRDefault="00E1525B" w:rsidP="00457402">
            <w:pPr>
              <w:pStyle w:val="TableBody"/>
              <w:rPr>
                <w:b/>
              </w:rPr>
            </w:pPr>
            <w:r w:rsidRPr="00457402">
              <w:rPr>
                <w:b/>
                <w:bCs/>
              </w:rPr>
              <w:t>Identified</w:t>
            </w:r>
            <w:r>
              <w:t xml:space="preserve"> </w:t>
            </w:r>
            <w:r w:rsidRPr="00457402">
              <w:rPr>
                <w:b/>
                <w:bCs/>
              </w:rPr>
              <w:t>Gap</w:t>
            </w:r>
            <w:r>
              <w:t>: Data Centre company Equinix has predicted that, by 2023, there will be a 45% increase in global interconnection bandwidth, creating significantly more opportunity for DDoS and similar cyber-attacks on vulnerable assets.</w:t>
            </w:r>
            <w:r>
              <w:rPr>
                <w:rStyle w:val="FootnoteReference"/>
                <w:rFonts w:ascii="Arial" w:hAnsi="Arial"/>
              </w:rPr>
              <w:footnoteReference w:id="142"/>
            </w:r>
            <w:r>
              <w:t xml:space="preserve"> While the potentially detrimental consequences of the DDoS attack on Google were largely avoided, this case study demonstrates the importance of strong risk identification, mitigation, and remediation practices. Rapid increases in interconnectivity and changes to the cyber landscape reinforce the importance of strong, resilient critical cloud assets. </w:t>
            </w:r>
          </w:p>
        </w:tc>
      </w:tr>
    </w:tbl>
    <w:p w14:paraId="52EF938A" w14:textId="77777777" w:rsidR="00E1525B" w:rsidRPr="00457402" w:rsidRDefault="00E1525B" w:rsidP="00457402">
      <w:pPr>
        <w:pStyle w:val="BodyText"/>
      </w:pPr>
    </w:p>
    <w:tbl>
      <w:tblPr>
        <w:tblStyle w:val="DHATable"/>
        <w:tblW w:w="9634"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480" w:firstRow="0" w:lastRow="0" w:firstColumn="1" w:lastColumn="0" w:noHBand="0" w:noVBand="1"/>
      </w:tblPr>
      <w:tblGrid>
        <w:gridCol w:w="6648"/>
        <w:gridCol w:w="2986"/>
      </w:tblGrid>
      <w:tr w:rsidR="00E1525B" w14:paraId="577C4EEF" w14:textId="77777777" w:rsidTr="000E5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8" w:type="dxa"/>
            <w:shd w:val="clear" w:color="auto" w:fill="034EA2" w:themeFill="accent1"/>
            <w:hideMark/>
          </w:tcPr>
          <w:p w14:paraId="4BFC0693" w14:textId="77777777" w:rsidR="00E1525B" w:rsidRPr="003A1BA4" w:rsidRDefault="00E1525B" w:rsidP="000E588A">
            <w:pPr>
              <w:pStyle w:val="TableHeading"/>
              <w:rPr>
                <w:rFonts w:ascii="Calibri" w:eastAsia="Calibri" w:hAnsi="Calibri" w:cs="Times New Roman"/>
              </w:rPr>
            </w:pPr>
            <w:r w:rsidRPr="003A1BA4">
              <w:t>Melbourne’s Google Cloud Experiences Outage (2021)</w:t>
            </w:r>
          </w:p>
        </w:tc>
        <w:tc>
          <w:tcPr>
            <w:tcW w:w="2986" w:type="dxa"/>
            <w:shd w:val="clear" w:color="auto" w:fill="007BC3" w:themeFill="accent2"/>
            <w:hideMark/>
          </w:tcPr>
          <w:p w14:paraId="1E950F65" w14:textId="77777777" w:rsidR="00E1525B" w:rsidRDefault="00E1525B" w:rsidP="000E588A">
            <w:pPr>
              <w:pStyle w:val="Tableriskcategory"/>
              <w:cnfStyle w:val="000000100000" w:firstRow="0" w:lastRow="0" w:firstColumn="0" w:lastColumn="0" w:oddVBand="0" w:evenVBand="0" w:oddHBand="1" w:evenHBand="0" w:firstRowFirstColumn="0" w:firstRowLastColumn="0" w:lastRowFirstColumn="0" w:lastRowLastColumn="0"/>
            </w:pPr>
            <w:r w:rsidRPr="000F20CF">
              <w:t xml:space="preserve">Physical Risk </w:t>
            </w:r>
          </w:p>
        </w:tc>
      </w:tr>
      <w:tr w:rsidR="00E1525B" w14:paraId="61B19837" w14:textId="77777777" w:rsidTr="00D0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auto"/>
            <w:hideMark/>
          </w:tcPr>
          <w:p w14:paraId="56ED1E55" w14:textId="77777777" w:rsidR="00E1525B" w:rsidRDefault="00E1525B" w:rsidP="000E588A">
            <w:pPr>
              <w:pStyle w:val="TableBody"/>
            </w:pPr>
            <w:r>
              <w:t xml:space="preserve">Situation: </w:t>
            </w:r>
            <w:r w:rsidRPr="000E588A">
              <w:rPr>
                <w:b w:val="0"/>
                <w:bCs/>
              </w:rPr>
              <w:t>In August 2021, Google’s newest cloud region (‘australia-southeast2’, located in Melbourne) experienced a 1 hour and 30-minute outage, because of a ‘transient voltage’ issue, forcing network hardware to be rebooted.</w:t>
            </w:r>
            <w:r w:rsidRPr="000E588A">
              <w:rPr>
                <w:rStyle w:val="FootnoteReference"/>
                <w:rFonts w:ascii="Arial" w:hAnsi="Arial"/>
                <w:b w:val="0"/>
                <w:bCs/>
              </w:rPr>
              <w:footnoteReference w:id="143"/>
            </w:r>
            <w:r w:rsidRPr="000E588A">
              <w:rPr>
                <w:b w:val="0"/>
                <w:bCs/>
              </w:rPr>
              <w:t xml:space="preserve"> Transient voltages are caused by the sudden release of stored energy due to incidents such as lightning strikes, unfiltered electrical equipment, contact bounce, arcing, capacitor bank or generators being switched ‘on’ and ‘off’. The Melbourne Google Cloud had opened in the month prior, intended to help customers in improving business continuity planning and securing IT and business requirements for disaster recovery, while maintaining data sovereignty within Australia.</w:t>
            </w:r>
            <w:r w:rsidRPr="000E588A">
              <w:rPr>
                <w:rStyle w:val="FootnoteReference"/>
                <w:rFonts w:ascii="Arial" w:hAnsi="Arial"/>
                <w:b w:val="0"/>
                <w:bCs/>
              </w:rPr>
              <w:footnoteReference w:id="144"/>
            </w:r>
          </w:p>
        </w:tc>
      </w:tr>
      <w:tr w:rsidR="00E1525B" w14:paraId="4F7D1F37" w14:textId="77777777" w:rsidTr="00D05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F2F2F2" w:themeFill="background1" w:themeFillShade="F2"/>
            <w:hideMark/>
          </w:tcPr>
          <w:p w14:paraId="7529610D" w14:textId="77777777" w:rsidR="00E1525B" w:rsidRDefault="00E1525B" w:rsidP="000E588A">
            <w:pPr>
              <w:pStyle w:val="TableBody"/>
              <w:rPr>
                <w:rFonts w:ascii="Calibri" w:eastAsia="Calibri" w:hAnsi="Calibri"/>
              </w:rPr>
            </w:pPr>
            <w:r>
              <w:t xml:space="preserve">Outcome:  </w:t>
            </w:r>
            <w:r w:rsidRPr="000E588A">
              <w:rPr>
                <w:b w:val="0"/>
                <w:bCs/>
              </w:rPr>
              <w:t>The disruption was reported to have affected any service that uses Cloud Networking, including public IP traffic connectivity, Cloud Storage, Cloud Run, Cloud SQ</w:t>
            </w:r>
            <w:r w:rsidR="00240BF4" w:rsidRPr="000E588A">
              <w:rPr>
                <w:b w:val="0"/>
                <w:bCs/>
              </w:rPr>
              <w:t>L</w:t>
            </w:r>
            <w:r w:rsidRPr="000E588A">
              <w:rPr>
                <w:b w:val="0"/>
                <w:bCs/>
              </w:rPr>
              <w:t>, and Cloud Filestore, among other services.</w:t>
            </w:r>
            <w:r w:rsidRPr="000E588A">
              <w:rPr>
                <w:rStyle w:val="FootnoteReference"/>
                <w:rFonts w:ascii="Arial" w:hAnsi="Arial"/>
                <w:b w:val="0"/>
                <w:bCs/>
              </w:rPr>
              <w:footnoteReference w:id="145"/>
            </w:r>
            <w:r w:rsidRPr="000E588A">
              <w:rPr>
                <w:b w:val="0"/>
                <w:bCs/>
              </w:rPr>
              <w:t xml:space="preserve"> Google’s final analysis of the incident named 23 impact services in total.</w:t>
            </w:r>
            <w:r w:rsidRPr="000E588A">
              <w:rPr>
                <w:rStyle w:val="FootnoteReference"/>
                <w:rFonts w:ascii="Arial" w:hAnsi="Arial" w:cs="Arial"/>
                <w:b w:val="0"/>
                <w:bCs/>
              </w:rPr>
              <w:footnoteReference w:id="146"/>
            </w:r>
          </w:p>
        </w:tc>
      </w:tr>
      <w:tr w:rsidR="00E1525B" w14:paraId="7EFDE956" w14:textId="77777777" w:rsidTr="00D0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auto"/>
            <w:hideMark/>
          </w:tcPr>
          <w:p w14:paraId="0E23659D" w14:textId="77777777" w:rsidR="00E1525B" w:rsidRDefault="00E1525B" w:rsidP="000E588A">
            <w:pPr>
              <w:pStyle w:val="TableBody"/>
            </w:pPr>
            <w:r>
              <w:rPr>
                <w:rFonts w:eastAsia="Times New Roman"/>
              </w:rPr>
              <w:t xml:space="preserve">Identified Gap: </w:t>
            </w:r>
            <w:r>
              <w:t xml:space="preserve"> </w:t>
            </w:r>
            <w:r w:rsidRPr="000E588A">
              <w:rPr>
                <w:b w:val="0"/>
                <w:bCs/>
              </w:rPr>
              <w:t>This case study demonstrates the extent to which services can be affected in the event of unforeseen network equipment issues, in this case cause by transient voltage. Google has not confirmed whether the affected equipment belonged to it or a supplier. The case study demonstrates that critical cloud assets of all sizes should seek to understand and mitigate risks in all hazards through their risk management practices.</w:t>
            </w:r>
          </w:p>
        </w:tc>
      </w:tr>
    </w:tbl>
    <w:p w14:paraId="6DED7602" w14:textId="77777777" w:rsidR="00E1525B" w:rsidRDefault="00E1525B" w:rsidP="004F6E47">
      <w:pPr>
        <w:pStyle w:val="BodyText"/>
      </w:pPr>
    </w:p>
    <w:tbl>
      <w:tblPr>
        <w:tblStyle w:val="DHATable"/>
        <w:tblW w:w="9634"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480" w:firstRow="0" w:lastRow="0" w:firstColumn="1" w:lastColumn="0" w:noHBand="0" w:noVBand="1"/>
      </w:tblPr>
      <w:tblGrid>
        <w:gridCol w:w="6506"/>
        <w:gridCol w:w="3128"/>
      </w:tblGrid>
      <w:tr w:rsidR="00E1525B" w14:paraId="1F542DB6" w14:textId="77777777" w:rsidTr="00D43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6" w:type="dxa"/>
            <w:shd w:val="clear" w:color="auto" w:fill="034EA2" w:themeFill="accent1"/>
            <w:hideMark/>
          </w:tcPr>
          <w:p w14:paraId="49D52EFA" w14:textId="77777777" w:rsidR="00E1525B" w:rsidRDefault="00E1525B" w:rsidP="00D438AE">
            <w:pPr>
              <w:pStyle w:val="TableHeading"/>
              <w:rPr>
                <w:rFonts w:ascii="Calibri" w:eastAsia="Calibri" w:hAnsi="Calibri" w:cs="Times New Roman"/>
              </w:rPr>
            </w:pPr>
            <w:r>
              <w:t>Data Centre Hack on NordVPN (2018)</w:t>
            </w:r>
          </w:p>
        </w:tc>
        <w:tc>
          <w:tcPr>
            <w:tcW w:w="3128" w:type="dxa"/>
            <w:shd w:val="clear" w:color="auto" w:fill="007BC3" w:themeFill="accent2"/>
            <w:hideMark/>
          </w:tcPr>
          <w:p w14:paraId="1277F73A" w14:textId="77777777" w:rsidR="00E1525B" w:rsidRDefault="00E1525B" w:rsidP="00D438AE">
            <w:pPr>
              <w:pStyle w:val="Tableriskcategory"/>
              <w:cnfStyle w:val="000000100000" w:firstRow="0" w:lastRow="0" w:firstColumn="0" w:lastColumn="0" w:oddVBand="0" w:evenVBand="0" w:oddHBand="1" w:evenHBand="0" w:firstRowFirstColumn="0" w:firstRowLastColumn="0" w:lastRowFirstColumn="0" w:lastRowLastColumn="0"/>
            </w:pPr>
            <w:r w:rsidRPr="000F20CF">
              <w:t>Personnel &amp; Cyber Risk</w:t>
            </w:r>
          </w:p>
        </w:tc>
      </w:tr>
      <w:tr w:rsidR="00E1525B" w14:paraId="399BDB22" w14:textId="77777777" w:rsidTr="00D0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auto"/>
            <w:hideMark/>
          </w:tcPr>
          <w:p w14:paraId="7B6A5716" w14:textId="77777777" w:rsidR="00E1525B" w:rsidRDefault="00E1525B" w:rsidP="00D438AE">
            <w:pPr>
              <w:pStyle w:val="TableBody"/>
            </w:pPr>
            <w:r>
              <w:t xml:space="preserve">Situation: </w:t>
            </w:r>
            <w:r w:rsidRPr="00C0127A">
              <w:rPr>
                <w:b w:val="0"/>
                <w:bCs/>
              </w:rPr>
              <w:t>In March 2018, popular private network provider NordVPN was hacked. The attacker gained access to the VPN provider’s server by exploiting an insecure remote management system, which NordVPN said it was unaware existed.</w:t>
            </w:r>
            <w:r w:rsidRPr="00C0127A">
              <w:rPr>
                <w:rStyle w:val="FootnoteReference"/>
                <w:rFonts w:ascii="Arial" w:hAnsi="Arial"/>
                <w:b w:val="0"/>
                <w:bCs/>
              </w:rPr>
              <w:footnoteReference w:id="147"/>
            </w:r>
          </w:p>
        </w:tc>
      </w:tr>
      <w:tr w:rsidR="00E1525B" w14:paraId="48F8247A" w14:textId="77777777" w:rsidTr="00D05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F2F2F2" w:themeFill="background1" w:themeFillShade="F2"/>
            <w:hideMark/>
          </w:tcPr>
          <w:p w14:paraId="2B326FCF" w14:textId="77777777" w:rsidR="00E1525B" w:rsidRDefault="00E1525B" w:rsidP="00D438AE">
            <w:pPr>
              <w:pStyle w:val="TableBody"/>
            </w:pPr>
            <w:r>
              <w:t xml:space="preserve">Outcome:  </w:t>
            </w:r>
            <w:r w:rsidRPr="00C0127A">
              <w:rPr>
                <w:b w:val="0"/>
                <w:bCs/>
              </w:rPr>
              <w:t>The breach caused alarm that hackers may have accessed sensitive user data. However, NordVPN stated the compromised server did not contain any user activity logs and that none of its applications send user-created credentials for authentication, so usernames and passwords were protected from interception too. The company also confirmed it had installed intrusion detection systems in response to the attack - a popular technology that companies use to detect early breaches.</w:t>
            </w:r>
            <w:r w:rsidRPr="00C0127A">
              <w:rPr>
                <w:rStyle w:val="FootnoteReference"/>
                <w:rFonts w:ascii="Arial" w:hAnsi="Arial"/>
                <w:b w:val="0"/>
                <w:bCs/>
              </w:rPr>
              <w:footnoteReference w:id="148"/>
            </w:r>
          </w:p>
        </w:tc>
      </w:tr>
      <w:tr w:rsidR="00E1525B" w14:paraId="6D525A83" w14:textId="77777777" w:rsidTr="00D05978">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auto"/>
            <w:hideMark/>
          </w:tcPr>
          <w:p w14:paraId="729C32B6" w14:textId="77777777" w:rsidR="00E1525B" w:rsidRDefault="00E1525B" w:rsidP="00D438AE">
            <w:pPr>
              <w:pStyle w:val="TableBody"/>
              <w:rPr>
                <w:rFonts w:eastAsiaTheme="majorEastAsia"/>
              </w:rPr>
            </w:pPr>
            <w:r>
              <w:lastRenderedPageBreak/>
              <w:t xml:space="preserve">Identified Gap: </w:t>
            </w:r>
            <w:r w:rsidRPr="00C0127A">
              <w:rPr>
                <w:b w:val="0"/>
                <w:bCs/>
              </w:rPr>
              <w:t>This case study demonstrates that some, even popular, network providers lack the capabilities required to detect and prevent malicious intrusions before they occur.</w:t>
            </w:r>
            <w:r>
              <w:t xml:space="preserve"> </w:t>
            </w:r>
          </w:p>
        </w:tc>
      </w:tr>
    </w:tbl>
    <w:p w14:paraId="0B675119" w14:textId="77777777" w:rsidR="00E1525B" w:rsidRPr="00D438AE" w:rsidRDefault="00E1525B" w:rsidP="00D438AE">
      <w:pPr>
        <w:pStyle w:val="BodyText"/>
      </w:pPr>
    </w:p>
    <w:tbl>
      <w:tblPr>
        <w:tblStyle w:val="DHATable"/>
        <w:tblW w:w="9634"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480" w:firstRow="0" w:lastRow="0" w:firstColumn="1" w:lastColumn="0" w:noHBand="0" w:noVBand="1"/>
      </w:tblPr>
      <w:tblGrid>
        <w:gridCol w:w="6506"/>
        <w:gridCol w:w="3128"/>
      </w:tblGrid>
      <w:tr w:rsidR="00E1525B" w14:paraId="54849928" w14:textId="77777777" w:rsidTr="00D43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6" w:type="dxa"/>
            <w:shd w:val="clear" w:color="auto" w:fill="034EA2" w:themeFill="accent1"/>
            <w:hideMark/>
          </w:tcPr>
          <w:p w14:paraId="159EE927" w14:textId="77777777" w:rsidR="00E1525B" w:rsidRDefault="00E1525B" w:rsidP="00D438AE">
            <w:pPr>
              <w:pStyle w:val="TableHeading"/>
              <w:rPr>
                <w:rFonts w:ascii="Calibri" w:eastAsia="Calibri" w:hAnsi="Calibri" w:cs="Times New Roman"/>
              </w:rPr>
            </w:pPr>
            <w:r>
              <w:t>Former Employee Attacks Cisco Systems (2018)</w:t>
            </w:r>
          </w:p>
        </w:tc>
        <w:tc>
          <w:tcPr>
            <w:tcW w:w="3128" w:type="dxa"/>
            <w:shd w:val="clear" w:color="auto" w:fill="007BC3" w:themeFill="accent2"/>
            <w:hideMark/>
          </w:tcPr>
          <w:p w14:paraId="0C633212" w14:textId="77777777" w:rsidR="00E1525B" w:rsidRPr="000F20CF" w:rsidRDefault="00E1525B" w:rsidP="00D438AE">
            <w:pPr>
              <w:pStyle w:val="Tableriskcategory"/>
              <w:cnfStyle w:val="000000100000" w:firstRow="0" w:lastRow="0" w:firstColumn="0" w:lastColumn="0" w:oddVBand="0" w:evenVBand="0" w:oddHBand="1" w:evenHBand="0" w:firstRowFirstColumn="0" w:firstRowLastColumn="0" w:lastRowFirstColumn="0" w:lastRowLastColumn="0"/>
            </w:pPr>
            <w:r w:rsidRPr="000F20CF">
              <w:t>Personnel Risk</w:t>
            </w:r>
          </w:p>
        </w:tc>
      </w:tr>
      <w:tr w:rsidR="00E1525B" w14:paraId="24C70AAD" w14:textId="77777777" w:rsidTr="00D0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auto"/>
            <w:hideMark/>
          </w:tcPr>
          <w:p w14:paraId="7DF46B58" w14:textId="77777777" w:rsidR="00E1525B" w:rsidRDefault="00E1525B" w:rsidP="00D438AE">
            <w:pPr>
              <w:pStyle w:val="TableBody"/>
            </w:pPr>
            <w:r>
              <w:t xml:space="preserve">Situation: </w:t>
            </w:r>
            <w:r w:rsidRPr="00C0127A">
              <w:rPr>
                <w:b w:val="0"/>
                <w:bCs/>
              </w:rPr>
              <w:t>In September 2018, a former Cisco employee accessed Cisco Systems’ cloud infrastructure, hosted by Amazon Web Services, without Cisco’s permission. The former employee admitted that during his unauthori</w:t>
            </w:r>
            <w:r w:rsidR="00D8340D" w:rsidRPr="00C0127A">
              <w:rPr>
                <w:b w:val="0"/>
                <w:bCs/>
              </w:rPr>
              <w:t>s</w:t>
            </w:r>
            <w:r w:rsidRPr="00C0127A">
              <w:rPr>
                <w:b w:val="0"/>
                <w:bCs/>
              </w:rPr>
              <w:t>ed access he was successful in deleting 456 virtual machines for Cisco’s WebEx Teams application, which provides video meetings, video messaging, file sharing, and other collaboration tools.</w:t>
            </w:r>
            <w:r w:rsidRPr="00C0127A">
              <w:rPr>
                <w:rStyle w:val="FootnoteReference"/>
                <w:rFonts w:ascii="Arial" w:hAnsi="Arial"/>
                <w:b w:val="0"/>
                <w:bCs/>
              </w:rPr>
              <w:footnoteReference w:id="149"/>
            </w:r>
          </w:p>
        </w:tc>
      </w:tr>
      <w:tr w:rsidR="00E1525B" w14:paraId="01A900DB" w14:textId="77777777" w:rsidTr="00D05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F2F2F2" w:themeFill="background1" w:themeFillShade="F2"/>
            <w:hideMark/>
          </w:tcPr>
          <w:p w14:paraId="02F1647F" w14:textId="1DB267E0" w:rsidR="00E1525B" w:rsidRDefault="00E1525B" w:rsidP="00D438AE">
            <w:pPr>
              <w:pStyle w:val="TableBody"/>
              <w:rPr>
                <w:rFonts w:eastAsiaTheme="majorEastAsia"/>
              </w:rPr>
            </w:pPr>
            <w:r>
              <w:t xml:space="preserve">Outcome: </w:t>
            </w:r>
            <w:r>
              <w:rPr>
                <w:rFonts w:eastAsiaTheme="majorEastAsia"/>
              </w:rPr>
              <w:t xml:space="preserve"> </w:t>
            </w:r>
            <w:r w:rsidRPr="00C0127A">
              <w:rPr>
                <w:b w:val="0"/>
                <w:bCs/>
              </w:rPr>
              <w:t>The former employee’s actions caused more than 16,000 WebEx Teams accounts to be shut down for up to two weeks. Cisco was forced to spend approximately $1</w:t>
            </w:r>
            <w:r w:rsidR="00695D62" w:rsidRPr="00C0127A">
              <w:rPr>
                <w:b w:val="0"/>
                <w:bCs/>
              </w:rPr>
              <w:t>.</w:t>
            </w:r>
            <w:r w:rsidRPr="00C0127A">
              <w:rPr>
                <w:b w:val="0"/>
                <w:bCs/>
              </w:rPr>
              <w:t>4</w:t>
            </w:r>
            <w:r w:rsidR="00695D62" w:rsidRPr="00C0127A">
              <w:rPr>
                <w:b w:val="0"/>
                <w:bCs/>
              </w:rPr>
              <w:t xml:space="preserve"> million (USD)</w:t>
            </w:r>
            <w:r w:rsidRPr="00C0127A">
              <w:rPr>
                <w:b w:val="0"/>
                <w:bCs/>
              </w:rPr>
              <w:t xml:space="preserve"> in employee time to restore the damage to the application and refund over $1</w:t>
            </w:r>
            <w:r w:rsidR="00695D62" w:rsidRPr="00C0127A">
              <w:rPr>
                <w:b w:val="0"/>
                <w:bCs/>
              </w:rPr>
              <w:t xml:space="preserve"> million (USD)</w:t>
            </w:r>
            <w:r w:rsidRPr="00C0127A">
              <w:rPr>
                <w:b w:val="0"/>
                <w:bCs/>
              </w:rPr>
              <w:t xml:space="preserve"> to affected customers.  No customer data was compromised as a result of the attack. The perpetrator was sentenced to 24 months in prison and ordered to pay a $15,000 fine for intentionally accessing a protected computer without authorization and recklessly causing damage.</w:t>
            </w:r>
            <w:r w:rsidRPr="00C0127A">
              <w:rPr>
                <w:b w:val="0"/>
                <w:bCs/>
                <w:vertAlign w:val="superscript"/>
              </w:rPr>
              <w:footnoteReference w:id="150"/>
            </w:r>
          </w:p>
        </w:tc>
      </w:tr>
      <w:tr w:rsidR="00E1525B" w14:paraId="4F0C52AE" w14:textId="77777777" w:rsidTr="00D05978">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auto"/>
            <w:hideMark/>
          </w:tcPr>
          <w:p w14:paraId="4B928530" w14:textId="77777777" w:rsidR="00E1525B" w:rsidRDefault="00E1525B" w:rsidP="00D438AE">
            <w:pPr>
              <w:pStyle w:val="TableBody"/>
              <w:rPr>
                <w:rFonts w:eastAsiaTheme="majorEastAsia"/>
              </w:rPr>
            </w:pPr>
            <w:r>
              <w:t xml:space="preserve">Identified Gap: </w:t>
            </w:r>
            <w:r w:rsidRPr="00C0127A">
              <w:rPr>
                <w:b w:val="0"/>
                <w:bCs/>
              </w:rPr>
              <w:t>This case study demonstrates the need to screen and maintain awareness of the potential threats posed by current and former employees of critical data assets. This incident highlights the financial impediments and compromised personal data risks which may arise where insufficient employee checks are undertaken or user access is not appropriately controlled.</w:t>
            </w:r>
            <w:r>
              <w:t xml:space="preserve">  </w:t>
            </w:r>
          </w:p>
        </w:tc>
      </w:tr>
    </w:tbl>
    <w:p w14:paraId="5A2E235A" w14:textId="77777777" w:rsidR="001534BD" w:rsidRDefault="001534BD">
      <w:pPr>
        <w:spacing w:before="80" w:after="80"/>
        <w:rPr>
          <w:rFonts w:asciiTheme="majorHAnsi" w:eastAsia="Times New Roman" w:hAnsiTheme="majorHAnsi" w:cs="Arial"/>
          <w:b/>
          <w:bCs/>
          <w:color w:val="007BC3" w:themeColor="accent2"/>
          <w:sz w:val="28"/>
          <w:szCs w:val="28"/>
          <w:lang w:eastAsia="en-AU"/>
        </w:rPr>
      </w:pPr>
      <w:r>
        <w:br w:type="page"/>
      </w:r>
    </w:p>
    <w:p w14:paraId="16D0BCD0" w14:textId="5281D751" w:rsidR="00B45084" w:rsidRPr="00B45084" w:rsidRDefault="000C3D44" w:rsidP="00D438AE">
      <w:pPr>
        <w:pStyle w:val="AppendixH2"/>
      </w:pPr>
      <w:r>
        <w:lastRenderedPageBreak/>
        <w:t xml:space="preserve">Key risks to </w:t>
      </w:r>
      <w:r w:rsidR="004D06AF">
        <w:t xml:space="preserve">critical data processing or storage assets </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095"/>
        <w:gridCol w:w="4007"/>
        <w:gridCol w:w="4536"/>
      </w:tblGrid>
      <w:tr w:rsidR="00450ACC" w14:paraId="7F22322A" w14:textId="77777777" w:rsidTr="00450ACC">
        <w:trPr>
          <w:tblHeader/>
        </w:trPr>
        <w:tc>
          <w:tcPr>
            <w:tcW w:w="568" w:type="pct"/>
            <w:shd w:val="clear" w:color="auto" w:fill="034EA2" w:themeFill="accent1"/>
            <w:hideMark/>
          </w:tcPr>
          <w:p w14:paraId="60E824E4" w14:textId="6047AC67" w:rsidR="004D06AF" w:rsidRDefault="006B3927" w:rsidP="00D438AE">
            <w:pPr>
              <w:pStyle w:val="TableHeading"/>
              <w:rPr>
                <w:color w:val="auto"/>
              </w:rPr>
            </w:pPr>
            <w:r>
              <w:t>Hazard domain</w:t>
            </w:r>
          </w:p>
        </w:tc>
        <w:tc>
          <w:tcPr>
            <w:tcW w:w="2079" w:type="pct"/>
            <w:shd w:val="clear" w:color="auto" w:fill="034EA2" w:themeFill="accent1"/>
            <w:hideMark/>
          </w:tcPr>
          <w:p w14:paraId="44DC3AE9" w14:textId="77777777" w:rsidR="004D06AF" w:rsidRDefault="004D06AF" w:rsidP="00D438AE">
            <w:pPr>
              <w:pStyle w:val="TableHeading"/>
              <w:rPr>
                <w:color w:val="auto"/>
              </w:rPr>
            </w:pPr>
            <w:r>
              <w:t>Identified risk</w:t>
            </w:r>
          </w:p>
        </w:tc>
        <w:tc>
          <w:tcPr>
            <w:tcW w:w="2353" w:type="pct"/>
            <w:shd w:val="clear" w:color="auto" w:fill="034EA2" w:themeFill="accent1"/>
            <w:hideMark/>
          </w:tcPr>
          <w:p w14:paraId="4FCCCEB1" w14:textId="77777777" w:rsidR="004D06AF" w:rsidRDefault="004D06AF" w:rsidP="00D438AE">
            <w:pPr>
              <w:pStyle w:val="TableHeading"/>
              <w:rPr>
                <w:color w:val="auto"/>
              </w:rPr>
            </w:pPr>
            <w:r>
              <w:t>Example</w:t>
            </w:r>
          </w:p>
        </w:tc>
      </w:tr>
      <w:tr w:rsidR="004D06AF" w14:paraId="7484D16B" w14:textId="77777777" w:rsidTr="00450ACC">
        <w:trPr>
          <w:trHeight w:val="547"/>
        </w:trPr>
        <w:tc>
          <w:tcPr>
            <w:tcW w:w="568" w:type="pct"/>
            <w:shd w:val="clear" w:color="auto" w:fill="F2F2F2" w:themeFill="background1" w:themeFillShade="F2"/>
            <w:hideMark/>
          </w:tcPr>
          <w:p w14:paraId="5DEB7B9A" w14:textId="77777777" w:rsidR="004D06AF" w:rsidRDefault="004D06AF" w:rsidP="00D438AE">
            <w:pPr>
              <w:pStyle w:val="TableBody"/>
              <w:rPr>
                <w:color w:val="FF9933"/>
              </w:rPr>
            </w:pPr>
            <w:r>
              <w:t>Physical</w:t>
            </w:r>
          </w:p>
        </w:tc>
        <w:tc>
          <w:tcPr>
            <w:tcW w:w="2079" w:type="pct"/>
            <w:vMerge w:val="restart"/>
            <w:shd w:val="clear" w:color="auto" w:fill="auto"/>
            <w:hideMark/>
          </w:tcPr>
          <w:p w14:paraId="2DF1B703" w14:textId="77777777" w:rsidR="004D06AF" w:rsidRPr="001534BD" w:rsidRDefault="004D06AF" w:rsidP="00D438AE">
            <w:pPr>
              <w:pStyle w:val="TableBody"/>
              <w:rPr>
                <w:color w:val="FF9933"/>
                <w:spacing w:val="-2"/>
              </w:rPr>
            </w:pPr>
            <w:r w:rsidRPr="001534BD">
              <w:rPr>
                <w:spacing w:val="-2"/>
              </w:rPr>
              <w:t xml:space="preserve">Extreme weather events, resulting in power cuts, power surges, strong winds and flooding, present a substantial threat to critical data assets. Where responsible entities have not undertaken adequate preparation, including waterproofing, ensuring the availability of back-up generators and other business continuity planning, the consequences ensuing from natural disasters can be detrimental. Sensitive data may be lost or compromised.  </w:t>
            </w:r>
          </w:p>
        </w:tc>
        <w:tc>
          <w:tcPr>
            <w:tcW w:w="2353" w:type="pct"/>
            <w:vMerge w:val="restart"/>
            <w:shd w:val="clear" w:color="auto" w:fill="auto"/>
            <w:hideMark/>
          </w:tcPr>
          <w:p w14:paraId="2D06AF6E" w14:textId="77777777" w:rsidR="004D06AF" w:rsidRDefault="004D06AF" w:rsidP="00D438AE">
            <w:pPr>
              <w:pStyle w:val="TableBody"/>
              <w:rPr>
                <w:color w:val="FF9933"/>
              </w:rPr>
            </w:pPr>
            <w:r>
              <w:t>In 2017, Hurricane Harvey affected large parts of the United States’ Texas and Louisiana. In addition to catastrophic flooding and extensive power outages, Telco and ISP Level 3 Communications indicated they had experienced several isolated disruptions to their provision of services. However, Data Foundry provided that its “…purpose-built facility designed to withstand category 5 hurricane wind speeds,” meant power had been maintained, and customer access and data preserved.</w:t>
            </w:r>
            <w:r>
              <w:rPr>
                <w:rStyle w:val="FootnoteReference"/>
                <w:rFonts w:ascii="Arial" w:hAnsi="Arial"/>
              </w:rPr>
              <w:footnoteReference w:id="151"/>
            </w:r>
          </w:p>
        </w:tc>
      </w:tr>
      <w:tr w:rsidR="004D06AF" w14:paraId="3B2731B7" w14:textId="77777777" w:rsidTr="00450ACC">
        <w:tc>
          <w:tcPr>
            <w:tcW w:w="568" w:type="pct"/>
            <w:shd w:val="clear" w:color="auto" w:fill="F2F2F2" w:themeFill="background1" w:themeFillShade="F2"/>
            <w:hideMark/>
          </w:tcPr>
          <w:p w14:paraId="2662FA7F" w14:textId="77777777" w:rsidR="004D06AF" w:rsidRDefault="004D06AF" w:rsidP="00D438AE">
            <w:pPr>
              <w:pStyle w:val="TableBody"/>
              <w:rPr>
                <w:rFonts w:ascii="Calibri" w:hAnsi="Calibri"/>
              </w:rPr>
            </w:pPr>
            <w:r>
              <w:t>Natural Hazards</w:t>
            </w:r>
          </w:p>
        </w:tc>
        <w:tc>
          <w:tcPr>
            <w:tcW w:w="2079" w:type="pct"/>
            <w:vMerge/>
            <w:shd w:val="clear" w:color="auto" w:fill="auto"/>
            <w:hideMark/>
          </w:tcPr>
          <w:p w14:paraId="3E30A118" w14:textId="77777777" w:rsidR="004D06AF" w:rsidRDefault="004D06AF" w:rsidP="00D438AE">
            <w:pPr>
              <w:pStyle w:val="TableBody"/>
              <w:rPr>
                <w:color w:val="FF9933"/>
              </w:rPr>
            </w:pPr>
          </w:p>
        </w:tc>
        <w:tc>
          <w:tcPr>
            <w:tcW w:w="2353" w:type="pct"/>
            <w:vMerge/>
            <w:shd w:val="clear" w:color="auto" w:fill="auto"/>
            <w:hideMark/>
          </w:tcPr>
          <w:p w14:paraId="6AA0F014" w14:textId="77777777" w:rsidR="004D06AF" w:rsidRDefault="004D06AF" w:rsidP="00D438AE">
            <w:pPr>
              <w:pStyle w:val="TableBody"/>
              <w:rPr>
                <w:color w:val="FF9933"/>
              </w:rPr>
            </w:pPr>
          </w:p>
        </w:tc>
      </w:tr>
      <w:tr w:rsidR="004D06AF" w14:paraId="614494BC" w14:textId="77777777" w:rsidTr="00450ACC">
        <w:trPr>
          <w:trHeight w:val="522"/>
        </w:trPr>
        <w:tc>
          <w:tcPr>
            <w:tcW w:w="568" w:type="pct"/>
            <w:shd w:val="clear" w:color="auto" w:fill="F2F2F2" w:themeFill="background1" w:themeFillShade="F2"/>
            <w:hideMark/>
          </w:tcPr>
          <w:p w14:paraId="69AB1C62" w14:textId="77777777" w:rsidR="004D06AF" w:rsidRDefault="004D06AF" w:rsidP="00D438AE">
            <w:pPr>
              <w:pStyle w:val="TableBody"/>
              <w:rPr>
                <w:rFonts w:ascii="Calibri" w:hAnsi="Calibri"/>
              </w:rPr>
            </w:pPr>
            <w:r>
              <w:t>Cyber</w:t>
            </w:r>
          </w:p>
        </w:tc>
        <w:tc>
          <w:tcPr>
            <w:tcW w:w="2079" w:type="pct"/>
            <w:shd w:val="clear" w:color="auto" w:fill="auto"/>
            <w:hideMark/>
          </w:tcPr>
          <w:p w14:paraId="646CD2D0" w14:textId="77777777" w:rsidR="004D06AF" w:rsidRDefault="004D06AF" w:rsidP="00D438AE">
            <w:pPr>
              <w:pStyle w:val="TableBody"/>
              <w:rPr>
                <w:color w:val="FF9933"/>
              </w:rPr>
            </w:pPr>
            <w:r>
              <w:t>Traditionally, ransomware attacks have not involved theft of personal data – but rather, the encryption of data with access only provided once ransom had been paid. Today, increased sophistication means almost half of all ransomware attacks involve the theft of protected data, before encryption.</w:t>
            </w:r>
            <w:r>
              <w:rPr>
                <w:rStyle w:val="FootnoteReference"/>
                <w:rFonts w:ascii="Arial" w:hAnsi="Arial"/>
              </w:rPr>
              <w:footnoteReference w:id="152"/>
            </w:r>
            <w:r>
              <w:t xml:space="preserve"> Critical data assets are particularly vulnerable to the growing threat of ransomware attacks and compromised data.</w:t>
            </w:r>
          </w:p>
        </w:tc>
        <w:tc>
          <w:tcPr>
            <w:tcW w:w="2353" w:type="pct"/>
            <w:shd w:val="clear" w:color="auto" w:fill="auto"/>
            <w:hideMark/>
          </w:tcPr>
          <w:p w14:paraId="3DE04F07" w14:textId="77777777" w:rsidR="004D06AF" w:rsidRDefault="004D06AF" w:rsidP="00D438AE">
            <w:pPr>
              <w:pStyle w:val="TableBody"/>
              <w:rPr>
                <w:color w:val="FF9933"/>
              </w:rPr>
            </w:pPr>
            <w:r>
              <w:t>In 2013, Adobe made an initial report that hackers had stolen nearly 3 million encrypted customer credit card records, along with login details from 38 million ‘active users’. The attack had also successfully exposed customer names, debit and credit card information. In August 2015, Adobe was asked to pay $1.1 million in legal fees, and a further $1 million settlement to its customers, after violating US legislation pertaining to customer data, as a result of the infiltration.</w:t>
            </w:r>
            <w:r>
              <w:rPr>
                <w:rStyle w:val="FootnoteReference"/>
                <w:rFonts w:ascii="Arial" w:hAnsi="Arial"/>
              </w:rPr>
              <w:footnoteReference w:id="153"/>
            </w:r>
            <w:r>
              <w:t xml:space="preserve">  </w:t>
            </w:r>
          </w:p>
        </w:tc>
      </w:tr>
      <w:tr w:rsidR="004D06AF" w14:paraId="1557CCFB" w14:textId="77777777" w:rsidTr="00450ACC">
        <w:tc>
          <w:tcPr>
            <w:tcW w:w="568" w:type="pct"/>
            <w:shd w:val="clear" w:color="auto" w:fill="F2F2F2" w:themeFill="background1" w:themeFillShade="F2"/>
            <w:hideMark/>
          </w:tcPr>
          <w:p w14:paraId="1F0ADE4B" w14:textId="77777777" w:rsidR="004D06AF" w:rsidRDefault="004D06AF" w:rsidP="00D438AE">
            <w:pPr>
              <w:pStyle w:val="TableBody"/>
              <w:rPr>
                <w:rFonts w:ascii="Calibri" w:hAnsi="Calibri"/>
              </w:rPr>
            </w:pPr>
            <w:r>
              <w:t>Supply Chain</w:t>
            </w:r>
          </w:p>
        </w:tc>
        <w:tc>
          <w:tcPr>
            <w:tcW w:w="2079" w:type="pct"/>
            <w:shd w:val="clear" w:color="auto" w:fill="auto"/>
            <w:hideMark/>
          </w:tcPr>
          <w:p w14:paraId="7EFEAF98" w14:textId="686A45EE" w:rsidR="004D06AF" w:rsidRDefault="004D06AF" w:rsidP="00D438AE">
            <w:pPr>
              <w:pStyle w:val="TableBody"/>
              <w:rPr>
                <w:color w:val="FF9933"/>
              </w:rPr>
            </w:pPr>
            <w:r>
              <w:t>Cloud Service Providers’ (CSP) multi-tenancy arrangements, where resources and services are shared between multiple users and customer organisations, can amount to a point of weakness in supply chains. Specifically, multi-tenancy increases the attack surface, leading to </w:t>
            </w:r>
            <w:hyperlink r:id="rId55" w:history="1">
              <w:r w:rsidRPr="00F9588B">
                <w:rPr>
                  <w:rStyle w:val="Hyperlink"/>
                  <w:rFonts w:ascii="Arial" w:hAnsi="Arial" w:cs="Arial"/>
                  <w:u w:val="none"/>
                </w:rPr>
                <w:t>an increased chance of data leakage if the separation controls fail</w:t>
              </w:r>
            </w:hyperlink>
            <w:r>
              <w:t>. Any vulnerability in a CSP’s supply chain can affect the CSP itself, as well as its customers. Compounding this vulnerability is the difficulty associated with assessing supply chain risks – where it is not feasible to vet every vendor, partner and customer. While a CSP may seek to vet relevant policies and procedures, it is difficult to know whether these are fully enforced.</w:t>
            </w:r>
          </w:p>
        </w:tc>
        <w:tc>
          <w:tcPr>
            <w:tcW w:w="2353" w:type="pct"/>
            <w:shd w:val="clear" w:color="auto" w:fill="auto"/>
            <w:hideMark/>
          </w:tcPr>
          <w:p w14:paraId="0BA35DF2" w14:textId="77777777" w:rsidR="004D06AF" w:rsidRDefault="004D06AF" w:rsidP="00D438AE">
            <w:pPr>
              <w:pStyle w:val="TableBody"/>
              <w:rPr>
                <w:color w:val="FF9933"/>
              </w:rPr>
            </w:pPr>
            <w:r>
              <w:t>The Cloud Security Alliance has identified a risk associated with the exploitation of software vulnerabilities, which support multi-tenancy. Such exploitation can lead to a failure to maintain separation among tenants.</w:t>
            </w:r>
            <w:r>
              <w:rPr>
                <w:rStyle w:val="FootnoteReference"/>
                <w:rFonts w:ascii="Arial" w:hAnsi="Arial"/>
              </w:rPr>
              <w:footnoteReference w:id="154"/>
            </w:r>
            <w:r>
              <w:t xml:space="preserve"> This failure can be used to gain access from one organization's resource to another user's or organization's assets or data. Multi-tenancy increases the attack surface, heightening the change of data leakage where separation controls fail. While no reports of an attack based on separation failures have been reported, proof of concept exploits have been verified.</w:t>
            </w:r>
            <w:r>
              <w:rPr>
                <w:rStyle w:val="FootnoteReference"/>
                <w:rFonts w:ascii="Arial" w:hAnsi="Arial"/>
              </w:rPr>
              <w:footnoteReference w:id="155"/>
            </w:r>
          </w:p>
        </w:tc>
      </w:tr>
      <w:tr w:rsidR="004D06AF" w14:paraId="536DF254" w14:textId="77777777" w:rsidTr="00450ACC">
        <w:tc>
          <w:tcPr>
            <w:tcW w:w="568" w:type="pct"/>
            <w:shd w:val="clear" w:color="auto" w:fill="F2F2F2" w:themeFill="background1" w:themeFillShade="F2"/>
            <w:hideMark/>
          </w:tcPr>
          <w:p w14:paraId="645F7845" w14:textId="77777777" w:rsidR="004D06AF" w:rsidRDefault="004D06AF" w:rsidP="00D438AE">
            <w:pPr>
              <w:pStyle w:val="TableBody"/>
            </w:pPr>
            <w:r>
              <w:lastRenderedPageBreak/>
              <w:t>Personnel</w:t>
            </w:r>
          </w:p>
        </w:tc>
        <w:tc>
          <w:tcPr>
            <w:tcW w:w="2079" w:type="pct"/>
            <w:shd w:val="clear" w:color="auto" w:fill="auto"/>
            <w:hideMark/>
          </w:tcPr>
          <w:p w14:paraId="3D95ED05" w14:textId="77777777" w:rsidR="004D06AF" w:rsidRDefault="004D06AF" w:rsidP="001534BD">
            <w:pPr>
              <w:pStyle w:val="TableBody"/>
              <w:keepLines/>
              <w:rPr>
                <w:color w:val="FF9933"/>
              </w:rPr>
            </w:pPr>
            <w:r>
              <w:t xml:space="preserve">Data centres and CSPs face a two-fold personnel risk: firstly, data breaches may arise where employees accidentally share, misplace or mishandle sensitive data; secondly, organisations may be compromised where employees promulgate data theft or data leakages. </w:t>
            </w:r>
            <w:r>
              <w:rPr>
                <w:rStyle w:val="FootnoteReference"/>
              </w:rPr>
              <w:footnoteReference w:id="156"/>
            </w:r>
          </w:p>
        </w:tc>
        <w:tc>
          <w:tcPr>
            <w:tcW w:w="2353" w:type="pct"/>
            <w:shd w:val="clear" w:color="auto" w:fill="auto"/>
            <w:hideMark/>
          </w:tcPr>
          <w:p w14:paraId="3BB2BF9E" w14:textId="02AF93E0" w:rsidR="004D06AF" w:rsidRDefault="004D06AF" w:rsidP="00D438AE">
            <w:pPr>
              <w:pStyle w:val="TableBody"/>
              <w:rPr>
                <w:color w:val="FF9933"/>
              </w:rPr>
            </w:pPr>
            <w:r>
              <w:t>Verizon’s 2019 Insider Report Threat identified that 57% of database breaches involve insider threats, while 61% of those employees are not in leadership positions when the breach occurred.</w:t>
            </w:r>
            <w:r>
              <w:rPr>
                <w:rStyle w:val="FootnoteReference"/>
                <w:rFonts w:ascii="Arial" w:hAnsi="Arial"/>
              </w:rPr>
              <w:footnoteReference w:id="157"/>
            </w:r>
            <w:r>
              <w:t xml:space="preserve"> Further, in August 2019, personal information of 317 people applying for Australian visas was leaked</w:t>
            </w:r>
            <w:r w:rsidR="009450D9">
              <w:t xml:space="preserve"> accidentally</w:t>
            </w:r>
            <w:r>
              <w:t>. The breach occurred after an email containing the sensitive information was mistakenly sent to a member of the general public, following a typo in the intended recipient’s email address.</w:t>
            </w:r>
            <w:r>
              <w:rPr>
                <w:rStyle w:val="FootnoteReference"/>
                <w:rFonts w:ascii="Arial" w:hAnsi="Arial"/>
              </w:rPr>
              <w:footnoteReference w:id="158"/>
            </w:r>
            <w:r>
              <w:t xml:space="preserve"> Whilst this was accidental, it does highlight the ease in which a malicious employee could exploit security vulnerabilities.</w:t>
            </w:r>
          </w:p>
        </w:tc>
      </w:tr>
    </w:tbl>
    <w:p w14:paraId="77482BF5" w14:textId="77777777" w:rsidR="004D06AF" w:rsidRDefault="000C3D44" w:rsidP="008E1A28">
      <w:pPr>
        <w:pStyle w:val="AppendixH2"/>
      </w:pPr>
      <w:r w:rsidRPr="000F6098">
        <w:t xml:space="preserve">Existing legislation related to </w:t>
      </w:r>
      <w:r w:rsidR="004D06AF">
        <w:t>critical data processing or storage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706"/>
        <w:gridCol w:w="1529"/>
        <w:gridCol w:w="3928"/>
        <w:gridCol w:w="3475"/>
      </w:tblGrid>
      <w:tr w:rsidR="00F60B5D" w:rsidRPr="001534BD" w14:paraId="5A5288E2" w14:textId="77777777" w:rsidTr="001534BD">
        <w:trPr>
          <w:tblHeader/>
        </w:trPr>
        <w:tc>
          <w:tcPr>
            <w:tcW w:w="3197" w:type="pct"/>
            <w:gridSpan w:val="3"/>
            <w:shd w:val="clear" w:color="auto" w:fill="034EA2" w:themeFill="accent1"/>
            <w:hideMark/>
          </w:tcPr>
          <w:p w14:paraId="6049F159" w14:textId="77777777" w:rsidR="00F60B5D" w:rsidRPr="001534BD" w:rsidRDefault="00F60B5D" w:rsidP="001534BD">
            <w:pPr>
              <w:pStyle w:val="TableHeading"/>
            </w:pPr>
            <w:r w:rsidRPr="001534BD">
              <w:t>Overview of regulation</w:t>
            </w:r>
          </w:p>
        </w:tc>
        <w:tc>
          <w:tcPr>
            <w:tcW w:w="1803" w:type="pct"/>
            <w:shd w:val="clear" w:color="auto" w:fill="034EA2" w:themeFill="accent1"/>
            <w:hideMark/>
          </w:tcPr>
          <w:p w14:paraId="0FBCD560" w14:textId="77777777" w:rsidR="00F60B5D" w:rsidRPr="001534BD" w:rsidRDefault="00F60B5D" w:rsidP="001534BD">
            <w:pPr>
              <w:pStyle w:val="TableHeading"/>
            </w:pPr>
            <w:r w:rsidRPr="001534BD">
              <w:t>Identified gaps</w:t>
            </w:r>
          </w:p>
        </w:tc>
      </w:tr>
      <w:tr w:rsidR="00F60B5D" w14:paraId="31FFB36F" w14:textId="77777777" w:rsidTr="001534BD">
        <w:tc>
          <w:tcPr>
            <w:tcW w:w="366" w:type="pct"/>
            <w:vMerge w:val="restart"/>
            <w:shd w:val="clear" w:color="auto" w:fill="F2F2F2" w:themeFill="background1" w:themeFillShade="F2"/>
            <w:textDirection w:val="btLr"/>
            <w:hideMark/>
          </w:tcPr>
          <w:p w14:paraId="2B5A2B1B" w14:textId="77777777" w:rsidR="00F60B5D" w:rsidRPr="001534BD" w:rsidRDefault="00F60B5D" w:rsidP="001534BD">
            <w:pPr>
              <w:pStyle w:val="TableBody"/>
              <w:jc w:val="center"/>
              <w:rPr>
                <w:b/>
                <w:bCs/>
              </w:rPr>
            </w:pPr>
            <w:r w:rsidRPr="001534BD">
              <w:rPr>
                <w:b/>
                <w:bCs/>
              </w:rPr>
              <w:t>Commonwealth</w:t>
            </w:r>
          </w:p>
        </w:tc>
        <w:tc>
          <w:tcPr>
            <w:tcW w:w="793" w:type="pct"/>
            <w:shd w:val="clear" w:color="auto" w:fill="auto"/>
            <w:hideMark/>
          </w:tcPr>
          <w:p w14:paraId="3D347EF4" w14:textId="77777777" w:rsidR="00F60B5D" w:rsidRPr="001534BD" w:rsidRDefault="00F60B5D" w:rsidP="001534BD">
            <w:pPr>
              <w:pStyle w:val="TableBody"/>
              <w:rPr>
                <w:i/>
                <w:iCs/>
              </w:rPr>
            </w:pPr>
            <w:r w:rsidRPr="001534BD">
              <w:rPr>
                <w:i/>
                <w:iCs/>
              </w:rPr>
              <w:t>Criminal Code Act 1995</w:t>
            </w:r>
          </w:p>
        </w:tc>
        <w:tc>
          <w:tcPr>
            <w:tcW w:w="2037" w:type="pct"/>
            <w:shd w:val="clear" w:color="auto" w:fill="auto"/>
            <w:hideMark/>
          </w:tcPr>
          <w:p w14:paraId="21F72FCF" w14:textId="77777777" w:rsidR="00F60B5D" w:rsidRDefault="00F60B5D" w:rsidP="001534BD">
            <w:pPr>
              <w:pStyle w:val="TableBody"/>
              <w:rPr>
                <w:color w:val="FF9933"/>
              </w:rPr>
            </w:pPr>
            <w:r>
              <w:t xml:space="preserve">Outlines offences and subsequent penalties for computer intrusions, unauthorised modification of data, unauthorised impairment of electronic communications, creation and distribution of malicious software, and dishonesty in obtaining or dealing with financial information. </w:t>
            </w:r>
          </w:p>
        </w:tc>
        <w:tc>
          <w:tcPr>
            <w:tcW w:w="1803" w:type="pct"/>
            <w:shd w:val="clear" w:color="auto" w:fill="auto"/>
            <w:hideMark/>
          </w:tcPr>
          <w:p w14:paraId="22F1D185" w14:textId="77777777" w:rsidR="00F60B5D" w:rsidRDefault="00F60B5D" w:rsidP="001534BD">
            <w:pPr>
              <w:pStyle w:val="TableBody"/>
              <w:rPr>
                <w:color w:val="FF9933"/>
              </w:rPr>
            </w:pPr>
            <w:r>
              <w:t>This Act applies penalties to individuals or groups who may seek to infiltrate critical data assets, rather than the operators of the assets. As such, it does not enable a holistic uplift in the security of critical infrastructure in Australia.</w:t>
            </w:r>
          </w:p>
        </w:tc>
      </w:tr>
      <w:tr w:rsidR="00F60B5D" w14:paraId="38200830" w14:textId="77777777" w:rsidTr="001534BD">
        <w:tc>
          <w:tcPr>
            <w:tcW w:w="366" w:type="pct"/>
            <w:vMerge/>
            <w:shd w:val="clear" w:color="auto" w:fill="F2F2F2" w:themeFill="background1" w:themeFillShade="F2"/>
            <w:hideMark/>
          </w:tcPr>
          <w:p w14:paraId="3993742E" w14:textId="77777777" w:rsidR="00F60B5D" w:rsidRPr="001534BD" w:rsidRDefault="00F60B5D" w:rsidP="001534BD">
            <w:pPr>
              <w:pStyle w:val="TableBody"/>
              <w:jc w:val="center"/>
              <w:rPr>
                <w:b/>
                <w:bCs/>
              </w:rPr>
            </w:pPr>
          </w:p>
        </w:tc>
        <w:tc>
          <w:tcPr>
            <w:tcW w:w="793" w:type="pct"/>
            <w:shd w:val="clear" w:color="auto" w:fill="auto"/>
            <w:hideMark/>
          </w:tcPr>
          <w:p w14:paraId="68DCCDCB" w14:textId="77777777" w:rsidR="00F60B5D" w:rsidRPr="001534BD" w:rsidRDefault="00F60B5D" w:rsidP="001534BD">
            <w:pPr>
              <w:pStyle w:val="TableBody"/>
              <w:rPr>
                <w:i/>
                <w:iCs/>
              </w:rPr>
            </w:pPr>
            <w:r w:rsidRPr="001534BD">
              <w:rPr>
                <w:i/>
                <w:iCs/>
              </w:rPr>
              <w:t>Public Governance, Performance and Accountability Act 2013</w:t>
            </w:r>
          </w:p>
        </w:tc>
        <w:tc>
          <w:tcPr>
            <w:tcW w:w="2037" w:type="pct"/>
            <w:shd w:val="clear" w:color="auto" w:fill="auto"/>
            <w:hideMark/>
          </w:tcPr>
          <w:p w14:paraId="79CFD0B7" w14:textId="77777777" w:rsidR="00F60B5D" w:rsidRDefault="00F60B5D" w:rsidP="001534BD">
            <w:pPr>
              <w:pStyle w:val="TableBody"/>
              <w:rPr>
                <w:color w:val="FF9933"/>
              </w:rPr>
            </w:pPr>
            <w:r>
              <w:t xml:space="preserve">Governs adherence to the Protective Security Policy Framework, which supports the protect Commonwealth entities in securing information. </w:t>
            </w:r>
          </w:p>
        </w:tc>
        <w:tc>
          <w:tcPr>
            <w:tcW w:w="1803" w:type="pct"/>
            <w:shd w:val="clear" w:color="auto" w:fill="auto"/>
            <w:hideMark/>
          </w:tcPr>
          <w:p w14:paraId="3486F2DE" w14:textId="77777777" w:rsidR="00F60B5D" w:rsidRDefault="00F60B5D" w:rsidP="001534BD">
            <w:pPr>
              <w:pStyle w:val="TableBody"/>
              <w:rPr>
                <w:color w:val="FF9933"/>
              </w:rPr>
            </w:pPr>
            <w:r>
              <w:t xml:space="preserve">The Act is limited in its application to Commonwealth entities only. Its exclusion of private, State and Territory entities means it is insufficient to incite a uniform uplift in the security and resilience of critical data assets. </w:t>
            </w:r>
          </w:p>
        </w:tc>
      </w:tr>
      <w:tr w:rsidR="00F60B5D" w14:paraId="399C911A" w14:textId="77777777" w:rsidTr="001534BD">
        <w:tc>
          <w:tcPr>
            <w:tcW w:w="366" w:type="pct"/>
            <w:vMerge/>
            <w:shd w:val="clear" w:color="auto" w:fill="F2F2F2" w:themeFill="background1" w:themeFillShade="F2"/>
            <w:hideMark/>
          </w:tcPr>
          <w:p w14:paraId="3FE6F59A" w14:textId="77777777" w:rsidR="00F60B5D" w:rsidRPr="001534BD" w:rsidRDefault="00F60B5D" w:rsidP="001534BD">
            <w:pPr>
              <w:pStyle w:val="TableBody"/>
              <w:jc w:val="center"/>
              <w:rPr>
                <w:b/>
                <w:bCs/>
              </w:rPr>
            </w:pPr>
          </w:p>
        </w:tc>
        <w:tc>
          <w:tcPr>
            <w:tcW w:w="793" w:type="pct"/>
            <w:shd w:val="clear" w:color="auto" w:fill="auto"/>
            <w:hideMark/>
          </w:tcPr>
          <w:p w14:paraId="1A68D875" w14:textId="77777777" w:rsidR="00F60B5D" w:rsidRPr="001534BD" w:rsidRDefault="00F60B5D" w:rsidP="001534BD">
            <w:pPr>
              <w:pStyle w:val="TableBody"/>
              <w:rPr>
                <w:i/>
                <w:iCs/>
              </w:rPr>
            </w:pPr>
            <w:r w:rsidRPr="001534BD">
              <w:rPr>
                <w:i/>
                <w:iCs/>
              </w:rPr>
              <w:t>Privacy Act 1998</w:t>
            </w:r>
          </w:p>
        </w:tc>
        <w:tc>
          <w:tcPr>
            <w:tcW w:w="2037" w:type="pct"/>
            <w:shd w:val="clear" w:color="auto" w:fill="auto"/>
            <w:hideMark/>
          </w:tcPr>
          <w:p w14:paraId="4344CD3B" w14:textId="77777777" w:rsidR="00F60B5D" w:rsidRDefault="00F60B5D" w:rsidP="001534BD">
            <w:pPr>
              <w:pStyle w:val="TableBody"/>
              <w:rPr>
                <w:color w:val="FF9933"/>
              </w:rPr>
            </w:pPr>
            <w:r>
              <w:t>This act includes the Australian Privacy Principles and is the principle piece of data protection legislation. It includes mandatory reporting for the unauthorised disclosure of personal data.</w:t>
            </w:r>
          </w:p>
        </w:tc>
        <w:tc>
          <w:tcPr>
            <w:tcW w:w="1803" w:type="pct"/>
            <w:shd w:val="clear" w:color="auto" w:fill="auto"/>
            <w:hideMark/>
          </w:tcPr>
          <w:p w14:paraId="41822A46" w14:textId="77777777" w:rsidR="00F60B5D" w:rsidRDefault="00F60B5D" w:rsidP="001534BD">
            <w:pPr>
              <w:pStyle w:val="TableBody"/>
              <w:rPr>
                <w:color w:val="FF9933"/>
              </w:rPr>
            </w:pPr>
            <w:r>
              <w:t xml:space="preserve">While this Act outlined procedural requirements for personal data handling and the reporting of notifiable breaches, it does not require the identification, analysis or mitigation of threats to critical data assets, which would be preventative, rather than reactive, in nature. </w:t>
            </w:r>
          </w:p>
        </w:tc>
      </w:tr>
      <w:tr w:rsidR="00F60B5D" w14:paraId="1242E908" w14:textId="77777777" w:rsidTr="001534BD">
        <w:tc>
          <w:tcPr>
            <w:tcW w:w="366" w:type="pct"/>
            <w:vMerge/>
            <w:shd w:val="clear" w:color="auto" w:fill="F2F2F2" w:themeFill="background1" w:themeFillShade="F2"/>
            <w:hideMark/>
          </w:tcPr>
          <w:p w14:paraId="46776BD6" w14:textId="77777777" w:rsidR="00F60B5D" w:rsidRPr="001534BD" w:rsidRDefault="00F60B5D" w:rsidP="001534BD">
            <w:pPr>
              <w:pStyle w:val="TableBody"/>
              <w:jc w:val="center"/>
              <w:rPr>
                <w:b/>
                <w:bCs/>
              </w:rPr>
            </w:pPr>
          </w:p>
        </w:tc>
        <w:tc>
          <w:tcPr>
            <w:tcW w:w="793" w:type="pct"/>
            <w:shd w:val="clear" w:color="auto" w:fill="auto"/>
            <w:hideMark/>
          </w:tcPr>
          <w:p w14:paraId="6E70BEF7" w14:textId="77777777" w:rsidR="00F60B5D" w:rsidRPr="001534BD" w:rsidRDefault="00F60B5D" w:rsidP="001534BD">
            <w:pPr>
              <w:pStyle w:val="TableBody"/>
              <w:rPr>
                <w:i/>
                <w:iCs/>
              </w:rPr>
            </w:pPr>
            <w:r w:rsidRPr="001534BD">
              <w:rPr>
                <w:i/>
                <w:iCs/>
              </w:rPr>
              <w:t>National Archives Act 1983</w:t>
            </w:r>
          </w:p>
        </w:tc>
        <w:tc>
          <w:tcPr>
            <w:tcW w:w="2037" w:type="pct"/>
            <w:shd w:val="clear" w:color="auto" w:fill="auto"/>
            <w:hideMark/>
          </w:tcPr>
          <w:p w14:paraId="765AFBD8" w14:textId="77777777" w:rsidR="00F60B5D" w:rsidRDefault="00F60B5D" w:rsidP="001534BD">
            <w:pPr>
              <w:pStyle w:val="TableBody"/>
              <w:rPr>
                <w:color w:val="FF9933"/>
              </w:rPr>
            </w:pPr>
            <w:r>
              <w:t xml:space="preserve">Establishes and mandates long-term data retention, storage, and access protocols to be followed by Commonwealth agencies. </w:t>
            </w:r>
          </w:p>
        </w:tc>
        <w:tc>
          <w:tcPr>
            <w:tcW w:w="1803" w:type="pct"/>
            <w:shd w:val="clear" w:color="auto" w:fill="auto"/>
            <w:hideMark/>
          </w:tcPr>
          <w:p w14:paraId="1B7C7FE3" w14:textId="77777777" w:rsidR="00F60B5D" w:rsidRDefault="00F60B5D" w:rsidP="001534BD">
            <w:pPr>
              <w:pStyle w:val="TableBody"/>
              <w:rPr>
                <w:color w:val="FF9933"/>
              </w:rPr>
            </w:pPr>
            <w:r>
              <w:t>The Act is limited in its application to Commonwealth entities only. Its exclusion of private, State and Territory entities means it is insufficient to incite a uniform uplift in the security and resilience of critical data assets.</w:t>
            </w:r>
          </w:p>
        </w:tc>
      </w:tr>
      <w:tr w:rsidR="00F60B5D" w14:paraId="09F0C488" w14:textId="77777777" w:rsidTr="001534BD">
        <w:trPr>
          <w:trHeight w:val="1134"/>
        </w:trPr>
        <w:tc>
          <w:tcPr>
            <w:tcW w:w="366" w:type="pct"/>
            <w:shd w:val="clear" w:color="auto" w:fill="F2F2F2" w:themeFill="background1" w:themeFillShade="F2"/>
            <w:textDirection w:val="btLr"/>
            <w:hideMark/>
          </w:tcPr>
          <w:p w14:paraId="2BF288E9" w14:textId="77777777" w:rsidR="00F60B5D" w:rsidRPr="001534BD" w:rsidRDefault="00F60B5D" w:rsidP="001534BD">
            <w:pPr>
              <w:pStyle w:val="TableBody"/>
              <w:jc w:val="center"/>
              <w:rPr>
                <w:b/>
                <w:bCs/>
              </w:rPr>
            </w:pPr>
            <w:r w:rsidRPr="001534BD">
              <w:rPr>
                <w:b/>
                <w:bCs/>
              </w:rPr>
              <w:lastRenderedPageBreak/>
              <w:t>New South Wales</w:t>
            </w:r>
          </w:p>
        </w:tc>
        <w:tc>
          <w:tcPr>
            <w:tcW w:w="793" w:type="pct"/>
            <w:shd w:val="clear" w:color="auto" w:fill="auto"/>
            <w:hideMark/>
          </w:tcPr>
          <w:p w14:paraId="127B248B" w14:textId="77777777" w:rsidR="00F60B5D" w:rsidRPr="001534BD" w:rsidRDefault="00F60B5D" w:rsidP="001534BD">
            <w:pPr>
              <w:pStyle w:val="TableBody"/>
              <w:rPr>
                <w:i/>
                <w:iCs/>
              </w:rPr>
            </w:pPr>
            <w:r w:rsidRPr="001534BD">
              <w:rPr>
                <w:i/>
                <w:iCs/>
              </w:rPr>
              <w:t>Government Information (Public Access) Act 2009</w:t>
            </w:r>
          </w:p>
        </w:tc>
        <w:tc>
          <w:tcPr>
            <w:tcW w:w="2037" w:type="pct"/>
            <w:shd w:val="clear" w:color="auto" w:fill="auto"/>
            <w:hideMark/>
          </w:tcPr>
          <w:p w14:paraId="1935B06E" w14:textId="77777777" w:rsidR="00F60B5D" w:rsidRDefault="00F60B5D" w:rsidP="001534BD">
            <w:pPr>
              <w:pStyle w:val="TableBody"/>
            </w:pPr>
            <w:r>
              <w:t>Sets out the principles and processes underpinning freedom of information in New South Wales.</w:t>
            </w:r>
          </w:p>
        </w:tc>
        <w:tc>
          <w:tcPr>
            <w:tcW w:w="1803" w:type="pct"/>
            <w:shd w:val="clear" w:color="auto" w:fill="auto"/>
            <w:hideMark/>
          </w:tcPr>
          <w:p w14:paraId="3BBE2DD3" w14:textId="77777777" w:rsidR="00F60B5D" w:rsidRDefault="00F60B5D" w:rsidP="001534BD">
            <w:pPr>
              <w:pStyle w:val="TableBody"/>
            </w:pPr>
            <w:r>
              <w:t xml:space="preserve">The Act does not consider risk management practices for access to and distribution of information and as such, is insufficient to incite an uplift in the security and resilience of critical data assets. </w:t>
            </w:r>
          </w:p>
        </w:tc>
      </w:tr>
      <w:tr w:rsidR="00F60B5D" w14:paraId="5FAF37D6" w14:textId="77777777" w:rsidTr="001534BD">
        <w:trPr>
          <w:trHeight w:val="1134"/>
        </w:trPr>
        <w:tc>
          <w:tcPr>
            <w:tcW w:w="366" w:type="pct"/>
            <w:shd w:val="clear" w:color="auto" w:fill="F2F2F2" w:themeFill="background1" w:themeFillShade="F2"/>
            <w:textDirection w:val="btLr"/>
            <w:hideMark/>
          </w:tcPr>
          <w:p w14:paraId="74B056D1" w14:textId="77777777" w:rsidR="00F60B5D" w:rsidRPr="001534BD" w:rsidRDefault="00F60B5D" w:rsidP="001534BD">
            <w:pPr>
              <w:pStyle w:val="TableBody"/>
              <w:jc w:val="center"/>
              <w:rPr>
                <w:b/>
                <w:bCs/>
              </w:rPr>
            </w:pPr>
            <w:r w:rsidRPr="001534BD">
              <w:rPr>
                <w:b/>
                <w:bCs/>
              </w:rPr>
              <w:t>Victoria</w:t>
            </w:r>
          </w:p>
        </w:tc>
        <w:tc>
          <w:tcPr>
            <w:tcW w:w="793" w:type="pct"/>
            <w:shd w:val="clear" w:color="auto" w:fill="auto"/>
            <w:hideMark/>
          </w:tcPr>
          <w:p w14:paraId="2BFF7FB8" w14:textId="77777777" w:rsidR="00F60B5D" w:rsidRPr="001534BD" w:rsidRDefault="00F60B5D" w:rsidP="001534BD">
            <w:pPr>
              <w:pStyle w:val="TableBody"/>
              <w:rPr>
                <w:i/>
                <w:iCs/>
              </w:rPr>
            </w:pPr>
            <w:r w:rsidRPr="001534BD">
              <w:rPr>
                <w:i/>
                <w:iCs/>
              </w:rPr>
              <w:t>Privacy and Data Protection Act 2014</w:t>
            </w:r>
          </w:p>
        </w:tc>
        <w:tc>
          <w:tcPr>
            <w:tcW w:w="2037" w:type="pct"/>
            <w:shd w:val="clear" w:color="auto" w:fill="auto"/>
            <w:hideMark/>
          </w:tcPr>
          <w:p w14:paraId="03D38FFD" w14:textId="77777777" w:rsidR="00F60B5D" w:rsidRDefault="00F60B5D" w:rsidP="001534BD">
            <w:pPr>
              <w:pStyle w:val="TableBody"/>
            </w:pPr>
            <w:r>
              <w:t>Enforces data security frameworks upon the public sector entities, including the requirement to discharge responsibilities under Victoria’s Information Privacy Principles The data security framework is intended to protect public data. The Act also mandates compliance with data security standards imposed by the Victorian Information Commissioner.</w:t>
            </w:r>
          </w:p>
        </w:tc>
        <w:tc>
          <w:tcPr>
            <w:tcW w:w="1803" w:type="pct"/>
            <w:shd w:val="clear" w:color="auto" w:fill="auto"/>
            <w:hideMark/>
          </w:tcPr>
          <w:p w14:paraId="66477DBA" w14:textId="77777777" w:rsidR="00F60B5D" w:rsidRDefault="00F60B5D" w:rsidP="001534BD">
            <w:pPr>
              <w:pStyle w:val="TableBody"/>
            </w:pPr>
            <w:r>
              <w:t>While the Act and related Principles includes a risk assessment component, including the undertaking of a security risk profile assessment, it is limited in its application. Its exclusion of private entities means it is insufficient to incite a uniform uplift in the security and resilience of critical data assets.</w:t>
            </w:r>
          </w:p>
        </w:tc>
      </w:tr>
      <w:tr w:rsidR="00F60B5D" w14:paraId="7E60AB86" w14:textId="77777777" w:rsidTr="001534BD">
        <w:trPr>
          <w:trHeight w:val="1433"/>
        </w:trPr>
        <w:tc>
          <w:tcPr>
            <w:tcW w:w="366" w:type="pct"/>
            <w:shd w:val="clear" w:color="auto" w:fill="F2F2F2" w:themeFill="background1" w:themeFillShade="F2"/>
            <w:textDirection w:val="btLr"/>
            <w:hideMark/>
          </w:tcPr>
          <w:p w14:paraId="5FFE02D4" w14:textId="77777777" w:rsidR="00F60B5D" w:rsidRPr="001534BD" w:rsidRDefault="00F60B5D" w:rsidP="001534BD">
            <w:pPr>
              <w:pStyle w:val="TableBody"/>
              <w:jc w:val="center"/>
              <w:rPr>
                <w:b/>
                <w:bCs/>
              </w:rPr>
            </w:pPr>
            <w:r w:rsidRPr="001534BD">
              <w:rPr>
                <w:b/>
                <w:bCs/>
              </w:rPr>
              <w:t>Queensland</w:t>
            </w:r>
          </w:p>
        </w:tc>
        <w:tc>
          <w:tcPr>
            <w:tcW w:w="793" w:type="pct"/>
            <w:shd w:val="clear" w:color="auto" w:fill="auto"/>
            <w:hideMark/>
          </w:tcPr>
          <w:p w14:paraId="2EBF630C" w14:textId="77777777" w:rsidR="00F60B5D" w:rsidRPr="001534BD" w:rsidRDefault="00F60B5D" w:rsidP="001534BD">
            <w:pPr>
              <w:pStyle w:val="TableBody"/>
              <w:rPr>
                <w:i/>
                <w:iCs/>
              </w:rPr>
            </w:pPr>
            <w:r w:rsidRPr="001534BD">
              <w:rPr>
                <w:i/>
                <w:iCs/>
              </w:rPr>
              <w:t>Information Privacy Act 2009</w:t>
            </w:r>
          </w:p>
        </w:tc>
        <w:tc>
          <w:tcPr>
            <w:tcW w:w="2037" w:type="pct"/>
            <w:shd w:val="clear" w:color="auto" w:fill="auto"/>
            <w:hideMark/>
          </w:tcPr>
          <w:p w14:paraId="7F4789A3" w14:textId="77777777" w:rsidR="00F60B5D" w:rsidRDefault="00F60B5D" w:rsidP="001534BD">
            <w:pPr>
              <w:pStyle w:val="TableBody"/>
            </w:pPr>
            <w:r>
              <w:t xml:space="preserve">Mandates Government agencies’ adherence to Queensland’s Information Privacy Principles and Australia’s National Privacy Principles. </w:t>
            </w:r>
          </w:p>
        </w:tc>
        <w:tc>
          <w:tcPr>
            <w:tcW w:w="1803" w:type="pct"/>
            <w:shd w:val="clear" w:color="auto" w:fill="auto"/>
            <w:hideMark/>
          </w:tcPr>
          <w:p w14:paraId="767840F3" w14:textId="77777777" w:rsidR="00F60B5D" w:rsidRDefault="00F60B5D" w:rsidP="001534BD">
            <w:pPr>
              <w:pStyle w:val="TableBody"/>
            </w:pPr>
            <w:r>
              <w:t>The Act is limited in its application to Government agencies only. Its exclusion of private entities means it is insufficient to incite a uniform uplift in the security and resilience of critical data assets.</w:t>
            </w:r>
          </w:p>
        </w:tc>
      </w:tr>
      <w:tr w:rsidR="00F60B5D" w14:paraId="742AED23" w14:textId="77777777" w:rsidTr="001534BD">
        <w:trPr>
          <w:trHeight w:val="1134"/>
        </w:trPr>
        <w:tc>
          <w:tcPr>
            <w:tcW w:w="366" w:type="pct"/>
            <w:shd w:val="clear" w:color="auto" w:fill="F2F2F2" w:themeFill="background1" w:themeFillShade="F2"/>
            <w:textDirection w:val="btLr"/>
            <w:hideMark/>
          </w:tcPr>
          <w:p w14:paraId="5DA1409E" w14:textId="77777777" w:rsidR="00F60B5D" w:rsidRPr="001534BD" w:rsidRDefault="00F60B5D" w:rsidP="001534BD">
            <w:pPr>
              <w:pStyle w:val="TableBody"/>
              <w:jc w:val="center"/>
              <w:rPr>
                <w:b/>
                <w:bCs/>
              </w:rPr>
            </w:pPr>
            <w:r w:rsidRPr="001534BD">
              <w:rPr>
                <w:b/>
                <w:bCs/>
              </w:rPr>
              <w:t>Western Australia</w:t>
            </w:r>
          </w:p>
        </w:tc>
        <w:tc>
          <w:tcPr>
            <w:tcW w:w="793" w:type="pct"/>
            <w:shd w:val="clear" w:color="auto" w:fill="auto"/>
            <w:hideMark/>
          </w:tcPr>
          <w:p w14:paraId="0E38E0DE" w14:textId="77777777" w:rsidR="00F60B5D" w:rsidRPr="001534BD" w:rsidRDefault="00F60B5D" w:rsidP="001534BD">
            <w:pPr>
              <w:pStyle w:val="TableBody"/>
              <w:rPr>
                <w:i/>
                <w:iCs/>
              </w:rPr>
            </w:pPr>
            <w:r w:rsidRPr="001534BD">
              <w:rPr>
                <w:i/>
                <w:iCs/>
              </w:rPr>
              <w:t>Freedom of Information Act 1992</w:t>
            </w:r>
          </w:p>
        </w:tc>
        <w:tc>
          <w:tcPr>
            <w:tcW w:w="2037" w:type="pct"/>
            <w:shd w:val="clear" w:color="auto" w:fill="auto"/>
            <w:hideMark/>
          </w:tcPr>
          <w:p w14:paraId="3717549A" w14:textId="77777777" w:rsidR="00F60B5D" w:rsidRDefault="00F60B5D" w:rsidP="001534BD">
            <w:pPr>
              <w:pStyle w:val="TableBody"/>
            </w:pPr>
            <w:r>
              <w:t>Sets the requirements for parties wishing to view or amend documents containing personal information in Western Australia.</w:t>
            </w:r>
          </w:p>
        </w:tc>
        <w:tc>
          <w:tcPr>
            <w:tcW w:w="1803" w:type="pct"/>
            <w:shd w:val="clear" w:color="auto" w:fill="auto"/>
            <w:hideMark/>
          </w:tcPr>
          <w:p w14:paraId="15157B61" w14:textId="77777777" w:rsidR="00F60B5D" w:rsidRDefault="00F60B5D" w:rsidP="001534BD">
            <w:pPr>
              <w:pStyle w:val="TableBody"/>
            </w:pPr>
            <w:r>
              <w:t>The Act is limited in its application to Government agencies only. Its exclusion of private entities means it is insufficient to incite a uniform uplift in the security and resilience of critical data assets.</w:t>
            </w:r>
          </w:p>
        </w:tc>
      </w:tr>
      <w:tr w:rsidR="00F60B5D" w14:paraId="7E77D8D8" w14:textId="77777777" w:rsidTr="001534BD">
        <w:trPr>
          <w:trHeight w:val="1134"/>
        </w:trPr>
        <w:tc>
          <w:tcPr>
            <w:tcW w:w="366" w:type="pct"/>
            <w:shd w:val="clear" w:color="auto" w:fill="F2F2F2" w:themeFill="background1" w:themeFillShade="F2"/>
            <w:textDirection w:val="btLr"/>
            <w:hideMark/>
          </w:tcPr>
          <w:p w14:paraId="2DD83AB2" w14:textId="77777777" w:rsidR="00F60B5D" w:rsidRPr="001534BD" w:rsidRDefault="00F60B5D" w:rsidP="001534BD">
            <w:pPr>
              <w:pStyle w:val="TableBody"/>
              <w:jc w:val="center"/>
              <w:rPr>
                <w:b/>
                <w:bCs/>
              </w:rPr>
            </w:pPr>
            <w:r w:rsidRPr="001534BD">
              <w:rPr>
                <w:b/>
                <w:bCs/>
              </w:rPr>
              <w:t>Northern Territory</w:t>
            </w:r>
          </w:p>
        </w:tc>
        <w:tc>
          <w:tcPr>
            <w:tcW w:w="793" w:type="pct"/>
            <w:shd w:val="clear" w:color="auto" w:fill="auto"/>
            <w:hideMark/>
          </w:tcPr>
          <w:p w14:paraId="5B50968E" w14:textId="77777777" w:rsidR="00F60B5D" w:rsidRPr="001534BD" w:rsidRDefault="00F60B5D" w:rsidP="001534BD">
            <w:pPr>
              <w:pStyle w:val="TableBody"/>
              <w:rPr>
                <w:i/>
                <w:iCs/>
              </w:rPr>
            </w:pPr>
            <w:r w:rsidRPr="001534BD">
              <w:rPr>
                <w:i/>
                <w:iCs/>
              </w:rPr>
              <w:t>Information Act 2002</w:t>
            </w:r>
          </w:p>
        </w:tc>
        <w:tc>
          <w:tcPr>
            <w:tcW w:w="2037" w:type="pct"/>
            <w:shd w:val="clear" w:color="auto" w:fill="auto"/>
            <w:hideMark/>
          </w:tcPr>
          <w:p w14:paraId="3DACA1E6" w14:textId="24C8A137" w:rsidR="00F60B5D" w:rsidRDefault="00F60B5D" w:rsidP="001534BD">
            <w:pPr>
              <w:pStyle w:val="TableBody"/>
            </w:pPr>
            <w:r>
              <w:t xml:space="preserve">Sets out the principles and processes underpinning freedom of information in </w:t>
            </w:r>
            <w:r w:rsidR="009450D9">
              <w:t>the Northern Territory</w:t>
            </w:r>
            <w:r>
              <w:t>.</w:t>
            </w:r>
          </w:p>
        </w:tc>
        <w:tc>
          <w:tcPr>
            <w:tcW w:w="1803" w:type="pct"/>
            <w:shd w:val="clear" w:color="auto" w:fill="auto"/>
            <w:hideMark/>
          </w:tcPr>
          <w:p w14:paraId="22CBC601" w14:textId="77777777" w:rsidR="00F60B5D" w:rsidRDefault="00F60B5D" w:rsidP="001534BD">
            <w:pPr>
              <w:pStyle w:val="TableBody"/>
            </w:pPr>
            <w:r>
              <w:t>The Act does not consider risk management practices for access to and distribution of information and as such, is insufficient to incite an uplift in the security and resilience of critical data assets.</w:t>
            </w:r>
          </w:p>
        </w:tc>
      </w:tr>
      <w:tr w:rsidR="00F60B5D" w14:paraId="0A1D7F04" w14:textId="77777777" w:rsidTr="001534BD">
        <w:trPr>
          <w:trHeight w:val="1134"/>
        </w:trPr>
        <w:tc>
          <w:tcPr>
            <w:tcW w:w="366" w:type="pct"/>
            <w:shd w:val="clear" w:color="auto" w:fill="F2F2F2" w:themeFill="background1" w:themeFillShade="F2"/>
            <w:textDirection w:val="btLr"/>
            <w:hideMark/>
          </w:tcPr>
          <w:p w14:paraId="56C6D76B" w14:textId="77777777" w:rsidR="00F60B5D" w:rsidRPr="001534BD" w:rsidRDefault="00F60B5D" w:rsidP="001534BD">
            <w:pPr>
              <w:pStyle w:val="TableBody"/>
              <w:jc w:val="center"/>
              <w:rPr>
                <w:b/>
                <w:bCs/>
              </w:rPr>
            </w:pPr>
            <w:r w:rsidRPr="001534BD">
              <w:rPr>
                <w:b/>
                <w:bCs/>
              </w:rPr>
              <w:t>Tasmania</w:t>
            </w:r>
          </w:p>
        </w:tc>
        <w:tc>
          <w:tcPr>
            <w:tcW w:w="793" w:type="pct"/>
            <w:shd w:val="clear" w:color="auto" w:fill="auto"/>
            <w:hideMark/>
          </w:tcPr>
          <w:p w14:paraId="254314F1" w14:textId="20856B2E" w:rsidR="00F60B5D" w:rsidRPr="001534BD" w:rsidRDefault="00F60B5D" w:rsidP="001534BD">
            <w:pPr>
              <w:pStyle w:val="TableBody"/>
              <w:rPr>
                <w:i/>
                <w:iCs/>
              </w:rPr>
            </w:pPr>
            <w:r w:rsidRPr="001534BD">
              <w:rPr>
                <w:i/>
                <w:iCs/>
              </w:rPr>
              <w:t>Personal Information and Protection Act 2004</w:t>
            </w:r>
          </w:p>
        </w:tc>
        <w:tc>
          <w:tcPr>
            <w:tcW w:w="2037" w:type="pct"/>
            <w:shd w:val="clear" w:color="auto" w:fill="auto"/>
            <w:hideMark/>
          </w:tcPr>
          <w:p w14:paraId="198718B3" w14:textId="3FDD6E3C" w:rsidR="00F60B5D" w:rsidRDefault="00F60B5D" w:rsidP="001534BD">
            <w:pPr>
              <w:pStyle w:val="TableBody"/>
            </w:pPr>
            <w:r>
              <w:t xml:space="preserve">Sets out the principles and processes underpinning freedom of information in </w:t>
            </w:r>
            <w:r w:rsidR="009450D9">
              <w:t>Tasmania</w:t>
            </w:r>
            <w:r>
              <w:t>.</w:t>
            </w:r>
          </w:p>
        </w:tc>
        <w:tc>
          <w:tcPr>
            <w:tcW w:w="1803" w:type="pct"/>
            <w:shd w:val="clear" w:color="auto" w:fill="auto"/>
            <w:hideMark/>
          </w:tcPr>
          <w:p w14:paraId="6ECB58E0" w14:textId="77777777" w:rsidR="00F60B5D" w:rsidRDefault="00F60B5D" w:rsidP="001534BD">
            <w:pPr>
              <w:pStyle w:val="TableBody"/>
            </w:pPr>
            <w:r>
              <w:t>The Act does not consider risk management practices for access to and distribution of information and as such, is insufficient to incite an uplift in the security and resilience of critical data assets.</w:t>
            </w:r>
          </w:p>
        </w:tc>
      </w:tr>
    </w:tbl>
    <w:p w14:paraId="6241433C" w14:textId="77777777" w:rsidR="000C3D44" w:rsidRDefault="000C3D44" w:rsidP="00434290">
      <w:pPr>
        <w:pStyle w:val="AppendixH2"/>
        <w:spacing w:after="120"/>
      </w:pPr>
      <w:r>
        <w:t xml:space="preserve">Existing standards, guidelines and regulators for </w:t>
      </w:r>
      <w:r w:rsidR="00E06026">
        <w:t>critical data processing and storage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319"/>
        <w:gridCol w:w="3217"/>
        <w:gridCol w:w="5102"/>
      </w:tblGrid>
      <w:tr w:rsidR="00F57418" w14:paraId="58C067BC" w14:textId="77777777" w:rsidTr="0088552A">
        <w:tc>
          <w:tcPr>
            <w:tcW w:w="684" w:type="pct"/>
            <w:shd w:val="clear" w:color="auto" w:fill="034EA2" w:themeFill="accent1"/>
            <w:hideMark/>
          </w:tcPr>
          <w:p w14:paraId="7CBD32AE" w14:textId="2CDAC791" w:rsidR="00F57418" w:rsidRDefault="006B3927" w:rsidP="001534BD">
            <w:pPr>
              <w:pStyle w:val="TableHeading"/>
            </w:pPr>
            <w:r>
              <w:t>Hazard domain</w:t>
            </w:r>
          </w:p>
        </w:tc>
        <w:tc>
          <w:tcPr>
            <w:tcW w:w="1669" w:type="pct"/>
            <w:tcBorders>
              <w:bottom w:val="single" w:sz="4" w:space="0" w:color="BFBFBF" w:themeColor="background1" w:themeShade="BF"/>
            </w:tcBorders>
            <w:shd w:val="clear" w:color="auto" w:fill="034EA2" w:themeFill="accent1"/>
            <w:hideMark/>
          </w:tcPr>
          <w:p w14:paraId="014E2DE8" w14:textId="77777777" w:rsidR="00F57418" w:rsidRDefault="00F57418" w:rsidP="001534BD">
            <w:pPr>
              <w:pStyle w:val="TableHeading"/>
            </w:pPr>
            <w:r>
              <w:t>Organisation</w:t>
            </w:r>
          </w:p>
        </w:tc>
        <w:tc>
          <w:tcPr>
            <w:tcW w:w="2647" w:type="pct"/>
            <w:shd w:val="clear" w:color="auto" w:fill="034EA2" w:themeFill="accent1"/>
            <w:hideMark/>
          </w:tcPr>
          <w:p w14:paraId="2F43D7F4" w14:textId="77777777" w:rsidR="00F57418" w:rsidRDefault="00F57418" w:rsidP="001534BD">
            <w:pPr>
              <w:pStyle w:val="TableHeading"/>
            </w:pPr>
            <w:r>
              <w:t>Standards &amp; guidelines</w:t>
            </w:r>
          </w:p>
        </w:tc>
      </w:tr>
      <w:tr w:rsidR="007B07C0" w14:paraId="2A0D13B2" w14:textId="77777777" w:rsidTr="0088552A">
        <w:trPr>
          <w:trHeight w:val="322"/>
        </w:trPr>
        <w:tc>
          <w:tcPr>
            <w:tcW w:w="684" w:type="pct"/>
            <w:vMerge w:val="restart"/>
            <w:shd w:val="clear" w:color="auto" w:fill="F2F2F2" w:themeFill="background1" w:themeFillShade="F2"/>
            <w:hideMark/>
          </w:tcPr>
          <w:p w14:paraId="68587032" w14:textId="77777777" w:rsidR="007B07C0" w:rsidRDefault="007B07C0" w:rsidP="001534BD">
            <w:pPr>
              <w:pStyle w:val="TableBody"/>
            </w:pPr>
            <w:r>
              <w:t>Cyber</w:t>
            </w:r>
          </w:p>
        </w:tc>
        <w:tc>
          <w:tcPr>
            <w:tcW w:w="1669" w:type="pct"/>
            <w:tcBorders>
              <w:top w:val="single" w:sz="4" w:space="0" w:color="BFBFBF" w:themeColor="background1" w:themeShade="BF"/>
              <w:bottom w:val="nil"/>
            </w:tcBorders>
            <w:shd w:val="clear" w:color="auto" w:fill="auto"/>
            <w:hideMark/>
          </w:tcPr>
          <w:p w14:paraId="23D52F0B" w14:textId="77777777" w:rsidR="007B07C0" w:rsidRDefault="007B07C0" w:rsidP="001534BD">
            <w:pPr>
              <w:pStyle w:val="TableBody"/>
            </w:pPr>
            <w:r>
              <w:t>Australian Cyber Security Centre</w:t>
            </w:r>
          </w:p>
        </w:tc>
        <w:tc>
          <w:tcPr>
            <w:tcW w:w="2647" w:type="pct"/>
            <w:shd w:val="clear" w:color="auto" w:fill="auto"/>
            <w:hideMark/>
          </w:tcPr>
          <w:p w14:paraId="447A7CA8" w14:textId="77777777" w:rsidR="007B07C0" w:rsidRPr="00E06026" w:rsidRDefault="007B07C0" w:rsidP="001534BD">
            <w:pPr>
              <w:pStyle w:val="TableBody"/>
              <w:rPr>
                <w:b/>
              </w:rPr>
            </w:pPr>
            <w:r w:rsidRPr="00E06026">
              <w:rPr>
                <w:b/>
              </w:rPr>
              <w:t xml:space="preserve">Information Security Registered Assessor Program (IRAP): </w:t>
            </w:r>
            <w:r>
              <w:t>for government data</w:t>
            </w:r>
          </w:p>
        </w:tc>
      </w:tr>
      <w:tr w:rsidR="007B07C0" w14:paraId="33E1B0D1" w14:textId="77777777" w:rsidTr="0088552A">
        <w:trPr>
          <w:trHeight w:val="322"/>
        </w:trPr>
        <w:tc>
          <w:tcPr>
            <w:tcW w:w="684" w:type="pct"/>
            <w:vMerge/>
            <w:shd w:val="clear" w:color="auto" w:fill="F2F2F2" w:themeFill="background1" w:themeFillShade="F2"/>
            <w:hideMark/>
          </w:tcPr>
          <w:p w14:paraId="52B96543" w14:textId="77777777" w:rsidR="007B07C0" w:rsidRDefault="007B07C0" w:rsidP="001534BD">
            <w:pPr>
              <w:pStyle w:val="TableBody"/>
              <w:rPr>
                <w:sz w:val="22"/>
              </w:rPr>
            </w:pPr>
          </w:p>
        </w:tc>
        <w:tc>
          <w:tcPr>
            <w:tcW w:w="1669" w:type="pct"/>
            <w:tcBorders>
              <w:top w:val="nil"/>
              <w:bottom w:val="nil"/>
            </w:tcBorders>
            <w:shd w:val="clear" w:color="auto" w:fill="auto"/>
            <w:hideMark/>
          </w:tcPr>
          <w:p w14:paraId="2D6E8DC3" w14:textId="77777777" w:rsidR="007B07C0" w:rsidRDefault="007B07C0" w:rsidP="001534BD">
            <w:pPr>
              <w:pStyle w:val="TableBody"/>
              <w:rPr>
                <w:sz w:val="22"/>
              </w:rPr>
            </w:pPr>
          </w:p>
        </w:tc>
        <w:tc>
          <w:tcPr>
            <w:tcW w:w="2647" w:type="pct"/>
            <w:shd w:val="clear" w:color="auto" w:fill="auto"/>
            <w:hideMark/>
          </w:tcPr>
          <w:p w14:paraId="05414431" w14:textId="77777777" w:rsidR="007B07C0" w:rsidRPr="00E06026" w:rsidRDefault="007B07C0" w:rsidP="001534BD">
            <w:pPr>
              <w:pStyle w:val="TableBody"/>
              <w:rPr>
                <w:b/>
              </w:rPr>
            </w:pPr>
            <w:r w:rsidRPr="00E06026">
              <w:rPr>
                <w:b/>
              </w:rPr>
              <w:t xml:space="preserve">Cyber Security Guidelines </w:t>
            </w:r>
          </w:p>
        </w:tc>
      </w:tr>
      <w:tr w:rsidR="007B07C0" w14:paraId="04B4AA73" w14:textId="77777777" w:rsidTr="0088552A">
        <w:trPr>
          <w:trHeight w:val="322"/>
        </w:trPr>
        <w:tc>
          <w:tcPr>
            <w:tcW w:w="684" w:type="pct"/>
            <w:vMerge/>
            <w:shd w:val="clear" w:color="auto" w:fill="F2F2F2" w:themeFill="background1" w:themeFillShade="F2"/>
            <w:hideMark/>
          </w:tcPr>
          <w:p w14:paraId="7449116C" w14:textId="77777777" w:rsidR="007B07C0" w:rsidRDefault="007B07C0" w:rsidP="001534BD">
            <w:pPr>
              <w:pStyle w:val="TableBody"/>
              <w:rPr>
                <w:sz w:val="22"/>
              </w:rPr>
            </w:pPr>
          </w:p>
        </w:tc>
        <w:tc>
          <w:tcPr>
            <w:tcW w:w="1669" w:type="pct"/>
            <w:tcBorders>
              <w:top w:val="nil"/>
            </w:tcBorders>
            <w:shd w:val="clear" w:color="auto" w:fill="auto"/>
            <w:hideMark/>
          </w:tcPr>
          <w:p w14:paraId="322E51B9" w14:textId="77777777" w:rsidR="007B07C0" w:rsidRDefault="007B07C0" w:rsidP="001534BD">
            <w:pPr>
              <w:pStyle w:val="TableBody"/>
              <w:rPr>
                <w:sz w:val="22"/>
              </w:rPr>
            </w:pPr>
          </w:p>
        </w:tc>
        <w:tc>
          <w:tcPr>
            <w:tcW w:w="2647" w:type="pct"/>
            <w:shd w:val="clear" w:color="auto" w:fill="auto"/>
            <w:hideMark/>
          </w:tcPr>
          <w:p w14:paraId="3601F8DB" w14:textId="77777777" w:rsidR="007B07C0" w:rsidRPr="00E06026" w:rsidRDefault="007B07C0" w:rsidP="001534BD">
            <w:pPr>
              <w:pStyle w:val="TableBody"/>
              <w:rPr>
                <w:b/>
              </w:rPr>
            </w:pPr>
            <w:r w:rsidRPr="00E06026">
              <w:rPr>
                <w:b/>
              </w:rPr>
              <w:t>Cloud computing Security for Cloud Computing Providers</w:t>
            </w:r>
          </w:p>
        </w:tc>
      </w:tr>
      <w:tr w:rsidR="007B07C0" w14:paraId="430DB919" w14:textId="77777777" w:rsidTr="0088552A">
        <w:tc>
          <w:tcPr>
            <w:tcW w:w="684" w:type="pct"/>
            <w:vMerge/>
            <w:shd w:val="clear" w:color="auto" w:fill="F2F2F2" w:themeFill="background1" w:themeFillShade="F2"/>
            <w:hideMark/>
          </w:tcPr>
          <w:p w14:paraId="21FBBCCB" w14:textId="77777777" w:rsidR="007B07C0" w:rsidRDefault="007B07C0" w:rsidP="001534BD">
            <w:pPr>
              <w:pStyle w:val="TableBody"/>
              <w:rPr>
                <w:sz w:val="22"/>
              </w:rPr>
            </w:pPr>
          </w:p>
        </w:tc>
        <w:tc>
          <w:tcPr>
            <w:tcW w:w="1669" w:type="pct"/>
            <w:tcBorders>
              <w:bottom w:val="single" w:sz="4" w:space="0" w:color="BFBFBF" w:themeColor="background1" w:themeShade="BF"/>
            </w:tcBorders>
            <w:shd w:val="clear" w:color="auto" w:fill="auto"/>
            <w:hideMark/>
          </w:tcPr>
          <w:p w14:paraId="5186885E" w14:textId="77777777" w:rsidR="007B07C0" w:rsidRDefault="007B07C0" w:rsidP="001534BD">
            <w:pPr>
              <w:pStyle w:val="TableBody"/>
            </w:pPr>
            <w:r>
              <w:t>Office of the Victorian Information Commissioner</w:t>
            </w:r>
          </w:p>
        </w:tc>
        <w:tc>
          <w:tcPr>
            <w:tcW w:w="2647" w:type="pct"/>
            <w:shd w:val="clear" w:color="auto" w:fill="auto"/>
            <w:hideMark/>
          </w:tcPr>
          <w:p w14:paraId="312A6913" w14:textId="77777777" w:rsidR="007B07C0" w:rsidRPr="00E06026" w:rsidRDefault="007B07C0" w:rsidP="001534BD">
            <w:pPr>
              <w:pStyle w:val="TableBody"/>
              <w:rPr>
                <w:b/>
              </w:rPr>
            </w:pPr>
            <w:r w:rsidRPr="00E06026">
              <w:rPr>
                <w:b/>
              </w:rPr>
              <w:t>Information Privacy Principles (Vic)</w:t>
            </w:r>
          </w:p>
        </w:tc>
      </w:tr>
      <w:tr w:rsidR="007B07C0" w14:paraId="0036D867" w14:textId="77777777" w:rsidTr="0088552A">
        <w:tc>
          <w:tcPr>
            <w:tcW w:w="684" w:type="pct"/>
            <w:vMerge/>
            <w:shd w:val="clear" w:color="auto" w:fill="F2F2F2" w:themeFill="background1" w:themeFillShade="F2"/>
            <w:hideMark/>
          </w:tcPr>
          <w:p w14:paraId="0082BA98" w14:textId="77777777" w:rsidR="007B07C0" w:rsidRDefault="007B07C0" w:rsidP="001534BD">
            <w:pPr>
              <w:pStyle w:val="TableBody"/>
              <w:rPr>
                <w:sz w:val="22"/>
              </w:rPr>
            </w:pPr>
          </w:p>
        </w:tc>
        <w:tc>
          <w:tcPr>
            <w:tcW w:w="1669" w:type="pct"/>
            <w:tcBorders>
              <w:top w:val="single" w:sz="4" w:space="0" w:color="BFBFBF" w:themeColor="background1" w:themeShade="BF"/>
              <w:bottom w:val="nil"/>
            </w:tcBorders>
            <w:shd w:val="clear" w:color="auto" w:fill="auto"/>
            <w:hideMark/>
          </w:tcPr>
          <w:p w14:paraId="323D09C6" w14:textId="77777777" w:rsidR="007B07C0" w:rsidRDefault="007B07C0" w:rsidP="001534BD">
            <w:pPr>
              <w:pStyle w:val="TableBody"/>
            </w:pPr>
            <w:r>
              <w:t>European Union</w:t>
            </w:r>
          </w:p>
        </w:tc>
        <w:tc>
          <w:tcPr>
            <w:tcW w:w="2647" w:type="pct"/>
            <w:shd w:val="clear" w:color="auto" w:fill="auto"/>
            <w:hideMark/>
          </w:tcPr>
          <w:p w14:paraId="6AACBF61" w14:textId="77777777" w:rsidR="007B07C0" w:rsidRPr="00E06026" w:rsidRDefault="007B07C0" w:rsidP="001534BD">
            <w:pPr>
              <w:pStyle w:val="TableBody"/>
              <w:rPr>
                <w:b/>
              </w:rPr>
            </w:pPr>
            <w:r w:rsidRPr="00E06026">
              <w:rPr>
                <w:b/>
              </w:rPr>
              <w:t xml:space="preserve">GDPR </w:t>
            </w:r>
          </w:p>
        </w:tc>
      </w:tr>
      <w:tr w:rsidR="007B07C0" w14:paraId="185D81F7" w14:textId="77777777" w:rsidTr="0088552A">
        <w:tc>
          <w:tcPr>
            <w:tcW w:w="684" w:type="pct"/>
            <w:vMerge/>
            <w:shd w:val="clear" w:color="auto" w:fill="F2F2F2" w:themeFill="background1" w:themeFillShade="F2"/>
            <w:hideMark/>
          </w:tcPr>
          <w:p w14:paraId="53188F47" w14:textId="77777777" w:rsidR="007B07C0" w:rsidRDefault="007B07C0" w:rsidP="001534BD">
            <w:pPr>
              <w:pStyle w:val="TableBody"/>
              <w:rPr>
                <w:sz w:val="22"/>
              </w:rPr>
            </w:pPr>
          </w:p>
        </w:tc>
        <w:tc>
          <w:tcPr>
            <w:tcW w:w="1669" w:type="pct"/>
            <w:tcBorders>
              <w:top w:val="nil"/>
            </w:tcBorders>
            <w:shd w:val="clear" w:color="auto" w:fill="auto"/>
            <w:hideMark/>
          </w:tcPr>
          <w:p w14:paraId="703D88E8" w14:textId="77777777" w:rsidR="007B07C0" w:rsidRDefault="007B07C0" w:rsidP="001534BD">
            <w:pPr>
              <w:pStyle w:val="TableBody"/>
              <w:rPr>
                <w:sz w:val="22"/>
              </w:rPr>
            </w:pPr>
          </w:p>
        </w:tc>
        <w:tc>
          <w:tcPr>
            <w:tcW w:w="2647" w:type="pct"/>
            <w:shd w:val="clear" w:color="auto" w:fill="auto"/>
            <w:hideMark/>
          </w:tcPr>
          <w:p w14:paraId="03BA2D03" w14:textId="77777777" w:rsidR="007B07C0" w:rsidRPr="00E06026" w:rsidRDefault="007B07C0" w:rsidP="001534BD">
            <w:pPr>
              <w:pStyle w:val="TableBody"/>
              <w:rPr>
                <w:b/>
              </w:rPr>
            </w:pPr>
            <w:r w:rsidRPr="00E06026">
              <w:rPr>
                <w:b/>
              </w:rPr>
              <w:t>NIS Directive</w:t>
            </w:r>
          </w:p>
        </w:tc>
      </w:tr>
      <w:tr w:rsidR="007B07C0" w14:paraId="49B7B6E2" w14:textId="77777777" w:rsidTr="0088552A">
        <w:tc>
          <w:tcPr>
            <w:tcW w:w="684" w:type="pct"/>
            <w:vMerge/>
            <w:shd w:val="clear" w:color="auto" w:fill="F2F2F2" w:themeFill="background1" w:themeFillShade="F2"/>
            <w:hideMark/>
          </w:tcPr>
          <w:p w14:paraId="564FAB35" w14:textId="77777777" w:rsidR="007B07C0" w:rsidRDefault="007B07C0" w:rsidP="001534BD">
            <w:pPr>
              <w:pStyle w:val="TableBody"/>
              <w:rPr>
                <w:sz w:val="22"/>
              </w:rPr>
            </w:pPr>
          </w:p>
        </w:tc>
        <w:tc>
          <w:tcPr>
            <w:tcW w:w="1669" w:type="pct"/>
            <w:shd w:val="clear" w:color="auto" w:fill="auto"/>
            <w:hideMark/>
          </w:tcPr>
          <w:p w14:paraId="4967FF39" w14:textId="77777777" w:rsidR="007B07C0" w:rsidRDefault="007B07C0" w:rsidP="001534BD">
            <w:pPr>
              <w:pStyle w:val="TableBody"/>
            </w:pPr>
            <w:r>
              <w:t xml:space="preserve">Secretary General of the Council of Europe </w:t>
            </w:r>
          </w:p>
        </w:tc>
        <w:tc>
          <w:tcPr>
            <w:tcW w:w="2647" w:type="pct"/>
            <w:shd w:val="clear" w:color="auto" w:fill="auto"/>
            <w:hideMark/>
          </w:tcPr>
          <w:p w14:paraId="35B707EC" w14:textId="77777777" w:rsidR="007B07C0" w:rsidRPr="00E06026" w:rsidRDefault="007B07C0" w:rsidP="001534BD">
            <w:pPr>
              <w:pStyle w:val="TableBody"/>
              <w:rPr>
                <w:b/>
              </w:rPr>
            </w:pPr>
            <w:r w:rsidRPr="00E06026">
              <w:rPr>
                <w:b/>
              </w:rPr>
              <w:t xml:space="preserve">Budapest Convention on Cybercrime </w:t>
            </w:r>
          </w:p>
        </w:tc>
      </w:tr>
      <w:tr w:rsidR="007B07C0" w14:paraId="18801026" w14:textId="77777777" w:rsidTr="0088552A">
        <w:tc>
          <w:tcPr>
            <w:tcW w:w="684" w:type="pct"/>
            <w:vMerge/>
            <w:shd w:val="clear" w:color="auto" w:fill="F2F2F2" w:themeFill="background1" w:themeFillShade="F2"/>
          </w:tcPr>
          <w:p w14:paraId="27EFE740" w14:textId="77777777" w:rsidR="007B07C0" w:rsidRDefault="007B07C0" w:rsidP="001534BD">
            <w:pPr>
              <w:pStyle w:val="TableBody"/>
            </w:pPr>
          </w:p>
        </w:tc>
        <w:tc>
          <w:tcPr>
            <w:tcW w:w="1669" w:type="pct"/>
            <w:shd w:val="clear" w:color="auto" w:fill="auto"/>
            <w:hideMark/>
          </w:tcPr>
          <w:p w14:paraId="39875259" w14:textId="77777777" w:rsidR="007B07C0" w:rsidRDefault="007B07C0" w:rsidP="001534BD">
            <w:pPr>
              <w:pStyle w:val="TableBody"/>
            </w:pPr>
            <w:r>
              <w:t>Attorney-General’s Department Australia</w:t>
            </w:r>
          </w:p>
        </w:tc>
        <w:tc>
          <w:tcPr>
            <w:tcW w:w="2647" w:type="pct"/>
            <w:shd w:val="clear" w:color="auto" w:fill="auto"/>
            <w:hideMark/>
          </w:tcPr>
          <w:p w14:paraId="176F00D8" w14:textId="77777777" w:rsidR="007B07C0" w:rsidRPr="00E06026" w:rsidRDefault="007B07C0" w:rsidP="001534BD">
            <w:pPr>
              <w:pStyle w:val="TableBody"/>
              <w:rPr>
                <w:b/>
              </w:rPr>
            </w:pPr>
            <w:r w:rsidRPr="00E06026">
              <w:rPr>
                <w:b/>
              </w:rPr>
              <w:t>Protective Security Policy Framework</w:t>
            </w:r>
          </w:p>
        </w:tc>
      </w:tr>
      <w:tr w:rsidR="00F57418" w14:paraId="70472269" w14:textId="77777777" w:rsidTr="0088552A">
        <w:tc>
          <w:tcPr>
            <w:tcW w:w="684" w:type="pct"/>
            <w:shd w:val="clear" w:color="auto" w:fill="F2F2F2" w:themeFill="background1" w:themeFillShade="F2"/>
            <w:hideMark/>
          </w:tcPr>
          <w:p w14:paraId="03F845B2" w14:textId="77777777" w:rsidR="00F57418" w:rsidRDefault="00F57418" w:rsidP="001534BD">
            <w:pPr>
              <w:pStyle w:val="TableBody"/>
            </w:pPr>
            <w:r>
              <w:t>Physical</w:t>
            </w:r>
          </w:p>
        </w:tc>
        <w:tc>
          <w:tcPr>
            <w:tcW w:w="1669" w:type="pct"/>
            <w:shd w:val="clear" w:color="auto" w:fill="auto"/>
            <w:hideMark/>
          </w:tcPr>
          <w:p w14:paraId="66966081" w14:textId="77777777" w:rsidR="00F57418" w:rsidRDefault="00F57418" w:rsidP="001534BD">
            <w:pPr>
              <w:pStyle w:val="TableBody"/>
            </w:pPr>
            <w:r>
              <w:t>Attorney-General’s Department Australia</w:t>
            </w:r>
          </w:p>
        </w:tc>
        <w:tc>
          <w:tcPr>
            <w:tcW w:w="2647" w:type="pct"/>
            <w:shd w:val="clear" w:color="auto" w:fill="auto"/>
            <w:hideMark/>
          </w:tcPr>
          <w:p w14:paraId="32012076" w14:textId="77777777" w:rsidR="00F57418" w:rsidRPr="00E06026" w:rsidRDefault="00F57418" w:rsidP="001534BD">
            <w:pPr>
              <w:pStyle w:val="TableBody"/>
              <w:rPr>
                <w:b/>
              </w:rPr>
            </w:pPr>
            <w:r w:rsidRPr="00E06026">
              <w:rPr>
                <w:b/>
              </w:rPr>
              <w:t>Protective Security Policy Framework</w:t>
            </w:r>
          </w:p>
        </w:tc>
      </w:tr>
      <w:tr w:rsidR="007B07C0" w14:paraId="04B66621" w14:textId="77777777" w:rsidTr="0088552A">
        <w:tc>
          <w:tcPr>
            <w:tcW w:w="684" w:type="pct"/>
            <w:vMerge w:val="restart"/>
            <w:shd w:val="clear" w:color="auto" w:fill="F2F2F2" w:themeFill="background1" w:themeFillShade="F2"/>
            <w:hideMark/>
          </w:tcPr>
          <w:p w14:paraId="74000449" w14:textId="77777777" w:rsidR="007B07C0" w:rsidRDefault="007B07C0" w:rsidP="001534BD">
            <w:pPr>
              <w:pStyle w:val="TableBody"/>
            </w:pPr>
            <w:r>
              <w:t>Personnel</w:t>
            </w:r>
          </w:p>
        </w:tc>
        <w:tc>
          <w:tcPr>
            <w:tcW w:w="1669" w:type="pct"/>
            <w:shd w:val="clear" w:color="auto" w:fill="auto"/>
            <w:hideMark/>
          </w:tcPr>
          <w:p w14:paraId="3FB16552" w14:textId="77777777" w:rsidR="007B07C0" w:rsidRDefault="007B07C0" w:rsidP="001534BD">
            <w:pPr>
              <w:pStyle w:val="TableBody"/>
            </w:pPr>
            <w:r>
              <w:t>Attorney-General’s Department Australia</w:t>
            </w:r>
          </w:p>
        </w:tc>
        <w:tc>
          <w:tcPr>
            <w:tcW w:w="2647" w:type="pct"/>
            <w:shd w:val="clear" w:color="auto" w:fill="auto"/>
            <w:hideMark/>
          </w:tcPr>
          <w:p w14:paraId="1388DDEC" w14:textId="77777777" w:rsidR="007B07C0" w:rsidRPr="00E06026" w:rsidRDefault="007B07C0" w:rsidP="001534BD">
            <w:pPr>
              <w:pStyle w:val="TableBody"/>
              <w:rPr>
                <w:b/>
              </w:rPr>
            </w:pPr>
            <w:r w:rsidRPr="00E06026">
              <w:rPr>
                <w:b/>
              </w:rPr>
              <w:t>Protective Security Policy Framework</w:t>
            </w:r>
          </w:p>
        </w:tc>
      </w:tr>
      <w:tr w:rsidR="007B07C0" w14:paraId="67257274" w14:textId="77777777" w:rsidTr="0088552A">
        <w:tc>
          <w:tcPr>
            <w:tcW w:w="684" w:type="pct"/>
            <w:vMerge/>
            <w:shd w:val="clear" w:color="auto" w:fill="F2F2F2" w:themeFill="background1" w:themeFillShade="F2"/>
            <w:hideMark/>
          </w:tcPr>
          <w:p w14:paraId="6478A6B9" w14:textId="77777777" w:rsidR="007B07C0" w:rsidRDefault="007B07C0" w:rsidP="001534BD">
            <w:pPr>
              <w:pStyle w:val="TableBody"/>
              <w:rPr>
                <w:sz w:val="22"/>
              </w:rPr>
            </w:pPr>
          </w:p>
        </w:tc>
        <w:tc>
          <w:tcPr>
            <w:tcW w:w="1669" w:type="pct"/>
            <w:shd w:val="clear" w:color="auto" w:fill="auto"/>
            <w:hideMark/>
          </w:tcPr>
          <w:p w14:paraId="03A103E4" w14:textId="77777777" w:rsidR="007B07C0" w:rsidRDefault="007B07C0" w:rsidP="001534BD">
            <w:pPr>
              <w:pStyle w:val="TableBody"/>
            </w:pPr>
            <w:r>
              <w:t>Standards Australia</w:t>
            </w:r>
          </w:p>
        </w:tc>
        <w:tc>
          <w:tcPr>
            <w:tcW w:w="2647" w:type="pct"/>
            <w:shd w:val="clear" w:color="auto" w:fill="auto"/>
            <w:hideMark/>
          </w:tcPr>
          <w:p w14:paraId="531EFEE5" w14:textId="77777777" w:rsidR="007B07C0" w:rsidRPr="00E06026" w:rsidRDefault="007B07C0" w:rsidP="001534BD">
            <w:pPr>
              <w:pStyle w:val="TableBody"/>
              <w:rPr>
                <w:b/>
              </w:rPr>
            </w:pPr>
            <w:r w:rsidRPr="00E06026">
              <w:rPr>
                <w:b/>
              </w:rPr>
              <w:t>AS 4811-2006</w:t>
            </w:r>
          </w:p>
        </w:tc>
      </w:tr>
      <w:tr w:rsidR="007B07C0" w14:paraId="494FCA3D" w14:textId="77777777" w:rsidTr="0088552A">
        <w:trPr>
          <w:trHeight w:val="839"/>
        </w:trPr>
        <w:tc>
          <w:tcPr>
            <w:tcW w:w="684" w:type="pct"/>
            <w:vMerge/>
            <w:shd w:val="clear" w:color="auto" w:fill="F2F2F2" w:themeFill="background1" w:themeFillShade="F2"/>
            <w:hideMark/>
          </w:tcPr>
          <w:p w14:paraId="22A4AF1F" w14:textId="77777777" w:rsidR="007B07C0" w:rsidRDefault="007B07C0" w:rsidP="001534BD">
            <w:pPr>
              <w:pStyle w:val="TableBody"/>
              <w:rPr>
                <w:sz w:val="22"/>
              </w:rPr>
            </w:pPr>
          </w:p>
        </w:tc>
        <w:tc>
          <w:tcPr>
            <w:tcW w:w="1669" w:type="pct"/>
            <w:shd w:val="clear" w:color="auto" w:fill="auto"/>
            <w:hideMark/>
          </w:tcPr>
          <w:p w14:paraId="22DF1014" w14:textId="77777777" w:rsidR="007B07C0" w:rsidRDefault="007B07C0" w:rsidP="001534BD">
            <w:pPr>
              <w:pStyle w:val="TableBody"/>
            </w:pPr>
            <w:r>
              <w:t>Australian Cyber Security Centre</w:t>
            </w:r>
          </w:p>
        </w:tc>
        <w:tc>
          <w:tcPr>
            <w:tcW w:w="2647" w:type="pct"/>
            <w:shd w:val="clear" w:color="auto" w:fill="auto"/>
            <w:hideMark/>
          </w:tcPr>
          <w:p w14:paraId="6278A49B" w14:textId="77777777" w:rsidR="007B07C0" w:rsidRPr="00E06026" w:rsidRDefault="007B07C0" w:rsidP="001534BD">
            <w:pPr>
              <w:pStyle w:val="TableBody"/>
              <w:rPr>
                <w:b/>
              </w:rPr>
            </w:pPr>
            <w:r w:rsidRPr="00E06026">
              <w:rPr>
                <w:b/>
              </w:rPr>
              <w:t xml:space="preserve">Information Security Manual </w:t>
            </w:r>
          </w:p>
        </w:tc>
      </w:tr>
      <w:tr w:rsidR="007B07C0" w14:paraId="76A2A89C" w14:textId="77777777" w:rsidTr="0088552A">
        <w:tc>
          <w:tcPr>
            <w:tcW w:w="684" w:type="pct"/>
            <w:vMerge w:val="restart"/>
            <w:shd w:val="clear" w:color="auto" w:fill="F2F2F2" w:themeFill="background1" w:themeFillShade="F2"/>
            <w:hideMark/>
          </w:tcPr>
          <w:p w14:paraId="150E70A3" w14:textId="77777777" w:rsidR="007B07C0" w:rsidRDefault="007B07C0" w:rsidP="001534BD">
            <w:pPr>
              <w:pStyle w:val="TableBody"/>
            </w:pPr>
            <w:r>
              <w:t>Supply Chain</w:t>
            </w:r>
          </w:p>
        </w:tc>
        <w:tc>
          <w:tcPr>
            <w:tcW w:w="1669" w:type="pct"/>
            <w:shd w:val="clear" w:color="auto" w:fill="auto"/>
            <w:hideMark/>
          </w:tcPr>
          <w:p w14:paraId="6603D4F6" w14:textId="77777777" w:rsidR="007B07C0" w:rsidRDefault="007B07C0" w:rsidP="001534BD">
            <w:pPr>
              <w:pStyle w:val="TableBody"/>
            </w:pPr>
            <w:r>
              <w:t>APRA</w:t>
            </w:r>
          </w:p>
        </w:tc>
        <w:tc>
          <w:tcPr>
            <w:tcW w:w="2647" w:type="pct"/>
            <w:shd w:val="clear" w:color="auto" w:fill="auto"/>
            <w:hideMark/>
          </w:tcPr>
          <w:p w14:paraId="3C0DC09A" w14:textId="77777777" w:rsidR="007B07C0" w:rsidRPr="00E06026" w:rsidRDefault="007B07C0" w:rsidP="001534BD">
            <w:pPr>
              <w:pStyle w:val="TableBody"/>
              <w:rPr>
                <w:b/>
              </w:rPr>
            </w:pPr>
            <w:r w:rsidRPr="00E06026">
              <w:rPr>
                <w:b/>
              </w:rPr>
              <w:t>CPS 231, 234</w:t>
            </w:r>
          </w:p>
        </w:tc>
      </w:tr>
      <w:tr w:rsidR="007B07C0" w14:paraId="099C6C3B" w14:textId="77777777" w:rsidTr="0088552A">
        <w:tc>
          <w:tcPr>
            <w:tcW w:w="684" w:type="pct"/>
            <w:vMerge/>
            <w:shd w:val="clear" w:color="auto" w:fill="F2F2F2" w:themeFill="background1" w:themeFillShade="F2"/>
            <w:hideMark/>
          </w:tcPr>
          <w:p w14:paraId="592B729D" w14:textId="77777777" w:rsidR="007B07C0" w:rsidRDefault="007B07C0" w:rsidP="001534BD">
            <w:pPr>
              <w:pStyle w:val="TableBody"/>
              <w:rPr>
                <w:sz w:val="22"/>
              </w:rPr>
            </w:pPr>
          </w:p>
        </w:tc>
        <w:tc>
          <w:tcPr>
            <w:tcW w:w="1669" w:type="pct"/>
            <w:shd w:val="clear" w:color="auto" w:fill="auto"/>
            <w:hideMark/>
          </w:tcPr>
          <w:p w14:paraId="72D8DA4E" w14:textId="77777777" w:rsidR="007B07C0" w:rsidRDefault="007B07C0" w:rsidP="001534BD">
            <w:pPr>
              <w:pStyle w:val="TableBody"/>
            </w:pPr>
            <w:r>
              <w:t>Australian Cyber Security Centre</w:t>
            </w:r>
          </w:p>
        </w:tc>
        <w:tc>
          <w:tcPr>
            <w:tcW w:w="2647" w:type="pct"/>
            <w:shd w:val="clear" w:color="auto" w:fill="auto"/>
            <w:hideMark/>
          </w:tcPr>
          <w:p w14:paraId="043BEA69" w14:textId="77777777" w:rsidR="007B07C0" w:rsidRPr="00E06026" w:rsidRDefault="007B07C0" w:rsidP="001534BD">
            <w:pPr>
              <w:pStyle w:val="TableBody"/>
              <w:rPr>
                <w:b/>
              </w:rPr>
            </w:pPr>
            <w:r w:rsidRPr="00E06026">
              <w:rPr>
                <w:b/>
              </w:rPr>
              <w:t>Supply chain Guidance for Practitioners</w:t>
            </w:r>
          </w:p>
        </w:tc>
      </w:tr>
    </w:tbl>
    <w:p w14:paraId="50F0BBBF" w14:textId="77777777" w:rsidR="00F57418" w:rsidRDefault="00F57418" w:rsidP="00F57418">
      <w:pPr>
        <w:pStyle w:val="BodyText"/>
        <w:rPr>
          <w:rFonts w:eastAsia="Times New Roman" w:cs="Times New Roman"/>
          <w:sz w:val="20"/>
          <w:szCs w:val="24"/>
          <w:lang w:eastAsia="en-AU"/>
        </w:rPr>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028"/>
        <w:gridCol w:w="7610"/>
      </w:tblGrid>
      <w:tr w:rsidR="00F57418" w14:paraId="78E777F0" w14:textId="77777777" w:rsidTr="0088552A">
        <w:tc>
          <w:tcPr>
            <w:tcW w:w="1052" w:type="pct"/>
            <w:shd w:val="clear" w:color="auto" w:fill="034EA2" w:themeFill="accent1"/>
            <w:hideMark/>
          </w:tcPr>
          <w:p w14:paraId="3E5F5D96" w14:textId="77777777" w:rsidR="00F57418" w:rsidRDefault="00F57418" w:rsidP="0088552A">
            <w:pPr>
              <w:pStyle w:val="TableHeading"/>
            </w:pPr>
            <w:r>
              <w:t>Jurisdiction</w:t>
            </w:r>
          </w:p>
        </w:tc>
        <w:tc>
          <w:tcPr>
            <w:tcW w:w="3948" w:type="pct"/>
            <w:shd w:val="clear" w:color="auto" w:fill="034EA2" w:themeFill="accent1"/>
            <w:hideMark/>
          </w:tcPr>
          <w:p w14:paraId="6B961D1B" w14:textId="77777777" w:rsidR="00F57418" w:rsidRDefault="00F57418" w:rsidP="0088552A">
            <w:pPr>
              <w:pStyle w:val="TableHeading"/>
            </w:pPr>
            <w:r>
              <w:t>Regulator/s</w:t>
            </w:r>
          </w:p>
        </w:tc>
      </w:tr>
      <w:tr w:rsidR="00F57418" w14:paraId="033637C0" w14:textId="77777777" w:rsidTr="0088552A">
        <w:tc>
          <w:tcPr>
            <w:tcW w:w="1052" w:type="pct"/>
            <w:shd w:val="clear" w:color="auto" w:fill="auto"/>
            <w:hideMark/>
          </w:tcPr>
          <w:p w14:paraId="62F11803" w14:textId="77777777" w:rsidR="00F57418" w:rsidRDefault="00F57418" w:rsidP="0088552A">
            <w:pPr>
              <w:pStyle w:val="TableBody"/>
            </w:pPr>
            <w:r>
              <w:t>Commonwealth</w:t>
            </w:r>
          </w:p>
        </w:tc>
        <w:tc>
          <w:tcPr>
            <w:tcW w:w="3948" w:type="pct"/>
            <w:shd w:val="clear" w:color="auto" w:fill="auto"/>
            <w:hideMark/>
          </w:tcPr>
          <w:p w14:paraId="56332599" w14:textId="77777777" w:rsidR="00F57418" w:rsidRDefault="00F57418" w:rsidP="0088552A">
            <w:pPr>
              <w:pStyle w:val="TableBody"/>
            </w:pPr>
            <w:r w:rsidRPr="000F20CF">
              <w:rPr>
                <w:i/>
                <w:szCs w:val="22"/>
              </w:rPr>
              <w:t>Office of the Australian Information Commissioner</w:t>
            </w:r>
          </w:p>
        </w:tc>
      </w:tr>
      <w:tr w:rsidR="00F57418" w14:paraId="35A5FAE3" w14:textId="77777777" w:rsidTr="0088552A">
        <w:tc>
          <w:tcPr>
            <w:tcW w:w="1052" w:type="pct"/>
            <w:shd w:val="clear" w:color="auto" w:fill="auto"/>
            <w:hideMark/>
          </w:tcPr>
          <w:p w14:paraId="52057A12" w14:textId="77777777" w:rsidR="00F57418" w:rsidRDefault="00F57418" w:rsidP="0088552A">
            <w:pPr>
              <w:pStyle w:val="TableBody"/>
            </w:pPr>
            <w:r>
              <w:t>Australian Capital Territory</w:t>
            </w:r>
          </w:p>
        </w:tc>
        <w:tc>
          <w:tcPr>
            <w:tcW w:w="3948" w:type="pct"/>
            <w:shd w:val="clear" w:color="auto" w:fill="auto"/>
            <w:hideMark/>
          </w:tcPr>
          <w:p w14:paraId="3728DCA8" w14:textId="77777777" w:rsidR="00F57418" w:rsidRPr="004E7163" w:rsidRDefault="00F57418" w:rsidP="0088552A">
            <w:pPr>
              <w:pStyle w:val="TableBody"/>
            </w:pPr>
            <w:r w:rsidRPr="004E7163">
              <w:rPr>
                <w:i/>
              </w:rPr>
              <w:t>Office of the Australian Information Commissioner</w:t>
            </w:r>
          </w:p>
        </w:tc>
      </w:tr>
      <w:tr w:rsidR="00F57418" w14:paraId="0ADBB7A8" w14:textId="77777777" w:rsidTr="0088552A">
        <w:tc>
          <w:tcPr>
            <w:tcW w:w="1052" w:type="pct"/>
            <w:shd w:val="clear" w:color="auto" w:fill="auto"/>
            <w:hideMark/>
          </w:tcPr>
          <w:p w14:paraId="3B96B8D9" w14:textId="77777777" w:rsidR="00F57418" w:rsidRDefault="00F57418" w:rsidP="0088552A">
            <w:pPr>
              <w:pStyle w:val="TableBody"/>
            </w:pPr>
            <w:r>
              <w:t>New South Wales</w:t>
            </w:r>
          </w:p>
        </w:tc>
        <w:tc>
          <w:tcPr>
            <w:tcW w:w="3948" w:type="pct"/>
            <w:shd w:val="clear" w:color="auto" w:fill="auto"/>
            <w:hideMark/>
          </w:tcPr>
          <w:p w14:paraId="203E2344" w14:textId="77777777" w:rsidR="00F57418" w:rsidRPr="004E7163" w:rsidRDefault="00F57418" w:rsidP="0088552A">
            <w:pPr>
              <w:pStyle w:val="TableBody"/>
            </w:pPr>
            <w:r w:rsidRPr="004E7163">
              <w:rPr>
                <w:i/>
              </w:rPr>
              <w:t>Information and Privacy Commission New South Wales</w:t>
            </w:r>
          </w:p>
        </w:tc>
      </w:tr>
      <w:tr w:rsidR="00F57418" w14:paraId="11E4408E" w14:textId="77777777" w:rsidTr="0088552A">
        <w:tc>
          <w:tcPr>
            <w:tcW w:w="1052" w:type="pct"/>
            <w:shd w:val="clear" w:color="auto" w:fill="auto"/>
            <w:hideMark/>
          </w:tcPr>
          <w:p w14:paraId="2A21543E" w14:textId="77777777" w:rsidR="00F57418" w:rsidRDefault="00F57418" w:rsidP="0088552A">
            <w:pPr>
              <w:pStyle w:val="TableBody"/>
            </w:pPr>
            <w:r>
              <w:t>Northern Territory</w:t>
            </w:r>
          </w:p>
        </w:tc>
        <w:tc>
          <w:tcPr>
            <w:tcW w:w="3948" w:type="pct"/>
            <w:shd w:val="clear" w:color="auto" w:fill="auto"/>
            <w:hideMark/>
          </w:tcPr>
          <w:p w14:paraId="5BA98871" w14:textId="77777777" w:rsidR="00F57418" w:rsidRPr="004E7163" w:rsidRDefault="00F57418" w:rsidP="0088552A">
            <w:pPr>
              <w:pStyle w:val="TableBody"/>
            </w:pPr>
            <w:r w:rsidRPr="004E7163">
              <w:rPr>
                <w:i/>
              </w:rPr>
              <w:t>Office of the Information Commissioner Northern Territory</w:t>
            </w:r>
          </w:p>
        </w:tc>
      </w:tr>
      <w:tr w:rsidR="00F57418" w14:paraId="230DCA95" w14:textId="77777777" w:rsidTr="0088552A">
        <w:tc>
          <w:tcPr>
            <w:tcW w:w="1052" w:type="pct"/>
            <w:shd w:val="clear" w:color="auto" w:fill="auto"/>
            <w:hideMark/>
          </w:tcPr>
          <w:p w14:paraId="7C8D3178" w14:textId="77777777" w:rsidR="00F57418" w:rsidRDefault="00F57418" w:rsidP="0088552A">
            <w:pPr>
              <w:pStyle w:val="TableBody"/>
            </w:pPr>
            <w:r>
              <w:t>Queensland</w:t>
            </w:r>
          </w:p>
        </w:tc>
        <w:tc>
          <w:tcPr>
            <w:tcW w:w="3948" w:type="pct"/>
            <w:shd w:val="clear" w:color="auto" w:fill="auto"/>
            <w:hideMark/>
          </w:tcPr>
          <w:p w14:paraId="4FAFB70A" w14:textId="77777777" w:rsidR="00F57418" w:rsidRPr="004E7163" w:rsidRDefault="00F57418" w:rsidP="0088552A">
            <w:pPr>
              <w:pStyle w:val="TableBody"/>
            </w:pPr>
            <w:r w:rsidRPr="004E7163">
              <w:rPr>
                <w:i/>
              </w:rPr>
              <w:t>Queensland Office of the Information Commissioner</w:t>
            </w:r>
          </w:p>
        </w:tc>
      </w:tr>
      <w:tr w:rsidR="00F57418" w14:paraId="6BD28F32" w14:textId="77777777" w:rsidTr="0088552A">
        <w:tc>
          <w:tcPr>
            <w:tcW w:w="1052" w:type="pct"/>
            <w:shd w:val="clear" w:color="auto" w:fill="auto"/>
            <w:hideMark/>
          </w:tcPr>
          <w:p w14:paraId="632188B3" w14:textId="77777777" w:rsidR="00F57418" w:rsidRDefault="00F57418" w:rsidP="0088552A">
            <w:pPr>
              <w:pStyle w:val="TableBody"/>
            </w:pPr>
            <w:r>
              <w:t>South Australia</w:t>
            </w:r>
          </w:p>
        </w:tc>
        <w:tc>
          <w:tcPr>
            <w:tcW w:w="3948" w:type="pct"/>
            <w:shd w:val="clear" w:color="auto" w:fill="auto"/>
            <w:hideMark/>
          </w:tcPr>
          <w:p w14:paraId="18861B50" w14:textId="77777777" w:rsidR="00F57418" w:rsidRPr="004E7163" w:rsidRDefault="00F57418" w:rsidP="0088552A">
            <w:pPr>
              <w:pStyle w:val="TableBody"/>
            </w:pPr>
            <w:r w:rsidRPr="004E7163">
              <w:rPr>
                <w:i/>
              </w:rPr>
              <w:t>South Australian privacy committee</w:t>
            </w:r>
          </w:p>
        </w:tc>
      </w:tr>
      <w:tr w:rsidR="00F57418" w14:paraId="2CFBE38C" w14:textId="77777777" w:rsidTr="0088552A">
        <w:tc>
          <w:tcPr>
            <w:tcW w:w="1052" w:type="pct"/>
            <w:shd w:val="clear" w:color="auto" w:fill="auto"/>
            <w:hideMark/>
          </w:tcPr>
          <w:p w14:paraId="07CC67C8" w14:textId="77777777" w:rsidR="00F57418" w:rsidRDefault="00F57418" w:rsidP="0088552A">
            <w:pPr>
              <w:pStyle w:val="TableBody"/>
            </w:pPr>
            <w:r>
              <w:t>Tasmania</w:t>
            </w:r>
          </w:p>
        </w:tc>
        <w:tc>
          <w:tcPr>
            <w:tcW w:w="3948" w:type="pct"/>
            <w:shd w:val="clear" w:color="auto" w:fill="auto"/>
            <w:hideMark/>
          </w:tcPr>
          <w:p w14:paraId="47B60573" w14:textId="77777777" w:rsidR="00F57418" w:rsidRPr="004E7163" w:rsidRDefault="00F57418" w:rsidP="0088552A">
            <w:pPr>
              <w:pStyle w:val="TableBody"/>
            </w:pPr>
            <w:r w:rsidRPr="004E7163">
              <w:rPr>
                <w:i/>
              </w:rPr>
              <w:t>Tasmanian Ombudsman</w:t>
            </w:r>
          </w:p>
        </w:tc>
      </w:tr>
      <w:tr w:rsidR="00F57418" w14:paraId="7845545F" w14:textId="77777777" w:rsidTr="0088552A">
        <w:tc>
          <w:tcPr>
            <w:tcW w:w="1052" w:type="pct"/>
            <w:shd w:val="clear" w:color="auto" w:fill="auto"/>
            <w:hideMark/>
          </w:tcPr>
          <w:p w14:paraId="5655325F" w14:textId="77777777" w:rsidR="00F57418" w:rsidRDefault="00F57418" w:rsidP="0088552A">
            <w:pPr>
              <w:pStyle w:val="TableBody"/>
            </w:pPr>
            <w:r>
              <w:t>Victoria</w:t>
            </w:r>
          </w:p>
        </w:tc>
        <w:tc>
          <w:tcPr>
            <w:tcW w:w="3948" w:type="pct"/>
            <w:shd w:val="clear" w:color="auto" w:fill="auto"/>
            <w:hideMark/>
          </w:tcPr>
          <w:p w14:paraId="1D7A4F6A" w14:textId="77777777" w:rsidR="00F57418" w:rsidRPr="004E7163" w:rsidRDefault="00F57418" w:rsidP="0088552A">
            <w:pPr>
              <w:pStyle w:val="TableBody"/>
            </w:pPr>
            <w:r w:rsidRPr="004E7163">
              <w:rPr>
                <w:i/>
              </w:rPr>
              <w:t>Office of the Victorian Information Commissioner</w:t>
            </w:r>
          </w:p>
        </w:tc>
      </w:tr>
      <w:tr w:rsidR="00F57418" w14:paraId="3D95E716" w14:textId="77777777" w:rsidTr="0088552A">
        <w:tc>
          <w:tcPr>
            <w:tcW w:w="1052" w:type="pct"/>
            <w:shd w:val="clear" w:color="auto" w:fill="auto"/>
            <w:hideMark/>
          </w:tcPr>
          <w:p w14:paraId="16C2A990" w14:textId="77777777" w:rsidR="00F57418" w:rsidRDefault="00F57418" w:rsidP="0088552A">
            <w:pPr>
              <w:pStyle w:val="TableBody"/>
            </w:pPr>
            <w:r>
              <w:t>Western Australia</w:t>
            </w:r>
          </w:p>
        </w:tc>
        <w:tc>
          <w:tcPr>
            <w:tcW w:w="3948" w:type="pct"/>
            <w:shd w:val="clear" w:color="auto" w:fill="auto"/>
            <w:hideMark/>
          </w:tcPr>
          <w:p w14:paraId="44EFC644" w14:textId="77777777" w:rsidR="00F57418" w:rsidRPr="004E7163" w:rsidRDefault="00F57418" w:rsidP="0088552A">
            <w:pPr>
              <w:pStyle w:val="TableBody"/>
            </w:pPr>
            <w:r w:rsidRPr="004E7163">
              <w:rPr>
                <w:i/>
              </w:rPr>
              <w:t xml:space="preserve">Office of the Information Commissioner (WA) </w:t>
            </w:r>
          </w:p>
        </w:tc>
      </w:tr>
    </w:tbl>
    <w:p w14:paraId="1263AF13" w14:textId="77777777" w:rsidR="000C3D44" w:rsidRPr="00561515" w:rsidRDefault="000C3D44" w:rsidP="008E1A28">
      <w:pPr>
        <w:pStyle w:val="AppendixH2"/>
      </w:pPr>
      <w:r>
        <w:t>Additional information on consultation</w:t>
      </w:r>
    </w:p>
    <w:p w14:paraId="58203C7D" w14:textId="77777777" w:rsidR="00561515" w:rsidRDefault="00561515" w:rsidP="008E1A28">
      <w:pPr>
        <w:pStyle w:val="Caption"/>
      </w:pPr>
      <w:bookmarkStart w:id="592" w:name="_Toc90977265"/>
      <w:r>
        <w:t>Overview of stakeholders consulted</w:t>
      </w:r>
      <w:bookmarkEnd w:id="592"/>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4493"/>
        <w:gridCol w:w="5145"/>
      </w:tblGrid>
      <w:tr w:rsidR="00561515" w14:paraId="662C12B9" w14:textId="77777777" w:rsidTr="00434290">
        <w:tc>
          <w:tcPr>
            <w:tcW w:w="5000" w:type="pct"/>
            <w:gridSpan w:val="2"/>
            <w:shd w:val="clear" w:color="auto" w:fill="034EA2" w:themeFill="accent1"/>
            <w:hideMark/>
          </w:tcPr>
          <w:p w14:paraId="67BD59D4" w14:textId="77777777" w:rsidR="00561515" w:rsidRPr="00E06026" w:rsidRDefault="00561515">
            <w:pPr>
              <w:jc w:val="center"/>
              <w:rPr>
                <w:rFonts w:ascii="Arial" w:eastAsia="Calibri" w:hAnsi="Arial" w:cs="Arial"/>
                <w:color w:val="FFFFFF"/>
                <w:sz w:val="22"/>
              </w:rPr>
            </w:pPr>
            <w:r w:rsidRPr="00E06026">
              <w:rPr>
                <w:rFonts w:ascii="Arial" w:eastAsia="Calibri" w:hAnsi="Arial" w:cs="Arial"/>
                <w:color w:val="FFFFFF"/>
              </w:rPr>
              <w:t xml:space="preserve">Stakeholders Consulted </w:t>
            </w:r>
          </w:p>
        </w:tc>
      </w:tr>
      <w:tr w:rsidR="00561515" w14:paraId="16458651" w14:textId="77777777" w:rsidTr="00434290">
        <w:tc>
          <w:tcPr>
            <w:tcW w:w="2331" w:type="pct"/>
            <w:shd w:val="clear" w:color="auto" w:fill="auto"/>
            <w:hideMark/>
          </w:tcPr>
          <w:p w14:paraId="43D734F3" w14:textId="77777777" w:rsidR="00561515" w:rsidRPr="000F20CF" w:rsidRDefault="00561515" w:rsidP="00434290">
            <w:pPr>
              <w:pStyle w:val="TableBullet"/>
              <w:rPr>
                <w:b/>
              </w:rPr>
            </w:pPr>
            <w:r w:rsidRPr="000F20CF">
              <w:t xml:space="preserve">AirTrunk Operating Pty Ltd </w:t>
            </w:r>
          </w:p>
          <w:p w14:paraId="32171DC7" w14:textId="77777777" w:rsidR="00561515" w:rsidRPr="000F20CF" w:rsidRDefault="00561515" w:rsidP="00434290">
            <w:pPr>
              <w:pStyle w:val="TableBullet"/>
              <w:rPr>
                <w:b/>
              </w:rPr>
            </w:pPr>
            <w:r w:rsidRPr="000F20CF">
              <w:t>AUCloud</w:t>
            </w:r>
          </w:p>
          <w:p w14:paraId="3BDE2A6B" w14:textId="77777777" w:rsidR="00561515" w:rsidRPr="000F20CF" w:rsidRDefault="00561515" w:rsidP="00434290">
            <w:pPr>
              <w:pStyle w:val="TableBullet"/>
              <w:rPr>
                <w:b/>
              </w:rPr>
            </w:pPr>
            <w:r w:rsidRPr="000F20CF">
              <w:t>Australian Data Centres</w:t>
            </w:r>
          </w:p>
          <w:p w14:paraId="550E1D84" w14:textId="77777777" w:rsidR="00561515" w:rsidRPr="000F20CF" w:rsidRDefault="00561515" w:rsidP="00434290">
            <w:pPr>
              <w:pStyle w:val="TableBullet"/>
              <w:rPr>
                <w:b/>
              </w:rPr>
            </w:pPr>
            <w:r w:rsidRPr="000F20CF">
              <w:t>Amazon Web Services Australia Pty Ltd</w:t>
            </w:r>
          </w:p>
          <w:p w14:paraId="198F3835" w14:textId="77777777" w:rsidR="00561515" w:rsidRPr="000F20CF" w:rsidRDefault="00561515" w:rsidP="00434290">
            <w:pPr>
              <w:pStyle w:val="TableBullet"/>
              <w:rPr>
                <w:b/>
              </w:rPr>
            </w:pPr>
            <w:r w:rsidRPr="000F20CF">
              <w:t>CDC Data Centres</w:t>
            </w:r>
          </w:p>
          <w:p w14:paraId="266C0845" w14:textId="77777777" w:rsidR="00561515" w:rsidRPr="000F20CF" w:rsidRDefault="00561515" w:rsidP="00434290">
            <w:pPr>
              <w:pStyle w:val="TableBullet"/>
              <w:rPr>
                <w:b/>
              </w:rPr>
            </w:pPr>
            <w:r w:rsidRPr="000F20CF">
              <w:t>Cenitex</w:t>
            </w:r>
          </w:p>
          <w:p w14:paraId="19860FB1" w14:textId="77777777" w:rsidR="00561515" w:rsidRPr="000F20CF" w:rsidRDefault="00561515" w:rsidP="00434290">
            <w:pPr>
              <w:pStyle w:val="TableBullet"/>
              <w:rPr>
                <w:b/>
              </w:rPr>
            </w:pPr>
            <w:r w:rsidRPr="000F20CF">
              <w:t>Cisco Systems Inc.</w:t>
            </w:r>
          </w:p>
          <w:p w14:paraId="4714BDDC" w14:textId="77777777" w:rsidR="00561515" w:rsidRPr="000F20CF" w:rsidRDefault="00561515" w:rsidP="00434290">
            <w:pPr>
              <w:pStyle w:val="TableBullet"/>
              <w:rPr>
                <w:b/>
              </w:rPr>
            </w:pPr>
            <w:r w:rsidRPr="000F20CF">
              <w:lastRenderedPageBreak/>
              <w:t>CommandHub Pty Ltd</w:t>
            </w:r>
          </w:p>
          <w:p w14:paraId="01C4827C" w14:textId="77777777" w:rsidR="00561515" w:rsidRPr="000F20CF" w:rsidRDefault="00561515" w:rsidP="00434290">
            <w:pPr>
              <w:pStyle w:val="TableBullet"/>
              <w:rPr>
                <w:b/>
              </w:rPr>
            </w:pPr>
            <w:r w:rsidRPr="000F20CF">
              <w:t>Communications Alliance Ltd</w:t>
            </w:r>
          </w:p>
          <w:p w14:paraId="6ACE6F30" w14:textId="77777777" w:rsidR="00561515" w:rsidRPr="000F20CF" w:rsidRDefault="00561515" w:rsidP="00434290">
            <w:pPr>
              <w:pStyle w:val="TableBullet"/>
              <w:rPr>
                <w:b/>
              </w:rPr>
            </w:pPr>
            <w:r w:rsidRPr="000F20CF">
              <w:t xml:space="preserve">Equinix, Inc. </w:t>
            </w:r>
          </w:p>
          <w:p w14:paraId="0C8C81B9" w14:textId="77777777" w:rsidR="00561515" w:rsidRPr="000F20CF" w:rsidRDefault="00561515" w:rsidP="00434290">
            <w:pPr>
              <w:pStyle w:val="TableBullet"/>
              <w:rPr>
                <w:b/>
              </w:rPr>
            </w:pPr>
            <w:r w:rsidRPr="000F20CF">
              <w:t>Geoscape Australia</w:t>
            </w:r>
          </w:p>
          <w:p w14:paraId="05595560" w14:textId="77777777" w:rsidR="00561515" w:rsidRPr="000F20CF" w:rsidRDefault="00561515" w:rsidP="00434290">
            <w:pPr>
              <w:pStyle w:val="TableBullet"/>
              <w:rPr>
                <w:b/>
              </w:rPr>
            </w:pPr>
            <w:r w:rsidRPr="000F20CF">
              <w:t xml:space="preserve">Google Australia Pty Ltd </w:t>
            </w:r>
          </w:p>
          <w:p w14:paraId="4F2CFC12" w14:textId="77777777" w:rsidR="00561515" w:rsidRPr="000F20CF" w:rsidRDefault="00561515" w:rsidP="00434290">
            <w:pPr>
              <w:pStyle w:val="TableBullet"/>
              <w:rPr>
                <w:b/>
              </w:rPr>
            </w:pPr>
            <w:r w:rsidRPr="000F20CF">
              <w:t>IBM Australia, Ltd</w:t>
            </w:r>
          </w:p>
          <w:p w14:paraId="0BCF2139" w14:textId="77777777" w:rsidR="00561515" w:rsidRPr="000F20CF" w:rsidRDefault="00561515" w:rsidP="00434290">
            <w:pPr>
              <w:pStyle w:val="TableBullet"/>
              <w:rPr>
                <w:b/>
              </w:rPr>
            </w:pPr>
            <w:r w:rsidRPr="000F20CF">
              <w:t>Infosys Ltd</w:t>
            </w:r>
          </w:p>
          <w:p w14:paraId="243A43A7" w14:textId="77777777" w:rsidR="00561515" w:rsidRPr="000F20CF" w:rsidRDefault="00561515" w:rsidP="00434290">
            <w:pPr>
              <w:pStyle w:val="TableBullet"/>
              <w:rPr>
                <w:rFonts w:eastAsia="Calibri"/>
                <w:b/>
              </w:rPr>
            </w:pPr>
            <w:r w:rsidRPr="000F20CF">
              <w:t>Macquarie Group Ltd</w:t>
            </w:r>
          </w:p>
          <w:p w14:paraId="6A421D21" w14:textId="77777777" w:rsidR="00561515" w:rsidRPr="000F20CF" w:rsidRDefault="00561515" w:rsidP="00434290">
            <w:pPr>
              <w:pStyle w:val="TableBullet"/>
              <w:rPr>
                <w:rFonts w:eastAsia="Calibri"/>
                <w:b/>
              </w:rPr>
            </w:pPr>
            <w:r w:rsidRPr="000F20CF">
              <w:rPr>
                <w:rFonts w:eastAsia="Calibri"/>
              </w:rPr>
              <w:t>Teradata Corporation</w:t>
            </w:r>
          </w:p>
          <w:p w14:paraId="0564756D" w14:textId="77777777" w:rsidR="00561515" w:rsidRPr="000F20CF" w:rsidRDefault="00561515" w:rsidP="00434290">
            <w:pPr>
              <w:pStyle w:val="TableBullet"/>
              <w:rPr>
                <w:rFonts w:eastAsia="Calibri"/>
                <w:b/>
              </w:rPr>
            </w:pPr>
            <w:r w:rsidRPr="000F20CF">
              <w:rPr>
                <w:rFonts w:eastAsia="Calibri"/>
              </w:rPr>
              <w:t>Protiviti Inc.</w:t>
            </w:r>
          </w:p>
          <w:p w14:paraId="79F9826D" w14:textId="77777777" w:rsidR="00561515" w:rsidRPr="000F20CF" w:rsidRDefault="00561515" w:rsidP="00434290">
            <w:pPr>
              <w:pStyle w:val="TableBullet"/>
              <w:rPr>
                <w:rFonts w:eastAsia="Calibri"/>
                <w:b/>
              </w:rPr>
            </w:pPr>
            <w:r w:rsidRPr="000F20CF">
              <w:rPr>
                <w:rFonts w:eastAsia="Calibri"/>
              </w:rPr>
              <w:t>Leidos Australia</w:t>
            </w:r>
          </w:p>
          <w:p w14:paraId="740D99C3" w14:textId="77777777" w:rsidR="00561515" w:rsidRPr="000F20CF" w:rsidRDefault="00561515" w:rsidP="00434290">
            <w:pPr>
              <w:pStyle w:val="TableBullet"/>
              <w:rPr>
                <w:rFonts w:eastAsia="Calibri"/>
                <w:b/>
              </w:rPr>
            </w:pPr>
            <w:r w:rsidRPr="000F20CF">
              <w:rPr>
                <w:rFonts w:eastAsia="Calibri"/>
              </w:rPr>
              <w:t>Oracle Corporation</w:t>
            </w:r>
          </w:p>
          <w:p w14:paraId="48D0CBF2" w14:textId="77777777" w:rsidR="00561515" w:rsidRPr="000F20CF" w:rsidRDefault="00561515" w:rsidP="00434290">
            <w:pPr>
              <w:pStyle w:val="TableBullet"/>
              <w:rPr>
                <w:rFonts w:eastAsia="Calibri"/>
                <w:b/>
              </w:rPr>
            </w:pPr>
            <w:r w:rsidRPr="000F20CF">
              <w:rPr>
                <w:rFonts w:eastAsia="Calibri"/>
              </w:rPr>
              <w:t>Integrated Marine Observing System (IMOS)</w:t>
            </w:r>
          </w:p>
          <w:p w14:paraId="0D2CD15E" w14:textId="77777777" w:rsidR="00561515" w:rsidRPr="000F20CF" w:rsidRDefault="00561515" w:rsidP="00434290">
            <w:pPr>
              <w:pStyle w:val="TableBullet"/>
              <w:rPr>
                <w:rFonts w:eastAsia="Calibri"/>
                <w:b/>
              </w:rPr>
            </w:pPr>
            <w:r w:rsidRPr="000F20CF">
              <w:rPr>
                <w:rFonts w:eastAsia="Calibri"/>
              </w:rPr>
              <w:t>Australian Information Industry Association (AIIA)</w:t>
            </w:r>
          </w:p>
          <w:p w14:paraId="0B68BD72" w14:textId="77777777" w:rsidR="00561515" w:rsidRPr="000F20CF" w:rsidRDefault="00561515" w:rsidP="00434290">
            <w:pPr>
              <w:pStyle w:val="TableBullet"/>
              <w:rPr>
                <w:rFonts w:eastAsia="Calibri"/>
                <w:b/>
              </w:rPr>
            </w:pPr>
            <w:r w:rsidRPr="000F20CF">
              <w:rPr>
                <w:rFonts w:eastAsia="Calibri"/>
              </w:rPr>
              <w:t>SoftIron Australia Pty Ltd</w:t>
            </w:r>
          </w:p>
          <w:p w14:paraId="4C387E07" w14:textId="77777777" w:rsidR="00561515" w:rsidRPr="000F20CF" w:rsidRDefault="00561515" w:rsidP="00434290">
            <w:pPr>
              <w:pStyle w:val="TableBullet"/>
              <w:rPr>
                <w:rFonts w:eastAsia="Calibri"/>
                <w:b/>
              </w:rPr>
            </w:pPr>
            <w:r w:rsidRPr="000F20CF">
              <w:rPr>
                <w:rFonts w:eastAsia="Calibri"/>
              </w:rPr>
              <w:t>21e8</w:t>
            </w:r>
          </w:p>
          <w:p w14:paraId="2E47B48D" w14:textId="77777777" w:rsidR="00561515" w:rsidRPr="000F20CF" w:rsidRDefault="00561515" w:rsidP="00434290">
            <w:pPr>
              <w:pStyle w:val="TableBullet"/>
              <w:rPr>
                <w:rFonts w:eastAsia="Calibri"/>
                <w:b/>
              </w:rPr>
            </w:pPr>
            <w:r w:rsidRPr="000F20CF">
              <w:rPr>
                <w:rFonts w:eastAsia="Calibri"/>
              </w:rPr>
              <w:t>Global Switch Australia Pty Ltd</w:t>
            </w:r>
          </w:p>
          <w:p w14:paraId="0FE64F2E" w14:textId="77777777" w:rsidR="00561515" w:rsidRDefault="00561515" w:rsidP="00434290">
            <w:pPr>
              <w:pStyle w:val="TableBullet"/>
              <w:rPr>
                <w:rFonts w:eastAsia="Calibri"/>
              </w:rPr>
            </w:pPr>
            <w:r w:rsidRPr="000F20CF">
              <w:rPr>
                <w:rFonts w:eastAsia="Calibri"/>
              </w:rPr>
              <w:t>Verizon Australia Pty Ltd</w:t>
            </w:r>
            <w:r>
              <w:rPr>
                <w:rFonts w:eastAsia="Calibri"/>
              </w:rPr>
              <w:t xml:space="preserve"> </w:t>
            </w:r>
          </w:p>
        </w:tc>
        <w:tc>
          <w:tcPr>
            <w:tcW w:w="2669" w:type="pct"/>
            <w:shd w:val="clear" w:color="auto" w:fill="auto"/>
            <w:hideMark/>
          </w:tcPr>
          <w:p w14:paraId="117855E8" w14:textId="77777777" w:rsidR="00561515" w:rsidRDefault="00561515" w:rsidP="00434290">
            <w:pPr>
              <w:pStyle w:val="TableBullet"/>
            </w:pPr>
            <w:r>
              <w:lastRenderedPageBreak/>
              <w:t xml:space="preserve">Macquarie Telecom Group Ltd </w:t>
            </w:r>
          </w:p>
          <w:p w14:paraId="50844F9D" w14:textId="77777777" w:rsidR="00561515" w:rsidRDefault="00561515" w:rsidP="00434290">
            <w:pPr>
              <w:pStyle w:val="TableBullet"/>
            </w:pPr>
            <w:r>
              <w:t xml:space="preserve">Microsoft Pty Ltd </w:t>
            </w:r>
          </w:p>
          <w:p w14:paraId="7EEF2BEC" w14:textId="77777777" w:rsidR="00561515" w:rsidRDefault="00561515" w:rsidP="00434290">
            <w:pPr>
              <w:pStyle w:val="TableBullet"/>
            </w:pPr>
            <w:r>
              <w:t xml:space="preserve">NEXTDC Ltd  </w:t>
            </w:r>
          </w:p>
          <w:p w14:paraId="38750089" w14:textId="77777777" w:rsidR="00561515" w:rsidRDefault="00561515" w:rsidP="00434290">
            <w:pPr>
              <w:pStyle w:val="TableBullet"/>
            </w:pPr>
            <w:r>
              <w:t>Office of the Australian Information Commissioner</w:t>
            </w:r>
          </w:p>
          <w:p w14:paraId="7BA24EB9" w14:textId="77777777" w:rsidR="00561515" w:rsidRDefault="00561515" w:rsidP="00434290">
            <w:pPr>
              <w:pStyle w:val="TableBullet"/>
            </w:pPr>
            <w:r>
              <w:t>Singtel Optus Pty Ltd</w:t>
            </w:r>
          </w:p>
          <w:p w14:paraId="1CB30FF0" w14:textId="77777777" w:rsidR="00561515" w:rsidRDefault="00561515" w:rsidP="00434290">
            <w:pPr>
              <w:pStyle w:val="TableBullet"/>
            </w:pPr>
            <w:r>
              <w:t xml:space="preserve">Palo Alto Networks, Inc. </w:t>
            </w:r>
          </w:p>
          <w:p w14:paraId="1C772010" w14:textId="77777777" w:rsidR="00561515" w:rsidRDefault="00561515" w:rsidP="00434290">
            <w:pPr>
              <w:pStyle w:val="TableBullet"/>
            </w:pPr>
            <w:r>
              <w:t>Pulse DC</w:t>
            </w:r>
          </w:p>
          <w:p w14:paraId="2115D04B" w14:textId="77777777" w:rsidR="00561515" w:rsidRDefault="00561515" w:rsidP="00434290">
            <w:pPr>
              <w:pStyle w:val="TableBullet"/>
            </w:pPr>
            <w:r>
              <w:lastRenderedPageBreak/>
              <w:t xml:space="preserve">SAP SE / SAP Australia Pty Ltd </w:t>
            </w:r>
          </w:p>
          <w:p w14:paraId="5CE495DA" w14:textId="77777777" w:rsidR="00561515" w:rsidRDefault="00561515" w:rsidP="00434290">
            <w:pPr>
              <w:pStyle w:val="TableBullet"/>
            </w:pPr>
            <w:r>
              <w:t>TasNetworks Pty Ltd</w:t>
            </w:r>
          </w:p>
          <w:p w14:paraId="4855A669" w14:textId="77777777" w:rsidR="00561515" w:rsidRDefault="00561515" w:rsidP="00434290">
            <w:pPr>
              <w:pStyle w:val="TableBullet"/>
            </w:pPr>
            <w:r>
              <w:t>Telstra Corporation Ltd</w:t>
            </w:r>
          </w:p>
          <w:p w14:paraId="18DDD84C" w14:textId="77777777" w:rsidR="00561515" w:rsidRDefault="00561515" w:rsidP="00434290">
            <w:pPr>
              <w:pStyle w:val="TableBullet"/>
            </w:pPr>
            <w:r>
              <w:t>The Gateway Networks Governance Body</w:t>
            </w:r>
          </w:p>
          <w:p w14:paraId="11BFA066" w14:textId="77777777" w:rsidR="00561515" w:rsidRDefault="00561515" w:rsidP="00434290">
            <w:pPr>
              <w:pStyle w:val="TableBullet"/>
            </w:pPr>
            <w:r>
              <w:t>Vault Cloud</w:t>
            </w:r>
          </w:p>
          <w:p w14:paraId="7F7912C9" w14:textId="77777777" w:rsidR="00561515" w:rsidRDefault="00561515" w:rsidP="00434290">
            <w:pPr>
              <w:pStyle w:val="TableBullet"/>
              <w:rPr>
                <w:rFonts w:eastAsia="Calibri"/>
              </w:rPr>
            </w:pPr>
            <w:r>
              <w:t xml:space="preserve">VMWare, Inc. </w:t>
            </w:r>
          </w:p>
          <w:p w14:paraId="62D2AFE3" w14:textId="77777777" w:rsidR="00561515" w:rsidRDefault="00561515" w:rsidP="00434290">
            <w:pPr>
              <w:pStyle w:val="TableBullet"/>
              <w:rPr>
                <w:rFonts w:eastAsia="Calibri"/>
              </w:rPr>
            </w:pPr>
            <w:r>
              <w:t>Vocus Group Limited</w:t>
            </w:r>
          </w:p>
          <w:p w14:paraId="47B295DE" w14:textId="77777777" w:rsidR="00561515" w:rsidRDefault="00561515" w:rsidP="00434290">
            <w:pPr>
              <w:pStyle w:val="TableBullet"/>
              <w:rPr>
                <w:rFonts w:eastAsia="Calibri"/>
              </w:rPr>
            </w:pPr>
            <w:r>
              <w:t xml:space="preserve">Splunk Inc. </w:t>
            </w:r>
          </w:p>
          <w:p w14:paraId="292C4FE6" w14:textId="77777777" w:rsidR="00561515" w:rsidRDefault="00561515" w:rsidP="00434290">
            <w:pPr>
              <w:pStyle w:val="TableBullet"/>
              <w:rPr>
                <w:rFonts w:eastAsia="Calibri"/>
              </w:rPr>
            </w:pPr>
            <w:r>
              <w:t>Forcepoint</w:t>
            </w:r>
          </w:p>
          <w:p w14:paraId="2401F3C3" w14:textId="77777777" w:rsidR="00561515" w:rsidRDefault="00561515" w:rsidP="00434290">
            <w:pPr>
              <w:pStyle w:val="TableBullet"/>
              <w:rPr>
                <w:rFonts w:eastAsia="Calibri"/>
              </w:rPr>
            </w:pPr>
            <w:r>
              <w:t>Cybersult Pty Ltd</w:t>
            </w:r>
          </w:p>
          <w:p w14:paraId="79F14512" w14:textId="77777777" w:rsidR="00561515" w:rsidRDefault="00561515" w:rsidP="00434290">
            <w:pPr>
              <w:pStyle w:val="TableBullet"/>
              <w:rPr>
                <w:rFonts w:eastAsia="Calibri"/>
              </w:rPr>
            </w:pPr>
            <w:r>
              <w:t>Saleforce</w:t>
            </w:r>
          </w:p>
          <w:p w14:paraId="37F3BD73" w14:textId="77777777" w:rsidR="00561515" w:rsidRDefault="00561515" w:rsidP="00434290">
            <w:pPr>
              <w:pStyle w:val="TableBullet"/>
              <w:rPr>
                <w:rFonts w:eastAsia="Calibri"/>
              </w:rPr>
            </w:pPr>
            <w:r>
              <w:t xml:space="preserve">Cygence Llc </w:t>
            </w:r>
          </w:p>
          <w:p w14:paraId="1CB7ACA3" w14:textId="77777777" w:rsidR="00561515" w:rsidRDefault="00561515" w:rsidP="00434290">
            <w:pPr>
              <w:pStyle w:val="TableBullet"/>
              <w:rPr>
                <w:rFonts w:eastAsia="Calibri"/>
              </w:rPr>
            </w:pPr>
            <w:r>
              <w:t>Datapod (Australia) Pty Ltd</w:t>
            </w:r>
          </w:p>
          <w:p w14:paraId="4D66A41C" w14:textId="77777777" w:rsidR="00561515" w:rsidRDefault="00561515" w:rsidP="00434290">
            <w:pPr>
              <w:pStyle w:val="TableBullet"/>
              <w:rPr>
                <w:rFonts w:eastAsia="Calibri"/>
              </w:rPr>
            </w:pPr>
            <w:r>
              <w:t>Atlassian Corporation Plc</w:t>
            </w:r>
          </w:p>
          <w:p w14:paraId="75B2972B" w14:textId="77777777" w:rsidR="00561515" w:rsidRDefault="00561515" w:rsidP="00434290">
            <w:pPr>
              <w:pStyle w:val="TableBullet"/>
              <w:rPr>
                <w:rFonts w:eastAsia="Calibri"/>
              </w:rPr>
            </w:pPr>
            <w:r>
              <w:t>APNIC Pty Ltd</w:t>
            </w:r>
          </w:p>
          <w:p w14:paraId="5F5E3405" w14:textId="77777777" w:rsidR="00561515" w:rsidRDefault="00561515" w:rsidP="00434290">
            <w:pPr>
              <w:pStyle w:val="TableBullet"/>
              <w:rPr>
                <w:rFonts w:eastAsia="Calibri"/>
              </w:rPr>
            </w:pPr>
            <w:r>
              <w:t>ServiceNow, Inc.</w:t>
            </w:r>
          </w:p>
          <w:p w14:paraId="3BFE9722" w14:textId="77777777" w:rsidR="00561515" w:rsidRDefault="00561515" w:rsidP="00434290">
            <w:pPr>
              <w:pStyle w:val="TableBullet"/>
              <w:rPr>
                <w:rFonts w:eastAsia="Calibri"/>
              </w:rPr>
            </w:pPr>
            <w:r>
              <w:rPr>
                <w:rFonts w:eastAsia="Calibri"/>
              </w:rPr>
              <w:t>HERE Technologies</w:t>
            </w:r>
          </w:p>
          <w:p w14:paraId="30F8BBBC" w14:textId="77777777" w:rsidR="00561515" w:rsidRDefault="00561515" w:rsidP="00434290">
            <w:pPr>
              <w:pStyle w:val="TableBullet"/>
              <w:rPr>
                <w:rFonts w:eastAsia="Calibri"/>
              </w:rPr>
            </w:pPr>
            <w:r>
              <w:rPr>
                <w:rFonts w:eastAsia="Calibri"/>
              </w:rPr>
              <w:t xml:space="preserve">Dell Technologies Inc. </w:t>
            </w:r>
          </w:p>
          <w:p w14:paraId="5146E09B" w14:textId="77777777" w:rsidR="00561515" w:rsidRDefault="00561515" w:rsidP="00434290">
            <w:pPr>
              <w:pStyle w:val="TableBullet"/>
              <w:rPr>
                <w:rFonts w:eastAsia="Calibri"/>
              </w:rPr>
            </w:pPr>
            <w:r>
              <w:rPr>
                <w:rFonts w:eastAsia="Calibri"/>
              </w:rPr>
              <w:t>DCI Data Centers</w:t>
            </w:r>
          </w:p>
          <w:p w14:paraId="272374D3" w14:textId="77777777" w:rsidR="00561515" w:rsidRDefault="00561515" w:rsidP="00434290">
            <w:pPr>
              <w:pStyle w:val="TableBullet"/>
              <w:rPr>
                <w:rFonts w:eastAsia="Calibri"/>
              </w:rPr>
            </w:pPr>
            <w:r>
              <w:rPr>
                <w:rFonts w:eastAsia="Calibri"/>
              </w:rPr>
              <w:t>Healy Advisory Pty Ltd</w:t>
            </w:r>
          </w:p>
        </w:tc>
      </w:tr>
    </w:tbl>
    <w:p w14:paraId="043E85BB" w14:textId="77777777" w:rsidR="00561515" w:rsidRDefault="00561515" w:rsidP="008E1A28">
      <w:pPr>
        <w:pStyle w:val="Caption"/>
      </w:pPr>
      <w:r>
        <w:lastRenderedPageBreak/>
        <w:t>Consultation timeline</w:t>
      </w:r>
    </w:p>
    <w:p w14:paraId="6D9D022A" w14:textId="4B4FE0B3" w:rsidR="00561515" w:rsidRDefault="006C4CFA" w:rsidP="00736523">
      <w:pPr>
        <w:pStyle w:val="BodyText"/>
      </w:pPr>
      <w:r w:rsidRPr="006C4CFA">
        <w:rPr>
          <w:noProof/>
          <w:lang w:eastAsia="en-AU"/>
        </w:rPr>
        <w:drawing>
          <wp:inline distT="0" distB="0" distL="0" distR="0" wp14:anchorId="2FE62EE8" wp14:editId="0DD25AB9">
            <wp:extent cx="5992544" cy="6777355"/>
            <wp:effectExtent l="0" t="0" r="8255" b="444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noChangeArrowheads="1"/>
                    </pic:cNvPicPr>
                  </pic:nvPicPr>
                  <pic:blipFill>
                    <a:blip r:embed="rId56"/>
                    <a:stretch>
                      <a:fillRect/>
                    </a:stretch>
                  </pic:blipFill>
                  <pic:spPr bwMode="auto">
                    <a:xfrm>
                      <a:off x="0" y="0"/>
                      <a:ext cx="5992544" cy="6777355"/>
                    </a:xfrm>
                    <a:prstGeom prst="rect">
                      <a:avLst/>
                    </a:prstGeom>
                    <a:noFill/>
                    <a:ln>
                      <a:noFill/>
                    </a:ln>
                  </pic:spPr>
                </pic:pic>
              </a:graphicData>
            </a:graphic>
          </wp:inline>
        </w:drawing>
      </w:r>
    </w:p>
    <w:p w14:paraId="5618EB4A" w14:textId="15074C81" w:rsidR="00736523" w:rsidRDefault="00736523" w:rsidP="00736523">
      <w:pPr>
        <w:pStyle w:val="BodyText"/>
      </w:pPr>
    </w:p>
    <w:p w14:paraId="540EA370" w14:textId="50A0F0D4" w:rsidR="00736523" w:rsidRDefault="00736523" w:rsidP="00736523">
      <w:pPr>
        <w:pStyle w:val="BodyText"/>
      </w:pPr>
    </w:p>
    <w:p w14:paraId="4943D97F" w14:textId="77777777" w:rsidR="00736523" w:rsidRPr="00736523" w:rsidRDefault="00736523" w:rsidP="00736523">
      <w:pPr>
        <w:pStyle w:val="BodyText"/>
      </w:pPr>
    </w:p>
    <w:p w14:paraId="3B68FE0B" w14:textId="77777777" w:rsidR="001E4026" w:rsidRPr="00D65A59" w:rsidRDefault="001E4026" w:rsidP="008E1A28">
      <w:pPr>
        <w:pStyle w:val="AppendixH2"/>
      </w:pPr>
      <w:r w:rsidRPr="00D65A59">
        <w:t xml:space="preserve">RMP Rules consultation </w:t>
      </w:r>
    </w:p>
    <w:p w14:paraId="45E6BE58" w14:textId="69A8D709" w:rsidR="00561515" w:rsidRDefault="00561515" w:rsidP="004F6E47">
      <w:pPr>
        <w:pStyle w:val="BodyText"/>
      </w:pPr>
      <w:r>
        <w:t xml:space="preserve">Consultation with industry stakeholders occurred </w:t>
      </w:r>
      <w:r w:rsidR="00416E5F">
        <w:t>across the following</w:t>
      </w:r>
      <w:r>
        <w:t xml:space="preserve"> key stages: </w:t>
      </w:r>
    </w:p>
    <w:p w14:paraId="40210159" w14:textId="77777777" w:rsidR="00561515" w:rsidRDefault="00561515" w:rsidP="007F265A">
      <w:pPr>
        <w:numPr>
          <w:ilvl w:val="0"/>
          <w:numId w:val="169"/>
        </w:numPr>
        <w:spacing w:after="160" w:line="256" w:lineRule="auto"/>
        <w:ind w:hanging="357"/>
        <w:rPr>
          <w:rFonts w:ascii="Arial" w:eastAsia="Calibri" w:hAnsi="Arial" w:cs="Arial"/>
          <w:sz w:val="22"/>
        </w:rPr>
      </w:pPr>
      <w:r>
        <w:rPr>
          <w:rFonts w:ascii="Arial" w:eastAsia="Calibri" w:hAnsi="Arial" w:cs="Arial"/>
          <w:b/>
          <w:bCs/>
          <w:sz w:val="22"/>
        </w:rPr>
        <w:lastRenderedPageBreak/>
        <w:t>A virtual town hall</w:t>
      </w:r>
      <w:r>
        <w:rPr>
          <w:rFonts w:ascii="Arial" w:eastAsia="Calibri" w:hAnsi="Arial" w:cs="Arial"/>
          <w:sz w:val="22"/>
        </w:rPr>
        <w:t xml:space="preserve">, held in June 2021 attended by approximately 150 industry and Government stakeholders, to communicate the purpose of the consultation process and obtain information to inform the design of future workshops. </w:t>
      </w:r>
    </w:p>
    <w:p w14:paraId="4D3D82D5" w14:textId="77777777" w:rsidR="00561515" w:rsidRDefault="00561515" w:rsidP="007F265A">
      <w:pPr>
        <w:numPr>
          <w:ilvl w:val="0"/>
          <w:numId w:val="169"/>
        </w:numPr>
        <w:spacing w:after="160" w:line="256" w:lineRule="auto"/>
        <w:ind w:hanging="357"/>
        <w:rPr>
          <w:rFonts w:ascii="Arial" w:eastAsia="Calibri" w:hAnsi="Arial" w:cs="Arial"/>
          <w:sz w:val="22"/>
        </w:rPr>
      </w:pPr>
      <w:r>
        <w:rPr>
          <w:rFonts w:ascii="Arial" w:eastAsia="Calibri" w:hAnsi="Arial" w:cs="Arial"/>
          <w:b/>
          <w:bCs/>
          <w:sz w:val="22"/>
        </w:rPr>
        <w:t>A series of three virtual workshops</w:t>
      </w:r>
      <w:r>
        <w:rPr>
          <w:rFonts w:ascii="Arial" w:eastAsia="Calibri" w:hAnsi="Arial" w:cs="Arial"/>
          <w:sz w:val="22"/>
        </w:rPr>
        <w:t xml:space="preserve">, held over a five-week period beginning in July 2021 and each attended by approximately 140 industry and Government stakeholders, which provided a forum to consult on RMP rules and assisted in understanding the costs and benefits associated with implementing the RMP framework. Workshops were designed to provide: </w:t>
      </w:r>
    </w:p>
    <w:p w14:paraId="4BD0F481" w14:textId="77777777" w:rsidR="00561515" w:rsidRDefault="00561515" w:rsidP="00CE4B35">
      <w:pPr>
        <w:pStyle w:val="Bullet2ndlevel"/>
        <w:numPr>
          <w:ilvl w:val="0"/>
          <w:numId w:val="179"/>
        </w:numPr>
      </w:pPr>
      <w:r>
        <w:t xml:space="preserve">Several opportunities for discussion and feedback to gather industry perspectives; </w:t>
      </w:r>
    </w:p>
    <w:p w14:paraId="2A40CB83" w14:textId="77777777" w:rsidR="00561515" w:rsidRDefault="00561515" w:rsidP="00CE4B35">
      <w:pPr>
        <w:pStyle w:val="Bullet2ndlevel"/>
        <w:numPr>
          <w:ilvl w:val="0"/>
          <w:numId w:val="179"/>
        </w:numPr>
      </w:pPr>
      <w:r>
        <w:t xml:space="preserve">Polling, in-session surveys and facilitated discussions; and </w:t>
      </w:r>
    </w:p>
    <w:p w14:paraId="12CC217B" w14:textId="77777777" w:rsidR="00561515" w:rsidRDefault="00561515" w:rsidP="00CE4B35">
      <w:pPr>
        <w:pStyle w:val="Bullet2ndlevel"/>
        <w:numPr>
          <w:ilvl w:val="0"/>
          <w:numId w:val="179"/>
        </w:numPr>
      </w:pPr>
      <w:r>
        <w:t xml:space="preserve">‘Break out room’ discussions to ensure comprehensive discussion occurred across all subsets of industry. </w:t>
      </w:r>
    </w:p>
    <w:p w14:paraId="3C2D2AB3" w14:textId="77777777" w:rsidR="00561515" w:rsidRDefault="00561515" w:rsidP="007F265A">
      <w:pPr>
        <w:numPr>
          <w:ilvl w:val="0"/>
          <w:numId w:val="169"/>
        </w:numPr>
        <w:spacing w:line="256" w:lineRule="auto"/>
        <w:ind w:left="351" w:hanging="357"/>
        <w:rPr>
          <w:rFonts w:ascii="Arial" w:eastAsia="Calibri" w:hAnsi="Arial" w:cs="Arial"/>
          <w:sz w:val="22"/>
        </w:rPr>
      </w:pPr>
      <w:r>
        <w:rPr>
          <w:rFonts w:ascii="Arial" w:eastAsia="Calibri" w:hAnsi="Arial" w:cs="Arial"/>
          <w:b/>
          <w:bCs/>
          <w:sz w:val="22"/>
        </w:rPr>
        <w:t>Out of session consultation</w:t>
      </w:r>
      <w:r>
        <w:rPr>
          <w:rFonts w:ascii="Arial" w:eastAsia="Calibri" w:hAnsi="Arial" w:cs="Arial"/>
          <w:sz w:val="22"/>
        </w:rPr>
        <w:t xml:space="preserve">, including meetings with a number of stakeholders and extensive email communication. </w:t>
      </w:r>
    </w:p>
    <w:p w14:paraId="2BCBE5A7" w14:textId="77777777" w:rsidR="00561515" w:rsidRDefault="00561515" w:rsidP="004F6E47">
      <w:pPr>
        <w:pStyle w:val="Bullet2ndlevel"/>
      </w:pPr>
      <w:r>
        <w:t xml:space="preserve">Stakeholders were encouraged to contact the Department out of session. The Department availed itself to stakeholders to discuss their concerns, working to ensure stakeholders’ understanding of the rules, and the rules’ proportionality. </w:t>
      </w:r>
    </w:p>
    <w:p w14:paraId="4835FC3A" w14:textId="77777777" w:rsidR="00561515" w:rsidRDefault="00561515" w:rsidP="004F6E47">
      <w:pPr>
        <w:pStyle w:val="Bullet2ndlevel"/>
      </w:pPr>
      <w:r>
        <w:t xml:space="preserve">Out of session engagement also assisted in the iterative development of rules between workshops, through addressing concerns raised by individual stakeholders and proposing a solution. </w:t>
      </w:r>
    </w:p>
    <w:p w14:paraId="5A1A1EA0" w14:textId="77777777" w:rsidR="00561515" w:rsidRDefault="00561515" w:rsidP="004F6E47">
      <w:pPr>
        <w:pStyle w:val="Bullet2ndlevel"/>
      </w:pPr>
      <w:r>
        <w:t>This engagement strengthened the relationship between the Department and industry, while providing insights on implementation costs, entities’ operating environments and the overall impacts of the proposed regulatory changes.</w:t>
      </w:r>
    </w:p>
    <w:p w14:paraId="3715CCFF" w14:textId="1ECC56D7" w:rsidR="00561515" w:rsidRDefault="00561515" w:rsidP="007F265A">
      <w:pPr>
        <w:pStyle w:val="ListParagraph"/>
        <w:numPr>
          <w:ilvl w:val="0"/>
          <w:numId w:val="169"/>
        </w:numPr>
        <w:spacing w:line="264" w:lineRule="auto"/>
        <w:rPr>
          <w:rFonts w:eastAsia="Calibri"/>
        </w:rPr>
      </w:pPr>
      <w:r>
        <w:rPr>
          <w:rFonts w:eastAsia="Calibri"/>
          <w:b/>
          <w:bCs/>
        </w:rPr>
        <w:t xml:space="preserve">Three follow-up Consultation Sessions and </w:t>
      </w:r>
      <w:r w:rsidR="009450D9">
        <w:rPr>
          <w:rFonts w:eastAsia="Calibri"/>
          <w:b/>
          <w:bCs/>
        </w:rPr>
        <w:t xml:space="preserve">two </w:t>
      </w:r>
      <w:r>
        <w:rPr>
          <w:rFonts w:eastAsia="Calibri"/>
          <w:b/>
          <w:bCs/>
        </w:rPr>
        <w:t>Industry-agnostic Town Hall</w:t>
      </w:r>
      <w:r>
        <w:rPr>
          <w:rFonts w:eastAsia="Calibri"/>
        </w:rPr>
        <w:t xml:space="preserve"> held in </w:t>
      </w:r>
      <w:r w:rsidR="009450D9">
        <w:rPr>
          <w:rFonts w:eastAsia="Calibri"/>
        </w:rPr>
        <w:t xml:space="preserve">October </w:t>
      </w:r>
      <w:r>
        <w:rPr>
          <w:rFonts w:eastAsia="Calibri"/>
        </w:rPr>
        <w:t xml:space="preserve">and </w:t>
      </w:r>
      <w:r w:rsidR="009450D9">
        <w:rPr>
          <w:rFonts w:eastAsia="Calibri"/>
        </w:rPr>
        <w:t xml:space="preserve">November </w:t>
      </w:r>
      <w:r>
        <w:rPr>
          <w:rFonts w:eastAsia="Calibri"/>
        </w:rPr>
        <w:t xml:space="preserve">2021. The purpose of the consultation sessions was to provide an update for industry on the move from sector-specific to sector-agnostic RMP rules, to gain sector-specific feedback on the updated RMP rules, and to gain feedback on the new asset definition for critical data storage and processing assets. The purpose of the Industry Town Hall was to present the updated RMP rules and provide information on the further consultation period. The two consultation sessions were attended by approximately 75 and 60 industry and Government stakeholders respectively. The Town Hall was attended by approximately 800 industry and Government stakeholders across the </w:t>
      </w:r>
      <w:r w:rsidR="0030492E">
        <w:rPr>
          <w:rFonts w:eastAsia="Calibri"/>
        </w:rPr>
        <w:t>10</w:t>
      </w:r>
      <w:r>
        <w:rPr>
          <w:rFonts w:eastAsia="Calibri"/>
        </w:rPr>
        <w:t xml:space="preserve"> critical infrastructure sectors, including by many stakeholders from the data storage and processing sector.</w:t>
      </w:r>
    </w:p>
    <w:p w14:paraId="14CF8C45" w14:textId="0D4E5EF9" w:rsidR="00E13ED2" w:rsidRPr="00D309FE" w:rsidRDefault="00E13ED2" w:rsidP="00E13ED2">
      <w:pPr>
        <w:pStyle w:val="Bullet1stlevel"/>
        <w:numPr>
          <w:ilvl w:val="0"/>
          <w:numId w:val="169"/>
        </w:numPr>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5C23E9B1" w14:textId="77777777" w:rsidR="00E13ED2" w:rsidRPr="004F1EE3" w:rsidRDefault="00E13ED2" w:rsidP="00CE4B35">
      <w:pPr>
        <w:spacing w:line="264" w:lineRule="auto"/>
        <w:rPr>
          <w:rFonts w:eastAsia="Calibri"/>
        </w:rPr>
      </w:pPr>
    </w:p>
    <w:p w14:paraId="5A66298D" w14:textId="7C15EC16" w:rsidR="00561515" w:rsidRPr="000F3A0E" w:rsidRDefault="00561515" w:rsidP="004F6E47">
      <w:pPr>
        <w:pStyle w:val="BodyText"/>
      </w:pPr>
      <w:r>
        <w:t xml:space="preserve">The consultation roadmap on the RMP rules, pictured in </w:t>
      </w:r>
      <w:r w:rsidR="00732C19">
        <w:t>the figure</w:t>
      </w:r>
      <w:r>
        <w:t xml:space="preserve"> below, provides additional insights on the topics for discussion at each consultation phase. </w:t>
      </w:r>
    </w:p>
    <w:p w14:paraId="1C54FB0A" w14:textId="77777777" w:rsidR="008633F6" w:rsidRDefault="008633F6" w:rsidP="008E1A28">
      <w:pPr>
        <w:pStyle w:val="Caption"/>
      </w:pPr>
      <w:bookmarkStart w:id="593" w:name="_Toc90977269"/>
      <w:r>
        <w:lastRenderedPageBreak/>
        <w:t>Key themes from consultation</w:t>
      </w:r>
      <w:bookmarkEnd w:id="593"/>
    </w:p>
    <w:tbl>
      <w:tblPr>
        <w:tblStyle w:val="TableGrid51"/>
        <w:tblW w:w="5000" w:type="pct"/>
        <w:jc w:val="center"/>
        <w:tblInd w:w="0" w:type="dxa"/>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281"/>
        <w:gridCol w:w="702"/>
        <w:gridCol w:w="3256"/>
        <w:gridCol w:w="4399"/>
      </w:tblGrid>
      <w:tr w:rsidR="008633F6" w14:paraId="43F49F9A" w14:textId="77777777" w:rsidTr="00434290">
        <w:trPr>
          <w:cantSplit/>
          <w:tblHeader/>
          <w:jc w:val="center"/>
        </w:trPr>
        <w:tc>
          <w:tcPr>
            <w:tcW w:w="665" w:type="pct"/>
            <w:shd w:val="clear" w:color="auto" w:fill="034EA2" w:themeFill="accent1"/>
            <w:hideMark/>
          </w:tcPr>
          <w:p w14:paraId="032F68EE" w14:textId="77777777" w:rsidR="008633F6" w:rsidRDefault="008633F6" w:rsidP="00434290">
            <w:pPr>
              <w:rPr>
                <w:rFonts w:ascii="Arial" w:eastAsia="Calibri" w:hAnsi="Arial" w:cs="Arial"/>
                <w:b/>
                <w:bCs/>
                <w:color w:val="FFFFFF"/>
                <w:szCs w:val="20"/>
              </w:rPr>
            </w:pPr>
            <w:r>
              <w:rPr>
                <w:rFonts w:ascii="Arial" w:eastAsia="Calibri" w:hAnsi="Arial" w:cs="Arial"/>
                <w:b/>
                <w:bCs/>
                <w:color w:val="FFFFFF"/>
                <w:szCs w:val="20"/>
              </w:rPr>
              <w:t>Rule category</w:t>
            </w:r>
          </w:p>
        </w:tc>
        <w:tc>
          <w:tcPr>
            <w:tcW w:w="2053" w:type="pct"/>
            <w:gridSpan w:val="2"/>
            <w:shd w:val="clear" w:color="auto" w:fill="034EA2" w:themeFill="accent1"/>
            <w:hideMark/>
          </w:tcPr>
          <w:p w14:paraId="4CD93213" w14:textId="77777777" w:rsidR="008633F6" w:rsidRDefault="008633F6" w:rsidP="00434290">
            <w:pPr>
              <w:rPr>
                <w:rFonts w:ascii="Arial" w:eastAsia="Calibri" w:hAnsi="Arial" w:cs="Arial"/>
                <w:b/>
                <w:bCs/>
                <w:color w:val="FFFFFF"/>
                <w:szCs w:val="20"/>
              </w:rPr>
            </w:pPr>
            <w:r>
              <w:rPr>
                <w:rFonts w:ascii="Arial" w:eastAsia="Calibri" w:hAnsi="Arial" w:cs="Arial"/>
                <w:b/>
                <w:bCs/>
                <w:color w:val="FFFFFF"/>
                <w:szCs w:val="20"/>
              </w:rPr>
              <w:t>Identified themes</w:t>
            </w:r>
          </w:p>
        </w:tc>
        <w:tc>
          <w:tcPr>
            <w:tcW w:w="2282" w:type="pct"/>
            <w:shd w:val="clear" w:color="auto" w:fill="034EA2" w:themeFill="accent1"/>
            <w:hideMark/>
          </w:tcPr>
          <w:p w14:paraId="4362E4E9" w14:textId="77777777" w:rsidR="008633F6" w:rsidRDefault="008633F6" w:rsidP="00434290">
            <w:pPr>
              <w:rPr>
                <w:rFonts w:ascii="Arial" w:eastAsia="Calibri" w:hAnsi="Arial" w:cs="Arial"/>
                <w:b/>
                <w:bCs/>
                <w:color w:val="FFFFFF"/>
                <w:szCs w:val="20"/>
              </w:rPr>
            </w:pPr>
            <w:r>
              <w:rPr>
                <w:rFonts w:ascii="Arial" w:eastAsia="Calibri" w:hAnsi="Arial" w:cs="Arial"/>
                <w:b/>
                <w:bCs/>
                <w:color w:val="FFFFFF"/>
                <w:szCs w:val="20"/>
              </w:rPr>
              <w:t>Impact on development of rules</w:t>
            </w:r>
          </w:p>
        </w:tc>
      </w:tr>
      <w:tr w:rsidR="008633F6" w14:paraId="3DFF51F8" w14:textId="77777777" w:rsidTr="00434290">
        <w:trPr>
          <w:cantSplit/>
          <w:trHeight w:val="3101"/>
          <w:jc w:val="center"/>
        </w:trPr>
        <w:tc>
          <w:tcPr>
            <w:tcW w:w="665" w:type="pct"/>
            <w:shd w:val="clear" w:color="auto" w:fill="BBDAFD" w:themeFill="accent1" w:themeFillTint="33"/>
            <w:hideMark/>
          </w:tcPr>
          <w:p w14:paraId="1A9BB26F" w14:textId="77777777" w:rsidR="008633F6" w:rsidRDefault="008633F6" w:rsidP="00434290">
            <w:pPr>
              <w:rPr>
                <w:rFonts w:ascii="Arial" w:eastAsia="Calibri" w:hAnsi="Arial" w:cs="Arial"/>
                <w:b/>
                <w:bCs/>
                <w:szCs w:val="20"/>
              </w:rPr>
            </w:pPr>
            <w:r>
              <w:rPr>
                <w:rFonts w:ascii="Arial" w:eastAsia="Calibri" w:hAnsi="Arial" w:cs="Arial"/>
                <w:b/>
                <w:bCs/>
                <w:szCs w:val="20"/>
              </w:rPr>
              <w:t xml:space="preserve">Sector-agnostic RMP Rules </w:t>
            </w:r>
          </w:p>
        </w:tc>
        <w:tc>
          <w:tcPr>
            <w:tcW w:w="364" w:type="pct"/>
            <w:shd w:val="clear" w:color="auto" w:fill="EDEDED"/>
            <w:textDirection w:val="btLr"/>
          </w:tcPr>
          <w:p w14:paraId="62191DD8" w14:textId="472521F9" w:rsidR="008633F6" w:rsidRDefault="008633F6" w:rsidP="00434290">
            <w:pPr>
              <w:ind w:left="113" w:right="113"/>
              <w:jc w:val="center"/>
              <w:rPr>
                <w:rFonts w:ascii="Arial" w:eastAsia="Calibri" w:hAnsi="Arial" w:cs="Arial"/>
                <w:b/>
                <w:bCs/>
                <w:szCs w:val="20"/>
              </w:rPr>
            </w:pPr>
            <w:r>
              <w:rPr>
                <w:rFonts w:ascii="Arial" w:eastAsia="Calibri" w:hAnsi="Arial" w:cs="Arial"/>
                <w:b/>
                <w:bCs/>
                <w:szCs w:val="20"/>
              </w:rPr>
              <w:t>Consultation Sessions</w:t>
            </w:r>
          </w:p>
          <w:p w14:paraId="789AD948" w14:textId="77777777" w:rsidR="008633F6" w:rsidRDefault="008633F6" w:rsidP="00434290">
            <w:pPr>
              <w:ind w:left="113" w:right="113"/>
              <w:rPr>
                <w:rFonts w:ascii="Arial" w:eastAsia="Calibri" w:hAnsi="Arial" w:cs="Arial"/>
                <w:b/>
                <w:bCs/>
                <w:szCs w:val="20"/>
              </w:rPr>
            </w:pPr>
          </w:p>
        </w:tc>
        <w:tc>
          <w:tcPr>
            <w:tcW w:w="1689" w:type="pct"/>
          </w:tcPr>
          <w:p w14:paraId="678E9BFC" w14:textId="77777777" w:rsidR="008633F6" w:rsidRDefault="008633F6" w:rsidP="00434290">
            <w:pPr>
              <w:pStyle w:val="TableBullet"/>
              <w:rPr>
                <w:rFonts w:eastAsia="Calibri"/>
                <w:b/>
                <w:bCs/>
              </w:rPr>
            </w:pPr>
            <w:r>
              <w:rPr>
                <w:rFonts w:eastAsia="Calibri"/>
              </w:rPr>
              <w:t xml:space="preserve">Industry believes the RMP Rules are </w:t>
            </w:r>
            <w:r>
              <w:rPr>
                <w:rFonts w:eastAsia="Calibri"/>
                <w:b/>
                <w:bCs/>
              </w:rPr>
              <w:t>clear and understandable.</w:t>
            </w:r>
          </w:p>
          <w:p w14:paraId="65030410" w14:textId="77777777" w:rsidR="008633F6" w:rsidRDefault="008633F6" w:rsidP="00434290">
            <w:pPr>
              <w:pStyle w:val="TableBullet"/>
              <w:rPr>
                <w:rFonts w:eastAsia="Calibri"/>
                <w:b/>
                <w:bCs/>
              </w:rPr>
            </w:pPr>
            <w:r>
              <w:rPr>
                <w:rFonts w:eastAsia="Calibri"/>
              </w:rPr>
              <w:t xml:space="preserve">Industry believes the RMP Rules will </w:t>
            </w:r>
            <w:r>
              <w:rPr>
                <w:rFonts w:eastAsia="Calibri"/>
                <w:b/>
                <w:bCs/>
              </w:rPr>
              <w:t>be able to be implemented.</w:t>
            </w:r>
          </w:p>
          <w:p w14:paraId="3FBFBAC5" w14:textId="77777777" w:rsidR="008633F6" w:rsidRDefault="008633F6" w:rsidP="00434290">
            <w:pPr>
              <w:pStyle w:val="TableBullet"/>
              <w:rPr>
                <w:rFonts w:eastAsia="Calibri"/>
              </w:rPr>
            </w:pPr>
            <w:r>
              <w:rPr>
                <w:rFonts w:eastAsia="Calibri"/>
              </w:rPr>
              <w:t xml:space="preserve">The RMP Rules provide a </w:t>
            </w:r>
            <w:r>
              <w:rPr>
                <w:rFonts w:eastAsia="Calibri"/>
                <w:b/>
                <w:bCs/>
              </w:rPr>
              <w:t>baseline</w:t>
            </w:r>
            <w:r>
              <w:rPr>
                <w:rFonts w:eastAsia="Calibri"/>
              </w:rPr>
              <w:t xml:space="preserve"> for sector resilience and security.</w:t>
            </w:r>
          </w:p>
          <w:p w14:paraId="396CF30E" w14:textId="77777777" w:rsidR="008633F6" w:rsidRDefault="008633F6" w:rsidP="00434290">
            <w:pPr>
              <w:pStyle w:val="TableBullet"/>
              <w:rPr>
                <w:rFonts w:eastAsia="Calibri"/>
              </w:rPr>
            </w:pPr>
            <w:r>
              <w:rPr>
                <w:rFonts w:eastAsia="Calibri"/>
              </w:rPr>
              <w:t xml:space="preserve">There is an </w:t>
            </w:r>
            <w:r>
              <w:rPr>
                <w:rFonts w:eastAsia="Calibri"/>
                <w:b/>
                <w:bCs/>
              </w:rPr>
              <w:t xml:space="preserve">appetite for guidance material </w:t>
            </w:r>
            <w:r>
              <w:rPr>
                <w:rFonts w:eastAsia="Calibri"/>
              </w:rPr>
              <w:t xml:space="preserve">to support sector-specific uplift in security and resilience.  </w:t>
            </w:r>
          </w:p>
          <w:p w14:paraId="793CF91F" w14:textId="7A5C6F42" w:rsidR="008633F6" w:rsidRPr="00434290" w:rsidRDefault="008633F6" w:rsidP="00434290">
            <w:pPr>
              <w:pStyle w:val="TableBullet"/>
              <w:rPr>
                <w:rFonts w:eastAsia="Calibri"/>
              </w:rPr>
            </w:pPr>
            <w:r>
              <w:rPr>
                <w:rFonts w:eastAsia="Calibri"/>
              </w:rPr>
              <w:t xml:space="preserve">Industry believe the RMP Rules will </w:t>
            </w:r>
            <w:r>
              <w:rPr>
                <w:rFonts w:eastAsia="Calibri"/>
                <w:b/>
                <w:bCs/>
              </w:rPr>
              <w:t>better facilitate alignment</w:t>
            </w:r>
            <w:r>
              <w:rPr>
                <w:rFonts w:eastAsia="Calibri"/>
              </w:rPr>
              <w:t xml:space="preserve"> between interdependent critical infrastructure sectors. </w:t>
            </w:r>
          </w:p>
        </w:tc>
        <w:tc>
          <w:tcPr>
            <w:tcW w:w="2282" w:type="pct"/>
            <w:hideMark/>
          </w:tcPr>
          <w:p w14:paraId="332E1718" w14:textId="77777777" w:rsidR="008633F6" w:rsidRDefault="008633F6" w:rsidP="00434290">
            <w:pPr>
              <w:rPr>
                <w:rFonts w:ascii="Arial" w:eastAsia="Calibri" w:hAnsi="Arial" w:cs="Arial"/>
                <w:szCs w:val="20"/>
              </w:rPr>
            </w:pPr>
            <w:r>
              <w:rPr>
                <w:rFonts w:ascii="Arial" w:eastAsia="Calibri" w:hAnsi="Arial" w:cs="Arial"/>
                <w:szCs w:val="20"/>
              </w:rPr>
              <w:t xml:space="preserve">In response to feedback received during the consultation sessions, the Department committed to: </w:t>
            </w:r>
          </w:p>
          <w:p w14:paraId="0A38BEE0" w14:textId="77777777" w:rsidR="008633F6" w:rsidRDefault="008633F6" w:rsidP="00434290">
            <w:pPr>
              <w:pStyle w:val="TableBullet"/>
              <w:rPr>
                <w:rFonts w:eastAsia="Calibri"/>
              </w:rPr>
            </w:pPr>
            <w:r>
              <w:rPr>
                <w:rFonts w:eastAsia="Calibri"/>
              </w:rPr>
              <w:t xml:space="preserve">The development of guidance materials, which would highlight aspects of risk management that should be prioritised by responsible entities and assist industry in interpreting and implementing the rules to achieve an uplift in security and resilience.  </w:t>
            </w:r>
          </w:p>
        </w:tc>
      </w:tr>
    </w:tbl>
    <w:p w14:paraId="06F87296" w14:textId="77777777" w:rsidR="008633F6" w:rsidRDefault="008633F6" w:rsidP="008E1A28">
      <w:pPr>
        <w:pStyle w:val="AppendixH2"/>
      </w:pPr>
      <w:r>
        <w:t xml:space="preserve">Consultation on costs </w:t>
      </w:r>
    </w:p>
    <w:p w14:paraId="04508FA8" w14:textId="77777777" w:rsidR="008633F6" w:rsidRDefault="008633F6" w:rsidP="004F6E47">
      <w:pPr>
        <w:pStyle w:val="BodyText"/>
      </w:pPr>
      <w:r>
        <w:t>During the second information session,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21A3C51F" w14:textId="77777777" w:rsidR="008633F6" w:rsidRDefault="008633F6" w:rsidP="004F6E47">
      <w:pPr>
        <w:pStyle w:val="Bullet1stlevel"/>
      </w:pPr>
      <w:r>
        <w:t xml:space="preserve">Their demographic information; </w:t>
      </w:r>
    </w:p>
    <w:p w14:paraId="22CE0CBB" w14:textId="77777777" w:rsidR="008633F6" w:rsidRDefault="008633F6" w:rsidP="004F6E47">
      <w:pPr>
        <w:pStyle w:val="Bullet1stlevel"/>
      </w:pPr>
      <w:r>
        <w:t xml:space="preserve">Effort and cost estimates split by one-off and ongoing costs, staff effort, capital and other operating costs, and an estimated range between expected costs and highest possible costs; and </w:t>
      </w:r>
    </w:p>
    <w:p w14:paraId="55CB2CF0" w14:textId="77777777" w:rsidR="008633F6" w:rsidRDefault="008633F6" w:rsidP="004F6E47">
      <w:pPr>
        <w:pStyle w:val="Bullet1stlevel"/>
      </w:pPr>
      <w:r>
        <w:t xml:space="preserve">Any comments on key boundaries, assumptions and cost drivers attached to the costing estimates provided. </w:t>
      </w:r>
    </w:p>
    <w:p w14:paraId="6E87C635" w14:textId="77777777" w:rsidR="008633F6" w:rsidRDefault="008633F6" w:rsidP="004F6E47">
      <w:pPr>
        <w:pStyle w:val="BodyText"/>
      </w:pPr>
      <w:r>
        <w:t xml:space="preserve">Industry was provided with the template on 29 November 2021, with submissions open for a period of </w:t>
      </w:r>
      <w:r>
        <w:rPr>
          <w:bCs/>
        </w:rPr>
        <w:t xml:space="preserve">4 </w:t>
      </w:r>
      <w:r>
        <w:t xml:space="preserve">weeks and closing on </w:t>
      </w:r>
      <w:r>
        <w:rPr>
          <w:bCs/>
        </w:rPr>
        <w:t>24 December 2021</w:t>
      </w:r>
      <w:r>
        <w:t>.</w:t>
      </w:r>
    </w:p>
    <w:p w14:paraId="69CBC2FB" w14:textId="77777777" w:rsidR="008633F6" w:rsidRDefault="008633F6" w:rsidP="004F6E47">
      <w:pPr>
        <w:pStyle w:val="BodyText"/>
      </w:pPr>
      <w:r>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Pr>
          <w:vertAlign w:val="superscript"/>
        </w:rPr>
        <w:footnoteReference w:id="159"/>
      </w:r>
      <w:r>
        <w:t xml:space="preserve"> </w:t>
      </w:r>
    </w:p>
    <w:p w14:paraId="49040E65" w14:textId="77777777" w:rsidR="000C3D44" w:rsidRDefault="000C3D44" w:rsidP="00561515">
      <w:pPr>
        <w:pStyle w:val="BodyText0"/>
        <w:spacing w:after="0"/>
        <w:rPr>
          <w:rFonts w:ascii="Arial" w:hAnsi="Arial" w:cs="Arial"/>
          <w:i/>
          <w:color w:val="034EA2" w:themeColor="accent1"/>
          <w:sz w:val="22"/>
        </w:rPr>
      </w:pPr>
      <w:r>
        <w:rPr>
          <w:rFonts w:ascii="Arial" w:hAnsi="Arial" w:cs="Arial"/>
          <w:i/>
          <w:color w:val="034EA2" w:themeColor="accent1"/>
          <w:sz w:val="22"/>
        </w:rPr>
        <w:br w:type="page"/>
      </w:r>
    </w:p>
    <w:p w14:paraId="3BA91228" w14:textId="7EE5AC56" w:rsidR="000C3D44" w:rsidRDefault="000C3D44" w:rsidP="008E1A28">
      <w:pPr>
        <w:pStyle w:val="AppendixH1"/>
      </w:pPr>
      <w:bookmarkStart w:id="594" w:name="_Toc121397417"/>
      <w:r w:rsidRPr="00C57B69">
        <w:lastRenderedPageBreak/>
        <w:t>Supplementary information for critical</w:t>
      </w:r>
      <w:r w:rsidRPr="006571C1">
        <w:t xml:space="preserve"> </w:t>
      </w:r>
      <w:r w:rsidR="00A337C2" w:rsidRPr="006571C1">
        <w:t>broadcasting</w:t>
      </w:r>
      <w:r w:rsidRPr="006571C1">
        <w:t xml:space="preserve"> assets</w:t>
      </w:r>
      <w:bookmarkEnd w:id="594"/>
    </w:p>
    <w:p w14:paraId="602A5DB9" w14:textId="77777777" w:rsidR="000C3D44" w:rsidRDefault="000C3D44" w:rsidP="008E1A28">
      <w:pPr>
        <w:pStyle w:val="AppendixH2"/>
      </w:pPr>
      <w:r>
        <w:t>Overview of the role of</w:t>
      </w:r>
      <w:r w:rsidR="00811902">
        <w:t xml:space="preserve"> broadcasting</w:t>
      </w:r>
      <w:r>
        <w:t xml:space="preserve"> in Australia</w:t>
      </w:r>
    </w:p>
    <w:p w14:paraId="545A7033" w14:textId="1C63C0BB" w:rsidR="00811902" w:rsidRDefault="00811902" w:rsidP="004F6E47">
      <w:pPr>
        <w:pStyle w:val="BodyText"/>
      </w:pPr>
      <w:r>
        <w:t xml:space="preserve">The broadcasting </w:t>
      </w:r>
      <w:r w:rsidR="005005CB">
        <w:t xml:space="preserve">asset class </w:t>
      </w:r>
      <w:r>
        <w:t xml:space="preserve">of the communications </w:t>
      </w:r>
      <w:r w:rsidR="005005CB">
        <w:t xml:space="preserve">sector </w:t>
      </w:r>
      <w:r>
        <w:t xml:space="preserve">is comprised of radio and television (free-to-air) </w:t>
      </w:r>
      <w:r w:rsidR="005005CB">
        <w:t>broadcasters</w:t>
      </w:r>
      <w:r>
        <w:t xml:space="preserve"> and plays a particularly important role in emergency management through the provision of forecasts and regular updates. Radio involves companies broadcasting audio signals using radio (electromagnetic) waves of frequencies between 30 hertz (Hz) and 300 gigahertz (GHz) to transmit programming. These are generated by an electronic device called a transmitter which is connected to an antenna, which radiates the waves, and is received by a radio receiver which is connected to another antenna</w:t>
      </w:r>
      <w:r w:rsidRPr="000F20CF">
        <w:rPr>
          <w:vertAlign w:val="superscript"/>
        </w:rPr>
        <w:footnoteReference w:id="160"/>
      </w:r>
      <w:r>
        <w:t>. The key providers of radio communications include Southern Cross Austereo (26% market share), A</w:t>
      </w:r>
      <w:r w:rsidR="005005CB">
        <w:t xml:space="preserve">ustralian </w:t>
      </w:r>
      <w:r>
        <w:t>B</w:t>
      </w:r>
      <w:r w:rsidR="005005CB">
        <w:t xml:space="preserve">roadcasting </w:t>
      </w:r>
      <w:r>
        <w:t>C</w:t>
      </w:r>
      <w:r w:rsidR="005005CB">
        <w:t>orporation (</w:t>
      </w:r>
      <w:r>
        <w:t>ABC</w:t>
      </w:r>
      <w:r w:rsidR="005005CB">
        <w:t>)</w:t>
      </w:r>
      <w:r>
        <w:t xml:space="preserve"> (21% market share) and Here, There, Everywhere (14% market share). </w:t>
      </w:r>
    </w:p>
    <w:p w14:paraId="2C8F473E" w14:textId="77777777" w:rsidR="00811902" w:rsidRDefault="00811902" w:rsidP="004F6E47">
      <w:pPr>
        <w:pStyle w:val="BodyText"/>
      </w:pPr>
      <w:r>
        <w:t>Television broadcasting refers to companies broadcasting visual content using over-the-air transmission networks. Unlike cable or satellite television, viewers of broadcast television do not have to pay to receive the programming. As a result, there are few non-advertising revenue sources for television broadcasters. This situation suits local stations, because they are doing quite well with four sources of advertising money: their share of national network advertising, their sale of advertising time during their own programming (mostly local news), their sale of advertising time during programming that they purchase from non</w:t>
      </w:r>
      <w:r w:rsidR="00924699">
        <w:t>-</w:t>
      </w:r>
      <w:r>
        <w:t>network sources (e.g., reruns of Seinfeld or new episodes of Oprah Winfrey), and their sale of local commercials during some pauses in network programming.  Major providers include Seven West Media (28% market share), Nine Entertainment (25% market share) and Network Ten (14% market share).</w:t>
      </w:r>
    </w:p>
    <w:p w14:paraId="0FACF2E3" w14:textId="77777777" w:rsidR="000C3D44" w:rsidRPr="00811902" w:rsidRDefault="00811902" w:rsidP="004F6E47">
      <w:pPr>
        <w:pStyle w:val="BodyText"/>
        <w:rPr>
          <w:color w:val="FF9933"/>
        </w:rPr>
      </w:pPr>
      <w:r>
        <w:t>Broadcast media play an important role in emergencies and national campaigns, both in disseminating and collecting information. As Australia’s economy expands, the need for heightened security and resilience in Australia’s critical broadcasting assets is increasing.</w:t>
      </w:r>
    </w:p>
    <w:p w14:paraId="78EEAE60" w14:textId="7C16E9CD" w:rsidR="008678F7" w:rsidRPr="002C1D31" w:rsidRDefault="008678F7" w:rsidP="004F6E47">
      <w:pPr>
        <w:pStyle w:val="BodyText"/>
      </w:pPr>
      <w:r w:rsidRPr="00374A1D">
        <w:t xml:space="preserve">The </w:t>
      </w:r>
      <w:r w:rsidR="00384419">
        <w:t>SOCI Act</w:t>
      </w:r>
      <w:r w:rsidRPr="00374A1D">
        <w:t xml:space="preserve"> refers to assets within a critical infrastructure sector as ‘critical infrastructure assets’. </w:t>
      </w:r>
      <w:r w:rsidR="009402B7">
        <w:t>S</w:t>
      </w:r>
      <w:r w:rsidRPr="002C1D31">
        <w:t xml:space="preserve">ection </w:t>
      </w:r>
      <w:r>
        <w:t>12E</w:t>
      </w:r>
      <w:r w:rsidRPr="002C1D31">
        <w:t xml:space="preserve"> of the </w:t>
      </w:r>
      <w:r w:rsidR="00384419">
        <w:t>SOCI Act</w:t>
      </w:r>
      <w:r w:rsidRPr="002C1D31">
        <w:t xml:space="preserve"> prov</w:t>
      </w:r>
      <w:r w:rsidR="009402B7">
        <w:t>es</w:t>
      </w:r>
      <w:r w:rsidRPr="002C1D31">
        <w:t xml:space="preserve"> the following in relation to ‘critical broadcasting assets’</w:t>
      </w:r>
      <w:r>
        <w:t>:</w:t>
      </w:r>
    </w:p>
    <w:p w14:paraId="77A496C0" w14:textId="77777777" w:rsidR="008678F7" w:rsidRPr="009278DF" w:rsidRDefault="008678F7" w:rsidP="007272B6">
      <w:pPr>
        <w:autoSpaceDE w:val="0"/>
        <w:autoSpaceDN w:val="0"/>
        <w:adjustRightInd w:val="0"/>
        <w:spacing w:after="160" w:line="259" w:lineRule="auto"/>
        <w:rPr>
          <w:rFonts w:asciiTheme="majorHAnsi" w:eastAsia="Calibri" w:hAnsiTheme="majorHAnsi" w:cstheme="majorHAnsi"/>
          <w:i/>
          <w:iCs/>
          <w:sz w:val="22"/>
        </w:rPr>
      </w:pPr>
      <w:r w:rsidRPr="009278DF">
        <w:rPr>
          <w:rFonts w:asciiTheme="majorHAnsi" w:eastAsia="Calibri" w:hAnsiTheme="majorHAnsi" w:cstheme="majorHAnsi"/>
          <w:i/>
          <w:iCs/>
          <w:sz w:val="22"/>
        </w:rPr>
        <w:t xml:space="preserve">12E Meaning of </w:t>
      </w:r>
      <w:r w:rsidRPr="009278DF">
        <w:rPr>
          <w:rFonts w:asciiTheme="majorHAnsi" w:eastAsia="Times New Roman" w:hAnsiTheme="majorHAnsi" w:cstheme="majorHAnsi"/>
          <w:b/>
          <w:bCs/>
          <w:i/>
          <w:iCs/>
          <w:sz w:val="22"/>
        </w:rPr>
        <w:t>critical broadcasting asset</w:t>
      </w:r>
      <w:r w:rsidRPr="009278DF">
        <w:rPr>
          <w:rFonts w:asciiTheme="majorHAnsi" w:eastAsia="Calibri" w:hAnsiTheme="majorHAnsi" w:cstheme="majorHAnsi"/>
          <w:i/>
          <w:iCs/>
          <w:sz w:val="22"/>
        </w:rPr>
        <w:t>:</w:t>
      </w:r>
    </w:p>
    <w:p w14:paraId="003849F3" w14:textId="77777777" w:rsidR="008678F7" w:rsidRPr="000F20CF" w:rsidRDefault="008678F7" w:rsidP="007F265A">
      <w:pPr>
        <w:pStyle w:val="ListParagraph"/>
        <w:numPr>
          <w:ilvl w:val="0"/>
          <w:numId w:val="128"/>
        </w:numPr>
        <w:spacing w:before="18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One or more broadcasting transmission assets are a </w:t>
      </w:r>
      <w:r w:rsidRPr="009807CA">
        <w:rPr>
          <w:rFonts w:asciiTheme="majorHAnsi" w:hAnsiTheme="majorHAnsi" w:cstheme="majorHAnsi"/>
          <w:b/>
          <w:i/>
          <w:color w:val="000000"/>
        </w:rPr>
        <w:t>critical broadcasting asset</w:t>
      </w:r>
      <w:r w:rsidRPr="000F20CF">
        <w:rPr>
          <w:rFonts w:asciiTheme="majorHAnsi" w:hAnsiTheme="majorHAnsi" w:cstheme="majorHAnsi"/>
          <w:i/>
          <w:color w:val="000000"/>
        </w:rPr>
        <w:t> if:</w:t>
      </w:r>
    </w:p>
    <w:p w14:paraId="0A79AF0B" w14:textId="77777777" w:rsidR="008678F7" w:rsidRPr="000F20CF" w:rsidRDefault="008678F7" w:rsidP="007F265A">
      <w:pPr>
        <w:pStyle w:val="ListParagraph"/>
        <w:numPr>
          <w:ilvl w:val="0"/>
          <w:numId w:val="125"/>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the broadcasting transmission assets are:</w:t>
      </w:r>
    </w:p>
    <w:p w14:paraId="793D0293" w14:textId="77777777" w:rsidR="008678F7" w:rsidRPr="000F20CF" w:rsidRDefault="008678F7" w:rsidP="007F265A">
      <w:pPr>
        <w:pStyle w:val="ListParagraph"/>
        <w:numPr>
          <w:ilvl w:val="0"/>
          <w:numId w:val="126"/>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owned or operated by the same entity; and</w:t>
      </w:r>
    </w:p>
    <w:p w14:paraId="3498B7DB" w14:textId="77777777" w:rsidR="008678F7" w:rsidRPr="000F20CF" w:rsidRDefault="008678F7" w:rsidP="007F265A">
      <w:pPr>
        <w:pStyle w:val="ListParagraph"/>
        <w:numPr>
          <w:ilvl w:val="0"/>
          <w:numId w:val="126"/>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located on a site that, in accordance with subsection (2), is a critical transmission site; or</w:t>
      </w:r>
    </w:p>
    <w:p w14:paraId="61D21DDB" w14:textId="77777777" w:rsidR="008678F7" w:rsidRPr="000F20CF" w:rsidRDefault="008678F7" w:rsidP="007F265A">
      <w:pPr>
        <w:pStyle w:val="ListParagraph"/>
        <w:numPr>
          <w:ilvl w:val="0"/>
          <w:numId w:val="125"/>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the broadcasting transmission assets are:</w:t>
      </w:r>
    </w:p>
    <w:p w14:paraId="54D03778" w14:textId="77777777" w:rsidR="008678F7" w:rsidRPr="000F20CF" w:rsidRDefault="008678F7" w:rsidP="007F265A">
      <w:pPr>
        <w:pStyle w:val="ListParagraph"/>
        <w:numPr>
          <w:ilvl w:val="0"/>
          <w:numId w:val="127"/>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owned or operated by the same entity; and</w:t>
      </w:r>
    </w:p>
    <w:p w14:paraId="52ECD96C" w14:textId="77777777" w:rsidR="008678F7" w:rsidRPr="000F20CF" w:rsidRDefault="008678F7" w:rsidP="007F265A">
      <w:pPr>
        <w:pStyle w:val="ListParagraph"/>
        <w:numPr>
          <w:ilvl w:val="0"/>
          <w:numId w:val="127"/>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located on at least 50 different sites; and</w:t>
      </w:r>
    </w:p>
    <w:p w14:paraId="635DF47A" w14:textId="77777777" w:rsidR="008678F7" w:rsidRPr="000F20CF" w:rsidRDefault="008678F7" w:rsidP="007F265A">
      <w:pPr>
        <w:pStyle w:val="ListParagraph"/>
        <w:numPr>
          <w:ilvl w:val="0"/>
          <w:numId w:val="127"/>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not broadcasting re</w:t>
      </w:r>
      <w:r w:rsidRPr="000F20CF">
        <w:rPr>
          <w:rFonts w:asciiTheme="majorHAnsi" w:hAnsiTheme="majorHAnsi" w:cstheme="majorHAnsi"/>
          <w:i/>
          <w:color w:val="000000"/>
        </w:rPr>
        <w:noBreakHyphen/>
        <w:t>transmission assets; or</w:t>
      </w:r>
    </w:p>
    <w:p w14:paraId="2678C9E8" w14:textId="77777777" w:rsidR="008678F7" w:rsidRPr="000F20CF" w:rsidRDefault="008678F7" w:rsidP="007F265A">
      <w:pPr>
        <w:pStyle w:val="ListParagraph"/>
        <w:numPr>
          <w:ilvl w:val="0"/>
          <w:numId w:val="125"/>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the broadcasting transmission assets are owned or operated by an entity that, in accordance with subsection (3), is critical to the transmission of a broadcasting service.</w:t>
      </w:r>
    </w:p>
    <w:p w14:paraId="02E69E1B" w14:textId="77777777" w:rsidR="008678F7" w:rsidRPr="000F20CF" w:rsidRDefault="008678F7" w:rsidP="007272B6">
      <w:pPr>
        <w:spacing w:before="122"/>
        <w:ind w:left="1985" w:hanging="851"/>
        <w:rPr>
          <w:rFonts w:asciiTheme="majorHAnsi" w:eastAsia="Times New Roman" w:hAnsiTheme="majorHAnsi" w:cstheme="majorHAnsi"/>
          <w:i/>
          <w:color w:val="000000"/>
          <w:sz w:val="22"/>
          <w:lang w:eastAsia="en-AU"/>
        </w:rPr>
      </w:pPr>
      <w:r w:rsidRPr="000F20CF">
        <w:rPr>
          <w:rFonts w:asciiTheme="majorHAnsi" w:eastAsia="Times New Roman" w:hAnsiTheme="majorHAnsi" w:cstheme="majorHAnsi"/>
          <w:i/>
          <w:color w:val="000000"/>
          <w:sz w:val="22"/>
          <w:lang w:eastAsia="en-AU"/>
        </w:rPr>
        <w:lastRenderedPageBreak/>
        <w:t>Note: The rules may prescribe that a specified critical broadcasting asset is not a critical infrastructure asset (see section 9).</w:t>
      </w:r>
    </w:p>
    <w:p w14:paraId="644C1699" w14:textId="77777777" w:rsidR="008678F7" w:rsidRPr="000F20CF" w:rsidRDefault="008678F7" w:rsidP="007F265A">
      <w:pPr>
        <w:pStyle w:val="ListParagraph"/>
        <w:numPr>
          <w:ilvl w:val="0"/>
          <w:numId w:val="128"/>
        </w:numPr>
        <w:spacing w:before="18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For the purposes of paragraph (1)(a), the rules may prescribe:</w:t>
      </w:r>
    </w:p>
    <w:p w14:paraId="560BCC8A" w14:textId="77777777" w:rsidR="008678F7" w:rsidRPr="000F20CF" w:rsidRDefault="008678F7" w:rsidP="007F265A">
      <w:pPr>
        <w:pStyle w:val="ListParagraph"/>
        <w:numPr>
          <w:ilvl w:val="0"/>
          <w:numId w:val="129"/>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specified sites that are critical transmission sites; or</w:t>
      </w:r>
    </w:p>
    <w:p w14:paraId="1DB2BCA0" w14:textId="77777777" w:rsidR="008678F7" w:rsidRPr="000F20CF" w:rsidRDefault="008678F7" w:rsidP="007F265A">
      <w:pPr>
        <w:pStyle w:val="ListParagraph"/>
        <w:numPr>
          <w:ilvl w:val="0"/>
          <w:numId w:val="129"/>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requirements for sites to be critical transmission sites.</w:t>
      </w:r>
    </w:p>
    <w:p w14:paraId="6CFB0E94" w14:textId="77777777" w:rsidR="008678F7" w:rsidRPr="000F20CF" w:rsidRDefault="008678F7" w:rsidP="007F265A">
      <w:pPr>
        <w:pStyle w:val="ListParagraph"/>
        <w:numPr>
          <w:ilvl w:val="0"/>
          <w:numId w:val="128"/>
        </w:numPr>
        <w:spacing w:before="18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For the purposes of paragraph (1)(c), the rules may prescribe:</w:t>
      </w:r>
    </w:p>
    <w:p w14:paraId="766B3667" w14:textId="77777777" w:rsidR="008678F7" w:rsidRPr="000F20CF" w:rsidRDefault="008678F7" w:rsidP="007F265A">
      <w:pPr>
        <w:pStyle w:val="ListParagraph"/>
        <w:numPr>
          <w:ilvl w:val="0"/>
          <w:numId w:val="130"/>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Bidi"/>
          <w:i/>
          <w:color w:val="000000" w:themeColor="text1"/>
        </w:rPr>
        <w:t>specified entities that are critical to the transmission of a broadcasting service; or</w:t>
      </w:r>
    </w:p>
    <w:p w14:paraId="0A130A54" w14:textId="77777777" w:rsidR="003A0F01" w:rsidRPr="000F20CF" w:rsidRDefault="008678F7" w:rsidP="007F265A">
      <w:pPr>
        <w:pStyle w:val="ListParagraph"/>
        <w:numPr>
          <w:ilvl w:val="0"/>
          <w:numId w:val="130"/>
        </w:numPr>
        <w:spacing w:before="40" w:after="120" w:line="264" w:lineRule="auto"/>
        <w:contextualSpacing w:val="0"/>
        <w:rPr>
          <w:rFonts w:asciiTheme="majorHAnsi" w:hAnsiTheme="majorHAnsi" w:cstheme="majorHAnsi"/>
          <w:i/>
          <w:color w:val="000000"/>
        </w:rPr>
      </w:pPr>
      <w:r w:rsidRPr="000F20CF">
        <w:rPr>
          <w:rFonts w:asciiTheme="majorHAnsi" w:hAnsiTheme="majorHAnsi" w:cstheme="majorHAnsi"/>
          <w:i/>
          <w:color w:val="000000"/>
        </w:rPr>
        <w:t>requirements for an entity to be critical to the transmission of a broadcasting service.</w:t>
      </w:r>
    </w:p>
    <w:p w14:paraId="177FE434" w14:textId="129E1CC0" w:rsidR="00A04E4E" w:rsidRPr="00374F22" w:rsidRDefault="00A04E4E" w:rsidP="004F6E47">
      <w:pPr>
        <w:pStyle w:val="BodyText"/>
        <w:rPr>
          <w:rFonts w:eastAsia="Times New Roman"/>
          <w:color w:val="000000"/>
        </w:rPr>
      </w:pPr>
      <w:r w:rsidRPr="00374F22">
        <w:t>The Department, on 23 May 2021, published a policy paper Protecting Critical Infrastructure and Systems of National Significance – Draft Critical Infrastructure Asset Definition Rules (2021) (the Policy Paper). In the Policy Paper</w:t>
      </w:r>
      <w:r w:rsidRPr="00374F22">
        <w:rPr>
          <w:rFonts w:eastAsia="Times New Roman"/>
          <w:color w:val="000000"/>
        </w:rPr>
        <w:t>,</w:t>
      </w:r>
      <w:r w:rsidRPr="00374F22">
        <w:rPr>
          <w:color w:val="000000"/>
          <w:vertAlign w:val="superscript"/>
        </w:rPr>
        <w:footnoteReference w:id="161"/>
      </w:r>
      <w:r w:rsidRPr="00374F22">
        <w:rPr>
          <w:rFonts w:eastAsia="Times New Roman"/>
          <w:color w:val="000000"/>
        </w:rPr>
        <w:t xml:space="preserve"> the Department states its intention to recommend the Minister make rules prescribe assets that are owned or operated by TX Australia to be critical broadcasting assets, as TX Australia services a variety of major broadcasters, which otherwise do not meet the ‘at least 50 sites’ threshold under section 12E(b)(ii) of the </w:t>
      </w:r>
      <w:r w:rsidR="001F0A77">
        <w:rPr>
          <w:rFonts w:eastAsia="Times New Roman"/>
          <w:color w:val="000000"/>
        </w:rPr>
        <w:t>Act</w:t>
      </w:r>
      <w:r w:rsidRPr="00374F22">
        <w:rPr>
          <w:rFonts w:eastAsia="Times New Roman"/>
          <w:color w:val="000000"/>
        </w:rPr>
        <w:t xml:space="preserve">. </w:t>
      </w:r>
    </w:p>
    <w:p w14:paraId="20624E66" w14:textId="4CE0BF61" w:rsidR="00A04E4E" w:rsidRPr="00736523" w:rsidRDefault="00A04E4E" w:rsidP="004F6E47">
      <w:pPr>
        <w:pStyle w:val="BodyText"/>
        <w:rPr>
          <w:spacing w:val="-4"/>
        </w:rPr>
      </w:pPr>
      <w:r w:rsidRPr="00736523">
        <w:rPr>
          <w:spacing w:val="-4"/>
        </w:rPr>
        <w:t xml:space="preserve">TX Australia is a major broadcast transmission operator and provides television transmission for </w:t>
      </w:r>
      <w:r w:rsidRPr="00736523">
        <w:rPr>
          <w:rFonts w:eastAsia="Times New Roman"/>
          <w:spacing w:val="-4"/>
        </w:rPr>
        <w:t>broadcasters</w:t>
      </w:r>
      <w:r w:rsidRPr="00736523">
        <w:rPr>
          <w:spacing w:val="-4"/>
        </w:rPr>
        <w:t xml:space="preserve">, including for commercial metropolitan television networks Seven, Nine and Ten. TX Australia will not be expected to be captured by the ‘at least 50 sites’ threshold. It is expected that BAI Communications will be captured by the ‘at least 50 sites’ threshold’. BAI Communication is appointed to operate and maintain the broadcast network for the ABC, </w:t>
      </w:r>
      <w:r w:rsidR="005005CB" w:rsidRPr="00736523">
        <w:rPr>
          <w:spacing w:val="-4"/>
        </w:rPr>
        <w:t xml:space="preserve">the </w:t>
      </w:r>
      <w:r w:rsidRPr="00736523">
        <w:rPr>
          <w:spacing w:val="-4"/>
        </w:rPr>
        <w:t>S</w:t>
      </w:r>
      <w:r w:rsidR="005005CB" w:rsidRPr="00736523">
        <w:rPr>
          <w:spacing w:val="-4"/>
        </w:rPr>
        <w:t xml:space="preserve">pecial </w:t>
      </w:r>
      <w:r w:rsidRPr="00736523">
        <w:rPr>
          <w:spacing w:val="-4"/>
        </w:rPr>
        <w:t>B</w:t>
      </w:r>
      <w:r w:rsidR="005005CB" w:rsidRPr="00736523">
        <w:rPr>
          <w:spacing w:val="-4"/>
        </w:rPr>
        <w:t xml:space="preserve">roadcasting </w:t>
      </w:r>
      <w:r w:rsidRPr="00736523">
        <w:rPr>
          <w:spacing w:val="-4"/>
        </w:rPr>
        <w:t>S</w:t>
      </w:r>
      <w:r w:rsidR="005005CB" w:rsidRPr="00736523">
        <w:rPr>
          <w:spacing w:val="-4"/>
        </w:rPr>
        <w:t>ervice (</w:t>
      </w:r>
      <w:r w:rsidRPr="00736523">
        <w:rPr>
          <w:spacing w:val="-4"/>
        </w:rPr>
        <w:t>SBS</w:t>
      </w:r>
      <w:r w:rsidR="005005CB" w:rsidRPr="00736523">
        <w:rPr>
          <w:spacing w:val="-4"/>
        </w:rPr>
        <w:t>)</w:t>
      </w:r>
      <w:r w:rsidRPr="00736523">
        <w:rPr>
          <w:spacing w:val="-4"/>
        </w:rPr>
        <w:t xml:space="preserve">, Network 10, Southern Cross Australian Austereo and the NSW Public Safety Network. </w:t>
      </w:r>
    </w:p>
    <w:p w14:paraId="766658AC" w14:textId="77777777" w:rsidR="000C3D44" w:rsidRDefault="000C3D44" w:rsidP="008E1A28">
      <w:pPr>
        <w:pStyle w:val="AppendixH2"/>
      </w:pPr>
      <w:r>
        <w:t xml:space="preserve">Impacts of a disruption to </w:t>
      </w:r>
      <w:r w:rsidR="00811902">
        <w:t>critical broadcasting assets</w:t>
      </w:r>
    </w:p>
    <w:p w14:paraId="4F64B279" w14:textId="77777777" w:rsidR="00811902" w:rsidRDefault="00811902" w:rsidP="00736523">
      <w:pPr>
        <w:pStyle w:val="BodyText"/>
        <w:spacing w:before="80" w:after="80"/>
      </w:pPr>
      <w:r>
        <w:t>The consequences of a prolonged and widespread disruption to a critical broadcasting asset may include:</w:t>
      </w:r>
    </w:p>
    <w:p w14:paraId="651FACB0" w14:textId="77777777" w:rsidR="00811902" w:rsidRDefault="00811902" w:rsidP="00736523">
      <w:pPr>
        <w:pStyle w:val="Bullet1stlevel"/>
        <w:spacing w:before="80" w:after="80"/>
      </w:pPr>
      <w:r>
        <w:t>Disruption to telecommunication networks and live broadcasting services</w:t>
      </w:r>
    </w:p>
    <w:p w14:paraId="0B30C8E3" w14:textId="77777777" w:rsidR="00811902" w:rsidRDefault="00811902" w:rsidP="00736523">
      <w:pPr>
        <w:pStyle w:val="Bullet1stlevel"/>
        <w:spacing w:before="80" w:after="80"/>
      </w:pPr>
      <w:r>
        <w:t xml:space="preserve">Disruption in emergency telecommunication arrangements and information for community preparedness and responsibility in times of emergency </w:t>
      </w:r>
    </w:p>
    <w:p w14:paraId="699763FC" w14:textId="77777777" w:rsidR="00811902" w:rsidRDefault="00811902" w:rsidP="00736523">
      <w:pPr>
        <w:pStyle w:val="Bullet1stlevel"/>
        <w:spacing w:before="80" w:after="80"/>
      </w:pPr>
      <w:r>
        <w:t>Inability for businesses and governments to function as normal</w:t>
      </w:r>
    </w:p>
    <w:p w14:paraId="6FE3AB3D" w14:textId="77777777" w:rsidR="00811902" w:rsidRDefault="00811902" w:rsidP="00736523">
      <w:pPr>
        <w:pStyle w:val="Bullet1stlevel"/>
        <w:spacing w:before="80" w:after="80"/>
      </w:pPr>
      <w:r>
        <w:t>Disruption to network coverage and consumers services</w:t>
      </w:r>
    </w:p>
    <w:p w14:paraId="0C2D2432" w14:textId="77777777" w:rsidR="00811902" w:rsidRDefault="00811902" w:rsidP="00736523">
      <w:pPr>
        <w:pStyle w:val="Bullet1stlevel"/>
        <w:spacing w:before="80" w:after="80"/>
      </w:pPr>
      <w:r>
        <w:t xml:space="preserve">Breach of privacy and customer data </w:t>
      </w:r>
    </w:p>
    <w:p w14:paraId="3AD24E55" w14:textId="77777777" w:rsidR="00811902" w:rsidRDefault="00811902" w:rsidP="00736523">
      <w:pPr>
        <w:pStyle w:val="Bullet1stlevel"/>
        <w:spacing w:before="80" w:after="80"/>
      </w:pPr>
      <w:r>
        <w:t xml:space="preserve">Unauthorised access to communication channels for surveillance and incorporating malicious software </w:t>
      </w:r>
    </w:p>
    <w:p w14:paraId="3113E740" w14:textId="77777777" w:rsidR="00811902" w:rsidRDefault="00811902" w:rsidP="00736523">
      <w:pPr>
        <w:pStyle w:val="Bullet1stlevel"/>
        <w:spacing w:before="80" w:after="80"/>
      </w:pPr>
      <w:r>
        <w:t>Disruption to IT services, systems and business operations</w:t>
      </w:r>
    </w:p>
    <w:p w14:paraId="639B49F4" w14:textId="77777777" w:rsidR="000C3D44" w:rsidRDefault="00811902" w:rsidP="00736523">
      <w:pPr>
        <w:pStyle w:val="Bullet1stlevel"/>
        <w:spacing w:before="80" w:after="80"/>
      </w:pPr>
      <w:r>
        <w:t>Disruption to information sharing to public on current, domestic and international affairs.</w:t>
      </w:r>
    </w:p>
    <w:p w14:paraId="57710F53" w14:textId="77777777" w:rsidR="000C3D44" w:rsidRDefault="000C3D44" w:rsidP="008E1A28">
      <w:pPr>
        <w:pStyle w:val="AppendixH2"/>
      </w:pPr>
      <w:r>
        <w:t xml:space="preserve">Examples of disruptions to </w:t>
      </w:r>
      <w:r w:rsidR="00811902">
        <w:t>critical broadcasting assets</w:t>
      </w:r>
      <w:r>
        <w:t xml:space="preserve"> – domestic and international</w:t>
      </w:r>
    </w:p>
    <w:p w14:paraId="2765BC65" w14:textId="651ABB10" w:rsidR="00811902" w:rsidRDefault="000F3A0E" w:rsidP="004F6E47">
      <w:pPr>
        <w:pStyle w:val="BodyText"/>
      </w:pPr>
      <w:r>
        <w:t>I</w:t>
      </w:r>
      <w:r w:rsidR="00811902">
        <w:t xml:space="preserve">n the summer of 2020, the ABC’s radio and TV networks sustained heavy damage from the bushfire crisis across NSW and Victoria, forcing the national broadcaster to call on the military and </w:t>
      </w:r>
      <w:r w:rsidR="00811902">
        <w:lastRenderedPageBreak/>
        <w:t>members of the public to maintain emergency broadcasting. The transmitter in the South Coast of NSW, melted and communications and the community were unable to receive or transmit radio coverage</w:t>
      </w:r>
      <w:r w:rsidR="00891A93">
        <w:t>.</w:t>
      </w:r>
      <w:r w:rsidR="00811902">
        <w:rPr>
          <w:rStyle w:val="FootnoteReference"/>
          <w:rFonts w:ascii="Arial" w:eastAsia="Calibri" w:hAnsi="Arial" w:cs="Arial"/>
        </w:rPr>
        <w:footnoteReference w:id="162"/>
      </w:r>
      <w:r w:rsidR="00811902">
        <w:t xml:space="preserve"> The transmitter equipment </w:t>
      </w:r>
      <w:r w:rsidR="005005CB">
        <w:t>took months to repair</w:t>
      </w:r>
      <w:r w:rsidR="00811902">
        <w:t xml:space="preserve"> before it became completely operational again. This resulted in the community not receiving proper coverage and relying on interim measures, and even then, services were not at full capacity. The cost of restoring the infrastructure was between $1.5 million and $2 million</w:t>
      </w:r>
      <w:r w:rsidR="00891A93">
        <w:t>.</w:t>
      </w:r>
      <w:r w:rsidR="00811902">
        <w:rPr>
          <w:rStyle w:val="FootnoteReference"/>
          <w:rFonts w:ascii="Arial" w:eastAsia="Calibri" w:hAnsi="Arial" w:cs="Arial"/>
        </w:rPr>
        <w:footnoteReference w:id="163"/>
      </w:r>
      <w:r w:rsidR="00811902">
        <w:t xml:space="preserve"> This demonstrates that broadcast towers remain as the ‘weakest’ link during emergency broadcasts as the infrastructure is vulnerable to fires. Communicating accurate emergency information is vital and can disrupt other sectors when there is not transmission of information available. </w:t>
      </w:r>
    </w:p>
    <w:p w14:paraId="04F92EFC" w14:textId="4D8731F3" w:rsidR="00992452" w:rsidRDefault="00811902" w:rsidP="004F6E47">
      <w:pPr>
        <w:pStyle w:val="BodyText"/>
      </w:pPr>
      <w:r>
        <w:rPr>
          <w:color w:val="000000"/>
        </w:rPr>
        <w:t xml:space="preserve">Other past incidents, in both Australia and overseas, demonstrate the potentially severe, cascading consequences of </w:t>
      </w:r>
      <w:r>
        <w:t xml:space="preserve">prolonged disruption in any critical infrastructure sector – for that sector itself, for other critical infrastructure sectors, and for the affected national economy. The following series of case studies, each categorised by its relevant </w:t>
      </w:r>
      <w:r w:rsidR="006B3927">
        <w:t>hazard domain</w:t>
      </w:r>
      <w:r>
        <w:t xml:space="preserve"> or domains, demonstrate these consequences, in the context of critical broadcasting assets. While some are drawn from overseas, these case studies highlight a clear imperative for decisive action, in order to prevent the occurrence of similar, or further, incidents for Australia’s critical broadcasting assets.</w:t>
      </w:r>
    </w:p>
    <w:tbl>
      <w:tblPr>
        <w:tblStyle w:val="GridTable2-Accent51"/>
        <w:tblW w:w="5000" w:type="pct"/>
        <w:tblBorders>
          <w:top w:val="none" w:sz="0" w:space="0" w:color="auto"/>
          <w:bottom w:val="single" w:sz="4" w:space="0" w:color="BFBFBF" w:themeColor="background1" w:themeShade="BF"/>
          <w:insideH w:val="single" w:sz="4" w:space="0" w:color="BFBFBF" w:themeColor="background1" w:themeShade="BF"/>
          <w:insideV w:val="none" w:sz="0" w:space="0" w:color="auto"/>
        </w:tblBorders>
        <w:tblLook w:val="0600" w:firstRow="0" w:lastRow="0" w:firstColumn="0" w:lastColumn="0" w:noHBand="1" w:noVBand="1"/>
      </w:tblPr>
      <w:tblGrid>
        <w:gridCol w:w="7086"/>
        <w:gridCol w:w="2552"/>
      </w:tblGrid>
      <w:tr w:rsidR="009739FE" w14:paraId="3CC85CE7" w14:textId="77777777" w:rsidTr="009F2CC0">
        <w:trPr>
          <w:cantSplit/>
        </w:trPr>
        <w:tc>
          <w:tcPr>
            <w:tcW w:w="3676" w:type="pct"/>
            <w:shd w:val="clear" w:color="auto" w:fill="034EA2" w:themeFill="accent1"/>
            <w:hideMark/>
          </w:tcPr>
          <w:p w14:paraId="29C7DAF1" w14:textId="77777777" w:rsidR="00A73C54" w:rsidRDefault="00A73C54" w:rsidP="00960C4C">
            <w:pPr>
              <w:pStyle w:val="TableHeading"/>
              <w:rPr>
                <w:rFonts w:ascii="Calibri" w:eastAsia="Calibri" w:hAnsi="Calibri" w:cs="Times New Roman"/>
              </w:rPr>
            </w:pPr>
            <w:r w:rsidRPr="006B54FC">
              <w:t>Channel Nine Network Cyber Attack</w:t>
            </w:r>
          </w:p>
        </w:tc>
        <w:tc>
          <w:tcPr>
            <w:tcW w:w="1324" w:type="pct"/>
            <w:shd w:val="clear" w:color="auto" w:fill="007BC3" w:themeFill="accent2"/>
            <w:vAlign w:val="center"/>
            <w:hideMark/>
          </w:tcPr>
          <w:p w14:paraId="7327111C" w14:textId="77777777" w:rsidR="00A73C54" w:rsidRDefault="00A73C54" w:rsidP="00960C4C">
            <w:pPr>
              <w:pStyle w:val="Tableriskcategory"/>
            </w:pPr>
            <w:r>
              <w:t>Cyber security</w:t>
            </w:r>
          </w:p>
        </w:tc>
      </w:tr>
      <w:tr w:rsidR="00A73C54" w14:paraId="4F236899" w14:textId="77777777" w:rsidTr="009F2CC0">
        <w:trPr>
          <w:cantSplit/>
        </w:trPr>
        <w:tc>
          <w:tcPr>
            <w:tcW w:w="5000" w:type="pct"/>
            <w:gridSpan w:val="2"/>
            <w:shd w:val="clear" w:color="auto" w:fill="FFFFFF"/>
            <w:hideMark/>
          </w:tcPr>
          <w:p w14:paraId="6DA0DBF6" w14:textId="77777777" w:rsidR="00A73C54" w:rsidRDefault="00A73C54" w:rsidP="00960C4C">
            <w:pPr>
              <w:pStyle w:val="TableBody"/>
              <w:rPr>
                <w:b/>
                <w:bCs/>
              </w:rPr>
            </w:pPr>
            <w:r w:rsidRPr="009F2CC0">
              <w:rPr>
                <w:b/>
                <w:bCs/>
              </w:rPr>
              <w:t>Situation</w:t>
            </w:r>
            <w:r>
              <w:t>:  On 29 March 2021, the Nine Network became the target of Australia's largest cyber-attack on a media company. For more than 24 hours, the cyberattack affected digital production systems and impaired Channel Nine's ability to broadcast from its Sydney studios, forcing the network to relocate operations to its Melbourne studios.</w:t>
            </w:r>
          </w:p>
        </w:tc>
      </w:tr>
      <w:tr w:rsidR="00A73C54" w14:paraId="262C690B" w14:textId="77777777" w:rsidTr="009F2CC0">
        <w:trPr>
          <w:cantSplit/>
        </w:trPr>
        <w:tc>
          <w:tcPr>
            <w:tcW w:w="5000" w:type="pct"/>
            <w:gridSpan w:val="2"/>
            <w:shd w:val="clear" w:color="auto" w:fill="F2F2F2" w:themeFill="accent6"/>
            <w:hideMark/>
          </w:tcPr>
          <w:p w14:paraId="1C7095B8" w14:textId="081CAC30" w:rsidR="00A73C54" w:rsidRDefault="00A73C54" w:rsidP="00960C4C">
            <w:pPr>
              <w:pStyle w:val="TableBody"/>
              <w:rPr>
                <w:b/>
                <w:bCs/>
              </w:rPr>
            </w:pPr>
            <w:r w:rsidRPr="009F2CC0">
              <w:rPr>
                <w:b/>
                <w:bCs/>
              </w:rPr>
              <w:t>Outcome</w:t>
            </w:r>
            <w:r>
              <w:t xml:space="preserve">:  As a result of the attack, data and production systems were temporarily unavailable. Additionally, the cyber-attack impacted regular news bulletins and </w:t>
            </w:r>
            <w:r w:rsidR="005005CB">
              <w:t xml:space="preserve">impeded </w:t>
            </w:r>
            <w:r>
              <w:t xml:space="preserve">the Australian Financial Review, The Sydney Morning Herald, and The Age's </w:t>
            </w:r>
            <w:r w:rsidR="005005CB">
              <w:t xml:space="preserve">ability </w:t>
            </w:r>
            <w:r>
              <w:t>to publish. According to estimates, the cyber-attack on the network is expected to cost the network more than $1 million dollars, in addition to significant recovery expenses.</w:t>
            </w:r>
          </w:p>
        </w:tc>
      </w:tr>
      <w:tr w:rsidR="00A73C54" w14:paraId="2F7AB9BE" w14:textId="77777777" w:rsidTr="009F2CC0">
        <w:trPr>
          <w:cantSplit/>
          <w:trHeight w:val="279"/>
        </w:trPr>
        <w:tc>
          <w:tcPr>
            <w:tcW w:w="5000" w:type="pct"/>
            <w:gridSpan w:val="2"/>
            <w:shd w:val="clear" w:color="auto" w:fill="FFFFFF"/>
            <w:hideMark/>
          </w:tcPr>
          <w:p w14:paraId="10C6A37D" w14:textId="77777777" w:rsidR="00A73C54" w:rsidRDefault="00A73C54" w:rsidP="00960C4C">
            <w:pPr>
              <w:pStyle w:val="TableBody"/>
              <w:rPr>
                <w:rFonts w:ascii="PT Serif" w:hAnsi="PT Serif"/>
                <w:sz w:val="27"/>
                <w:szCs w:val="27"/>
                <w:shd w:val="clear" w:color="auto" w:fill="FFFFFF"/>
              </w:rPr>
            </w:pPr>
            <w:r w:rsidRPr="009F2CC0">
              <w:rPr>
                <w:rFonts w:ascii="Arial" w:eastAsia="Times New Roman" w:hAnsi="Arial" w:cs="Arial"/>
                <w:b/>
                <w:bCs/>
              </w:rPr>
              <w:t>Identified Gap</w:t>
            </w:r>
            <w:r>
              <w:rPr>
                <w:rFonts w:ascii="Arial" w:eastAsia="Times New Roman" w:hAnsi="Arial" w:cs="Arial"/>
              </w:rPr>
              <w:t xml:space="preserve">: </w:t>
            </w:r>
            <w:r>
              <w:rPr>
                <w:sz w:val="27"/>
                <w:szCs w:val="27"/>
                <w:shd w:val="clear" w:color="auto" w:fill="FFFFFF"/>
              </w:rPr>
              <w:t xml:space="preserve"> </w:t>
            </w:r>
            <w:r>
              <w:rPr>
                <w:shd w:val="clear" w:color="auto" w:fill="FFFFFF"/>
              </w:rPr>
              <w:t>The Nine Network engaged with the Australian Signals Directorate (ASD) to determine the source of the attack, which remains unsolved.</w:t>
            </w:r>
            <w:r>
              <w:t xml:space="preserve"> </w:t>
            </w:r>
            <w:r>
              <w:rPr>
                <w:shd w:val="clear" w:color="auto" w:fill="FFFFFF"/>
              </w:rPr>
              <w:t>It was indicated that several computers displayed unusual behaviour by ‘working harder’ than would be expected prior to the attack. The network spoke with forensics and recovery experts and determined that the attacker utilised Nine systems to distribute fraudulent updates to employees' devices. These upgrades encrypt data and make devices unresponsive</w:t>
            </w:r>
            <w:r>
              <w:rPr>
                <w:rFonts w:ascii="PT Serif" w:hAnsi="PT Serif"/>
                <w:shd w:val="clear" w:color="auto" w:fill="FFFFFF"/>
              </w:rPr>
              <w:t xml:space="preserve">. </w:t>
            </w:r>
            <w:r>
              <w:t xml:space="preserve">  Without sufficient protections and continuous re-evaluation, operating systems considered critical to defending against catastrophic events, may be compromised.</w:t>
            </w:r>
          </w:p>
        </w:tc>
      </w:tr>
    </w:tbl>
    <w:p w14:paraId="079D5A77" w14:textId="1269CCBC" w:rsidR="00A73C54" w:rsidRDefault="00A73C54" w:rsidP="009F2CC0">
      <w:pPr>
        <w:pStyle w:val="BodyText"/>
      </w:pPr>
    </w:p>
    <w:p w14:paraId="7FE010E6" w14:textId="77777777" w:rsidR="009F2CC0" w:rsidRPr="009F2CC0" w:rsidRDefault="009F2CC0" w:rsidP="009F2CC0">
      <w:pPr>
        <w:pStyle w:val="BodyText"/>
      </w:pPr>
    </w:p>
    <w:tbl>
      <w:tblPr>
        <w:tblStyle w:val="GridTable2-Accent51"/>
        <w:tblW w:w="5000" w:type="pct"/>
        <w:tblBorders>
          <w:top w:val="none" w:sz="0" w:space="0" w:color="auto"/>
          <w:bottom w:val="single" w:sz="4" w:space="0" w:color="BFBFBF" w:themeColor="background1" w:themeShade="BF"/>
          <w:insideH w:val="single" w:sz="4" w:space="0" w:color="BFBFBF" w:themeColor="background1" w:themeShade="BF"/>
          <w:insideV w:val="none" w:sz="0" w:space="0" w:color="auto"/>
        </w:tblBorders>
        <w:tblLook w:val="0600" w:firstRow="0" w:lastRow="0" w:firstColumn="0" w:lastColumn="0" w:noHBand="1" w:noVBand="1"/>
      </w:tblPr>
      <w:tblGrid>
        <w:gridCol w:w="7086"/>
        <w:gridCol w:w="2552"/>
      </w:tblGrid>
      <w:tr w:rsidR="009739FE" w14:paraId="6EBC04F0" w14:textId="77777777" w:rsidTr="009F2CC0">
        <w:trPr>
          <w:cantSplit/>
        </w:trPr>
        <w:tc>
          <w:tcPr>
            <w:tcW w:w="3676" w:type="pct"/>
            <w:shd w:val="clear" w:color="auto" w:fill="034EA2" w:themeFill="accent1"/>
            <w:hideMark/>
          </w:tcPr>
          <w:p w14:paraId="3A3574AD" w14:textId="77777777" w:rsidR="00C32759" w:rsidRDefault="00C32759" w:rsidP="009F2CC0">
            <w:pPr>
              <w:pStyle w:val="TableHeading"/>
              <w:rPr>
                <w:rFonts w:ascii="Calibri" w:eastAsia="Calibri" w:hAnsi="Calibri" w:cs="Times New Roman"/>
                <w:sz w:val="22"/>
              </w:rPr>
            </w:pPr>
            <w:r w:rsidRPr="00207322">
              <w:t>France TV5Monde Cyber Attack</w:t>
            </w:r>
          </w:p>
        </w:tc>
        <w:tc>
          <w:tcPr>
            <w:tcW w:w="1324" w:type="pct"/>
            <w:shd w:val="clear" w:color="auto" w:fill="007BC3" w:themeFill="accent2"/>
            <w:vAlign w:val="center"/>
            <w:hideMark/>
          </w:tcPr>
          <w:p w14:paraId="2FC9E0A6" w14:textId="77777777" w:rsidR="00C32759" w:rsidRDefault="00C32759" w:rsidP="009F2CC0">
            <w:pPr>
              <w:pStyle w:val="Tableriskcategory"/>
            </w:pPr>
            <w:r>
              <w:t>Cyber security, personnel</w:t>
            </w:r>
          </w:p>
        </w:tc>
      </w:tr>
      <w:tr w:rsidR="00C32759" w14:paraId="799655F0" w14:textId="77777777" w:rsidTr="64FF2928">
        <w:trPr>
          <w:cantSplit/>
        </w:trPr>
        <w:tc>
          <w:tcPr>
            <w:tcW w:w="5000" w:type="pct"/>
            <w:gridSpan w:val="2"/>
            <w:shd w:val="clear" w:color="auto" w:fill="FFFFFF" w:themeFill="background2"/>
            <w:hideMark/>
          </w:tcPr>
          <w:p w14:paraId="3E1653B7" w14:textId="77777777" w:rsidR="00C32759" w:rsidRDefault="00C32759" w:rsidP="009F2CC0">
            <w:pPr>
              <w:pStyle w:val="TableBody"/>
              <w:rPr>
                <w:rFonts w:ascii="Arial" w:eastAsia="Times New Roman" w:hAnsi="Arial" w:cs="Arial"/>
                <w:b/>
              </w:rPr>
            </w:pPr>
            <w:r w:rsidRPr="009F2CC0">
              <w:rPr>
                <w:rFonts w:ascii="Arial" w:eastAsia="Times New Roman" w:hAnsi="Arial" w:cs="Arial"/>
                <w:b/>
                <w:bCs/>
              </w:rPr>
              <w:t>Situation</w:t>
            </w:r>
            <w:r>
              <w:rPr>
                <w:rFonts w:ascii="Arial" w:eastAsia="Times New Roman" w:hAnsi="Arial" w:cs="Arial"/>
              </w:rPr>
              <w:t xml:space="preserve">: </w:t>
            </w:r>
            <w:r>
              <w:t>In April 2015, TV5Monde, one of France's largest television networks with an international reach in more than 200 countries, experienced the largest cyberattack ever against a television network. Highly targeted malware was used to destroy the TV network’s systems, and all 12 of its channels were taken off the air.</w:t>
            </w:r>
            <w:r>
              <w:rPr>
                <w:rStyle w:val="FootnoteReference"/>
                <w:rFonts w:cs="Helvetica"/>
              </w:rPr>
              <w:footnoteReference w:id="164"/>
            </w:r>
            <w:r>
              <w:rPr>
                <w:rFonts w:ascii="Arial" w:eastAsia="Times New Roman" w:hAnsi="Arial" w:cs="Arial"/>
              </w:rPr>
              <w:t xml:space="preserve"> The network was accessed on 23 January 2015, and the attackers remained hidden for months while conducting reconnaissance of the network, which is a common method for cyber-attacks looking for weaknesses in the network and associated systems.</w:t>
            </w:r>
          </w:p>
        </w:tc>
      </w:tr>
      <w:tr w:rsidR="00C32759" w14:paraId="2002DE86" w14:textId="77777777" w:rsidTr="64FF2928">
        <w:trPr>
          <w:cantSplit/>
        </w:trPr>
        <w:tc>
          <w:tcPr>
            <w:tcW w:w="5000" w:type="pct"/>
            <w:gridSpan w:val="2"/>
            <w:shd w:val="clear" w:color="auto" w:fill="F2F2F2" w:themeFill="background2" w:themeFillShade="F2"/>
            <w:hideMark/>
          </w:tcPr>
          <w:p w14:paraId="176BDCD0" w14:textId="3F967A1A" w:rsidR="00C32759" w:rsidRDefault="00C32759" w:rsidP="009F2CC0">
            <w:pPr>
              <w:pStyle w:val="TableBody"/>
              <w:rPr>
                <w:b/>
              </w:rPr>
            </w:pPr>
            <w:r w:rsidRPr="009F2CC0">
              <w:rPr>
                <w:b/>
                <w:bCs/>
              </w:rPr>
              <w:lastRenderedPageBreak/>
              <w:t>Outcome</w:t>
            </w:r>
            <w:r>
              <w:t xml:space="preserve">:  The Network had a three-hour outage during which it was unable to generate news programming. Additionally, the hackers posted documents and messages on TV5Monde's Facebook page pretending to be the families of French soldiers participating in anti-Islamic State Group operations, as well as posting threats against the troops. The cost of the attack was 5 million </w:t>
            </w:r>
            <w:r w:rsidR="4B5B3021">
              <w:t xml:space="preserve">Euro </w:t>
            </w:r>
            <w:r>
              <w:t xml:space="preserve">in 2015 (8 million AUD) and 11 million </w:t>
            </w:r>
            <w:r w:rsidR="4B5B3021">
              <w:t xml:space="preserve">Euro </w:t>
            </w:r>
            <w:r>
              <w:t xml:space="preserve">(18 million AUD) over the next three years – a total of more than 16 million </w:t>
            </w:r>
            <w:r w:rsidR="4B5B3021">
              <w:t xml:space="preserve">Euro </w:t>
            </w:r>
            <w:r>
              <w:t>(26 million AUD).</w:t>
            </w:r>
            <w:r>
              <w:rPr>
                <w:rStyle w:val="FootnoteReference"/>
                <w:rFonts w:ascii="Arial" w:hAnsi="Arial" w:cs="Arial"/>
              </w:rPr>
              <w:footnoteReference w:id="165"/>
            </w:r>
          </w:p>
        </w:tc>
      </w:tr>
      <w:tr w:rsidR="00C32759" w14:paraId="35E5E54C" w14:textId="77777777" w:rsidTr="64FF2928">
        <w:trPr>
          <w:cantSplit/>
          <w:trHeight w:val="279"/>
        </w:trPr>
        <w:tc>
          <w:tcPr>
            <w:tcW w:w="5000" w:type="pct"/>
            <w:gridSpan w:val="2"/>
            <w:shd w:val="clear" w:color="auto" w:fill="FFFFFF" w:themeFill="background2"/>
            <w:hideMark/>
          </w:tcPr>
          <w:p w14:paraId="291F6EAF" w14:textId="77777777" w:rsidR="00C32759" w:rsidRDefault="00C32759" w:rsidP="009F2CC0">
            <w:pPr>
              <w:pStyle w:val="TableBody"/>
            </w:pPr>
            <w:r w:rsidRPr="009F2CC0">
              <w:rPr>
                <w:b/>
                <w:bCs/>
              </w:rPr>
              <w:t>Identified</w:t>
            </w:r>
            <w:r>
              <w:t xml:space="preserve"> </w:t>
            </w:r>
            <w:r w:rsidRPr="009F2CC0">
              <w:rPr>
                <w:b/>
                <w:bCs/>
              </w:rPr>
              <w:t>Gap</w:t>
            </w:r>
            <w:r>
              <w:t>:  According to the investigation, the hackers used a social engineering technique; after journalists interacted with a phishing email, the hackers were able to breach the channel's network via a Trojan horse, spread the virus throughout the IT infrastructure, and create accounts with administrator privileges. The V5 Monde multimedia servers were open to the internet through their remote desktop protocol port and were utilising the default username/password combination.</w:t>
            </w:r>
          </w:p>
        </w:tc>
      </w:tr>
    </w:tbl>
    <w:p w14:paraId="4F9A7784" w14:textId="77777777" w:rsidR="00A73C54" w:rsidRPr="00C32759" w:rsidRDefault="00A73C54" w:rsidP="004F6E47">
      <w:pPr>
        <w:pStyle w:val="BodyText"/>
      </w:pPr>
    </w:p>
    <w:tbl>
      <w:tblPr>
        <w:tblStyle w:val="GridTable2-Accent51"/>
        <w:tblW w:w="5000" w:type="pct"/>
        <w:tblBorders>
          <w:top w:val="none" w:sz="0" w:space="0" w:color="auto"/>
          <w:bottom w:val="single" w:sz="4" w:space="0" w:color="BFBFBF" w:themeColor="background1" w:themeShade="BF"/>
          <w:insideH w:val="single" w:sz="4" w:space="0" w:color="BFBFBF" w:themeColor="background1" w:themeShade="BF"/>
          <w:insideV w:val="none" w:sz="0" w:space="0" w:color="auto"/>
        </w:tblBorders>
        <w:tblLook w:val="0600" w:firstRow="0" w:lastRow="0" w:firstColumn="0" w:lastColumn="0" w:noHBand="1" w:noVBand="1"/>
      </w:tblPr>
      <w:tblGrid>
        <w:gridCol w:w="7090"/>
        <w:gridCol w:w="2548"/>
      </w:tblGrid>
      <w:tr w:rsidR="009739FE" w14:paraId="6C0AF2D5" w14:textId="77777777" w:rsidTr="009F2CC0">
        <w:trPr>
          <w:cantSplit/>
        </w:trPr>
        <w:tc>
          <w:tcPr>
            <w:tcW w:w="3678" w:type="pct"/>
            <w:shd w:val="clear" w:color="auto" w:fill="034EA2" w:themeFill="accent1"/>
            <w:hideMark/>
          </w:tcPr>
          <w:p w14:paraId="03819DF6" w14:textId="77777777" w:rsidR="00125127" w:rsidRDefault="00125127" w:rsidP="009F2CC0">
            <w:pPr>
              <w:pStyle w:val="TableHeading"/>
              <w:rPr>
                <w:rFonts w:eastAsia="Calibri"/>
              </w:rPr>
            </w:pPr>
            <w:r w:rsidRPr="00FB3007">
              <w:t>ABC’s south coast transmitter – Australia’s summer bushfires</w:t>
            </w:r>
          </w:p>
        </w:tc>
        <w:tc>
          <w:tcPr>
            <w:tcW w:w="1322" w:type="pct"/>
            <w:shd w:val="clear" w:color="auto" w:fill="007BC3" w:themeFill="accent2"/>
            <w:vAlign w:val="center"/>
            <w:hideMark/>
          </w:tcPr>
          <w:p w14:paraId="1E959893" w14:textId="77777777" w:rsidR="00125127" w:rsidRDefault="00125127" w:rsidP="009F2CC0">
            <w:pPr>
              <w:pStyle w:val="Tableriskcategory"/>
              <w:rPr>
                <w:szCs w:val="20"/>
              </w:rPr>
            </w:pPr>
            <w:r>
              <w:t>Physical and natural hazard</w:t>
            </w:r>
          </w:p>
        </w:tc>
      </w:tr>
      <w:tr w:rsidR="00125127" w14:paraId="1C943709" w14:textId="77777777" w:rsidTr="009F2CC0">
        <w:trPr>
          <w:cantSplit/>
        </w:trPr>
        <w:tc>
          <w:tcPr>
            <w:tcW w:w="5000" w:type="pct"/>
            <w:gridSpan w:val="2"/>
            <w:shd w:val="clear" w:color="auto" w:fill="FFFFFF"/>
            <w:hideMark/>
          </w:tcPr>
          <w:p w14:paraId="7B12D577" w14:textId="72B42DE5" w:rsidR="00125127" w:rsidRDefault="00125127" w:rsidP="009F2CC0">
            <w:pPr>
              <w:pStyle w:val="TableBody"/>
            </w:pPr>
            <w:r w:rsidRPr="009F2CC0">
              <w:rPr>
                <w:b/>
                <w:bCs/>
              </w:rPr>
              <w:t>Situation</w:t>
            </w:r>
            <w:r>
              <w:t>: The Australian bushfires that devastated the South Coast of New South Wales (NSW) in the summer of 2020 caused widespread devastation and panic, as the transmitter in the region melted. Communications with residents in the community were impaired by the inability to receive or transmit radio coverage.</w:t>
            </w:r>
            <w:r>
              <w:rPr>
                <w:rStyle w:val="FootnoteReference"/>
                <w:rFonts w:ascii="Arial" w:hAnsi="Arial" w:cs="Arial"/>
              </w:rPr>
              <w:footnoteReference w:id="166"/>
            </w:r>
          </w:p>
        </w:tc>
      </w:tr>
      <w:tr w:rsidR="00125127" w14:paraId="6C6A6C05" w14:textId="77777777" w:rsidTr="009F2CC0">
        <w:trPr>
          <w:cantSplit/>
        </w:trPr>
        <w:tc>
          <w:tcPr>
            <w:tcW w:w="5000" w:type="pct"/>
            <w:gridSpan w:val="2"/>
            <w:shd w:val="clear" w:color="auto" w:fill="F2F2F2" w:themeFill="background1" w:themeFillShade="F2"/>
            <w:hideMark/>
          </w:tcPr>
          <w:p w14:paraId="7D101108" w14:textId="05519245" w:rsidR="00125127" w:rsidRDefault="00125127" w:rsidP="009F2CC0">
            <w:pPr>
              <w:pStyle w:val="TableBody"/>
              <w:rPr>
                <w:b/>
                <w:bCs/>
              </w:rPr>
            </w:pPr>
            <w:r w:rsidRPr="009F2CC0">
              <w:rPr>
                <w:b/>
                <w:bCs/>
              </w:rPr>
              <w:t>Outcome</w:t>
            </w:r>
            <w:r>
              <w:t xml:space="preserve">: The transmitter equipment </w:t>
            </w:r>
            <w:r w:rsidR="005005CB">
              <w:t>took months to repair</w:t>
            </w:r>
            <w:r>
              <w:t xml:space="preserve"> before it was completely operational again. The cost of restoring the infrastructure owned by BAI Communications Australia, which provides the broadcast towers to ABC on a commercial arrangement, was between $1.5 million and $2 million.</w:t>
            </w:r>
            <w:r>
              <w:rPr>
                <w:rStyle w:val="FootnoteReference"/>
                <w:rFonts w:ascii="Arial" w:hAnsi="Arial" w:cs="Arial"/>
              </w:rPr>
              <w:footnoteReference w:id="167"/>
            </w:r>
          </w:p>
        </w:tc>
      </w:tr>
      <w:tr w:rsidR="00125127" w14:paraId="3CF4334A" w14:textId="77777777" w:rsidTr="009F2CC0">
        <w:trPr>
          <w:cantSplit/>
          <w:trHeight w:val="279"/>
        </w:trPr>
        <w:tc>
          <w:tcPr>
            <w:tcW w:w="5000" w:type="pct"/>
            <w:gridSpan w:val="2"/>
            <w:shd w:val="clear" w:color="auto" w:fill="FFFFFF"/>
            <w:hideMark/>
          </w:tcPr>
          <w:p w14:paraId="49BEEF6E" w14:textId="25652015" w:rsidR="00125127" w:rsidRDefault="00125127" w:rsidP="009F2CC0">
            <w:pPr>
              <w:pStyle w:val="TableBody"/>
            </w:pPr>
            <w:r w:rsidRPr="009F2CC0">
              <w:rPr>
                <w:b/>
                <w:bCs/>
              </w:rPr>
              <w:t>Identified Gap:</w:t>
            </w:r>
            <w:r>
              <w:t xml:space="preserve"> The ABC's managing director stated that the burn out damage demonstrates the critical necessity for AM radio technology and that a backup generator should be maintained and in full operation to assist in getting information out during disasters like these. The analysts have been adamant that it is crucial that future infrastructure is as resilient as possible as broadcast towers still remain the weakest link during emergency broadcasts.</w:t>
            </w:r>
          </w:p>
        </w:tc>
      </w:tr>
    </w:tbl>
    <w:p w14:paraId="30625CF4" w14:textId="729B044B" w:rsidR="004F6E47" w:rsidRDefault="004F6E47" w:rsidP="009F2CC0">
      <w:pPr>
        <w:pStyle w:val="BodyText"/>
      </w:pPr>
    </w:p>
    <w:p w14:paraId="40009D4B" w14:textId="729F1D63" w:rsidR="009F2CC0" w:rsidRDefault="009F2CC0" w:rsidP="009F2CC0">
      <w:pPr>
        <w:pStyle w:val="BodyText"/>
      </w:pPr>
    </w:p>
    <w:p w14:paraId="5D374251" w14:textId="2BF8183C" w:rsidR="009F2CC0" w:rsidRDefault="009F2CC0" w:rsidP="009F2CC0">
      <w:pPr>
        <w:pStyle w:val="BodyText"/>
      </w:pPr>
    </w:p>
    <w:p w14:paraId="67C68478" w14:textId="77777777" w:rsidR="009F2CC0" w:rsidRDefault="009F2CC0" w:rsidP="009F2CC0">
      <w:pPr>
        <w:pStyle w:val="BodyText"/>
      </w:pPr>
    </w:p>
    <w:tbl>
      <w:tblPr>
        <w:tblStyle w:val="GridTable2-Accent51"/>
        <w:tblW w:w="5000" w:type="pct"/>
        <w:tblBorders>
          <w:top w:val="none" w:sz="0" w:space="0" w:color="auto"/>
          <w:bottom w:val="single" w:sz="4" w:space="0" w:color="BFBFBF" w:themeColor="background1" w:themeShade="BF"/>
          <w:insideH w:val="single" w:sz="4" w:space="0" w:color="BFBFBF" w:themeColor="background1" w:themeShade="BF"/>
          <w:insideV w:val="none" w:sz="0" w:space="0" w:color="auto"/>
        </w:tblBorders>
        <w:tblLook w:val="0600" w:firstRow="0" w:lastRow="0" w:firstColumn="0" w:lastColumn="0" w:noHBand="1" w:noVBand="1"/>
      </w:tblPr>
      <w:tblGrid>
        <w:gridCol w:w="7090"/>
        <w:gridCol w:w="2548"/>
      </w:tblGrid>
      <w:tr w:rsidR="009739FE" w14:paraId="26E42582" w14:textId="77777777" w:rsidTr="009F2CC0">
        <w:trPr>
          <w:cantSplit/>
        </w:trPr>
        <w:tc>
          <w:tcPr>
            <w:tcW w:w="3678" w:type="pct"/>
            <w:shd w:val="clear" w:color="auto" w:fill="034EA2" w:themeFill="accent1"/>
            <w:hideMark/>
          </w:tcPr>
          <w:p w14:paraId="6788EA0F" w14:textId="77777777" w:rsidR="00BD5FC3" w:rsidRDefault="00BD5FC3" w:rsidP="009F2CC0">
            <w:pPr>
              <w:pStyle w:val="TableHeading"/>
              <w:rPr>
                <w:sz w:val="22"/>
              </w:rPr>
            </w:pPr>
            <w:r w:rsidRPr="009739FE">
              <w:t>Sinclair Broadcast Group TV Network Cyber Attack</w:t>
            </w:r>
          </w:p>
        </w:tc>
        <w:tc>
          <w:tcPr>
            <w:tcW w:w="1322" w:type="pct"/>
            <w:shd w:val="clear" w:color="auto" w:fill="007BC3" w:themeFill="accent2"/>
            <w:vAlign w:val="center"/>
            <w:hideMark/>
          </w:tcPr>
          <w:p w14:paraId="0A88384A" w14:textId="77777777" w:rsidR="00BD5FC3" w:rsidRDefault="00BD5FC3" w:rsidP="009F2CC0">
            <w:pPr>
              <w:pStyle w:val="Tableriskcategory"/>
            </w:pPr>
            <w:r>
              <w:t>Cyber security</w:t>
            </w:r>
          </w:p>
        </w:tc>
      </w:tr>
      <w:tr w:rsidR="00BD5FC3" w14:paraId="5282D284" w14:textId="77777777" w:rsidTr="009F2CC0">
        <w:trPr>
          <w:cantSplit/>
        </w:trPr>
        <w:tc>
          <w:tcPr>
            <w:tcW w:w="5000" w:type="pct"/>
            <w:gridSpan w:val="2"/>
            <w:shd w:val="clear" w:color="auto" w:fill="FFFFFF"/>
            <w:hideMark/>
          </w:tcPr>
          <w:p w14:paraId="197FAFAA" w14:textId="77777777" w:rsidR="00BD5FC3" w:rsidRDefault="00BD5FC3" w:rsidP="009F2CC0">
            <w:pPr>
              <w:pStyle w:val="TableBody"/>
            </w:pPr>
            <w:r w:rsidRPr="009F2CC0">
              <w:rPr>
                <w:b/>
                <w:bCs/>
              </w:rPr>
              <w:t>Situation</w:t>
            </w:r>
            <w:r>
              <w:t>:  Sinclair Broadcast Group (SBG), one of the leading television operators in the United States of America, was the target of a ransomware attack that disrupted television stations across the country, including office and operational networks. According to initial reports, the attack was planned by the cybercrime group Evil Corp.</w:t>
            </w:r>
            <w:r>
              <w:rPr>
                <w:rStyle w:val="FootnoteReference"/>
                <w:rFonts w:cstheme="majorHAnsi"/>
              </w:rPr>
              <w:footnoteReference w:id="168"/>
            </w:r>
            <w:r>
              <w:t xml:space="preserve"> The hackers attacked the broadcasting organisation with malicious code.</w:t>
            </w:r>
          </w:p>
        </w:tc>
      </w:tr>
      <w:tr w:rsidR="00BD5FC3" w14:paraId="5A4AB54E" w14:textId="77777777" w:rsidTr="009F2CC0">
        <w:trPr>
          <w:cantSplit/>
        </w:trPr>
        <w:tc>
          <w:tcPr>
            <w:tcW w:w="5000" w:type="pct"/>
            <w:gridSpan w:val="2"/>
            <w:shd w:val="clear" w:color="auto" w:fill="F2F2F2" w:themeFill="background1" w:themeFillShade="F2"/>
            <w:hideMark/>
          </w:tcPr>
          <w:p w14:paraId="7FD2EFE9" w14:textId="77777777" w:rsidR="00BD5FC3" w:rsidRPr="00C5626D" w:rsidRDefault="00BD5FC3" w:rsidP="009F2CC0">
            <w:pPr>
              <w:pStyle w:val="TableBody"/>
              <w:rPr>
                <w:rFonts w:ascii="Calibri" w:eastAsia="Calibri" w:hAnsi="Calibri"/>
                <w:spacing w:val="-2"/>
              </w:rPr>
            </w:pPr>
            <w:r w:rsidRPr="00C5626D">
              <w:rPr>
                <w:b/>
                <w:bCs/>
                <w:spacing w:val="-2"/>
              </w:rPr>
              <w:t>Outcome</w:t>
            </w:r>
            <w:r w:rsidRPr="00C5626D">
              <w:rPr>
                <w:spacing w:val="-2"/>
              </w:rPr>
              <w:t>:  The cyber-attack disrupted the workflow of the broadcasting group's several stations, including certain areas of its distribution of local advertising. Employees were unable to access emails, phones, video files, or graphics. Additionally, SBG acknowledged that data was stolen from the company's network.</w:t>
            </w:r>
          </w:p>
        </w:tc>
      </w:tr>
      <w:tr w:rsidR="00BD5FC3" w14:paraId="2F3B8997" w14:textId="77777777" w:rsidTr="009F2CC0">
        <w:trPr>
          <w:cantSplit/>
          <w:trHeight w:val="279"/>
        </w:trPr>
        <w:tc>
          <w:tcPr>
            <w:tcW w:w="5000" w:type="pct"/>
            <w:gridSpan w:val="2"/>
            <w:shd w:val="clear" w:color="auto" w:fill="FFFFFF"/>
            <w:hideMark/>
          </w:tcPr>
          <w:p w14:paraId="7F1A4E52" w14:textId="77777777" w:rsidR="00BD5FC3" w:rsidRDefault="00BD5FC3" w:rsidP="009F2CC0">
            <w:pPr>
              <w:pStyle w:val="TableBody"/>
              <w:rPr>
                <w:b/>
              </w:rPr>
            </w:pPr>
            <w:r w:rsidRPr="009F2CC0">
              <w:rPr>
                <w:b/>
                <w:bCs/>
              </w:rPr>
              <w:t>Identified Gap</w:t>
            </w:r>
            <w:r>
              <w:t>: It has been reported that the ransomware attack was preceded by a call for a password reset across all of Sinclair which highlighted a serious network issue. Sinclair’s CEO has stated that it will look for immediate opportunities to enhance the current existing security measures.  This attack demonstrates that the IT infrastructure remains a high target for hackers, and that protection on all surfaces of television networks is necessary to stop hackers stealing data and information.</w:t>
            </w:r>
            <w:r>
              <w:rPr>
                <w:rStyle w:val="FootnoteReference"/>
                <w:rFonts w:ascii="Arial" w:hAnsi="Arial" w:cs="Arial"/>
              </w:rPr>
              <w:footnoteReference w:id="169"/>
            </w:r>
          </w:p>
        </w:tc>
      </w:tr>
    </w:tbl>
    <w:p w14:paraId="6EA403C1" w14:textId="77777777" w:rsidR="00C03F05" w:rsidRPr="00F560F8" w:rsidRDefault="000C3D44" w:rsidP="008E1A28">
      <w:pPr>
        <w:pStyle w:val="AppendixH2"/>
      </w:pPr>
      <w:r>
        <w:lastRenderedPageBreak/>
        <w:t xml:space="preserve">Key risks to </w:t>
      </w:r>
      <w:r w:rsidR="00C03F05">
        <w:t>critical broadcasting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093"/>
        <w:gridCol w:w="4063"/>
        <w:gridCol w:w="4482"/>
      </w:tblGrid>
      <w:tr w:rsidR="00FF5A0E" w14:paraId="746EA31D" w14:textId="77777777" w:rsidTr="00D36BA9">
        <w:trPr>
          <w:tblHeader/>
        </w:trPr>
        <w:tc>
          <w:tcPr>
            <w:tcW w:w="567" w:type="pct"/>
            <w:shd w:val="clear" w:color="auto" w:fill="034EA2" w:themeFill="accent1"/>
            <w:hideMark/>
          </w:tcPr>
          <w:p w14:paraId="25310770" w14:textId="437B9A46" w:rsidR="00C03F05" w:rsidRPr="00F560F8" w:rsidRDefault="006B3927" w:rsidP="00D36BA9">
            <w:pPr>
              <w:pStyle w:val="TableHeading"/>
            </w:pPr>
            <w:r>
              <w:t>Hazard domain</w:t>
            </w:r>
          </w:p>
        </w:tc>
        <w:tc>
          <w:tcPr>
            <w:tcW w:w="2108" w:type="pct"/>
            <w:shd w:val="clear" w:color="auto" w:fill="034EA2" w:themeFill="accent1"/>
            <w:hideMark/>
          </w:tcPr>
          <w:p w14:paraId="64F72522" w14:textId="77777777" w:rsidR="00C03F05" w:rsidRPr="00F560F8" w:rsidRDefault="00C03F05" w:rsidP="00D36BA9">
            <w:pPr>
              <w:pStyle w:val="TableHeading"/>
            </w:pPr>
            <w:r w:rsidRPr="00F560F8">
              <w:t>Identified risk</w:t>
            </w:r>
          </w:p>
        </w:tc>
        <w:tc>
          <w:tcPr>
            <w:tcW w:w="2325" w:type="pct"/>
            <w:shd w:val="clear" w:color="auto" w:fill="034EA2" w:themeFill="accent1"/>
            <w:hideMark/>
          </w:tcPr>
          <w:p w14:paraId="78587432" w14:textId="77777777" w:rsidR="00C03F05" w:rsidRPr="00F560F8" w:rsidRDefault="00C03F05" w:rsidP="00D36BA9">
            <w:pPr>
              <w:pStyle w:val="TableHeading"/>
            </w:pPr>
            <w:r w:rsidRPr="00F560F8">
              <w:t>Example</w:t>
            </w:r>
          </w:p>
        </w:tc>
      </w:tr>
      <w:tr w:rsidR="00C171D6" w14:paraId="3095D33A" w14:textId="77777777" w:rsidTr="00D36BA9">
        <w:trPr>
          <w:trHeight w:val="547"/>
        </w:trPr>
        <w:tc>
          <w:tcPr>
            <w:tcW w:w="567" w:type="pct"/>
            <w:shd w:val="clear" w:color="auto" w:fill="F2F2F2" w:themeFill="background1" w:themeFillShade="F2"/>
            <w:hideMark/>
          </w:tcPr>
          <w:p w14:paraId="5374809A" w14:textId="77777777" w:rsidR="00C03F05" w:rsidRDefault="00C03F05" w:rsidP="00D36BA9">
            <w:pPr>
              <w:pStyle w:val="TableBody"/>
              <w:rPr>
                <w:color w:val="FF9933"/>
              </w:rPr>
            </w:pPr>
            <w:r>
              <w:t>Physical</w:t>
            </w:r>
          </w:p>
        </w:tc>
        <w:tc>
          <w:tcPr>
            <w:tcW w:w="2108" w:type="pct"/>
            <w:shd w:val="clear" w:color="auto" w:fill="auto"/>
            <w:hideMark/>
          </w:tcPr>
          <w:p w14:paraId="37767188" w14:textId="77DA497E" w:rsidR="00C03F05" w:rsidRDefault="00C03F05" w:rsidP="00D36BA9">
            <w:pPr>
              <w:pStyle w:val="TableBody"/>
            </w:pPr>
            <w:r>
              <w:t>In times of crisis, Australians rely on broadcasting services to keep people informed of significant national events and crucial information during times of disaster. However, catastrophic weather occurrences such as the late 2019 and early 2020 bushfires demonstrate physical broadcasting transmitters are now under more threat and in risk of disruption, particularly in regional locations.</w:t>
            </w:r>
          </w:p>
        </w:tc>
        <w:tc>
          <w:tcPr>
            <w:tcW w:w="2325" w:type="pct"/>
            <w:shd w:val="clear" w:color="auto" w:fill="auto"/>
            <w:hideMark/>
          </w:tcPr>
          <w:p w14:paraId="55EE4339" w14:textId="669E42CB" w:rsidR="00C03F05" w:rsidRDefault="00C03F05" w:rsidP="00D36BA9">
            <w:pPr>
              <w:pStyle w:val="TableBody"/>
            </w:pPr>
            <w:r>
              <w:t>Around August 2021, the Bilsdale tran</w:t>
            </w:r>
            <w:r w:rsidR="00765A9F">
              <w:t>s</w:t>
            </w:r>
            <w:r>
              <w:t>mi</w:t>
            </w:r>
            <w:r w:rsidR="00765A9F">
              <w:t>t</w:t>
            </w:r>
            <w:r>
              <w:t>ting station (broadcasting and telecommunications facility) based in Helmsley, North Yorkshire, England, a fire started at the complex and it was reported up to one million homes had lost TV and radio signals.</w:t>
            </w:r>
            <w:r>
              <w:rPr>
                <w:rStyle w:val="FootnoteReference"/>
                <w:rFonts w:ascii="Arial" w:eastAsia="Calibri" w:hAnsi="Arial" w:cs="Arial"/>
              </w:rPr>
              <w:footnoteReference w:id="170"/>
            </w:r>
            <w:r>
              <w:t xml:space="preserve"> A temporary mast has been put in place until full repairs are made by 2022, meaning the majority of people have some form of working signal but not full coverage.</w:t>
            </w:r>
          </w:p>
        </w:tc>
      </w:tr>
      <w:tr w:rsidR="00C171D6" w14:paraId="0F147879" w14:textId="77777777" w:rsidTr="00D36BA9">
        <w:tc>
          <w:tcPr>
            <w:tcW w:w="567" w:type="pct"/>
            <w:shd w:val="clear" w:color="auto" w:fill="F2F2F2" w:themeFill="background1" w:themeFillShade="F2"/>
            <w:hideMark/>
          </w:tcPr>
          <w:p w14:paraId="7ED512A9" w14:textId="77777777" w:rsidR="00C03F05" w:rsidRDefault="00C03F05" w:rsidP="00D36BA9">
            <w:pPr>
              <w:pStyle w:val="TableBody"/>
              <w:rPr>
                <w:rFonts w:ascii="Calibri" w:hAnsi="Calibri"/>
              </w:rPr>
            </w:pPr>
            <w:r>
              <w:t>Cyber</w:t>
            </w:r>
          </w:p>
        </w:tc>
        <w:tc>
          <w:tcPr>
            <w:tcW w:w="2108" w:type="pct"/>
            <w:shd w:val="clear" w:color="auto" w:fill="auto"/>
            <w:hideMark/>
          </w:tcPr>
          <w:p w14:paraId="4F39DF3F" w14:textId="77777777" w:rsidR="00C03F05" w:rsidRDefault="00C03F05" w:rsidP="00D36BA9">
            <w:pPr>
              <w:pStyle w:val="TableBody"/>
            </w:pPr>
            <w:r>
              <w:t>Broadcasting services are increasingly relying on IP networks and IT for content production, storage and delivery, which inevitably leads to a much wider exposure of vulnerabilities. This makes such attacks extremely difficult to prevent, identify or mitigate in real time, which is essential in the broadcasting sector where latency can be a major issue.</w:t>
            </w:r>
            <w:r>
              <w:rPr>
                <w:rStyle w:val="FootnoteReference"/>
                <w:rFonts w:ascii="Arial" w:eastAsia="Calibri" w:hAnsi="Arial" w:cs="Arial"/>
              </w:rPr>
              <w:footnoteReference w:id="171"/>
            </w:r>
          </w:p>
        </w:tc>
        <w:tc>
          <w:tcPr>
            <w:tcW w:w="2325" w:type="pct"/>
            <w:shd w:val="clear" w:color="auto" w:fill="auto"/>
            <w:hideMark/>
          </w:tcPr>
          <w:p w14:paraId="7A36457B" w14:textId="4FCDD26B" w:rsidR="00C03F05" w:rsidRDefault="00443416" w:rsidP="00D36BA9">
            <w:pPr>
              <w:pStyle w:val="TableBody"/>
            </w:pPr>
            <w:r>
              <w:t>In April 2015, a cyber attack</w:t>
            </w:r>
            <w:r w:rsidR="00C03F05">
              <w:t xml:space="preserve"> occurred on the French International TV broadcaster, TV5Monde. The network, which is available in 200 countries, came under attack from a group claiming to be the ‘Cyber Caliphate’. The attack took the broadcaster’s 12 channels off the air and according to its director-general, nearly led to the destruction to all of its systems.</w:t>
            </w:r>
          </w:p>
        </w:tc>
      </w:tr>
      <w:tr w:rsidR="00C03F05" w14:paraId="5531C27E" w14:textId="77777777" w:rsidTr="00D36BA9">
        <w:trPr>
          <w:trHeight w:val="522"/>
        </w:trPr>
        <w:tc>
          <w:tcPr>
            <w:tcW w:w="567" w:type="pct"/>
            <w:shd w:val="clear" w:color="auto" w:fill="F2F2F2" w:themeFill="background1" w:themeFillShade="F2"/>
            <w:hideMark/>
          </w:tcPr>
          <w:p w14:paraId="1F5E65F1" w14:textId="77777777" w:rsidR="00C03F05" w:rsidRDefault="00C03F05" w:rsidP="00D36BA9">
            <w:pPr>
              <w:pStyle w:val="TableBody"/>
              <w:rPr>
                <w:rFonts w:ascii="Calibri" w:hAnsi="Calibri"/>
              </w:rPr>
            </w:pPr>
            <w:r>
              <w:t>Supply Chain</w:t>
            </w:r>
          </w:p>
        </w:tc>
        <w:tc>
          <w:tcPr>
            <w:tcW w:w="2108" w:type="pct"/>
            <w:shd w:val="clear" w:color="auto" w:fill="auto"/>
            <w:hideMark/>
          </w:tcPr>
          <w:p w14:paraId="037999EF" w14:textId="77777777" w:rsidR="00C03F05" w:rsidRDefault="00C03F05" w:rsidP="00D36BA9">
            <w:pPr>
              <w:pStyle w:val="TableBody"/>
            </w:pPr>
            <w:r>
              <w:t>The physical supply chain and digital supply chain have presented difficulties, in particular during the COVID-19 pandemic. In particular, the broadcasting organisations are confronted with additional major interruption. They must navigate both supply- and demand-side restrictions, which have an effect on the economics that support their capacity to commercialise content.</w:t>
            </w:r>
          </w:p>
        </w:tc>
        <w:tc>
          <w:tcPr>
            <w:tcW w:w="2325" w:type="pct"/>
            <w:shd w:val="clear" w:color="auto" w:fill="auto"/>
            <w:hideMark/>
          </w:tcPr>
          <w:p w14:paraId="6B130EF5" w14:textId="77777777" w:rsidR="00C03F05" w:rsidRDefault="00C03F05" w:rsidP="00D36BA9">
            <w:pPr>
              <w:pStyle w:val="TableBody"/>
            </w:pPr>
            <w:r>
              <w:t xml:space="preserve">The COVID-19 pandemic has incited concern of disruption of digital supply chain required for the broadcast infrastructure to continue services and transmission coverage. </w:t>
            </w:r>
          </w:p>
        </w:tc>
      </w:tr>
      <w:tr w:rsidR="00C171D6" w14:paraId="3CDA9BF1" w14:textId="77777777" w:rsidTr="00D36BA9">
        <w:tc>
          <w:tcPr>
            <w:tcW w:w="567" w:type="pct"/>
            <w:shd w:val="clear" w:color="auto" w:fill="F2F2F2" w:themeFill="background1" w:themeFillShade="F2"/>
            <w:hideMark/>
          </w:tcPr>
          <w:p w14:paraId="70FF2E6B" w14:textId="77777777" w:rsidR="00C03F05" w:rsidRDefault="00C03F05" w:rsidP="00D36BA9">
            <w:pPr>
              <w:pStyle w:val="TableBody"/>
              <w:rPr>
                <w:rFonts w:ascii="Calibri" w:hAnsi="Calibri"/>
              </w:rPr>
            </w:pPr>
            <w:r>
              <w:t>Personnel</w:t>
            </w:r>
          </w:p>
        </w:tc>
        <w:tc>
          <w:tcPr>
            <w:tcW w:w="2108" w:type="pct"/>
            <w:shd w:val="clear" w:color="auto" w:fill="auto"/>
            <w:hideMark/>
          </w:tcPr>
          <w:p w14:paraId="08A4A620" w14:textId="77777777" w:rsidR="00C03F05" w:rsidRDefault="00C03F05" w:rsidP="00D36BA9">
            <w:pPr>
              <w:pStyle w:val="TableBody"/>
            </w:pPr>
            <w:r>
              <w:t>When personnel are unable to operate due to events beyond their control, critical broadcasting systems and operations may suffer significant delays or shuts down. Additionally, employees having access to systems, data, or premises may offer insider threat concerns such as fraud, theft, intelligence, infrastructure sabotage, and data misuse.</w:t>
            </w:r>
          </w:p>
        </w:tc>
        <w:tc>
          <w:tcPr>
            <w:tcW w:w="2325" w:type="pct"/>
            <w:shd w:val="clear" w:color="auto" w:fill="auto"/>
            <w:hideMark/>
          </w:tcPr>
          <w:p w14:paraId="2F85D8CA" w14:textId="77777777" w:rsidR="00C03F05" w:rsidRDefault="00C03F05" w:rsidP="00D36BA9">
            <w:pPr>
              <w:pStyle w:val="TableBody"/>
            </w:pPr>
            <w:r>
              <w:t>A former journalist at the ABC, published stories based on leaked Government documents. The stories were based on hundreds of pages of Secret Defence documents provided by an insider and considered as a threat to national security given the stolen information that was published.</w:t>
            </w:r>
            <w:r>
              <w:rPr>
                <w:rStyle w:val="FootnoteReference"/>
                <w:rFonts w:ascii="Arial" w:eastAsia="Calibri" w:hAnsi="Arial" w:cs="Arial"/>
              </w:rPr>
              <w:footnoteReference w:id="172"/>
            </w:r>
          </w:p>
        </w:tc>
      </w:tr>
    </w:tbl>
    <w:p w14:paraId="299D4F3C" w14:textId="77777777" w:rsidR="00C03F05" w:rsidRDefault="00C03F05" w:rsidP="000C3D44">
      <w:pPr>
        <w:pStyle w:val="BodyText"/>
      </w:pPr>
    </w:p>
    <w:p w14:paraId="12F56CBE" w14:textId="77777777" w:rsidR="00C03F05" w:rsidRDefault="000C3D44" w:rsidP="008E1A28">
      <w:pPr>
        <w:pStyle w:val="AppendixH2"/>
      </w:pPr>
      <w:r w:rsidRPr="000F6098">
        <w:lastRenderedPageBreak/>
        <w:t xml:space="preserve">Existing legislation related to </w:t>
      </w:r>
      <w:r w:rsidR="00C03F05">
        <w:t>critical broadcasting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ayout w:type="fixed"/>
        <w:tblLook w:val="0600" w:firstRow="0" w:lastRow="0" w:firstColumn="0" w:lastColumn="0" w:noHBand="1" w:noVBand="1"/>
      </w:tblPr>
      <w:tblGrid>
        <w:gridCol w:w="1559"/>
        <w:gridCol w:w="4536"/>
        <w:gridCol w:w="3543"/>
      </w:tblGrid>
      <w:tr w:rsidR="009E7F24" w14:paraId="7EC82648" w14:textId="77777777" w:rsidTr="00D36BA9">
        <w:trPr>
          <w:tblHeader/>
        </w:trPr>
        <w:tc>
          <w:tcPr>
            <w:tcW w:w="3162" w:type="pct"/>
            <w:gridSpan w:val="2"/>
            <w:shd w:val="clear" w:color="auto" w:fill="034EA2" w:themeFill="accent1"/>
            <w:hideMark/>
          </w:tcPr>
          <w:p w14:paraId="3ED6B37B" w14:textId="77777777" w:rsidR="009E7F24" w:rsidRDefault="009E7F24" w:rsidP="00D36BA9">
            <w:pPr>
              <w:pStyle w:val="TableHeading"/>
              <w:rPr>
                <w:sz w:val="22"/>
              </w:rPr>
            </w:pPr>
            <w:r w:rsidRPr="00763B39">
              <w:t>Overview of regulation</w:t>
            </w:r>
          </w:p>
        </w:tc>
        <w:tc>
          <w:tcPr>
            <w:tcW w:w="1838" w:type="pct"/>
            <w:shd w:val="clear" w:color="auto" w:fill="034EA2" w:themeFill="accent1"/>
            <w:hideMark/>
          </w:tcPr>
          <w:p w14:paraId="4DB04807" w14:textId="77777777" w:rsidR="009E7F24" w:rsidRDefault="009E7F24" w:rsidP="00D36BA9">
            <w:pPr>
              <w:pStyle w:val="TableHeading"/>
            </w:pPr>
            <w:r w:rsidRPr="00763B39">
              <w:t>Identified gaps</w:t>
            </w:r>
          </w:p>
        </w:tc>
      </w:tr>
      <w:tr w:rsidR="00D36BA9" w14:paraId="7D64434D" w14:textId="77777777" w:rsidTr="7EBB1CEE">
        <w:tc>
          <w:tcPr>
            <w:tcW w:w="809" w:type="pct"/>
            <w:shd w:val="clear" w:color="auto" w:fill="F2F2F2" w:themeFill="background2" w:themeFillShade="F2"/>
            <w:hideMark/>
          </w:tcPr>
          <w:p w14:paraId="5F718E04" w14:textId="77777777" w:rsidR="009E7F24" w:rsidRPr="00D36BA9" w:rsidRDefault="009E7F24" w:rsidP="00D36BA9">
            <w:pPr>
              <w:pStyle w:val="TableBody"/>
            </w:pPr>
            <w:r w:rsidRPr="00D36BA9">
              <w:t>Broadcasting Services Act 1992 (Cth)</w:t>
            </w:r>
          </w:p>
        </w:tc>
        <w:tc>
          <w:tcPr>
            <w:tcW w:w="2353" w:type="pct"/>
            <w:shd w:val="clear" w:color="auto" w:fill="auto"/>
            <w:hideMark/>
          </w:tcPr>
          <w:p w14:paraId="22622505" w14:textId="77777777" w:rsidR="009E7F24" w:rsidRDefault="009E7F24" w:rsidP="00D36BA9">
            <w:pPr>
              <w:pStyle w:val="TableBody"/>
              <w:rPr>
                <w:rFonts w:ascii="Arial" w:eastAsia="Calibri" w:hAnsi="Arial" w:cs="Arial"/>
              </w:rPr>
            </w:pPr>
            <w:r>
              <w:rPr>
                <w:shd w:val="clear" w:color="auto" w:fill="FFFFFF"/>
              </w:rPr>
              <w:t>The Act outlines the legal framework of Australian broadcasting, including community broadcasting, and explains the role the sector plays in delivering diverse media services that reflect a sense of Australian identity, character and cultural diversity. The law stipulates what is political advertising and the specific conditions which must be met before they are authorised for publication.</w:t>
            </w:r>
          </w:p>
        </w:tc>
        <w:tc>
          <w:tcPr>
            <w:tcW w:w="1838" w:type="pct"/>
            <w:shd w:val="clear" w:color="auto" w:fill="auto"/>
            <w:hideMark/>
          </w:tcPr>
          <w:p w14:paraId="2A32E412" w14:textId="77777777" w:rsidR="009E7F24" w:rsidRDefault="009E7F24" w:rsidP="00D36BA9">
            <w:pPr>
              <w:pStyle w:val="TableBody"/>
              <w:rPr>
                <w:rFonts w:ascii="Arial" w:hAnsi="Arial" w:cs="Arial"/>
              </w:rPr>
            </w:pPr>
            <w:r>
              <w:t>While the Act carries out various fundamental principles such as the security standards, best practices and governance, it does not, however, have a risk management approach towards cyber-attacks, resilience risk and protection on broadcasting services and the broadcasting infrastructure.</w:t>
            </w:r>
          </w:p>
        </w:tc>
      </w:tr>
      <w:tr w:rsidR="009E7F24" w14:paraId="07746D81" w14:textId="77777777" w:rsidTr="7EBB1CEE">
        <w:tc>
          <w:tcPr>
            <w:tcW w:w="809" w:type="pct"/>
            <w:shd w:val="clear" w:color="auto" w:fill="F2F2F2" w:themeFill="background2" w:themeFillShade="F2"/>
            <w:hideMark/>
          </w:tcPr>
          <w:p w14:paraId="0A76ED18" w14:textId="77777777" w:rsidR="009E7F24" w:rsidRPr="00D36BA9" w:rsidRDefault="009E7F24" w:rsidP="00D36BA9">
            <w:pPr>
              <w:pStyle w:val="TableBody"/>
            </w:pPr>
            <w:r w:rsidRPr="00D36BA9">
              <w:t>Telecommunications (Interception and Access) Act 1979 (Cth)</w:t>
            </w:r>
          </w:p>
        </w:tc>
        <w:tc>
          <w:tcPr>
            <w:tcW w:w="2353" w:type="pct"/>
            <w:shd w:val="clear" w:color="auto" w:fill="auto"/>
            <w:hideMark/>
          </w:tcPr>
          <w:p w14:paraId="0F72589C" w14:textId="77777777" w:rsidR="009E7F24" w:rsidRDefault="009E7F24" w:rsidP="00D36BA9">
            <w:pPr>
              <w:pStyle w:val="TableBody"/>
              <w:rPr>
                <w:rFonts w:ascii="Arial" w:eastAsia="Calibri" w:hAnsi="Arial" w:cs="Arial"/>
              </w:rPr>
            </w:pPr>
            <w:r>
              <w:rPr>
                <w:shd w:val="clear" w:color="auto" w:fill="FFFFFF"/>
              </w:rPr>
              <w:t>The Act makes it an offence for a person to intercept or access private telecommunications without the knowledge of those involved in that communication. The TIA Act permits access to communications content for law enforcement and national security purposes.</w:t>
            </w:r>
          </w:p>
        </w:tc>
        <w:tc>
          <w:tcPr>
            <w:tcW w:w="1838" w:type="pct"/>
            <w:shd w:val="clear" w:color="auto" w:fill="auto"/>
            <w:hideMark/>
          </w:tcPr>
          <w:p w14:paraId="30BE1690" w14:textId="77777777" w:rsidR="009E7F24" w:rsidRDefault="009E7F24" w:rsidP="00D36BA9">
            <w:pPr>
              <w:pStyle w:val="TableBody"/>
              <w:rPr>
                <w:rFonts w:ascii="Arial" w:hAnsi="Arial" w:cs="Arial"/>
              </w:rPr>
            </w:pPr>
            <w:r>
              <w:t>While the Act is effective considering technological developments and changes in the structure of communication industries, it lacks a risk management approach to prevent cyber security and other incidents to protect data.</w:t>
            </w:r>
          </w:p>
        </w:tc>
      </w:tr>
      <w:tr w:rsidR="00D36BA9" w14:paraId="4593702E" w14:textId="77777777" w:rsidTr="7EBB1CEE">
        <w:tc>
          <w:tcPr>
            <w:tcW w:w="809" w:type="pct"/>
            <w:shd w:val="clear" w:color="auto" w:fill="F2F2F2" w:themeFill="background2" w:themeFillShade="F2"/>
            <w:hideMark/>
          </w:tcPr>
          <w:p w14:paraId="1899A384" w14:textId="77777777" w:rsidR="009E7F24" w:rsidRPr="00D36BA9" w:rsidRDefault="009E7F24" w:rsidP="00D36BA9">
            <w:pPr>
              <w:pStyle w:val="TableBody"/>
            </w:pPr>
            <w:r w:rsidRPr="00D36BA9">
              <w:t>The Community Broadcasting Codes of Practice (The Codes)</w:t>
            </w:r>
          </w:p>
        </w:tc>
        <w:tc>
          <w:tcPr>
            <w:tcW w:w="2353" w:type="pct"/>
            <w:shd w:val="clear" w:color="auto" w:fill="auto"/>
            <w:hideMark/>
          </w:tcPr>
          <w:p w14:paraId="5922B487" w14:textId="5009AE2D" w:rsidR="009E7F24" w:rsidRDefault="00A11971" w:rsidP="00D36BA9">
            <w:pPr>
              <w:pStyle w:val="TableBody"/>
              <w:rPr>
                <w:shd w:val="clear" w:color="auto" w:fill="FFFFFF"/>
              </w:rPr>
            </w:pPr>
            <w:hyperlink r:id="rId57" w:tgtFrame="_blank" w:history="1">
              <w:r w:rsidR="009E7F24" w:rsidRPr="00763B39">
                <w:rPr>
                  <w:rStyle w:val="Hyperlink"/>
                  <w:rFonts w:asciiTheme="majorHAnsi" w:hAnsiTheme="majorHAnsi" w:cstheme="majorHAnsi"/>
                  <w:u w:val="none"/>
                  <w:shd w:val="clear" w:color="auto" w:fill="FFFFFF"/>
                </w:rPr>
                <w:t>The Codes</w:t>
              </w:r>
            </w:hyperlink>
            <w:r w:rsidR="009E7F24" w:rsidRPr="00763B39">
              <w:rPr>
                <w:shd w:val="clear" w:color="auto" w:fill="FFFFFF"/>
              </w:rPr>
              <w:t> set</w:t>
            </w:r>
            <w:r w:rsidR="009E7F24">
              <w:rPr>
                <w:shd w:val="clear" w:color="auto" w:fill="FFFFFF"/>
              </w:rPr>
              <w:t xml:space="preserve"> out the guiding principles and policies for programming on community broadcasting stations. They also outline the operational standards for stations that hold a community broadcasting licence. The Codes do not replace the licence conditions in the Act; they are complementary, and stations are legally obliged to follow both the licence conditions and the Codes.</w:t>
            </w:r>
          </w:p>
        </w:tc>
        <w:tc>
          <w:tcPr>
            <w:tcW w:w="1838" w:type="pct"/>
            <w:shd w:val="clear" w:color="auto" w:fill="auto"/>
            <w:hideMark/>
          </w:tcPr>
          <w:p w14:paraId="23747404" w14:textId="77777777" w:rsidR="009E7F24" w:rsidRDefault="009E7F24" w:rsidP="00D36BA9">
            <w:pPr>
              <w:pStyle w:val="TableBody"/>
            </w:pPr>
            <w:r>
              <w:t>While the Codes protect the licences and provide policies for programming of broadcast stations, it lacks a solid risk management strategy to prevent security and resilience risk that might compromise national broadcasting. Additionally, it lacks a clear approach for protecting the broadcasting stations' data.</w:t>
            </w:r>
          </w:p>
        </w:tc>
      </w:tr>
      <w:tr w:rsidR="009E7F24" w14:paraId="238B8B97" w14:textId="77777777" w:rsidTr="7EBB1CEE">
        <w:tc>
          <w:tcPr>
            <w:tcW w:w="809" w:type="pct"/>
            <w:shd w:val="clear" w:color="auto" w:fill="F2F2F2" w:themeFill="background2" w:themeFillShade="F2"/>
            <w:hideMark/>
          </w:tcPr>
          <w:p w14:paraId="44436D6D" w14:textId="77777777" w:rsidR="009E7F24" w:rsidRPr="00D36BA9" w:rsidRDefault="009E7F24" w:rsidP="00D36BA9">
            <w:pPr>
              <w:pStyle w:val="TableBody"/>
            </w:pPr>
            <w:r w:rsidRPr="00D36BA9">
              <w:t>Radiocommunications Act 1992 (Cth)</w:t>
            </w:r>
          </w:p>
        </w:tc>
        <w:tc>
          <w:tcPr>
            <w:tcW w:w="2353" w:type="pct"/>
            <w:shd w:val="clear" w:color="auto" w:fill="auto"/>
            <w:hideMark/>
          </w:tcPr>
          <w:p w14:paraId="69C9CAD5" w14:textId="77777777" w:rsidR="009E7F24" w:rsidRDefault="009E7F24" w:rsidP="00D36BA9">
            <w:pPr>
              <w:pStyle w:val="TableBody"/>
              <w:rPr>
                <w:lang w:eastAsia="en-AU"/>
              </w:rPr>
            </w:pPr>
            <w:r>
              <w:rPr>
                <w:lang w:eastAsia="en-AU"/>
              </w:rPr>
              <w:t>The Act aims to promote the long</w:t>
            </w:r>
            <w:r>
              <w:rPr>
                <w:lang w:eastAsia="en-AU"/>
              </w:rPr>
              <w:noBreakHyphen/>
              <w:t>term public interest derived from the use of spectrum. It does so by providing for the management of spectrum in a manner that:</w:t>
            </w:r>
          </w:p>
          <w:p w14:paraId="7D773E38" w14:textId="77777777" w:rsidR="009E7F24" w:rsidRDefault="009E7F24" w:rsidP="00D36BA9">
            <w:pPr>
              <w:pStyle w:val="TableBullet"/>
            </w:pPr>
            <w:r>
              <w:t>Facilitates the efficient planning, allocation and use of spectrum.</w:t>
            </w:r>
          </w:p>
          <w:p w14:paraId="629AD950" w14:textId="77777777" w:rsidR="009E7F24" w:rsidRDefault="009E7F24" w:rsidP="00D36BA9">
            <w:pPr>
              <w:pStyle w:val="TableBullet"/>
            </w:pPr>
            <w:r>
              <w:t xml:space="preserve">Facilitates the use of spectrum for commercial and defence purposes, national security purposes and other </w:t>
            </w:r>
            <w:r w:rsidR="253EA202">
              <w:t>noncommercial</w:t>
            </w:r>
            <w:r>
              <w:t xml:space="preserve"> purposes. This includes public safety and community purposes.</w:t>
            </w:r>
          </w:p>
          <w:p w14:paraId="698FAC59" w14:textId="77777777" w:rsidR="009E7F24" w:rsidRDefault="009E7F24" w:rsidP="00D36BA9">
            <w:pPr>
              <w:pStyle w:val="TableBody"/>
              <w:rPr>
                <w:rFonts w:eastAsia="Calibri"/>
              </w:rPr>
            </w:pPr>
            <w:r>
              <w:rPr>
                <w:lang w:eastAsia="en-AU"/>
              </w:rPr>
              <w:t>Supports the communications policy objectives of the Australian Government.</w:t>
            </w:r>
          </w:p>
        </w:tc>
        <w:tc>
          <w:tcPr>
            <w:tcW w:w="1838" w:type="pct"/>
            <w:shd w:val="clear" w:color="auto" w:fill="auto"/>
            <w:hideMark/>
          </w:tcPr>
          <w:p w14:paraId="47D3CDD0" w14:textId="77777777" w:rsidR="009E7F24" w:rsidRDefault="009E7F24" w:rsidP="00D36BA9">
            <w:pPr>
              <w:pStyle w:val="TableBody"/>
              <w:rPr>
                <w:spacing w:val="2"/>
              </w:rPr>
            </w:pPr>
            <w:r>
              <w:t>While the Act establishes a framework for defence and national security purposes, it does not address foreign intervention, structural damage, or a cyber security and other incidents approach to the broadcasting infrastructure. This puts the transmitter infrastructure and signals at risk of major disruptions.</w:t>
            </w:r>
          </w:p>
        </w:tc>
      </w:tr>
      <w:tr w:rsidR="00D36BA9" w14:paraId="7C0602BA" w14:textId="77777777" w:rsidTr="7EBB1CEE">
        <w:tc>
          <w:tcPr>
            <w:tcW w:w="809" w:type="pct"/>
            <w:shd w:val="clear" w:color="auto" w:fill="F2F2F2" w:themeFill="background2" w:themeFillShade="F2"/>
            <w:hideMark/>
          </w:tcPr>
          <w:p w14:paraId="3B76F054" w14:textId="77777777" w:rsidR="009E7F24" w:rsidRPr="00D36BA9" w:rsidRDefault="009E7F24" w:rsidP="00D36BA9">
            <w:pPr>
              <w:pStyle w:val="TableBody"/>
            </w:pPr>
            <w:r w:rsidRPr="00D36BA9">
              <w:t>Australian Communications and Media Authority (ACMA)</w:t>
            </w:r>
          </w:p>
        </w:tc>
        <w:tc>
          <w:tcPr>
            <w:tcW w:w="2353" w:type="pct"/>
            <w:shd w:val="clear" w:color="auto" w:fill="auto"/>
            <w:hideMark/>
          </w:tcPr>
          <w:p w14:paraId="5CEEA380" w14:textId="6075626D" w:rsidR="009E7F24" w:rsidRDefault="009E7F24" w:rsidP="00D36BA9">
            <w:pPr>
              <w:pStyle w:val="TableBody"/>
              <w:rPr>
                <w:rFonts w:eastAsia="Times New Roman"/>
                <w:lang w:eastAsia="en-AU"/>
              </w:rPr>
            </w:pPr>
            <w:r>
              <w:t xml:space="preserve">ACMA is responsible for regulating telecommunications and </w:t>
            </w:r>
            <w:r w:rsidR="00765A9F">
              <w:t>radio communications</w:t>
            </w:r>
            <w:r>
              <w:t>, including promoting industry self-regulation and managing the radiofrequency spectrum. The ACMA also has significant consumer protection responsibilities</w:t>
            </w:r>
            <w:r>
              <w:rPr>
                <w:shd w:val="clear" w:color="auto" w:fill="FFFFFF"/>
              </w:rPr>
              <w:t>.</w:t>
            </w:r>
          </w:p>
        </w:tc>
        <w:tc>
          <w:tcPr>
            <w:tcW w:w="1838" w:type="pct"/>
            <w:shd w:val="clear" w:color="auto" w:fill="auto"/>
            <w:hideMark/>
          </w:tcPr>
          <w:p w14:paraId="4A034F4C" w14:textId="77777777" w:rsidR="009E7F24" w:rsidRDefault="009E7F24" w:rsidP="00D36BA9">
            <w:pPr>
              <w:pStyle w:val="TableBody"/>
            </w:pPr>
            <w:r>
              <w:t>While the ACMA establishes regulations and standards for broadcast networks, manages licences, and monitors compliance, it lacks a systematic approach to defending networks and infrastructure from cyber security and other incidents threats.</w:t>
            </w:r>
          </w:p>
        </w:tc>
      </w:tr>
      <w:tr w:rsidR="009E7F24" w14:paraId="02A5FB68" w14:textId="77777777" w:rsidTr="7EBB1CEE">
        <w:tc>
          <w:tcPr>
            <w:tcW w:w="809" w:type="pct"/>
            <w:shd w:val="clear" w:color="auto" w:fill="F2F2F2" w:themeFill="background2" w:themeFillShade="F2"/>
            <w:hideMark/>
          </w:tcPr>
          <w:p w14:paraId="0DA39DE6" w14:textId="77777777" w:rsidR="009E7F24" w:rsidRPr="00D36BA9" w:rsidRDefault="009E7F24" w:rsidP="00D36BA9">
            <w:pPr>
              <w:pStyle w:val="TableBody"/>
            </w:pPr>
            <w:r w:rsidRPr="00D36BA9">
              <w:t>Australian Competition &amp; Consumer Commission (ACCC)</w:t>
            </w:r>
          </w:p>
        </w:tc>
        <w:tc>
          <w:tcPr>
            <w:tcW w:w="2353" w:type="pct"/>
            <w:shd w:val="clear" w:color="auto" w:fill="auto"/>
            <w:hideMark/>
          </w:tcPr>
          <w:p w14:paraId="58ED2BA3" w14:textId="77777777" w:rsidR="009E7F24" w:rsidRDefault="009E7F24" w:rsidP="00D36BA9">
            <w:pPr>
              <w:pStyle w:val="TableBody"/>
            </w:pPr>
            <w:r>
              <w:rPr>
                <w:shd w:val="clear" w:color="auto" w:fill="FFFFFF"/>
              </w:rPr>
              <w:t>An independent Commonwealth statutory authority whose role is to enforce the </w:t>
            </w:r>
            <w:r>
              <w:rPr>
                <w:rStyle w:val="Emphasis"/>
                <w:rFonts w:cstheme="majorHAnsi"/>
                <w:shd w:val="clear" w:color="auto" w:fill="FFFFFF"/>
              </w:rPr>
              <w:t>Competition and Consumer Act 2010</w:t>
            </w:r>
            <w:r>
              <w:rPr>
                <w:shd w:val="clear" w:color="auto" w:fill="FFFFFF"/>
              </w:rPr>
              <w:t> and a range of additional legislation, promoting competition, fair trading and regulating national infrastructure for the benefit of all Australians.</w:t>
            </w:r>
          </w:p>
        </w:tc>
        <w:tc>
          <w:tcPr>
            <w:tcW w:w="1838" w:type="pct"/>
            <w:shd w:val="clear" w:color="auto" w:fill="auto"/>
            <w:hideMark/>
          </w:tcPr>
          <w:p w14:paraId="1DAFF711" w14:textId="77777777" w:rsidR="009E7F24" w:rsidRDefault="009E7F24" w:rsidP="00D36BA9">
            <w:pPr>
              <w:pStyle w:val="TableBody"/>
              <w:rPr>
                <w:rFonts w:asciiTheme="majorHAnsi" w:hAnsiTheme="majorHAnsi" w:cstheme="majorHAnsi"/>
              </w:rPr>
            </w:pPr>
            <w:r>
              <w:rPr>
                <w:rFonts w:asciiTheme="majorHAnsi" w:hAnsiTheme="majorHAnsi" w:cstheme="majorHAnsi"/>
              </w:rPr>
              <w:t xml:space="preserve">The ACCC provides a framework for regulating national infrastructure, </w:t>
            </w:r>
            <w:r>
              <w:t xml:space="preserve">however there isn’t a risk management approach to cyber security incidents and reporting to </w:t>
            </w:r>
            <w:r>
              <w:lastRenderedPageBreak/>
              <w:t>avoid disruptions to broadcasting services and supply chain.</w:t>
            </w:r>
          </w:p>
        </w:tc>
      </w:tr>
    </w:tbl>
    <w:p w14:paraId="088CC7E8" w14:textId="77777777" w:rsidR="009E7F24" w:rsidRDefault="000C3D44" w:rsidP="008E1A28">
      <w:pPr>
        <w:pStyle w:val="AppendixH2"/>
      </w:pPr>
      <w:r>
        <w:lastRenderedPageBreak/>
        <w:t xml:space="preserve">Existing standards, guidelines and regulators for </w:t>
      </w:r>
      <w:r w:rsidR="009E7F24">
        <w:t>critical broadcasting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320"/>
        <w:gridCol w:w="3075"/>
        <w:gridCol w:w="5243"/>
      </w:tblGrid>
      <w:tr w:rsidR="00D36BA9" w14:paraId="3DE64D9E" w14:textId="77777777" w:rsidTr="00D36BA9">
        <w:tc>
          <w:tcPr>
            <w:tcW w:w="685" w:type="pct"/>
            <w:shd w:val="clear" w:color="auto" w:fill="034EA2" w:themeFill="accent1"/>
            <w:hideMark/>
          </w:tcPr>
          <w:p w14:paraId="27CA0407" w14:textId="124DD308" w:rsidR="009E7F24" w:rsidRPr="00763B39" w:rsidRDefault="006B3927" w:rsidP="00D36BA9">
            <w:pPr>
              <w:pStyle w:val="TableHeading"/>
            </w:pPr>
            <w:r>
              <w:t>Hazard domain</w:t>
            </w:r>
          </w:p>
        </w:tc>
        <w:tc>
          <w:tcPr>
            <w:tcW w:w="1595" w:type="pct"/>
            <w:shd w:val="clear" w:color="auto" w:fill="034EA2" w:themeFill="accent1"/>
            <w:hideMark/>
          </w:tcPr>
          <w:p w14:paraId="0C093F1D" w14:textId="77777777" w:rsidR="009E7F24" w:rsidRPr="00763B39" w:rsidRDefault="009E7F24" w:rsidP="00D36BA9">
            <w:pPr>
              <w:pStyle w:val="TableHeading"/>
            </w:pPr>
            <w:r w:rsidRPr="00763B39">
              <w:t>Organisation</w:t>
            </w:r>
          </w:p>
        </w:tc>
        <w:tc>
          <w:tcPr>
            <w:tcW w:w="2720" w:type="pct"/>
            <w:shd w:val="clear" w:color="auto" w:fill="034EA2" w:themeFill="accent1"/>
            <w:hideMark/>
          </w:tcPr>
          <w:p w14:paraId="59C6E259" w14:textId="77777777" w:rsidR="009E7F24" w:rsidRPr="00763B39" w:rsidRDefault="009E7F24" w:rsidP="00D36BA9">
            <w:pPr>
              <w:pStyle w:val="TableHeading"/>
            </w:pPr>
            <w:r w:rsidRPr="00763B39">
              <w:t>Standards &amp; guidelines</w:t>
            </w:r>
          </w:p>
        </w:tc>
      </w:tr>
      <w:tr w:rsidR="009E7F24" w14:paraId="7D9543BD" w14:textId="77777777" w:rsidTr="00D36BA9">
        <w:tc>
          <w:tcPr>
            <w:tcW w:w="685" w:type="pct"/>
            <w:vMerge w:val="restart"/>
            <w:shd w:val="clear" w:color="auto" w:fill="F2F2F2" w:themeFill="background1" w:themeFillShade="F2"/>
            <w:hideMark/>
          </w:tcPr>
          <w:p w14:paraId="473C85B5" w14:textId="77777777" w:rsidR="009E7F24" w:rsidRDefault="009E7F24" w:rsidP="00D36BA9">
            <w:pPr>
              <w:pStyle w:val="TableBody"/>
            </w:pPr>
            <w:r>
              <w:t>Cyber</w:t>
            </w:r>
          </w:p>
        </w:tc>
        <w:tc>
          <w:tcPr>
            <w:tcW w:w="1595" w:type="pct"/>
            <w:shd w:val="clear" w:color="auto" w:fill="auto"/>
            <w:hideMark/>
          </w:tcPr>
          <w:p w14:paraId="77E24C63" w14:textId="01ACFF09" w:rsidR="009E7F24" w:rsidRDefault="002F57EB" w:rsidP="00D36BA9">
            <w:pPr>
              <w:pStyle w:val="TableBody"/>
            </w:pPr>
            <w:r>
              <w:t>International Organization for Standardization</w:t>
            </w:r>
            <w:r w:rsidR="009E7F24">
              <w:t xml:space="preserve"> (ISO)</w:t>
            </w:r>
          </w:p>
        </w:tc>
        <w:tc>
          <w:tcPr>
            <w:tcW w:w="2720" w:type="pct"/>
            <w:shd w:val="clear" w:color="auto" w:fill="auto"/>
            <w:hideMark/>
          </w:tcPr>
          <w:p w14:paraId="3F9977CA" w14:textId="77777777" w:rsidR="009E7F24" w:rsidRDefault="009E7F24" w:rsidP="00D36BA9">
            <w:pPr>
              <w:pStyle w:val="TableBody"/>
            </w:pPr>
            <w:r>
              <w:rPr>
                <w:b/>
                <w:bCs/>
              </w:rPr>
              <w:t>ISO 27001</w:t>
            </w:r>
            <w:r>
              <w:t xml:space="preserve"> provides requirements for information security management systems.</w:t>
            </w:r>
          </w:p>
        </w:tc>
      </w:tr>
      <w:tr w:rsidR="009E7F24" w14:paraId="12405752" w14:textId="77777777" w:rsidTr="00D36BA9">
        <w:tc>
          <w:tcPr>
            <w:tcW w:w="685" w:type="pct"/>
            <w:vMerge/>
            <w:shd w:val="clear" w:color="auto" w:fill="F2F2F2" w:themeFill="background1" w:themeFillShade="F2"/>
            <w:hideMark/>
          </w:tcPr>
          <w:p w14:paraId="6254B52D" w14:textId="77777777" w:rsidR="009E7F24" w:rsidRDefault="009E7F24" w:rsidP="00D36BA9">
            <w:pPr>
              <w:pStyle w:val="TableBody"/>
              <w:rPr>
                <w:sz w:val="22"/>
              </w:rPr>
            </w:pPr>
          </w:p>
        </w:tc>
        <w:tc>
          <w:tcPr>
            <w:tcW w:w="1595" w:type="pct"/>
            <w:shd w:val="clear" w:color="auto" w:fill="auto"/>
            <w:hideMark/>
          </w:tcPr>
          <w:p w14:paraId="66B76194" w14:textId="77777777" w:rsidR="009E7F24" w:rsidRDefault="009E7F24" w:rsidP="00D36BA9">
            <w:pPr>
              <w:pStyle w:val="TableBody"/>
            </w:pPr>
            <w:r>
              <w:t>National Institutes of Standards and Technology (NIST)</w:t>
            </w:r>
          </w:p>
        </w:tc>
        <w:tc>
          <w:tcPr>
            <w:tcW w:w="2720" w:type="pct"/>
            <w:shd w:val="clear" w:color="auto" w:fill="auto"/>
            <w:hideMark/>
          </w:tcPr>
          <w:p w14:paraId="242749A0" w14:textId="77777777" w:rsidR="009E7F24" w:rsidRDefault="009E7F24" w:rsidP="00D36BA9">
            <w:pPr>
              <w:pStyle w:val="TableBody"/>
            </w:pPr>
            <w:r>
              <w:t>Cybersecurity Programs</w:t>
            </w:r>
          </w:p>
        </w:tc>
      </w:tr>
      <w:tr w:rsidR="009E7F24" w14:paraId="72794014" w14:textId="77777777" w:rsidTr="00D36BA9">
        <w:tc>
          <w:tcPr>
            <w:tcW w:w="685" w:type="pct"/>
            <w:shd w:val="clear" w:color="auto" w:fill="F2F2F2" w:themeFill="background1" w:themeFillShade="F2"/>
            <w:hideMark/>
          </w:tcPr>
          <w:p w14:paraId="4962903F" w14:textId="77777777" w:rsidR="009E7F24" w:rsidRDefault="009E7F24" w:rsidP="00D36BA9">
            <w:pPr>
              <w:pStyle w:val="TableBody"/>
            </w:pPr>
            <w:r>
              <w:t>Physical</w:t>
            </w:r>
          </w:p>
        </w:tc>
        <w:tc>
          <w:tcPr>
            <w:tcW w:w="1595" w:type="pct"/>
            <w:shd w:val="clear" w:color="auto" w:fill="auto"/>
            <w:hideMark/>
          </w:tcPr>
          <w:p w14:paraId="6544A836" w14:textId="77777777" w:rsidR="009E7F24" w:rsidRDefault="009E7F24" w:rsidP="00D36BA9">
            <w:pPr>
              <w:pStyle w:val="TableBody"/>
            </w:pPr>
            <w:r>
              <w:t>Standards and codes for TV and radio broadcasters</w:t>
            </w:r>
          </w:p>
        </w:tc>
        <w:tc>
          <w:tcPr>
            <w:tcW w:w="2720" w:type="pct"/>
            <w:shd w:val="clear" w:color="auto" w:fill="auto"/>
          </w:tcPr>
          <w:p w14:paraId="15F60BF7" w14:textId="77777777" w:rsidR="009E7F24" w:rsidRPr="00763B39" w:rsidRDefault="009E7F24" w:rsidP="00D36BA9">
            <w:pPr>
              <w:pStyle w:val="TableBody"/>
              <w:rPr>
                <w:b/>
              </w:rPr>
            </w:pPr>
            <w:r w:rsidRPr="00763B39">
              <w:rPr>
                <w:b/>
              </w:rPr>
              <w:t>Broadcasting Services (Australian Content in Advertising) Standard 2018</w:t>
            </w:r>
          </w:p>
          <w:p w14:paraId="7A5BF5BA" w14:textId="77777777" w:rsidR="009E7F24" w:rsidRPr="00763B39" w:rsidRDefault="009E7F24" w:rsidP="00D36BA9">
            <w:pPr>
              <w:pStyle w:val="TableBody"/>
              <w:rPr>
                <w:b/>
              </w:rPr>
            </w:pPr>
            <w:r w:rsidRPr="00763B39">
              <w:rPr>
                <w:b/>
              </w:rPr>
              <w:t>Broadcasting Services (Commercial Radio Current Affairs Disclosure</w:t>
            </w:r>
          </w:p>
          <w:p w14:paraId="4BD2D66F" w14:textId="77777777" w:rsidR="009E7F24" w:rsidRDefault="009E7F24" w:rsidP="00D36BA9">
            <w:pPr>
              <w:pStyle w:val="TableBody"/>
            </w:pPr>
            <w:r w:rsidRPr="00763B39">
              <w:rPr>
                <w:b/>
              </w:rPr>
              <w:t>ACMA documentary guidelines 2021</w:t>
            </w:r>
          </w:p>
        </w:tc>
      </w:tr>
    </w:tbl>
    <w:p w14:paraId="309C44B7" w14:textId="6362044E" w:rsidR="009E7F24" w:rsidRDefault="009E7F24" w:rsidP="009E7F24">
      <w:pPr>
        <w:pStyle w:val="BodyText"/>
        <w:rPr>
          <w:rFonts w:eastAsia="Times New Roman" w:cs="Times New Roman"/>
          <w:sz w:val="20"/>
          <w:szCs w:val="24"/>
          <w:lang w:eastAsia="en-AU"/>
        </w:rPr>
      </w:pPr>
    </w:p>
    <w:p w14:paraId="424C0AB0" w14:textId="7A42E06B" w:rsidR="00860EA6" w:rsidRDefault="00860EA6" w:rsidP="009E7F24">
      <w:pPr>
        <w:pStyle w:val="BodyText"/>
        <w:rPr>
          <w:rFonts w:eastAsia="Times New Roman" w:cs="Times New Roman"/>
          <w:sz w:val="20"/>
          <w:szCs w:val="24"/>
          <w:lang w:eastAsia="en-AU"/>
        </w:rPr>
      </w:pPr>
    </w:p>
    <w:p w14:paraId="72A86AF2" w14:textId="77777777" w:rsidR="00860EA6" w:rsidRDefault="00860EA6" w:rsidP="009E7F24">
      <w:pPr>
        <w:pStyle w:val="BodyText"/>
        <w:rPr>
          <w:rFonts w:eastAsia="Times New Roman" w:cs="Times New Roman"/>
          <w:sz w:val="20"/>
          <w:szCs w:val="24"/>
          <w:lang w:eastAsia="en-AU"/>
        </w:rPr>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3329"/>
        <w:gridCol w:w="6309"/>
      </w:tblGrid>
      <w:tr w:rsidR="009E7F24" w14:paraId="1FDC9108" w14:textId="77777777" w:rsidTr="00860EA6">
        <w:tc>
          <w:tcPr>
            <w:tcW w:w="1727" w:type="pct"/>
            <w:shd w:val="clear" w:color="auto" w:fill="034EA2" w:themeFill="accent1"/>
            <w:hideMark/>
          </w:tcPr>
          <w:p w14:paraId="7604E749" w14:textId="77777777" w:rsidR="009E7F24" w:rsidRDefault="009E7F24" w:rsidP="004744F3">
            <w:pPr>
              <w:pStyle w:val="TableHeading"/>
            </w:pPr>
            <w:r>
              <w:t>Jurisdiction</w:t>
            </w:r>
          </w:p>
        </w:tc>
        <w:tc>
          <w:tcPr>
            <w:tcW w:w="3273" w:type="pct"/>
            <w:shd w:val="clear" w:color="auto" w:fill="034EA2" w:themeFill="accent1"/>
            <w:hideMark/>
          </w:tcPr>
          <w:p w14:paraId="3529CE50" w14:textId="77777777" w:rsidR="009E7F24" w:rsidRDefault="009E7F24" w:rsidP="004744F3">
            <w:pPr>
              <w:pStyle w:val="TableHeading"/>
            </w:pPr>
            <w:r>
              <w:t>Regulator/s</w:t>
            </w:r>
          </w:p>
        </w:tc>
      </w:tr>
      <w:tr w:rsidR="009E7F24" w14:paraId="5150DB8E" w14:textId="77777777" w:rsidTr="00860EA6">
        <w:tc>
          <w:tcPr>
            <w:tcW w:w="1727" w:type="pct"/>
            <w:shd w:val="clear" w:color="auto" w:fill="F2F2F2" w:themeFill="background1" w:themeFillShade="F2"/>
            <w:hideMark/>
          </w:tcPr>
          <w:p w14:paraId="6BB49BB2" w14:textId="77777777" w:rsidR="009E7F24" w:rsidRDefault="009E7F24" w:rsidP="004744F3">
            <w:pPr>
              <w:pStyle w:val="TableBody"/>
            </w:pPr>
            <w:r>
              <w:t>Commonwealth</w:t>
            </w:r>
          </w:p>
        </w:tc>
        <w:tc>
          <w:tcPr>
            <w:tcW w:w="3273" w:type="pct"/>
            <w:shd w:val="clear" w:color="auto" w:fill="auto"/>
          </w:tcPr>
          <w:p w14:paraId="0AC5F9EC" w14:textId="77777777" w:rsidR="009E7F24" w:rsidRDefault="009E7F24" w:rsidP="004744F3">
            <w:pPr>
              <w:pStyle w:val="TableBody"/>
            </w:pPr>
            <w:r>
              <w:t>Australian Communications and Media Authority (ACMA)</w:t>
            </w:r>
          </w:p>
          <w:p w14:paraId="03B852E5" w14:textId="77777777" w:rsidR="009E7F24" w:rsidRDefault="009E7F24" w:rsidP="004744F3">
            <w:pPr>
              <w:pStyle w:val="TableBody"/>
            </w:pPr>
            <w:r>
              <w:t>Australian Competition and Consumer Commission (ACCC)</w:t>
            </w:r>
          </w:p>
        </w:tc>
      </w:tr>
      <w:tr w:rsidR="009E7F24" w14:paraId="206DBFD1" w14:textId="77777777" w:rsidTr="00860EA6">
        <w:tc>
          <w:tcPr>
            <w:tcW w:w="1727" w:type="pct"/>
            <w:shd w:val="clear" w:color="auto" w:fill="F2F2F2" w:themeFill="background1" w:themeFillShade="F2"/>
            <w:hideMark/>
          </w:tcPr>
          <w:p w14:paraId="2603B18D" w14:textId="77777777" w:rsidR="009E7F24" w:rsidRDefault="009E7F24" w:rsidP="004744F3">
            <w:pPr>
              <w:pStyle w:val="TableBody"/>
            </w:pPr>
            <w:r>
              <w:t>Australian Capital Territory</w:t>
            </w:r>
          </w:p>
        </w:tc>
        <w:tc>
          <w:tcPr>
            <w:tcW w:w="3273" w:type="pct"/>
            <w:shd w:val="clear" w:color="auto" w:fill="auto"/>
            <w:hideMark/>
          </w:tcPr>
          <w:p w14:paraId="76BF3554" w14:textId="77777777" w:rsidR="009E7F24" w:rsidRDefault="009E7F24" w:rsidP="004744F3">
            <w:pPr>
              <w:pStyle w:val="TableBody"/>
            </w:pPr>
            <w:r>
              <w:t>ACMA</w:t>
            </w:r>
          </w:p>
        </w:tc>
      </w:tr>
      <w:tr w:rsidR="009E7F24" w14:paraId="196A4184" w14:textId="77777777" w:rsidTr="00860EA6">
        <w:trPr>
          <w:trHeight w:val="289"/>
        </w:trPr>
        <w:tc>
          <w:tcPr>
            <w:tcW w:w="1727" w:type="pct"/>
            <w:shd w:val="clear" w:color="auto" w:fill="F2F2F2" w:themeFill="background1" w:themeFillShade="F2"/>
            <w:hideMark/>
          </w:tcPr>
          <w:p w14:paraId="2D6488C6" w14:textId="77777777" w:rsidR="009E7F24" w:rsidRDefault="009E7F24" w:rsidP="004744F3">
            <w:pPr>
              <w:pStyle w:val="TableBody"/>
            </w:pPr>
            <w:r>
              <w:t>New South Wales</w:t>
            </w:r>
          </w:p>
        </w:tc>
        <w:tc>
          <w:tcPr>
            <w:tcW w:w="3273" w:type="pct"/>
            <w:shd w:val="clear" w:color="auto" w:fill="auto"/>
            <w:hideMark/>
          </w:tcPr>
          <w:p w14:paraId="04DFD13A" w14:textId="77777777" w:rsidR="009E7F24" w:rsidRDefault="009E7F24" w:rsidP="004744F3">
            <w:pPr>
              <w:pStyle w:val="TableBody"/>
            </w:pPr>
            <w:r>
              <w:t>ACMA</w:t>
            </w:r>
          </w:p>
        </w:tc>
      </w:tr>
      <w:tr w:rsidR="009E7F24" w14:paraId="698F27F1" w14:textId="77777777" w:rsidTr="00860EA6">
        <w:tc>
          <w:tcPr>
            <w:tcW w:w="1727" w:type="pct"/>
            <w:shd w:val="clear" w:color="auto" w:fill="F2F2F2" w:themeFill="background1" w:themeFillShade="F2"/>
            <w:hideMark/>
          </w:tcPr>
          <w:p w14:paraId="1C601536" w14:textId="77777777" w:rsidR="009E7F24" w:rsidRDefault="009E7F24" w:rsidP="004744F3">
            <w:pPr>
              <w:pStyle w:val="TableBody"/>
            </w:pPr>
            <w:r>
              <w:t>Northern Territory</w:t>
            </w:r>
          </w:p>
        </w:tc>
        <w:tc>
          <w:tcPr>
            <w:tcW w:w="3273" w:type="pct"/>
            <w:shd w:val="clear" w:color="auto" w:fill="auto"/>
            <w:hideMark/>
          </w:tcPr>
          <w:p w14:paraId="2D1A6B32" w14:textId="77777777" w:rsidR="009E7F24" w:rsidRDefault="009E7F24" w:rsidP="004744F3">
            <w:pPr>
              <w:pStyle w:val="TableBody"/>
            </w:pPr>
            <w:r>
              <w:t>ACMA</w:t>
            </w:r>
          </w:p>
        </w:tc>
      </w:tr>
      <w:tr w:rsidR="009E7F24" w14:paraId="13DA1DDE" w14:textId="77777777" w:rsidTr="00860EA6">
        <w:tc>
          <w:tcPr>
            <w:tcW w:w="1727" w:type="pct"/>
            <w:shd w:val="clear" w:color="auto" w:fill="F2F2F2" w:themeFill="background1" w:themeFillShade="F2"/>
            <w:hideMark/>
          </w:tcPr>
          <w:p w14:paraId="33FC2D08" w14:textId="77777777" w:rsidR="009E7F24" w:rsidRDefault="009E7F24" w:rsidP="004744F3">
            <w:pPr>
              <w:pStyle w:val="TableBody"/>
            </w:pPr>
            <w:r>
              <w:t>Queensland</w:t>
            </w:r>
          </w:p>
        </w:tc>
        <w:tc>
          <w:tcPr>
            <w:tcW w:w="3273" w:type="pct"/>
            <w:shd w:val="clear" w:color="auto" w:fill="auto"/>
            <w:hideMark/>
          </w:tcPr>
          <w:p w14:paraId="6C5855A2" w14:textId="77777777" w:rsidR="009E7F24" w:rsidRDefault="009E7F24" w:rsidP="004744F3">
            <w:pPr>
              <w:pStyle w:val="TableBody"/>
            </w:pPr>
            <w:r>
              <w:t>ACMA</w:t>
            </w:r>
          </w:p>
        </w:tc>
      </w:tr>
      <w:tr w:rsidR="009E7F24" w14:paraId="0200C231" w14:textId="77777777" w:rsidTr="00860EA6">
        <w:tc>
          <w:tcPr>
            <w:tcW w:w="1727" w:type="pct"/>
            <w:shd w:val="clear" w:color="auto" w:fill="F2F2F2" w:themeFill="background1" w:themeFillShade="F2"/>
            <w:hideMark/>
          </w:tcPr>
          <w:p w14:paraId="31B8846C" w14:textId="77777777" w:rsidR="009E7F24" w:rsidRDefault="009E7F24" w:rsidP="004744F3">
            <w:pPr>
              <w:pStyle w:val="TableBody"/>
            </w:pPr>
            <w:r>
              <w:t>South Australia</w:t>
            </w:r>
          </w:p>
        </w:tc>
        <w:tc>
          <w:tcPr>
            <w:tcW w:w="3273" w:type="pct"/>
            <w:shd w:val="clear" w:color="auto" w:fill="auto"/>
            <w:hideMark/>
          </w:tcPr>
          <w:p w14:paraId="0EBCF49C" w14:textId="77777777" w:rsidR="009E7F24" w:rsidRDefault="009E7F24" w:rsidP="004744F3">
            <w:pPr>
              <w:pStyle w:val="TableBody"/>
            </w:pPr>
            <w:r>
              <w:t>ACMA</w:t>
            </w:r>
          </w:p>
        </w:tc>
      </w:tr>
      <w:tr w:rsidR="009E7F24" w14:paraId="39529684" w14:textId="77777777" w:rsidTr="00860EA6">
        <w:tc>
          <w:tcPr>
            <w:tcW w:w="1727" w:type="pct"/>
            <w:shd w:val="clear" w:color="auto" w:fill="F2F2F2" w:themeFill="background1" w:themeFillShade="F2"/>
            <w:hideMark/>
          </w:tcPr>
          <w:p w14:paraId="72268A25" w14:textId="77777777" w:rsidR="009E7F24" w:rsidRDefault="009E7F24" w:rsidP="004744F3">
            <w:pPr>
              <w:pStyle w:val="TableBody"/>
            </w:pPr>
            <w:r>
              <w:t>Tasmania</w:t>
            </w:r>
          </w:p>
        </w:tc>
        <w:tc>
          <w:tcPr>
            <w:tcW w:w="3273" w:type="pct"/>
            <w:shd w:val="clear" w:color="auto" w:fill="auto"/>
            <w:hideMark/>
          </w:tcPr>
          <w:p w14:paraId="4B8E9E10" w14:textId="77777777" w:rsidR="009E7F24" w:rsidRDefault="009E7F24" w:rsidP="004744F3">
            <w:pPr>
              <w:pStyle w:val="TableBody"/>
            </w:pPr>
            <w:r>
              <w:t>ACMA</w:t>
            </w:r>
          </w:p>
        </w:tc>
      </w:tr>
      <w:tr w:rsidR="009E7F24" w14:paraId="48A2A6E7" w14:textId="77777777" w:rsidTr="00860EA6">
        <w:tc>
          <w:tcPr>
            <w:tcW w:w="1727" w:type="pct"/>
            <w:shd w:val="clear" w:color="auto" w:fill="F2F2F2" w:themeFill="background1" w:themeFillShade="F2"/>
            <w:hideMark/>
          </w:tcPr>
          <w:p w14:paraId="30652377" w14:textId="77777777" w:rsidR="009E7F24" w:rsidRDefault="009E7F24" w:rsidP="004744F3">
            <w:pPr>
              <w:pStyle w:val="TableBody"/>
            </w:pPr>
            <w:r>
              <w:t>Victoria</w:t>
            </w:r>
          </w:p>
        </w:tc>
        <w:tc>
          <w:tcPr>
            <w:tcW w:w="3273" w:type="pct"/>
            <w:shd w:val="clear" w:color="auto" w:fill="auto"/>
            <w:hideMark/>
          </w:tcPr>
          <w:p w14:paraId="330E5A15" w14:textId="77777777" w:rsidR="009E7F24" w:rsidRDefault="009E7F24" w:rsidP="004744F3">
            <w:pPr>
              <w:pStyle w:val="TableBody"/>
            </w:pPr>
            <w:r>
              <w:t>Consumer Affairs Victoria</w:t>
            </w:r>
          </w:p>
        </w:tc>
      </w:tr>
      <w:tr w:rsidR="009E7F24" w14:paraId="70E0465A" w14:textId="77777777" w:rsidTr="00860EA6">
        <w:tc>
          <w:tcPr>
            <w:tcW w:w="1727" w:type="pct"/>
            <w:shd w:val="clear" w:color="auto" w:fill="F2F2F2" w:themeFill="background1" w:themeFillShade="F2"/>
            <w:hideMark/>
          </w:tcPr>
          <w:p w14:paraId="22E9CC81" w14:textId="77777777" w:rsidR="009E7F24" w:rsidRDefault="009E7F24" w:rsidP="004744F3">
            <w:pPr>
              <w:pStyle w:val="TableBody"/>
            </w:pPr>
            <w:r>
              <w:t>Western Australia</w:t>
            </w:r>
          </w:p>
        </w:tc>
        <w:tc>
          <w:tcPr>
            <w:tcW w:w="3273" w:type="pct"/>
            <w:shd w:val="clear" w:color="auto" w:fill="auto"/>
            <w:hideMark/>
          </w:tcPr>
          <w:p w14:paraId="7E572981" w14:textId="77777777" w:rsidR="009E7F24" w:rsidRDefault="009E7F24" w:rsidP="004744F3">
            <w:pPr>
              <w:pStyle w:val="TableBody"/>
            </w:pPr>
            <w:r>
              <w:t>ACMA</w:t>
            </w:r>
          </w:p>
        </w:tc>
      </w:tr>
    </w:tbl>
    <w:p w14:paraId="4D8E673C" w14:textId="77777777" w:rsidR="000C3D44" w:rsidRDefault="000C3D44" w:rsidP="008E1A28">
      <w:pPr>
        <w:pStyle w:val="AppendixH2"/>
      </w:pPr>
      <w:r>
        <w:t>Additional information on consultation</w:t>
      </w:r>
    </w:p>
    <w:p w14:paraId="6B1B50F2" w14:textId="77777777" w:rsidR="009E7F24" w:rsidRDefault="009E7F24" w:rsidP="008E1A28">
      <w:pPr>
        <w:pStyle w:val="Caption"/>
      </w:pPr>
      <w:r>
        <w:t>Overview of stakeholders consulted</w:t>
      </w:r>
    </w:p>
    <w:tbl>
      <w:tblPr>
        <w:tblStyle w:val="TableGrid5"/>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9638"/>
      </w:tblGrid>
      <w:tr w:rsidR="009E7F24" w14:paraId="3B94370C" w14:textId="77777777" w:rsidTr="00E73663">
        <w:tc>
          <w:tcPr>
            <w:tcW w:w="5000" w:type="pct"/>
            <w:shd w:val="clear" w:color="auto" w:fill="034EA2" w:themeFill="accent1"/>
            <w:hideMark/>
          </w:tcPr>
          <w:p w14:paraId="11FD4030" w14:textId="77777777" w:rsidR="009E7F24" w:rsidRDefault="009E7F24" w:rsidP="00E73663">
            <w:pPr>
              <w:pStyle w:val="TableHeading"/>
              <w:rPr>
                <w:sz w:val="22"/>
              </w:rPr>
            </w:pPr>
            <w:r>
              <w:t xml:space="preserve">Stakeholders Consulted </w:t>
            </w:r>
          </w:p>
        </w:tc>
      </w:tr>
      <w:tr w:rsidR="009E7F24" w14:paraId="3FEA953E" w14:textId="77777777" w:rsidTr="00E73663">
        <w:tc>
          <w:tcPr>
            <w:tcW w:w="5000" w:type="pct"/>
            <w:vAlign w:val="center"/>
            <w:hideMark/>
          </w:tcPr>
          <w:p w14:paraId="40109762" w14:textId="77777777" w:rsidR="009E7F24" w:rsidRDefault="009E7F24" w:rsidP="004744F3">
            <w:pPr>
              <w:pStyle w:val="TableBullet"/>
              <w:rPr>
                <w:rFonts w:eastAsia="Calibri"/>
              </w:rPr>
            </w:pPr>
            <w:r>
              <w:rPr>
                <w:rFonts w:eastAsia="Calibri"/>
              </w:rPr>
              <w:t>BAI Communications Australia</w:t>
            </w:r>
          </w:p>
          <w:p w14:paraId="578C6424" w14:textId="77777777" w:rsidR="009E7F24" w:rsidRDefault="009E7F24" w:rsidP="004744F3">
            <w:pPr>
              <w:pStyle w:val="TableBullet"/>
              <w:rPr>
                <w:rFonts w:eastAsia="Calibri"/>
              </w:rPr>
            </w:pPr>
            <w:r>
              <w:rPr>
                <w:rFonts w:eastAsia="Calibri"/>
              </w:rPr>
              <w:t>TX Australia</w:t>
            </w:r>
          </w:p>
        </w:tc>
      </w:tr>
    </w:tbl>
    <w:p w14:paraId="425538FF" w14:textId="77777777" w:rsidR="001E4026" w:rsidRPr="00D65A59" w:rsidRDefault="001E4026" w:rsidP="008E1A28">
      <w:pPr>
        <w:pStyle w:val="AppendixH2"/>
      </w:pPr>
      <w:r w:rsidRPr="00D65A59">
        <w:lastRenderedPageBreak/>
        <w:t xml:space="preserve">RMP Rules consultation </w:t>
      </w:r>
    </w:p>
    <w:p w14:paraId="5A786879" w14:textId="77777777" w:rsidR="00C305F2" w:rsidRDefault="00C305F2" w:rsidP="004F6E47">
      <w:pPr>
        <w:pStyle w:val="BodyText"/>
      </w:pPr>
      <w:r>
        <w:t xml:space="preserve">The Department undertook extensive consultation with industry, including the broadcasting sector for the design of RMP rules, with the objectives of:  </w:t>
      </w:r>
    </w:p>
    <w:p w14:paraId="584CE1FE" w14:textId="77777777" w:rsidR="00C305F2" w:rsidRDefault="00C305F2" w:rsidP="004F6E47">
      <w:pPr>
        <w:pStyle w:val="Bullet1stlevel"/>
      </w:pPr>
      <w:r>
        <w:t xml:space="preserve">Assessing whether there are existing regulations that meet the Bill’s risk management program objectives, to ensure the regulatory burden is reduced where possible; and </w:t>
      </w:r>
    </w:p>
    <w:p w14:paraId="1886A6AA" w14:textId="77777777" w:rsidR="00C305F2" w:rsidRDefault="00C305F2" w:rsidP="004F6E47">
      <w:pPr>
        <w:pStyle w:val="Bullet1stlevel"/>
      </w:pPr>
      <w:r>
        <w:t>Ensuring there are rules in place that will drive an uplift in the security and resilience of critical broadcasting assets.</w:t>
      </w:r>
      <w:r>
        <w:rPr>
          <w:vertAlign w:val="superscript"/>
        </w:rPr>
        <w:footnoteReference w:id="173"/>
      </w:r>
    </w:p>
    <w:p w14:paraId="00B495FD" w14:textId="56C19E42" w:rsidR="00C305F2" w:rsidRDefault="00C305F2" w:rsidP="004F6E47">
      <w:pPr>
        <w:pStyle w:val="BodyText"/>
      </w:pPr>
      <w:r>
        <w:t xml:space="preserve">Consultation with industry stakeholders occurred </w:t>
      </w:r>
      <w:r w:rsidR="002D0284">
        <w:t>across the following</w:t>
      </w:r>
      <w:r>
        <w:t xml:space="preserve"> key stages: </w:t>
      </w:r>
    </w:p>
    <w:p w14:paraId="2AEAB04D" w14:textId="77777777" w:rsidR="00C305F2" w:rsidRDefault="00C305F2" w:rsidP="007F265A">
      <w:pPr>
        <w:numPr>
          <w:ilvl w:val="0"/>
          <w:numId w:val="167"/>
        </w:numPr>
        <w:spacing w:after="160" w:line="256" w:lineRule="auto"/>
        <w:ind w:hanging="357"/>
        <w:rPr>
          <w:rFonts w:ascii="Arial" w:eastAsia="Calibri" w:hAnsi="Arial" w:cs="Arial"/>
          <w:sz w:val="22"/>
        </w:rPr>
      </w:pPr>
      <w:r>
        <w:rPr>
          <w:rFonts w:ascii="Arial" w:eastAsia="Calibri" w:hAnsi="Arial" w:cs="Arial"/>
          <w:b/>
          <w:bCs/>
          <w:sz w:val="22"/>
        </w:rPr>
        <w:t>A virtual Town Hall</w:t>
      </w:r>
      <w:r>
        <w:rPr>
          <w:rFonts w:ascii="Arial" w:eastAsia="Calibri" w:hAnsi="Arial" w:cs="Arial"/>
          <w:sz w:val="22"/>
        </w:rPr>
        <w:t>, held on 19 October 2021, attended by 360 approximately industry and Government stakeholders, including from the broadcasting sector. The purposes of the session were to:</w:t>
      </w:r>
    </w:p>
    <w:p w14:paraId="087A45F4" w14:textId="48CDDC52" w:rsidR="00C305F2" w:rsidRDefault="00C305F2" w:rsidP="004F6E47">
      <w:pPr>
        <w:pStyle w:val="ListParagraph"/>
        <w:numPr>
          <w:ilvl w:val="0"/>
          <w:numId w:val="83"/>
        </w:numPr>
        <w:spacing w:after="0" w:line="256" w:lineRule="auto"/>
        <w:ind w:hanging="368"/>
        <w:contextualSpacing w:val="0"/>
        <w:rPr>
          <w:rFonts w:eastAsia="Calibri"/>
        </w:rPr>
      </w:pPr>
      <w:r>
        <w:rPr>
          <w:rFonts w:eastAsia="Calibri"/>
        </w:rPr>
        <w:t>Outline the CI/SONS reforms and provide an update on the SLACI Bill (now SLACI Act) and SLACIP Bill</w:t>
      </w:r>
      <w:r w:rsidR="00D721DC">
        <w:rPr>
          <w:rFonts w:eastAsia="Calibri"/>
        </w:rPr>
        <w:t xml:space="preserve"> (now SLACIP Act)</w:t>
      </w:r>
      <w:r>
        <w:rPr>
          <w:rFonts w:eastAsia="Calibri"/>
        </w:rPr>
        <w:t>;</w:t>
      </w:r>
    </w:p>
    <w:p w14:paraId="55DA67A9" w14:textId="77777777" w:rsidR="00C305F2" w:rsidRDefault="00C305F2" w:rsidP="004F6E47">
      <w:pPr>
        <w:pStyle w:val="ListParagraph"/>
        <w:numPr>
          <w:ilvl w:val="0"/>
          <w:numId w:val="83"/>
        </w:numPr>
        <w:spacing w:after="0" w:line="256" w:lineRule="auto"/>
        <w:ind w:hanging="368"/>
        <w:contextualSpacing w:val="0"/>
        <w:rPr>
          <w:rFonts w:eastAsia="Calibri"/>
        </w:rPr>
      </w:pPr>
      <w:r>
        <w:rPr>
          <w:rFonts w:eastAsia="Calibri"/>
        </w:rPr>
        <w:t xml:space="preserve">Provide </w:t>
      </w:r>
      <w:r>
        <w:rPr>
          <w:rFonts w:eastAsia="Calibri"/>
          <w:szCs w:val="22"/>
          <w:lang w:eastAsia="en-US"/>
        </w:rPr>
        <w:t xml:space="preserve">an update </w:t>
      </w:r>
      <w:r>
        <w:rPr>
          <w:rFonts w:eastAsia="Calibri"/>
        </w:rPr>
        <w:t>for industry on the decision to consult on sector-agnostic RMP rules (as opposed to sector-specific rules), and outline how this would affect the consultation process going forward; and</w:t>
      </w:r>
    </w:p>
    <w:p w14:paraId="36C7A190" w14:textId="77777777" w:rsidR="00C305F2" w:rsidRDefault="00C305F2" w:rsidP="004F6E47">
      <w:pPr>
        <w:pStyle w:val="ListParagraph"/>
        <w:numPr>
          <w:ilvl w:val="0"/>
          <w:numId w:val="83"/>
        </w:numPr>
        <w:spacing w:after="0" w:line="256" w:lineRule="auto"/>
        <w:ind w:hanging="368"/>
        <w:contextualSpacing w:val="0"/>
        <w:rPr>
          <w:rFonts w:eastAsia="Calibri"/>
        </w:rPr>
      </w:pPr>
      <w:r>
        <w:rPr>
          <w:rFonts w:eastAsia="Calibri"/>
        </w:rPr>
        <w:t xml:space="preserve">Answer any questions about the Bills or RMP rules consultation process. </w:t>
      </w:r>
    </w:p>
    <w:p w14:paraId="15F06F70" w14:textId="77777777" w:rsidR="00C305F2" w:rsidRDefault="00C305F2" w:rsidP="007F265A">
      <w:pPr>
        <w:numPr>
          <w:ilvl w:val="0"/>
          <w:numId w:val="167"/>
        </w:numPr>
        <w:spacing w:after="160" w:line="256" w:lineRule="auto"/>
        <w:ind w:hanging="357"/>
        <w:rPr>
          <w:rFonts w:ascii="Arial" w:eastAsia="Calibri" w:hAnsi="Arial" w:cs="Arial"/>
          <w:sz w:val="22"/>
        </w:rPr>
      </w:pPr>
      <w:r>
        <w:rPr>
          <w:rFonts w:ascii="Arial" w:eastAsia="Calibri" w:hAnsi="Arial" w:cs="Arial"/>
          <w:b/>
          <w:bCs/>
          <w:sz w:val="22"/>
        </w:rPr>
        <w:t xml:space="preserve">Two broadcasting-specific Information Sessions, </w:t>
      </w:r>
      <w:r>
        <w:rPr>
          <w:rFonts w:ascii="Arial" w:eastAsia="Calibri" w:hAnsi="Arial" w:cs="Arial"/>
          <w:sz w:val="22"/>
        </w:rPr>
        <w:t xml:space="preserve">held on 28 October and 16 November 2021, attended by approximately six industry and Government stakeholders. The purpose of the information sessions was to reiterate the update for industry on the move from sector-specific to sector-agnostic RMP rules and to gain sector-specific feedback on the RMP rules. </w:t>
      </w:r>
    </w:p>
    <w:p w14:paraId="43EFE112" w14:textId="3406E77F" w:rsidR="00C305F2" w:rsidRDefault="00C305F2" w:rsidP="007F265A">
      <w:pPr>
        <w:numPr>
          <w:ilvl w:val="0"/>
          <w:numId w:val="167"/>
        </w:numPr>
        <w:spacing w:after="160" w:line="256" w:lineRule="auto"/>
        <w:ind w:hanging="357"/>
        <w:rPr>
          <w:rFonts w:ascii="Arial" w:eastAsia="Calibri" w:hAnsi="Arial" w:cs="Arial"/>
          <w:sz w:val="22"/>
        </w:rPr>
      </w:pPr>
      <w:r>
        <w:rPr>
          <w:rFonts w:ascii="Arial" w:eastAsia="Calibri" w:hAnsi="Arial" w:cs="Arial"/>
          <w:b/>
          <w:bCs/>
          <w:sz w:val="22"/>
        </w:rPr>
        <w:t>A wrap-up virtual</w:t>
      </w:r>
      <w:r>
        <w:rPr>
          <w:rFonts w:ascii="Arial" w:eastAsia="Calibri" w:hAnsi="Arial" w:cs="Arial"/>
          <w:b/>
          <w:sz w:val="22"/>
        </w:rPr>
        <w:t xml:space="preserve"> Town Hall</w:t>
      </w:r>
      <w:r>
        <w:rPr>
          <w:rFonts w:ascii="Arial" w:eastAsia="Calibri" w:hAnsi="Arial" w:cs="Arial"/>
          <w:b/>
          <w:bCs/>
          <w:sz w:val="22"/>
        </w:rPr>
        <w:t xml:space="preserve"> </w:t>
      </w:r>
      <w:r>
        <w:rPr>
          <w:rFonts w:ascii="Arial" w:eastAsia="Calibri" w:hAnsi="Arial" w:cs="Arial"/>
          <w:sz w:val="22"/>
        </w:rPr>
        <w:t xml:space="preserve">held on 25 November 2021. The purpose of the Town Hall was to present the updated RMP rules and provide information on the further consultation period. The Town Hall was attended by approximately 800 industry and Government stakeholders across the </w:t>
      </w:r>
      <w:r w:rsidR="0030492E">
        <w:rPr>
          <w:rFonts w:ascii="Arial" w:eastAsia="Calibri" w:hAnsi="Arial" w:cs="Arial"/>
          <w:sz w:val="22"/>
        </w:rPr>
        <w:t>10</w:t>
      </w:r>
      <w:r>
        <w:rPr>
          <w:rFonts w:ascii="Arial" w:eastAsia="Calibri" w:hAnsi="Arial" w:cs="Arial"/>
          <w:sz w:val="22"/>
        </w:rPr>
        <w:t xml:space="preserve"> critical infrastructure sectors, including by stakeholders from the broadcasting sector.  </w:t>
      </w:r>
    </w:p>
    <w:p w14:paraId="649A5105" w14:textId="77777777" w:rsidR="00C305F2" w:rsidRDefault="00C305F2" w:rsidP="007F265A">
      <w:pPr>
        <w:numPr>
          <w:ilvl w:val="0"/>
          <w:numId w:val="167"/>
        </w:numPr>
        <w:spacing w:line="256" w:lineRule="auto"/>
        <w:ind w:left="351" w:hanging="357"/>
        <w:rPr>
          <w:rFonts w:ascii="Arial" w:eastAsia="Calibri" w:hAnsi="Arial" w:cs="Arial"/>
          <w:sz w:val="22"/>
        </w:rPr>
      </w:pPr>
      <w:r>
        <w:rPr>
          <w:rFonts w:ascii="Arial" w:eastAsia="Calibri" w:hAnsi="Arial" w:cs="Arial"/>
          <w:b/>
          <w:bCs/>
          <w:sz w:val="22"/>
        </w:rPr>
        <w:t>Out of session consultation:</w:t>
      </w:r>
    </w:p>
    <w:p w14:paraId="0F2312B9" w14:textId="77777777" w:rsidR="00C305F2" w:rsidRDefault="00C305F2" w:rsidP="004F6E47">
      <w:pPr>
        <w:pStyle w:val="Bullet2ndlevel"/>
      </w:pPr>
      <w:r>
        <w:t xml:space="preserve">Stakeholders were encouraged to contact the Department out of session. The Department availed itself to stakeholders to discuss their concerns, working to ensure stakeholders’ understanding of the rules, and the rules’ proportionality. </w:t>
      </w:r>
    </w:p>
    <w:p w14:paraId="4F91F7E2" w14:textId="77777777" w:rsidR="00C305F2" w:rsidRDefault="00C305F2" w:rsidP="004F6E47">
      <w:pPr>
        <w:pStyle w:val="Bullet2ndlevel"/>
      </w:pPr>
      <w:r>
        <w:t xml:space="preserve">Out of session engagement also assisted in the iterative development of rules between workshops, through addressing concerns raised by individual stakeholders and proposing a solution. </w:t>
      </w:r>
    </w:p>
    <w:p w14:paraId="19D15043" w14:textId="46FDF07F" w:rsidR="00C305F2" w:rsidRDefault="00C305F2" w:rsidP="004F6E47">
      <w:pPr>
        <w:pStyle w:val="Bullet2ndlevel"/>
      </w:pPr>
      <w:r>
        <w:t>This engagement strengthened the relationship between the Department and industry, while providing insights on implementation costs, entities’ operating environments and the overall impacts of the proposed regulatory changes.</w:t>
      </w:r>
    </w:p>
    <w:p w14:paraId="76FE09AA" w14:textId="5CE11FC5" w:rsidR="00097BAE" w:rsidRPr="00CE4B35" w:rsidRDefault="00097BAE" w:rsidP="00CE4B35">
      <w:pPr>
        <w:pStyle w:val="Bullet2ndlevel"/>
        <w:numPr>
          <w:ilvl w:val="0"/>
          <w:numId w:val="167"/>
        </w:numPr>
        <w:tabs>
          <w:tab w:val="clear" w:pos="2038"/>
        </w:tabs>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 xml:space="preserve">held on 10 October and 12 October 2022, attended by approximately 550 industry and Government stakeholders (across both sessions). The sessions provided information on the proposed RMP Rules as well as the broader obligation. These Town Halls, </w:t>
      </w:r>
      <w:r>
        <w:lastRenderedPageBreak/>
        <w:t>as well as four subsequent question and answer sessions, provided an opportunity for industry to ask questions about the proposed RMP Rules and process.</w:t>
      </w:r>
    </w:p>
    <w:p w14:paraId="27C1C844" w14:textId="77777777" w:rsidR="007F6AAE" w:rsidRDefault="007F6AAE" w:rsidP="008E1A28">
      <w:pPr>
        <w:pStyle w:val="Caption"/>
      </w:pPr>
      <w:r>
        <w:t>Key themes from consultation</w:t>
      </w:r>
    </w:p>
    <w:tbl>
      <w:tblPr>
        <w:tblStyle w:val="TableGrid5"/>
        <w:tblW w:w="5000" w:type="pct"/>
        <w:jc w:val="center"/>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050"/>
        <w:gridCol w:w="692"/>
        <w:gridCol w:w="3656"/>
        <w:gridCol w:w="4240"/>
      </w:tblGrid>
      <w:tr w:rsidR="007F6AAE" w14:paraId="7B843987" w14:textId="77777777" w:rsidTr="00E73663">
        <w:trPr>
          <w:cantSplit/>
          <w:tblHeader/>
          <w:jc w:val="center"/>
        </w:trPr>
        <w:tc>
          <w:tcPr>
            <w:tcW w:w="578" w:type="pct"/>
            <w:shd w:val="clear" w:color="auto" w:fill="034EA2" w:themeFill="accent1"/>
            <w:vAlign w:val="center"/>
            <w:hideMark/>
          </w:tcPr>
          <w:p w14:paraId="502C9279" w14:textId="77777777" w:rsidR="007F6AAE" w:rsidRDefault="007F6AAE" w:rsidP="00E73663">
            <w:pPr>
              <w:pStyle w:val="TableHeading"/>
            </w:pPr>
            <w:r>
              <w:t>Rule category</w:t>
            </w:r>
          </w:p>
        </w:tc>
        <w:tc>
          <w:tcPr>
            <w:tcW w:w="2161" w:type="pct"/>
            <w:gridSpan w:val="2"/>
            <w:shd w:val="clear" w:color="auto" w:fill="034EA2" w:themeFill="accent1"/>
            <w:vAlign w:val="center"/>
            <w:hideMark/>
          </w:tcPr>
          <w:p w14:paraId="58FC0785" w14:textId="77777777" w:rsidR="007F6AAE" w:rsidRDefault="007F6AAE" w:rsidP="00E73663">
            <w:pPr>
              <w:pStyle w:val="TableHeading"/>
            </w:pPr>
            <w:r>
              <w:t>Identified themes</w:t>
            </w:r>
          </w:p>
        </w:tc>
        <w:tc>
          <w:tcPr>
            <w:tcW w:w="2261" w:type="pct"/>
            <w:shd w:val="clear" w:color="auto" w:fill="034EA2" w:themeFill="accent1"/>
            <w:vAlign w:val="center"/>
            <w:hideMark/>
          </w:tcPr>
          <w:p w14:paraId="57B951CE" w14:textId="77777777" w:rsidR="007F6AAE" w:rsidRDefault="007F6AAE" w:rsidP="00E73663">
            <w:pPr>
              <w:pStyle w:val="TableHeading"/>
            </w:pPr>
            <w:r>
              <w:t>Impact on development of rules</w:t>
            </w:r>
          </w:p>
        </w:tc>
      </w:tr>
      <w:tr w:rsidR="007F6AAE" w14:paraId="42CE88CC" w14:textId="77777777" w:rsidTr="00E73663">
        <w:trPr>
          <w:cantSplit/>
          <w:trHeight w:val="1134"/>
          <w:jc w:val="center"/>
        </w:trPr>
        <w:tc>
          <w:tcPr>
            <w:tcW w:w="578" w:type="pct"/>
            <w:shd w:val="clear" w:color="auto" w:fill="BBDAFD" w:themeFill="accent1" w:themeFillTint="33"/>
            <w:hideMark/>
          </w:tcPr>
          <w:p w14:paraId="1A9FED40" w14:textId="77777777" w:rsidR="007F6AAE" w:rsidRDefault="007F6AAE" w:rsidP="00E73663">
            <w:pPr>
              <w:rPr>
                <w:rFonts w:ascii="Arial" w:eastAsia="Calibri" w:hAnsi="Arial" w:cs="Arial"/>
                <w:b/>
                <w:bCs/>
                <w:szCs w:val="20"/>
              </w:rPr>
            </w:pPr>
            <w:r>
              <w:rPr>
                <w:rFonts w:ascii="Arial" w:eastAsia="Calibri" w:hAnsi="Arial" w:cs="Arial"/>
                <w:b/>
                <w:bCs/>
                <w:szCs w:val="20"/>
              </w:rPr>
              <w:t xml:space="preserve">RMP rules </w:t>
            </w:r>
          </w:p>
        </w:tc>
        <w:tc>
          <w:tcPr>
            <w:tcW w:w="174" w:type="pct"/>
            <w:shd w:val="clear" w:color="auto" w:fill="EDEDED"/>
            <w:textDirection w:val="btLr"/>
            <w:vAlign w:val="bottom"/>
            <w:hideMark/>
          </w:tcPr>
          <w:p w14:paraId="045D77CF" w14:textId="77777777" w:rsidR="007F6AAE" w:rsidRDefault="007F6AAE">
            <w:pPr>
              <w:ind w:left="113" w:right="113"/>
              <w:jc w:val="center"/>
              <w:rPr>
                <w:rFonts w:ascii="Arial" w:eastAsia="Calibri" w:hAnsi="Arial" w:cs="Arial"/>
                <w:b/>
                <w:bCs/>
                <w:szCs w:val="20"/>
              </w:rPr>
            </w:pPr>
            <w:r>
              <w:rPr>
                <w:rFonts w:ascii="Arial" w:eastAsia="Calibri" w:hAnsi="Arial" w:cs="Arial"/>
                <w:b/>
                <w:bCs/>
                <w:szCs w:val="20"/>
              </w:rPr>
              <w:t>Information sessions</w:t>
            </w:r>
          </w:p>
        </w:tc>
        <w:tc>
          <w:tcPr>
            <w:tcW w:w="1987" w:type="pct"/>
          </w:tcPr>
          <w:p w14:paraId="10CA0596" w14:textId="77777777" w:rsidR="007F6AAE" w:rsidRPr="009739FE" w:rsidRDefault="007F6AAE" w:rsidP="00E73663">
            <w:pPr>
              <w:pStyle w:val="TableBullet"/>
              <w:rPr>
                <w:rFonts w:eastAsia="Calibri"/>
              </w:rPr>
            </w:pPr>
            <w:r w:rsidRPr="009739FE">
              <w:rPr>
                <w:rFonts w:eastAsia="Calibri"/>
              </w:rPr>
              <w:t xml:space="preserve">The broadcasting sector </w:t>
            </w:r>
            <w:r w:rsidRPr="009739FE">
              <w:rPr>
                <w:rFonts w:eastAsia="Calibri"/>
                <w:b/>
              </w:rPr>
              <w:t xml:space="preserve">broadly agrees </w:t>
            </w:r>
            <w:r w:rsidRPr="009739FE">
              <w:rPr>
                <w:rFonts w:eastAsia="Calibri"/>
              </w:rPr>
              <w:t>with the RMP rules as drafted.</w:t>
            </w:r>
          </w:p>
          <w:p w14:paraId="3145069D" w14:textId="77777777" w:rsidR="007F6AAE" w:rsidRPr="009739FE" w:rsidRDefault="007F6AAE" w:rsidP="00E73663">
            <w:pPr>
              <w:pStyle w:val="TableBullet"/>
              <w:rPr>
                <w:rFonts w:eastAsia="Calibri"/>
              </w:rPr>
            </w:pPr>
            <w:r w:rsidRPr="009739FE">
              <w:rPr>
                <w:rFonts w:eastAsia="Calibri"/>
              </w:rPr>
              <w:t xml:space="preserve">The broadcasting sector has various levels of risk maturity at current. </w:t>
            </w:r>
          </w:p>
          <w:p w14:paraId="78540670" w14:textId="31E828CB" w:rsidR="007F6AAE" w:rsidRPr="00E73663" w:rsidRDefault="007F6AAE" w:rsidP="00E73663">
            <w:pPr>
              <w:pStyle w:val="TableBullet"/>
              <w:rPr>
                <w:rFonts w:eastAsia="Calibri"/>
              </w:rPr>
            </w:pPr>
            <w:r>
              <w:rPr>
                <w:rFonts w:eastAsia="Calibri"/>
              </w:rPr>
              <w:t xml:space="preserve">There is an </w:t>
            </w:r>
            <w:r>
              <w:rPr>
                <w:rFonts w:eastAsia="Calibri"/>
                <w:b/>
                <w:bCs/>
              </w:rPr>
              <w:t>appetite for guidance material</w:t>
            </w:r>
            <w:r>
              <w:rPr>
                <w:rFonts w:eastAsia="Calibri"/>
              </w:rPr>
              <w:t xml:space="preserve"> to support sector-specific uplift in security and resilience, especially with regards to meeting the supply chain rules. </w:t>
            </w:r>
          </w:p>
        </w:tc>
        <w:tc>
          <w:tcPr>
            <w:tcW w:w="2261" w:type="pct"/>
            <w:hideMark/>
          </w:tcPr>
          <w:p w14:paraId="4A87EB20" w14:textId="77777777" w:rsidR="007F6AAE" w:rsidRDefault="007F6AAE" w:rsidP="00E73663">
            <w:pPr>
              <w:pStyle w:val="TableBody"/>
              <w:rPr>
                <w:sz w:val="22"/>
                <w:lang w:eastAsia="en-AU"/>
              </w:rPr>
            </w:pPr>
            <w:r>
              <w:rPr>
                <w:lang w:eastAsia="en-AU"/>
              </w:rPr>
              <w:t xml:space="preserve">In response to feedback received during the information sessions, the Department committed to: </w:t>
            </w:r>
          </w:p>
          <w:p w14:paraId="5B540EF4" w14:textId="77777777" w:rsidR="007F6AAE" w:rsidRDefault="007F6AAE" w:rsidP="00E73663">
            <w:pPr>
              <w:pStyle w:val="TableBullet"/>
              <w:rPr>
                <w:rFonts w:eastAsia="Calibri"/>
                <w:lang w:eastAsia="en-US"/>
              </w:rPr>
            </w:pPr>
            <w:r w:rsidRPr="009739FE">
              <w:rPr>
                <w:rFonts w:eastAsia="Calibri"/>
              </w:rPr>
              <w:t xml:space="preserve">The development of guidance materials, which would highlight aspects of risk management that should be prioritised by responsible entities and assist industry in interpreting and implementing the rules to achieve an uplift in security and resilience.  </w:t>
            </w:r>
          </w:p>
        </w:tc>
      </w:tr>
    </w:tbl>
    <w:p w14:paraId="7664EC39" w14:textId="77777777" w:rsidR="00E73663" w:rsidRDefault="00E73663">
      <w:pPr>
        <w:spacing w:before="80" w:after="80"/>
        <w:rPr>
          <w:rFonts w:asciiTheme="majorHAnsi" w:eastAsia="Times New Roman" w:hAnsiTheme="majorHAnsi" w:cs="Arial"/>
          <w:b/>
          <w:bCs/>
          <w:color w:val="007BC3" w:themeColor="accent2"/>
          <w:sz w:val="28"/>
          <w:szCs w:val="28"/>
          <w:lang w:eastAsia="en-AU"/>
        </w:rPr>
      </w:pPr>
      <w:r>
        <w:br w:type="page"/>
      </w:r>
    </w:p>
    <w:p w14:paraId="521F2650" w14:textId="322FFF61" w:rsidR="007F6AAE" w:rsidRDefault="007F6AAE" w:rsidP="008E1A28">
      <w:pPr>
        <w:pStyle w:val="AppendixH2"/>
      </w:pPr>
      <w:r>
        <w:lastRenderedPageBreak/>
        <w:t xml:space="preserve">Consultation on costs </w:t>
      </w:r>
    </w:p>
    <w:p w14:paraId="100D9C83" w14:textId="77777777" w:rsidR="007F6AAE" w:rsidRDefault="007F6AAE" w:rsidP="004F6E47">
      <w:pPr>
        <w:pStyle w:val="BodyText"/>
      </w:pPr>
      <w:r>
        <w:t>During the second information session,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753A1212" w14:textId="77777777" w:rsidR="007F6AAE" w:rsidRDefault="007F6AAE" w:rsidP="004F6E47">
      <w:pPr>
        <w:pStyle w:val="Bullet1stlevel"/>
      </w:pPr>
      <w:r>
        <w:t xml:space="preserve">Their demographic information; </w:t>
      </w:r>
    </w:p>
    <w:p w14:paraId="4FD43D7D" w14:textId="77777777" w:rsidR="007F6AAE" w:rsidRDefault="007F6AAE" w:rsidP="004F6E47">
      <w:pPr>
        <w:pStyle w:val="Bullet1stlevel"/>
      </w:pPr>
      <w:r>
        <w:t xml:space="preserve">Effort and cost estimates split by one-off and ongoing costs, staff effort, capital and other operating costs, and an estimated range between expected costs and highest possible costs; and </w:t>
      </w:r>
    </w:p>
    <w:p w14:paraId="1C47D57B" w14:textId="77777777" w:rsidR="007F6AAE" w:rsidRDefault="007F6AAE" w:rsidP="004F6E47">
      <w:pPr>
        <w:pStyle w:val="Bullet1stlevel"/>
      </w:pPr>
      <w:r>
        <w:t xml:space="preserve">Any comments on key boundaries, assumptions and cost drivers attached to the costing estimates provided. </w:t>
      </w:r>
    </w:p>
    <w:p w14:paraId="0AD586D6" w14:textId="77777777" w:rsidR="007F6AAE" w:rsidRDefault="007F6AAE" w:rsidP="004F6E47">
      <w:pPr>
        <w:pStyle w:val="BodyText"/>
      </w:pPr>
      <w:r>
        <w:t>Industry was provided with the template on 17 November</w:t>
      </w:r>
      <w:r>
        <w:rPr>
          <w:bCs/>
        </w:rPr>
        <w:t xml:space="preserve"> 2021</w:t>
      </w:r>
      <w:r>
        <w:t>, with submissions open for a period of four weeks and closing on 1</w:t>
      </w:r>
      <w:r>
        <w:rPr>
          <w:bCs/>
        </w:rPr>
        <w:t>5 December 2021</w:t>
      </w:r>
      <w:r>
        <w:t>.</w:t>
      </w:r>
    </w:p>
    <w:p w14:paraId="3D5F11B5" w14:textId="19D0DC96" w:rsidR="00732AFA" w:rsidRPr="00E73663" w:rsidRDefault="007F6AAE" w:rsidP="00E73663">
      <w:pPr>
        <w:pStyle w:val="BodyText"/>
      </w:pPr>
      <w:r>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Pr>
          <w:vertAlign w:val="superscript"/>
        </w:rPr>
        <w:footnoteReference w:id="174"/>
      </w:r>
      <w:r>
        <w:t xml:space="preserve"> </w:t>
      </w:r>
    </w:p>
    <w:p w14:paraId="03372D57" w14:textId="2DE571BE" w:rsidR="00F57418" w:rsidRPr="00432652" w:rsidRDefault="00453A54" w:rsidP="008E1A28">
      <w:pPr>
        <w:pStyle w:val="AppendixH1"/>
        <w:rPr>
          <w:rFonts w:cstheme="minorBidi"/>
          <w:spacing w:val="-4"/>
          <w:szCs w:val="22"/>
          <w:lang w:eastAsia="en-US"/>
        </w:rPr>
      </w:pPr>
      <w:bookmarkStart w:id="595" w:name="_Toc121397418"/>
      <w:r w:rsidRPr="00432652">
        <w:rPr>
          <w:spacing w:val="-4"/>
        </w:rPr>
        <w:lastRenderedPageBreak/>
        <w:t>Supplementary information for critical financial market infrastructure assets (payment</w:t>
      </w:r>
      <w:r w:rsidR="004D30CC">
        <w:rPr>
          <w:spacing w:val="-4"/>
        </w:rPr>
        <w:t> </w:t>
      </w:r>
      <w:r w:rsidRPr="00432652">
        <w:rPr>
          <w:spacing w:val="-4"/>
        </w:rPr>
        <w:t>systems)</w:t>
      </w:r>
      <w:bookmarkEnd w:id="595"/>
    </w:p>
    <w:p w14:paraId="76D31B40" w14:textId="77777777" w:rsidR="005722B1" w:rsidRDefault="00453A54" w:rsidP="008E1A28">
      <w:pPr>
        <w:pStyle w:val="AppendixH2"/>
      </w:pPr>
      <w:r>
        <w:t>Overview of the role of</w:t>
      </w:r>
      <w:r w:rsidR="003E03A8">
        <w:t xml:space="preserve"> payment systems</w:t>
      </w:r>
      <w:r>
        <w:t xml:space="preserve"> in Australia</w:t>
      </w:r>
    </w:p>
    <w:p w14:paraId="1BC94C62" w14:textId="1A33D805" w:rsidR="00E30EED" w:rsidRDefault="00E30EED" w:rsidP="00D539F1">
      <w:pPr>
        <w:pStyle w:val="BodyText"/>
        <w:rPr>
          <w:rFonts w:ascii="Arial" w:eastAsia="Calibri" w:hAnsi="Arial" w:cs="Arial"/>
        </w:rPr>
      </w:pPr>
      <w:r>
        <w:t xml:space="preserve">Financial market </w:t>
      </w:r>
      <w:r>
        <w:rPr>
          <w:rFonts w:ascii="Arial" w:eastAsia="Calibri" w:hAnsi="Arial" w:cs="Arial"/>
        </w:rPr>
        <w:t>infrastructures are key components of the financial system. They deliver services critical to the smooth functioning of financial markets and financial stability.</w:t>
      </w:r>
      <w:r>
        <w:rPr>
          <w:rStyle w:val="FootnoteReference"/>
          <w:rFonts w:ascii="Arial" w:eastAsia="Calibri" w:hAnsi="Arial" w:cs="Arial"/>
        </w:rPr>
        <w:footnoteReference w:id="175"/>
      </w:r>
      <w:r>
        <w:rPr>
          <w:rFonts w:ascii="Arial" w:eastAsia="Calibri" w:hAnsi="Arial" w:cs="Arial"/>
        </w:rPr>
        <w:t xml:space="preserve"> Australian financial market infrastructures support transactions in securities with a total annual value of $18 trillion and derivatives with a total annual value of $185 trillion (figures reflect the value of securities trades and notional value of derivatives trades for the year to 31 December 2019). A significant disruption to financial market infrastructures would have a detrimental impact in terms of public trust, financial stability and market integrity and efficiency. The reasons for this include their central position within the financial system and inability of participating financial institutions and, in most cases, consumers and businesses to leverage substitute services.</w:t>
      </w:r>
      <w:r>
        <w:rPr>
          <w:rStyle w:val="FootnoteReference"/>
          <w:rFonts w:ascii="Arial" w:eastAsia="Calibri" w:hAnsi="Arial" w:cs="Arial"/>
        </w:rPr>
        <w:footnoteReference w:id="176"/>
      </w:r>
    </w:p>
    <w:p w14:paraId="148405D3" w14:textId="77777777" w:rsidR="00E30EED" w:rsidRDefault="00E30EED" w:rsidP="004F6E47">
      <w:pPr>
        <w:pStyle w:val="BodyText"/>
      </w:pPr>
      <w:r>
        <w:t xml:space="preserve">Payment systems are arrangements through which individuals, businesses and government entities transfer funds between each other. The smooth functioning of payment systems is important for economic activity and financial stability, and payment information is subject to both integrity and confidentiality risks. </w:t>
      </w:r>
    </w:p>
    <w:p w14:paraId="27E0284D" w14:textId="77777777" w:rsidR="00E30EED" w:rsidRDefault="00E30EED" w:rsidP="004F6E47">
      <w:pPr>
        <w:pStyle w:val="BodyText"/>
      </w:pPr>
      <w:r>
        <w:t>There are six clearing streams for payment systems in in Australia:</w:t>
      </w:r>
    </w:p>
    <w:p w14:paraId="5D76D1BC" w14:textId="77777777" w:rsidR="00E30EED" w:rsidRDefault="00E30EED" w:rsidP="004F6E47">
      <w:pPr>
        <w:pStyle w:val="Bullet1stlevel"/>
      </w:pPr>
      <w:r>
        <w:t>Paper (cheques);</w:t>
      </w:r>
    </w:p>
    <w:p w14:paraId="3259093E" w14:textId="77777777" w:rsidR="00E30EED" w:rsidRDefault="00E30EED" w:rsidP="004F6E47">
      <w:pPr>
        <w:pStyle w:val="Bullet1stlevel"/>
      </w:pPr>
      <w:r>
        <w:t>Bulk electronic (direct entry and BPAY);</w:t>
      </w:r>
    </w:p>
    <w:p w14:paraId="1CC4513D" w14:textId="77777777" w:rsidR="00E30EED" w:rsidRDefault="00E30EED" w:rsidP="004F6E47">
      <w:pPr>
        <w:pStyle w:val="Bullet1stlevel"/>
      </w:pPr>
      <w:r>
        <w:t>Consumer electronic (ATM, cards and point of sale);</w:t>
      </w:r>
    </w:p>
    <w:p w14:paraId="326D501A" w14:textId="77777777" w:rsidR="00E30EED" w:rsidRDefault="00E30EED" w:rsidP="004F6E47">
      <w:pPr>
        <w:pStyle w:val="Bullet1stlevel"/>
      </w:pPr>
      <w:r>
        <w:t>High value electronic (RTGS);</w:t>
      </w:r>
    </w:p>
    <w:p w14:paraId="26A6BF1A" w14:textId="77777777" w:rsidR="00E30EED" w:rsidRDefault="00E30EED" w:rsidP="004F6E47">
      <w:pPr>
        <w:pStyle w:val="Bullet1stlevel"/>
      </w:pPr>
      <w:r>
        <w:t>Cash (notes and coins); and</w:t>
      </w:r>
    </w:p>
    <w:p w14:paraId="65FE1120" w14:textId="77777777" w:rsidR="00E30EED" w:rsidRDefault="00E30EED" w:rsidP="004F6E47">
      <w:pPr>
        <w:pStyle w:val="Bullet1stlevel"/>
      </w:pPr>
      <w:r>
        <w:t xml:space="preserve">The New Payments Platform (delivering single credit transfers). </w:t>
      </w:r>
    </w:p>
    <w:p w14:paraId="5EE3D9CE" w14:textId="2C224AA1" w:rsidR="00E30EED" w:rsidRPr="00432652" w:rsidRDefault="00E30EED" w:rsidP="00E30EED">
      <w:pPr>
        <w:spacing w:before="240" w:after="160"/>
        <w:rPr>
          <w:rFonts w:ascii="Arial" w:eastAsia="Calibri" w:hAnsi="Arial" w:cs="Arial"/>
          <w:spacing w:val="-2"/>
          <w:sz w:val="22"/>
        </w:rPr>
      </w:pPr>
      <w:r w:rsidRPr="00432652">
        <w:rPr>
          <w:rFonts w:ascii="Arial" w:eastAsia="Calibri" w:hAnsi="Arial" w:cs="Arial"/>
          <w:spacing w:val="-2"/>
          <w:sz w:val="22"/>
        </w:rPr>
        <w:t xml:space="preserve">Specified consumer electronic clearing systems and the New Payment Platform are considered to be critical infrastructure for the purposes of </w:t>
      </w:r>
      <w:r w:rsidR="00BF6C94" w:rsidRPr="00432652">
        <w:rPr>
          <w:rFonts w:ascii="Arial" w:eastAsia="Calibri" w:hAnsi="Arial" w:cs="Arial"/>
          <w:spacing w:val="-2"/>
          <w:sz w:val="22"/>
        </w:rPr>
        <w:t xml:space="preserve">the </w:t>
      </w:r>
      <w:r w:rsidRPr="00432652">
        <w:rPr>
          <w:rFonts w:ascii="Arial" w:eastAsia="Calibri" w:hAnsi="Arial" w:cs="Arial"/>
          <w:spacing w:val="-2"/>
          <w:sz w:val="22"/>
        </w:rPr>
        <w:t>SLACI</w:t>
      </w:r>
      <w:r w:rsidR="00BF6C94" w:rsidRPr="00432652">
        <w:rPr>
          <w:rFonts w:ascii="Arial" w:eastAsia="Calibri" w:hAnsi="Arial" w:cs="Arial"/>
          <w:spacing w:val="-2"/>
          <w:sz w:val="22"/>
        </w:rPr>
        <w:t xml:space="preserve"> Act and SLACIP </w:t>
      </w:r>
      <w:r w:rsidR="00D721DC">
        <w:rPr>
          <w:rFonts w:ascii="Arial" w:eastAsia="Calibri" w:hAnsi="Arial" w:cs="Arial"/>
          <w:spacing w:val="-2"/>
          <w:sz w:val="22"/>
        </w:rPr>
        <w:t>Act</w:t>
      </w:r>
      <w:r w:rsidRPr="00432652">
        <w:rPr>
          <w:rFonts w:ascii="Arial" w:eastAsia="Calibri" w:hAnsi="Arial" w:cs="Arial"/>
          <w:spacing w:val="-2"/>
          <w:sz w:val="22"/>
        </w:rPr>
        <w:t xml:space="preserve">. Disruptions to these retail payment systems would have significant flow-on effects to other parts of the Australian economy. </w:t>
      </w:r>
    </w:p>
    <w:p w14:paraId="6627A43A" w14:textId="77777777" w:rsidR="00E30EED" w:rsidRDefault="00E30EED" w:rsidP="004F6E47">
      <w:pPr>
        <w:pStyle w:val="BodyText"/>
      </w:pPr>
      <w:r>
        <w:t>The lifecycle for transactions through these payments systems involves the following activities:</w:t>
      </w:r>
    </w:p>
    <w:p w14:paraId="19D43098" w14:textId="77777777" w:rsidR="00E30EED" w:rsidRDefault="00E30EED" w:rsidP="004F6E47">
      <w:pPr>
        <w:pStyle w:val="Bullet1stlevel"/>
      </w:pPr>
      <w:r>
        <w:rPr>
          <w:b/>
          <w:bCs/>
        </w:rPr>
        <w:t>A</w:t>
      </w:r>
      <w:r>
        <w:rPr>
          <w:b/>
        </w:rPr>
        <w:t>uthorisation</w:t>
      </w:r>
      <w:r>
        <w:t xml:space="preserve"> data is transferred between the merchant and issuer financial institutions through the payment system’s secure gateways.</w:t>
      </w:r>
    </w:p>
    <w:p w14:paraId="7C5903CB" w14:textId="77777777" w:rsidR="00E30EED" w:rsidRDefault="00E30EED" w:rsidP="004F6E47">
      <w:pPr>
        <w:pStyle w:val="Bullet1stlevel"/>
      </w:pPr>
      <w:r>
        <w:t xml:space="preserve">The payment system’s designated </w:t>
      </w:r>
      <w:r>
        <w:rPr>
          <w:b/>
          <w:bCs/>
        </w:rPr>
        <w:t>clearing</w:t>
      </w:r>
      <w:r w:rsidRPr="000E7645">
        <w:t xml:space="preserve"> </w:t>
      </w:r>
      <w:r>
        <w:t>bank then clears the payment with the issuer financial institution through checking that the necessary funds are available.</w:t>
      </w:r>
    </w:p>
    <w:p w14:paraId="7DF37502" w14:textId="77777777" w:rsidR="00E30EED" w:rsidRDefault="00E30EED" w:rsidP="004F6E47">
      <w:pPr>
        <w:pStyle w:val="Bullet1stlevel"/>
      </w:pPr>
      <w:r>
        <w:rPr>
          <w:b/>
          <w:bCs/>
        </w:rPr>
        <w:t>Settlement</w:t>
      </w:r>
      <w:r w:rsidRPr="000E7645">
        <w:t xml:space="preserve"> </w:t>
      </w:r>
      <w:r>
        <w:t xml:space="preserve">data is then transferred between the issuer and merchant financial institutions through the secure gateway to allow for the payment to be credited to the merchant’s account. </w:t>
      </w:r>
    </w:p>
    <w:p w14:paraId="7FDCCE13" w14:textId="77777777" w:rsidR="00453A54" w:rsidRPr="00EE1C58" w:rsidRDefault="00E30EED" w:rsidP="00EE1C58">
      <w:pPr>
        <w:pStyle w:val="BodyText"/>
      </w:pPr>
      <w:r w:rsidRPr="00EE1C58">
        <w:t xml:space="preserve">These payment systems rely on telecommunication networks to provide the rails to process transactions. </w:t>
      </w:r>
    </w:p>
    <w:p w14:paraId="54DAB4F3" w14:textId="3105F920" w:rsidR="00F45CF4" w:rsidRPr="00374A1D" w:rsidRDefault="00F45CF4" w:rsidP="004F6E47">
      <w:pPr>
        <w:pStyle w:val="BodyText"/>
      </w:pPr>
      <w:r w:rsidRPr="00374A1D">
        <w:t xml:space="preserve">The </w:t>
      </w:r>
      <w:r w:rsidR="00384419">
        <w:t>SOCI Act</w:t>
      </w:r>
      <w:r w:rsidRPr="00374A1D">
        <w:t xml:space="preserve"> refers to assets within a critical infrastructure sector as ‘critical infrastructure assets’. </w:t>
      </w:r>
      <w:r w:rsidR="009402B7">
        <w:t>S</w:t>
      </w:r>
      <w:r w:rsidRPr="00374A1D">
        <w:t>ection 1</w:t>
      </w:r>
      <w:r>
        <w:t>2D</w:t>
      </w:r>
      <w:r w:rsidRPr="00374A1D">
        <w:t xml:space="preserve"> </w:t>
      </w:r>
      <w:r w:rsidR="009402B7">
        <w:t>of</w:t>
      </w:r>
      <w:r w:rsidR="009402B7" w:rsidRPr="00374A1D">
        <w:t xml:space="preserve"> </w:t>
      </w:r>
      <w:r w:rsidRPr="00374A1D">
        <w:t xml:space="preserve">the </w:t>
      </w:r>
      <w:r w:rsidR="00384419">
        <w:t>SOCI Act</w:t>
      </w:r>
      <w:r w:rsidRPr="00374A1D">
        <w:t xml:space="preserve"> provid</w:t>
      </w:r>
      <w:r w:rsidR="009402B7">
        <w:t>es</w:t>
      </w:r>
      <w:r w:rsidRPr="00374A1D">
        <w:t xml:space="preserve"> the following in relation to ‘</w:t>
      </w:r>
      <w:r>
        <w:t>critical payment system</w:t>
      </w:r>
      <w:r w:rsidRPr="00374A1D">
        <w:t>s’</w:t>
      </w:r>
      <w:r w:rsidR="008250FC">
        <w:t>:</w:t>
      </w:r>
    </w:p>
    <w:p w14:paraId="655CA677" w14:textId="77777777" w:rsidR="00F45CF4" w:rsidRPr="00F80C18" w:rsidRDefault="00F45CF4" w:rsidP="007F265A">
      <w:pPr>
        <w:numPr>
          <w:ilvl w:val="0"/>
          <w:numId w:val="112"/>
        </w:numPr>
        <w:autoSpaceDE w:val="0"/>
        <w:autoSpaceDN w:val="0"/>
        <w:adjustRightInd w:val="0"/>
        <w:spacing w:after="160" w:line="259" w:lineRule="auto"/>
        <w:ind w:left="357" w:hanging="357"/>
        <w:rPr>
          <w:rFonts w:ascii="Arial" w:eastAsia="Times New Roman" w:hAnsi="Arial" w:cs="Arial"/>
          <w:color w:val="000000" w:themeColor="text1"/>
          <w:sz w:val="22"/>
        </w:rPr>
      </w:pPr>
      <w:r w:rsidRPr="00F80C18">
        <w:rPr>
          <w:rFonts w:ascii="Arial" w:eastAsia="Calibri" w:hAnsi="Arial" w:cs="Arial"/>
          <w:i/>
          <w:color w:val="000000" w:themeColor="text1"/>
          <w:sz w:val="22"/>
        </w:rPr>
        <w:t xml:space="preserve">An asset is a </w:t>
      </w:r>
      <w:r w:rsidRPr="00F80C18">
        <w:rPr>
          <w:rFonts w:ascii="Arial" w:eastAsia="Times New Roman" w:hAnsi="Arial" w:cs="Arial"/>
          <w:b/>
          <w:i/>
          <w:color w:val="000000" w:themeColor="text1"/>
          <w:sz w:val="22"/>
        </w:rPr>
        <w:t>critical financial market infrastructure ass</w:t>
      </w:r>
      <w:r w:rsidRPr="00531F25">
        <w:rPr>
          <w:rFonts w:ascii="Arial" w:eastAsia="Calibri" w:hAnsi="Arial" w:cs="Arial"/>
          <w:b/>
          <w:i/>
          <w:color w:val="000000" w:themeColor="text1"/>
          <w:sz w:val="22"/>
        </w:rPr>
        <w:t>et</w:t>
      </w:r>
      <w:r w:rsidRPr="00F80C18">
        <w:rPr>
          <w:rFonts w:ascii="Arial" w:eastAsia="Calibri" w:hAnsi="Arial" w:cs="Arial"/>
          <w:color w:val="000000" w:themeColor="text1"/>
          <w:sz w:val="22"/>
        </w:rPr>
        <w:t xml:space="preserve"> if it is:</w:t>
      </w:r>
    </w:p>
    <w:p w14:paraId="2E6B1B6B" w14:textId="77777777" w:rsidR="00F45CF4" w:rsidRPr="002B0C1D" w:rsidRDefault="00F45CF4" w:rsidP="00EE1C58">
      <w:pPr>
        <w:pStyle w:val="BodyText"/>
        <w:rPr>
          <w:rFonts w:eastAsia="Times New Roman"/>
        </w:rPr>
      </w:pPr>
      <w:r>
        <w:lastRenderedPageBreak/>
        <w:t>…</w:t>
      </w:r>
    </w:p>
    <w:p w14:paraId="5E0798D5" w14:textId="77777777" w:rsidR="00F45CF4" w:rsidRDefault="00F45CF4" w:rsidP="007F265A">
      <w:pPr>
        <w:pStyle w:val="ListParagraph"/>
        <w:numPr>
          <w:ilvl w:val="0"/>
          <w:numId w:val="131"/>
        </w:numPr>
        <w:autoSpaceDE w:val="0"/>
        <w:autoSpaceDN w:val="0"/>
        <w:adjustRightInd w:val="0"/>
        <w:spacing w:line="259" w:lineRule="auto"/>
        <w:contextualSpacing w:val="0"/>
        <w:rPr>
          <w:rFonts w:eastAsia="Calibri"/>
          <w:i/>
          <w:iCs/>
          <w:color w:val="000000"/>
        </w:rPr>
      </w:pPr>
      <w:r w:rsidRPr="00CE1F17">
        <w:rPr>
          <w:rFonts w:eastAsia="Calibri"/>
          <w:i/>
          <w:iCs/>
          <w:color w:val="000000"/>
        </w:rPr>
        <w:t xml:space="preserve">An asset that is </w:t>
      </w:r>
      <w:r>
        <w:rPr>
          <w:rFonts w:eastAsia="Calibri"/>
          <w:i/>
          <w:iCs/>
          <w:color w:val="000000"/>
        </w:rPr>
        <w:t xml:space="preserve">used in connection with the </w:t>
      </w:r>
      <w:r w:rsidRPr="00CE1F17">
        <w:rPr>
          <w:rFonts w:eastAsia="Calibri"/>
          <w:i/>
          <w:iCs/>
          <w:color w:val="000000"/>
        </w:rPr>
        <w:t>operation of a payment system that</w:t>
      </w:r>
      <w:r>
        <w:rPr>
          <w:rFonts w:eastAsia="Calibri"/>
          <w:i/>
          <w:iCs/>
          <w:color w:val="000000"/>
        </w:rPr>
        <w:t xml:space="preserve">, in accordance with subsection (6), is critical to the </w:t>
      </w:r>
      <w:r w:rsidRPr="00CE1F17">
        <w:rPr>
          <w:rFonts w:eastAsia="Calibri"/>
          <w:i/>
          <w:iCs/>
          <w:color w:val="000000"/>
        </w:rPr>
        <w:t xml:space="preserve">security and reliability of the </w:t>
      </w:r>
      <w:r>
        <w:rPr>
          <w:rFonts w:eastAsia="Calibri"/>
          <w:i/>
          <w:iCs/>
          <w:color w:val="000000"/>
        </w:rPr>
        <w:t xml:space="preserve">financial services and markets sector. </w:t>
      </w:r>
    </w:p>
    <w:p w14:paraId="647F0FB9" w14:textId="77777777" w:rsidR="00F45CF4" w:rsidRDefault="00F45CF4" w:rsidP="0048430E">
      <w:pPr>
        <w:autoSpaceDE w:val="0"/>
        <w:autoSpaceDN w:val="0"/>
        <w:adjustRightInd w:val="0"/>
        <w:spacing w:after="160" w:line="259" w:lineRule="auto"/>
        <w:ind w:left="357"/>
        <w:rPr>
          <w:rFonts w:ascii="Arial" w:eastAsia="Calibri" w:hAnsi="Arial" w:cs="Arial"/>
          <w:i/>
          <w:iCs/>
          <w:color w:val="000000"/>
          <w:sz w:val="22"/>
        </w:rPr>
      </w:pPr>
      <w:r>
        <w:rPr>
          <w:rFonts w:ascii="Arial" w:eastAsia="Calibri" w:hAnsi="Arial" w:cs="Arial"/>
          <w:i/>
          <w:iCs/>
          <w:color w:val="000000"/>
          <w:sz w:val="22"/>
        </w:rPr>
        <w:t xml:space="preserve">Note: the rules may prescribe that a specified critical financial market infrastructure asset is not a critical infrastructure asset (see section 9). </w:t>
      </w:r>
    </w:p>
    <w:p w14:paraId="798B1F12" w14:textId="77777777" w:rsidR="00F45CF4" w:rsidRDefault="00F45CF4" w:rsidP="00EE1C58">
      <w:pPr>
        <w:pStyle w:val="BodyText"/>
      </w:pPr>
      <w:r>
        <w:t>…</w:t>
      </w:r>
    </w:p>
    <w:p w14:paraId="6933E0D6" w14:textId="77777777" w:rsidR="00F45CF4" w:rsidRDefault="00F45CF4" w:rsidP="007F265A">
      <w:pPr>
        <w:numPr>
          <w:ilvl w:val="0"/>
          <w:numId w:val="133"/>
        </w:numPr>
        <w:autoSpaceDE w:val="0"/>
        <w:autoSpaceDN w:val="0"/>
        <w:adjustRightInd w:val="0"/>
        <w:spacing w:after="160" w:line="259" w:lineRule="auto"/>
        <w:ind w:left="284" w:hanging="284"/>
        <w:rPr>
          <w:rFonts w:ascii="Arial" w:eastAsia="Calibri" w:hAnsi="Arial" w:cs="Arial"/>
          <w:i/>
          <w:iCs/>
          <w:color w:val="000000"/>
          <w:sz w:val="22"/>
        </w:rPr>
      </w:pPr>
      <w:r w:rsidRPr="00637475">
        <w:rPr>
          <w:rFonts w:ascii="Arial" w:eastAsia="Calibri" w:hAnsi="Arial" w:cs="Arial"/>
          <w:i/>
          <w:iCs/>
          <w:color w:val="000000"/>
          <w:sz w:val="22"/>
        </w:rPr>
        <w:t xml:space="preserve"> </w:t>
      </w:r>
      <w:r w:rsidRPr="007E16F7">
        <w:rPr>
          <w:rFonts w:ascii="Arial" w:eastAsia="Calibri" w:hAnsi="Arial" w:cs="Arial"/>
          <w:i/>
          <w:iCs/>
          <w:color w:val="000000"/>
          <w:sz w:val="22"/>
        </w:rPr>
        <w:t>For the purposes of paragraph (1)(i), the rules may prescribe:</w:t>
      </w:r>
    </w:p>
    <w:p w14:paraId="06454FC8" w14:textId="77777777" w:rsidR="00F45CF4" w:rsidRPr="007E16F7" w:rsidRDefault="00F45CF4" w:rsidP="007F265A">
      <w:pPr>
        <w:pStyle w:val="Default"/>
        <w:numPr>
          <w:ilvl w:val="2"/>
          <w:numId w:val="132"/>
        </w:numPr>
        <w:ind w:left="993" w:hanging="709"/>
        <w:rPr>
          <w:rFonts w:ascii="Arial" w:hAnsi="Arial" w:cs="Arial"/>
          <w:i/>
          <w:iCs/>
          <w:color w:val="auto"/>
        </w:rPr>
      </w:pPr>
      <w:r w:rsidRPr="0032570C">
        <w:rPr>
          <w:rFonts w:ascii="Arial" w:hAnsi="Arial" w:cs="Arial"/>
          <w:i/>
          <w:iCs/>
          <w:sz w:val="22"/>
          <w:szCs w:val="22"/>
        </w:rPr>
        <w:t xml:space="preserve">specified payment systems that are critical to the security and reliability of the financial services and markets sector; or </w:t>
      </w:r>
    </w:p>
    <w:p w14:paraId="2C125D8F" w14:textId="77777777" w:rsidR="00F45CF4" w:rsidRPr="007E16F7" w:rsidRDefault="00F45CF4" w:rsidP="007F265A">
      <w:pPr>
        <w:pStyle w:val="Default"/>
        <w:numPr>
          <w:ilvl w:val="2"/>
          <w:numId w:val="132"/>
        </w:numPr>
        <w:ind w:left="993" w:hanging="709"/>
        <w:rPr>
          <w:rFonts w:ascii="Arial" w:hAnsi="Arial" w:cs="Arial"/>
          <w:i/>
          <w:iCs/>
          <w:color w:val="auto"/>
        </w:rPr>
      </w:pPr>
      <w:r>
        <w:rPr>
          <w:rFonts w:ascii="Arial" w:hAnsi="Arial" w:cs="Arial"/>
          <w:i/>
          <w:iCs/>
          <w:sz w:val="22"/>
          <w:szCs w:val="22"/>
        </w:rPr>
        <w:t>requirements for a payment system to be critical to the security and reliability of the financial services and markets sector</w:t>
      </w:r>
    </w:p>
    <w:p w14:paraId="579C0FBD" w14:textId="77777777" w:rsidR="00F45CF4" w:rsidRDefault="00F45CF4" w:rsidP="007F265A">
      <w:pPr>
        <w:numPr>
          <w:ilvl w:val="0"/>
          <w:numId w:val="133"/>
        </w:numPr>
        <w:autoSpaceDE w:val="0"/>
        <w:autoSpaceDN w:val="0"/>
        <w:adjustRightInd w:val="0"/>
        <w:spacing w:after="160" w:line="259" w:lineRule="auto"/>
        <w:ind w:left="357" w:hanging="357"/>
        <w:rPr>
          <w:rFonts w:ascii="Arial" w:hAnsi="Arial" w:cs="Arial"/>
          <w:i/>
          <w:iCs/>
          <w:sz w:val="22"/>
        </w:rPr>
      </w:pPr>
      <w:r w:rsidRPr="007E16F7">
        <w:rPr>
          <w:rFonts w:ascii="Arial" w:hAnsi="Arial" w:cs="Arial"/>
          <w:i/>
          <w:iCs/>
          <w:sz w:val="22"/>
        </w:rPr>
        <w:t>For the purposes</w:t>
      </w:r>
      <w:r>
        <w:rPr>
          <w:rFonts w:ascii="Arial" w:hAnsi="Arial" w:cs="Arial"/>
          <w:i/>
          <w:iCs/>
          <w:sz w:val="22"/>
        </w:rPr>
        <w:t xml:space="preserve"> of this section, </w:t>
      </w:r>
      <w:r>
        <w:rPr>
          <w:rFonts w:ascii="Arial" w:hAnsi="Arial" w:cs="Arial"/>
          <w:b/>
          <w:bCs/>
          <w:i/>
          <w:iCs/>
          <w:sz w:val="22"/>
        </w:rPr>
        <w:t xml:space="preserve">Australian body corporate </w:t>
      </w:r>
      <w:r>
        <w:rPr>
          <w:rFonts w:ascii="Arial" w:hAnsi="Arial" w:cs="Arial"/>
          <w:i/>
          <w:iCs/>
          <w:sz w:val="22"/>
        </w:rPr>
        <w:t>means a body corporate that is incorporated in Australia.</w:t>
      </w:r>
    </w:p>
    <w:p w14:paraId="1914A8DE" w14:textId="77777777" w:rsidR="00F45CF4" w:rsidRDefault="00F45CF4" w:rsidP="004F6E47">
      <w:pPr>
        <w:pStyle w:val="BodyText"/>
      </w:pPr>
      <w:r>
        <w:t>The Department, on 23 May 2021, published a policy paper Protecting Critical Infrastructure and Systems of National Significance – Draft Critical Infrastructure Asset Definition Rules (2021) (the Policy Paper). In the Policy Paper, the Department states that it intends to recommend that the Minister make rules to prescribe specified payment systems that are critical to the security and reliability of the financial services and markets sector, including:</w:t>
      </w:r>
    </w:p>
    <w:p w14:paraId="489F1302" w14:textId="77777777" w:rsidR="00F45CF4" w:rsidRDefault="00F45CF4" w:rsidP="004F6E47">
      <w:pPr>
        <w:pStyle w:val="ListParagraph"/>
        <w:numPr>
          <w:ilvl w:val="1"/>
          <w:numId w:val="112"/>
        </w:numPr>
        <w:autoSpaceDE w:val="0"/>
        <w:autoSpaceDN w:val="0"/>
        <w:adjustRightInd w:val="0"/>
        <w:spacing w:line="259" w:lineRule="auto"/>
        <w:ind w:left="426" w:hanging="426"/>
        <w:contextualSpacing w:val="0"/>
      </w:pPr>
      <w:r>
        <w:t>The Mastercard debit and credit card systems,</w:t>
      </w:r>
    </w:p>
    <w:p w14:paraId="19A8FCB6" w14:textId="77777777" w:rsidR="00F45CF4" w:rsidRDefault="00F45CF4" w:rsidP="004F6E47">
      <w:pPr>
        <w:pStyle w:val="ListParagraph"/>
        <w:numPr>
          <w:ilvl w:val="1"/>
          <w:numId w:val="112"/>
        </w:numPr>
        <w:autoSpaceDE w:val="0"/>
        <w:autoSpaceDN w:val="0"/>
        <w:adjustRightInd w:val="0"/>
        <w:spacing w:line="259" w:lineRule="auto"/>
        <w:ind w:left="426" w:hanging="426"/>
        <w:contextualSpacing w:val="0"/>
      </w:pPr>
      <w:r>
        <w:t>The Visa debit and credit card systems,</w:t>
      </w:r>
    </w:p>
    <w:p w14:paraId="02F38273" w14:textId="77777777" w:rsidR="00F45CF4" w:rsidRDefault="00F45CF4" w:rsidP="004F6E47">
      <w:pPr>
        <w:pStyle w:val="ListParagraph"/>
        <w:numPr>
          <w:ilvl w:val="1"/>
          <w:numId w:val="112"/>
        </w:numPr>
        <w:autoSpaceDE w:val="0"/>
        <w:autoSpaceDN w:val="0"/>
        <w:adjustRightInd w:val="0"/>
        <w:spacing w:line="259" w:lineRule="auto"/>
        <w:ind w:left="426" w:hanging="426"/>
        <w:contextualSpacing w:val="0"/>
      </w:pPr>
      <w:r>
        <w:t>The EFTPOS card system, and</w:t>
      </w:r>
    </w:p>
    <w:p w14:paraId="52E02F52" w14:textId="77777777" w:rsidR="00F45CF4" w:rsidRPr="0048430E" w:rsidRDefault="00F45CF4" w:rsidP="004F6E47">
      <w:pPr>
        <w:pStyle w:val="ListParagraph"/>
        <w:numPr>
          <w:ilvl w:val="1"/>
          <w:numId w:val="112"/>
        </w:numPr>
        <w:autoSpaceDE w:val="0"/>
        <w:autoSpaceDN w:val="0"/>
        <w:adjustRightInd w:val="0"/>
        <w:spacing w:line="259" w:lineRule="auto"/>
        <w:ind w:left="426" w:hanging="426"/>
        <w:contextualSpacing w:val="0"/>
      </w:pPr>
      <w:r>
        <w:t>The New Payments Platform.</w:t>
      </w:r>
    </w:p>
    <w:p w14:paraId="7D8449CF" w14:textId="77777777" w:rsidR="00453A54" w:rsidRDefault="00453A54" w:rsidP="008E1A28">
      <w:pPr>
        <w:pStyle w:val="AppendixH2"/>
      </w:pPr>
      <w:r>
        <w:t xml:space="preserve">Impacts of a disruption to </w:t>
      </w:r>
      <w:r w:rsidR="00DD58A6">
        <w:t xml:space="preserve">payment systems </w:t>
      </w:r>
    </w:p>
    <w:p w14:paraId="5710860E" w14:textId="77777777" w:rsidR="00DD58A6" w:rsidRDefault="00DD58A6" w:rsidP="004F6E47">
      <w:pPr>
        <w:pStyle w:val="BodyText"/>
      </w:pPr>
      <w:r>
        <w:t>The consequences of a prolonged and widespread disruption to a critical payment system may include:</w:t>
      </w:r>
    </w:p>
    <w:p w14:paraId="2FF3AAAB" w14:textId="77777777" w:rsidR="00DD58A6" w:rsidRDefault="00DD58A6" w:rsidP="004F6E47">
      <w:pPr>
        <w:pStyle w:val="Bullet1stlevel"/>
      </w:pPr>
      <w:bookmarkStart w:id="596" w:name="_Toc90479462"/>
      <w:bookmarkStart w:id="597" w:name="_Toc90545718"/>
      <w:r>
        <w:t>Disruption to transactions, causing reduced economic activity due to disruption of banking, finance and retail sectors (for example, retail customers may be unable to complete routine transactions such as purchasing groceries or paying utilities bills);</w:t>
      </w:r>
      <w:bookmarkEnd w:id="596"/>
      <w:bookmarkEnd w:id="597"/>
      <w:r>
        <w:t xml:space="preserve"> </w:t>
      </w:r>
    </w:p>
    <w:p w14:paraId="31E724F5" w14:textId="77777777" w:rsidR="00DD58A6" w:rsidRDefault="00DD58A6" w:rsidP="004F6E47">
      <w:pPr>
        <w:pStyle w:val="Bullet1stlevel"/>
      </w:pPr>
      <w:bookmarkStart w:id="598" w:name="_Toc90479463"/>
      <w:bookmarkStart w:id="599" w:name="_Toc90545719"/>
      <w:r>
        <w:t>Disruption to the reliability of the supply of food and groceries, as transactions along the supply chain are disrupted;</w:t>
      </w:r>
      <w:bookmarkEnd w:id="598"/>
      <w:bookmarkEnd w:id="599"/>
      <w:r>
        <w:t xml:space="preserve">  </w:t>
      </w:r>
    </w:p>
    <w:p w14:paraId="0B81A5BF" w14:textId="77777777" w:rsidR="00DD58A6" w:rsidRDefault="00DD58A6" w:rsidP="004F6E47">
      <w:pPr>
        <w:pStyle w:val="Bullet1stlevel"/>
      </w:pPr>
      <w:bookmarkStart w:id="600" w:name="_Toc90479464"/>
      <w:bookmarkStart w:id="601" w:name="_Toc90545720"/>
      <w:r>
        <w:t>Disruption to transport infrastructure, as ticket sales are disrupted; and</w:t>
      </w:r>
      <w:bookmarkEnd w:id="600"/>
      <w:bookmarkEnd w:id="601"/>
    </w:p>
    <w:p w14:paraId="07C04298" w14:textId="77777777" w:rsidR="00453A54" w:rsidRDefault="00DD58A6" w:rsidP="004F6E47">
      <w:pPr>
        <w:pStyle w:val="Bullet1stlevel"/>
      </w:pPr>
      <w:r>
        <w:t>Reduced public confidence in payment services and key providers, and potentially the broader financial system.</w:t>
      </w:r>
    </w:p>
    <w:p w14:paraId="7E19F640" w14:textId="77777777" w:rsidR="00453A54" w:rsidRDefault="00453A54" w:rsidP="008E1A28">
      <w:pPr>
        <w:pStyle w:val="AppendixH2"/>
      </w:pPr>
      <w:r>
        <w:lastRenderedPageBreak/>
        <w:t xml:space="preserve">Examples of disruptions to </w:t>
      </w:r>
      <w:r w:rsidR="00621CA9">
        <w:t>payment systems</w:t>
      </w:r>
      <w:r w:rsidR="00731FD7">
        <w:t xml:space="preserve"> assets</w:t>
      </w:r>
      <w:r>
        <w:t xml:space="preserve"> – domestic and international</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378"/>
        <w:gridCol w:w="3235"/>
        <w:gridCol w:w="25"/>
      </w:tblGrid>
      <w:tr w:rsidR="00587B7A" w:rsidRPr="00763B39" w14:paraId="2A9F8311" w14:textId="77777777" w:rsidTr="00F93F99">
        <w:trPr>
          <w:gridAfter w:val="1"/>
          <w:wAfter w:w="13" w:type="pct"/>
          <w:trHeight w:val="279"/>
        </w:trPr>
        <w:tc>
          <w:tcPr>
            <w:tcW w:w="3309" w:type="pct"/>
            <w:shd w:val="clear" w:color="auto" w:fill="034EA2" w:themeFill="accent1"/>
          </w:tcPr>
          <w:p w14:paraId="4508E378" w14:textId="77777777" w:rsidR="00587B7A" w:rsidRDefault="00587B7A" w:rsidP="00F93F99">
            <w:pPr>
              <w:pStyle w:val="TableHeading"/>
            </w:pPr>
            <w:r w:rsidRPr="007F2FAE">
              <w:t>Westpac, ANZ and Coles-Myer Suffer Boxing Day Technical Difficulties (2018)</w:t>
            </w:r>
          </w:p>
        </w:tc>
        <w:tc>
          <w:tcPr>
            <w:tcW w:w="1678" w:type="pct"/>
            <w:shd w:val="clear" w:color="auto" w:fill="007BC3" w:themeFill="accent2"/>
            <w:vAlign w:val="center"/>
          </w:tcPr>
          <w:p w14:paraId="010B53EE" w14:textId="77777777" w:rsidR="00587B7A" w:rsidRPr="00763B39" w:rsidRDefault="00587B7A" w:rsidP="00F93F99">
            <w:pPr>
              <w:pStyle w:val="Tableriskcategory"/>
            </w:pPr>
            <w:r w:rsidRPr="00582C5E">
              <w:t>Physical &amp; Supply Chain Risk</w:t>
            </w:r>
          </w:p>
        </w:tc>
      </w:tr>
      <w:tr w:rsidR="00587B7A" w14:paraId="2C68D18C" w14:textId="77777777" w:rsidTr="00F93F99">
        <w:trPr>
          <w:trHeight w:val="279"/>
        </w:trPr>
        <w:tc>
          <w:tcPr>
            <w:tcW w:w="5000" w:type="pct"/>
            <w:gridSpan w:val="3"/>
            <w:shd w:val="clear" w:color="auto" w:fill="auto"/>
          </w:tcPr>
          <w:p w14:paraId="4473E018" w14:textId="77777777" w:rsidR="00587B7A" w:rsidRDefault="00587B7A" w:rsidP="00F93F99">
            <w:pPr>
              <w:pStyle w:val="TableBody"/>
            </w:pPr>
            <w:r w:rsidRPr="00F93F99">
              <w:rPr>
                <w:b/>
                <w:bCs/>
              </w:rPr>
              <w:t>Situation</w:t>
            </w:r>
            <w:r>
              <w:t xml:space="preserve">: On Boxing Day of 2018, Westpac and ANZ EFTPOS machines and mobile banking applications experienced significant malfunctions throughout the day, while Coles-Myer Group gift cards were unable to be accepted. Consumers intending to use Coles-Myer Gift Cards were informed that the organisation’s third-party gift card provider was experiencing technical difficulties, resulting in the decline of all Coles-Myer gift cards. </w:t>
            </w:r>
          </w:p>
        </w:tc>
      </w:tr>
      <w:tr w:rsidR="00587B7A" w14:paraId="2A8E6CB2" w14:textId="77777777" w:rsidTr="00F93F99">
        <w:trPr>
          <w:trHeight w:val="279"/>
        </w:trPr>
        <w:tc>
          <w:tcPr>
            <w:tcW w:w="5000" w:type="pct"/>
            <w:gridSpan w:val="3"/>
          </w:tcPr>
          <w:p w14:paraId="4C3BBB54" w14:textId="77777777" w:rsidR="00587B7A" w:rsidRDefault="00587B7A" w:rsidP="00F93F99">
            <w:pPr>
              <w:pStyle w:val="TableBody"/>
            </w:pPr>
            <w:r w:rsidRPr="00F93F99">
              <w:rPr>
                <w:rFonts w:eastAsia="Calibri"/>
                <w:b/>
                <w:bCs/>
              </w:rPr>
              <w:t>Outcome</w:t>
            </w:r>
            <w:r>
              <w:rPr>
                <w:rFonts w:eastAsia="Calibri"/>
              </w:rPr>
              <w:t xml:space="preserve">: </w:t>
            </w:r>
            <w:r>
              <w:t>ANZ was able to restore its services by Boxing Day evening. However, Westpac’s EFTPOS issues were unable to be rectified before the end of the day.</w:t>
            </w:r>
            <w:r>
              <w:rPr>
                <w:rStyle w:val="FootnoteReference"/>
                <w:rFonts w:ascii="Arial" w:hAnsi="Arial" w:cs="Arial"/>
              </w:rPr>
              <w:footnoteReference w:id="177"/>
            </w:r>
            <w:r>
              <w:t xml:space="preserve">  A spokesperson for Myer provided that their gift card issue was resolved by 5:30pm on Boxing Day evening.</w:t>
            </w:r>
            <w:r>
              <w:rPr>
                <w:rStyle w:val="FootnoteReference"/>
                <w:rFonts w:ascii="Arial" w:hAnsi="Arial" w:cs="Arial"/>
              </w:rPr>
              <w:footnoteReference w:id="178"/>
            </w:r>
            <w:r>
              <w:t xml:space="preserve"> The outages came on a day when Australians were expected to spend as much as $2.62 billion as a result of Boxing Day sales.</w:t>
            </w:r>
            <w:r>
              <w:rPr>
                <w:rStyle w:val="FootnoteReference"/>
                <w:rFonts w:ascii="Arial" w:hAnsi="Arial" w:cs="Arial"/>
              </w:rPr>
              <w:footnoteReference w:id="179"/>
            </w:r>
          </w:p>
        </w:tc>
      </w:tr>
      <w:tr w:rsidR="00587B7A" w14:paraId="74DE3ADC" w14:textId="77777777" w:rsidTr="00F93F99">
        <w:trPr>
          <w:trHeight w:val="279"/>
        </w:trPr>
        <w:tc>
          <w:tcPr>
            <w:tcW w:w="5000" w:type="pct"/>
            <w:gridSpan w:val="3"/>
            <w:shd w:val="clear" w:color="auto" w:fill="auto"/>
          </w:tcPr>
          <w:p w14:paraId="34ECA0B6" w14:textId="77777777" w:rsidR="00587B7A" w:rsidRDefault="00587B7A" w:rsidP="00F93F99">
            <w:pPr>
              <w:pStyle w:val="TableBody"/>
            </w:pPr>
            <w:r w:rsidRPr="00F93F99">
              <w:rPr>
                <w:b/>
                <w:bCs/>
              </w:rPr>
              <w:t>Identified Gap</w:t>
            </w:r>
            <w:r>
              <w:t xml:space="preserve">: In addition to the inconvenience experienced by customers hoping to take advantage of Boxing Day sale campaigns, this case study demonstrates the importance of payment system organisations having in place sufficient contingency arrangements in the event of an outage. Further, in the case of Coles-Myer, it is important that organisations secure their supply chains so as to limit the impacts of any interruptions experienced by third party providers. </w:t>
            </w:r>
          </w:p>
        </w:tc>
      </w:tr>
      <w:tr w:rsidR="00587B7A" w14:paraId="63A384D2" w14:textId="77777777" w:rsidTr="00F93F99">
        <w:trPr>
          <w:trHeight w:val="279"/>
        </w:trPr>
        <w:tc>
          <w:tcPr>
            <w:tcW w:w="5000" w:type="pct"/>
            <w:gridSpan w:val="3"/>
            <w:shd w:val="clear" w:color="auto" w:fill="FFFFFF" w:themeFill="background1"/>
          </w:tcPr>
          <w:p w14:paraId="0C84F479" w14:textId="77777777" w:rsidR="00587B7A" w:rsidRDefault="00587B7A" w:rsidP="00432652">
            <w:pPr>
              <w:rPr>
                <w:rFonts w:ascii="Arial" w:eastAsia="Times New Roman" w:hAnsi="Arial" w:cs="Arial"/>
              </w:rPr>
            </w:pPr>
          </w:p>
        </w:tc>
      </w:tr>
      <w:tr w:rsidR="00587B7A" w14:paraId="3F09F197" w14:textId="77777777" w:rsidTr="00F93F99">
        <w:trPr>
          <w:trHeight w:val="279"/>
        </w:trPr>
        <w:tc>
          <w:tcPr>
            <w:tcW w:w="3309" w:type="pct"/>
            <w:shd w:val="clear" w:color="auto" w:fill="034EA2"/>
          </w:tcPr>
          <w:p w14:paraId="132B5557" w14:textId="77777777" w:rsidR="00587B7A" w:rsidRDefault="00587B7A" w:rsidP="00F93F99">
            <w:pPr>
              <w:pStyle w:val="TableHeading"/>
              <w:rPr>
                <w:color w:val="000000"/>
              </w:rPr>
            </w:pPr>
            <w:r w:rsidRPr="00582C5E">
              <w:t>NAB</w:t>
            </w:r>
            <w:r w:rsidRPr="00763B39">
              <w:rPr>
                <w:rFonts w:eastAsia="Calibri"/>
              </w:rPr>
              <w:t xml:space="preserve"> </w:t>
            </w:r>
            <w:r w:rsidRPr="00582C5E">
              <w:t>Experiences Nationwide Service Disruption (2018)</w:t>
            </w:r>
            <w:r w:rsidRPr="00763B39">
              <w:rPr>
                <w:rFonts w:eastAsia="Calibri"/>
              </w:rPr>
              <w:t xml:space="preserve"> </w:t>
            </w:r>
          </w:p>
        </w:tc>
        <w:tc>
          <w:tcPr>
            <w:tcW w:w="1691" w:type="pct"/>
            <w:gridSpan w:val="2"/>
            <w:shd w:val="clear" w:color="auto" w:fill="007BC3" w:themeFill="accent2"/>
            <w:vAlign w:val="center"/>
          </w:tcPr>
          <w:p w14:paraId="0075B769" w14:textId="77777777" w:rsidR="00587B7A" w:rsidRPr="00582C5E" w:rsidRDefault="00587B7A" w:rsidP="00F93F99">
            <w:pPr>
              <w:pStyle w:val="Tableriskcategory"/>
              <w:rPr>
                <w:rFonts w:ascii="Arial" w:hAnsi="Arial"/>
              </w:rPr>
            </w:pPr>
            <w:r w:rsidRPr="00582C5E">
              <w:t>Physical Risk</w:t>
            </w:r>
          </w:p>
        </w:tc>
      </w:tr>
      <w:tr w:rsidR="00587B7A" w14:paraId="5E0AAA02" w14:textId="77777777" w:rsidTr="00F93F99">
        <w:trPr>
          <w:trHeight w:val="279"/>
        </w:trPr>
        <w:tc>
          <w:tcPr>
            <w:tcW w:w="5000" w:type="pct"/>
            <w:gridSpan w:val="3"/>
            <w:shd w:val="clear" w:color="auto" w:fill="FFFFFF" w:themeFill="background1"/>
          </w:tcPr>
          <w:p w14:paraId="7B85FB67" w14:textId="77777777" w:rsidR="00587B7A" w:rsidRDefault="00587B7A" w:rsidP="00F93F99">
            <w:pPr>
              <w:pStyle w:val="TableBody"/>
              <w:rPr>
                <w:rFonts w:eastAsia="Times New Roman"/>
              </w:rPr>
            </w:pPr>
            <w:r w:rsidRPr="00F93F99">
              <w:rPr>
                <w:b/>
                <w:bCs/>
              </w:rPr>
              <w:t>Situation</w:t>
            </w:r>
            <w:r>
              <w:t>: In early 2018, NAB experienced extended outages across its internet and mobile banking, ATMs and eftpos, with disruptions lasting almost seven hours on a Saturday. The NAB disruption also affected customers across the Tasman, with NAB subsidiary Bank of New Zealand tweeting that its systems were down for part of Saturday morning.</w:t>
            </w:r>
            <w:r>
              <w:rPr>
                <w:vertAlign w:val="superscript"/>
              </w:rPr>
              <w:footnoteReference w:id="180"/>
            </w:r>
          </w:p>
        </w:tc>
      </w:tr>
      <w:tr w:rsidR="00587B7A" w14:paraId="70B939F6" w14:textId="77777777" w:rsidTr="00F93F99">
        <w:trPr>
          <w:trHeight w:val="279"/>
        </w:trPr>
        <w:tc>
          <w:tcPr>
            <w:tcW w:w="5000" w:type="pct"/>
            <w:gridSpan w:val="3"/>
            <w:shd w:val="clear" w:color="auto" w:fill="F2F2F2"/>
          </w:tcPr>
          <w:p w14:paraId="5A28F7DA" w14:textId="77777777" w:rsidR="00587B7A" w:rsidRDefault="00587B7A" w:rsidP="00F93F99">
            <w:pPr>
              <w:pStyle w:val="TableBody"/>
              <w:rPr>
                <w:rFonts w:eastAsia="Times New Roman"/>
              </w:rPr>
            </w:pPr>
            <w:r w:rsidRPr="00F93F99">
              <w:rPr>
                <w:rFonts w:eastAsia="Calibri"/>
                <w:b/>
                <w:bCs/>
              </w:rPr>
              <w:t>Outcome</w:t>
            </w:r>
            <w:r>
              <w:rPr>
                <w:rFonts w:eastAsia="Calibri"/>
              </w:rPr>
              <w:t xml:space="preserve">: </w:t>
            </w:r>
            <w:r>
              <w:rPr>
                <w:rFonts w:eastAsia="Times New Roman"/>
              </w:rPr>
              <w:t>An NAB Business executive general manager Cindy Batchelor said the outage was caused by a power issue in the bank's mainframe in Melbourne. The bank said it would compensate customers ‘100 per cent’ for any losses incurred, with people cashless and small businesses unable to process transactions on a busy trading day.</w:t>
            </w:r>
            <w:r>
              <w:rPr>
                <w:rStyle w:val="FootnoteReference"/>
                <w:rFonts w:ascii="Arial" w:hAnsi="Arial" w:cs="Arial"/>
                <w:bCs/>
              </w:rPr>
              <w:footnoteReference w:id="181"/>
            </w:r>
            <w:r>
              <w:rPr>
                <w:rFonts w:eastAsia="Times New Roman"/>
              </w:rPr>
              <w:t xml:space="preserve"> NAB’s compensation payments cost a total of $7.4 million.</w:t>
            </w:r>
            <w:r>
              <w:rPr>
                <w:rFonts w:eastAsia="Times New Roman"/>
                <w:vertAlign w:val="superscript"/>
                <w:lang w:eastAsia="en-AU"/>
              </w:rPr>
              <w:footnoteReference w:id="182"/>
            </w:r>
            <w:r>
              <w:rPr>
                <w:rFonts w:eastAsia="Times New Roman"/>
              </w:rPr>
              <w:t xml:space="preserve"> Following the incident, NAB said it strengthened ‘many of its operational processes; to prevent a similar situation in the future.</w:t>
            </w:r>
            <w:r>
              <w:rPr>
                <w:rStyle w:val="FootnoteReference"/>
                <w:rFonts w:ascii="Arial" w:hAnsi="Arial" w:cs="Arial"/>
                <w:bCs/>
              </w:rPr>
              <w:footnoteReference w:id="183"/>
            </w:r>
          </w:p>
        </w:tc>
      </w:tr>
      <w:tr w:rsidR="00587B7A" w14:paraId="2AFDF7E0" w14:textId="77777777" w:rsidTr="00F93F99">
        <w:trPr>
          <w:trHeight w:val="279"/>
        </w:trPr>
        <w:tc>
          <w:tcPr>
            <w:tcW w:w="5000" w:type="pct"/>
            <w:gridSpan w:val="3"/>
            <w:tcBorders>
              <w:bottom w:val="single" w:sz="4" w:space="0" w:color="BFBFBF" w:themeColor="background1" w:themeShade="BF"/>
            </w:tcBorders>
            <w:shd w:val="clear" w:color="auto" w:fill="FFFFFF" w:themeFill="background1"/>
          </w:tcPr>
          <w:p w14:paraId="0CF1956C" w14:textId="77777777" w:rsidR="00587B7A" w:rsidRDefault="00587B7A" w:rsidP="00F93F99">
            <w:pPr>
              <w:pStyle w:val="TableBody"/>
              <w:rPr>
                <w:rFonts w:eastAsia="Times New Roman"/>
              </w:rPr>
            </w:pPr>
            <w:r w:rsidRPr="00F93F99">
              <w:rPr>
                <w:rFonts w:eastAsia="Times New Roman"/>
                <w:b/>
                <w:bCs/>
              </w:rPr>
              <w:t>Identified Gap</w:t>
            </w:r>
            <w:r>
              <w:rPr>
                <w:rFonts w:eastAsia="Times New Roman"/>
              </w:rPr>
              <w:t>: This case study demonstrates the need for consistent awareness and where necessary, upgrades to system capabilities and security, in order to mitigate disruptions to digital payment capabilities. While gaps in the resilience of critical payment assets can cause extended disruptions to affected customers, such events can also result in large financial impediments for the critical assets themselves.</w:t>
            </w:r>
          </w:p>
        </w:tc>
      </w:tr>
    </w:tbl>
    <w:p w14:paraId="421BAC57" w14:textId="7A2E3633" w:rsidR="00860EA6" w:rsidRDefault="00860EA6"/>
    <w:p w14:paraId="59E238D6" w14:textId="77777777" w:rsidR="00860EA6" w:rsidRDefault="00860EA6"/>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378"/>
        <w:gridCol w:w="3260"/>
      </w:tblGrid>
      <w:tr w:rsidR="00587B7A" w14:paraId="301C2B2C" w14:textId="77777777" w:rsidTr="00F93F99">
        <w:trPr>
          <w:trHeight w:val="279"/>
        </w:trPr>
        <w:tc>
          <w:tcPr>
            <w:tcW w:w="3309" w:type="pct"/>
            <w:tcBorders>
              <w:top w:val="nil"/>
            </w:tcBorders>
            <w:shd w:val="clear" w:color="auto" w:fill="034EA2"/>
          </w:tcPr>
          <w:p w14:paraId="2DF1FE32" w14:textId="77777777" w:rsidR="00587B7A" w:rsidRPr="00582C5E" w:rsidRDefault="00587B7A" w:rsidP="00F93F99">
            <w:pPr>
              <w:pStyle w:val="TableHeading"/>
            </w:pPr>
            <w:r w:rsidRPr="00582C5E">
              <w:t xml:space="preserve">Major Banks Experience Denial of Service Attack (2021) </w:t>
            </w:r>
          </w:p>
        </w:tc>
        <w:tc>
          <w:tcPr>
            <w:tcW w:w="1691" w:type="pct"/>
            <w:tcBorders>
              <w:top w:val="nil"/>
            </w:tcBorders>
            <w:shd w:val="clear" w:color="auto" w:fill="007BC3" w:themeFill="accent2"/>
            <w:vAlign w:val="center"/>
          </w:tcPr>
          <w:p w14:paraId="37B183DB" w14:textId="77777777" w:rsidR="00587B7A" w:rsidRPr="00582C5E" w:rsidRDefault="00587B7A" w:rsidP="00F93F99">
            <w:pPr>
              <w:pStyle w:val="Tableriskcategory"/>
              <w:rPr>
                <w:rFonts w:ascii="Arial" w:hAnsi="Arial"/>
              </w:rPr>
            </w:pPr>
            <w:r w:rsidRPr="00582C5E">
              <w:t>Cyber Risk</w:t>
            </w:r>
          </w:p>
        </w:tc>
      </w:tr>
      <w:tr w:rsidR="00587B7A" w14:paraId="77DFC2DA" w14:textId="77777777" w:rsidTr="00F93F99">
        <w:trPr>
          <w:trHeight w:val="279"/>
        </w:trPr>
        <w:tc>
          <w:tcPr>
            <w:tcW w:w="5000" w:type="pct"/>
            <w:gridSpan w:val="2"/>
            <w:shd w:val="clear" w:color="auto" w:fill="auto"/>
          </w:tcPr>
          <w:p w14:paraId="43B0FCD1" w14:textId="77777777" w:rsidR="00587B7A" w:rsidRDefault="00587B7A" w:rsidP="00F93F99">
            <w:pPr>
              <w:pStyle w:val="TableBody"/>
            </w:pPr>
            <w:r w:rsidRPr="00F93F99">
              <w:rPr>
                <w:b/>
                <w:bCs/>
              </w:rPr>
              <w:t>Situation</w:t>
            </w:r>
            <w:r>
              <w:t xml:space="preserve">: Australia’s major banks’ internet services and payment terminals, as well as those of other major Australian brands, experienced outages on 17 June 2021. The outage was due to an issue with </w:t>
            </w:r>
            <w:r>
              <w:lastRenderedPageBreak/>
              <w:t>technology company Akamai’s distributed denial of service (DDoS) mitigation platform ‘Prolexic’.</w:t>
            </w:r>
            <w:r>
              <w:rPr>
                <w:rStyle w:val="FootnoteReference"/>
                <w:rFonts w:ascii="Arial" w:eastAsia="Times New Roman" w:hAnsi="Arial" w:cs="Arial"/>
              </w:rPr>
              <w:footnoteReference w:id="184"/>
            </w:r>
            <w:r>
              <w:t xml:space="preserve"> The Commonwealth Bank of Australia, Westpac and ANZ, as well as Virgin Australia and the Australian Postal Service, experienced website and online service failures. </w:t>
            </w:r>
          </w:p>
        </w:tc>
      </w:tr>
      <w:tr w:rsidR="00587B7A" w14:paraId="4F18C1BB" w14:textId="77777777" w:rsidTr="00F93F99">
        <w:trPr>
          <w:trHeight w:val="279"/>
        </w:trPr>
        <w:tc>
          <w:tcPr>
            <w:tcW w:w="5000" w:type="pct"/>
            <w:gridSpan w:val="2"/>
          </w:tcPr>
          <w:p w14:paraId="5E4318BC" w14:textId="77777777" w:rsidR="00587B7A" w:rsidRDefault="00587B7A" w:rsidP="00F93F99">
            <w:pPr>
              <w:pStyle w:val="TableBody"/>
            </w:pPr>
            <w:r w:rsidRPr="00F93F99">
              <w:rPr>
                <w:rFonts w:eastAsia="Calibri"/>
                <w:b/>
                <w:bCs/>
              </w:rPr>
              <w:lastRenderedPageBreak/>
              <w:t>Outcome</w:t>
            </w:r>
            <w:r w:rsidRPr="00C24B10">
              <w:rPr>
                <w:rFonts w:eastAsia="Calibri"/>
              </w:rPr>
              <w:t>:</w:t>
            </w:r>
            <w:r>
              <w:rPr>
                <w:rFonts w:eastAsia="Calibri"/>
              </w:rPr>
              <w:t xml:space="preserve"> </w:t>
            </w:r>
            <w:r>
              <w:t xml:space="preserve"> While the enduring impacts of this attack were minimal, essential payment, travel and postal service did experience intermittent disruption, causing inconvenience to customers and questions as to the security of such services’ critical assets. In more extreme cases, DDOS attacks can disrupt services for prolonged periods, impede proper website or application functions and even take an entire business offline.</w:t>
            </w:r>
            <w:r>
              <w:rPr>
                <w:rStyle w:val="FootnoteReference"/>
                <w:rFonts w:ascii="Arial" w:eastAsia="Times New Roman" w:hAnsi="Arial" w:cs="Arial"/>
              </w:rPr>
              <w:footnoteReference w:id="185"/>
            </w:r>
          </w:p>
        </w:tc>
      </w:tr>
      <w:tr w:rsidR="00587B7A" w14:paraId="6CF2881B" w14:textId="77777777" w:rsidTr="00F93F99">
        <w:trPr>
          <w:trHeight w:val="279"/>
        </w:trPr>
        <w:tc>
          <w:tcPr>
            <w:tcW w:w="5000" w:type="pct"/>
            <w:gridSpan w:val="2"/>
            <w:shd w:val="clear" w:color="auto" w:fill="auto"/>
          </w:tcPr>
          <w:p w14:paraId="03CD102F" w14:textId="77777777" w:rsidR="00587B7A" w:rsidRDefault="00587B7A" w:rsidP="00F93F99">
            <w:pPr>
              <w:pStyle w:val="TableBody"/>
            </w:pPr>
            <w:r w:rsidRPr="00F93F99">
              <w:rPr>
                <w:b/>
                <w:bCs/>
              </w:rPr>
              <w:t>Identified</w:t>
            </w:r>
            <w:r w:rsidRPr="004A2C7E">
              <w:t xml:space="preserve"> </w:t>
            </w:r>
            <w:r w:rsidRPr="00F93F99">
              <w:rPr>
                <w:b/>
                <w:bCs/>
              </w:rPr>
              <w:t>Gap</w:t>
            </w:r>
            <w:r w:rsidRPr="004A2C7E">
              <w:t xml:space="preserve">: </w:t>
            </w:r>
            <w:r>
              <w:t xml:space="preserve">This case study highlights the importance of risk mitigation and preparation efforts in securing a payment systems organisation’s services. Ensuring secure network set-ups, sufficient distribution and diversification of critical assets and adequate network redundancies are imperative for reducing the effects of a DDoS attack on critical payment system organisations. </w:t>
            </w:r>
          </w:p>
        </w:tc>
      </w:tr>
    </w:tbl>
    <w:p w14:paraId="2F5C5405" w14:textId="77777777" w:rsidR="00B86B9A" w:rsidRPr="00763B39" w:rsidRDefault="00453A54" w:rsidP="008E1A28">
      <w:pPr>
        <w:pStyle w:val="AppendixH2"/>
      </w:pPr>
      <w:r>
        <w:t xml:space="preserve">Key risks to </w:t>
      </w:r>
      <w:r w:rsidR="007718EE">
        <w:t>payment systems</w:t>
      </w:r>
      <w:r w:rsidR="00E00CD6">
        <w:t xml:space="preserve">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071"/>
        <w:gridCol w:w="4942"/>
        <w:gridCol w:w="3625"/>
      </w:tblGrid>
      <w:tr w:rsidR="00D16939" w14:paraId="3914FFA9" w14:textId="77777777" w:rsidTr="001D6A05">
        <w:trPr>
          <w:tblHeader/>
        </w:trPr>
        <w:tc>
          <w:tcPr>
            <w:tcW w:w="546" w:type="pct"/>
            <w:shd w:val="clear" w:color="auto" w:fill="034EA2" w:themeFill="accent1"/>
            <w:hideMark/>
          </w:tcPr>
          <w:p w14:paraId="040FFFFD" w14:textId="77777777" w:rsidR="00D16939" w:rsidRPr="00763B39" w:rsidRDefault="00D16939" w:rsidP="00F93F99">
            <w:pPr>
              <w:pStyle w:val="TableHeading"/>
            </w:pPr>
            <w:r w:rsidRPr="00763B39">
              <w:t>Risk</w:t>
            </w:r>
          </w:p>
        </w:tc>
        <w:tc>
          <w:tcPr>
            <w:tcW w:w="2569" w:type="pct"/>
            <w:shd w:val="clear" w:color="auto" w:fill="034EA2" w:themeFill="accent1"/>
            <w:hideMark/>
          </w:tcPr>
          <w:p w14:paraId="74DC3AEA" w14:textId="77777777" w:rsidR="00D16939" w:rsidRPr="00763B39" w:rsidRDefault="00D16939" w:rsidP="00F93F99">
            <w:pPr>
              <w:pStyle w:val="TableHeading"/>
            </w:pPr>
            <w:r w:rsidRPr="00763B39">
              <w:t>Identified Risk</w:t>
            </w:r>
          </w:p>
        </w:tc>
        <w:tc>
          <w:tcPr>
            <w:tcW w:w="1885" w:type="pct"/>
            <w:shd w:val="clear" w:color="auto" w:fill="034EA2" w:themeFill="accent1"/>
            <w:hideMark/>
          </w:tcPr>
          <w:p w14:paraId="3FCD1114" w14:textId="77777777" w:rsidR="00D16939" w:rsidRPr="00763B39" w:rsidRDefault="00D16939" w:rsidP="00F93F99">
            <w:pPr>
              <w:pStyle w:val="TableHeading"/>
            </w:pPr>
            <w:r w:rsidRPr="00763B39">
              <w:t>Example</w:t>
            </w:r>
          </w:p>
        </w:tc>
      </w:tr>
      <w:tr w:rsidR="00D16939" w14:paraId="52A96721" w14:textId="77777777" w:rsidTr="7EBB1CEE">
        <w:tc>
          <w:tcPr>
            <w:tcW w:w="546" w:type="pct"/>
            <w:shd w:val="clear" w:color="auto" w:fill="F2F2F2" w:themeFill="background2" w:themeFillShade="F2"/>
            <w:hideMark/>
          </w:tcPr>
          <w:p w14:paraId="75A0D699" w14:textId="77777777" w:rsidR="00D16939" w:rsidRPr="00763B39" w:rsidRDefault="00D16939" w:rsidP="001D6A05">
            <w:pPr>
              <w:pStyle w:val="TableBody"/>
              <w:rPr>
                <w:i/>
                <w:color w:val="44546A"/>
              </w:rPr>
            </w:pPr>
            <w:r w:rsidRPr="00763B39">
              <w:t>Cyber</w:t>
            </w:r>
          </w:p>
        </w:tc>
        <w:tc>
          <w:tcPr>
            <w:tcW w:w="2569" w:type="pct"/>
            <w:shd w:val="clear" w:color="auto" w:fill="auto"/>
            <w:hideMark/>
          </w:tcPr>
          <w:p w14:paraId="3655B47A" w14:textId="77777777" w:rsidR="00D16939" w:rsidRDefault="00D16939" w:rsidP="001D6A05">
            <w:pPr>
              <w:pStyle w:val="TableBody"/>
            </w:pPr>
            <w:r>
              <w:t xml:space="preserve">Payment systems are highly reliant on software and information systems. As a result, cyberattacks on these systems can prevent or delay a wide range of economic activity from occurring, causing significant economic disruption. These attacks are growing in frequency and sophistication. </w:t>
            </w:r>
          </w:p>
          <w:p w14:paraId="10F980C5" w14:textId="77777777" w:rsidR="00D16939" w:rsidRDefault="00D16939" w:rsidP="001D6A05">
            <w:pPr>
              <w:pStyle w:val="TableBody"/>
            </w:pPr>
            <w:r>
              <w:t>Broadly, there are four types of attacks:</w:t>
            </w:r>
            <w:r>
              <w:rPr>
                <w:rStyle w:val="FootnoteReference"/>
                <w:rFonts w:ascii="Arial" w:eastAsia="Calibri" w:hAnsi="Arial" w:cs="Arial"/>
              </w:rPr>
              <w:footnoteReference w:id="186"/>
            </w:r>
          </w:p>
          <w:p w14:paraId="4ECDADE1" w14:textId="77777777" w:rsidR="00D16939" w:rsidRDefault="00D16939" w:rsidP="001D6A05">
            <w:pPr>
              <w:pStyle w:val="TableBullet"/>
              <w:rPr>
                <w:rFonts w:eastAsiaTheme="minorEastAsia"/>
              </w:rPr>
            </w:pPr>
            <w:r>
              <w:rPr>
                <w:rFonts w:eastAsiaTheme="minorEastAsia"/>
              </w:rPr>
              <w:t>Data breaches, where the attacker aims to steal sensitive information;</w:t>
            </w:r>
          </w:p>
          <w:p w14:paraId="43945FF0" w14:textId="77777777" w:rsidR="00D16939" w:rsidRDefault="00D16939" w:rsidP="001D6A05">
            <w:pPr>
              <w:pStyle w:val="TableBullet"/>
            </w:pPr>
            <w:r>
              <w:rPr>
                <w:rFonts w:eastAsiaTheme="minorEastAsia"/>
              </w:rPr>
              <w:t xml:space="preserve"> System disruptions, where attackers disrupt availability of critical systems/websites (e.g., DDoS attacks);</w:t>
            </w:r>
          </w:p>
          <w:p w14:paraId="2E3153CE" w14:textId="77777777" w:rsidR="00D16939" w:rsidRDefault="00D16939" w:rsidP="001D6A05">
            <w:pPr>
              <w:pStyle w:val="TableBullet"/>
              <w:rPr>
                <w:rFonts w:eastAsia="Calibri"/>
              </w:rPr>
            </w:pPr>
            <w:r>
              <w:rPr>
                <w:rFonts w:eastAsiaTheme="minorEastAsia"/>
              </w:rPr>
              <w:t xml:space="preserve"> Integrity of data attacks, where attackers try to modify data and render it useless; and</w:t>
            </w:r>
          </w:p>
          <w:p w14:paraId="3568C29B" w14:textId="77777777" w:rsidR="00D16939" w:rsidRDefault="00D16939" w:rsidP="001D6A05">
            <w:pPr>
              <w:pStyle w:val="TableBody"/>
              <w:rPr>
                <w:rFonts w:eastAsia="Calibri" w:cs="Arial"/>
                <w:i/>
                <w:color w:val="44546A"/>
              </w:rPr>
            </w:pPr>
            <w:r>
              <w:t xml:space="preserve">Financial attacks, where attackers use fraud or ransom to try to achieve financial gain. </w:t>
            </w:r>
          </w:p>
        </w:tc>
        <w:tc>
          <w:tcPr>
            <w:tcW w:w="1885" w:type="pct"/>
            <w:shd w:val="clear" w:color="auto" w:fill="auto"/>
            <w:hideMark/>
          </w:tcPr>
          <w:p w14:paraId="0EFE73B4" w14:textId="77777777" w:rsidR="00D16939" w:rsidRDefault="00D16939" w:rsidP="001D6A05">
            <w:pPr>
              <w:pStyle w:val="TableBody"/>
              <w:rPr>
                <w:i/>
                <w:color w:val="44546A"/>
              </w:rPr>
            </w:pPr>
            <w:r>
              <w:t>In September 2021, ANZ’s online banking services and app suffered outages as a result of a DDoS attack. The outages affected the availability of these services for three days, causing significant disruption to consumer activity.</w:t>
            </w:r>
            <w:r>
              <w:rPr>
                <w:rStyle w:val="FootnoteReference"/>
                <w:rFonts w:ascii="Arial" w:eastAsia="Calibri" w:hAnsi="Arial" w:cs="Arial"/>
              </w:rPr>
              <w:footnoteReference w:id="187"/>
            </w:r>
          </w:p>
        </w:tc>
      </w:tr>
      <w:tr w:rsidR="00D16939" w14:paraId="604ED36E" w14:textId="77777777" w:rsidTr="7EBB1CEE">
        <w:tc>
          <w:tcPr>
            <w:tcW w:w="546" w:type="pct"/>
            <w:shd w:val="clear" w:color="auto" w:fill="F2F2F2" w:themeFill="background2" w:themeFillShade="F2"/>
            <w:hideMark/>
          </w:tcPr>
          <w:p w14:paraId="47E6334E" w14:textId="77777777" w:rsidR="00D16939" w:rsidRPr="00763B39" w:rsidRDefault="00D16939" w:rsidP="001D6A05">
            <w:pPr>
              <w:pStyle w:val="TableBody"/>
              <w:rPr>
                <w:i/>
                <w:color w:val="44546A"/>
              </w:rPr>
            </w:pPr>
            <w:r w:rsidRPr="00763B39">
              <w:t>Supply Chain</w:t>
            </w:r>
          </w:p>
        </w:tc>
        <w:tc>
          <w:tcPr>
            <w:tcW w:w="2569" w:type="pct"/>
            <w:shd w:val="clear" w:color="auto" w:fill="auto"/>
            <w:hideMark/>
          </w:tcPr>
          <w:p w14:paraId="654B1AC4" w14:textId="77777777" w:rsidR="00D16939" w:rsidRDefault="00D16939" w:rsidP="001D6A05">
            <w:pPr>
              <w:pStyle w:val="TableBody"/>
              <w:rPr>
                <w:i/>
                <w:color w:val="44546A"/>
              </w:rPr>
            </w:pPr>
            <w:r>
              <w:t>Payment Systems may rely on third party services. For example, telecommunications networks often provide the rails to process transactions between secure gateways. Where a critical third-party service becomes unavailable or is compromised, payment systems may be disrupted.</w:t>
            </w:r>
          </w:p>
        </w:tc>
        <w:tc>
          <w:tcPr>
            <w:tcW w:w="1885" w:type="pct"/>
            <w:shd w:val="clear" w:color="auto" w:fill="auto"/>
            <w:hideMark/>
          </w:tcPr>
          <w:p w14:paraId="0D4EAC78" w14:textId="77777777" w:rsidR="00D16939" w:rsidRDefault="00D16939" w:rsidP="001D6A05">
            <w:pPr>
              <w:pStyle w:val="TableBody"/>
            </w:pPr>
            <w:r>
              <w:t>As referenced above, the June 2021 outages of the Australian major banks’ payment terminals and internet services were caused by issues with technology company Akamai’s Prolexic software, which was providing a third party service to the major banks.</w:t>
            </w:r>
          </w:p>
          <w:p w14:paraId="1E3B3437" w14:textId="77777777" w:rsidR="00D16939" w:rsidRDefault="00D16939" w:rsidP="001D6A05">
            <w:pPr>
              <w:pStyle w:val="TableBody"/>
              <w:rPr>
                <w:i/>
                <w:color w:val="44546A"/>
              </w:rPr>
            </w:pPr>
            <w:r>
              <w:t xml:space="preserve">This highlights the importance of ensuring the reliability of supply chains. </w:t>
            </w:r>
          </w:p>
        </w:tc>
      </w:tr>
      <w:tr w:rsidR="00D16939" w14:paraId="26BBEF42" w14:textId="77777777" w:rsidTr="7EBB1CEE">
        <w:tc>
          <w:tcPr>
            <w:tcW w:w="546" w:type="pct"/>
            <w:shd w:val="clear" w:color="auto" w:fill="F2F2F2" w:themeFill="background2" w:themeFillShade="F2"/>
            <w:hideMark/>
          </w:tcPr>
          <w:p w14:paraId="4B121EAB" w14:textId="77777777" w:rsidR="00D16939" w:rsidRPr="00763B39" w:rsidRDefault="00D16939" w:rsidP="001D6A05">
            <w:pPr>
              <w:pStyle w:val="TableBody"/>
              <w:rPr>
                <w:i/>
                <w:color w:val="44546A"/>
              </w:rPr>
            </w:pPr>
            <w:r w:rsidRPr="00763B39">
              <w:t>Personnel</w:t>
            </w:r>
          </w:p>
        </w:tc>
        <w:tc>
          <w:tcPr>
            <w:tcW w:w="2569" w:type="pct"/>
            <w:shd w:val="clear" w:color="auto" w:fill="auto"/>
            <w:hideMark/>
          </w:tcPr>
          <w:p w14:paraId="112F5BB1" w14:textId="77777777" w:rsidR="00D16939" w:rsidRDefault="00D16939" w:rsidP="001D6A05">
            <w:pPr>
              <w:pStyle w:val="TableBody"/>
              <w:rPr>
                <w:i/>
                <w:color w:val="44546A"/>
              </w:rPr>
            </w:pPr>
            <w:r>
              <w:t xml:space="preserve">Where critical personnel are immobilised for reasons that cannot be controlled, critical payment systems operations may be severely delayed or halted. </w:t>
            </w:r>
            <w:r>
              <w:lastRenderedPageBreak/>
              <w:t>Additionally, personnel with access to systems, data or premises may pose insider threat risks including fraud, theft, espionage, infrastructure sabotage and misuse of sensitive data.</w:t>
            </w:r>
            <w:r>
              <w:rPr>
                <w:vertAlign w:val="superscript"/>
              </w:rPr>
              <w:footnoteReference w:id="188"/>
            </w:r>
          </w:p>
        </w:tc>
        <w:tc>
          <w:tcPr>
            <w:tcW w:w="1885" w:type="pct"/>
            <w:shd w:val="clear" w:color="auto" w:fill="auto"/>
            <w:hideMark/>
          </w:tcPr>
          <w:p w14:paraId="60DD5969" w14:textId="77777777" w:rsidR="00D16939" w:rsidRDefault="00D16939" w:rsidP="001D6A05">
            <w:pPr>
              <w:pStyle w:val="TableBody"/>
              <w:rPr>
                <w:i/>
                <w:color w:val="44546A"/>
              </w:rPr>
            </w:pPr>
            <w:r>
              <w:lastRenderedPageBreak/>
              <w:t xml:space="preserve">In 2018, a former personal banker at JP Morgan was sentenced to 48 months imprisonment for selling </w:t>
            </w:r>
            <w:r>
              <w:lastRenderedPageBreak/>
              <w:t>personal and account information that belonged to the bank’s customers and using it himself to make unauthorised withdrawals from their accounts</w:t>
            </w:r>
            <w:r>
              <w:rPr>
                <w:rStyle w:val="FootnoteReference"/>
                <w:rFonts w:ascii="Arial" w:eastAsia="Calibri" w:hAnsi="Arial" w:cs="Arial"/>
              </w:rPr>
              <w:footnoteReference w:id="189"/>
            </w:r>
            <w:r>
              <w:t xml:space="preserve">. </w:t>
            </w:r>
          </w:p>
        </w:tc>
      </w:tr>
      <w:tr w:rsidR="00D16939" w14:paraId="6FA483A8" w14:textId="77777777" w:rsidTr="7EBB1CEE">
        <w:tc>
          <w:tcPr>
            <w:tcW w:w="546" w:type="pct"/>
            <w:shd w:val="clear" w:color="auto" w:fill="F2F2F2" w:themeFill="background2" w:themeFillShade="F2"/>
            <w:hideMark/>
          </w:tcPr>
          <w:p w14:paraId="12D66FDA" w14:textId="77777777" w:rsidR="00D16939" w:rsidRPr="00763B39" w:rsidRDefault="00D16939" w:rsidP="001D6A05">
            <w:pPr>
              <w:pStyle w:val="TableBody"/>
              <w:rPr>
                <w:i/>
                <w:color w:val="44546A"/>
              </w:rPr>
            </w:pPr>
            <w:r w:rsidRPr="00763B39">
              <w:lastRenderedPageBreak/>
              <w:t xml:space="preserve">Physical &amp; Natural </w:t>
            </w:r>
          </w:p>
        </w:tc>
        <w:tc>
          <w:tcPr>
            <w:tcW w:w="2569" w:type="pct"/>
            <w:shd w:val="clear" w:color="auto" w:fill="auto"/>
            <w:hideMark/>
          </w:tcPr>
          <w:p w14:paraId="478DAC80" w14:textId="77777777" w:rsidR="00D16939" w:rsidRDefault="00D16939" w:rsidP="001D6A05">
            <w:pPr>
              <w:pStyle w:val="TableBody"/>
            </w:pPr>
            <w:r>
              <w:t xml:space="preserve">Increased occurrence of extreme weather events and natural disasters, including heatwaves, bushfires and floods, means physical payment systems infrastructure are experiencing heightened pressure. This stems from both increased demand for energy and the threat or realisation of damage to critical infrastructure, such as data centres. </w:t>
            </w:r>
          </w:p>
          <w:p w14:paraId="211F8E15" w14:textId="77777777" w:rsidR="00D16939" w:rsidRDefault="00D16939" w:rsidP="001D6A05">
            <w:pPr>
              <w:pStyle w:val="TableBody"/>
              <w:rPr>
                <w:i/>
                <w:color w:val="44546A"/>
              </w:rPr>
            </w:pPr>
            <w:r>
              <w:t>There is also a risk of sabotage by malicious actors to critical infrastructure’s physical facilities. This could be used to disrupt the functioning of critical infrastructure and the systems which rely upon its function during times of heightened tension or conflict in the case of state-based actors.</w:t>
            </w:r>
          </w:p>
        </w:tc>
        <w:tc>
          <w:tcPr>
            <w:tcW w:w="1885" w:type="pct"/>
            <w:shd w:val="clear" w:color="auto" w:fill="auto"/>
            <w:hideMark/>
          </w:tcPr>
          <w:p w14:paraId="529A7E77" w14:textId="77777777" w:rsidR="00D16939" w:rsidRDefault="00D16939" w:rsidP="001D6A05">
            <w:pPr>
              <w:pStyle w:val="TableBody"/>
            </w:pPr>
            <w:r>
              <w:t xml:space="preserve">As referenced above, in 2018, a power issue in NAB’s mainframe in Melbourne caused extended outages across its internet, mobile banking, ATM and EFTPOS services. </w:t>
            </w:r>
          </w:p>
          <w:p w14:paraId="0BF275F9" w14:textId="77777777" w:rsidR="00D16939" w:rsidRDefault="00D16939" w:rsidP="001D6A05">
            <w:pPr>
              <w:pStyle w:val="TableBody"/>
              <w:rPr>
                <w:i/>
                <w:color w:val="44546A"/>
              </w:rPr>
            </w:pPr>
            <w:r>
              <w:t>The outage resulted in consumers and small businesses being unable to process transactions on a busy trading day. NAB made $7.4M of compensation payments as a result of the outage</w:t>
            </w:r>
            <w:r>
              <w:rPr>
                <w:rStyle w:val="FootnoteReference"/>
                <w:rFonts w:ascii="Arial" w:eastAsia="Calibri" w:hAnsi="Arial" w:cs="Arial"/>
              </w:rPr>
              <w:footnoteReference w:id="190"/>
            </w:r>
            <w:r>
              <w:t xml:space="preserve">. </w:t>
            </w:r>
          </w:p>
        </w:tc>
      </w:tr>
    </w:tbl>
    <w:p w14:paraId="57B6E04D" w14:textId="77777777" w:rsidR="00F0522D" w:rsidRDefault="00F0522D">
      <w:pPr>
        <w:spacing w:before="80" w:after="80"/>
        <w:rPr>
          <w:rFonts w:asciiTheme="majorHAnsi" w:eastAsia="Times New Roman" w:hAnsiTheme="majorHAnsi" w:cs="Arial"/>
          <w:b/>
          <w:bCs/>
          <w:color w:val="007BC3" w:themeColor="accent2"/>
          <w:sz w:val="28"/>
          <w:szCs w:val="28"/>
          <w:lang w:eastAsia="en-AU"/>
        </w:rPr>
      </w:pPr>
      <w:r>
        <w:br w:type="page"/>
      </w:r>
    </w:p>
    <w:p w14:paraId="7AC95775" w14:textId="09428361" w:rsidR="00453A54" w:rsidRDefault="00453A54" w:rsidP="008E1A28">
      <w:pPr>
        <w:pStyle w:val="AppendixH2"/>
      </w:pPr>
      <w:r w:rsidRPr="000F6098">
        <w:lastRenderedPageBreak/>
        <w:t xml:space="preserve">Existing legislation related to </w:t>
      </w:r>
      <w:r w:rsidR="00E00CD6">
        <w:t xml:space="preserve">payment systems assets </w:t>
      </w:r>
    </w:p>
    <w:p w14:paraId="192D18B2" w14:textId="77777777" w:rsidR="00950766" w:rsidRDefault="00950766" w:rsidP="008E1A28">
      <w:pPr>
        <w:pStyle w:val="Caption"/>
        <w:rPr>
          <w:rFonts w:eastAsia="Times New Roman"/>
          <w:sz w:val="22"/>
        </w:rPr>
      </w:pPr>
      <w:r>
        <w:t>Overview of regulation related to payment systems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610"/>
        <w:gridCol w:w="4204"/>
        <w:gridCol w:w="3824"/>
      </w:tblGrid>
      <w:tr w:rsidR="00950766" w14:paraId="1D51487B" w14:textId="77777777" w:rsidTr="00856EFC">
        <w:trPr>
          <w:tblHeader/>
        </w:trPr>
        <w:tc>
          <w:tcPr>
            <w:tcW w:w="3016" w:type="pct"/>
            <w:gridSpan w:val="2"/>
            <w:shd w:val="clear" w:color="auto" w:fill="034EA2" w:themeFill="accent1"/>
            <w:hideMark/>
          </w:tcPr>
          <w:p w14:paraId="72191B6F" w14:textId="77777777" w:rsidR="00950766" w:rsidRDefault="00950766" w:rsidP="00F0522D">
            <w:pPr>
              <w:pStyle w:val="TableHeading"/>
              <w:rPr>
                <w:sz w:val="22"/>
              </w:rPr>
            </w:pPr>
            <w:r w:rsidRPr="00763B39">
              <w:t>Overview of regulation</w:t>
            </w:r>
          </w:p>
        </w:tc>
        <w:tc>
          <w:tcPr>
            <w:tcW w:w="1984" w:type="pct"/>
            <w:shd w:val="clear" w:color="auto" w:fill="034EA2" w:themeFill="accent1"/>
            <w:hideMark/>
          </w:tcPr>
          <w:p w14:paraId="483E690F" w14:textId="77777777" w:rsidR="00950766" w:rsidRDefault="00950766" w:rsidP="00F0522D">
            <w:pPr>
              <w:pStyle w:val="TableHeading"/>
            </w:pPr>
            <w:r w:rsidRPr="00763B39">
              <w:t>Identified gaps</w:t>
            </w:r>
          </w:p>
        </w:tc>
      </w:tr>
      <w:tr w:rsidR="00950766" w14:paraId="7D11C5AB" w14:textId="77777777" w:rsidTr="00856EFC">
        <w:tc>
          <w:tcPr>
            <w:tcW w:w="835" w:type="pct"/>
            <w:shd w:val="clear" w:color="auto" w:fill="F2F2F2" w:themeFill="background1" w:themeFillShade="F2"/>
            <w:hideMark/>
          </w:tcPr>
          <w:p w14:paraId="52565CF7" w14:textId="77777777" w:rsidR="00950766" w:rsidRPr="00F0522D" w:rsidRDefault="00950766" w:rsidP="00F0522D">
            <w:pPr>
              <w:pStyle w:val="TableBody"/>
              <w:rPr>
                <w:rFonts w:eastAsia="Arial"/>
                <w:i/>
                <w:iCs/>
              </w:rPr>
            </w:pPr>
            <w:r w:rsidRPr="00F0522D">
              <w:rPr>
                <w:i/>
                <w:iCs/>
              </w:rPr>
              <w:t>Payment Systems (Regulation) Act 1998</w:t>
            </w:r>
          </w:p>
        </w:tc>
        <w:tc>
          <w:tcPr>
            <w:tcW w:w="2181" w:type="pct"/>
            <w:shd w:val="clear" w:color="auto" w:fill="auto"/>
            <w:hideMark/>
          </w:tcPr>
          <w:p w14:paraId="5639581B" w14:textId="77777777" w:rsidR="00950766" w:rsidRDefault="00950766" w:rsidP="00F0522D">
            <w:pPr>
              <w:pStyle w:val="TableBody"/>
            </w:pPr>
            <w:r>
              <w:t>This Act provides for the regulation of payment systems and purchased payment facilities.</w:t>
            </w:r>
          </w:p>
          <w:p w14:paraId="70F5DE9E" w14:textId="77777777" w:rsidR="00950766" w:rsidRDefault="00950766" w:rsidP="00F0522D">
            <w:pPr>
              <w:pStyle w:val="TableBody"/>
            </w:pPr>
            <w:r>
              <w:t>The RBA has designated MasterCard, Visa, and EFTPOS to be payment systems, so they are governed by the Act.</w:t>
            </w:r>
          </w:p>
          <w:p w14:paraId="236A594C" w14:textId="77777777" w:rsidR="00950766" w:rsidRDefault="00950766" w:rsidP="00F0522D">
            <w:pPr>
              <w:pStyle w:val="TableBody"/>
            </w:pPr>
            <w:r>
              <w:t>For the most part, the Act delegates the ability to regulate payment systems to the RBA, rather than laying out regulations itself. For example, section 18 gives the RBA the power to determine standards to be complied with by designated payment systems.</w:t>
            </w:r>
          </w:p>
          <w:p w14:paraId="41F082DD" w14:textId="77777777" w:rsidR="00950766" w:rsidRDefault="00950766" w:rsidP="00F0522D">
            <w:pPr>
              <w:pStyle w:val="TableBody"/>
            </w:pPr>
            <w:r>
              <w:t xml:space="preserve">However, the RBA’s approach is to impose regulation only where (i) it considers it necessary in the public interest, and (ii) where the industry is unable or unwilling to address the RBA’s concerns. </w:t>
            </w:r>
          </w:p>
          <w:p w14:paraId="42D93259" w14:textId="77777777" w:rsidR="00950766" w:rsidRDefault="00950766" w:rsidP="00F0522D">
            <w:pPr>
              <w:pStyle w:val="TableBody"/>
            </w:pPr>
            <w:r>
              <w:t xml:space="preserve">As a result, the RBA has imposed relatively little regulation to cover only specific issues. By way of example, the RBA has not imposed any regulation dealing with fraud prevention in retail payment systems. </w:t>
            </w:r>
          </w:p>
        </w:tc>
        <w:tc>
          <w:tcPr>
            <w:tcW w:w="1984" w:type="pct"/>
            <w:shd w:val="clear" w:color="auto" w:fill="auto"/>
            <w:hideMark/>
          </w:tcPr>
          <w:p w14:paraId="216D66E9" w14:textId="77777777" w:rsidR="00950766" w:rsidRDefault="00950766" w:rsidP="00F0522D">
            <w:pPr>
              <w:pStyle w:val="TableBody"/>
            </w:pPr>
            <w:r>
              <w:t xml:space="preserve">This Act only gives the RBA the ability to impose regulations; it does not impose any requirements on payment systems as responsible entities. It also does not impose obligations on entities for all hazards risk management, with notable gaps in regulation for managing high-priority risks for the sector such as fraud. </w:t>
            </w:r>
          </w:p>
        </w:tc>
      </w:tr>
      <w:tr w:rsidR="00950766" w14:paraId="3452A718" w14:textId="77777777" w:rsidTr="00856EFC">
        <w:tc>
          <w:tcPr>
            <w:tcW w:w="835" w:type="pct"/>
            <w:shd w:val="clear" w:color="auto" w:fill="F2F2F2" w:themeFill="background1" w:themeFillShade="F2"/>
            <w:hideMark/>
          </w:tcPr>
          <w:p w14:paraId="2DD926D6" w14:textId="77777777" w:rsidR="00950766" w:rsidRPr="00F0522D" w:rsidRDefault="00950766" w:rsidP="00F0522D">
            <w:pPr>
              <w:pStyle w:val="TableBody"/>
              <w:rPr>
                <w:i/>
                <w:iCs/>
              </w:rPr>
            </w:pPr>
            <w:r w:rsidRPr="00F0522D">
              <w:rPr>
                <w:i/>
                <w:iCs/>
              </w:rPr>
              <w:t>RBA Payment System Regulations</w:t>
            </w:r>
          </w:p>
        </w:tc>
        <w:tc>
          <w:tcPr>
            <w:tcW w:w="2181" w:type="pct"/>
            <w:shd w:val="clear" w:color="auto" w:fill="auto"/>
            <w:hideMark/>
          </w:tcPr>
          <w:p w14:paraId="7EB3A100" w14:textId="77777777" w:rsidR="00950766" w:rsidRDefault="00950766" w:rsidP="00F0522D">
            <w:pPr>
              <w:pStyle w:val="TableBody"/>
            </w:pPr>
            <w:r>
              <w:t xml:space="preserve">As discussed above, the Payment Systems (Regulation) Act 1998 allows the RBA to impose payment system regulations. </w:t>
            </w:r>
          </w:p>
          <w:p w14:paraId="4C348538" w14:textId="77777777" w:rsidR="00950766" w:rsidRDefault="00950766" w:rsidP="00F0522D">
            <w:pPr>
              <w:pStyle w:val="TableBody"/>
            </w:pPr>
            <w:r>
              <w:t>The RBA has imposed relatively little regulation, preferring to allow the industry to self-regulate unless it is unwilling/unable to.</w:t>
            </w:r>
          </w:p>
          <w:p w14:paraId="15E797E1" w14:textId="1E6BD1B6" w:rsidR="00950766" w:rsidRDefault="00950766" w:rsidP="00F0522D">
            <w:pPr>
              <w:pStyle w:val="TableBody"/>
            </w:pPr>
            <w:r>
              <w:t xml:space="preserve">The minimal regulation that the RBA has imposed can be found </w:t>
            </w:r>
            <w:hyperlink r:id="rId58" w:history="1">
              <w:r>
                <w:rPr>
                  <w:rStyle w:val="Hyperlink"/>
                  <w:rFonts w:ascii="Arial" w:eastAsia="Calibri" w:hAnsi="Arial" w:cs="Arial"/>
                </w:rPr>
                <w:t>here</w:t>
              </w:r>
            </w:hyperlink>
            <w:r>
              <w:t>. The regulations cover interchange fees and restrictions on merchants in card systems.</w:t>
            </w:r>
          </w:p>
        </w:tc>
        <w:tc>
          <w:tcPr>
            <w:tcW w:w="1984" w:type="pct"/>
            <w:shd w:val="clear" w:color="auto" w:fill="auto"/>
            <w:hideMark/>
          </w:tcPr>
          <w:p w14:paraId="70BA40BE" w14:textId="77777777" w:rsidR="00950766" w:rsidRDefault="00950766" w:rsidP="00F0522D">
            <w:pPr>
              <w:pStyle w:val="TableBody"/>
            </w:pPr>
            <w:r>
              <w:t xml:space="preserve">The RBA regulations do not impose any requirements relating to risk management, which the industry self-regulates. </w:t>
            </w:r>
          </w:p>
        </w:tc>
      </w:tr>
      <w:tr w:rsidR="00950766" w14:paraId="50C2A3C0" w14:textId="77777777" w:rsidTr="00856EFC">
        <w:tc>
          <w:tcPr>
            <w:tcW w:w="835" w:type="pct"/>
            <w:shd w:val="clear" w:color="auto" w:fill="F2F2F2" w:themeFill="background1" w:themeFillShade="F2"/>
            <w:hideMark/>
          </w:tcPr>
          <w:p w14:paraId="61E1171D" w14:textId="77777777" w:rsidR="00950766" w:rsidRPr="00F0522D" w:rsidRDefault="00950766" w:rsidP="00F0522D">
            <w:pPr>
              <w:pStyle w:val="TableBody"/>
              <w:rPr>
                <w:rFonts w:eastAsia="Arial"/>
                <w:i/>
                <w:iCs/>
              </w:rPr>
            </w:pPr>
            <w:r w:rsidRPr="00F0522D">
              <w:rPr>
                <w:rFonts w:eastAsia="Times New Roman"/>
                <w:i/>
                <w:iCs/>
                <w:lang w:eastAsia="en-AU"/>
              </w:rPr>
              <w:t>e-Payments Code</w:t>
            </w:r>
          </w:p>
        </w:tc>
        <w:tc>
          <w:tcPr>
            <w:tcW w:w="2181" w:type="pct"/>
            <w:shd w:val="clear" w:color="auto" w:fill="auto"/>
          </w:tcPr>
          <w:p w14:paraId="134093BF" w14:textId="77777777" w:rsidR="00950766" w:rsidRDefault="00950766" w:rsidP="00F0522D">
            <w:pPr>
              <w:pStyle w:val="TableBody"/>
              <w:rPr>
                <w:rFonts w:eastAsia="Times New Roman"/>
              </w:rPr>
            </w:pPr>
            <w:r>
              <w:rPr>
                <w:rFonts w:eastAsia="Times New Roman"/>
              </w:rPr>
              <w:t xml:space="preserve">The ePayments code is a voluntary code of practice that regulates electronic payments including ATM, EFTPOS, credit card transactions, online payments, internet and mobile banking, and BPAY. </w:t>
            </w:r>
          </w:p>
          <w:p w14:paraId="13E495F5" w14:textId="77777777" w:rsidR="00950766" w:rsidRDefault="00950766" w:rsidP="00F0522D">
            <w:pPr>
              <w:pStyle w:val="TableBody"/>
              <w:rPr>
                <w:rFonts w:eastAsia="Times New Roman"/>
              </w:rPr>
            </w:pPr>
            <w:r>
              <w:rPr>
                <w:rFonts w:eastAsia="Times New Roman"/>
              </w:rPr>
              <w:t>It is administered by ASIC.</w:t>
            </w:r>
          </w:p>
          <w:p w14:paraId="6050DC70" w14:textId="77777777" w:rsidR="00950766" w:rsidRDefault="00950766" w:rsidP="00F0522D">
            <w:pPr>
              <w:pStyle w:val="TableBody"/>
            </w:pPr>
            <w:r>
              <w:rPr>
                <w:rFonts w:eastAsia="Times New Roman"/>
              </w:rPr>
              <w:t>At a high level, the code addresses how payment systems entities interact with customers, e.g. requirements to provide consumers with terms and conditions, rules for determining who pays for unauthorised transactions, and regimes for recording mistaken internet payments.</w:t>
            </w:r>
          </w:p>
        </w:tc>
        <w:tc>
          <w:tcPr>
            <w:tcW w:w="1984" w:type="pct"/>
            <w:shd w:val="clear" w:color="auto" w:fill="auto"/>
            <w:hideMark/>
          </w:tcPr>
          <w:p w14:paraId="19258DEE" w14:textId="77777777" w:rsidR="00950766" w:rsidRDefault="00950766" w:rsidP="00F0522D">
            <w:pPr>
              <w:pStyle w:val="TableBody"/>
            </w:pPr>
            <w:r>
              <w:rPr>
                <w:rFonts w:eastAsia="Times New Roman"/>
              </w:rPr>
              <w:t xml:space="preserve">The ePayments Code does not address risk management. It is also voluntary, and therefore does impose obligations on a whole-of-sector basis to ensure security and resilience across the sector. </w:t>
            </w:r>
          </w:p>
        </w:tc>
      </w:tr>
    </w:tbl>
    <w:p w14:paraId="5610D0BE" w14:textId="77777777" w:rsidR="00453A54" w:rsidRDefault="00453A54" w:rsidP="00453A54">
      <w:pPr>
        <w:pStyle w:val="BodyText"/>
      </w:pPr>
    </w:p>
    <w:p w14:paraId="5E24FA9D" w14:textId="77777777" w:rsidR="00453A54" w:rsidRDefault="00453A54" w:rsidP="008E1A28">
      <w:pPr>
        <w:pStyle w:val="AppendixH2"/>
      </w:pPr>
      <w:r>
        <w:lastRenderedPageBreak/>
        <w:t xml:space="preserve">Existing standards, guidelines and regulators for </w:t>
      </w:r>
      <w:r w:rsidR="001624F1">
        <w:t>payment systems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146"/>
        <w:gridCol w:w="2489"/>
        <w:gridCol w:w="6003"/>
      </w:tblGrid>
      <w:tr w:rsidR="00706988" w14:paraId="11F320F2" w14:textId="77777777" w:rsidTr="00F0522D">
        <w:tc>
          <w:tcPr>
            <w:tcW w:w="595" w:type="pct"/>
            <w:shd w:val="clear" w:color="auto" w:fill="034EA2" w:themeFill="accent1"/>
            <w:hideMark/>
          </w:tcPr>
          <w:p w14:paraId="1D5BF4BC" w14:textId="01CF28D1" w:rsidR="00706988" w:rsidRPr="00763B39" w:rsidRDefault="006B3927" w:rsidP="00F0522D">
            <w:pPr>
              <w:pStyle w:val="TableHeading"/>
            </w:pPr>
            <w:r>
              <w:t>Hazard domain</w:t>
            </w:r>
          </w:p>
        </w:tc>
        <w:tc>
          <w:tcPr>
            <w:tcW w:w="1291" w:type="pct"/>
            <w:shd w:val="clear" w:color="auto" w:fill="034EA2" w:themeFill="accent1"/>
            <w:hideMark/>
          </w:tcPr>
          <w:p w14:paraId="6BC8A231" w14:textId="77777777" w:rsidR="00706988" w:rsidRPr="00763B39" w:rsidRDefault="00706988" w:rsidP="00F0522D">
            <w:pPr>
              <w:pStyle w:val="TableHeading"/>
            </w:pPr>
            <w:r w:rsidRPr="00763B39">
              <w:t>Organisation</w:t>
            </w:r>
          </w:p>
        </w:tc>
        <w:tc>
          <w:tcPr>
            <w:tcW w:w="3114" w:type="pct"/>
            <w:shd w:val="clear" w:color="auto" w:fill="034EA2" w:themeFill="accent1"/>
            <w:hideMark/>
          </w:tcPr>
          <w:p w14:paraId="0B032019" w14:textId="77777777" w:rsidR="00706988" w:rsidRPr="00763B39" w:rsidRDefault="00706988" w:rsidP="00F0522D">
            <w:pPr>
              <w:pStyle w:val="TableHeading"/>
            </w:pPr>
            <w:r w:rsidRPr="00763B39">
              <w:t>Standards &amp; guidelines</w:t>
            </w:r>
          </w:p>
        </w:tc>
      </w:tr>
      <w:tr w:rsidR="00706988" w14:paraId="0E3F854B" w14:textId="77777777" w:rsidTr="00F0522D">
        <w:tc>
          <w:tcPr>
            <w:tcW w:w="595" w:type="pct"/>
            <w:vMerge w:val="restart"/>
            <w:shd w:val="clear" w:color="auto" w:fill="F2F2F2" w:themeFill="background1" w:themeFillShade="F2"/>
            <w:hideMark/>
          </w:tcPr>
          <w:p w14:paraId="3743B0CB" w14:textId="77777777" w:rsidR="00706988" w:rsidRDefault="00706988" w:rsidP="00F0522D">
            <w:pPr>
              <w:pStyle w:val="TableBody"/>
            </w:pPr>
            <w:r>
              <w:t>Cyber</w:t>
            </w:r>
          </w:p>
        </w:tc>
        <w:tc>
          <w:tcPr>
            <w:tcW w:w="1291" w:type="pct"/>
            <w:shd w:val="clear" w:color="auto" w:fill="auto"/>
            <w:hideMark/>
          </w:tcPr>
          <w:p w14:paraId="3AE21D29" w14:textId="77777777" w:rsidR="00706988" w:rsidRDefault="00706988" w:rsidP="00F0522D">
            <w:pPr>
              <w:pStyle w:val="TableBody"/>
            </w:pPr>
            <w:r>
              <w:t xml:space="preserve">Security Standards Council </w:t>
            </w:r>
          </w:p>
        </w:tc>
        <w:tc>
          <w:tcPr>
            <w:tcW w:w="3114" w:type="pct"/>
            <w:shd w:val="clear" w:color="auto" w:fill="auto"/>
            <w:hideMark/>
          </w:tcPr>
          <w:p w14:paraId="0F857754" w14:textId="77777777" w:rsidR="00706988" w:rsidRDefault="00706988" w:rsidP="00F0522D">
            <w:pPr>
              <w:pStyle w:val="TableBody"/>
            </w:pPr>
            <w:r w:rsidRPr="00763B39">
              <w:rPr>
                <w:b/>
              </w:rPr>
              <w:t>Payment Card Industry Data Security Standard</w:t>
            </w:r>
            <w:r>
              <w:t>: a set of security standards designed to ensure that all companies that accept, process, store or transmit credit card information maintain a secure environment</w:t>
            </w:r>
          </w:p>
        </w:tc>
      </w:tr>
      <w:tr w:rsidR="00706988" w14:paraId="59F5718A" w14:textId="77777777" w:rsidTr="00F0522D">
        <w:tc>
          <w:tcPr>
            <w:tcW w:w="595" w:type="pct"/>
            <w:vMerge/>
            <w:shd w:val="clear" w:color="auto" w:fill="F2F2F2" w:themeFill="background1" w:themeFillShade="F2"/>
            <w:hideMark/>
          </w:tcPr>
          <w:p w14:paraId="35E9556E" w14:textId="77777777" w:rsidR="00706988" w:rsidRDefault="00706988" w:rsidP="00F0522D">
            <w:pPr>
              <w:pStyle w:val="TableBody"/>
              <w:rPr>
                <w:sz w:val="22"/>
              </w:rPr>
            </w:pPr>
          </w:p>
        </w:tc>
        <w:tc>
          <w:tcPr>
            <w:tcW w:w="1291" w:type="pct"/>
            <w:shd w:val="clear" w:color="auto" w:fill="auto"/>
            <w:hideMark/>
          </w:tcPr>
          <w:p w14:paraId="537F25DE" w14:textId="77777777" w:rsidR="00706988" w:rsidRDefault="00706988" w:rsidP="00F0522D">
            <w:pPr>
              <w:pStyle w:val="TableBody"/>
            </w:pPr>
            <w:r>
              <w:t>National Institutes of Standards and Technology (NIST)</w:t>
            </w:r>
          </w:p>
        </w:tc>
        <w:tc>
          <w:tcPr>
            <w:tcW w:w="3114" w:type="pct"/>
            <w:shd w:val="clear" w:color="auto" w:fill="auto"/>
            <w:hideMark/>
          </w:tcPr>
          <w:p w14:paraId="4FDC855F" w14:textId="77777777" w:rsidR="00706988" w:rsidRDefault="00706988" w:rsidP="00F0522D">
            <w:pPr>
              <w:pStyle w:val="TableBody"/>
            </w:pPr>
            <w:r>
              <w:t>Cybersecurity Programs</w:t>
            </w:r>
          </w:p>
        </w:tc>
      </w:tr>
      <w:tr w:rsidR="00706988" w14:paraId="6CF246AC" w14:textId="77777777" w:rsidTr="00F0522D">
        <w:tc>
          <w:tcPr>
            <w:tcW w:w="595" w:type="pct"/>
            <w:vMerge/>
            <w:shd w:val="clear" w:color="auto" w:fill="F2F2F2" w:themeFill="background1" w:themeFillShade="F2"/>
            <w:hideMark/>
          </w:tcPr>
          <w:p w14:paraId="3811A7C8" w14:textId="77777777" w:rsidR="00706988" w:rsidRDefault="00706988" w:rsidP="00F0522D">
            <w:pPr>
              <w:pStyle w:val="TableBody"/>
              <w:rPr>
                <w:sz w:val="22"/>
              </w:rPr>
            </w:pPr>
          </w:p>
        </w:tc>
        <w:tc>
          <w:tcPr>
            <w:tcW w:w="1291" w:type="pct"/>
            <w:shd w:val="clear" w:color="auto" w:fill="auto"/>
            <w:hideMark/>
          </w:tcPr>
          <w:p w14:paraId="185E65AC" w14:textId="088ED462" w:rsidR="00706988" w:rsidRDefault="002F57EB" w:rsidP="00F0522D">
            <w:pPr>
              <w:pStyle w:val="TableBody"/>
            </w:pPr>
            <w:r>
              <w:t>International Organization for Standardization</w:t>
            </w:r>
            <w:r w:rsidR="00706988">
              <w:t xml:space="preserve"> (ISO)</w:t>
            </w:r>
          </w:p>
        </w:tc>
        <w:tc>
          <w:tcPr>
            <w:tcW w:w="3114" w:type="pct"/>
            <w:shd w:val="clear" w:color="auto" w:fill="auto"/>
            <w:hideMark/>
          </w:tcPr>
          <w:p w14:paraId="786F2BEE" w14:textId="77777777" w:rsidR="00706988" w:rsidRDefault="00706988" w:rsidP="00F0522D">
            <w:pPr>
              <w:pStyle w:val="TableBody"/>
            </w:pPr>
            <w:r w:rsidRPr="00763B39">
              <w:rPr>
                <w:b/>
              </w:rPr>
              <w:t>ISO 27001</w:t>
            </w:r>
            <w:r>
              <w:t xml:space="preserve"> provides requirements for information security management systems.</w:t>
            </w:r>
          </w:p>
          <w:p w14:paraId="5BF54F5B" w14:textId="77777777" w:rsidR="00706988" w:rsidRPr="00763B39" w:rsidRDefault="00706988" w:rsidP="00F0522D">
            <w:pPr>
              <w:pStyle w:val="TableBody"/>
              <w:rPr>
                <w:b/>
              </w:rPr>
            </w:pPr>
            <w:r w:rsidRPr="00763B39">
              <w:rPr>
                <w:b/>
              </w:rPr>
              <w:t>ISO 31000</w:t>
            </w:r>
          </w:p>
        </w:tc>
      </w:tr>
      <w:tr w:rsidR="00706988" w14:paraId="091B48E7" w14:textId="77777777" w:rsidTr="00F0522D">
        <w:tc>
          <w:tcPr>
            <w:tcW w:w="595" w:type="pct"/>
            <w:vMerge/>
            <w:shd w:val="clear" w:color="auto" w:fill="F2F2F2" w:themeFill="background1" w:themeFillShade="F2"/>
            <w:hideMark/>
          </w:tcPr>
          <w:p w14:paraId="258E34EA" w14:textId="77777777" w:rsidR="00706988" w:rsidRDefault="00706988" w:rsidP="00F0522D">
            <w:pPr>
              <w:pStyle w:val="TableBody"/>
              <w:rPr>
                <w:sz w:val="22"/>
              </w:rPr>
            </w:pPr>
          </w:p>
        </w:tc>
        <w:tc>
          <w:tcPr>
            <w:tcW w:w="1291" w:type="pct"/>
            <w:shd w:val="clear" w:color="auto" w:fill="auto"/>
            <w:hideMark/>
          </w:tcPr>
          <w:p w14:paraId="5B90B55F" w14:textId="77777777" w:rsidR="00706988" w:rsidRDefault="00706988" w:rsidP="00F0522D">
            <w:pPr>
              <w:pStyle w:val="TableBody"/>
            </w:pPr>
            <w:r>
              <w:t>European Central Bank</w:t>
            </w:r>
          </w:p>
        </w:tc>
        <w:tc>
          <w:tcPr>
            <w:tcW w:w="3114" w:type="pct"/>
            <w:shd w:val="clear" w:color="auto" w:fill="auto"/>
            <w:hideMark/>
          </w:tcPr>
          <w:p w14:paraId="598AD879" w14:textId="77777777" w:rsidR="00706988" w:rsidRDefault="00706988" w:rsidP="00F0522D">
            <w:pPr>
              <w:pStyle w:val="TableBody"/>
            </w:pPr>
            <w:r w:rsidRPr="00763B39">
              <w:rPr>
                <w:b/>
              </w:rPr>
              <w:t>CROE Framework:</w:t>
            </w:r>
            <w:r>
              <w:t xml:space="preserve"> international maturity assessment for cyber resilience for financial markets infrastructure </w:t>
            </w:r>
          </w:p>
          <w:p w14:paraId="3E9F876D" w14:textId="77777777" w:rsidR="00706988" w:rsidRDefault="00706988" w:rsidP="00F0522D">
            <w:pPr>
              <w:pStyle w:val="TableBody"/>
            </w:pPr>
            <w:r w:rsidRPr="00763B39">
              <w:rPr>
                <w:b/>
              </w:rPr>
              <w:t>SIPS article 15:</w:t>
            </w:r>
            <w:r>
              <w:t xml:space="preserve"> operational security </w:t>
            </w:r>
          </w:p>
        </w:tc>
      </w:tr>
      <w:tr w:rsidR="00706988" w14:paraId="095A3219" w14:textId="77777777" w:rsidTr="00F0522D">
        <w:tc>
          <w:tcPr>
            <w:tcW w:w="595" w:type="pct"/>
            <w:vMerge/>
            <w:shd w:val="clear" w:color="auto" w:fill="F2F2F2" w:themeFill="background1" w:themeFillShade="F2"/>
            <w:hideMark/>
          </w:tcPr>
          <w:p w14:paraId="76C87365" w14:textId="77777777" w:rsidR="00706988" w:rsidRDefault="00706988" w:rsidP="00F0522D">
            <w:pPr>
              <w:pStyle w:val="TableBody"/>
              <w:rPr>
                <w:sz w:val="22"/>
              </w:rPr>
            </w:pPr>
          </w:p>
        </w:tc>
        <w:tc>
          <w:tcPr>
            <w:tcW w:w="1291" w:type="pct"/>
            <w:shd w:val="clear" w:color="auto" w:fill="auto"/>
            <w:hideMark/>
          </w:tcPr>
          <w:p w14:paraId="02FFF3B7" w14:textId="77777777" w:rsidR="00706988" w:rsidRDefault="00706988" w:rsidP="00F0522D">
            <w:pPr>
              <w:pStyle w:val="TableBody"/>
            </w:pPr>
            <w:r>
              <w:t>Bank for International Settlements</w:t>
            </w:r>
          </w:p>
        </w:tc>
        <w:tc>
          <w:tcPr>
            <w:tcW w:w="3114" w:type="pct"/>
            <w:shd w:val="clear" w:color="auto" w:fill="auto"/>
            <w:hideMark/>
          </w:tcPr>
          <w:p w14:paraId="30355713" w14:textId="77777777" w:rsidR="00706988" w:rsidRDefault="00706988" w:rsidP="00F0522D">
            <w:pPr>
              <w:pStyle w:val="TableBody"/>
            </w:pPr>
            <w:r w:rsidRPr="00763B39">
              <w:rPr>
                <w:b/>
              </w:rPr>
              <w:t>Principles for Financial Markets Infrastructure (PFMI) Principle 17:</w:t>
            </w:r>
            <w:r>
              <w:t xml:space="preserve"> principle-based guidance for mitigating operational risk</w:t>
            </w:r>
          </w:p>
        </w:tc>
      </w:tr>
      <w:tr w:rsidR="00706988" w14:paraId="65C2F7E7" w14:textId="77777777" w:rsidTr="00F0522D">
        <w:tc>
          <w:tcPr>
            <w:tcW w:w="595" w:type="pct"/>
            <w:vMerge/>
            <w:shd w:val="clear" w:color="auto" w:fill="F2F2F2" w:themeFill="background1" w:themeFillShade="F2"/>
            <w:hideMark/>
          </w:tcPr>
          <w:p w14:paraId="6440AA6B" w14:textId="77777777" w:rsidR="00706988" w:rsidRDefault="00706988" w:rsidP="00F0522D">
            <w:pPr>
              <w:pStyle w:val="TableBody"/>
              <w:rPr>
                <w:sz w:val="22"/>
              </w:rPr>
            </w:pPr>
          </w:p>
        </w:tc>
        <w:tc>
          <w:tcPr>
            <w:tcW w:w="1291" w:type="pct"/>
            <w:shd w:val="clear" w:color="auto" w:fill="auto"/>
            <w:hideMark/>
          </w:tcPr>
          <w:p w14:paraId="1FD6B3B3" w14:textId="77777777" w:rsidR="00706988" w:rsidRDefault="00706988" w:rsidP="00F0522D">
            <w:pPr>
              <w:pStyle w:val="TableBody"/>
            </w:pPr>
            <w:r>
              <w:t>Australian Signals Directorate</w:t>
            </w:r>
          </w:p>
        </w:tc>
        <w:tc>
          <w:tcPr>
            <w:tcW w:w="3114" w:type="pct"/>
            <w:shd w:val="clear" w:color="auto" w:fill="auto"/>
            <w:hideMark/>
          </w:tcPr>
          <w:p w14:paraId="0AB891ED" w14:textId="77777777" w:rsidR="00706988" w:rsidRDefault="00706988" w:rsidP="00F0522D">
            <w:pPr>
              <w:pStyle w:val="TableBody"/>
            </w:pPr>
            <w:r w:rsidRPr="00763B39">
              <w:rPr>
                <w:b/>
              </w:rPr>
              <w:t>Information Security Manual:</w:t>
            </w:r>
            <w:r>
              <w:t xml:space="preserve"> outlines a cyber security framework that organisations can apply, using their risk management framework, to protect their information and systems from cyber threats</w:t>
            </w:r>
          </w:p>
        </w:tc>
      </w:tr>
      <w:tr w:rsidR="00706988" w14:paraId="70611CE8" w14:textId="77777777" w:rsidTr="00F0522D">
        <w:tc>
          <w:tcPr>
            <w:tcW w:w="595" w:type="pct"/>
            <w:shd w:val="clear" w:color="auto" w:fill="F2F2F2" w:themeFill="background1" w:themeFillShade="F2"/>
            <w:hideMark/>
          </w:tcPr>
          <w:p w14:paraId="03AD4BB6" w14:textId="77777777" w:rsidR="00706988" w:rsidRDefault="00706988" w:rsidP="00F0522D">
            <w:pPr>
              <w:pStyle w:val="TableBody"/>
            </w:pPr>
            <w:r>
              <w:t>Physical</w:t>
            </w:r>
          </w:p>
        </w:tc>
        <w:tc>
          <w:tcPr>
            <w:tcW w:w="1291" w:type="pct"/>
            <w:shd w:val="clear" w:color="auto" w:fill="auto"/>
            <w:hideMark/>
          </w:tcPr>
          <w:p w14:paraId="2A3E4316" w14:textId="77777777" w:rsidR="00706988" w:rsidRDefault="00706988" w:rsidP="00F0522D">
            <w:pPr>
              <w:pStyle w:val="TableBody"/>
            </w:pPr>
            <w:r>
              <w:t xml:space="preserve">Security Standards Council </w:t>
            </w:r>
          </w:p>
        </w:tc>
        <w:tc>
          <w:tcPr>
            <w:tcW w:w="3114" w:type="pct"/>
            <w:shd w:val="clear" w:color="auto" w:fill="auto"/>
            <w:hideMark/>
          </w:tcPr>
          <w:p w14:paraId="31A05EC9" w14:textId="77777777" w:rsidR="00706988" w:rsidRPr="00763B39" w:rsidRDefault="00706988" w:rsidP="00F0522D">
            <w:pPr>
              <w:pStyle w:val="TableBody"/>
              <w:rPr>
                <w:b/>
              </w:rPr>
            </w:pPr>
            <w:r w:rsidRPr="00763B39">
              <w:rPr>
                <w:b/>
              </w:rPr>
              <w:t>Payment Card Industry Data Security Standard</w:t>
            </w:r>
          </w:p>
        </w:tc>
      </w:tr>
      <w:tr w:rsidR="00706988" w14:paraId="303324B7" w14:textId="77777777" w:rsidTr="00F0522D">
        <w:tc>
          <w:tcPr>
            <w:tcW w:w="595" w:type="pct"/>
            <w:vMerge w:val="restart"/>
            <w:shd w:val="clear" w:color="auto" w:fill="F2F2F2" w:themeFill="background1" w:themeFillShade="F2"/>
            <w:hideMark/>
          </w:tcPr>
          <w:p w14:paraId="589EF2F4" w14:textId="77777777" w:rsidR="00706988" w:rsidRDefault="00706988" w:rsidP="00F0522D">
            <w:pPr>
              <w:pStyle w:val="TableBody"/>
            </w:pPr>
            <w:r>
              <w:t>Supply Chain</w:t>
            </w:r>
          </w:p>
        </w:tc>
        <w:tc>
          <w:tcPr>
            <w:tcW w:w="1291" w:type="pct"/>
            <w:shd w:val="clear" w:color="auto" w:fill="auto"/>
            <w:hideMark/>
          </w:tcPr>
          <w:p w14:paraId="64DB7273" w14:textId="77777777" w:rsidR="00706988" w:rsidRDefault="00706988" w:rsidP="00F0522D">
            <w:pPr>
              <w:pStyle w:val="TableBody"/>
              <w:rPr>
                <w:b/>
                <w:bCs/>
              </w:rPr>
            </w:pPr>
            <w:r>
              <w:t xml:space="preserve">Security Standards Council </w:t>
            </w:r>
          </w:p>
        </w:tc>
        <w:tc>
          <w:tcPr>
            <w:tcW w:w="3114" w:type="pct"/>
            <w:shd w:val="clear" w:color="auto" w:fill="auto"/>
            <w:hideMark/>
          </w:tcPr>
          <w:p w14:paraId="51C290A0" w14:textId="77777777" w:rsidR="00706988" w:rsidRPr="00763B39" w:rsidRDefault="00706988" w:rsidP="00F0522D">
            <w:pPr>
              <w:pStyle w:val="TableBody"/>
              <w:rPr>
                <w:b/>
              </w:rPr>
            </w:pPr>
            <w:r w:rsidRPr="00763B39">
              <w:rPr>
                <w:b/>
              </w:rPr>
              <w:t>Payment Card Industry Data Security Standard</w:t>
            </w:r>
          </w:p>
        </w:tc>
      </w:tr>
      <w:tr w:rsidR="00706988" w14:paraId="7235760A" w14:textId="77777777" w:rsidTr="00F0522D">
        <w:tc>
          <w:tcPr>
            <w:tcW w:w="595" w:type="pct"/>
            <w:vMerge/>
            <w:shd w:val="clear" w:color="auto" w:fill="F2F2F2" w:themeFill="background1" w:themeFillShade="F2"/>
            <w:hideMark/>
          </w:tcPr>
          <w:p w14:paraId="35144B1C" w14:textId="77777777" w:rsidR="00706988" w:rsidRDefault="00706988">
            <w:pPr>
              <w:rPr>
                <w:rFonts w:ascii="Arial" w:eastAsia="Calibri" w:hAnsi="Arial" w:cs="Arial"/>
                <w:sz w:val="22"/>
              </w:rPr>
            </w:pPr>
          </w:p>
        </w:tc>
        <w:tc>
          <w:tcPr>
            <w:tcW w:w="1291" w:type="pct"/>
            <w:shd w:val="clear" w:color="auto" w:fill="auto"/>
            <w:hideMark/>
          </w:tcPr>
          <w:p w14:paraId="669247B6" w14:textId="77777777" w:rsidR="00706988" w:rsidRDefault="00706988" w:rsidP="00F0522D">
            <w:pPr>
              <w:pStyle w:val="TableBody"/>
            </w:pPr>
            <w:r>
              <w:t>Bank for International Settlements</w:t>
            </w:r>
          </w:p>
        </w:tc>
        <w:tc>
          <w:tcPr>
            <w:tcW w:w="3114" w:type="pct"/>
            <w:shd w:val="clear" w:color="auto" w:fill="auto"/>
            <w:hideMark/>
          </w:tcPr>
          <w:p w14:paraId="14D60974" w14:textId="77777777" w:rsidR="00706988" w:rsidRPr="00763B39" w:rsidRDefault="00706988" w:rsidP="00F0522D">
            <w:pPr>
              <w:pStyle w:val="TableBody"/>
              <w:rPr>
                <w:b/>
              </w:rPr>
            </w:pPr>
            <w:r w:rsidRPr="00763B39">
              <w:rPr>
                <w:b/>
              </w:rPr>
              <w:t>PFMI Principle 17</w:t>
            </w:r>
          </w:p>
        </w:tc>
      </w:tr>
      <w:tr w:rsidR="00706988" w14:paraId="420CC4BE" w14:textId="77777777" w:rsidTr="00F0522D">
        <w:tc>
          <w:tcPr>
            <w:tcW w:w="595" w:type="pct"/>
            <w:vMerge/>
            <w:shd w:val="clear" w:color="auto" w:fill="F2F2F2" w:themeFill="background1" w:themeFillShade="F2"/>
            <w:hideMark/>
          </w:tcPr>
          <w:p w14:paraId="07FE41BE" w14:textId="77777777" w:rsidR="00706988" w:rsidRDefault="00706988">
            <w:pPr>
              <w:rPr>
                <w:rFonts w:ascii="Arial" w:eastAsia="Calibri" w:hAnsi="Arial" w:cs="Arial"/>
                <w:sz w:val="22"/>
              </w:rPr>
            </w:pPr>
          </w:p>
        </w:tc>
        <w:tc>
          <w:tcPr>
            <w:tcW w:w="1291" w:type="pct"/>
            <w:shd w:val="clear" w:color="auto" w:fill="auto"/>
            <w:hideMark/>
          </w:tcPr>
          <w:p w14:paraId="402CBCE9" w14:textId="77777777" w:rsidR="00706988" w:rsidRDefault="00706988" w:rsidP="00F0522D">
            <w:pPr>
              <w:pStyle w:val="TableBody"/>
            </w:pPr>
            <w:r>
              <w:t>APRA</w:t>
            </w:r>
          </w:p>
        </w:tc>
        <w:tc>
          <w:tcPr>
            <w:tcW w:w="3114" w:type="pct"/>
            <w:shd w:val="clear" w:color="auto" w:fill="auto"/>
            <w:hideMark/>
          </w:tcPr>
          <w:p w14:paraId="0F581AE7" w14:textId="77777777" w:rsidR="00706988" w:rsidRPr="00763B39" w:rsidRDefault="00706988" w:rsidP="00F0522D">
            <w:pPr>
              <w:pStyle w:val="TableBody"/>
              <w:rPr>
                <w:b/>
              </w:rPr>
            </w:pPr>
            <w:r w:rsidRPr="00763B39">
              <w:rPr>
                <w:b/>
              </w:rPr>
              <w:t xml:space="preserve">CPS234 and 231: </w:t>
            </w:r>
            <w:r>
              <w:t>prudential standards in relation to supply chain management</w:t>
            </w:r>
            <w:r w:rsidRPr="00763B39">
              <w:rPr>
                <w:b/>
              </w:rPr>
              <w:t xml:space="preserve"> </w:t>
            </w:r>
          </w:p>
        </w:tc>
      </w:tr>
    </w:tbl>
    <w:p w14:paraId="2F66CB2F" w14:textId="77777777" w:rsidR="00F0522D" w:rsidRDefault="00F0522D" w:rsidP="00706988">
      <w:pPr>
        <w:pStyle w:val="BodyText"/>
        <w:rPr>
          <w:rFonts w:eastAsia="Times New Roman" w:cs="Times New Roman"/>
          <w:sz w:val="20"/>
          <w:szCs w:val="24"/>
          <w:lang w:eastAsia="en-AU"/>
        </w:rPr>
      </w:pPr>
    </w:p>
    <w:tbl>
      <w:tblPr>
        <w:tblStyle w:val="DHATable"/>
        <w:tblW w:w="9623" w:type="dxa"/>
        <w:tblBorders>
          <w:top w:val="none" w:sz="0" w:space="0" w:color="auto"/>
          <w:left w:val="none" w:sz="0" w:space="0" w:color="auto"/>
          <w:bottom w:val="single" w:sz="4" w:space="0" w:color="BFBFBF" w:themeColor="background1" w:themeShade="BF"/>
          <w:right w:val="none" w:sz="0" w:space="0" w:color="auto"/>
        </w:tblBorders>
        <w:tblLook w:val="0400" w:firstRow="0" w:lastRow="0" w:firstColumn="0" w:lastColumn="0" w:noHBand="0" w:noVBand="1"/>
      </w:tblPr>
      <w:tblGrid>
        <w:gridCol w:w="3713"/>
        <w:gridCol w:w="5910"/>
      </w:tblGrid>
      <w:tr w:rsidR="00706988" w14:paraId="3DCF7BAB" w14:textId="77777777" w:rsidTr="00F0522D">
        <w:trPr>
          <w:cnfStyle w:val="000000100000" w:firstRow="0" w:lastRow="0" w:firstColumn="0" w:lastColumn="0" w:oddVBand="0" w:evenVBand="0" w:oddHBand="1" w:evenHBand="0" w:firstRowFirstColumn="0" w:firstRowLastColumn="0" w:lastRowFirstColumn="0" w:lastRowLastColumn="0"/>
          <w:trHeight w:val="238"/>
        </w:trPr>
        <w:tc>
          <w:tcPr>
            <w:tcW w:w="3713" w:type="dxa"/>
            <w:shd w:val="clear" w:color="auto" w:fill="034EA2" w:themeFill="accent1"/>
            <w:hideMark/>
          </w:tcPr>
          <w:p w14:paraId="2069FA35" w14:textId="77777777" w:rsidR="00706988" w:rsidRDefault="00706988" w:rsidP="00F0522D">
            <w:pPr>
              <w:pStyle w:val="TableHeading"/>
            </w:pPr>
            <w:r>
              <w:t>Jurisdiction</w:t>
            </w:r>
          </w:p>
        </w:tc>
        <w:tc>
          <w:tcPr>
            <w:tcW w:w="5910" w:type="dxa"/>
            <w:shd w:val="clear" w:color="auto" w:fill="034EA2" w:themeFill="accent1"/>
            <w:hideMark/>
          </w:tcPr>
          <w:p w14:paraId="1CB0984D" w14:textId="77777777" w:rsidR="00706988" w:rsidRDefault="00706988" w:rsidP="00F0522D">
            <w:pPr>
              <w:pStyle w:val="TableHeading"/>
            </w:pPr>
            <w:r>
              <w:t>Regulator/s</w:t>
            </w:r>
          </w:p>
        </w:tc>
      </w:tr>
      <w:tr w:rsidR="00706988" w14:paraId="62835FAD" w14:textId="77777777" w:rsidTr="00F0522D">
        <w:trPr>
          <w:cnfStyle w:val="000000010000" w:firstRow="0" w:lastRow="0" w:firstColumn="0" w:lastColumn="0" w:oddVBand="0" w:evenVBand="0" w:oddHBand="0" w:evenHBand="1" w:firstRowFirstColumn="0" w:firstRowLastColumn="0" w:lastRowFirstColumn="0" w:lastRowLastColumn="0"/>
          <w:trHeight w:val="226"/>
        </w:trPr>
        <w:tc>
          <w:tcPr>
            <w:tcW w:w="3713" w:type="dxa"/>
            <w:hideMark/>
          </w:tcPr>
          <w:p w14:paraId="5BC823B7" w14:textId="77777777" w:rsidR="00706988" w:rsidRDefault="00706988" w:rsidP="00F0522D">
            <w:pPr>
              <w:pStyle w:val="TableBody"/>
            </w:pPr>
            <w:r>
              <w:t>Commonwealth</w:t>
            </w:r>
          </w:p>
        </w:tc>
        <w:tc>
          <w:tcPr>
            <w:tcW w:w="5910" w:type="dxa"/>
            <w:shd w:val="clear" w:color="auto" w:fill="FFFFFF" w:themeFill="background1"/>
            <w:hideMark/>
          </w:tcPr>
          <w:p w14:paraId="280F0018" w14:textId="77777777" w:rsidR="00706988" w:rsidRDefault="00706988" w:rsidP="00F0522D">
            <w:pPr>
              <w:pStyle w:val="TableBody"/>
            </w:pPr>
            <w:r>
              <w:t>Reserve Bank of Australia</w:t>
            </w:r>
          </w:p>
        </w:tc>
      </w:tr>
    </w:tbl>
    <w:p w14:paraId="64FA4A36" w14:textId="77777777" w:rsidR="00453A54" w:rsidRDefault="00453A54" w:rsidP="00453A54">
      <w:pPr>
        <w:pStyle w:val="BodyText"/>
      </w:pPr>
    </w:p>
    <w:p w14:paraId="70FDD5B4" w14:textId="77777777" w:rsidR="00453A54" w:rsidRDefault="00453A54" w:rsidP="008E1A28">
      <w:pPr>
        <w:pStyle w:val="AppendixH2"/>
      </w:pPr>
      <w:r>
        <w:t>Additional information on consultation</w:t>
      </w:r>
    </w:p>
    <w:p w14:paraId="6BC85D74" w14:textId="77777777" w:rsidR="009B24B1" w:rsidRDefault="009B24B1" w:rsidP="008E1A28">
      <w:pPr>
        <w:pStyle w:val="Caption"/>
      </w:pPr>
      <w:bookmarkStart w:id="602" w:name="_Toc90479768"/>
      <w:r>
        <w:t>Overview of stakeholders consulted</w:t>
      </w:r>
      <w:bookmarkEnd w:id="602"/>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4688"/>
        <w:gridCol w:w="4925"/>
        <w:gridCol w:w="25"/>
      </w:tblGrid>
      <w:tr w:rsidR="009B24B1" w14:paraId="679B416F" w14:textId="77777777" w:rsidTr="00856EFC">
        <w:tc>
          <w:tcPr>
            <w:tcW w:w="5000" w:type="pct"/>
            <w:gridSpan w:val="3"/>
            <w:shd w:val="clear" w:color="auto" w:fill="034EA2" w:themeFill="accent1"/>
            <w:hideMark/>
          </w:tcPr>
          <w:p w14:paraId="00B62AF9" w14:textId="77777777" w:rsidR="009B24B1" w:rsidRDefault="009B24B1" w:rsidP="00F0522D">
            <w:pPr>
              <w:pStyle w:val="TableHeading"/>
              <w:rPr>
                <w:sz w:val="22"/>
              </w:rPr>
            </w:pPr>
            <w:r>
              <w:t xml:space="preserve">Stakeholders Consulted </w:t>
            </w:r>
          </w:p>
        </w:tc>
      </w:tr>
      <w:tr w:rsidR="009B24B1" w14:paraId="3EAA5151" w14:textId="77777777" w:rsidTr="00856EFC">
        <w:tc>
          <w:tcPr>
            <w:tcW w:w="2432" w:type="pct"/>
            <w:shd w:val="clear" w:color="auto" w:fill="auto"/>
            <w:hideMark/>
          </w:tcPr>
          <w:p w14:paraId="4A2A3B42" w14:textId="77777777" w:rsidR="009B24B1" w:rsidRPr="00EE4EFB" w:rsidRDefault="009B24B1" w:rsidP="00F0522D">
            <w:pPr>
              <w:pStyle w:val="TableBullet"/>
              <w:rPr>
                <w:rFonts w:eastAsia="Calibri"/>
              </w:rPr>
            </w:pPr>
            <w:r w:rsidRPr="00EE4EFB">
              <w:rPr>
                <w:rFonts w:eastAsia="Calibri"/>
              </w:rPr>
              <w:t>Eftpos Payments Australia Limited</w:t>
            </w:r>
          </w:p>
        </w:tc>
        <w:tc>
          <w:tcPr>
            <w:tcW w:w="2568" w:type="pct"/>
            <w:gridSpan w:val="2"/>
            <w:shd w:val="clear" w:color="auto" w:fill="auto"/>
            <w:hideMark/>
          </w:tcPr>
          <w:p w14:paraId="5130228D" w14:textId="77777777" w:rsidR="009B24B1" w:rsidRDefault="009B24B1" w:rsidP="00F0522D">
            <w:pPr>
              <w:pStyle w:val="TableBullet"/>
              <w:rPr>
                <w:rFonts w:eastAsia="Calibri"/>
              </w:rPr>
            </w:pPr>
            <w:r w:rsidRPr="00EE4EFB">
              <w:rPr>
                <w:rFonts w:eastAsia="Calibri"/>
              </w:rPr>
              <w:t>Mastercard Inc.</w:t>
            </w:r>
          </w:p>
        </w:tc>
      </w:tr>
      <w:tr w:rsidR="009B24B1" w:rsidRPr="00EE4EFB" w14:paraId="593DBAC6" w14:textId="77777777" w:rsidTr="00856EFC">
        <w:trPr>
          <w:gridAfter w:val="1"/>
          <w:wAfter w:w="12" w:type="pct"/>
        </w:trPr>
        <w:tc>
          <w:tcPr>
            <w:tcW w:w="2432" w:type="pct"/>
            <w:shd w:val="clear" w:color="auto" w:fill="auto"/>
            <w:hideMark/>
          </w:tcPr>
          <w:p w14:paraId="26FE5EF4" w14:textId="77777777" w:rsidR="009B24B1" w:rsidRPr="00EE4EFB" w:rsidRDefault="009B24B1" w:rsidP="00F0522D">
            <w:pPr>
              <w:pStyle w:val="TableBullet"/>
              <w:rPr>
                <w:rFonts w:eastAsia="Calibri"/>
              </w:rPr>
            </w:pPr>
            <w:r w:rsidRPr="00EE4EFB">
              <w:rPr>
                <w:rFonts w:eastAsia="Calibri"/>
              </w:rPr>
              <w:t>New Payments Platform Australia Limited</w:t>
            </w:r>
          </w:p>
        </w:tc>
        <w:tc>
          <w:tcPr>
            <w:tcW w:w="2555" w:type="pct"/>
            <w:shd w:val="clear" w:color="auto" w:fill="auto"/>
            <w:hideMark/>
          </w:tcPr>
          <w:p w14:paraId="078D77E8" w14:textId="77777777" w:rsidR="009B24B1" w:rsidRDefault="009B24B1" w:rsidP="00F0522D">
            <w:pPr>
              <w:pStyle w:val="TableBullet"/>
              <w:rPr>
                <w:rFonts w:eastAsia="Calibri"/>
              </w:rPr>
            </w:pPr>
            <w:r w:rsidRPr="00EE4EFB">
              <w:rPr>
                <w:rFonts w:eastAsia="Calibri"/>
              </w:rPr>
              <w:t xml:space="preserve">Visa Inc. </w:t>
            </w:r>
          </w:p>
        </w:tc>
      </w:tr>
      <w:tr w:rsidR="009B24B1" w14:paraId="16D4CF17" w14:textId="77777777" w:rsidTr="00856EFC">
        <w:tc>
          <w:tcPr>
            <w:tcW w:w="2432" w:type="pct"/>
            <w:shd w:val="clear" w:color="auto" w:fill="auto"/>
            <w:hideMark/>
          </w:tcPr>
          <w:p w14:paraId="30332050" w14:textId="77777777" w:rsidR="009B24B1" w:rsidRPr="00EE4EFB" w:rsidRDefault="009B24B1" w:rsidP="00F0522D">
            <w:pPr>
              <w:pStyle w:val="TableBullet"/>
              <w:rPr>
                <w:rFonts w:eastAsia="Calibri"/>
              </w:rPr>
            </w:pPr>
            <w:r w:rsidRPr="00EE4EFB">
              <w:rPr>
                <w:rFonts w:eastAsia="Calibri"/>
              </w:rPr>
              <w:t>Reserve Bank of Australia</w:t>
            </w:r>
          </w:p>
        </w:tc>
        <w:tc>
          <w:tcPr>
            <w:tcW w:w="2568" w:type="pct"/>
            <w:gridSpan w:val="2"/>
            <w:shd w:val="clear" w:color="auto" w:fill="auto"/>
          </w:tcPr>
          <w:p w14:paraId="346B637F" w14:textId="77777777" w:rsidR="009B24B1" w:rsidRPr="00EE4EFB" w:rsidRDefault="009B24B1" w:rsidP="00F0522D">
            <w:pPr>
              <w:pStyle w:val="TableBody"/>
            </w:pPr>
          </w:p>
        </w:tc>
      </w:tr>
    </w:tbl>
    <w:p w14:paraId="4F5AE198" w14:textId="77777777" w:rsidR="00AD108D" w:rsidRDefault="00AD108D" w:rsidP="008E1A28">
      <w:pPr>
        <w:pStyle w:val="Caption"/>
      </w:pPr>
      <w:r>
        <w:lastRenderedPageBreak/>
        <w:t>Consultation timeline</w:t>
      </w:r>
    </w:p>
    <w:p w14:paraId="6C8D6DCA" w14:textId="73F3994C" w:rsidR="008633F6" w:rsidRPr="003C287F" w:rsidRDefault="001A24B1" w:rsidP="003C287F">
      <w:pPr>
        <w:pStyle w:val="BodyText"/>
      </w:pPr>
      <w:r w:rsidRPr="001A24B1">
        <w:rPr>
          <w:noProof/>
          <w:lang w:eastAsia="en-AU"/>
        </w:rPr>
        <w:drawing>
          <wp:inline distT="0" distB="0" distL="0" distR="0" wp14:anchorId="4992548C" wp14:editId="7AC87710">
            <wp:extent cx="5997762" cy="6387465"/>
            <wp:effectExtent l="0" t="0" r="317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noChangeArrowheads="1"/>
                    </pic:cNvPicPr>
                  </pic:nvPicPr>
                  <pic:blipFill>
                    <a:blip r:embed="rId59"/>
                    <a:stretch>
                      <a:fillRect/>
                    </a:stretch>
                  </pic:blipFill>
                  <pic:spPr bwMode="auto">
                    <a:xfrm>
                      <a:off x="0" y="0"/>
                      <a:ext cx="5997762" cy="6387465"/>
                    </a:xfrm>
                    <a:prstGeom prst="rect">
                      <a:avLst/>
                    </a:prstGeom>
                    <a:noFill/>
                    <a:ln>
                      <a:noFill/>
                    </a:ln>
                  </pic:spPr>
                </pic:pic>
              </a:graphicData>
            </a:graphic>
          </wp:inline>
        </w:drawing>
      </w:r>
    </w:p>
    <w:p w14:paraId="08B9DBF7" w14:textId="77777777" w:rsidR="001E4026" w:rsidRPr="00D65A59" w:rsidRDefault="001E4026" w:rsidP="008E1A28">
      <w:pPr>
        <w:pStyle w:val="AppendixH2"/>
      </w:pPr>
      <w:r w:rsidRPr="00D65A59">
        <w:t xml:space="preserve">RMP Rules consultation </w:t>
      </w:r>
    </w:p>
    <w:p w14:paraId="5D3856B0" w14:textId="77777777" w:rsidR="00D624C0" w:rsidRDefault="00D624C0" w:rsidP="00432652">
      <w:pPr>
        <w:pStyle w:val="BodyText"/>
      </w:pPr>
      <w:r>
        <w:t xml:space="preserve">The Department co-led the consultation with the Payment Systems Efficiency branch in the Policy Department of the Reserve Bank of Australia (RBA). This provided a detailed perspective on the sector’s current regulatory obligations throughout consultation, with a view to avoiding regulatory overlap. Moreover, as the anticipated regulator for payment systems, the RBA’s participation allowed for enhanced collaboration between Government and Industry. </w:t>
      </w:r>
    </w:p>
    <w:p w14:paraId="55629479" w14:textId="438CA195" w:rsidR="00D624C0" w:rsidRDefault="00D624C0" w:rsidP="00432652">
      <w:pPr>
        <w:pStyle w:val="BodyText"/>
      </w:pPr>
      <w:r>
        <w:t xml:space="preserve">Consultation with industry stakeholders occurred </w:t>
      </w:r>
      <w:r w:rsidR="007C25C4">
        <w:t>across the following</w:t>
      </w:r>
      <w:r>
        <w:t xml:space="preserve"> key stages: </w:t>
      </w:r>
    </w:p>
    <w:p w14:paraId="41E6CD6F" w14:textId="77777777" w:rsidR="00D624C0" w:rsidRDefault="00D624C0" w:rsidP="007F265A">
      <w:pPr>
        <w:numPr>
          <w:ilvl w:val="0"/>
          <w:numId w:val="145"/>
        </w:numPr>
        <w:spacing w:after="160" w:line="256" w:lineRule="auto"/>
        <w:ind w:hanging="357"/>
        <w:rPr>
          <w:rFonts w:ascii="Arial" w:eastAsia="Calibri" w:hAnsi="Arial" w:cs="Arial"/>
          <w:sz w:val="22"/>
        </w:rPr>
      </w:pPr>
      <w:r>
        <w:rPr>
          <w:rFonts w:ascii="Arial" w:eastAsia="Calibri" w:hAnsi="Arial" w:cs="Arial"/>
          <w:b/>
          <w:bCs/>
          <w:sz w:val="22"/>
        </w:rPr>
        <w:t>A virtual briefing session</w:t>
      </w:r>
      <w:r>
        <w:rPr>
          <w:rFonts w:ascii="Arial" w:eastAsia="Calibri" w:hAnsi="Arial" w:cs="Arial"/>
          <w:sz w:val="22"/>
        </w:rPr>
        <w:t xml:space="preserve">, held in September 2021 attended by approximately 10 industry and Government stakeholders, to communicate the purpose of the consultation process and obtain information to inform the design of future workshops. </w:t>
      </w:r>
    </w:p>
    <w:p w14:paraId="4E63EF3E" w14:textId="77777777" w:rsidR="00D624C0" w:rsidRDefault="00D624C0" w:rsidP="007F265A">
      <w:pPr>
        <w:numPr>
          <w:ilvl w:val="0"/>
          <w:numId w:val="145"/>
        </w:numPr>
        <w:spacing w:after="160" w:line="256" w:lineRule="auto"/>
        <w:ind w:hanging="357"/>
        <w:rPr>
          <w:rFonts w:ascii="Arial" w:eastAsia="Calibri" w:hAnsi="Arial" w:cs="Arial"/>
          <w:sz w:val="22"/>
        </w:rPr>
      </w:pPr>
      <w:r>
        <w:rPr>
          <w:rFonts w:ascii="Arial" w:eastAsia="Calibri" w:hAnsi="Arial" w:cs="Arial"/>
          <w:b/>
          <w:bCs/>
          <w:sz w:val="22"/>
        </w:rPr>
        <w:lastRenderedPageBreak/>
        <w:t>A series of</w:t>
      </w:r>
      <w:r>
        <w:rPr>
          <w:rFonts w:ascii="Arial" w:eastAsia="Calibri" w:hAnsi="Arial" w:cs="Arial"/>
          <w:b/>
          <w:bCs/>
          <w:color w:val="FF9933"/>
          <w:sz w:val="22"/>
        </w:rPr>
        <w:t xml:space="preserve"> </w:t>
      </w:r>
      <w:r>
        <w:rPr>
          <w:rFonts w:ascii="Arial" w:eastAsia="Calibri" w:hAnsi="Arial" w:cs="Arial"/>
          <w:b/>
          <w:bCs/>
          <w:sz w:val="22"/>
        </w:rPr>
        <w:t>virtual context sessions</w:t>
      </w:r>
      <w:r>
        <w:rPr>
          <w:rFonts w:ascii="Arial" w:eastAsia="Calibri" w:hAnsi="Arial" w:cs="Arial"/>
          <w:sz w:val="22"/>
        </w:rPr>
        <w:t xml:space="preserve"> held over a two-week period beginning in September 2021. These sessions were held between the Department and each of the responsible entities individually (Eftpos, Mastercard, NPPA and Visa) to allow for detailed and confidential discussion of the entity’s unique operating and risk context. It provided a forum to consult on the RMP rules and assisted in understanding the costs and benefits associated with implementing the RMP framework. They also allowed the Department to understand responsible entities’ commensurate regulatory obligations in other jurisdictions, to assist in avoiding regulatory overlap. </w:t>
      </w:r>
    </w:p>
    <w:p w14:paraId="6ADE0825" w14:textId="77777777" w:rsidR="00D624C0" w:rsidRDefault="00D624C0" w:rsidP="007F265A">
      <w:pPr>
        <w:numPr>
          <w:ilvl w:val="0"/>
          <w:numId w:val="145"/>
        </w:numPr>
        <w:spacing w:line="256" w:lineRule="auto"/>
        <w:ind w:left="351" w:hanging="357"/>
        <w:rPr>
          <w:rFonts w:ascii="Arial" w:eastAsia="Calibri" w:hAnsi="Arial" w:cs="Arial"/>
          <w:sz w:val="22"/>
        </w:rPr>
      </w:pPr>
      <w:r>
        <w:rPr>
          <w:rFonts w:ascii="Arial" w:eastAsia="Calibri" w:hAnsi="Arial" w:cs="Arial"/>
          <w:b/>
          <w:bCs/>
          <w:sz w:val="22"/>
        </w:rPr>
        <w:t>Out of session consultation</w:t>
      </w:r>
      <w:r>
        <w:rPr>
          <w:rFonts w:ascii="Arial" w:eastAsia="Calibri" w:hAnsi="Arial" w:cs="Arial"/>
          <w:sz w:val="22"/>
        </w:rPr>
        <w:t>, including meetings with a number of stakeholders and email communication.</w:t>
      </w:r>
      <w:r>
        <w:rPr>
          <w:rFonts w:ascii="Arial" w:eastAsia="Calibri" w:hAnsi="Arial" w:cs="Arial"/>
          <w:color w:val="FF9933"/>
          <w:sz w:val="22"/>
        </w:rPr>
        <w:t xml:space="preserve"> </w:t>
      </w:r>
    </w:p>
    <w:p w14:paraId="62EB5F7C" w14:textId="77777777" w:rsidR="00D624C0" w:rsidRDefault="00D624C0" w:rsidP="00CE4B35">
      <w:pPr>
        <w:pStyle w:val="Bullet2ndlevel"/>
        <w:ind w:left="709"/>
      </w:pPr>
      <w:r>
        <w:t xml:space="preserve">Stakeholders were encouraged to contact the Department out of session. The Department availed itself to stakeholders to discuss their concerns, working to ensure stakeholders’ understanding of the rules, and the rules’ proportionality. </w:t>
      </w:r>
    </w:p>
    <w:p w14:paraId="7ABB158C" w14:textId="035D8A2F" w:rsidR="00D624C0" w:rsidRDefault="00D624C0" w:rsidP="00CE4B35">
      <w:pPr>
        <w:pStyle w:val="Bullet2ndlevel"/>
        <w:ind w:left="709"/>
      </w:pPr>
      <w:r>
        <w:t xml:space="preserve">Out of session engagement also assisted in the iterative development of rules between </w:t>
      </w:r>
      <w:r w:rsidR="005C3781">
        <w:t>the briefing session and context sessions</w:t>
      </w:r>
      <w:r>
        <w:t xml:space="preserve">, through addressing concerns raised by individual stakeholders and proposing a solution. </w:t>
      </w:r>
    </w:p>
    <w:p w14:paraId="7636A593" w14:textId="77777777" w:rsidR="00D624C0" w:rsidRDefault="00D624C0" w:rsidP="00CE4B35">
      <w:pPr>
        <w:pStyle w:val="Bullet2ndlevel"/>
        <w:ind w:left="709"/>
      </w:pPr>
      <w:r>
        <w:t>This engagement strengthened the relationship between the Department and industry, while providing insights on implementation costs, entities’ operating environments and the overall impacts of the proposed regulatory changes.</w:t>
      </w:r>
    </w:p>
    <w:p w14:paraId="297AF336" w14:textId="7A93D677" w:rsidR="00D624C0" w:rsidRDefault="00D624C0" w:rsidP="007F265A">
      <w:pPr>
        <w:pStyle w:val="ListParagraph"/>
        <w:numPr>
          <w:ilvl w:val="0"/>
          <w:numId w:val="145"/>
        </w:numPr>
        <w:spacing w:line="264" w:lineRule="auto"/>
        <w:rPr>
          <w:rFonts w:eastAsia="Calibri"/>
        </w:rPr>
      </w:pPr>
      <w:r>
        <w:rPr>
          <w:rFonts w:eastAsia="Calibri"/>
          <w:b/>
          <w:bCs/>
        </w:rPr>
        <w:t xml:space="preserve">Two follow-up Information Sessions and </w:t>
      </w:r>
      <w:r w:rsidR="005C3781">
        <w:rPr>
          <w:rFonts w:eastAsia="Calibri"/>
          <w:b/>
          <w:bCs/>
        </w:rPr>
        <w:t xml:space="preserve">two </w:t>
      </w:r>
      <w:r>
        <w:rPr>
          <w:rFonts w:eastAsia="Calibri"/>
          <w:b/>
          <w:bCs/>
        </w:rPr>
        <w:t>Industry-agnostic Town Hall</w:t>
      </w:r>
      <w:r w:rsidR="005C3781">
        <w:rPr>
          <w:rFonts w:eastAsia="Calibri"/>
          <w:b/>
          <w:bCs/>
        </w:rPr>
        <w:t>s</w:t>
      </w:r>
      <w:r>
        <w:rPr>
          <w:rFonts w:eastAsia="Calibri"/>
        </w:rPr>
        <w:t xml:space="preserve"> held in </w:t>
      </w:r>
      <w:r w:rsidR="005C3781">
        <w:rPr>
          <w:rFonts w:eastAsia="Calibri"/>
        </w:rPr>
        <w:t xml:space="preserve">October </w:t>
      </w:r>
      <w:r>
        <w:rPr>
          <w:rFonts w:eastAsia="Calibri"/>
        </w:rPr>
        <w:t xml:space="preserve">and </w:t>
      </w:r>
      <w:r w:rsidR="005C3781">
        <w:rPr>
          <w:rFonts w:eastAsia="Calibri"/>
        </w:rPr>
        <w:t xml:space="preserve">November </w:t>
      </w:r>
      <w:r>
        <w:rPr>
          <w:rFonts w:eastAsia="Calibri"/>
        </w:rPr>
        <w:t>202</w:t>
      </w:r>
      <w:r w:rsidR="005C3781">
        <w:rPr>
          <w:rFonts w:eastAsia="Calibri"/>
        </w:rPr>
        <w:t>1</w:t>
      </w:r>
      <w:r>
        <w:rPr>
          <w:rFonts w:eastAsia="Calibri"/>
        </w:rPr>
        <w:t xml:space="preserve">. The purpose of the information sessions was to provide an update for industry on the move from sector-specific to sector-agnostic RMP rules and to gain sector-specific feedback on the updated RMP rules. The purpose of the Industry Town Hall was to present the updated RMP rules and provide information on the further consultation period. The two information sessions were attended by approximately 17 and 18 industry and Government stakeholders respectively. The Town Hall was attended by approximately 800 industry and Government stakeholders across the </w:t>
      </w:r>
      <w:r w:rsidR="0030492E">
        <w:rPr>
          <w:rFonts w:eastAsia="Calibri"/>
        </w:rPr>
        <w:t>10</w:t>
      </w:r>
      <w:r>
        <w:rPr>
          <w:rFonts w:eastAsia="Calibri"/>
        </w:rPr>
        <w:t xml:space="preserve"> critical infrastructure sectors, including by stakeholders from the payment systems sector. </w:t>
      </w:r>
    </w:p>
    <w:p w14:paraId="49EF24A8" w14:textId="051FA2E1" w:rsidR="007C25C4" w:rsidRPr="00D309FE" w:rsidRDefault="007C25C4" w:rsidP="007C25C4">
      <w:pPr>
        <w:pStyle w:val="Bullet1stlevel"/>
        <w:numPr>
          <w:ilvl w:val="0"/>
          <w:numId w:val="145"/>
        </w:numPr>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757E7B52" w14:textId="77777777" w:rsidR="007C25C4" w:rsidRPr="004F1EE3" w:rsidRDefault="007C25C4" w:rsidP="00CE4B35">
      <w:pPr>
        <w:spacing w:line="264" w:lineRule="auto"/>
        <w:rPr>
          <w:rFonts w:eastAsia="Calibri"/>
        </w:rPr>
      </w:pPr>
    </w:p>
    <w:p w14:paraId="6CD12D5D" w14:textId="77777777" w:rsidR="001B5CE9" w:rsidRDefault="001B5CE9" w:rsidP="00F25164">
      <w:pPr>
        <w:pStyle w:val="Caption"/>
      </w:pPr>
      <w:r>
        <w:lastRenderedPageBreak/>
        <w:t>Key themes from consultation</w:t>
      </w:r>
    </w:p>
    <w:tbl>
      <w:tblPr>
        <w:tblStyle w:val="TableGrid5"/>
        <w:tblW w:w="5000" w:type="pct"/>
        <w:jc w:val="center"/>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114"/>
        <w:gridCol w:w="729"/>
        <w:gridCol w:w="3547"/>
        <w:gridCol w:w="4248"/>
      </w:tblGrid>
      <w:tr w:rsidR="001B5CE9" w14:paraId="6D8ACA63" w14:textId="77777777" w:rsidTr="00F04C30">
        <w:trPr>
          <w:cantSplit/>
          <w:tblHeader/>
          <w:jc w:val="center"/>
        </w:trPr>
        <w:tc>
          <w:tcPr>
            <w:tcW w:w="578" w:type="pct"/>
            <w:shd w:val="clear" w:color="auto" w:fill="034EA2" w:themeFill="accent1"/>
            <w:hideMark/>
          </w:tcPr>
          <w:p w14:paraId="2FC64551" w14:textId="77777777" w:rsidR="001B5CE9" w:rsidRDefault="001B5CE9" w:rsidP="00F04C30">
            <w:pPr>
              <w:pStyle w:val="TableHeading"/>
            </w:pPr>
            <w:r>
              <w:t>Rule category</w:t>
            </w:r>
          </w:p>
        </w:tc>
        <w:tc>
          <w:tcPr>
            <w:tcW w:w="2218" w:type="pct"/>
            <w:gridSpan w:val="2"/>
            <w:shd w:val="clear" w:color="auto" w:fill="034EA2" w:themeFill="accent1"/>
            <w:hideMark/>
          </w:tcPr>
          <w:p w14:paraId="645E0A11" w14:textId="77777777" w:rsidR="001B5CE9" w:rsidRDefault="001B5CE9" w:rsidP="00F04C30">
            <w:pPr>
              <w:pStyle w:val="TableHeading"/>
            </w:pPr>
            <w:r>
              <w:t>Identified themes</w:t>
            </w:r>
          </w:p>
        </w:tc>
        <w:tc>
          <w:tcPr>
            <w:tcW w:w="2204" w:type="pct"/>
            <w:shd w:val="clear" w:color="auto" w:fill="034EA2" w:themeFill="accent1"/>
            <w:hideMark/>
          </w:tcPr>
          <w:p w14:paraId="06B51F9F" w14:textId="77777777" w:rsidR="001B5CE9" w:rsidRDefault="001B5CE9" w:rsidP="00F04C30">
            <w:pPr>
              <w:pStyle w:val="TableHeading"/>
            </w:pPr>
            <w:r>
              <w:t>Impact on development of rules</w:t>
            </w:r>
          </w:p>
        </w:tc>
      </w:tr>
      <w:tr w:rsidR="001B5CE9" w14:paraId="70264B8C" w14:textId="77777777" w:rsidTr="00B65181">
        <w:trPr>
          <w:cantSplit/>
          <w:trHeight w:val="1134"/>
          <w:jc w:val="center"/>
        </w:trPr>
        <w:tc>
          <w:tcPr>
            <w:tcW w:w="578" w:type="pct"/>
            <w:shd w:val="clear" w:color="auto" w:fill="BBDAFD" w:themeFill="accent1" w:themeFillTint="33"/>
            <w:hideMark/>
          </w:tcPr>
          <w:p w14:paraId="00831794" w14:textId="77777777" w:rsidR="001B5CE9" w:rsidRDefault="001B5CE9" w:rsidP="00F04C30">
            <w:pPr>
              <w:rPr>
                <w:rFonts w:ascii="Arial" w:eastAsia="Calibri" w:hAnsi="Arial" w:cs="Arial"/>
                <w:b/>
                <w:bCs/>
                <w:szCs w:val="20"/>
              </w:rPr>
            </w:pPr>
            <w:r>
              <w:rPr>
                <w:rFonts w:ascii="Arial" w:eastAsia="Calibri" w:hAnsi="Arial" w:cs="Arial"/>
                <w:b/>
                <w:bCs/>
                <w:szCs w:val="20"/>
              </w:rPr>
              <w:t xml:space="preserve">Context to inform rules  </w:t>
            </w:r>
          </w:p>
        </w:tc>
        <w:tc>
          <w:tcPr>
            <w:tcW w:w="378" w:type="pct"/>
            <w:shd w:val="clear" w:color="auto" w:fill="EDEDED"/>
            <w:textDirection w:val="btLr"/>
            <w:hideMark/>
          </w:tcPr>
          <w:p w14:paraId="402C338D" w14:textId="77777777" w:rsidR="001B5CE9" w:rsidRDefault="001B5CE9" w:rsidP="00F04C30">
            <w:pPr>
              <w:ind w:left="113" w:right="113"/>
              <w:jc w:val="center"/>
              <w:rPr>
                <w:rFonts w:ascii="Arial" w:eastAsia="Calibri" w:hAnsi="Arial" w:cs="Arial"/>
                <w:b/>
                <w:bCs/>
                <w:szCs w:val="20"/>
              </w:rPr>
            </w:pPr>
            <w:r>
              <w:rPr>
                <w:rFonts w:ascii="Arial" w:eastAsia="Calibri" w:hAnsi="Arial" w:cs="Arial"/>
                <w:b/>
                <w:bCs/>
                <w:szCs w:val="20"/>
              </w:rPr>
              <w:t>Context Sessions</w:t>
            </w:r>
          </w:p>
        </w:tc>
        <w:tc>
          <w:tcPr>
            <w:tcW w:w="1840" w:type="pct"/>
            <w:hideMark/>
          </w:tcPr>
          <w:p w14:paraId="7AC27732" w14:textId="77777777" w:rsidR="001B5CE9" w:rsidRDefault="001B5CE9" w:rsidP="00F04C30">
            <w:pPr>
              <w:pStyle w:val="TableBullet"/>
              <w:rPr>
                <w:rFonts w:eastAsia="Calibri"/>
              </w:rPr>
            </w:pPr>
            <w:r>
              <w:rPr>
                <w:rFonts w:eastAsia="Calibri"/>
              </w:rPr>
              <w:t>Entities have high risk maturity.</w:t>
            </w:r>
          </w:p>
          <w:p w14:paraId="1163AFB4" w14:textId="77777777" w:rsidR="001B5CE9" w:rsidRDefault="001B5CE9" w:rsidP="00F04C30">
            <w:pPr>
              <w:pStyle w:val="TableBullet"/>
              <w:rPr>
                <w:rFonts w:eastAsia="Calibri"/>
              </w:rPr>
            </w:pPr>
            <w:r>
              <w:rPr>
                <w:rFonts w:eastAsia="Calibri"/>
              </w:rPr>
              <w:t xml:space="preserve">Risk management processes are set up to ensure </w:t>
            </w:r>
            <w:r>
              <w:rPr>
                <w:rFonts w:eastAsia="Calibri"/>
                <w:b/>
                <w:bCs/>
              </w:rPr>
              <w:t>consistent and reliable functioning</w:t>
            </w:r>
            <w:r>
              <w:rPr>
                <w:rFonts w:eastAsia="Calibri"/>
              </w:rPr>
              <w:t xml:space="preserve"> of payment systems for customers. </w:t>
            </w:r>
          </w:p>
          <w:p w14:paraId="38584DA7" w14:textId="77777777" w:rsidR="001B5CE9" w:rsidRDefault="001B5CE9" w:rsidP="00F04C30">
            <w:pPr>
              <w:pStyle w:val="TableBullet"/>
              <w:rPr>
                <w:rFonts w:eastAsia="Calibri"/>
              </w:rPr>
            </w:pPr>
            <w:r>
              <w:rPr>
                <w:rFonts w:eastAsia="Calibri"/>
              </w:rPr>
              <w:t xml:space="preserve">Common material risks across entities are </w:t>
            </w:r>
            <w:r>
              <w:rPr>
                <w:rFonts w:eastAsia="Calibri"/>
                <w:b/>
                <w:bCs/>
              </w:rPr>
              <w:t xml:space="preserve">data breaches </w:t>
            </w:r>
            <w:r>
              <w:rPr>
                <w:rFonts w:eastAsia="Calibri"/>
              </w:rPr>
              <w:t xml:space="preserve">and </w:t>
            </w:r>
            <w:r>
              <w:rPr>
                <w:rFonts w:eastAsia="Calibri"/>
                <w:b/>
                <w:bCs/>
              </w:rPr>
              <w:t>fraud</w:t>
            </w:r>
          </w:p>
          <w:p w14:paraId="2EA7E187" w14:textId="77777777" w:rsidR="001B5CE9" w:rsidRDefault="001B5CE9" w:rsidP="00F04C30">
            <w:pPr>
              <w:pStyle w:val="TableBullet"/>
              <w:rPr>
                <w:rFonts w:eastAsia="Calibri"/>
              </w:rPr>
            </w:pPr>
            <w:r>
              <w:rPr>
                <w:rFonts w:eastAsia="Calibri"/>
              </w:rPr>
              <w:t xml:space="preserve">Global entities have </w:t>
            </w:r>
            <w:r>
              <w:rPr>
                <w:rFonts w:eastAsia="Calibri"/>
                <w:b/>
                <w:bCs/>
              </w:rPr>
              <w:t xml:space="preserve">global risk management processes </w:t>
            </w:r>
            <w:r>
              <w:rPr>
                <w:rFonts w:eastAsia="Calibri"/>
              </w:rPr>
              <w:t xml:space="preserve">and store data offshore. </w:t>
            </w:r>
          </w:p>
          <w:p w14:paraId="7983B40F" w14:textId="77777777" w:rsidR="001B5CE9" w:rsidRDefault="001B5CE9" w:rsidP="00F04C30">
            <w:pPr>
              <w:pStyle w:val="TableBullet"/>
              <w:rPr>
                <w:rFonts w:eastAsia="Calibri"/>
              </w:rPr>
            </w:pPr>
            <w:r>
              <w:rPr>
                <w:rFonts w:eastAsia="Calibri"/>
              </w:rPr>
              <w:t>Common standards implemented: NIST and ISO27001.</w:t>
            </w:r>
          </w:p>
          <w:p w14:paraId="4C9F903F" w14:textId="77777777" w:rsidR="001B5CE9" w:rsidRDefault="001B5CE9" w:rsidP="00F04C30">
            <w:pPr>
              <w:pStyle w:val="TableBullet"/>
              <w:rPr>
                <w:rFonts w:eastAsia="Calibri"/>
              </w:rPr>
            </w:pPr>
            <w:r>
              <w:rPr>
                <w:rFonts w:eastAsia="Calibri"/>
              </w:rPr>
              <w:t xml:space="preserve">High reliance on telecoms and clearing banks. </w:t>
            </w:r>
          </w:p>
        </w:tc>
        <w:tc>
          <w:tcPr>
            <w:tcW w:w="2204" w:type="pct"/>
            <w:hideMark/>
          </w:tcPr>
          <w:p w14:paraId="206D90D6" w14:textId="77777777" w:rsidR="001B5CE9" w:rsidRDefault="001B5CE9" w:rsidP="00F04C30">
            <w:pPr>
              <w:pStyle w:val="TableBody"/>
            </w:pPr>
            <w:r>
              <w:t>In response to feedback received, the Department implemented:</w:t>
            </w:r>
          </w:p>
          <w:p w14:paraId="265A3451" w14:textId="77777777" w:rsidR="001B5CE9" w:rsidRDefault="001B5CE9" w:rsidP="00F04C30">
            <w:pPr>
              <w:pStyle w:val="TableBullet"/>
              <w:rPr>
                <w:rFonts w:eastAsia="Calibri"/>
              </w:rPr>
            </w:pPr>
            <w:r>
              <w:rPr>
                <w:rFonts w:eastAsia="Calibri"/>
              </w:rPr>
              <w:t>Cybersecurity standards rules that allow for compliance with ISO 2700</w:t>
            </w:r>
          </w:p>
          <w:p w14:paraId="6D95C158" w14:textId="77777777" w:rsidR="001B5CE9" w:rsidRDefault="001B5CE9" w:rsidP="00F04C30">
            <w:pPr>
              <w:pStyle w:val="TableBullet"/>
              <w:rPr>
                <w:rFonts w:eastAsia="Calibri"/>
              </w:rPr>
            </w:pPr>
            <w:r>
              <w:rPr>
                <w:rFonts w:eastAsia="Calibri"/>
              </w:rPr>
              <w:t>1 and/or the NIST Cybersecurity framework.</w:t>
            </w:r>
          </w:p>
          <w:p w14:paraId="25273678" w14:textId="77777777" w:rsidR="001B5CE9" w:rsidRDefault="001B5CE9" w:rsidP="00F04C30">
            <w:pPr>
              <w:pStyle w:val="TableBullet"/>
              <w:rPr>
                <w:rFonts w:eastAsia="Calibri"/>
              </w:rPr>
            </w:pPr>
            <w:r>
              <w:rPr>
                <w:rFonts w:eastAsia="Calibri"/>
              </w:rPr>
              <w:t>Predominantly principles-based rules, in recognition that entities have sophisticated and, in many instances, global risk management processes.</w:t>
            </w:r>
          </w:p>
          <w:p w14:paraId="6C6169D7" w14:textId="77777777" w:rsidR="001B5CE9" w:rsidRDefault="001B5CE9" w:rsidP="00F04C30">
            <w:pPr>
              <w:pStyle w:val="TableBullet"/>
              <w:rPr>
                <w:rFonts w:eastAsia="Calibri"/>
              </w:rPr>
            </w:pPr>
            <w:r>
              <w:rPr>
                <w:rFonts w:eastAsia="Calibri"/>
              </w:rPr>
              <w:t xml:space="preserve">Material risk rules that go towards ensuring the availability, reliability and integrity of critical infrastructure assets, in alignment with the priorities of industry. </w:t>
            </w:r>
          </w:p>
        </w:tc>
      </w:tr>
      <w:tr w:rsidR="001B5CE9" w14:paraId="04CAE871" w14:textId="77777777" w:rsidTr="00B65181">
        <w:trPr>
          <w:cantSplit/>
          <w:trHeight w:val="1990"/>
          <w:jc w:val="center"/>
        </w:trPr>
        <w:tc>
          <w:tcPr>
            <w:tcW w:w="578" w:type="pct"/>
            <w:shd w:val="clear" w:color="auto" w:fill="BBDAFD" w:themeFill="accent1" w:themeFillTint="33"/>
            <w:hideMark/>
          </w:tcPr>
          <w:p w14:paraId="082D302D" w14:textId="77777777" w:rsidR="001B5CE9" w:rsidRDefault="001B5CE9" w:rsidP="00F04C30">
            <w:pPr>
              <w:rPr>
                <w:rFonts w:ascii="Arial" w:eastAsia="Calibri" w:hAnsi="Arial" w:cs="Arial"/>
                <w:b/>
                <w:bCs/>
                <w:szCs w:val="20"/>
              </w:rPr>
            </w:pPr>
            <w:r>
              <w:rPr>
                <w:rFonts w:ascii="Arial" w:eastAsia="Calibri" w:hAnsi="Arial" w:cs="Arial"/>
                <w:b/>
                <w:bCs/>
                <w:szCs w:val="20"/>
              </w:rPr>
              <w:t xml:space="preserve">Sector-agnostic RMP rules </w:t>
            </w:r>
          </w:p>
        </w:tc>
        <w:tc>
          <w:tcPr>
            <w:tcW w:w="378" w:type="pct"/>
            <w:shd w:val="clear" w:color="auto" w:fill="EDEDED"/>
            <w:textDirection w:val="btLr"/>
            <w:hideMark/>
          </w:tcPr>
          <w:p w14:paraId="489DDAA1" w14:textId="77777777" w:rsidR="001B5CE9" w:rsidRDefault="001B5CE9" w:rsidP="00F04C30">
            <w:pPr>
              <w:ind w:left="113" w:right="113"/>
              <w:jc w:val="center"/>
              <w:rPr>
                <w:rFonts w:ascii="Arial" w:eastAsia="Calibri" w:hAnsi="Arial" w:cs="Arial"/>
                <w:b/>
                <w:bCs/>
                <w:szCs w:val="20"/>
              </w:rPr>
            </w:pPr>
            <w:r>
              <w:rPr>
                <w:rFonts w:ascii="Arial" w:eastAsia="Calibri" w:hAnsi="Arial" w:cs="Arial"/>
                <w:b/>
                <w:bCs/>
                <w:szCs w:val="20"/>
              </w:rPr>
              <w:t>Information Sessions</w:t>
            </w:r>
          </w:p>
        </w:tc>
        <w:tc>
          <w:tcPr>
            <w:tcW w:w="1840" w:type="pct"/>
          </w:tcPr>
          <w:p w14:paraId="6AD939BD" w14:textId="77777777" w:rsidR="001B5CE9" w:rsidRDefault="001B5CE9" w:rsidP="00F04C30">
            <w:pPr>
              <w:pStyle w:val="TableBullet"/>
              <w:rPr>
                <w:rFonts w:eastAsia="Calibri"/>
              </w:rPr>
            </w:pPr>
            <w:r>
              <w:rPr>
                <w:rFonts w:eastAsia="Calibri"/>
              </w:rPr>
              <w:t>Industry believes the RMP rules provide a baseline for sector resilience and security.</w:t>
            </w:r>
          </w:p>
          <w:p w14:paraId="2A88ED0A" w14:textId="77777777" w:rsidR="001B5CE9" w:rsidRDefault="001B5CE9" w:rsidP="00F04C30">
            <w:pPr>
              <w:pStyle w:val="TableBullet"/>
              <w:rPr>
                <w:rFonts w:eastAsia="Calibri"/>
              </w:rPr>
            </w:pPr>
            <w:r>
              <w:rPr>
                <w:rFonts w:eastAsia="Calibri"/>
              </w:rPr>
              <w:t xml:space="preserve">There is an appetite for guidance material to support sector-specific uplift in security and resilience.  </w:t>
            </w:r>
          </w:p>
          <w:p w14:paraId="5EA7AD68" w14:textId="0B996946" w:rsidR="001B5CE9" w:rsidRPr="00F04C30" w:rsidRDefault="001B5CE9" w:rsidP="00F04C30">
            <w:pPr>
              <w:pStyle w:val="TableBullet"/>
              <w:rPr>
                <w:rFonts w:eastAsia="Calibri"/>
              </w:rPr>
            </w:pPr>
            <w:r>
              <w:rPr>
                <w:rFonts w:eastAsia="Calibri"/>
              </w:rPr>
              <w:t xml:space="preserve">Industry was seeking clarity on the definition of critical employees and whether it pertained to individuals (including contractors and sub-contractors) or roles. </w:t>
            </w:r>
          </w:p>
        </w:tc>
        <w:tc>
          <w:tcPr>
            <w:tcW w:w="2204" w:type="pct"/>
            <w:hideMark/>
          </w:tcPr>
          <w:p w14:paraId="61B44C37" w14:textId="77777777" w:rsidR="001B5CE9" w:rsidRDefault="001B5CE9" w:rsidP="00F04C30">
            <w:pPr>
              <w:pStyle w:val="TableBody"/>
            </w:pPr>
            <w:r>
              <w:t xml:space="preserve">In response to feedback received during the information sessions, the Department committed to: </w:t>
            </w:r>
          </w:p>
          <w:p w14:paraId="5CDCC739" w14:textId="77777777" w:rsidR="001B5CE9" w:rsidRDefault="001B5CE9" w:rsidP="00F04C30">
            <w:pPr>
              <w:pStyle w:val="TableBullet"/>
              <w:rPr>
                <w:rFonts w:eastAsia="Calibri"/>
              </w:rPr>
            </w:pPr>
            <w:r>
              <w:rPr>
                <w:rFonts w:eastAsia="Calibri"/>
              </w:rPr>
              <w:t xml:space="preserve">The development of guidance materials, which would highlight aspects of risk management that should be prioritised by responsible entities and assist industry in interpreting and implementing the rules to achieve an uplift in security and resilience.  </w:t>
            </w:r>
          </w:p>
          <w:p w14:paraId="1CD3CF78" w14:textId="77777777" w:rsidR="001B5CE9" w:rsidRDefault="001B5CE9" w:rsidP="00F04C30">
            <w:pPr>
              <w:pStyle w:val="TableBullet"/>
              <w:rPr>
                <w:rFonts w:eastAsia="Calibri"/>
              </w:rPr>
            </w:pPr>
            <w:r>
              <w:rPr>
                <w:rFonts w:eastAsia="Calibri"/>
              </w:rPr>
              <w:t xml:space="preserve">Changing the personnel hazards rules to refer to ‘critical positions and/or critical personnel’ rather than critical employees. </w:t>
            </w:r>
          </w:p>
        </w:tc>
      </w:tr>
    </w:tbl>
    <w:p w14:paraId="04D67FB8" w14:textId="77777777" w:rsidR="00A706D7" w:rsidRDefault="00A706D7" w:rsidP="00B65181">
      <w:pPr>
        <w:pStyle w:val="BodyText"/>
        <w:spacing w:before="240" w:after="80"/>
      </w:pPr>
      <w:r>
        <w:t>During the second information session,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33EE5756" w14:textId="77777777" w:rsidR="00A706D7" w:rsidRDefault="00A706D7" w:rsidP="00B65181">
      <w:pPr>
        <w:numPr>
          <w:ilvl w:val="0"/>
          <w:numId w:val="53"/>
        </w:numPr>
        <w:spacing w:before="80" w:after="80" w:line="256" w:lineRule="auto"/>
        <w:contextualSpacing/>
        <w:rPr>
          <w:rFonts w:ascii="Arial" w:eastAsia="Calibri" w:hAnsi="Arial" w:cs="Arial"/>
          <w:sz w:val="22"/>
        </w:rPr>
      </w:pPr>
      <w:r>
        <w:rPr>
          <w:rFonts w:ascii="Arial" w:eastAsia="Calibri" w:hAnsi="Arial" w:cs="Arial"/>
          <w:sz w:val="22"/>
        </w:rPr>
        <w:t xml:space="preserve">Their demographic information; </w:t>
      </w:r>
    </w:p>
    <w:p w14:paraId="59995F7F" w14:textId="77777777" w:rsidR="00A706D7" w:rsidRPr="00B65181" w:rsidRDefault="00A706D7" w:rsidP="00B65181">
      <w:pPr>
        <w:pStyle w:val="Bullet1stlevel"/>
        <w:spacing w:before="80" w:after="80"/>
        <w:rPr>
          <w:spacing w:val="-2"/>
        </w:rPr>
      </w:pPr>
      <w:r w:rsidRPr="00B65181">
        <w:rPr>
          <w:spacing w:val="-2"/>
        </w:rPr>
        <w:t xml:space="preserve">Effort and cost estimates split by one-off and ongoing costs, staff effort, capital and other operating costs, and an estimated range between expected costs and highest possible costs; and </w:t>
      </w:r>
    </w:p>
    <w:p w14:paraId="6BF1827F" w14:textId="77777777" w:rsidR="00A706D7" w:rsidRDefault="00A706D7" w:rsidP="00B65181">
      <w:pPr>
        <w:pStyle w:val="Bullet1stlevel"/>
        <w:spacing w:before="80" w:after="80"/>
      </w:pPr>
      <w:r>
        <w:t xml:space="preserve">Any comments on key boundaries, assumptions and cost drivers attached to the costing estimates provided. </w:t>
      </w:r>
    </w:p>
    <w:p w14:paraId="2B28298A" w14:textId="77777777" w:rsidR="00A706D7" w:rsidRDefault="00A706D7" w:rsidP="00B65181">
      <w:pPr>
        <w:pStyle w:val="BodyText"/>
        <w:spacing w:before="80" w:after="80"/>
      </w:pPr>
      <w:r>
        <w:t xml:space="preserve">Industry was provided with the template on 16 November 2021, with submissions open for a period of </w:t>
      </w:r>
      <w:r>
        <w:rPr>
          <w:bCs/>
        </w:rPr>
        <w:t xml:space="preserve">four </w:t>
      </w:r>
      <w:r>
        <w:t xml:space="preserve">weeks and closing on </w:t>
      </w:r>
      <w:r>
        <w:rPr>
          <w:bCs/>
        </w:rPr>
        <w:t>14 December 2021</w:t>
      </w:r>
      <w:r>
        <w:t xml:space="preserve">. </w:t>
      </w:r>
    </w:p>
    <w:p w14:paraId="5C19C8E9" w14:textId="2514E8E6" w:rsidR="007D5F80" w:rsidRPr="0086587C" w:rsidRDefault="00A706D7" w:rsidP="0086587C">
      <w:pPr>
        <w:pStyle w:val="BodyText"/>
        <w:spacing w:before="80" w:after="80"/>
        <w:rPr>
          <w:rFonts w:asciiTheme="majorHAnsi" w:eastAsia="Times New Roman" w:hAnsiTheme="majorHAnsi" w:cs="Arial"/>
          <w:szCs w:val="40"/>
          <w:highlight w:val="yellow"/>
          <w:lang w:eastAsia="en-AU"/>
        </w:rPr>
      </w:pPr>
      <w:r>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Pr>
          <w:vertAlign w:val="superscript"/>
        </w:rPr>
        <w:footnoteReference w:id="191"/>
      </w:r>
      <w:r>
        <w:t xml:space="preserve"> </w:t>
      </w:r>
    </w:p>
    <w:p w14:paraId="643D6776" w14:textId="0F6B36C1" w:rsidR="000C3D44" w:rsidRDefault="000C3D44" w:rsidP="0062520F">
      <w:pPr>
        <w:pStyle w:val="AppendixH1"/>
      </w:pPr>
      <w:bookmarkStart w:id="603" w:name="_Toc121397419"/>
      <w:r w:rsidRPr="00C57B69">
        <w:lastRenderedPageBreak/>
        <w:t>Supplementary information for critical</w:t>
      </w:r>
      <w:r w:rsidRPr="006C22CD">
        <w:t xml:space="preserve"> </w:t>
      </w:r>
      <w:r w:rsidR="009225EE" w:rsidRPr="006C22CD">
        <w:t>domain name systems</w:t>
      </w:r>
      <w:r w:rsidRPr="006C22CD">
        <w:t xml:space="preserve"> assets</w:t>
      </w:r>
      <w:bookmarkEnd w:id="603"/>
    </w:p>
    <w:p w14:paraId="22B70B63" w14:textId="4B77003B" w:rsidR="000C3D44" w:rsidRDefault="000C3D44" w:rsidP="0062520F">
      <w:pPr>
        <w:pStyle w:val="AppendixH2"/>
      </w:pPr>
      <w:r>
        <w:t xml:space="preserve">Overview of the role of </w:t>
      </w:r>
      <w:r w:rsidR="009402B7">
        <w:t xml:space="preserve">domain name </w:t>
      </w:r>
      <w:r w:rsidR="00AE6606">
        <w:t>systems</w:t>
      </w:r>
      <w:r>
        <w:t xml:space="preserve"> in Australia</w:t>
      </w:r>
    </w:p>
    <w:p w14:paraId="633C8F8F" w14:textId="77777777" w:rsidR="00F75124" w:rsidRDefault="00F75124" w:rsidP="0062520F">
      <w:pPr>
        <w:pStyle w:val="BodyText"/>
      </w:pPr>
      <w:r>
        <w:t>As t</w:t>
      </w:r>
      <w:r w:rsidRPr="00B563A1">
        <w:t>he Draft Critical Infrastructure Asset Definition Rules paper explains</w:t>
      </w:r>
      <w:r>
        <w:t>,</w:t>
      </w:r>
      <w:r w:rsidRPr="00B563A1">
        <w:t xml:space="preserve"> the online environment is becoming increasingly intertwined with everyday life.</w:t>
      </w:r>
      <w:r>
        <w:rPr>
          <w:rStyle w:val="FootnoteReference"/>
          <w:rFonts w:ascii="Arial" w:eastAsia="Calibri" w:hAnsi="Arial" w:cs="Arial"/>
        </w:rPr>
        <w:footnoteReference w:id="192"/>
      </w:r>
      <w:r w:rsidRPr="00B563A1">
        <w:t xml:space="preserve"> </w:t>
      </w:r>
      <w:r>
        <w:t>Use of the online environment</w:t>
      </w:r>
      <w:r w:rsidRPr="00B563A1">
        <w:t xml:space="preserve"> </w:t>
      </w:r>
      <w:r>
        <w:t>is</w:t>
      </w:r>
      <w:r w:rsidRPr="00B563A1">
        <w:t xml:space="preserve"> varied</w:t>
      </w:r>
      <w:r>
        <w:t>,</w:t>
      </w:r>
      <w:r w:rsidRPr="00B563A1">
        <w:t xml:space="preserve"> </w:t>
      </w:r>
      <w:r>
        <w:t>from email communication, purchasing groceries and paying utility bills to facilitating significant business and financial transactions.</w:t>
      </w:r>
    </w:p>
    <w:p w14:paraId="255C3C70" w14:textId="77777777" w:rsidR="00F75124" w:rsidRDefault="00F75124" w:rsidP="0062520F">
      <w:pPr>
        <w:pStyle w:val="BodyText"/>
      </w:pPr>
      <w:r w:rsidRPr="00B563A1">
        <w:t xml:space="preserve">The </w:t>
      </w:r>
      <w:r>
        <w:t>Domain Name System is the internet’s system for mapping alphabetic names (web addresses like ‘cisc.gov.au’) to numeric Internet Protocol addresses. This allows web users to download their desired webpage or file.</w:t>
      </w:r>
      <w:r>
        <w:rPr>
          <w:rStyle w:val="FootnoteReference"/>
          <w:rFonts w:ascii="Arial" w:eastAsia="Calibri" w:hAnsi="Arial" w:cs="Arial"/>
        </w:rPr>
        <w:footnoteReference w:id="193"/>
      </w:r>
      <w:r>
        <w:t xml:space="preserve"> </w:t>
      </w:r>
    </w:p>
    <w:p w14:paraId="5E876635" w14:textId="77777777" w:rsidR="00F75124" w:rsidRPr="003F416F" w:rsidRDefault="00F75124" w:rsidP="0062520F">
      <w:pPr>
        <w:pStyle w:val="BodyText"/>
      </w:pPr>
      <w:r w:rsidRPr="00B563A1">
        <w:t xml:space="preserve">The </w:t>
      </w:r>
      <w:r>
        <w:t>Australian ‘</w:t>
      </w:r>
      <w:r w:rsidRPr="00B563A1">
        <w:t>.au</w:t>
      </w:r>
      <w:r>
        <w:t>’</w:t>
      </w:r>
      <w:r w:rsidRPr="00B563A1">
        <w:t xml:space="preserve"> namespace </w:t>
      </w:r>
      <w:r>
        <w:t xml:space="preserve">has </w:t>
      </w:r>
      <w:r w:rsidRPr="00B563A1">
        <w:t>over 3.2 million domain names registered as at August 2020</w:t>
      </w:r>
      <w:r>
        <w:t>.</w:t>
      </w:r>
      <w:r>
        <w:rPr>
          <w:rStyle w:val="FootnoteReference"/>
          <w:rFonts w:ascii="Arial" w:eastAsia="Calibri" w:hAnsi="Arial" w:cs="Arial"/>
        </w:rPr>
        <w:footnoteReference w:id="194"/>
      </w:r>
      <w:r>
        <w:t xml:space="preserve"> Oversight of </w:t>
      </w:r>
      <w:r>
        <w:rPr>
          <w:i/>
          <w:iCs/>
        </w:rPr>
        <w:t>.au</w:t>
      </w:r>
      <w:r>
        <w:t xml:space="preserve"> is provided by the .au Domain Administration (auDA), a not-for-profit organisation which operates under sponsorship from the Internet Corporation for Assigned Names and Numbers (ICANN) as well as endorsement from the Australian Government.</w:t>
      </w:r>
      <w:r>
        <w:rPr>
          <w:rStyle w:val="FootnoteReference"/>
          <w:rFonts w:ascii="Arial" w:eastAsia="Calibri" w:hAnsi="Arial" w:cs="Arial"/>
        </w:rPr>
        <w:footnoteReference w:id="195"/>
      </w:r>
      <w:r>
        <w:t xml:space="preserve"> The Australian Government endorses auDA to administer the Australia’s (</w:t>
      </w:r>
      <w:r w:rsidRPr="00CB1326">
        <w:rPr>
          <w:i/>
        </w:rPr>
        <w:t>.au</w:t>
      </w:r>
      <w:r>
        <w:t xml:space="preserve">) country code Top Level Domain (ccTLD) in accordance with the </w:t>
      </w:r>
      <w:r>
        <w:rPr>
          <w:i/>
          <w:iCs/>
        </w:rPr>
        <w:t xml:space="preserve">Terms of Endorsement for auDA </w:t>
      </w:r>
      <w:r>
        <w:t>(last updated in November 2021)</w:t>
      </w:r>
      <w:r>
        <w:rPr>
          <w:i/>
          <w:iCs/>
        </w:rPr>
        <w:t xml:space="preserve">, </w:t>
      </w:r>
      <w:r>
        <w:t>published by the Department of Infrastructure, Transport, Regional Development and Communications.</w:t>
      </w:r>
      <w:r>
        <w:rPr>
          <w:rStyle w:val="FootnoteReference"/>
          <w:rFonts w:ascii="Arial" w:eastAsia="Calibri" w:hAnsi="Arial" w:cs="Arial"/>
        </w:rPr>
        <w:footnoteReference w:id="196"/>
      </w:r>
      <w:r>
        <w:t xml:space="preserve"> </w:t>
      </w:r>
    </w:p>
    <w:p w14:paraId="0B68F113" w14:textId="77777777" w:rsidR="00F75124" w:rsidRPr="00B563A1" w:rsidRDefault="00F75124" w:rsidP="0062520F">
      <w:pPr>
        <w:pStyle w:val="BodyText"/>
      </w:pPr>
      <w:r w:rsidRPr="00B563A1">
        <w:t xml:space="preserve">A disruption to this critical domain name system could have significant implications for Australian businesses, </w:t>
      </w:r>
      <w:r>
        <w:t xml:space="preserve">the </w:t>
      </w:r>
      <w:r w:rsidRPr="00B563A1">
        <w:t xml:space="preserve">government and </w:t>
      </w:r>
      <w:r>
        <w:t xml:space="preserve">the </w:t>
      </w:r>
      <w:r w:rsidRPr="00B563A1">
        <w:t>community</w:t>
      </w:r>
      <w:r>
        <w:t xml:space="preserve">, compromising users’ ability to conduct business, navigate the internet, or access their data. </w:t>
      </w:r>
    </w:p>
    <w:p w14:paraId="53F51601" w14:textId="15A44F68" w:rsidR="008D2F3D" w:rsidRPr="008D2F3D" w:rsidRDefault="008D2F3D" w:rsidP="0062520F">
      <w:pPr>
        <w:pStyle w:val="BodyText"/>
      </w:pPr>
      <w:r w:rsidRPr="00374A1D">
        <w:t xml:space="preserve">The </w:t>
      </w:r>
      <w:r w:rsidR="00384419">
        <w:t>SOCI Act</w:t>
      </w:r>
      <w:r w:rsidRPr="00374A1D">
        <w:t xml:space="preserve"> refers to assets within a critical infrastructure sector as ‘critical infrastructure assets’. </w:t>
      </w:r>
      <w:r w:rsidR="009402B7">
        <w:t xml:space="preserve">Section </w:t>
      </w:r>
      <w:r w:rsidRPr="00374A1D">
        <w:t>1</w:t>
      </w:r>
      <w:r>
        <w:t>2K</w:t>
      </w:r>
      <w:r w:rsidR="007E432D">
        <w:t>A</w:t>
      </w:r>
      <w:r w:rsidRPr="00374A1D">
        <w:t xml:space="preserve"> </w:t>
      </w:r>
      <w:r w:rsidR="009402B7">
        <w:t>of</w:t>
      </w:r>
      <w:r w:rsidRPr="00374A1D">
        <w:t xml:space="preserve"> the </w:t>
      </w:r>
      <w:r w:rsidR="00384419">
        <w:t>SOCI Act</w:t>
      </w:r>
      <w:r>
        <w:t>,</w:t>
      </w:r>
      <w:r w:rsidRPr="00374A1D">
        <w:t xml:space="preserve"> </w:t>
      </w:r>
      <w:r w:rsidR="009402B7" w:rsidRPr="00374A1D">
        <w:t>provid</w:t>
      </w:r>
      <w:r w:rsidR="009402B7">
        <w:t>es</w:t>
      </w:r>
      <w:r w:rsidR="009402B7" w:rsidRPr="00374A1D">
        <w:t xml:space="preserve"> </w:t>
      </w:r>
      <w:r w:rsidRPr="00374A1D">
        <w:t>the following in relation to ‘</w:t>
      </w:r>
      <w:r>
        <w:t xml:space="preserve">critical </w:t>
      </w:r>
      <w:r w:rsidR="009402B7">
        <w:t xml:space="preserve">domain name </w:t>
      </w:r>
      <w:r>
        <w:t>system</w:t>
      </w:r>
      <w:r w:rsidRPr="00374A1D">
        <w:t>s’</w:t>
      </w:r>
      <w:r>
        <w:t>:</w:t>
      </w:r>
    </w:p>
    <w:p w14:paraId="7C5A15BA" w14:textId="77777777" w:rsidR="008D2F3D" w:rsidRPr="008D2F3D" w:rsidRDefault="005338E8" w:rsidP="008D2F3D">
      <w:pPr>
        <w:ind w:left="360" w:hanging="360"/>
        <w:rPr>
          <w:i/>
          <w:iCs/>
          <w:sz w:val="22"/>
          <w:szCs w:val="24"/>
        </w:rPr>
      </w:pPr>
      <w:r w:rsidRPr="008D2F3D">
        <w:rPr>
          <w:i/>
          <w:sz w:val="22"/>
          <w:szCs w:val="24"/>
        </w:rPr>
        <w:t xml:space="preserve">An asset is a critical domain name system if it: </w:t>
      </w:r>
    </w:p>
    <w:p w14:paraId="270079F5" w14:textId="29B84BBC" w:rsidR="008D2F3D" w:rsidRPr="008D2F3D" w:rsidRDefault="005338E8" w:rsidP="008D2F3D">
      <w:pPr>
        <w:ind w:left="360" w:hanging="360"/>
        <w:rPr>
          <w:i/>
          <w:iCs/>
          <w:sz w:val="22"/>
          <w:szCs w:val="24"/>
        </w:rPr>
      </w:pPr>
      <w:r w:rsidRPr="008D2F3D">
        <w:rPr>
          <w:i/>
          <w:sz w:val="22"/>
          <w:szCs w:val="24"/>
        </w:rPr>
        <w:t>(a) is managed by an entity that, in accordance with subsection (2), is critical to the administration of an Australian domain name system; and</w:t>
      </w:r>
    </w:p>
    <w:p w14:paraId="5853695E" w14:textId="53937C8B" w:rsidR="008D2F3D" w:rsidRDefault="005338E8" w:rsidP="007D5F80">
      <w:pPr>
        <w:ind w:left="360" w:hanging="360"/>
        <w:rPr>
          <w:i/>
          <w:sz w:val="22"/>
          <w:szCs w:val="24"/>
        </w:rPr>
      </w:pPr>
      <w:r w:rsidRPr="008D2F3D">
        <w:rPr>
          <w:i/>
          <w:sz w:val="22"/>
          <w:szCs w:val="24"/>
        </w:rPr>
        <w:t>(b) is used in connection with the administration of an Australian domain name system</w:t>
      </w:r>
      <w:r w:rsidR="007E432D">
        <w:rPr>
          <w:i/>
          <w:sz w:val="22"/>
          <w:szCs w:val="24"/>
        </w:rPr>
        <w:t>;</w:t>
      </w:r>
    </w:p>
    <w:p w14:paraId="0FA3F4B9" w14:textId="2DCAE2BA" w:rsidR="007E432D" w:rsidRPr="007D5F80" w:rsidRDefault="007E432D" w:rsidP="007D5F80">
      <w:pPr>
        <w:ind w:left="360" w:hanging="360"/>
        <w:rPr>
          <w:i/>
          <w:sz w:val="22"/>
          <w:szCs w:val="24"/>
        </w:rPr>
      </w:pPr>
      <w:r>
        <w:rPr>
          <w:i/>
          <w:sz w:val="22"/>
          <w:szCs w:val="24"/>
        </w:rPr>
        <w:t>(c) is an asset that, in accordance with subsection (3), is critical to the administration of an Australian domain name system.</w:t>
      </w:r>
    </w:p>
    <w:p w14:paraId="12FE324A" w14:textId="77777777" w:rsidR="000C3D44" w:rsidRDefault="000C3D44" w:rsidP="0062520F">
      <w:pPr>
        <w:pStyle w:val="AppendixH2"/>
      </w:pPr>
      <w:r>
        <w:t xml:space="preserve">Impacts of a disruption to </w:t>
      </w:r>
      <w:r w:rsidR="00D85179">
        <w:t xml:space="preserve">critical </w:t>
      </w:r>
      <w:r w:rsidR="007D5F80">
        <w:t>domain name systems</w:t>
      </w:r>
    </w:p>
    <w:p w14:paraId="3CDBED04" w14:textId="77777777" w:rsidR="001A529D" w:rsidRPr="00BE3763" w:rsidRDefault="00671A68" w:rsidP="00FF1641">
      <w:pPr>
        <w:pStyle w:val="Bullet1stlevel"/>
        <w:spacing w:before="80" w:after="80"/>
      </w:pPr>
      <w:r>
        <w:t>d</w:t>
      </w:r>
      <w:r w:rsidR="001A529D">
        <w:t>isruption to internet users’ ability to conduct business and transactions, causing reduced economic activity;</w:t>
      </w:r>
    </w:p>
    <w:p w14:paraId="5C208BC4" w14:textId="77777777" w:rsidR="001A529D" w:rsidRDefault="00671A68" w:rsidP="00FF1641">
      <w:pPr>
        <w:pStyle w:val="Bullet1stlevel"/>
        <w:spacing w:before="80" w:after="80"/>
      </w:pPr>
      <w:r>
        <w:t>c</w:t>
      </w:r>
      <w:r w:rsidR="001A529D">
        <w:t>ompromise of data security;</w:t>
      </w:r>
    </w:p>
    <w:p w14:paraId="679ECBD2" w14:textId="77777777" w:rsidR="001A529D" w:rsidRDefault="00671A68" w:rsidP="00FF1641">
      <w:pPr>
        <w:pStyle w:val="Bullet1stlevel"/>
        <w:spacing w:before="80" w:after="80"/>
      </w:pPr>
      <w:r>
        <w:t>i</w:t>
      </w:r>
      <w:r w:rsidR="001A529D">
        <w:t>nability of users to access their data; and</w:t>
      </w:r>
    </w:p>
    <w:p w14:paraId="51FE2D86" w14:textId="77777777" w:rsidR="00671A68" w:rsidRPr="00671A68" w:rsidRDefault="00671A68" w:rsidP="00FF1641">
      <w:pPr>
        <w:pStyle w:val="Bullet1stlevel"/>
        <w:spacing w:before="80" w:after="80"/>
      </w:pPr>
      <w:r>
        <w:t>i</w:t>
      </w:r>
      <w:r w:rsidR="001A529D">
        <w:t>nability of users to navigate to affected websites.</w:t>
      </w:r>
    </w:p>
    <w:p w14:paraId="77D32158" w14:textId="6D9E4295" w:rsidR="008C7D35" w:rsidRDefault="000C3D44" w:rsidP="00FF1641">
      <w:pPr>
        <w:pStyle w:val="AppendixH2"/>
      </w:pPr>
      <w:r>
        <w:lastRenderedPageBreak/>
        <w:t xml:space="preserve">Examples of disruptions to </w:t>
      </w:r>
      <w:r w:rsidR="00D85179">
        <w:t xml:space="preserve">critical </w:t>
      </w:r>
      <w:r w:rsidR="009402B7">
        <w:t xml:space="preserve">domain name </w:t>
      </w:r>
      <w:r w:rsidR="00D85179">
        <w:t>systems assets</w:t>
      </w:r>
      <w:r>
        <w:t xml:space="preserve"> – domestic and international</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527"/>
        <w:gridCol w:w="3111"/>
      </w:tblGrid>
      <w:tr w:rsidR="008C7D35" w:rsidRPr="00374A1D" w14:paraId="0EFBFA0C" w14:textId="77777777" w:rsidTr="00CE0281">
        <w:tc>
          <w:tcPr>
            <w:tcW w:w="3386" w:type="pct"/>
            <w:shd w:val="clear" w:color="auto" w:fill="034EA2" w:themeFill="accent1"/>
          </w:tcPr>
          <w:p w14:paraId="79B31617" w14:textId="77777777" w:rsidR="008C7D35" w:rsidRPr="00374A1D" w:rsidRDefault="008C7D35" w:rsidP="00CE0281">
            <w:pPr>
              <w:pStyle w:val="TableHeading"/>
              <w:rPr>
                <w:rFonts w:ascii="Calibri" w:eastAsia="Calibri" w:hAnsi="Calibri" w:cs="Times New Roman"/>
              </w:rPr>
            </w:pPr>
            <w:r w:rsidRPr="0091632E">
              <w:t>DNS Hijacking</w:t>
            </w:r>
            <w:r w:rsidRPr="0091632E">
              <w:rPr>
                <w:rStyle w:val="FootnoteReference"/>
                <w:rFonts w:ascii="Arial" w:eastAsia="Times New Roman" w:hAnsi="Arial" w:cs="Arial"/>
              </w:rPr>
              <w:footnoteReference w:id="197"/>
            </w:r>
          </w:p>
        </w:tc>
        <w:tc>
          <w:tcPr>
            <w:tcW w:w="1614" w:type="pct"/>
            <w:shd w:val="clear" w:color="auto" w:fill="007BC3" w:themeFill="accent2"/>
          </w:tcPr>
          <w:p w14:paraId="66636A90" w14:textId="77777777" w:rsidR="008C7D35" w:rsidRPr="00374A1D" w:rsidRDefault="008C7D35" w:rsidP="00CE0281">
            <w:pPr>
              <w:pStyle w:val="Tableriskcategory"/>
            </w:pPr>
            <w:r w:rsidRPr="0075074F">
              <w:t>Cyber</w:t>
            </w:r>
          </w:p>
        </w:tc>
      </w:tr>
      <w:tr w:rsidR="008C7D35" w:rsidRPr="00374A1D" w14:paraId="6658800F" w14:textId="77777777" w:rsidTr="00CE0281">
        <w:tc>
          <w:tcPr>
            <w:tcW w:w="5000" w:type="pct"/>
            <w:gridSpan w:val="2"/>
            <w:shd w:val="clear" w:color="auto" w:fill="auto"/>
          </w:tcPr>
          <w:p w14:paraId="73B448C4" w14:textId="77777777" w:rsidR="008C7D35" w:rsidRPr="00771A42" w:rsidRDefault="008C7D35" w:rsidP="00CE0281">
            <w:pPr>
              <w:pStyle w:val="TableBody"/>
              <w:rPr>
                <w:b/>
              </w:rPr>
            </w:pPr>
            <w:r w:rsidRPr="00CE0281">
              <w:rPr>
                <w:b/>
                <w:bCs/>
              </w:rPr>
              <w:t>Situation</w:t>
            </w:r>
            <w:r w:rsidRPr="00374A1D">
              <w:t xml:space="preserve">: </w:t>
            </w:r>
            <w:r w:rsidRPr="00A7374F">
              <w:t>in 2019,</w:t>
            </w:r>
            <w:r>
              <w:t xml:space="preserve"> a</w:t>
            </w:r>
            <w:r w:rsidRPr="007204DA">
              <w:t xml:space="preserve"> s</w:t>
            </w:r>
            <w:r>
              <w:t>ophisticated hacker group called ‘Sea Turtle’ engaged in DNS hijacking, compromising multiple country-code top-level domains, including Armenia’s .am top level domain.</w:t>
            </w:r>
          </w:p>
        </w:tc>
      </w:tr>
      <w:tr w:rsidR="008C7D35" w:rsidRPr="00374A1D" w14:paraId="64F4FC1D" w14:textId="77777777" w:rsidTr="00CE0281">
        <w:tc>
          <w:tcPr>
            <w:tcW w:w="5000" w:type="pct"/>
            <w:gridSpan w:val="2"/>
            <w:shd w:val="clear" w:color="auto" w:fill="F2F2F2" w:themeFill="background1" w:themeFillShade="F2"/>
          </w:tcPr>
          <w:p w14:paraId="6C35BF33" w14:textId="20227FBA" w:rsidR="008C7D35" w:rsidRPr="00374A1D" w:rsidRDefault="008C7D35" w:rsidP="00CE0281">
            <w:pPr>
              <w:pStyle w:val="TableBody"/>
              <w:rPr>
                <w:rFonts w:ascii="Calibri" w:eastAsia="Calibri" w:hAnsi="Calibri"/>
              </w:rPr>
            </w:pPr>
            <w:r w:rsidRPr="00CE0281">
              <w:rPr>
                <w:b/>
                <w:bCs/>
              </w:rPr>
              <w:t>Outcome</w:t>
            </w:r>
            <w:r w:rsidRPr="00374A1D">
              <w:t xml:space="preserve">: </w:t>
            </w:r>
            <w:r w:rsidRPr="00CC03AC">
              <w:t>Once the hackers gained full access to the domain registrar, they change</w:t>
            </w:r>
            <w:r>
              <w:t>d</w:t>
            </w:r>
            <w:r w:rsidRPr="00CC03AC">
              <w:t xml:space="preserve"> the target organisation</w:t>
            </w:r>
            <w:r>
              <w:t xml:space="preserve">s’ domain registration to point to their own DNS servers, instead of the targets’ legitimate servers. When users attempted to reach the targets’ network (through web, email </w:t>
            </w:r>
            <w:r w:rsidR="000D1D1E">
              <w:t>etc.</w:t>
            </w:r>
            <w:r>
              <w:t>), the malicious DNS servers redirected the traffic to different ‘man-in-the-middle’ servers that intercepted and spied on all the communications before passing them on to their intended destination. Through this technique, the hackers harvested usernames and passwords from the intercepted traffic. It is believed that the hackers targeted governmental organisations, including intelligence agencies, ministries of foreign affairs, and energy related groups.</w:t>
            </w:r>
          </w:p>
        </w:tc>
      </w:tr>
      <w:tr w:rsidR="008C7D35" w:rsidRPr="00374A1D" w14:paraId="27CF90A6" w14:textId="77777777" w:rsidTr="00CE0281">
        <w:tc>
          <w:tcPr>
            <w:tcW w:w="5000" w:type="pct"/>
            <w:gridSpan w:val="2"/>
            <w:shd w:val="clear" w:color="auto" w:fill="auto"/>
          </w:tcPr>
          <w:p w14:paraId="2578D6A7" w14:textId="107964CB" w:rsidR="008C7D35" w:rsidRPr="00761500" w:rsidRDefault="008C7D35" w:rsidP="00CE0281">
            <w:pPr>
              <w:pStyle w:val="TableBody"/>
              <w:rPr>
                <w:b/>
              </w:rPr>
            </w:pPr>
            <w:r w:rsidRPr="00CE0281">
              <w:rPr>
                <w:b/>
                <w:bCs/>
              </w:rPr>
              <w:t>Identified Gap:</w:t>
            </w:r>
            <w:r w:rsidRPr="00374A1D">
              <w:t xml:space="preserve"> </w:t>
            </w:r>
            <w:r>
              <w:t xml:space="preserve">This type of attack could have been prevented by use of SSL </w:t>
            </w:r>
            <w:r w:rsidR="00C058B3">
              <w:t>certificates, that</w:t>
            </w:r>
            <w:r>
              <w:t xml:space="preserve"> assure that the recipient of encrypted internet traffic is who it claims to be.</w:t>
            </w:r>
          </w:p>
        </w:tc>
      </w:tr>
    </w:tbl>
    <w:p w14:paraId="60ECEAD2" w14:textId="77777777" w:rsidR="00F75124" w:rsidRPr="00CE0281" w:rsidRDefault="00F75124" w:rsidP="00CE0281">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527"/>
        <w:gridCol w:w="3111"/>
      </w:tblGrid>
      <w:tr w:rsidR="003878F4" w:rsidRPr="00374A1D" w14:paraId="209F61A5" w14:textId="77777777" w:rsidTr="00CE0281">
        <w:tc>
          <w:tcPr>
            <w:tcW w:w="3386" w:type="pct"/>
            <w:shd w:val="clear" w:color="auto" w:fill="034EA2" w:themeFill="accent1"/>
          </w:tcPr>
          <w:p w14:paraId="7BF9752B" w14:textId="77777777" w:rsidR="003878F4" w:rsidRPr="00374A1D" w:rsidRDefault="003878F4" w:rsidP="00CE0281">
            <w:pPr>
              <w:pStyle w:val="TableHeading"/>
              <w:rPr>
                <w:rFonts w:ascii="Calibri" w:eastAsia="Calibri" w:hAnsi="Calibri" w:cs="Times New Roman"/>
              </w:rPr>
            </w:pPr>
            <w:r w:rsidRPr="0091632E">
              <w:t>DNS Outage brings down many popular websites</w:t>
            </w:r>
            <w:r w:rsidRPr="0091632E">
              <w:rPr>
                <w:rStyle w:val="FootnoteReference"/>
                <w:rFonts w:ascii="Arial" w:eastAsia="Times New Roman" w:hAnsi="Arial" w:cs="Arial"/>
              </w:rPr>
              <w:footnoteReference w:id="198"/>
            </w:r>
          </w:p>
        </w:tc>
        <w:tc>
          <w:tcPr>
            <w:tcW w:w="1614" w:type="pct"/>
            <w:shd w:val="clear" w:color="auto" w:fill="007BC3" w:themeFill="accent2"/>
          </w:tcPr>
          <w:p w14:paraId="2C10EEA1" w14:textId="77777777" w:rsidR="003878F4" w:rsidRPr="00374A1D" w:rsidRDefault="003878F4" w:rsidP="00CE0281">
            <w:pPr>
              <w:pStyle w:val="Tableriskcategory"/>
            </w:pPr>
            <w:r w:rsidRPr="0075074F">
              <w:t>Supply Chain</w:t>
            </w:r>
          </w:p>
        </w:tc>
      </w:tr>
      <w:tr w:rsidR="003878F4" w:rsidRPr="00374A1D" w14:paraId="2DB4B042" w14:textId="77777777" w:rsidTr="00CE0281">
        <w:tc>
          <w:tcPr>
            <w:tcW w:w="5000" w:type="pct"/>
            <w:gridSpan w:val="2"/>
            <w:shd w:val="clear" w:color="auto" w:fill="auto"/>
          </w:tcPr>
          <w:p w14:paraId="1D71B18A" w14:textId="77777777" w:rsidR="003878F4" w:rsidRPr="002171BA" w:rsidRDefault="003878F4" w:rsidP="00CE0281">
            <w:pPr>
              <w:pStyle w:val="TableBody"/>
            </w:pPr>
            <w:r w:rsidRPr="00CE0281">
              <w:rPr>
                <w:b/>
                <w:bCs/>
              </w:rPr>
              <w:t>Situation</w:t>
            </w:r>
            <w:r w:rsidRPr="00374A1D">
              <w:t xml:space="preserve">: </w:t>
            </w:r>
            <w:r w:rsidRPr="00A835C9">
              <w:t>Multiple popular websites became temporarily unavailable in July 2021, following a DNS outage at Akamai, an internet services company which provides networking and content delivery services to many companies. The affected websites included those of HSBC, Barclays, British Airways, Morgan Stanley, Airbnb, UPS and FedEx, causing significant disruption to commercial activity</w:t>
            </w:r>
            <w:r w:rsidRPr="00A835C9" w:rsidDel="000D3771">
              <w:t>.</w:t>
            </w:r>
          </w:p>
        </w:tc>
      </w:tr>
      <w:tr w:rsidR="003878F4" w:rsidRPr="00374A1D" w14:paraId="6A0BEAF3" w14:textId="77777777" w:rsidTr="00CE0281">
        <w:tc>
          <w:tcPr>
            <w:tcW w:w="5000" w:type="pct"/>
            <w:gridSpan w:val="2"/>
            <w:shd w:val="clear" w:color="auto" w:fill="F2F2F2" w:themeFill="background1" w:themeFillShade="F2"/>
          </w:tcPr>
          <w:p w14:paraId="07DAA581" w14:textId="77777777" w:rsidR="003878F4" w:rsidRPr="00C322EF" w:rsidRDefault="003878F4" w:rsidP="00CE0281">
            <w:pPr>
              <w:pStyle w:val="TableBody"/>
            </w:pPr>
            <w:r w:rsidRPr="00CE0281">
              <w:rPr>
                <w:b/>
                <w:bCs/>
              </w:rPr>
              <w:t>Outcome</w:t>
            </w:r>
            <w:r w:rsidRPr="16E92A37">
              <w:t xml:space="preserve">: </w:t>
            </w:r>
            <w:r w:rsidRPr="00A835C9">
              <w:t>The outage was triggered by a bug in the DNS system caused by a system update. Upon rolling back the software update, the bug was resolved, and the affected websites resumed normal operations. The outage lasted approximately an hour.</w:t>
            </w:r>
            <w:r w:rsidR="00A835C9" w:rsidRPr="00A835C9">
              <w:rPr>
                <w:bCs/>
              </w:rPr>
              <w:t xml:space="preserve"> </w:t>
            </w:r>
            <w:r w:rsidRPr="00A835C9">
              <w:t>Through this case study, we can see how DNS outages can have a cascading effect on other critical infrastructure assets. Here, the DNS outage affected the availability of online banking (several large Australian banks will be named critical banking assets), and critical freight services.</w:t>
            </w:r>
            <w:r w:rsidR="00C322EF" w:rsidRPr="00A835C9">
              <w:t xml:space="preserve"> </w:t>
            </w:r>
            <w:r w:rsidRPr="00A835C9">
              <w:t>It is easy to picture a scenario where DNS outages could cause disruption to other critical infrastructure assets. For example, DNS outages could affect the availability of online financial services, and online grocery shopping which are particularly important in situations such as COVID-19 lockdowns.</w:t>
            </w:r>
            <w:r w:rsidRPr="16E92A37">
              <w:t xml:space="preserve"> </w:t>
            </w:r>
          </w:p>
        </w:tc>
      </w:tr>
      <w:tr w:rsidR="003878F4" w:rsidRPr="00374A1D" w14:paraId="766A222C" w14:textId="77777777" w:rsidTr="00CE0281">
        <w:tc>
          <w:tcPr>
            <w:tcW w:w="5000" w:type="pct"/>
            <w:gridSpan w:val="2"/>
            <w:shd w:val="clear" w:color="auto" w:fill="auto"/>
          </w:tcPr>
          <w:p w14:paraId="6641691B" w14:textId="77777777" w:rsidR="003878F4" w:rsidRPr="000A140F" w:rsidRDefault="003878F4" w:rsidP="00CE0281">
            <w:pPr>
              <w:pStyle w:val="TableBody"/>
            </w:pPr>
            <w:r w:rsidRPr="00CE0281">
              <w:rPr>
                <w:b/>
                <w:bCs/>
              </w:rPr>
              <w:t>Identified Gap:</w:t>
            </w:r>
            <w:r w:rsidRPr="00374A1D">
              <w:t xml:space="preserve"> </w:t>
            </w:r>
            <w:r w:rsidRPr="00A835C9">
              <w:t>This case study demonstrates the importance of ensuring the reliability of service providers such as Akamai, whose outages may have significant on effects.</w:t>
            </w:r>
          </w:p>
        </w:tc>
      </w:tr>
    </w:tbl>
    <w:p w14:paraId="7E930446" w14:textId="6FEE77D4" w:rsidR="00CE0281" w:rsidRDefault="00CE0281" w:rsidP="00CE0281">
      <w:pPr>
        <w:pStyle w:val="BodyText"/>
      </w:pPr>
    </w:p>
    <w:p w14:paraId="2A77F787" w14:textId="77777777" w:rsidR="00E547E1" w:rsidRDefault="00E547E1" w:rsidP="00CE0281">
      <w:pPr>
        <w:pStyle w:val="BodyText"/>
      </w:pPr>
    </w:p>
    <w:p w14:paraId="60ADEB5E" w14:textId="2CEF977B" w:rsidR="000C3D44" w:rsidRDefault="000C3D44" w:rsidP="00FF1641">
      <w:pPr>
        <w:pStyle w:val="AppendixH2"/>
      </w:pPr>
      <w:r>
        <w:t xml:space="preserve">Key risks to </w:t>
      </w:r>
      <w:r w:rsidR="00D85179">
        <w:t xml:space="preserve">critical </w:t>
      </w:r>
      <w:r w:rsidR="009402B7">
        <w:t xml:space="preserve">domain name </w:t>
      </w:r>
      <w:r w:rsidR="00D85179">
        <w:t>systems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179"/>
        <w:gridCol w:w="4665"/>
        <w:gridCol w:w="3794"/>
      </w:tblGrid>
      <w:tr w:rsidR="00006D39" w:rsidRPr="00374A1D" w14:paraId="0D9BC94F" w14:textId="77777777" w:rsidTr="00E547E1">
        <w:tc>
          <w:tcPr>
            <w:tcW w:w="612" w:type="pct"/>
            <w:shd w:val="clear" w:color="auto" w:fill="034EA2" w:themeFill="accent1"/>
          </w:tcPr>
          <w:p w14:paraId="0B2B58E2" w14:textId="4EF40E05" w:rsidR="00006D39" w:rsidRPr="00CB1326" w:rsidRDefault="006B3927" w:rsidP="00CE0281">
            <w:pPr>
              <w:pStyle w:val="TableHeading"/>
            </w:pPr>
            <w:r>
              <w:t>Hazard domain</w:t>
            </w:r>
          </w:p>
        </w:tc>
        <w:tc>
          <w:tcPr>
            <w:tcW w:w="2420" w:type="pct"/>
            <w:shd w:val="clear" w:color="auto" w:fill="034EA2" w:themeFill="accent1"/>
          </w:tcPr>
          <w:p w14:paraId="18FD8084" w14:textId="77777777" w:rsidR="00006D39" w:rsidRPr="00CB1326" w:rsidRDefault="00006D39" w:rsidP="00CE0281">
            <w:pPr>
              <w:pStyle w:val="TableHeading"/>
            </w:pPr>
            <w:r w:rsidRPr="00CB1326">
              <w:t>Identified risk</w:t>
            </w:r>
          </w:p>
        </w:tc>
        <w:tc>
          <w:tcPr>
            <w:tcW w:w="1968" w:type="pct"/>
            <w:shd w:val="clear" w:color="auto" w:fill="034EA2" w:themeFill="accent1"/>
          </w:tcPr>
          <w:p w14:paraId="5037F416" w14:textId="77777777" w:rsidR="00006D39" w:rsidRPr="00CB1326" w:rsidRDefault="00006D39" w:rsidP="00CE0281">
            <w:pPr>
              <w:pStyle w:val="TableHeading"/>
            </w:pPr>
            <w:r w:rsidRPr="00CB1326">
              <w:t>Example</w:t>
            </w:r>
          </w:p>
        </w:tc>
      </w:tr>
      <w:tr w:rsidR="00006D39" w:rsidRPr="00374A1D" w14:paraId="27C866DA" w14:textId="77777777" w:rsidTr="00E547E1">
        <w:tc>
          <w:tcPr>
            <w:tcW w:w="612" w:type="pct"/>
            <w:shd w:val="clear" w:color="auto" w:fill="F2F2F2" w:themeFill="background1" w:themeFillShade="F2"/>
          </w:tcPr>
          <w:p w14:paraId="2C86A2F5" w14:textId="77777777" w:rsidR="00006D39" w:rsidRPr="00374A1D" w:rsidRDefault="00006D39" w:rsidP="00E547E1">
            <w:pPr>
              <w:pStyle w:val="TableBody"/>
              <w:rPr>
                <w:rFonts w:ascii="Calibri" w:hAnsi="Calibri"/>
              </w:rPr>
            </w:pPr>
            <w:r w:rsidRPr="00374A1D">
              <w:t>Cyber</w:t>
            </w:r>
          </w:p>
        </w:tc>
        <w:tc>
          <w:tcPr>
            <w:tcW w:w="2420" w:type="pct"/>
            <w:shd w:val="clear" w:color="auto" w:fill="auto"/>
          </w:tcPr>
          <w:p w14:paraId="442660E1" w14:textId="77777777" w:rsidR="00006D39" w:rsidRPr="0075074F" w:rsidRDefault="00006D39" w:rsidP="00E547E1">
            <w:pPr>
              <w:pStyle w:val="TableBody"/>
            </w:pPr>
            <w:r w:rsidRPr="0075074F">
              <w:t>Domain name systems operate in the digital world, so cyber threats are particularly important to manage.</w:t>
            </w:r>
          </w:p>
          <w:p w14:paraId="0F5F6358" w14:textId="77777777" w:rsidR="00006D39" w:rsidRPr="004C77EC" w:rsidRDefault="00006D39" w:rsidP="00E547E1">
            <w:pPr>
              <w:pStyle w:val="TableBody"/>
              <w:rPr>
                <w:color w:val="FF9933"/>
              </w:rPr>
            </w:pPr>
            <w:r w:rsidRPr="0075074F">
              <w:lastRenderedPageBreak/>
              <w:t>Cyber threats may cause significant disruption to DNS systems, causing downtime for websites, and compromising data security.</w:t>
            </w:r>
          </w:p>
        </w:tc>
        <w:tc>
          <w:tcPr>
            <w:tcW w:w="1968" w:type="pct"/>
            <w:shd w:val="clear" w:color="auto" w:fill="auto"/>
          </w:tcPr>
          <w:p w14:paraId="5972E502" w14:textId="77777777" w:rsidR="00006D39" w:rsidRPr="0075074F" w:rsidRDefault="00006D39" w:rsidP="00E547E1">
            <w:pPr>
              <w:pStyle w:val="TableBody"/>
            </w:pPr>
            <w:r w:rsidRPr="0075074F">
              <w:lastRenderedPageBreak/>
              <w:t xml:space="preserve">As referenced above, in 2019 a sophisticated group of hackers called Sea Turtle engaged in DNS hijacking, compromising multiple cc TLDs. The </w:t>
            </w:r>
            <w:r w:rsidRPr="0075074F">
              <w:lastRenderedPageBreak/>
              <w:t>hackers were able to harvest usernames and passwords, including that of users from government agencies.</w:t>
            </w:r>
            <w:r w:rsidRPr="0075074F">
              <w:rPr>
                <w:rStyle w:val="FootnoteReference"/>
                <w:rFonts w:ascii="Arial" w:eastAsia="Times New Roman" w:hAnsi="Arial" w:cs="Arial"/>
              </w:rPr>
              <w:t xml:space="preserve"> </w:t>
            </w:r>
            <w:r w:rsidRPr="0075074F">
              <w:rPr>
                <w:rStyle w:val="FootnoteReference"/>
                <w:rFonts w:ascii="Arial" w:eastAsia="Times New Roman" w:hAnsi="Arial" w:cs="Arial"/>
              </w:rPr>
              <w:footnoteReference w:id="199"/>
            </w:r>
          </w:p>
        </w:tc>
      </w:tr>
      <w:tr w:rsidR="00006D39" w:rsidRPr="00374A1D" w14:paraId="50EAC25A" w14:textId="77777777" w:rsidTr="00E547E1">
        <w:trPr>
          <w:trHeight w:val="522"/>
        </w:trPr>
        <w:tc>
          <w:tcPr>
            <w:tcW w:w="612" w:type="pct"/>
            <w:shd w:val="clear" w:color="auto" w:fill="F2F2F2" w:themeFill="background1" w:themeFillShade="F2"/>
          </w:tcPr>
          <w:p w14:paraId="4E1E8CF7" w14:textId="77777777" w:rsidR="00006D39" w:rsidRPr="00374A1D" w:rsidRDefault="00006D39" w:rsidP="00E547E1">
            <w:pPr>
              <w:pStyle w:val="TableBody"/>
              <w:rPr>
                <w:rFonts w:ascii="Calibri" w:hAnsi="Calibri"/>
              </w:rPr>
            </w:pPr>
            <w:r w:rsidRPr="00374A1D">
              <w:lastRenderedPageBreak/>
              <w:t>Supply Chain</w:t>
            </w:r>
          </w:p>
        </w:tc>
        <w:tc>
          <w:tcPr>
            <w:tcW w:w="2420" w:type="pct"/>
            <w:shd w:val="clear" w:color="auto" w:fill="auto"/>
          </w:tcPr>
          <w:p w14:paraId="0512BC6C" w14:textId="77777777" w:rsidR="00006D39" w:rsidRPr="004C77EC" w:rsidRDefault="00006D39" w:rsidP="00E547E1">
            <w:pPr>
              <w:pStyle w:val="TableBody"/>
              <w:rPr>
                <w:color w:val="FF9933"/>
              </w:rPr>
            </w:pPr>
            <w:r w:rsidRPr="0075074F">
              <w:t>The communications sector relies on international cooperation and other services to function for services such as internet access. While the stability of this sectors’ suppliers may be relevant due ongoing services, many of the other critical functions that support Australians are not significantly threatened by this vector.</w:t>
            </w:r>
          </w:p>
        </w:tc>
        <w:tc>
          <w:tcPr>
            <w:tcW w:w="1968" w:type="pct"/>
            <w:shd w:val="clear" w:color="auto" w:fill="auto"/>
          </w:tcPr>
          <w:p w14:paraId="3AD322CC" w14:textId="77777777" w:rsidR="00006D39" w:rsidRPr="0075074F" w:rsidRDefault="00006D39" w:rsidP="00E547E1">
            <w:pPr>
              <w:pStyle w:val="TableBody"/>
            </w:pPr>
            <w:r w:rsidRPr="0075074F">
              <w:t>As referenced above, In July 2021, multiple popular websites became temporarily unavailable due to a DNS outage at an internet services company. This example reinforces the need to ensure the reliability of service providers within the supply chain.</w:t>
            </w:r>
            <w:r w:rsidRPr="0075074F">
              <w:rPr>
                <w:rStyle w:val="FootnoteReference"/>
                <w:rFonts w:ascii="Arial" w:eastAsia="Times New Roman" w:hAnsi="Arial" w:cs="Arial"/>
              </w:rPr>
              <w:t xml:space="preserve"> </w:t>
            </w:r>
            <w:r w:rsidRPr="0075074F">
              <w:rPr>
                <w:rStyle w:val="FootnoteReference"/>
                <w:rFonts w:ascii="Arial" w:eastAsia="Times New Roman" w:hAnsi="Arial" w:cs="Arial"/>
              </w:rPr>
              <w:footnoteReference w:id="200"/>
            </w:r>
          </w:p>
        </w:tc>
      </w:tr>
      <w:tr w:rsidR="00006D39" w:rsidRPr="00374A1D" w14:paraId="5B111F76" w14:textId="77777777" w:rsidTr="00E547E1">
        <w:tc>
          <w:tcPr>
            <w:tcW w:w="612" w:type="pct"/>
            <w:shd w:val="clear" w:color="auto" w:fill="F2F2F2" w:themeFill="background1" w:themeFillShade="F2"/>
          </w:tcPr>
          <w:p w14:paraId="592ED328" w14:textId="77777777" w:rsidR="00006D39" w:rsidRPr="00374A1D" w:rsidRDefault="00006D39" w:rsidP="00E547E1">
            <w:pPr>
              <w:pStyle w:val="TableBody"/>
              <w:rPr>
                <w:rFonts w:ascii="Calibri" w:hAnsi="Calibri"/>
              </w:rPr>
            </w:pPr>
            <w:r w:rsidRPr="00374A1D">
              <w:t>Personnel</w:t>
            </w:r>
          </w:p>
        </w:tc>
        <w:tc>
          <w:tcPr>
            <w:tcW w:w="2420" w:type="pct"/>
            <w:shd w:val="clear" w:color="auto" w:fill="auto"/>
          </w:tcPr>
          <w:p w14:paraId="746784E9" w14:textId="77777777" w:rsidR="00006D39" w:rsidRPr="0075074F" w:rsidRDefault="00006D39" w:rsidP="00E547E1">
            <w:pPr>
              <w:pStyle w:val="TableBody"/>
            </w:pPr>
            <w:r w:rsidRPr="0075074F">
              <w:t>The ongoing availability of DNS services may be dependent on the availability of critical personnel. Where these personnel are not available, critical DNS operations may be severely delayed or halted.</w:t>
            </w:r>
          </w:p>
          <w:p w14:paraId="4262E79D" w14:textId="77777777" w:rsidR="00006D39" w:rsidRPr="004C77EC" w:rsidRDefault="00006D39" w:rsidP="00E547E1">
            <w:pPr>
              <w:pStyle w:val="TableBody"/>
              <w:rPr>
                <w:color w:val="FF9933"/>
              </w:rPr>
            </w:pPr>
            <w:r w:rsidRPr="0075074F">
              <w:t xml:space="preserve">Additionally, personnel with access to systems, data or premises may pose insider threat risks, including infrastructure sabotage, and misuse of sensitive data. </w:t>
            </w:r>
          </w:p>
        </w:tc>
        <w:tc>
          <w:tcPr>
            <w:tcW w:w="1968" w:type="pct"/>
            <w:shd w:val="clear" w:color="auto" w:fill="auto"/>
          </w:tcPr>
          <w:p w14:paraId="675C4D5F" w14:textId="77777777" w:rsidR="00006D39" w:rsidRPr="0075074F" w:rsidRDefault="00006D39" w:rsidP="00E547E1">
            <w:pPr>
              <w:pStyle w:val="TableBody"/>
            </w:pPr>
            <w:r w:rsidRPr="0075074F">
              <w:t>While there are no specific examples of malicious insiders in organisations operating domain name systems, examples can be found in related industries. For example, Verizon’s 2019 Insider Threat Report identified that 57% of database breaches involved insider threats</w:t>
            </w:r>
            <w:r>
              <w:t>.</w:t>
            </w:r>
            <w:r>
              <w:rPr>
                <w:rStyle w:val="FootnoteReference"/>
                <w:rFonts w:ascii="Arial" w:hAnsi="Arial"/>
              </w:rPr>
              <w:footnoteReference w:id="201"/>
            </w:r>
          </w:p>
        </w:tc>
      </w:tr>
      <w:tr w:rsidR="00006D39" w:rsidRPr="00374A1D" w14:paraId="4A7B7436" w14:textId="77777777" w:rsidTr="00E547E1">
        <w:tc>
          <w:tcPr>
            <w:tcW w:w="612" w:type="pct"/>
            <w:shd w:val="clear" w:color="auto" w:fill="F2F2F2" w:themeFill="background1" w:themeFillShade="F2"/>
          </w:tcPr>
          <w:p w14:paraId="3AF0C590" w14:textId="77777777" w:rsidR="00006D39" w:rsidRPr="00374A1D" w:rsidRDefault="00006D39" w:rsidP="00E547E1">
            <w:pPr>
              <w:pStyle w:val="TableBody"/>
            </w:pPr>
            <w:r>
              <w:t xml:space="preserve">Physical and Natural </w:t>
            </w:r>
          </w:p>
        </w:tc>
        <w:tc>
          <w:tcPr>
            <w:tcW w:w="2420" w:type="pct"/>
            <w:shd w:val="clear" w:color="auto" w:fill="auto"/>
          </w:tcPr>
          <w:p w14:paraId="41D7FB08" w14:textId="77777777" w:rsidR="00006D39" w:rsidRPr="0075074F" w:rsidRDefault="00006D39" w:rsidP="00E547E1">
            <w:pPr>
              <w:pStyle w:val="TableBody"/>
            </w:pPr>
            <w:r w:rsidRPr="0075074F">
              <w:t>DNS services are highly reliant on the communications network, including telecommunications infrastructure such as fibre optic cables and satellite dishes. It is also highly reliant on energy.</w:t>
            </w:r>
          </w:p>
          <w:p w14:paraId="15C633F5" w14:textId="77777777" w:rsidR="00006D39" w:rsidRPr="004C77EC" w:rsidRDefault="00006D39" w:rsidP="00E547E1">
            <w:pPr>
              <w:pStyle w:val="TableBody"/>
              <w:rPr>
                <w:color w:val="FF9933"/>
              </w:rPr>
            </w:pPr>
            <w:r w:rsidRPr="0075074F">
              <w:t>As a result, physical and natural risks to this infrastructure (e.g. natural disasters, terrorist attacks) pose a threat to the ongoing availability of critical domain name system services.</w:t>
            </w:r>
          </w:p>
        </w:tc>
        <w:tc>
          <w:tcPr>
            <w:tcW w:w="1968" w:type="pct"/>
            <w:shd w:val="clear" w:color="auto" w:fill="auto"/>
          </w:tcPr>
          <w:p w14:paraId="6FC3ED81" w14:textId="77777777" w:rsidR="00006D39" w:rsidRPr="0075074F" w:rsidRDefault="00006D39" w:rsidP="00E547E1">
            <w:pPr>
              <w:pStyle w:val="TableBody"/>
            </w:pPr>
            <w:r w:rsidRPr="0075074F">
              <w:t>In 2011, an underwater cable that links south-east Asia to Europe was cut, causing internet interruptions to the Middle East and South Asia.</w:t>
            </w:r>
            <w:r w:rsidRPr="0075074F">
              <w:rPr>
                <w:rStyle w:val="FootnoteReference"/>
                <w:rFonts w:ascii="Arial" w:eastAsia="Calibri" w:hAnsi="Arial" w:cs="Arial"/>
              </w:rPr>
              <w:footnoteReference w:id="202"/>
            </w:r>
          </w:p>
        </w:tc>
      </w:tr>
    </w:tbl>
    <w:p w14:paraId="7D260950" w14:textId="77777777" w:rsidR="000C3D44" w:rsidRDefault="000C3D44" w:rsidP="00FF1641">
      <w:pPr>
        <w:pStyle w:val="BodyText"/>
      </w:pPr>
    </w:p>
    <w:p w14:paraId="37405021" w14:textId="03CAB0EF" w:rsidR="000C3D44" w:rsidRDefault="000C3D44" w:rsidP="00FF1641">
      <w:pPr>
        <w:pStyle w:val="AppendixH2"/>
      </w:pPr>
      <w:r w:rsidRPr="000F6098">
        <w:t xml:space="preserve">Existing legislation related to </w:t>
      </w:r>
      <w:r w:rsidR="00D85179">
        <w:t xml:space="preserve">critical </w:t>
      </w:r>
      <w:r w:rsidR="009402B7">
        <w:t xml:space="preserve">domain name </w:t>
      </w:r>
      <w:r w:rsidR="00D85179">
        <w:t>systems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126"/>
        <w:gridCol w:w="4678"/>
        <w:gridCol w:w="2834"/>
      </w:tblGrid>
      <w:tr w:rsidR="00263F4F" w:rsidRPr="00374A1D" w14:paraId="4E659C71" w14:textId="77777777" w:rsidTr="000A3DF6">
        <w:tc>
          <w:tcPr>
            <w:tcW w:w="3530" w:type="pct"/>
            <w:gridSpan w:val="2"/>
            <w:shd w:val="clear" w:color="auto" w:fill="034EA2" w:themeFill="accent1"/>
          </w:tcPr>
          <w:p w14:paraId="394EC473" w14:textId="77777777" w:rsidR="00263F4F" w:rsidRPr="00374A1D" w:rsidRDefault="00263F4F" w:rsidP="00E547E1">
            <w:pPr>
              <w:pStyle w:val="TableHeading"/>
            </w:pPr>
            <w:r w:rsidRPr="00F2388A">
              <w:t>Overview of regulation</w:t>
            </w:r>
          </w:p>
        </w:tc>
        <w:tc>
          <w:tcPr>
            <w:tcW w:w="1470" w:type="pct"/>
            <w:shd w:val="clear" w:color="auto" w:fill="034EA2" w:themeFill="accent1"/>
          </w:tcPr>
          <w:p w14:paraId="1DD34E0A" w14:textId="77777777" w:rsidR="00263F4F" w:rsidRPr="00374A1D" w:rsidRDefault="00263F4F" w:rsidP="00E547E1">
            <w:pPr>
              <w:pStyle w:val="TableHeading"/>
            </w:pPr>
            <w:r w:rsidRPr="00F2388A">
              <w:t>Identified gaps</w:t>
            </w:r>
          </w:p>
        </w:tc>
      </w:tr>
      <w:tr w:rsidR="00263F4F" w:rsidRPr="00374A1D" w14:paraId="6999D3D4" w14:textId="77777777" w:rsidTr="000A3DF6">
        <w:tc>
          <w:tcPr>
            <w:tcW w:w="1103" w:type="pct"/>
            <w:shd w:val="clear" w:color="auto" w:fill="F2F2F2" w:themeFill="background1" w:themeFillShade="F2"/>
          </w:tcPr>
          <w:p w14:paraId="2B2F677B" w14:textId="77777777" w:rsidR="00263F4F" w:rsidRPr="000A3DF6" w:rsidRDefault="00263F4F" w:rsidP="000A3DF6">
            <w:pPr>
              <w:pStyle w:val="TableBody"/>
              <w:rPr>
                <w:i/>
                <w:iCs/>
              </w:rPr>
            </w:pPr>
            <w:r w:rsidRPr="000A3DF6">
              <w:rPr>
                <w:i/>
                <w:iCs/>
              </w:rPr>
              <w:t>Telecommunications Act 1997</w:t>
            </w:r>
          </w:p>
        </w:tc>
        <w:tc>
          <w:tcPr>
            <w:tcW w:w="2427" w:type="pct"/>
            <w:shd w:val="clear" w:color="auto" w:fill="auto"/>
          </w:tcPr>
          <w:p w14:paraId="54A197A6" w14:textId="77777777" w:rsidR="00263F4F" w:rsidRDefault="00263F4F" w:rsidP="000A3DF6">
            <w:pPr>
              <w:pStyle w:val="TableBody"/>
            </w:pPr>
            <w:r>
              <w:t xml:space="preserve">The Telecommunications Act 1997 seeks to provide a regulatory framework in relation to carriage services. </w:t>
            </w:r>
          </w:p>
          <w:p w14:paraId="56439D76" w14:textId="77777777" w:rsidR="00263F4F" w:rsidRDefault="00263F4F" w:rsidP="000A3DF6">
            <w:pPr>
              <w:pStyle w:val="TableBody"/>
            </w:pPr>
            <w:r>
              <w:t>Carriage services are defined as services for carrying communications by means of guided and/or unguided electromagnetic energy.</w:t>
            </w:r>
          </w:p>
          <w:p w14:paraId="7AFC8FC1" w14:textId="77777777" w:rsidR="00263F4F" w:rsidRPr="00374A1D" w:rsidRDefault="00263F4F" w:rsidP="000A3DF6">
            <w:pPr>
              <w:pStyle w:val="TableBody"/>
            </w:pPr>
            <w:r>
              <w:t>The Telecommunications Act (sections 474-477) does also provide ACMA and the ACCC with the power to give directions to a ‘declared manager of electronic addressing’; this essentially gives the government reserve power to regulate with respect to domain names, although in practice the government has endorsed auDA to manage the operation of the .au domain space.</w:t>
            </w:r>
          </w:p>
        </w:tc>
        <w:tc>
          <w:tcPr>
            <w:tcW w:w="1470" w:type="pct"/>
            <w:shd w:val="clear" w:color="auto" w:fill="auto"/>
          </w:tcPr>
          <w:p w14:paraId="4623E1CA" w14:textId="77777777" w:rsidR="00263F4F" w:rsidRPr="00374A1D" w:rsidRDefault="00263F4F" w:rsidP="000A3DF6">
            <w:pPr>
              <w:pStyle w:val="TableBody"/>
            </w:pPr>
            <w:r>
              <w:t>The Telecommunications Act provides the government with reserve powers to regulate in relation to domain names but does not specifically address risk management.</w:t>
            </w:r>
          </w:p>
        </w:tc>
      </w:tr>
      <w:tr w:rsidR="00263F4F" w:rsidRPr="00374A1D" w14:paraId="53CDCEE8" w14:textId="77777777" w:rsidTr="000A3DF6">
        <w:tc>
          <w:tcPr>
            <w:tcW w:w="1103" w:type="pct"/>
            <w:shd w:val="clear" w:color="auto" w:fill="F2F2F2" w:themeFill="background1" w:themeFillShade="F2"/>
          </w:tcPr>
          <w:p w14:paraId="4D6056DD" w14:textId="77777777" w:rsidR="00263F4F" w:rsidRPr="000A3DF6" w:rsidRDefault="00263F4F" w:rsidP="000A3DF6">
            <w:pPr>
              <w:pStyle w:val="TableBody"/>
              <w:rPr>
                <w:i/>
                <w:iCs/>
              </w:rPr>
            </w:pPr>
            <w:r w:rsidRPr="000A3DF6">
              <w:rPr>
                <w:i/>
                <w:iCs/>
              </w:rPr>
              <w:lastRenderedPageBreak/>
              <w:t>Australian Communications and Media Authority Act 2005</w:t>
            </w:r>
          </w:p>
        </w:tc>
        <w:tc>
          <w:tcPr>
            <w:tcW w:w="2427" w:type="pct"/>
            <w:shd w:val="clear" w:color="auto" w:fill="auto"/>
          </w:tcPr>
          <w:p w14:paraId="03F136E1" w14:textId="77777777" w:rsidR="00263F4F" w:rsidRPr="00374A1D" w:rsidRDefault="00263F4F" w:rsidP="000A3DF6">
            <w:pPr>
              <w:pStyle w:val="TableBody"/>
              <w:rPr>
                <w:rFonts w:eastAsia="Times New Roman"/>
              </w:rPr>
            </w:pPr>
            <w:r>
              <w:rPr>
                <w:rFonts w:eastAsia="Times New Roman"/>
              </w:rPr>
              <w:t xml:space="preserve">Sections 11 and 17 of the </w:t>
            </w:r>
            <w:r w:rsidRPr="00F469CB">
              <w:rPr>
                <w:rFonts w:eastAsia="Times New Roman"/>
              </w:rPr>
              <w:t>Australian Communications and Media Authority Act 2005</w:t>
            </w:r>
            <w:r>
              <w:rPr>
                <w:rFonts w:eastAsia="Times New Roman"/>
              </w:rPr>
              <w:t xml:space="preserve"> give ACMA the reserve power to ‘provide for the management of electronic addressing’ if instructed to do so by the minister; </w:t>
            </w:r>
            <w:r>
              <w:t>this essentially gives the government reserve power to regulate with respect to domain names, although in practice the government has endorsed auDA to manage the operation of the .au domain space.</w:t>
            </w:r>
          </w:p>
        </w:tc>
        <w:tc>
          <w:tcPr>
            <w:tcW w:w="1470" w:type="pct"/>
            <w:shd w:val="clear" w:color="auto" w:fill="auto"/>
          </w:tcPr>
          <w:p w14:paraId="57D2FA01" w14:textId="77777777" w:rsidR="00263F4F" w:rsidRPr="00374A1D" w:rsidRDefault="00263F4F" w:rsidP="000A3DF6">
            <w:pPr>
              <w:pStyle w:val="TableBody"/>
              <w:rPr>
                <w:rFonts w:eastAsia="Times New Roman"/>
              </w:rPr>
            </w:pPr>
            <w:r>
              <w:rPr>
                <w:rFonts w:eastAsia="Times New Roman"/>
              </w:rPr>
              <w:t xml:space="preserve">The </w:t>
            </w:r>
            <w:r w:rsidRPr="001809DA">
              <w:t>Australian Communications and Media Authority Act 2005</w:t>
            </w:r>
            <w:r>
              <w:t xml:space="preserve"> provides the government with reserve powers to regulate in relation to domain names but does not specifically address risk management. </w:t>
            </w:r>
          </w:p>
        </w:tc>
      </w:tr>
      <w:tr w:rsidR="00263F4F" w:rsidRPr="00374A1D" w14:paraId="77CAD2E9" w14:textId="77777777" w:rsidTr="000A3DF6">
        <w:tc>
          <w:tcPr>
            <w:tcW w:w="1103" w:type="pct"/>
            <w:shd w:val="clear" w:color="auto" w:fill="F2F2F2" w:themeFill="background1" w:themeFillShade="F2"/>
          </w:tcPr>
          <w:p w14:paraId="19876C41" w14:textId="77777777" w:rsidR="00263F4F" w:rsidRPr="000A3DF6" w:rsidRDefault="00263F4F" w:rsidP="000A3DF6">
            <w:pPr>
              <w:pStyle w:val="TableBody"/>
              <w:rPr>
                <w:i/>
                <w:iCs/>
              </w:rPr>
            </w:pPr>
            <w:r w:rsidRPr="000A3DF6">
              <w:rPr>
                <w:i/>
                <w:iCs/>
              </w:rPr>
              <w:t>Telecommunications and Other Legislation Amendment Act 2017</w:t>
            </w:r>
          </w:p>
        </w:tc>
        <w:tc>
          <w:tcPr>
            <w:tcW w:w="2427" w:type="pct"/>
            <w:shd w:val="clear" w:color="auto" w:fill="auto"/>
          </w:tcPr>
          <w:p w14:paraId="7B50C882" w14:textId="77777777" w:rsidR="00263F4F" w:rsidRDefault="00263F4F" w:rsidP="000A3DF6">
            <w:pPr>
              <w:pStyle w:val="TableBody"/>
              <w:rPr>
                <w:rFonts w:eastAsia="Times New Roman"/>
              </w:rPr>
            </w:pPr>
            <w:r>
              <w:rPr>
                <w:rFonts w:eastAsia="Times New Roman"/>
              </w:rPr>
              <w:t xml:space="preserve">The </w:t>
            </w:r>
            <w:r w:rsidRPr="00572873">
              <w:rPr>
                <w:rFonts w:eastAsia="Times New Roman"/>
              </w:rPr>
              <w:t>Telecommunications and Other Legislation Amendment Act 2017</w:t>
            </w:r>
            <w:r>
              <w:rPr>
                <w:rFonts w:eastAsia="Times New Roman"/>
              </w:rPr>
              <w:t xml:space="preserve"> amended the Telecommunications Act 1997, adding extra provisions that place greater security obligations on carriers and carriage service providers. </w:t>
            </w:r>
          </w:p>
        </w:tc>
        <w:tc>
          <w:tcPr>
            <w:tcW w:w="1470" w:type="pct"/>
            <w:shd w:val="clear" w:color="auto" w:fill="auto"/>
          </w:tcPr>
          <w:p w14:paraId="65292DB1" w14:textId="77777777" w:rsidR="00263F4F" w:rsidRDefault="00263F4F" w:rsidP="000A3DF6">
            <w:pPr>
              <w:pStyle w:val="TableBody"/>
              <w:rPr>
                <w:rFonts w:eastAsia="Times New Roman"/>
              </w:rPr>
            </w:pPr>
            <w:r>
              <w:rPr>
                <w:rFonts w:eastAsia="Times New Roman"/>
              </w:rPr>
              <w:t xml:space="preserve">This Act and its </w:t>
            </w:r>
            <w:r>
              <w:t>provisions do not apply to auDA as it is not a carrier or carriage service provider.</w:t>
            </w:r>
          </w:p>
        </w:tc>
      </w:tr>
      <w:tr w:rsidR="00263F4F" w:rsidRPr="00374A1D" w14:paraId="65E440A1" w14:textId="77777777" w:rsidTr="000A3DF6">
        <w:tc>
          <w:tcPr>
            <w:tcW w:w="1103" w:type="pct"/>
            <w:shd w:val="clear" w:color="auto" w:fill="F2F2F2" w:themeFill="background1" w:themeFillShade="F2"/>
          </w:tcPr>
          <w:p w14:paraId="3B0A3F43" w14:textId="77777777" w:rsidR="00263F4F" w:rsidRPr="000A3DF6" w:rsidRDefault="00263F4F" w:rsidP="000A3DF6">
            <w:pPr>
              <w:pStyle w:val="TableBody"/>
              <w:rPr>
                <w:i/>
                <w:iCs/>
              </w:rPr>
            </w:pPr>
            <w:r w:rsidRPr="000A3DF6">
              <w:rPr>
                <w:i/>
                <w:iCs/>
              </w:rPr>
              <w:t xml:space="preserve">Terms of Endorsement (ToE) for auDA </w:t>
            </w:r>
          </w:p>
        </w:tc>
        <w:tc>
          <w:tcPr>
            <w:tcW w:w="2427" w:type="pct"/>
            <w:shd w:val="clear" w:color="auto" w:fill="auto"/>
          </w:tcPr>
          <w:p w14:paraId="1329C8AE" w14:textId="77777777" w:rsidR="00263F4F" w:rsidRPr="0065581F" w:rsidRDefault="00263F4F" w:rsidP="000A3DF6">
            <w:pPr>
              <w:pStyle w:val="TableBody"/>
              <w:rPr>
                <w:rFonts w:eastAsia="Times New Roman"/>
              </w:rPr>
            </w:pPr>
            <w:r>
              <w:rPr>
                <w:rFonts w:eastAsia="Times New Roman"/>
              </w:rPr>
              <w:t>While not legislation, these terms set the Government’s expectations for auDA. They state that the Australian Government</w:t>
            </w:r>
            <w:r w:rsidRPr="00CB1326">
              <w:rPr>
                <w:rFonts w:eastAsia="Times New Roman"/>
              </w:rPr>
              <w:t xml:space="preserve"> endorses the .au Domain Administration (auDA) to administer Australia’s (.au) country code Top Level Domain (ccTLD)</w:t>
            </w:r>
            <w:r>
              <w:rPr>
                <w:rFonts w:eastAsia="Times New Roman"/>
              </w:rPr>
              <w:t xml:space="preserve"> contingent on auDA continuing to meet the conditions of endorsement. These include </w:t>
            </w:r>
            <w:r w:rsidRPr="00CB1326">
              <w:rPr>
                <w:rFonts w:eastAsia="Times New Roman"/>
              </w:rPr>
              <w:t>respond</w:t>
            </w:r>
            <w:r>
              <w:rPr>
                <w:rFonts w:eastAsia="Times New Roman"/>
              </w:rPr>
              <w:t>ing</w:t>
            </w:r>
            <w:r w:rsidRPr="00CB1326">
              <w:rPr>
                <w:rFonts w:eastAsia="Times New Roman"/>
              </w:rPr>
              <w:t xml:space="preserve"> quickly to matters that compromise the security and integrity of the Domain Name System (DNS)</w:t>
            </w:r>
            <w:r>
              <w:rPr>
                <w:rFonts w:eastAsia="Times New Roman"/>
              </w:rPr>
              <w:t xml:space="preserve"> and m</w:t>
            </w:r>
            <w:r w:rsidRPr="00CB1326">
              <w:rPr>
                <w:rFonts w:eastAsia="Times New Roman"/>
              </w:rPr>
              <w:t>aintain</w:t>
            </w:r>
            <w:r>
              <w:rPr>
                <w:rFonts w:eastAsia="Times New Roman"/>
              </w:rPr>
              <w:t>ing</w:t>
            </w:r>
            <w:r w:rsidRPr="00CB1326">
              <w:rPr>
                <w:rFonts w:eastAsia="Times New Roman"/>
              </w:rPr>
              <w:t xml:space="preserve"> appropriate security protocols in line with Australian and international best practice, and contemporary security practices.</w:t>
            </w:r>
            <w:r>
              <w:rPr>
                <w:rFonts w:eastAsia="Times New Roman"/>
              </w:rPr>
              <w:t xml:space="preserve"> </w:t>
            </w:r>
          </w:p>
        </w:tc>
        <w:tc>
          <w:tcPr>
            <w:tcW w:w="1470" w:type="pct"/>
            <w:shd w:val="clear" w:color="auto" w:fill="auto"/>
          </w:tcPr>
          <w:p w14:paraId="6E7A538D" w14:textId="43B1E49B" w:rsidR="00263F4F" w:rsidRDefault="00263F4F" w:rsidP="000A3DF6">
            <w:pPr>
              <w:pStyle w:val="TableBody"/>
              <w:rPr>
                <w:rFonts w:eastAsia="Times New Roman"/>
              </w:rPr>
            </w:pPr>
            <w:r>
              <w:rPr>
                <w:rFonts w:eastAsia="Times New Roman"/>
              </w:rPr>
              <w:t xml:space="preserve">Though the ToE create contractual obligations between the Government and auDA, they do not create regulatory obligations for compliance. They also do not set specific baseline security standards. </w:t>
            </w:r>
          </w:p>
        </w:tc>
      </w:tr>
    </w:tbl>
    <w:p w14:paraId="5CC6833A" w14:textId="77777777" w:rsidR="000C3D44" w:rsidRDefault="000C3D44" w:rsidP="00FF1641">
      <w:pPr>
        <w:pStyle w:val="AppendixH2"/>
      </w:pPr>
      <w:r>
        <w:t xml:space="preserve">Existing standards, guidelines and regulators for </w:t>
      </w:r>
      <w:r w:rsidR="00D85179">
        <w:t>critical payment systems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4A0" w:firstRow="1" w:lastRow="0" w:firstColumn="1" w:lastColumn="0" w:noHBand="0" w:noVBand="1"/>
      </w:tblPr>
      <w:tblGrid>
        <w:gridCol w:w="1322"/>
        <w:gridCol w:w="1970"/>
        <w:gridCol w:w="6346"/>
      </w:tblGrid>
      <w:tr w:rsidR="00F540D6" w:rsidRPr="002C399D" w14:paraId="79353AF0" w14:textId="77777777" w:rsidTr="006A2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tcPr>
          <w:p w14:paraId="46A52701" w14:textId="11F26F82" w:rsidR="00F540D6" w:rsidRPr="006A242C" w:rsidRDefault="006B3927" w:rsidP="006A242C">
            <w:pPr>
              <w:pStyle w:val="TableHeading"/>
              <w:rPr>
                <w:b/>
                <w:bCs/>
              </w:rPr>
            </w:pPr>
            <w:r w:rsidRPr="006A242C">
              <w:rPr>
                <w:b/>
                <w:bCs/>
              </w:rPr>
              <w:t>Hazard domain</w:t>
            </w:r>
          </w:p>
        </w:tc>
        <w:tc>
          <w:tcPr>
            <w:tcW w:w="1022" w:type="pct"/>
          </w:tcPr>
          <w:p w14:paraId="48D63086" w14:textId="77777777" w:rsidR="00F540D6" w:rsidRPr="006A242C" w:rsidRDefault="00F540D6" w:rsidP="006A242C">
            <w:pPr>
              <w:pStyle w:val="TableHeading"/>
              <w:cnfStyle w:val="100000000000" w:firstRow="1" w:lastRow="0" w:firstColumn="0" w:lastColumn="0" w:oddVBand="0" w:evenVBand="0" w:oddHBand="0" w:evenHBand="0" w:firstRowFirstColumn="0" w:firstRowLastColumn="0" w:lastRowFirstColumn="0" w:lastRowLastColumn="0"/>
              <w:rPr>
                <w:b/>
                <w:bCs/>
              </w:rPr>
            </w:pPr>
            <w:r w:rsidRPr="006A242C">
              <w:rPr>
                <w:b/>
                <w:bCs/>
              </w:rPr>
              <w:t>Organisation</w:t>
            </w:r>
          </w:p>
        </w:tc>
        <w:tc>
          <w:tcPr>
            <w:tcW w:w="3293" w:type="pct"/>
          </w:tcPr>
          <w:p w14:paraId="5C105261" w14:textId="77777777" w:rsidR="00F540D6" w:rsidRPr="006A242C" w:rsidRDefault="00F540D6" w:rsidP="006A242C">
            <w:pPr>
              <w:pStyle w:val="TableHeading"/>
              <w:cnfStyle w:val="100000000000" w:firstRow="1" w:lastRow="0" w:firstColumn="0" w:lastColumn="0" w:oddVBand="0" w:evenVBand="0" w:oddHBand="0" w:evenHBand="0" w:firstRowFirstColumn="0" w:firstRowLastColumn="0" w:lastRowFirstColumn="0" w:lastRowLastColumn="0"/>
              <w:rPr>
                <w:b/>
                <w:bCs/>
              </w:rPr>
            </w:pPr>
            <w:r w:rsidRPr="006A242C">
              <w:rPr>
                <w:b/>
                <w:bCs/>
              </w:rPr>
              <w:t>Standards &amp; guidelines</w:t>
            </w:r>
          </w:p>
        </w:tc>
      </w:tr>
      <w:tr w:rsidR="00F540D6" w:rsidRPr="002C399D" w14:paraId="3EE33555" w14:textId="77777777" w:rsidTr="006A2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vMerge w:val="restart"/>
            <w:shd w:val="clear" w:color="auto" w:fill="F2F2F2" w:themeFill="accent6"/>
          </w:tcPr>
          <w:p w14:paraId="0A22F204" w14:textId="77777777" w:rsidR="00F540D6" w:rsidRPr="001A5772" w:rsidRDefault="00F540D6" w:rsidP="006A242C">
            <w:pPr>
              <w:pStyle w:val="TableBody"/>
              <w:rPr>
                <w:b w:val="0"/>
                <w:bCs/>
              </w:rPr>
            </w:pPr>
            <w:r w:rsidRPr="001A5772">
              <w:rPr>
                <w:b w:val="0"/>
                <w:bCs/>
              </w:rPr>
              <w:t>Cyber</w:t>
            </w:r>
          </w:p>
        </w:tc>
        <w:tc>
          <w:tcPr>
            <w:tcW w:w="1022" w:type="pct"/>
          </w:tcPr>
          <w:p w14:paraId="79AB3B6C" w14:textId="77777777" w:rsidR="00F540D6" w:rsidRPr="002C399D" w:rsidRDefault="00F540D6" w:rsidP="006A242C">
            <w:pPr>
              <w:pStyle w:val="TableBody"/>
              <w:cnfStyle w:val="000000100000" w:firstRow="0" w:lastRow="0" w:firstColumn="0" w:lastColumn="0" w:oddVBand="0" w:evenVBand="0" w:oddHBand="1" w:evenHBand="0" w:firstRowFirstColumn="0" w:firstRowLastColumn="0" w:lastRowFirstColumn="0" w:lastRowLastColumn="0"/>
            </w:pPr>
            <w:r>
              <w:t>Australian Cyber Security Centre (ACSC)</w:t>
            </w:r>
          </w:p>
        </w:tc>
        <w:tc>
          <w:tcPr>
            <w:tcW w:w="3293" w:type="pct"/>
            <w:shd w:val="clear" w:color="auto" w:fill="auto"/>
          </w:tcPr>
          <w:p w14:paraId="39139260" w14:textId="77777777" w:rsidR="00F540D6" w:rsidRPr="001A5772" w:rsidRDefault="00F540D6" w:rsidP="006A242C">
            <w:pPr>
              <w:pStyle w:val="TableBody"/>
              <w:cnfStyle w:val="000000100000" w:firstRow="0" w:lastRow="0" w:firstColumn="0" w:lastColumn="0" w:oddVBand="0" w:evenVBand="0" w:oddHBand="1" w:evenHBand="0" w:firstRowFirstColumn="0" w:firstRowLastColumn="0" w:lastRowFirstColumn="0" w:lastRowLastColumn="0"/>
              <w:rPr>
                <w:b/>
                <w:bCs/>
              </w:rPr>
            </w:pPr>
            <w:r w:rsidRPr="001A5772">
              <w:rPr>
                <w:b/>
                <w:bCs/>
              </w:rPr>
              <w:t>Cyber Security Guidelines, Information Security Manual, Essential Eight Maturity Model</w:t>
            </w:r>
          </w:p>
        </w:tc>
      </w:tr>
      <w:tr w:rsidR="00F540D6" w:rsidRPr="002C399D" w14:paraId="41F17D7E" w14:textId="77777777" w:rsidTr="006A2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vMerge/>
            <w:shd w:val="clear" w:color="auto" w:fill="F2F2F2" w:themeFill="accent6"/>
          </w:tcPr>
          <w:p w14:paraId="2D81CA28" w14:textId="77777777" w:rsidR="00F540D6" w:rsidRPr="001A5772" w:rsidRDefault="00F540D6" w:rsidP="006A242C">
            <w:pPr>
              <w:pStyle w:val="TableBody"/>
              <w:rPr>
                <w:b w:val="0"/>
                <w:bCs/>
              </w:rPr>
            </w:pPr>
          </w:p>
        </w:tc>
        <w:tc>
          <w:tcPr>
            <w:tcW w:w="1022" w:type="pct"/>
            <w:shd w:val="clear" w:color="auto" w:fill="FFFFFF" w:themeFill="background1"/>
          </w:tcPr>
          <w:p w14:paraId="673536EC" w14:textId="77777777" w:rsidR="00F540D6" w:rsidRPr="002C399D" w:rsidRDefault="00F540D6" w:rsidP="006A242C">
            <w:pPr>
              <w:pStyle w:val="TableBody"/>
              <w:cnfStyle w:val="000000010000" w:firstRow="0" w:lastRow="0" w:firstColumn="0" w:lastColumn="0" w:oddVBand="0" w:evenVBand="0" w:oddHBand="0" w:evenHBand="1" w:firstRowFirstColumn="0" w:firstRowLastColumn="0" w:lastRowFirstColumn="0" w:lastRowLastColumn="0"/>
            </w:pPr>
            <w:r>
              <w:t>Australian Signals Directorate</w:t>
            </w:r>
          </w:p>
        </w:tc>
        <w:tc>
          <w:tcPr>
            <w:tcW w:w="3293" w:type="pct"/>
            <w:shd w:val="clear" w:color="auto" w:fill="auto"/>
          </w:tcPr>
          <w:p w14:paraId="7F88E621" w14:textId="77777777" w:rsidR="00F540D6" w:rsidRPr="001A5772" w:rsidRDefault="00F540D6" w:rsidP="006A242C">
            <w:pPr>
              <w:pStyle w:val="TableBody"/>
              <w:cnfStyle w:val="000000010000" w:firstRow="0" w:lastRow="0" w:firstColumn="0" w:lastColumn="0" w:oddVBand="0" w:evenVBand="0" w:oddHBand="0" w:evenHBand="1" w:firstRowFirstColumn="0" w:firstRowLastColumn="0" w:lastRowFirstColumn="0" w:lastRowLastColumn="0"/>
              <w:rPr>
                <w:b/>
                <w:bCs/>
              </w:rPr>
            </w:pPr>
            <w:r w:rsidRPr="001A5772">
              <w:rPr>
                <w:b/>
                <w:bCs/>
              </w:rPr>
              <w:t>Information Security Manual</w:t>
            </w:r>
          </w:p>
        </w:tc>
      </w:tr>
      <w:tr w:rsidR="00F540D6" w:rsidRPr="002C399D" w14:paraId="6C5FB4B1" w14:textId="77777777" w:rsidTr="006A2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vMerge/>
            <w:shd w:val="clear" w:color="auto" w:fill="F2F2F2" w:themeFill="accent6"/>
          </w:tcPr>
          <w:p w14:paraId="68682E33" w14:textId="77777777" w:rsidR="00F540D6" w:rsidRPr="001A5772" w:rsidRDefault="00F540D6" w:rsidP="006A242C">
            <w:pPr>
              <w:pStyle w:val="TableBody"/>
              <w:rPr>
                <w:b w:val="0"/>
                <w:bCs/>
              </w:rPr>
            </w:pPr>
          </w:p>
        </w:tc>
        <w:tc>
          <w:tcPr>
            <w:tcW w:w="1022" w:type="pct"/>
          </w:tcPr>
          <w:p w14:paraId="7FC15C26" w14:textId="77777777" w:rsidR="00F540D6" w:rsidRDefault="00F540D6" w:rsidP="006A242C">
            <w:pPr>
              <w:pStyle w:val="TableBody"/>
              <w:cnfStyle w:val="000000100000" w:firstRow="0" w:lastRow="0" w:firstColumn="0" w:lastColumn="0" w:oddVBand="0" w:evenVBand="0" w:oddHBand="1" w:evenHBand="0" w:firstRowFirstColumn="0" w:firstRowLastColumn="0" w:lastRowFirstColumn="0" w:lastRowLastColumn="0"/>
            </w:pPr>
            <w:r>
              <w:t xml:space="preserve">ACSC </w:t>
            </w:r>
          </w:p>
        </w:tc>
        <w:tc>
          <w:tcPr>
            <w:tcW w:w="3293" w:type="pct"/>
            <w:shd w:val="clear" w:color="auto" w:fill="auto"/>
          </w:tcPr>
          <w:p w14:paraId="37F92726" w14:textId="77777777" w:rsidR="00F540D6" w:rsidRPr="001A5772" w:rsidRDefault="00F540D6" w:rsidP="006A242C">
            <w:pPr>
              <w:pStyle w:val="TableBody"/>
              <w:cnfStyle w:val="000000100000" w:firstRow="0" w:lastRow="0" w:firstColumn="0" w:lastColumn="0" w:oddVBand="0" w:evenVBand="0" w:oddHBand="1" w:evenHBand="0" w:firstRowFirstColumn="0" w:firstRowLastColumn="0" w:lastRowFirstColumn="0" w:lastRowLastColumn="0"/>
              <w:rPr>
                <w:b/>
                <w:bCs/>
              </w:rPr>
            </w:pPr>
            <w:r w:rsidRPr="001A5772">
              <w:rPr>
                <w:b/>
                <w:bCs/>
              </w:rPr>
              <w:t>Information Security Manual (ISM)</w:t>
            </w:r>
          </w:p>
        </w:tc>
      </w:tr>
      <w:tr w:rsidR="00F540D6" w:rsidRPr="002C399D" w14:paraId="0FBEEED0" w14:textId="77777777" w:rsidTr="006A2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vMerge/>
            <w:shd w:val="clear" w:color="auto" w:fill="F2F2F2" w:themeFill="accent6"/>
          </w:tcPr>
          <w:p w14:paraId="2EA3ECFA" w14:textId="77777777" w:rsidR="00F540D6" w:rsidRPr="001A5772" w:rsidRDefault="00F540D6" w:rsidP="006A242C">
            <w:pPr>
              <w:pStyle w:val="TableBody"/>
              <w:rPr>
                <w:b w:val="0"/>
                <w:bCs/>
              </w:rPr>
            </w:pPr>
          </w:p>
        </w:tc>
        <w:tc>
          <w:tcPr>
            <w:tcW w:w="1022" w:type="pct"/>
            <w:shd w:val="clear" w:color="auto" w:fill="FFFFFF" w:themeFill="background1"/>
          </w:tcPr>
          <w:p w14:paraId="61C70444" w14:textId="77777777" w:rsidR="00F540D6" w:rsidRDefault="00F540D6" w:rsidP="006A242C">
            <w:pPr>
              <w:pStyle w:val="TableBody"/>
              <w:cnfStyle w:val="000000010000" w:firstRow="0" w:lastRow="0" w:firstColumn="0" w:lastColumn="0" w:oddVBand="0" w:evenVBand="0" w:oddHBand="0" w:evenHBand="1" w:firstRowFirstColumn="0" w:firstRowLastColumn="0" w:lastRowFirstColumn="0" w:lastRowLastColumn="0"/>
            </w:pPr>
            <w:r>
              <w:t>NIST</w:t>
            </w:r>
          </w:p>
        </w:tc>
        <w:tc>
          <w:tcPr>
            <w:tcW w:w="3293" w:type="pct"/>
            <w:shd w:val="clear" w:color="auto" w:fill="auto"/>
          </w:tcPr>
          <w:p w14:paraId="2AFB8F8D" w14:textId="77777777" w:rsidR="00F540D6" w:rsidRPr="00F2388A" w:rsidRDefault="00F540D6" w:rsidP="006A242C">
            <w:pPr>
              <w:pStyle w:val="TableBody"/>
              <w:cnfStyle w:val="000000010000" w:firstRow="0" w:lastRow="0" w:firstColumn="0" w:lastColumn="0" w:oddVBand="0" w:evenVBand="0" w:oddHBand="0" w:evenHBand="1" w:firstRowFirstColumn="0" w:firstRowLastColumn="0" w:lastRowFirstColumn="0" w:lastRowLastColumn="0"/>
            </w:pPr>
            <w:r w:rsidRPr="001A5772">
              <w:rPr>
                <w:b/>
                <w:bCs/>
              </w:rPr>
              <w:t>SP 800-81-2: Secure Domain Name System (DNS) Deployment Guide:</w:t>
            </w:r>
            <w:r w:rsidRPr="00F2388A">
              <w:t xml:space="preserve"> </w:t>
            </w:r>
            <w:r w:rsidRPr="00380965">
              <w:t>presents guidelines for configuring DNS deployments to prevent many denial-of-service attacks that exploit vulnerabilities in various DNS components.</w:t>
            </w:r>
            <w:r w:rsidRPr="00F2388A">
              <w:rPr>
                <w:rFonts w:ascii="Source Sans Pro" w:hAnsi="Source Sans Pro"/>
                <w:color w:val="333333"/>
                <w:sz w:val="25"/>
                <w:szCs w:val="25"/>
                <w:shd w:val="clear" w:color="auto" w:fill="F4F5F5"/>
              </w:rPr>
              <w:t xml:space="preserve"> </w:t>
            </w:r>
          </w:p>
        </w:tc>
      </w:tr>
      <w:tr w:rsidR="00F540D6" w:rsidRPr="002C399D" w14:paraId="59458373" w14:textId="77777777" w:rsidTr="006A2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shd w:val="clear" w:color="auto" w:fill="F2F2F2" w:themeFill="accent6"/>
          </w:tcPr>
          <w:p w14:paraId="2ADC6C31" w14:textId="77777777" w:rsidR="00F540D6" w:rsidRPr="001A5772" w:rsidRDefault="00F540D6" w:rsidP="006A242C">
            <w:pPr>
              <w:pStyle w:val="TableBody"/>
              <w:rPr>
                <w:b w:val="0"/>
                <w:bCs/>
              </w:rPr>
            </w:pPr>
            <w:r w:rsidRPr="001A5772">
              <w:rPr>
                <w:b w:val="0"/>
                <w:bCs/>
              </w:rPr>
              <w:t>Physical</w:t>
            </w:r>
          </w:p>
        </w:tc>
        <w:tc>
          <w:tcPr>
            <w:tcW w:w="1022" w:type="pct"/>
          </w:tcPr>
          <w:p w14:paraId="652F6A57" w14:textId="77777777" w:rsidR="00F540D6" w:rsidRPr="002C399D" w:rsidRDefault="00F540D6" w:rsidP="006A242C">
            <w:pPr>
              <w:pStyle w:val="TableBody"/>
              <w:cnfStyle w:val="000000100000" w:firstRow="0" w:lastRow="0" w:firstColumn="0" w:lastColumn="0" w:oddVBand="0" w:evenVBand="0" w:oddHBand="1" w:evenHBand="0" w:firstRowFirstColumn="0" w:firstRowLastColumn="0" w:lastRowFirstColumn="0" w:lastRowLastColumn="0"/>
            </w:pPr>
            <w:r>
              <w:t>ISO</w:t>
            </w:r>
          </w:p>
        </w:tc>
        <w:tc>
          <w:tcPr>
            <w:tcW w:w="3293" w:type="pct"/>
            <w:shd w:val="clear" w:color="auto" w:fill="auto"/>
          </w:tcPr>
          <w:p w14:paraId="670F83F0" w14:textId="77777777" w:rsidR="00F540D6" w:rsidRPr="001A5772" w:rsidRDefault="00F540D6" w:rsidP="006A242C">
            <w:pPr>
              <w:pStyle w:val="TableBody"/>
              <w:cnfStyle w:val="000000100000" w:firstRow="0" w:lastRow="0" w:firstColumn="0" w:lastColumn="0" w:oddVBand="0" w:evenVBand="0" w:oddHBand="1" w:evenHBand="0" w:firstRowFirstColumn="0" w:firstRowLastColumn="0" w:lastRowFirstColumn="0" w:lastRowLastColumn="0"/>
              <w:rPr>
                <w:b/>
                <w:bCs/>
              </w:rPr>
            </w:pPr>
            <w:r w:rsidRPr="001A5772">
              <w:rPr>
                <w:b/>
                <w:bCs/>
              </w:rPr>
              <w:t>ISO 55001</w:t>
            </w:r>
          </w:p>
        </w:tc>
      </w:tr>
      <w:tr w:rsidR="00F540D6" w:rsidRPr="002C399D" w14:paraId="152CF678" w14:textId="77777777" w:rsidTr="006A2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shd w:val="clear" w:color="auto" w:fill="F2F2F2" w:themeFill="accent6"/>
          </w:tcPr>
          <w:p w14:paraId="5AD0B6E1" w14:textId="77777777" w:rsidR="00F540D6" w:rsidRPr="001A5772" w:rsidRDefault="00F540D6" w:rsidP="006A242C">
            <w:pPr>
              <w:pStyle w:val="TableBody"/>
              <w:rPr>
                <w:b w:val="0"/>
                <w:bCs/>
              </w:rPr>
            </w:pPr>
            <w:r w:rsidRPr="001A5772">
              <w:rPr>
                <w:b w:val="0"/>
                <w:bCs/>
              </w:rPr>
              <w:t>Personnel</w:t>
            </w:r>
          </w:p>
        </w:tc>
        <w:tc>
          <w:tcPr>
            <w:tcW w:w="1022" w:type="pct"/>
            <w:shd w:val="clear" w:color="auto" w:fill="FFFFFF" w:themeFill="background1"/>
          </w:tcPr>
          <w:p w14:paraId="1404C95B" w14:textId="77777777" w:rsidR="00F540D6" w:rsidRPr="002C399D" w:rsidRDefault="00F540D6" w:rsidP="006A242C">
            <w:pPr>
              <w:pStyle w:val="TableBody"/>
              <w:cnfStyle w:val="000000010000" w:firstRow="0" w:lastRow="0" w:firstColumn="0" w:lastColumn="0" w:oddVBand="0" w:evenVBand="0" w:oddHBand="0" w:evenHBand="1" w:firstRowFirstColumn="0" w:firstRowLastColumn="0" w:lastRowFirstColumn="0" w:lastRowLastColumn="0"/>
            </w:pPr>
            <w:r>
              <w:t>Standards Australia</w:t>
            </w:r>
          </w:p>
        </w:tc>
        <w:tc>
          <w:tcPr>
            <w:tcW w:w="3293" w:type="pct"/>
            <w:shd w:val="clear" w:color="auto" w:fill="auto"/>
          </w:tcPr>
          <w:p w14:paraId="16AD65F4" w14:textId="77777777" w:rsidR="00F540D6" w:rsidRPr="001A5772" w:rsidRDefault="00F540D6" w:rsidP="006A242C">
            <w:pPr>
              <w:pStyle w:val="TableBody"/>
              <w:cnfStyle w:val="000000010000" w:firstRow="0" w:lastRow="0" w:firstColumn="0" w:lastColumn="0" w:oddVBand="0" w:evenVBand="0" w:oddHBand="0" w:evenHBand="1" w:firstRowFirstColumn="0" w:firstRowLastColumn="0" w:lastRowFirstColumn="0" w:lastRowLastColumn="0"/>
              <w:rPr>
                <w:b/>
                <w:bCs/>
              </w:rPr>
            </w:pPr>
            <w:r w:rsidRPr="001A5772">
              <w:rPr>
                <w:b/>
                <w:bCs/>
              </w:rPr>
              <w:t>AS 4811-2006</w:t>
            </w:r>
          </w:p>
        </w:tc>
      </w:tr>
      <w:tr w:rsidR="00F540D6" w:rsidRPr="002C399D" w14:paraId="7AB982B3" w14:textId="77777777" w:rsidTr="006A2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vMerge w:val="restart"/>
            <w:shd w:val="clear" w:color="auto" w:fill="F2F2F2" w:themeFill="accent6"/>
          </w:tcPr>
          <w:p w14:paraId="78F80F3D" w14:textId="77777777" w:rsidR="00F540D6" w:rsidRPr="001A5772" w:rsidRDefault="00F540D6" w:rsidP="006A242C">
            <w:pPr>
              <w:pStyle w:val="TableBody"/>
              <w:rPr>
                <w:b w:val="0"/>
                <w:bCs/>
              </w:rPr>
            </w:pPr>
            <w:r w:rsidRPr="001A5772">
              <w:rPr>
                <w:b w:val="0"/>
                <w:bCs/>
              </w:rPr>
              <w:t>Supply Chain</w:t>
            </w:r>
          </w:p>
        </w:tc>
        <w:tc>
          <w:tcPr>
            <w:tcW w:w="1022" w:type="pct"/>
          </w:tcPr>
          <w:p w14:paraId="5F6D9975" w14:textId="77777777" w:rsidR="00F540D6" w:rsidRPr="007F575F" w:rsidRDefault="00F540D6" w:rsidP="006A242C">
            <w:pPr>
              <w:pStyle w:val="TableBody"/>
              <w:cnfStyle w:val="000000100000" w:firstRow="0" w:lastRow="0" w:firstColumn="0" w:lastColumn="0" w:oddVBand="0" w:evenVBand="0" w:oddHBand="1" w:evenHBand="0" w:firstRowFirstColumn="0" w:firstRowLastColumn="0" w:lastRowFirstColumn="0" w:lastRowLastColumn="0"/>
            </w:pPr>
            <w:r w:rsidRPr="007F575F">
              <w:t>APRA</w:t>
            </w:r>
          </w:p>
        </w:tc>
        <w:tc>
          <w:tcPr>
            <w:tcW w:w="3293" w:type="pct"/>
            <w:shd w:val="clear" w:color="auto" w:fill="auto"/>
          </w:tcPr>
          <w:p w14:paraId="0AA518EA" w14:textId="77777777" w:rsidR="00F540D6" w:rsidRPr="001A5772" w:rsidRDefault="00F540D6" w:rsidP="006A242C">
            <w:pPr>
              <w:pStyle w:val="TableBody"/>
              <w:cnfStyle w:val="000000100000" w:firstRow="0" w:lastRow="0" w:firstColumn="0" w:lastColumn="0" w:oddVBand="0" w:evenVBand="0" w:oddHBand="1" w:evenHBand="0" w:firstRowFirstColumn="0" w:firstRowLastColumn="0" w:lastRowFirstColumn="0" w:lastRowLastColumn="0"/>
              <w:rPr>
                <w:b/>
                <w:bCs/>
              </w:rPr>
            </w:pPr>
            <w:r w:rsidRPr="001A5772">
              <w:rPr>
                <w:b/>
                <w:bCs/>
              </w:rPr>
              <w:t>CPS 231, 234</w:t>
            </w:r>
          </w:p>
        </w:tc>
      </w:tr>
      <w:tr w:rsidR="00F540D6" w:rsidRPr="002C399D" w14:paraId="74C51172" w14:textId="77777777" w:rsidTr="006A2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vMerge/>
            <w:shd w:val="clear" w:color="auto" w:fill="F2F2F2" w:themeFill="accent6"/>
          </w:tcPr>
          <w:p w14:paraId="39D807FC" w14:textId="77777777" w:rsidR="00F540D6" w:rsidRPr="002C399D" w:rsidRDefault="00F540D6" w:rsidP="006A242C">
            <w:pPr>
              <w:pStyle w:val="TableBody"/>
            </w:pPr>
          </w:p>
        </w:tc>
        <w:tc>
          <w:tcPr>
            <w:tcW w:w="1022" w:type="pct"/>
            <w:shd w:val="clear" w:color="auto" w:fill="FFFFFF" w:themeFill="background1"/>
          </w:tcPr>
          <w:p w14:paraId="2FB72B3C" w14:textId="77777777" w:rsidR="00F540D6" w:rsidRPr="002C399D" w:rsidRDefault="00F540D6" w:rsidP="006A242C">
            <w:pPr>
              <w:pStyle w:val="TableBody"/>
              <w:cnfStyle w:val="000000010000" w:firstRow="0" w:lastRow="0" w:firstColumn="0" w:lastColumn="0" w:oddVBand="0" w:evenVBand="0" w:oddHBand="0" w:evenHBand="1" w:firstRowFirstColumn="0" w:firstRowLastColumn="0" w:lastRowFirstColumn="0" w:lastRowLastColumn="0"/>
            </w:pPr>
            <w:r>
              <w:t>Australian Cyber Security Centre</w:t>
            </w:r>
          </w:p>
        </w:tc>
        <w:tc>
          <w:tcPr>
            <w:tcW w:w="3293" w:type="pct"/>
            <w:shd w:val="clear" w:color="auto" w:fill="auto"/>
          </w:tcPr>
          <w:p w14:paraId="21026AB9" w14:textId="77777777" w:rsidR="00F540D6" w:rsidRPr="001A5772" w:rsidRDefault="00F540D6" w:rsidP="006A242C">
            <w:pPr>
              <w:pStyle w:val="TableBody"/>
              <w:cnfStyle w:val="000000010000" w:firstRow="0" w:lastRow="0" w:firstColumn="0" w:lastColumn="0" w:oddVBand="0" w:evenVBand="0" w:oddHBand="0" w:evenHBand="1" w:firstRowFirstColumn="0" w:firstRowLastColumn="0" w:lastRowFirstColumn="0" w:lastRowLastColumn="0"/>
              <w:rPr>
                <w:b/>
                <w:bCs/>
              </w:rPr>
            </w:pPr>
            <w:r w:rsidRPr="001A5772">
              <w:rPr>
                <w:b/>
                <w:bCs/>
              </w:rPr>
              <w:t>Supply Chain Guidance for Practitioners</w:t>
            </w:r>
          </w:p>
        </w:tc>
      </w:tr>
      <w:tr w:rsidR="00F540D6" w:rsidRPr="002C399D" w14:paraId="2696C391" w14:textId="77777777" w:rsidTr="006A2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vMerge/>
            <w:shd w:val="clear" w:color="auto" w:fill="F2F2F2" w:themeFill="accent6"/>
          </w:tcPr>
          <w:p w14:paraId="473B453D" w14:textId="77777777" w:rsidR="00F540D6" w:rsidRPr="002C399D" w:rsidRDefault="00F540D6" w:rsidP="006A242C">
            <w:pPr>
              <w:pStyle w:val="TableBody"/>
            </w:pPr>
          </w:p>
        </w:tc>
        <w:tc>
          <w:tcPr>
            <w:tcW w:w="1022" w:type="pct"/>
          </w:tcPr>
          <w:p w14:paraId="47DC14B2" w14:textId="77777777" w:rsidR="00F540D6" w:rsidRDefault="00F540D6" w:rsidP="006A242C">
            <w:pPr>
              <w:pStyle w:val="TableBody"/>
              <w:cnfStyle w:val="000000100000" w:firstRow="0" w:lastRow="0" w:firstColumn="0" w:lastColumn="0" w:oddVBand="0" w:evenVBand="0" w:oddHBand="1" w:evenHBand="0" w:firstRowFirstColumn="0" w:firstRowLastColumn="0" w:lastRowFirstColumn="0" w:lastRowLastColumn="0"/>
            </w:pPr>
            <w:r>
              <w:t>ICANN</w:t>
            </w:r>
          </w:p>
        </w:tc>
        <w:tc>
          <w:tcPr>
            <w:tcW w:w="3293" w:type="pct"/>
            <w:shd w:val="clear" w:color="auto" w:fill="auto"/>
          </w:tcPr>
          <w:p w14:paraId="6112BAD7" w14:textId="77777777" w:rsidR="00F540D6" w:rsidRPr="00F2388A" w:rsidRDefault="00F540D6" w:rsidP="006A242C">
            <w:pPr>
              <w:pStyle w:val="TableBody"/>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hd w:val="clear" w:color="auto" w:fill="FFFFFF"/>
              </w:rPr>
            </w:pPr>
            <w:r w:rsidRPr="001A5772">
              <w:rPr>
                <w:b/>
                <w:bCs/>
              </w:rPr>
              <w:t>Framework for Registry Operators to Respond to Security Threats</w:t>
            </w:r>
            <w:r w:rsidRPr="00F2388A">
              <w:t xml:space="preserve">: </w:t>
            </w:r>
            <w:r w:rsidRPr="00CB1326">
              <w:t xml:space="preserve">This framework is a voluntary and non-binding document designed to articulate the ways registries may respond to identified </w:t>
            </w:r>
            <w:r w:rsidRPr="00CB1326">
              <w:lastRenderedPageBreak/>
              <w:t xml:space="preserve">security threats. </w:t>
            </w:r>
            <w:r>
              <w:t xml:space="preserve">This is relevant for supply chain threats because the </w:t>
            </w:r>
            <w:r w:rsidRPr="00CB1326">
              <w:t>AuDA outsources their registry operation function.</w:t>
            </w:r>
            <w:r w:rsidRPr="00F2388A">
              <w:rPr>
                <w:rFonts w:ascii="Helvetica" w:hAnsi="Helvetica" w:cs="Helvetica"/>
                <w:color w:val="333333"/>
                <w:shd w:val="clear" w:color="auto" w:fill="FFFFFF"/>
              </w:rPr>
              <w:t xml:space="preserve"> </w:t>
            </w:r>
          </w:p>
        </w:tc>
      </w:tr>
    </w:tbl>
    <w:p w14:paraId="00D95604" w14:textId="77777777" w:rsidR="00561515" w:rsidRPr="00561515" w:rsidRDefault="00561515" w:rsidP="00561515">
      <w:pPr>
        <w:pStyle w:val="BodyText"/>
      </w:pPr>
    </w:p>
    <w:tbl>
      <w:tblPr>
        <w:tblStyle w:val="DHATable"/>
        <w:tblW w:w="0" w:type="auto"/>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1560"/>
        <w:gridCol w:w="8078"/>
      </w:tblGrid>
      <w:tr w:rsidR="000C39A1" w:rsidRPr="002C399D" w14:paraId="51A9967C" w14:textId="77777777" w:rsidTr="001A5772">
        <w:tc>
          <w:tcPr>
            <w:tcW w:w="0" w:type="auto"/>
            <w:shd w:val="clear" w:color="auto" w:fill="034EA2" w:themeFill="accent1"/>
          </w:tcPr>
          <w:p w14:paraId="2CC57DBE" w14:textId="77777777" w:rsidR="000C39A1" w:rsidRPr="002C399D" w:rsidRDefault="000C39A1" w:rsidP="001A5772">
            <w:pPr>
              <w:pStyle w:val="TableHeading"/>
            </w:pPr>
            <w:r w:rsidRPr="002C399D">
              <w:t>Jurisdiction</w:t>
            </w:r>
          </w:p>
        </w:tc>
        <w:tc>
          <w:tcPr>
            <w:tcW w:w="0" w:type="auto"/>
            <w:shd w:val="clear" w:color="auto" w:fill="034EA2" w:themeFill="accent1"/>
          </w:tcPr>
          <w:p w14:paraId="2F75B4E6" w14:textId="77777777" w:rsidR="000C39A1" w:rsidRPr="002C399D" w:rsidRDefault="000C39A1" w:rsidP="001A5772">
            <w:pPr>
              <w:pStyle w:val="TableHeading"/>
            </w:pPr>
            <w:r w:rsidRPr="002C399D">
              <w:t>Regulator/s</w:t>
            </w:r>
          </w:p>
        </w:tc>
      </w:tr>
      <w:tr w:rsidR="000C39A1" w:rsidRPr="002C399D" w14:paraId="11437C18" w14:textId="77777777" w:rsidTr="001A5772">
        <w:tc>
          <w:tcPr>
            <w:tcW w:w="0" w:type="auto"/>
            <w:shd w:val="clear" w:color="auto" w:fill="F2F2F2" w:themeFill="background1" w:themeFillShade="F2"/>
          </w:tcPr>
          <w:p w14:paraId="71FEFAB5" w14:textId="77777777" w:rsidR="000C39A1" w:rsidRPr="002C399D" w:rsidRDefault="000C39A1" w:rsidP="001A5772">
            <w:pPr>
              <w:pStyle w:val="TableBody"/>
            </w:pPr>
            <w:r w:rsidRPr="002C399D">
              <w:t>Commonwealth</w:t>
            </w:r>
          </w:p>
        </w:tc>
        <w:tc>
          <w:tcPr>
            <w:tcW w:w="0" w:type="auto"/>
            <w:shd w:val="clear" w:color="auto" w:fill="auto"/>
          </w:tcPr>
          <w:p w14:paraId="31FB02FF" w14:textId="2EA8D6FC" w:rsidR="000C39A1" w:rsidRDefault="000C39A1" w:rsidP="001A5772">
            <w:pPr>
              <w:pStyle w:val="TableBody"/>
            </w:pPr>
            <w:r>
              <w:t>auDA</w:t>
            </w:r>
          </w:p>
          <w:p w14:paraId="05AECC81" w14:textId="77777777" w:rsidR="000C39A1" w:rsidRDefault="000C39A1" w:rsidP="001A5772">
            <w:pPr>
              <w:pStyle w:val="TableBody"/>
            </w:pPr>
            <w:r w:rsidRPr="00B675C5">
              <w:t>Australian Communications and Media Authority</w:t>
            </w:r>
            <w:r>
              <w:t xml:space="preserve"> (through reserve powers as per Telecommunications Act 1997, sections 474-477 and </w:t>
            </w:r>
            <w:r w:rsidRPr="00097109">
              <w:t>Australian Communications and Media Authority Act 2005</w:t>
            </w:r>
            <w:r>
              <w:t>, sections 11 and 17)</w:t>
            </w:r>
          </w:p>
          <w:p w14:paraId="6C00C3B5" w14:textId="77777777" w:rsidR="000C39A1" w:rsidRDefault="000C39A1" w:rsidP="001A5772">
            <w:pPr>
              <w:pStyle w:val="TableBody"/>
            </w:pPr>
            <w:r w:rsidRPr="001F32AA">
              <w:t>Australian Competition &amp; Consumer Commission</w:t>
            </w:r>
            <w:r>
              <w:t xml:space="preserve"> (through reserve powers as per Telecommunications Act 1997, sections 474-477)</w:t>
            </w:r>
          </w:p>
          <w:p w14:paraId="3896EE5F" w14:textId="5C431AB1" w:rsidR="000C39A1" w:rsidRPr="002C399D" w:rsidRDefault="000C39A1" w:rsidP="001A5772">
            <w:pPr>
              <w:pStyle w:val="TableBody"/>
            </w:pPr>
            <w:r>
              <w:t>ccTLD Sponsorship Agreement (.au): Agreement between Internet Corporation for Assigned Names and Numbers (ICANN) and auDA stating that ICANN will sponsor auDA as the administrator of the .au top level-domain, with ICANN continuing to preserve the technical stability and operation of the DNS.</w:t>
            </w:r>
          </w:p>
        </w:tc>
      </w:tr>
    </w:tbl>
    <w:p w14:paraId="0BE04940" w14:textId="77777777" w:rsidR="001A5772" w:rsidRDefault="001A5772" w:rsidP="001A5772">
      <w:pPr>
        <w:pStyle w:val="BodyText"/>
      </w:pPr>
    </w:p>
    <w:p w14:paraId="41F26F44" w14:textId="2DB174F3" w:rsidR="000C3D44" w:rsidRDefault="000C3D44" w:rsidP="00FF1641">
      <w:pPr>
        <w:pStyle w:val="AppendixH2"/>
      </w:pPr>
      <w:r>
        <w:t>Additional information on consultation</w:t>
      </w:r>
    </w:p>
    <w:p w14:paraId="0CA34D5C" w14:textId="77777777" w:rsidR="00287F8F" w:rsidRDefault="00287F8F" w:rsidP="00FF1641">
      <w:pPr>
        <w:pStyle w:val="Caption"/>
      </w:pPr>
      <w:bookmarkStart w:id="604" w:name="_Toc90649449"/>
      <w:r w:rsidRPr="003645A2">
        <w:t>Overview of stakeholders consulted</w:t>
      </w:r>
      <w:bookmarkEnd w:id="604"/>
    </w:p>
    <w:tbl>
      <w:tblPr>
        <w:tblStyle w:val="TableGrid5"/>
        <w:tblW w:w="9209" w:type="dxa"/>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9209"/>
      </w:tblGrid>
      <w:tr w:rsidR="00287F8F" w:rsidRPr="003645A2" w14:paraId="0B9FFB99" w14:textId="77777777" w:rsidTr="006A242C">
        <w:tc>
          <w:tcPr>
            <w:tcW w:w="9209" w:type="dxa"/>
            <w:shd w:val="clear" w:color="auto" w:fill="034EA2" w:themeFill="accent1"/>
          </w:tcPr>
          <w:p w14:paraId="547445A0" w14:textId="77777777" w:rsidR="00287F8F" w:rsidRPr="003645A2" w:rsidRDefault="00287F8F" w:rsidP="000A3DF6">
            <w:pPr>
              <w:pStyle w:val="TableHeading"/>
            </w:pPr>
            <w:r w:rsidRPr="003645A2">
              <w:t xml:space="preserve">Stakeholders Consulted </w:t>
            </w:r>
          </w:p>
        </w:tc>
      </w:tr>
      <w:tr w:rsidR="00287F8F" w:rsidRPr="003645A2" w14:paraId="40C398CA" w14:textId="77777777" w:rsidTr="006A242C">
        <w:tc>
          <w:tcPr>
            <w:tcW w:w="9209" w:type="dxa"/>
            <w:vAlign w:val="center"/>
          </w:tcPr>
          <w:p w14:paraId="1383C259" w14:textId="77777777" w:rsidR="00287F8F" w:rsidRPr="009739FE" w:rsidRDefault="00287F8F" w:rsidP="000A3DF6">
            <w:pPr>
              <w:pStyle w:val="TableBody"/>
            </w:pPr>
            <w:r w:rsidRPr="009739FE">
              <w:t>auDA</w:t>
            </w:r>
          </w:p>
        </w:tc>
      </w:tr>
    </w:tbl>
    <w:p w14:paraId="071BAECA" w14:textId="77777777" w:rsidR="00797F86" w:rsidRPr="003645A2" w:rsidRDefault="00797F86" w:rsidP="00FF1641">
      <w:pPr>
        <w:pStyle w:val="Caption"/>
      </w:pPr>
      <w:bookmarkStart w:id="605" w:name="_Toc90632398"/>
      <w:r w:rsidRPr="003645A2">
        <w:lastRenderedPageBreak/>
        <w:t>Consultation timeline</w:t>
      </w:r>
      <w:bookmarkEnd w:id="605"/>
    </w:p>
    <w:p w14:paraId="4C0D3F6B" w14:textId="64FC82CC" w:rsidR="00797F86" w:rsidRDefault="00093881" w:rsidP="00B839B4">
      <w:pPr>
        <w:pStyle w:val="BodyText"/>
      </w:pPr>
      <w:r w:rsidRPr="00093881">
        <w:rPr>
          <w:noProof/>
          <w:lang w:eastAsia="en-AU"/>
        </w:rPr>
        <w:drawing>
          <wp:inline distT="0" distB="0" distL="0" distR="0" wp14:anchorId="76B30136" wp14:editId="7491CE2F">
            <wp:extent cx="5998501" cy="4652645"/>
            <wp:effectExtent l="0" t="0" r="254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noChangeArrowheads="1"/>
                    </pic:cNvPicPr>
                  </pic:nvPicPr>
                  <pic:blipFill>
                    <a:blip r:embed="rId60"/>
                    <a:stretch>
                      <a:fillRect/>
                    </a:stretch>
                  </pic:blipFill>
                  <pic:spPr bwMode="auto">
                    <a:xfrm>
                      <a:off x="0" y="0"/>
                      <a:ext cx="5998501" cy="4652645"/>
                    </a:xfrm>
                    <a:prstGeom prst="rect">
                      <a:avLst/>
                    </a:prstGeom>
                    <a:noFill/>
                    <a:ln>
                      <a:noFill/>
                    </a:ln>
                  </pic:spPr>
                </pic:pic>
              </a:graphicData>
            </a:graphic>
          </wp:inline>
        </w:drawing>
      </w:r>
    </w:p>
    <w:p w14:paraId="159A84D7" w14:textId="4113CEE6" w:rsidR="0066484D" w:rsidRDefault="0066484D">
      <w:pPr>
        <w:spacing w:before="80" w:after="80"/>
        <w:rPr>
          <w:rFonts w:cstheme="majorHAnsi"/>
          <w:sz w:val="22"/>
          <w:szCs w:val="28"/>
        </w:rPr>
      </w:pPr>
      <w:r>
        <w:br w:type="page"/>
      </w:r>
    </w:p>
    <w:p w14:paraId="3346C304" w14:textId="77777777" w:rsidR="001E4026" w:rsidRPr="00D65A59" w:rsidRDefault="001E4026" w:rsidP="00FF1641">
      <w:pPr>
        <w:pStyle w:val="AppendixH2"/>
      </w:pPr>
      <w:bookmarkStart w:id="606" w:name="_Toc90649724"/>
      <w:r w:rsidRPr="00D65A59">
        <w:lastRenderedPageBreak/>
        <w:t xml:space="preserve">RMP Rules consultation </w:t>
      </w:r>
    </w:p>
    <w:bookmarkEnd w:id="606"/>
    <w:p w14:paraId="3CB42D72" w14:textId="7EA722B3" w:rsidR="00EC6D7E" w:rsidRDefault="00EC6D7E" w:rsidP="00FF1641">
      <w:pPr>
        <w:pStyle w:val="BodyText"/>
      </w:pPr>
      <w:r w:rsidRPr="003645A2">
        <w:t xml:space="preserve">Consultation with industry stakeholders occurred </w:t>
      </w:r>
      <w:r w:rsidR="009677CE">
        <w:t>across the following</w:t>
      </w:r>
      <w:r>
        <w:t xml:space="preserve"> </w:t>
      </w:r>
      <w:r w:rsidRPr="003645A2">
        <w:t xml:space="preserve">key stages: </w:t>
      </w:r>
    </w:p>
    <w:p w14:paraId="674042B5" w14:textId="77777777" w:rsidR="00EC6D7E" w:rsidRDefault="00EC6D7E" w:rsidP="007F265A">
      <w:pPr>
        <w:numPr>
          <w:ilvl w:val="0"/>
          <w:numId w:val="146"/>
        </w:numPr>
        <w:spacing w:after="160" w:line="259" w:lineRule="auto"/>
        <w:ind w:hanging="357"/>
        <w:jc w:val="both"/>
        <w:rPr>
          <w:rFonts w:ascii="Arial" w:eastAsia="Calibri" w:hAnsi="Arial" w:cs="Arial"/>
          <w:sz w:val="22"/>
        </w:rPr>
      </w:pPr>
      <w:r>
        <w:rPr>
          <w:rFonts w:ascii="Arial" w:eastAsia="Calibri" w:hAnsi="Arial" w:cs="Arial"/>
          <w:b/>
          <w:bCs/>
          <w:sz w:val="22"/>
        </w:rPr>
        <w:t>A virtual Town Hall</w:t>
      </w:r>
      <w:r w:rsidRPr="003645A2">
        <w:rPr>
          <w:rFonts w:ascii="Arial" w:eastAsia="Calibri" w:hAnsi="Arial" w:cs="Arial"/>
          <w:sz w:val="22"/>
        </w:rPr>
        <w:t xml:space="preserve">, held </w:t>
      </w:r>
      <w:r>
        <w:rPr>
          <w:rFonts w:ascii="Arial" w:eastAsia="Calibri" w:hAnsi="Arial" w:cs="Arial"/>
          <w:sz w:val="22"/>
        </w:rPr>
        <w:t xml:space="preserve">on 19 October </w:t>
      </w:r>
      <w:r w:rsidRPr="009278DF">
        <w:rPr>
          <w:rFonts w:ascii="Arial" w:eastAsia="Calibri" w:hAnsi="Arial" w:cs="Arial"/>
          <w:sz w:val="22"/>
        </w:rPr>
        <w:t>2021</w:t>
      </w:r>
      <w:r>
        <w:rPr>
          <w:rFonts w:ascii="Arial" w:eastAsia="Calibri" w:hAnsi="Arial" w:cs="Arial"/>
          <w:sz w:val="22"/>
        </w:rPr>
        <w:t xml:space="preserve">, </w:t>
      </w:r>
      <w:r w:rsidRPr="003645A2">
        <w:rPr>
          <w:rFonts w:ascii="Arial" w:eastAsia="Calibri" w:hAnsi="Arial" w:cs="Arial"/>
          <w:sz w:val="22"/>
        </w:rPr>
        <w:t xml:space="preserve">attended by </w:t>
      </w:r>
      <w:r>
        <w:rPr>
          <w:rFonts w:ascii="Arial" w:eastAsia="Calibri" w:hAnsi="Arial" w:cs="Arial"/>
          <w:sz w:val="22"/>
        </w:rPr>
        <w:t xml:space="preserve">360 </w:t>
      </w:r>
      <w:r w:rsidRPr="003645A2">
        <w:rPr>
          <w:rFonts w:ascii="Arial" w:eastAsia="Calibri" w:hAnsi="Arial" w:cs="Arial"/>
          <w:sz w:val="22"/>
        </w:rPr>
        <w:t xml:space="preserve">approximately industry and Government stakeholders, </w:t>
      </w:r>
      <w:r>
        <w:rPr>
          <w:rFonts w:ascii="Arial" w:eastAsia="Calibri" w:hAnsi="Arial" w:cs="Arial"/>
          <w:sz w:val="22"/>
        </w:rPr>
        <w:t>including from the domain name systems sector. The purposes of the session were to:</w:t>
      </w:r>
    </w:p>
    <w:p w14:paraId="274C00DB" w14:textId="15669B1B" w:rsidR="00EC6D7E" w:rsidRDefault="00EC6D7E" w:rsidP="00FF1641">
      <w:pPr>
        <w:pStyle w:val="ListParagraph"/>
        <w:numPr>
          <w:ilvl w:val="0"/>
          <w:numId w:val="157"/>
        </w:numPr>
        <w:spacing w:after="0" w:line="259" w:lineRule="auto"/>
        <w:ind w:left="851" w:hanging="284"/>
        <w:contextualSpacing w:val="0"/>
        <w:jc w:val="both"/>
        <w:rPr>
          <w:rFonts w:eastAsia="Calibri"/>
        </w:rPr>
      </w:pPr>
      <w:r>
        <w:rPr>
          <w:rFonts w:eastAsia="Calibri"/>
        </w:rPr>
        <w:t>Outline the CI/SONS reforms and provide an update on the SLACI Bill (now SLACI Act) and SLACIP Bill</w:t>
      </w:r>
      <w:r w:rsidR="00D721DC">
        <w:rPr>
          <w:rFonts w:eastAsia="Calibri"/>
        </w:rPr>
        <w:t xml:space="preserve"> (now SLACIP Act)</w:t>
      </w:r>
      <w:r>
        <w:rPr>
          <w:rFonts w:eastAsia="Calibri"/>
        </w:rPr>
        <w:t>;</w:t>
      </w:r>
    </w:p>
    <w:p w14:paraId="29C9A900" w14:textId="77777777" w:rsidR="00EC6D7E" w:rsidRPr="002F2A18" w:rsidRDefault="00EC6D7E" w:rsidP="00FF1641">
      <w:pPr>
        <w:pStyle w:val="ListParagraph"/>
        <w:numPr>
          <w:ilvl w:val="0"/>
          <w:numId w:val="157"/>
        </w:numPr>
        <w:spacing w:after="0" w:line="259" w:lineRule="auto"/>
        <w:ind w:left="851" w:hanging="284"/>
        <w:contextualSpacing w:val="0"/>
        <w:jc w:val="both"/>
        <w:rPr>
          <w:rFonts w:eastAsia="Calibri"/>
        </w:rPr>
      </w:pPr>
      <w:r>
        <w:rPr>
          <w:rFonts w:eastAsia="Calibri"/>
        </w:rPr>
        <w:t xml:space="preserve">Provide </w:t>
      </w:r>
      <w:r>
        <w:rPr>
          <w:rFonts w:eastAsia="Calibri"/>
          <w:szCs w:val="22"/>
          <w:lang w:eastAsia="en-US"/>
        </w:rPr>
        <w:t xml:space="preserve">an update </w:t>
      </w:r>
      <w:r w:rsidRPr="008B295F">
        <w:rPr>
          <w:rFonts w:eastAsia="Calibri"/>
        </w:rPr>
        <w:t xml:space="preserve">for industry on the </w:t>
      </w:r>
      <w:r>
        <w:rPr>
          <w:rFonts w:eastAsia="Calibri"/>
        </w:rPr>
        <w:t>decision to consult on</w:t>
      </w:r>
      <w:r w:rsidRPr="008B295F">
        <w:rPr>
          <w:rFonts w:eastAsia="Calibri"/>
        </w:rPr>
        <w:t xml:space="preserve"> sector-agnostic </w:t>
      </w:r>
      <w:r>
        <w:rPr>
          <w:rFonts w:eastAsia="Calibri"/>
        </w:rPr>
        <w:t xml:space="preserve">RMP </w:t>
      </w:r>
      <w:r w:rsidRPr="002F2A18">
        <w:rPr>
          <w:rFonts w:eastAsia="Calibri"/>
        </w:rPr>
        <w:t>rules (as opposed to sector-specific rules), and outline how this would affect the consultation process going forward; and</w:t>
      </w:r>
    </w:p>
    <w:p w14:paraId="1F033176" w14:textId="4DDBDAA6" w:rsidR="00EC6D7E" w:rsidRPr="00F54D80" w:rsidRDefault="00EC6D7E" w:rsidP="00FF1641">
      <w:pPr>
        <w:pStyle w:val="ListParagraph"/>
        <w:numPr>
          <w:ilvl w:val="0"/>
          <w:numId w:val="157"/>
        </w:numPr>
        <w:spacing w:after="0" w:line="259" w:lineRule="auto"/>
        <w:ind w:left="851" w:hanging="284"/>
        <w:contextualSpacing w:val="0"/>
        <w:jc w:val="both"/>
        <w:rPr>
          <w:rFonts w:eastAsia="Calibri"/>
        </w:rPr>
      </w:pPr>
      <w:r>
        <w:rPr>
          <w:rFonts w:eastAsia="Calibri"/>
        </w:rPr>
        <w:t>Answer any questions about the Bills or RMP rules consultation process.</w:t>
      </w:r>
      <w:r w:rsidRPr="00963347">
        <w:rPr>
          <w:rFonts w:eastAsia="Calibri"/>
        </w:rPr>
        <w:t xml:space="preserve"> </w:t>
      </w:r>
    </w:p>
    <w:p w14:paraId="588D3E1A" w14:textId="77777777" w:rsidR="00EC6D7E" w:rsidRDefault="00EC6D7E" w:rsidP="007F265A">
      <w:pPr>
        <w:numPr>
          <w:ilvl w:val="0"/>
          <w:numId w:val="146"/>
        </w:numPr>
        <w:spacing w:after="160" w:line="259" w:lineRule="auto"/>
        <w:ind w:hanging="357"/>
        <w:jc w:val="both"/>
        <w:rPr>
          <w:rFonts w:ascii="Arial" w:eastAsia="Calibri" w:hAnsi="Arial" w:cs="Arial"/>
          <w:sz w:val="22"/>
        </w:rPr>
      </w:pPr>
      <w:r>
        <w:rPr>
          <w:rFonts w:ascii="Arial" w:eastAsia="Calibri" w:hAnsi="Arial" w:cs="Arial"/>
          <w:b/>
          <w:bCs/>
          <w:sz w:val="22"/>
        </w:rPr>
        <w:t xml:space="preserve">Two domain name systems-specific Information Sessions, </w:t>
      </w:r>
      <w:r>
        <w:rPr>
          <w:rFonts w:ascii="Arial" w:eastAsia="Calibri" w:hAnsi="Arial" w:cs="Arial"/>
          <w:sz w:val="22"/>
        </w:rPr>
        <w:t xml:space="preserve">held on 11 November </w:t>
      </w:r>
      <w:r w:rsidRPr="00096142">
        <w:rPr>
          <w:rFonts w:ascii="Arial" w:eastAsia="Calibri" w:hAnsi="Arial" w:cs="Arial"/>
          <w:sz w:val="22"/>
        </w:rPr>
        <w:t>and</w:t>
      </w:r>
      <w:r>
        <w:rPr>
          <w:rFonts w:ascii="Arial" w:eastAsia="Calibri" w:hAnsi="Arial" w:cs="Arial"/>
          <w:sz w:val="22"/>
        </w:rPr>
        <w:t xml:space="preserve"> 23 November 2021, attended by approximately eight industry and Government stakeholders. </w:t>
      </w:r>
      <w:r w:rsidRPr="009278DF">
        <w:rPr>
          <w:rFonts w:ascii="Arial" w:eastAsia="Calibri" w:hAnsi="Arial" w:cs="Arial"/>
          <w:sz w:val="22"/>
        </w:rPr>
        <w:t xml:space="preserve">The purpose of the information sessions was to </w:t>
      </w:r>
      <w:r>
        <w:rPr>
          <w:rFonts w:ascii="Arial" w:eastAsia="Calibri" w:hAnsi="Arial" w:cs="Arial"/>
          <w:sz w:val="22"/>
        </w:rPr>
        <w:t>reiterate the</w:t>
      </w:r>
      <w:r w:rsidRPr="009278DF">
        <w:rPr>
          <w:rFonts w:ascii="Arial" w:eastAsia="Calibri" w:hAnsi="Arial" w:cs="Arial"/>
          <w:sz w:val="22"/>
        </w:rPr>
        <w:t xml:space="preserve"> update for industry on the move from sector-specific to sector-agnostic </w:t>
      </w:r>
      <w:r>
        <w:rPr>
          <w:rFonts w:ascii="Arial" w:eastAsia="Calibri" w:hAnsi="Arial" w:cs="Arial"/>
          <w:sz w:val="22"/>
        </w:rPr>
        <w:t>RMP rules</w:t>
      </w:r>
      <w:r w:rsidRPr="009278DF">
        <w:rPr>
          <w:rFonts w:ascii="Arial" w:eastAsia="Calibri" w:hAnsi="Arial" w:cs="Arial"/>
          <w:sz w:val="22"/>
        </w:rPr>
        <w:t xml:space="preserve"> and to gain sector-specific feedback on the</w:t>
      </w:r>
      <w:r>
        <w:rPr>
          <w:rFonts w:ascii="Arial" w:eastAsia="Calibri" w:hAnsi="Arial" w:cs="Arial"/>
          <w:sz w:val="22"/>
        </w:rPr>
        <w:t xml:space="preserve"> RMP rules</w:t>
      </w:r>
      <w:r w:rsidRPr="009278DF">
        <w:rPr>
          <w:rFonts w:ascii="Arial" w:eastAsia="Calibri" w:hAnsi="Arial" w:cs="Arial"/>
          <w:sz w:val="22"/>
        </w:rPr>
        <w:t xml:space="preserve">. </w:t>
      </w:r>
    </w:p>
    <w:p w14:paraId="3D945B2A" w14:textId="158A0074" w:rsidR="00EC6D7E" w:rsidRPr="009278DF" w:rsidRDefault="00EC6D7E" w:rsidP="007F265A">
      <w:pPr>
        <w:numPr>
          <w:ilvl w:val="0"/>
          <w:numId w:val="146"/>
        </w:numPr>
        <w:spacing w:after="160" w:line="259" w:lineRule="auto"/>
        <w:ind w:hanging="357"/>
        <w:jc w:val="both"/>
        <w:rPr>
          <w:rFonts w:ascii="Arial" w:eastAsia="Calibri" w:hAnsi="Arial" w:cs="Arial"/>
          <w:sz w:val="22"/>
        </w:rPr>
      </w:pPr>
      <w:r w:rsidRPr="009278DF">
        <w:rPr>
          <w:rFonts w:ascii="Arial" w:eastAsia="Calibri" w:hAnsi="Arial" w:cs="Arial"/>
          <w:b/>
          <w:bCs/>
          <w:sz w:val="22"/>
        </w:rPr>
        <w:t>A wrap-up virtual</w:t>
      </w:r>
      <w:r w:rsidRPr="009278DF">
        <w:rPr>
          <w:rFonts w:ascii="Arial" w:eastAsia="Calibri" w:hAnsi="Arial" w:cs="Arial"/>
          <w:b/>
          <w:sz w:val="22"/>
        </w:rPr>
        <w:t xml:space="preserve"> Town Hall</w:t>
      </w:r>
      <w:r>
        <w:rPr>
          <w:rFonts w:ascii="Arial" w:eastAsia="Calibri" w:hAnsi="Arial" w:cs="Arial"/>
          <w:b/>
          <w:bCs/>
          <w:sz w:val="22"/>
        </w:rPr>
        <w:t xml:space="preserve"> </w:t>
      </w:r>
      <w:r>
        <w:rPr>
          <w:rFonts w:ascii="Arial" w:eastAsia="Calibri" w:hAnsi="Arial" w:cs="Arial"/>
          <w:sz w:val="22"/>
        </w:rPr>
        <w:t>held on 25 November 2021. The purpose of the Town Hall was</w:t>
      </w:r>
      <w:r w:rsidRPr="009278DF">
        <w:rPr>
          <w:rFonts w:ascii="Arial" w:eastAsia="Calibri" w:hAnsi="Arial" w:cs="Arial"/>
          <w:sz w:val="22"/>
        </w:rPr>
        <w:t xml:space="preserve"> to present the updated </w:t>
      </w:r>
      <w:r>
        <w:rPr>
          <w:rFonts w:ascii="Arial" w:eastAsia="Calibri" w:hAnsi="Arial" w:cs="Arial"/>
          <w:sz w:val="22"/>
        </w:rPr>
        <w:t>RMP rules</w:t>
      </w:r>
      <w:r w:rsidRPr="009278DF">
        <w:rPr>
          <w:rFonts w:ascii="Arial" w:eastAsia="Calibri" w:hAnsi="Arial" w:cs="Arial"/>
          <w:sz w:val="22"/>
        </w:rPr>
        <w:t xml:space="preserve"> and provide information on the further consultation period. The Town Hall was attended by approximately 800 industry and Government stakeholders across the </w:t>
      </w:r>
      <w:r w:rsidR="0030492E">
        <w:rPr>
          <w:rFonts w:ascii="Arial" w:eastAsia="Calibri" w:hAnsi="Arial" w:cs="Arial"/>
          <w:sz w:val="22"/>
        </w:rPr>
        <w:t>10</w:t>
      </w:r>
      <w:r w:rsidRPr="009278DF">
        <w:rPr>
          <w:rFonts w:ascii="Arial" w:eastAsia="Calibri" w:hAnsi="Arial" w:cs="Arial"/>
          <w:sz w:val="22"/>
        </w:rPr>
        <w:t xml:space="preserve"> critical infrastructure sectors, including by</w:t>
      </w:r>
      <w:r>
        <w:rPr>
          <w:rFonts w:ascii="Arial" w:eastAsia="Calibri" w:hAnsi="Arial" w:cs="Arial"/>
          <w:sz w:val="22"/>
        </w:rPr>
        <w:t xml:space="preserve"> </w:t>
      </w:r>
      <w:r w:rsidRPr="009278DF">
        <w:rPr>
          <w:rFonts w:ascii="Arial" w:eastAsia="Calibri" w:hAnsi="Arial" w:cs="Arial"/>
          <w:sz w:val="22"/>
        </w:rPr>
        <w:t xml:space="preserve">stakeholders from the </w:t>
      </w:r>
      <w:r>
        <w:rPr>
          <w:rFonts w:ascii="Arial" w:eastAsia="Calibri" w:hAnsi="Arial" w:cs="Arial"/>
          <w:sz w:val="22"/>
        </w:rPr>
        <w:t xml:space="preserve">domain name systems sector. </w:t>
      </w:r>
      <w:r w:rsidRPr="009278DF">
        <w:rPr>
          <w:rFonts w:ascii="Arial" w:eastAsia="Calibri" w:hAnsi="Arial" w:cs="Arial"/>
          <w:sz w:val="22"/>
        </w:rPr>
        <w:t xml:space="preserve"> </w:t>
      </w:r>
    </w:p>
    <w:p w14:paraId="7F7A2D6D" w14:textId="77777777" w:rsidR="00EC6D7E" w:rsidRPr="003645A2" w:rsidRDefault="00EC6D7E" w:rsidP="007F265A">
      <w:pPr>
        <w:numPr>
          <w:ilvl w:val="0"/>
          <w:numId w:val="146"/>
        </w:numPr>
        <w:spacing w:line="259" w:lineRule="auto"/>
        <w:ind w:left="351" w:hanging="357"/>
        <w:jc w:val="both"/>
        <w:rPr>
          <w:rFonts w:ascii="Arial" w:eastAsia="Calibri" w:hAnsi="Arial" w:cs="Arial"/>
          <w:sz w:val="22"/>
        </w:rPr>
      </w:pPr>
      <w:r w:rsidRPr="003645A2">
        <w:rPr>
          <w:rFonts w:ascii="Arial" w:eastAsia="Calibri" w:hAnsi="Arial" w:cs="Arial"/>
          <w:b/>
          <w:bCs/>
          <w:sz w:val="22"/>
        </w:rPr>
        <w:t>Out of session consultation</w:t>
      </w:r>
      <w:r>
        <w:rPr>
          <w:rFonts w:ascii="Arial" w:eastAsia="Calibri" w:hAnsi="Arial" w:cs="Arial"/>
          <w:b/>
          <w:bCs/>
          <w:sz w:val="22"/>
        </w:rPr>
        <w:t>:</w:t>
      </w:r>
    </w:p>
    <w:p w14:paraId="0D2DA044" w14:textId="77777777" w:rsidR="00EC6D7E" w:rsidRPr="003645A2" w:rsidRDefault="00EC6D7E" w:rsidP="00CE4B35">
      <w:pPr>
        <w:pStyle w:val="Bullet2ndlevel"/>
        <w:ind w:left="709"/>
      </w:pPr>
      <w:r w:rsidRPr="003645A2">
        <w:t xml:space="preserve">Stakeholders were encouraged to contact the Department out of session. The Department availed itself to stakeholders to discuss their concerns, working to ensure stakeholders’ understanding of the rules, and the rules’ proportionality. </w:t>
      </w:r>
    </w:p>
    <w:p w14:paraId="2A6A194F" w14:textId="77777777" w:rsidR="00EC6D7E" w:rsidRPr="003645A2" w:rsidRDefault="00EC6D7E" w:rsidP="00CE4B35">
      <w:pPr>
        <w:pStyle w:val="Bullet2ndlevel"/>
        <w:ind w:left="709"/>
      </w:pPr>
      <w:r w:rsidRPr="003645A2">
        <w:t xml:space="preserve">Out of session engagement also assisted in the iterative development of rules between workshops, through addressing concerns raised by individual stakeholders and proposing a solution. </w:t>
      </w:r>
    </w:p>
    <w:p w14:paraId="4359C5EA" w14:textId="77777777" w:rsidR="00EC6D7E" w:rsidRDefault="00EC6D7E" w:rsidP="00CE4B35">
      <w:pPr>
        <w:pStyle w:val="Bullet2ndlevel"/>
        <w:ind w:left="709"/>
      </w:pPr>
      <w:r w:rsidRPr="003645A2">
        <w:t>This engagement strengthened the relationship between the Department and industry, while providing insights on implementation costs, entities’ operating environments and the overall impacts of the proposed regulatory changes.</w:t>
      </w:r>
    </w:p>
    <w:p w14:paraId="5DC5E799" w14:textId="6CEB29C8" w:rsidR="009677CE" w:rsidRPr="00D309FE" w:rsidRDefault="009677CE" w:rsidP="00CE4B35">
      <w:pPr>
        <w:pStyle w:val="Bullet1stlevel"/>
        <w:numPr>
          <w:ilvl w:val="0"/>
          <w:numId w:val="171"/>
        </w:numPr>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6553E004" w14:textId="77777777" w:rsidR="009677CE" w:rsidRPr="004F1EE3" w:rsidRDefault="009677CE" w:rsidP="00CE4B35">
      <w:pPr>
        <w:pStyle w:val="Bullet3"/>
      </w:pPr>
    </w:p>
    <w:p w14:paraId="397D99AE" w14:textId="77777777" w:rsidR="00EC6D7E" w:rsidRPr="00C768BC" w:rsidRDefault="00EC6D7E" w:rsidP="00FF1641">
      <w:pPr>
        <w:pStyle w:val="AppendixH2"/>
      </w:pPr>
      <w:r w:rsidRPr="00C768BC">
        <w:lastRenderedPageBreak/>
        <w:t xml:space="preserve">Outcomes and themes from consultation on </w:t>
      </w:r>
      <w:r>
        <w:t>RMP rules</w:t>
      </w:r>
    </w:p>
    <w:p w14:paraId="227D7850" w14:textId="77777777" w:rsidR="00EC6D7E" w:rsidRDefault="00EC6D7E" w:rsidP="00FF1641">
      <w:pPr>
        <w:pStyle w:val="Caption"/>
      </w:pPr>
      <w:bookmarkStart w:id="607" w:name="_Toc90649453"/>
      <w:r w:rsidRPr="003645A2">
        <w:t>Key themes from consultation</w:t>
      </w:r>
      <w:bookmarkEnd w:id="607"/>
    </w:p>
    <w:tbl>
      <w:tblPr>
        <w:tblStyle w:val="TableGrid5"/>
        <w:tblW w:w="5000" w:type="pct"/>
        <w:jc w:val="center"/>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050"/>
        <w:gridCol w:w="692"/>
        <w:gridCol w:w="4007"/>
        <w:gridCol w:w="3889"/>
      </w:tblGrid>
      <w:tr w:rsidR="00EC6D7E" w:rsidRPr="003645A2" w14:paraId="64F6ED33" w14:textId="77777777" w:rsidTr="001A5772">
        <w:trPr>
          <w:cantSplit/>
          <w:tblHeader/>
          <w:jc w:val="center"/>
        </w:trPr>
        <w:tc>
          <w:tcPr>
            <w:tcW w:w="545" w:type="pct"/>
            <w:shd w:val="clear" w:color="auto" w:fill="034EA2" w:themeFill="accent1"/>
          </w:tcPr>
          <w:p w14:paraId="5C547C4B" w14:textId="77777777" w:rsidR="00EC6D7E" w:rsidRPr="003645A2" w:rsidRDefault="00EC6D7E" w:rsidP="001A5772">
            <w:pPr>
              <w:rPr>
                <w:rFonts w:ascii="Arial" w:eastAsia="Calibri" w:hAnsi="Arial" w:cs="Arial"/>
                <w:b/>
                <w:bCs/>
                <w:color w:val="FFFFFF"/>
                <w:szCs w:val="20"/>
              </w:rPr>
            </w:pPr>
            <w:r w:rsidRPr="003645A2">
              <w:rPr>
                <w:rFonts w:ascii="Arial" w:eastAsia="Calibri" w:hAnsi="Arial" w:cs="Arial"/>
                <w:b/>
                <w:bCs/>
                <w:color w:val="FFFFFF"/>
                <w:szCs w:val="20"/>
              </w:rPr>
              <w:t>Rule category</w:t>
            </w:r>
          </w:p>
        </w:tc>
        <w:tc>
          <w:tcPr>
            <w:tcW w:w="2397" w:type="pct"/>
            <w:gridSpan w:val="2"/>
            <w:shd w:val="clear" w:color="auto" w:fill="034EA2" w:themeFill="accent1"/>
          </w:tcPr>
          <w:p w14:paraId="3031337F" w14:textId="77777777" w:rsidR="00EC6D7E" w:rsidRPr="003645A2" w:rsidRDefault="00EC6D7E" w:rsidP="001A5772">
            <w:pPr>
              <w:rPr>
                <w:rFonts w:ascii="Arial" w:eastAsia="Calibri" w:hAnsi="Arial" w:cs="Arial"/>
                <w:b/>
                <w:bCs/>
                <w:color w:val="FFFFFF"/>
                <w:szCs w:val="20"/>
              </w:rPr>
            </w:pPr>
            <w:r w:rsidRPr="003645A2">
              <w:rPr>
                <w:rFonts w:ascii="Arial" w:eastAsia="Calibri" w:hAnsi="Arial" w:cs="Arial"/>
                <w:b/>
                <w:bCs/>
                <w:color w:val="FFFFFF"/>
                <w:szCs w:val="20"/>
              </w:rPr>
              <w:t>Identified themes</w:t>
            </w:r>
          </w:p>
        </w:tc>
        <w:tc>
          <w:tcPr>
            <w:tcW w:w="2058" w:type="pct"/>
            <w:shd w:val="clear" w:color="auto" w:fill="034EA2" w:themeFill="accent1"/>
          </w:tcPr>
          <w:p w14:paraId="6A915857" w14:textId="77777777" w:rsidR="00EC6D7E" w:rsidRPr="003645A2" w:rsidRDefault="00EC6D7E" w:rsidP="001A5772">
            <w:pPr>
              <w:rPr>
                <w:rFonts w:ascii="Arial" w:eastAsia="Calibri" w:hAnsi="Arial" w:cs="Arial"/>
                <w:b/>
                <w:bCs/>
                <w:color w:val="FFFFFF"/>
                <w:szCs w:val="20"/>
              </w:rPr>
            </w:pPr>
            <w:r w:rsidRPr="003645A2">
              <w:rPr>
                <w:rFonts w:ascii="Arial" w:eastAsia="Calibri" w:hAnsi="Arial" w:cs="Arial"/>
                <w:b/>
                <w:bCs/>
                <w:color w:val="FFFFFF"/>
                <w:szCs w:val="20"/>
              </w:rPr>
              <w:t>Impact on development of rules</w:t>
            </w:r>
          </w:p>
        </w:tc>
      </w:tr>
      <w:tr w:rsidR="00EC6D7E" w:rsidRPr="009278DF" w14:paraId="747ADB7F" w14:textId="77777777" w:rsidTr="001A5772">
        <w:trPr>
          <w:cantSplit/>
          <w:trHeight w:val="1134"/>
          <w:jc w:val="center"/>
        </w:trPr>
        <w:tc>
          <w:tcPr>
            <w:tcW w:w="545" w:type="pct"/>
            <w:shd w:val="clear" w:color="auto" w:fill="BBDAFD" w:themeFill="accent1" w:themeFillTint="33"/>
          </w:tcPr>
          <w:p w14:paraId="6FF6B76F" w14:textId="77777777" w:rsidR="00EC6D7E" w:rsidRPr="003645A2" w:rsidRDefault="00EC6D7E" w:rsidP="001A5772">
            <w:pPr>
              <w:rPr>
                <w:rFonts w:ascii="Arial" w:eastAsia="Calibri" w:hAnsi="Arial" w:cs="Arial"/>
                <w:b/>
                <w:bCs/>
                <w:szCs w:val="20"/>
              </w:rPr>
            </w:pPr>
            <w:r>
              <w:rPr>
                <w:rFonts w:ascii="Arial" w:eastAsia="Calibri" w:hAnsi="Arial" w:cs="Arial"/>
                <w:b/>
                <w:bCs/>
                <w:szCs w:val="20"/>
              </w:rPr>
              <w:t xml:space="preserve">RMP rules </w:t>
            </w:r>
          </w:p>
        </w:tc>
        <w:tc>
          <w:tcPr>
            <w:tcW w:w="238" w:type="pct"/>
            <w:shd w:val="clear" w:color="auto" w:fill="EDEDED"/>
            <w:textDirection w:val="btLr"/>
          </w:tcPr>
          <w:p w14:paraId="66E80B77" w14:textId="77777777" w:rsidR="00EC6D7E" w:rsidRPr="003645A2" w:rsidRDefault="00EC6D7E" w:rsidP="001A5772">
            <w:pPr>
              <w:ind w:left="113" w:right="113"/>
              <w:jc w:val="center"/>
              <w:rPr>
                <w:rFonts w:ascii="Arial" w:eastAsia="Calibri" w:hAnsi="Arial" w:cs="Arial"/>
                <w:b/>
                <w:bCs/>
                <w:szCs w:val="20"/>
              </w:rPr>
            </w:pPr>
            <w:r>
              <w:rPr>
                <w:rFonts w:ascii="Arial" w:eastAsia="Calibri" w:hAnsi="Arial" w:cs="Arial"/>
                <w:b/>
                <w:bCs/>
                <w:szCs w:val="20"/>
              </w:rPr>
              <w:t>Information sessions</w:t>
            </w:r>
          </w:p>
        </w:tc>
        <w:tc>
          <w:tcPr>
            <w:tcW w:w="2158" w:type="pct"/>
          </w:tcPr>
          <w:p w14:paraId="6F0CD508" w14:textId="77777777" w:rsidR="00EC6D7E" w:rsidRDefault="00EC6D7E" w:rsidP="001A5772">
            <w:pPr>
              <w:pStyle w:val="TableBullet"/>
              <w:rPr>
                <w:rFonts w:eastAsia="Calibri"/>
              </w:rPr>
            </w:pPr>
            <w:r>
              <w:rPr>
                <w:rFonts w:eastAsia="Calibri"/>
              </w:rPr>
              <w:t xml:space="preserve">The domain names systems sector </w:t>
            </w:r>
            <w:r>
              <w:rPr>
                <w:rFonts w:eastAsia="Calibri"/>
                <w:b/>
                <w:bCs/>
              </w:rPr>
              <w:t xml:space="preserve">broadly agrees </w:t>
            </w:r>
            <w:r>
              <w:rPr>
                <w:rFonts w:eastAsia="Calibri"/>
              </w:rPr>
              <w:t>with the RMP rules as drafted.</w:t>
            </w:r>
          </w:p>
          <w:p w14:paraId="5A5576F6" w14:textId="77777777" w:rsidR="00EC6D7E" w:rsidRPr="007F7047" w:rsidRDefault="00EC6D7E" w:rsidP="001A5772">
            <w:pPr>
              <w:pStyle w:val="TableBullet"/>
              <w:rPr>
                <w:rFonts w:eastAsia="Calibri"/>
              </w:rPr>
            </w:pPr>
            <w:r w:rsidRPr="009278DF">
              <w:rPr>
                <w:rFonts w:eastAsia="Calibri"/>
              </w:rPr>
              <w:t>There is a</w:t>
            </w:r>
            <w:r>
              <w:rPr>
                <w:rFonts w:eastAsia="Calibri"/>
              </w:rPr>
              <w:t>n</w:t>
            </w:r>
            <w:r w:rsidRPr="009278DF">
              <w:rPr>
                <w:rFonts w:eastAsia="Calibri"/>
              </w:rPr>
              <w:t xml:space="preserve"> </w:t>
            </w:r>
            <w:r w:rsidRPr="009278DF">
              <w:rPr>
                <w:rFonts w:eastAsia="Calibri"/>
                <w:b/>
                <w:bCs/>
              </w:rPr>
              <w:t>appetite for guidance material</w:t>
            </w:r>
            <w:r w:rsidRPr="009278DF">
              <w:rPr>
                <w:rFonts w:eastAsia="Calibri"/>
              </w:rPr>
              <w:t xml:space="preserve"> to support sector-specific uplift in security and resilience</w:t>
            </w:r>
            <w:r>
              <w:rPr>
                <w:rFonts w:eastAsia="Calibri"/>
              </w:rPr>
              <w:t>.</w:t>
            </w:r>
            <w:r w:rsidRPr="009278DF">
              <w:rPr>
                <w:rFonts w:eastAsia="Calibri"/>
              </w:rPr>
              <w:t xml:space="preserve"> </w:t>
            </w:r>
            <w:r>
              <w:rPr>
                <w:rFonts w:eastAsia="Calibri"/>
              </w:rPr>
              <w:t xml:space="preserve">Industry was receptive to supporting Government to devise this material. </w:t>
            </w:r>
          </w:p>
          <w:p w14:paraId="6D495B21" w14:textId="408FE775" w:rsidR="00EC6D7E" w:rsidRPr="001A5772" w:rsidRDefault="00EC6D7E" w:rsidP="001A5772">
            <w:pPr>
              <w:pStyle w:val="TableBullet"/>
              <w:rPr>
                <w:rFonts w:eastAsia="Calibri"/>
              </w:rPr>
            </w:pPr>
            <w:r>
              <w:rPr>
                <w:rFonts w:eastAsia="Calibri"/>
              </w:rPr>
              <w:t xml:space="preserve">Industry welcomed the use of </w:t>
            </w:r>
            <w:r>
              <w:rPr>
                <w:rFonts w:eastAsia="Calibri"/>
                <w:b/>
                <w:bCs/>
              </w:rPr>
              <w:t xml:space="preserve">AusCheck. </w:t>
            </w:r>
          </w:p>
        </w:tc>
        <w:tc>
          <w:tcPr>
            <w:tcW w:w="2058" w:type="pct"/>
          </w:tcPr>
          <w:p w14:paraId="3239F50E" w14:textId="77777777" w:rsidR="00EC6D7E" w:rsidRPr="00CB1326" w:rsidRDefault="00EC6D7E" w:rsidP="001A5772">
            <w:pPr>
              <w:pStyle w:val="TableBody"/>
            </w:pPr>
            <w:r w:rsidRPr="009278DF">
              <w:rPr>
                <w:szCs w:val="24"/>
                <w:lang w:eastAsia="en-AU"/>
              </w:rPr>
              <w:t>In response to feedback received during the information sessions, the Department committed to</w:t>
            </w:r>
            <w:r>
              <w:t xml:space="preserve"> t</w:t>
            </w:r>
            <w:r w:rsidRPr="00CB1326">
              <w:t xml:space="preserve">he development of guidance materials, which would highlight aspects of risk management that should be prioritised by responsible entities and assist industry in interpreting and implementing the rules to achieve an uplift in security and resilience.  </w:t>
            </w:r>
          </w:p>
        </w:tc>
      </w:tr>
    </w:tbl>
    <w:p w14:paraId="419C329A" w14:textId="77777777" w:rsidR="00EC6D7E" w:rsidRPr="00C768BC" w:rsidRDefault="00EC6D7E" w:rsidP="00FF1641">
      <w:pPr>
        <w:pStyle w:val="AppendixH2"/>
      </w:pPr>
      <w:r w:rsidRPr="00C768BC">
        <w:t xml:space="preserve">Consultation on costs </w:t>
      </w:r>
    </w:p>
    <w:p w14:paraId="204E0521" w14:textId="77777777" w:rsidR="00EC6D7E" w:rsidRPr="003645A2" w:rsidRDefault="00EC6D7E" w:rsidP="00FF1641">
      <w:pPr>
        <w:pStyle w:val="BodyText"/>
      </w:pPr>
      <w:r w:rsidRPr="003645A2">
        <w:t xml:space="preserve">During </w:t>
      </w:r>
      <w:r>
        <w:t>the second information session</w:t>
      </w:r>
      <w:r w:rsidRPr="003645A2">
        <w:t>,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6C278BE4" w14:textId="77777777" w:rsidR="00EC6D7E" w:rsidRPr="003645A2" w:rsidRDefault="00EC6D7E" w:rsidP="00FF1641">
      <w:pPr>
        <w:pStyle w:val="Bullet1stlevel"/>
      </w:pPr>
      <w:r w:rsidRPr="003645A2">
        <w:t xml:space="preserve">Their demographic information; </w:t>
      </w:r>
    </w:p>
    <w:p w14:paraId="442E9FEA" w14:textId="77777777" w:rsidR="00EC6D7E" w:rsidRPr="001A5772" w:rsidRDefault="00EC6D7E" w:rsidP="00FF1641">
      <w:pPr>
        <w:pStyle w:val="Bullet1stlevel"/>
        <w:rPr>
          <w:spacing w:val="-2"/>
        </w:rPr>
      </w:pPr>
      <w:r w:rsidRPr="001A5772">
        <w:rPr>
          <w:spacing w:val="-2"/>
        </w:rPr>
        <w:t xml:space="preserve">Effort and cost estimates split by one-off and ongoing costs, staff effort, capital and other operating costs, and an estimated range between expected costs and highest possible costs; and </w:t>
      </w:r>
    </w:p>
    <w:p w14:paraId="4BB9B809" w14:textId="77777777" w:rsidR="00EC6D7E" w:rsidRPr="003645A2" w:rsidRDefault="00EC6D7E" w:rsidP="00FF1641">
      <w:pPr>
        <w:pStyle w:val="Bullet1stlevel"/>
      </w:pPr>
      <w:r w:rsidRPr="003645A2">
        <w:t xml:space="preserve">Any comments on key boundaries, assumptions and cost drivers attached to the costing estimates provided. </w:t>
      </w:r>
    </w:p>
    <w:p w14:paraId="2ED61DEB" w14:textId="77777777" w:rsidR="00EC6D7E" w:rsidRPr="003B38F9" w:rsidRDefault="00EC6D7E" w:rsidP="00FF1641">
      <w:pPr>
        <w:pStyle w:val="BodyText"/>
      </w:pPr>
      <w:r w:rsidRPr="003645A2">
        <w:t xml:space="preserve">Industry was provided with the template on </w:t>
      </w:r>
      <w:r>
        <w:t>24 November</w:t>
      </w:r>
      <w:r w:rsidRPr="003645A2">
        <w:rPr>
          <w:bCs/>
        </w:rPr>
        <w:t xml:space="preserve"> 2021</w:t>
      </w:r>
      <w:r w:rsidRPr="003645A2">
        <w:t xml:space="preserve">, with submissions open for a period of four weeks and closing on </w:t>
      </w:r>
      <w:r>
        <w:t>22</w:t>
      </w:r>
      <w:r w:rsidRPr="003645A2">
        <w:rPr>
          <w:bCs/>
        </w:rPr>
        <w:t xml:space="preserve"> </w:t>
      </w:r>
      <w:r>
        <w:rPr>
          <w:bCs/>
        </w:rPr>
        <w:t>December</w:t>
      </w:r>
      <w:r w:rsidRPr="003645A2">
        <w:rPr>
          <w:bCs/>
        </w:rPr>
        <w:t xml:space="preserve"> 2021</w:t>
      </w:r>
      <w:r w:rsidRPr="003645A2">
        <w:t>.</w:t>
      </w:r>
    </w:p>
    <w:p w14:paraId="1704C46B" w14:textId="4DAC306F" w:rsidR="00BA5D01" w:rsidRPr="00BA5D01" w:rsidRDefault="00EC6D7E" w:rsidP="00BA5D01">
      <w:pPr>
        <w:pStyle w:val="BodyText"/>
      </w:pPr>
      <w:r w:rsidRPr="003B38F9">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sidRPr="003B38F9">
        <w:rPr>
          <w:vertAlign w:val="superscript"/>
        </w:rPr>
        <w:footnoteReference w:id="203"/>
      </w:r>
      <w:r w:rsidRPr="003B38F9">
        <w:t xml:space="preserve"> </w:t>
      </w:r>
    </w:p>
    <w:p w14:paraId="2CEFF60B" w14:textId="3666CDDA" w:rsidR="000C3D44" w:rsidRDefault="000C3D44" w:rsidP="001A5772">
      <w:pPr>
        <w:pStyle w:val="AppendixH1"/>
      </w:pPr>
      <w:bookmarkStart w:id="608" w:name="_Toc121397420"/>
      <w:r w:rsidRPr="00C57B69">
        <w:lastRenderedPageBreak/>
        <w:t>Supplementary information for critical</w:t>
      </w:r>
      <w:r w:rsidRPr="006C22CD">
        <w:t xml:space="preserve"> </w:t>
      </w:r>
      <w:r w:rsidR="00962FEC" w:rsidRPr="006C22CD">
        <w:t>liquid fuels</w:t>
      </w:r>
      <w:r w:rsidRPr="006C22CD">
        <w:t xml:space="preserve"> assets</w:t>
      </w:r>
      <w:bookmarkEnd w:id="608"/>
    </w:p>
    <w:p w14:paraId="0CBECE2E" w14:textId="77777777" w:rsidR="000C3D44" w:rsidRDefault="000C3D44" w:rsidP="001A5772">
      <w:pPr>
        <w:pStyle w:val="AppendixH2"/>
      </w:pPr>
      <w:r>
        <w:t xml:space="preserve">Overview of the role of </w:t>
      </w:r>
      <w:r w:rsidR="00AE6606">
        <w:t>liquid fuels</w:t>
      </w:r>
      <w:r>
        <w:t xml:space="preserve"> in Australia</w:t>
      </w:r>
    </w:p>
    <w:p w14:paraId="0EF86772" w14:textId="77777777" w:rsidR="006A4955" w:rsidRPr="009A382A" w:rsidRDefault="006A4955" w:rsidP="001A5772">
      <w:pPr>
        <w:pStyle w:val="BodyText"/>
      </w:pPr>
      <w:r w:rsidRPr="009A382A">
        <w:t>Australia’s economy is reliant on liquid fuel and will be for some time to come. Liquid fuel makes up 52 per cent of Australia’s final energy consumption and includes petrol, diesel, jet fuel and biofuels. Our demand is different depending on fuel type. Diesel demand is growing faster than the economy, driven by growth in mining and agriculture and growth in diesel vehicle use. The fast-growing market for international tourism to Australia is also pushing up jet fuel demand. Petrol use has levelled off as people switch to diesel-fuelled cars, and fuel efficiencies in petrol vehicles allow people to drive further on each litre of fuel.</w:t>
      </w:r>
      <w:r w:rsidRPr="009A382A">
        <w:rPr>
          <w:rStyle w:val="FootnoteReference"/>
        </w:rPr>
        <w:footnoteReference w:id="204"/>
      </w:r>
    </w:p>
    <w:p w14:paraId="6AA544BF" w14:textId="77777777" w:rsidR="006A4955" w:rsidRPr="009A382A" w:rsidRDefault="006A4955" w:rsidP="001A5772">
      <w:pPr>
        <w:pStyle w:val="BodyText"/>
      </w:pPr>
      <w:r w:rsidRPr="009A382A">
        <w:t xml:space="preserve">The transport sector makes up 75 per cent of our total liquid fuel demand. It includes road (passenger and freight), rail, shipping and air transport. Mining, agriculture and manufacturing (including petrochemicals) make up the most significant industry demand for liquid fuel. Both mining and agriculture are over 90 per cent reliant on diesel, and this partly drives the growth in demand for diesel. Under normal circumstances, use by the Australian Defence Force equates to </w:t>
      </w:r>
      <w:r>
        <w:t>three</w:t>
      </w:r>
      <w:r w:rsidRPr="009A382A">
        <w:t xml:space="preserve"> per cent of our national demand for jet fuel and about 0.5 per cent of national demand for diesel. This suggests that any actions taken to improve fuel security in Australia need to take into consideration fuel types and usage. Securing diesel and jet fuel is more important than securing supplies of petrol. In an emergency, we are most likely to need diesel and jet fuel for essential users. However, we know that Australia holds less stock and meets less of our own refining needs for diesel when compared with petrol.</w:t>
      </w:r>
      <w:r>
        <w:rPr>
          <w:rStyle w:val="FootnoteReference"/>
        </w:rPr>
        <w:footnoteReference w:id="205"/>
      </w:r>
    </w:p>
    <w:p w14:paraId="614B4666" w14:textId="698B337C" w:rsidR="006A4955" w:rsidRPr="00ED3299" w:rsidRDefault="006A4955" w:rsidP="001A5772">
      <w:pPr>
        <w:pStyle w:val="BodyText"/>
      </w:pPr>
      <w:r w:rsidRPr="00416325">
        <w:t xml:space="preserve">The </w:t>
      </w:r>
      <w:r w:rsidR="00384419">
        <w:t>SOCI Act</w:t>
      </w:r>
      <w:r w:rsidRPr="00416325">
        <w:t xml:space="preserve"> refers to assets within a critical infrastructure sector as ‘critical infrastructure assets’. </w:t>
      </w:r>
      <w:r w:rsidR="00336207">
        <w:t>Section 12A</w:t>
      </w:r>
      <w:r w:rsidRPr="00416325">
        <w:t xml:space="preserve"> of the </w:t>
      </w:r>
      <w:r w:rsidR="00384419">
        <w:t>SOCI Act</w:t>
      </w:r>
      <w:r w:rsidRPr="00416325">
        <w:t xml:space="preserve"> by provid</w:t>
      </w:r>
      <w:r w:rsidR="00336207">
        <w:t>es</w:t>
      </w:r>
      <w:r w:rsidRPr="00416325">
        <w:t xml:space="preserve"> the following in relation to ‘critical liquid fuels assets’</w:t>
      </w:r>
      <w:r w:rsidR="00336207">
        <w:t>:</w:t>
      </w:r>
      <w:r w:rsidRPr="00416325">
        <w:t xml:space="preserve"> </w:t>
      </w:r>
    </w:p>
    <w:p w14:paraId="1FD8B04A" w14:textId="0311C530" w:rsidR="006A4955" w:rsidRPr="00ED3299" w:rsidRDefault="00651C55" w:rsidP="00E06CD3">
      <w:pPr>
        <w:autoSpaceDE w:val="0"/>
        <w:autoSpaceDN w:val="0"/>
        <w:adjustRightInd w:val="0"/>
        <w:spacing w:after="160" w:line="259" w:lineRule="auto"/>
        <w:rPr>
          <w:rFonts w:ascii="Arial" w:eastAsia="Calibri" w:hAnsi="Arial" w:cs="Arial"/>
          <w:i/>
          <w:iCs/>
          <w:color w:val="000000"/>
          <w:sz w:val="22"/>
        </w:rPr>
      </w:pPr>
      <w:r>
        <w:rPr>
          <w:rFonts w:ascii="Arial" w:eastAsia="Calibri" w:hAnsi="Arial" w:cs="Arial"/>
          <w:i/>
          <w:iCs/>
          <w:color w:val="000000"/>
          <w:sz w:val="22"/>
        </w:rPr>
        <w:t xml:space="preserve">(1) </w:t>
      </w:r>
      <w:r w:rsidR="006A4955" w:rsidRPr="00ED3299">
        <w:rPr>
          <w:rFonts w:ascii="Arial" w:eastAsia="Calibri" w:hAnsi="Arial" w:cs="Arial"/>
          <w:i/>
          <w:iCs/>
          <w:color w:val="000000"/>
          <w:sz w:val="22"/>
        </w:rPr>
        <w:t xml:space="preserve">An asset </w:t>
      </w:r>
      <w:r w:rsidR="006A4955" w:rsidRPr="00ED3299">
        <w:rPr>
          <w:rFonts w:ascii="Arial" w:eastAsia="Calibri" w:hAnsi="Arial" w:cs="Arial"/>
          <w:i/>
          <w:iCs/>
          <w:sz w:val="22"/>
        </w:rPr>
        <w:t xml:space="preserve">is a </w:t>
      </w:r>
      <w:r w:rsidR="006A4955" w:rsidRPr="00ED3299">
        <w:rPr>
          <w:rFonts w:ascii="Arial" w:eastAsia="Times New Roman" w:hAnsi="Arial" w:cs="Arial"/>
          <w:b/>
          <w:bCs/>
          <w:i/>
          <w:iCs/>
          <w:sz w:val="22"/>
        </w:rPr>
        <w:t>critical liquid fuels asset</w:t>
      </w:r>
      <w:r w:rsidR="006A4955" w:rsidRPr="00ED3299">
        <w:rPr>
          <w:rFonts w:ascii="Arial" w:eastAsia="Calibri" w:hAnsi="Arial" w:cs="Arial"/>
          <w:i/>
          <w:iCs/>
          <w:sz w:val="22"/>
        </w:rPr>
        <w:t xml:space="preserve"> </w:t>
      </w:r>
      <w:r w:rsidR="006A4955" w:rsidRPr="00ED3299">
        <w:rPr>
          <w:rFonts w:ascii="Arial" w:eastAsia="Calibri" w:hAnsi="Arial" w:cs="Arial"/>
          <w:i/>
          <w:iCs/>
          <w:color w:val="000000"/>
          <w:sz w:val="22"/>
        </w:rPr>
        <w:t xml:space="preserve">if it is: </w:t>
      </w:r>
    </w:p>
    <w:p w14:paraId="56EFDCAD" w14:textId="77777777" w:rsidR="006A4955" w:rsidRPr="00ED3299" w:rsidRDefault="006A4955" w:rsidP="007F265A">
      <w:pPr>
        <w:pStyle w:val="ListParagraph"/>
        <w:numPr>
          <w:ilvl w:val="0"/>
          <w:numId w:val="113"/>
        </w:numPr>
        <w:spacing w:line="264" w:lineRule="auto"/>
        <w:contextualSpacing w:val="0"/>
        <w:rPr>
          <w:szCs w:val="22"/>
        </w:rPr>
      </w:pPr>
      <w:r w:rsidRPr="00ED3299">
        <w:rPr>
          <w:szCs w:val="22"/>
        </w:rPr>
        <w:t>A liquid fuel refinery that is critical to ensuring the security and reliability of a liquid fuel market, in accordance with subsection (2); or</w:t>
      </w:r>
    </w:p>
    <w:p w14:paraId="4AF1B1DD" w14:textId="77777777" w:rsidR="006A4955" w:rsidRPr="00ED3299" w:rsidRDefault="006A4955" w:rsidP="007F265A">
      <w:pPr>
        <w:pStyle w:val="ListParagraph"/>
        <w:numPr>
          <w:ilvl w:val="0"/>
          <w:numId w:val="113"/>
        </w:numPr>
        <w:spacing w:line="264" w:lineRule="auto"/>
        <w:contextualSpacing w:val="0"/>
        <w:rPr>
          <w:szCs w:val="22"/>
        </w:rPr>
      </w:pPr>
      <w:r w:rsidRPr="00ED3299">
        <w:rPr>
          <w:szCs w:val="22"/>
        </w:rPr>
        <w:t>A liquid fuel pipeline that is critical to ensuring the security and reliability of a liquid fuel market, in accordance with subsection (3); or</w:t>
      </w:r>
    </w:p>
    <w:p w14:paraId="35413D08" w14:textId="77777777" w:rsidR="006A4955" w:rsidRPr="00ED3299" w:rsidRDefault="006A4955" w:rsidP="007F265A">
      <w:pPr>
        <w:pStyle w:val="ListParagraph"/>
        <w:numPr>
          <w:ilvl w:val="0"/>
          <w:numId w:val="113"/>
        </w:numPr>
        <w:spacing w:line="264" w:lineRule="auto"/>
        <w:contextualSpacing w:val="0"/>
        <w:rPr>
          <w:szCs w:val="22"/>
        </w:rPr>
      </w:pPr>
      <w:r w:rsidRPr="00ED3299">
        <w:rPr>
          <w:szCs w:val="22"/>
        </w:rPr>
        <w:t>a liquid fuel storage facility that is critical to ensuring the security and reliability of a liquid fuel market, in accordance with subsection (4).</w:t>
      </w:r>
    </w:p>
    <w:p w14:paraId="22CF3C44" w14:textId="00EAC4E5" w:rsidR="006A4955" w:rsidRPr="006B0CA4" w:rsidRDefault="00651C55" w:rsidP="00E06CD3">
      <w:pPr>
        <w:pStyle w:val="ListParagraph"/>
        <w:numPr>
          <w:ilvl w:val="0"/>
          <w:numId w:val="0"/>
        </w:numPr>
        <w:spacing w:line="264" w:lineRule="auto"/>
        <w:ind w:left="426"/>
        <w:contextualSpacing w:val="0"/>
        <w:rPr>
          <w:i/>
          <w:iCs/>
          <w:szCs w:val="22"/>
        </w:rPr>
      </w:pPr>
      <w:r>
        <w:rPr>
          <w:i/>
          <w:iCs/>
          <w:szCs w:val="22"/>
        </w:rPr>
        <w:t xml:space="preserve">(2) </w:t>
      </w:r>
      <w:r w:rsidR="006A4955" w:rsidRPr="006B0CA4">
        <w:rPr>
          <w:i/>
          <w:iCs/>
          <w:szCs w:val="22"/>
        </w:rPr>
        <w:t>For the purposes of paragraph (1) (a), the rules may prescribe: (a) specified liquid fuel refineries that are critical to ensuring the security and reliability of a liquid fuel market; (b) requirements for a liquid fuel refinery to be critical to ensuring the security and reliability of a liquid fuel market.</w:t>
      </w:r>
    </w:p>
    <w:p w14:paraId="0347C6D0" w14:textId="4B29D628" w:rsidR="006A4955" w:rsidRPr="006B0CA4" w:rsidRDefault="00651C55" w:rsidP="00E06CD3">
      <w:pPr>
        <w:pStyle w:val="ListParagraph"/>
        <w:numPr>
          <w:ilvl w:val="0"/>
          <w:numId w:val="0"/>
        </w:numPr>
        <w:spacing w:line="264" w:lineRule="auto"/>
        <w:ind w:left="426"/>
        <w:contextualSpacing w:val="0"/>
        <w:rPr>
          <w:i/>
          <w:iCs/>
          <w:szCs w:val="22"/>
        </w:rPr>
      </w:pPr>
      <w:r>
        <w:rPr>
          <w:i/>
          <w:iCs/>
          <w:szCs w:val="22"/>
        </w:rPr>
        <w:t xml:space="preserve">(3) </w:t>
      </w:r>
      <w:r w:rsidR="006A4955" w:rsidRPr="006B0CA4">
        <w:rPr>
          <w:i/>
          <w:iCs/>
          <w:szCs w:val="22"/>
        </w:rPr>
        <w:t>For the purposes of paragraph (1)(b), the rules may prescribe: (a) specified liquid fuel pipelines that are critical to ensuring the security and reliability of a liquid fuel market; or (b) requirements for a liquid fuel pipeline to be critical to ensuring the security and reliability of a liquid fuel market.</w:t>
      </w:r>
    </w:p>
    <w:p w14:paraId="73A2BF53" w14:textId="545C687C" w:rsidR="006A4955" w:rsidRPr="006B0CA4" w:rsidRDefault="00651C55" w:rsidP="00E06CD3">
      <w:pPr>
        <w:pStyle w:val="ListParagraph"/>
        <w:numPr>
          <w:ilvl w:val="0"/>
          <w:numId w:val="0"/>
        </w:numPr>
        <w:spacing w:line="264" w:lineRule="auto"/>
        <w:ind w:left="426"/>
        <w:contextualSpacing w:val="0"/>
        <w:rPr>
          <w:i/>
          <w:iCs/>
          <w:szCs w:val="22"/>
        </w:rPr>
      </w:pPr>
      <w:r>
        <w:rPr>
          <w:i/>
          <w:iCs/>
          <w:szCs w:val="22"/>
        </w:rPr>
        <w:t xml:space="preserve">(4) </w:t>
      </w:r>
      <w:r w:rsidR="006A4955" w:rsidRPr="006B0CA4">
        <w:rPr>
          <w:i/>
          <w:iCs/>
          <w:szCs w:val="22"/>
        </w:rPr>
        <w:t xml:space="preserve">For the purposes of paragraph (1)(c), the rules may prescribe: (a) specified liquid fuel storage facilities that are critical to ensuring the security and reliability of a liquid fuel market; </w:t>
      </w:r>
      <w:r w:rsidR="006A4955" w:rsidRPr="006B0CA4">
        <w:rPr>
          <w:i/>
          <w:iCs/>
          <w:szCs w:val="22"/>
        </w:rPr>
        <w:lastRenderedPageBreak/>
        <w:t>or (b) requirements for a liquid fuel storage facility to be critical to ensuring the security and reliability of a liquid fuel market.</w:t>
      </w:r>
    </w:p>
    <w:p w14:paraId="4592C1F9" w14:textId="77777777" w:rsidR="000C3D44" w:rsidRDefault="000C3D44" w:rsidP="001A5772">
      <w:pPr>
        <w:pStyle w:val="AppendixH2"/>
      </w:pPr>
      <w:r>
        <w:t xml:space="preserve">Impacts of a disruption to </w:t>
      </w:r>
      <w:r w:rsidR="008F4098">
        <w:t>critical liquid fuel assets</w:t>
      </w:r>
    </w:p>
    <w:p w14:paraId="2A2850BD" w14:textId="77777777" w:rsidR="00F239F5" w:rsidRPr="00374A1D" w:rsidRDefault="008F4098" w:rsidP="001A5772">
      <w:pPr>
        <w:pStyle w:val="Bullet1stlevel"/>
      </w:pPr>
      <w:r>
        <w:t>D</w:t>
      </w:r>
      <w:r w:rsidR="00F239F5" w:rsidRPr="00374A1D">
        <w:t>isruptions to transport infrastructure, traffic management systems and fuel supplies;</w:t>
      </w:r>
    </w:p>
    <w:p w14:paraId="67AE2FFC" w14:textId="77777777" w:rsidR="00F239F5" w:rsidRPr="00374A1D" w:rsidRDefault="008F4098" w:rsidP="001A5772">
      <w:pPr>
        <w:pStyle w:val="Bullet1stlevel"/>
      </w:pPr>
      <w:r>
        <w:t>R</w:t>
      </w:r>
      <w:r w:rsidR="00F239F5" w:rsidRPr="00374A1D">
        <w:t>eductions in the reliability of the supply of food and groceries</w:t>
      </w:r>
      <w:r w:rsidR="00F239F5">
        <w:t>, in particular relating to the agriculture sector</w:t>
      </w:r>
      <w:r w:rsidR="00F239F5" w:rsidRPr="00374A1D">
        <w:t xml:space="preserve">; </w:t>
      </w:r>
    </w:p>
    <w:p w14:paraId="2073C1C6" w14:textId="77777777" w:rsidR="00F239F5" w:rsidRPr="00E07EC9" w:rsidRDefault="008F4098" w:rsidP="001A5772">
      <w:pPr>
        <w:pStyle w:val="Bullet1stlevel"/>
      </w:pPr>
      <w:r>
        <w:t>D</w:t>
      </w:r>
      <w:r w:rsidR="00F239F5" w:rsidRPr="00374A1D">
        <w:t xml:space="preserve">isruptions to Australia’s defence capabilities; </w:t>
      </w:r>
      <w:r>
        <w:t>and</w:t>
      </w:r>
    </w:p>
    <w:p w14:paraId="13DD79A3" w14:textId="77777777" w:rsidR="000C3D44" w:rsidRPr="00626217" w:rsidRDefault="008F4098" w:rsidP="001A5772">
      <w:pPr>
        <w:pStyle w:val="Bullet1stlevel"/>
      </w:pPr>
      <w:r>
        <w:t>A</w:t>
      </w:r>
      <w:r w:rsidR="00F239F5" w:rsidRPr="00374A1D">
        <w:t xml:space="preserve">n inability for businesses and governments to function as normal. </w:t>
      </w:r>
    </w:p>
    <w:p w14:paraId="3290183D" w14:textId="77777777" w:rsidR="005D54C8" w:rsidRPr="005D54C8" w:rsidRDefault="000C3D44" w:rsidP="001A5772">
      <w:pPr>
        <w:pStyle w:val="AppendixH2"/>
      </w:pPr>
      <w:r>
        <w:t xml:space="preserve">Examples of disruptions to </w:t>
      </w:r>
      <w:r w:rsidR="008F4098">
        <w:t>critical liquid fuel assets</w:t>
      </w:r>
      <w:r>
        <w:t xml:space="preserve"> – domestic and international</w:t>
      </w:r>
    </w:p>
    <w:tbl>
      <w:tblPr>
        <w:tblStyle w:val="GridTable2-Accent51"/>
        <w:tblW w:w="5000" w:type="pct"/>
        <w:tblBorders>
          <w:top w:val="none" w:sz="0" w:space="0" w:color="auto"/>
          <w:bottom w:val="single" w:sz="4" w:space="0" w:color="BFBFBF" w:themeColor="background1" w:themeShade="BF"/>
          <w:insideH w:val="single" w:sz="4" w:space="0" w:color="BFBFBF" w:themeColor="background1" w:themeShade="BF"/>
          <w:insideV w:val="none" w:sz="0" w:space="0" w:color="auto"/>
        </w:tblBorders>
        <w:tblLook w:val="0600" w:firstRow="0" w:lastRow="0" w:firstColumn="0" w:lastColumn="0" w:noHBand="1" w:noVBand="1"/>
      </w:tblPr>
      <w:tblGrid>
        <w:gridCol w:w="6228"/>
        <w:gridCol w:w="3410"/>
      </w:tblGrid>
      <w:tr w:rsidR="00FB6B32" w14:paraId="00F596F5" w14:textId="77777777" w:rsidTr="00A80D96">
        <w:trPr>
          <w:cantSplit/>
        </w:trPr>
        <w:tc>
          <w:tcPr>
            <w:tcW w:w="3231" w:type="pct"/>
            <w:shd w:val="clear" w:color="auto" w:fill="034EA2" w:themeFill="accent1"/>
          </w:tcPr>
          <w:p w14:paraId="5CFEB493" w14:textId="77777777" w:rsidR="00FB6B32" w:rsidRDefault="00FB6B32" w:rsidP="00A80D96">
            <w:pPr>
              <w:pStyle w:val="TableHeading"/>
              <w:rPr>
                <w:rFonts w:ascii="Calibri" w:eastAsia="Calibri" w:hAnsi="Calibri" w:cs="Times New Roman"/>
              </w:rPr>
            </w:pPr>
            <w:r w:rsidRPr="0091632E">
              <w:t>2021 United Kingdom (UK) Fuel Supply Crisis</w:t>
            </w:r>
          </w:p>
        </w:tc>
        <w:tc>
          <w:tcPr>
            <w:tcW w:w="1769" w:type="pct"/>
            <w:shd w:val="clear" w:color="auto" w:fill="007BC3" w:themeFill="accent2"/>
          </w:tcPr>
          <w:p w14:paraId="32625221" w14:textId="77777777" w:rsidR="00FB6B32" w:rsidRDefault="00FB6B32" w:rsidP="00A80D96">
            <w:pPr>
              <w:pStyle w:val="Tableriskcategory"/>
            </w:pPr>
            <w:r w:rsidRPr="00F71253">
              <w:t>Supply chain</w:t>
            </w:r>
            <w:r>
              <w:t>, personnel</w:t>
            </w:r>
          </w:p>
        </w:tc>
      </w:tr>
      <w:tr w:rsidR="00FB6B32" w14:paraId="4990E8B0" w14:textId="77777777" w:rsidTr="00A80D96">
        <w:trPr>
          <w:cantSplit/>
        </w:trPr>
        <w:tc>
          <w:tcPr>
            <w:tcW w:w="5000" w:type="pct"/>
            <w:gridSpan w:val="2"/>
            <w:shd w:val="clear" w:color="auto" w:fill="FFFFFF"/>
          </w:tcPr>
          <w:p w14:paraId="68ACD5BF" w14:textId="77777777" w:rsidR="00FB6B32" w:rsidRDefault="00FB6B32" w:rsidP="005A0C7F">
            <w:pPr>
              <w:pStyle w:val="TableBody"/>
              <w:rPr>
                <w:b/>
                <w:bCs/>
              </w:rPr>
            </w:pPr>
            <w:r w:rsidRPr="00A80D96">
              <w:rPr>
                <w:b/>
                <w:bCs/>
              </w:rPr>
              <w:t>Situation</w:t>
            </w:r>
            <w:r w:rsidRPr="00374A1D">
              <w:t xml:space="preserve">: </w:t>
            </w:r>
            <w:r w:rsidRPr="00FF74F8">
              <w:t xml:space="preserve">In September 2021, </w:t>
            </w:r>
            <w:r>
              <w:t>the UK</w:t>
            </w:r>
            <w:r w:rsidRPr="00FF74F8">
              <w:t xml:space="preserve"> suffered a fuel supply shortage</w:t>
            </w:r>
            <w:r>
              <w:t xml:space="preserve"> for a period of a few weeks, in which petrol stations in some parts of the UK ran out of fuel completely. There were lengthy </w:t>
            </w:r>
            <w:r w:rsidRPr="00FF74F8">
              <w:t>line-ups at petrol stations and panic buying</w:t>
            </w:r>
            <w:r>
              <w:t xml:space="preserve"> occurred</w:t>
            </w:r>
            <w:r w:rsidRPr="00FF74F8">
              <w:t>, putting supply chains under extreme pressure. A £30 ($54 AUD) cap on fuel purchases was imposed to help manage the limited fuel supply.</w:t>
            </w:r>
            <w:r>
              <w:rPr>
                <w:rStyle w:val="FootnoteReference"/>
                <w:rFonts w:ascii="Arial" w:eastAsia="Times New Roman" w:hAnsi="Arial" w:cs="Arial"/>
              </w:rPr>
              <w:footnoteReference w:id="206"/>
            </w:r>
          </w:p>
        </w:tc>
      </w:tr>
      <w:tr w:rsidR="0092662E" w14:paraId="21C05787" w14:textId="77777777" w:rsidTr="00A80D96">
        <w:trPr>
          <w:cantSplit/>
        </w:trPr>
        <w:tc>
          <w:tcPr>
            <w:tcW w:w="5000" w:type="pct"/>
            <w:gridSpan w:val="2"/>
            <w:shd w:val="clear" w:color="auto" w:fill="F2F2F2" w:themeFill="accent6"/>
          </w:tcPr>
          <w:p w14:paraId="573B873F" w14:textId="77777777" w:rsidR="00FB6B32" w:rsidRDefault="00FB6B32" w:rsidP="005A0C7F">
            <w:pPr>
              <w:pStyle w:val="TableBody"/>
              <w:rPr>
                <w:b/>
                <w:bCs/>
              </w:rPr>
            </w:pPr>
            <w:r w:rsidRPr="00A80D96">
              <w:rPr>
                <w:b/>
                <w:bCs/>
              </w:rPr>
              <w:t>Outcome</w:t>
            </w:r>
            <w:r w:rsidRPr="00374A1D">
              <w:t xml:space="preserve">: </w:t>
            </w:r>
            <w:r w:rsidRPr="00F337C1">
              <w:t>The fuel supply crisis impacted businesses who rely on fuel to fill up their car to run their services and earn their income</w:t>
            </w:r>
            <w:r w:rsidR="00336207">
              <w:t>,</w:t>
            </w:r>
            <w:r w:rsidRPr="00F337C1">
              <w:t xml:space="preserve"> especially for taxi drivers.</w:t>
            </w:r>
            <w:r>
              <w:t xml:space="preserve"> </w:t>
            </w:r>
            <w:r w:rsidRPr="00647CF3">
              <w:t>As a result of the shortage and the surge in demand, several petrol stations increased their rates</w:t>
            </w:r>
            <w:r>
              <w:t>.</w:t>
            </w:r>
            <w:r w:rsidRPr="007E7431">
              <w:t xml:space="preserve"> There was also a rapid depletion of fuel supplies and a labour shortage in critical industries such as road transportation, processing and handling, distribution, and manufacturing</w:t>
            </w:r>
            <w:r>
              <w:t>.</w:t>
            </w:r>
            <w:r>
              <w:rPr>
                <w:rStyle w:val="FootnoteReference"/>
                <w:rFonts w:ascii="Arial" w:eastAsia="Times New Roman" w:hAnsi="Arial" w:cs="Arial"/>
              </w:rPr>
              <w:footnoteReference w:id="207"/>
            </w:r>
          </w:p>
        </w:tc>
      </w:tr>
      <w:tr w:rsidR="00FB6B32" w14:paraId="43821B4A" w14:textId="77777777" w:rsidTr="00A80D96">
        <w:trPr>
          <w:cantSplit/>
        </w:trPr>
        <w:tc>
          <w:tcPr>
            <w:tcW w:w="5000" w:type="pct"/>
            <w:gridSpan w:val="2"/>
            <w:tcBorders>
              <w:bottom w:val="single" w:sz="4" w:space="0" w:color="BFBFBF" w:themeColor="background1" w:themeShade="BF"/>
            </w:tcBorders>
            <w:shd w:val="clear" w:color="auto" w:fill="FFFFFF"/>
          </w:tcPr>
          <w:p w14:paraId="6AEA8F23" w14:textId="77777777" w:rsidR="00FB6B32" w:rsidRDefault="00FB6B32" w:rsidP="005A0C7F">
            <w:pPr>
              <w:pStyle w:val="TableBody"/>
              <w:rPr>
                <w:rFonts w:ascii="PT Serif" w:hAnsi="PT Serif"/>
                <w:sz w:val="27"/>
                <w:szCs w:val="27"/>
                <w:shd w:val="clear" w:color="auto" w:fill="FFFFFF"/>
              </w:rPr>
            </w:pPr>
            <w:r w:rsidRPr="00A80D96">
              <w:rPr>
                <w:b/>
                <w:bCs/>
              </w:rPr>
              <w:t>Identified Gap:</w:t>
            </w:r>
            <w:r w:rsidRPr="00374A1D">
              <w:t xml:space="preserve"> </w:t>
            </w:r>
            <w:r w:rsidRPr="00174F53">
              <w:t>According to industry experts, the fuel supply crisis was caused by a variety of factors, including a shortage of H</w:t>
            </w:r>
            <w:r>
              <w:t>eavy Goods Vehicle (HG</w:t>
            </w:r>
            <w:r w:rsidRPr="00174F53">
              <w:t>V</w:t>
            </w:r>
            <w:r>
              <w:t>)</w:t>
            </w:r>
            <w:r w:rsidRPr="00174F53">
              <w:t xml:space="preserve"> drivers, leaked information about BP storage levels, Brexit, and the COVID-19 pandemic. </w:t>
            </w:r>
            <w:r>
              <w:t>T</w:t>
            </w:r>
            <w:r w:rsidRPr="00174F53">
              <w:t>he truck shortage impacted the British economy</w:t>
            </w:r>
            <w:r>
              <w:t xml:space="preserve"> significantly,</w:t>
            </w:r>
            <w:r w:rsidRPr="00174F53">
              <w:t xml:space="preserve"> as</w:t>
            </w:r>
            <w:r>
              <w:t xml:space="preserve"> HGV</w:t>
            </w:r>
            <w:r w:rsidRPr="00174F53">
              <w:t xml:space="preserve"> drivers were faced with delays in obtaining their licences due to the COVID-19 pandemic.</w:t>
            </w:r>
            <w:r>
              <w:t xml:space="preserve"> </w:t>
            </w:r>
            <w:r w:rsidRPr="00877BE8">
              <w:t>Salary increases for HGV drivers ha</w:t>
            </w:r>
            <w:r>
              <w:t xml:space="preserve">d also </w:t>
            </w:r>
            <w:r w:rsidRPr="00877BE8">
              <w:t xml:space="preserve">been implemented to </w:t>
            </w:r>
            <w:r>
              <w:t xml:space="preserve">retain the number of drivers in the workforce </w:t>
            </w:r>
            <w:r w:rsidRPr="00877BE8">
              <w:t xml:space="preserve">and </w:t>
            </w:r>
            <w:r>
              <w:t xml:space="preserve">to </w:t>
            </w:r>
            <w:r w:rsidRPr="00877BE8">
              <w:t xml:space="preserve">ensure that there are adequate drivers </w:t>
            </w:r>
            <w:r>
              <w:t>available to drop of supplies. Overall, the event demonstrated the need for improved regulations and advanced contingency planning to reduce the levels of disruptions in the future.</w:t>
            </w:r>
            <w:r>
              <w:rPr>
                <w:rStyle w:val="FootnoteReference"/>
                <w:rFonts w:ascii="Arial" w:eastAsia="Times New Roman" w:hAnsi="Arial" w:cs="Arial"/>
              </w:rPr>
              <w:footnoteReference w:id="208"/>
            </w:r>
          </w:p>
        </w:tc>
      </w:tr>
      <w:tr w:rsidR="00FB6B32" w14:paraId="342F3247" w14:textId="77777777" w:rsidTr="00A80D96">
        <w:trPr>
          <w:cantSplit/>
        </w:trPr>
        <w:tc>
          <w:tcPr>
            <w:tcW w:w="5000" w:type="pct"/>
            <w:gridSpan w:val="2"/>
            <w:tcBorders>
              <w:top w:val="single" w:sz="4" w:space="0" w:color="BFBFBF" w:themeColor="background1" w:themeShade="BF"/>
              <w:bottom w:val="nil"/>
            </w:tcBorders>
            <w:shd w:val="clear" w:color="auto" w:fill="FFFFFF"/>
          </w:tcPr>
          <w:p w14:paraId="715DBD2C" w14:textId="77777777" w:rsidR="00FB6B32" w:rsidRDefault="00FB6B32" w:rsidP="005A0C7F">
            <w:pPr>
              <w:pStyle w:val="TableBody"/>
            </w:pPr>
          </w:p>
        </w:tc>
      </w:tr>
      <w:tr w:rsidR="00FB6B32" w14:paraId="3044A930" w14:textId="77777777" w:rsidTr="00A80D96">
        <w:trPr>
          <w:cantSplit/>
        </w:trPr>
        <w:tc>
          <w:tcPr>
            <w:tcW w:w="3231" w:type="pct"/>
            <w:tcBorders>
              <w:top w:val="nil"/>
            </w:tcBorders>
            <w:shd w:val="clear" w:color="auto" w:fill="034EA2" w:themeFill="accent1"/>
          </w:tcPr>
          <w:p w14:paraId="11A899D9" w14:textId="77777777" w:rsidR="00FB6B32" w:rsidRDefault="00FB6B32" w:rsidP="00A80D96">
            <w:pPr>
              <w:pStyle w:val="TableHeading"/>
              <w:rPr>
                <w:bCs/>
              </w:rPr>
            </w:pPr>
            <w:r w:rsidRPr="0091632E">
              <w:t>2010 Great Barrier Reef Oil Spill</w:t>
            </w:r>
          </w:p>
        </w:tc>
        <w:tc>
          <w:tcPr>
            <w:tcW w:w="1769" w:type="pct"/>
            <w:tcBorders>
              <w:top w:val="nil"/>
            </w:tcBorders>
            <w:shd w:val="clear" w:color="auto" w:fill="007BC3" w:themeFill="accent2"/>
          </w:tcPr>
          <w:p w14:paraId="0C22DB53" w14:textId="77777777" w:rsidR="00FB6B32" w:rsidRPr="00AE0E18" w:rsidRDefault="00FB6B32" w:rsidP="00A80D96">
            <w:pPr>
              <w:pStyle w:val="Tableriskcategory"/>
            </w:pPr>
            <w:r w:rsidRPr="00AE0E18">
              <w:t>Natural Hazard, Physical</w:t>
            </w:r>
          </w:p>
        </w:tc>
      </w:tr>
      <w:tr w:rsidR="00FB6B32" w14:paraId="181C8C10" w14:textId="77777777" w:rsidTr="00A80D96">
        <w:trPr>
          <w:cantSplit/>
        </w:trPr>
        <w:tc>
          <w:tcPr>
            <w:tcW w:w="5000" w:type="pct"/>
            <w:gridSpan w:val="2"/>
            <w:shd w:val="clear" w:color="auto" w:fill="FFFFFF" w:themeFill="background1"/>
          </w:tcPr>
          <w:p w14:paraId="551B6C74" w14:textId="77777777" w:rsidR="00FB6B32" w:rsidRDefault="00FB6B32" w:rsidP="005A0C7F">
            <w:pPr>
              <w:pStyle w:val="TableBody"/>
            </w:pPr>
            <w:r w:rsidRPr="00A80D96">
              <w:rPr>
                <w:b/>
                <w:bCs/>
              </w:rPr>
              <w:t>Situation</w:t>
            </w:r>
            <w:r w:rsidRPr="00374A1D">
              <w:t xml:space="preserve">: </w:t>
            </w:r>
            <w:r w:rsidRPr="001434B7">
              <w:t>On 3 April 2010, a massive oil spill occurred in Central Queensland, Australia's Great Barrier Reef. The bulk coal carrier MV Shen Neng 1 travelled east of Rockhampton, more than ten kilometres outside the shipping route, and caused the reef's longest grounding heavy liquid fuel oil scar. The scar was approximately three kilometres long and had caused significant long-term damage to the reef.</w:t>
            </w:r>
            <w:r>
              <w:rPr>
                <w:rStyle w:val="FootnoteReference"/>
                <w:rFonts w:ascii="Arial" w:eastAsia="Times New Roman" w:hAnsi="Arial" w:cs="Arial"/>
              </w:rPr>
              <w:footnoteReference w:id="209"/>
            </w:r>
          </w:p>
        </w:tc>
      </w:tr>
      <w:tr w:rsidR="00FB6B32" w14:paraId="25BEEAA6" w14:textId="77777777" w:rsidTr="00A80D96">
        <w:trPr>
          <w:cantSplit/>
        </w:trPr>
        <w:tc>
          <w:tcPr>
            <w:tcW w:w="5000" w:type="pct"/>
            <w:gridSpan w:val="2"/>
            <w:shd w:val="clear" w:color="auto" w:fill="F2F2F2" w:themeFill="accent6"/>
          </w:tcPr>
          <w:p w14:paraId="1A360733" w14:textId="77777777" w:rsidR="00FB6B32" w:rsidRDefault="00FB6B32" w:rsidP="005A0C7F">
            <w:pPr>
              <w:pStyle w:val="TableBody"/>
            </w:pPr>
            <w:r w:rsidRPr="00A80D96">
              <w:rPr>
                <w:b/>
                <w:bCs/>
              </w:rPr>
              <w:lastRenderedPageBreak/>
              <w:t>Outcome</w:t>
            </w:r>
            <w:r w:rsidRPr="00374A1D">
              <w:t xml:space="preserve">: </w:t>
            </w:r>
            <w:r>
              <w:t xml:space="preserve"> </w:t>
            </w:r>
            <w:r w:rsidRPr="00C50E37">
              <w:t>The oil spill clean-up cost $141 million dollars, and the owner of the Chinese coal ship that went around the Great Barrier Reef agreed to pay the Queensland government $35 million dollars and the Great Barrier Reef Marine Park Authority $4.3 million dollars (GBRMPA). Additionally, the spill had a significant environmental impact, as it killed approximately 400 kinds of animals and 500 types of plants. Certain regions have been completely devoid of marine life, resulting in significant long-term harm to the reef.</w:t>
            </w:r>
            <w:r>
              <w:rPr>
                <w:rStyle w:val="FootnoteReference"/>
                <w:rFonts w:ascii="Arial" w:eastAsia="Times New Roman" w:hAnsi="Arial" w:cs="Arial"/>
              </w:rPr>
              <w:footnoteReference w:id="210"/>
            </w:r>
          </w:p>
        </w:tc>
      </w:tr>
      <w:tr w:rsidR="00FB6B32" w14:paraId="3919B682" w14:textId="77777777" w:rsidTr="00A80D96">
        <w:trPr>
          <w:cantSplit/>
        </w:trPr>
        <w:tc>
          <w:tcPr>
            <w:tcW w:w="5000" w:type="pct"/>
            <w:gridSpan w:val="2"/>
            <w:shd w:val="clear" w:color="auto" w:fill="FFFFFF" w:themeFill="background1"/>
          </w:tcPr>
          <w:p w14:paraId="283CA1D8" w14:textId="77777777" w:rsidR="00FB6B32" w:rsidRDefault="00FB6B32" w:rsidP="005A0C7F">
            <w:pPr>
              <w:pStyle w:val="TableBody"/>
            </w:pPr>
            <w:r w:rsidRPr="00A80D96">
              <w:rPr>
                <w:b/>
                <w:bCs/>
              </w:rPr>
              <w:t>Identified Gap:</w:t>
            </w:r>
            <w:r w:rsidRPr="00374A1D">
              <w:t xml:space="preserve"> </w:t>
            </w:r>
            <w:r>
              <w:t xml:space="preserve"> </w:t>
            </w:r>
            <w:r w:rsidRPr="0046717D">
              <w:t>The Australian Transport Safety Bureau launched an enquiry and issued a preliminary report concluding that the officer on duty was fatigued and failed to programme a proposed course adjustment into the ship's GPS navigation system. Additionally, the investigation showed that the chief officer failed to draw the ship's location on the nautical chart at intervals that were suitable. As a result, the ship's system and infrastructure failed to offer notice and there were no properly trained officials on board.</w:t>
            </w:r>
            <w:r>
              <w:t xml:space="preserve"> The event reflects the need for appropriate infrastructure requirements to prevent emergency disasters like the reef oil spill.</w:t>
            </w:r>
            <w:r>
              <w:rPr>
                <w:rStyle w:val="FootnoteReference"/>
                <w:rFonts w:ascii="Arial" w:eastAsia="Times New Roman" w:hAnsi="Arial" w:cs="Arial"/>
              </w:rPr>
              <w:footnoteReference w:id="211"/>
            </w:r>
          </w:p>
        </w:tc>
      </w:tr>
      <w:tr w:rsidR="00FB6B32" w14:paraId="5B36D927" w14:textId="77777777" w:rsidTr="00A80D96">
        <w:trPr>
          <w:cantSplit/>
        </w:trPr>
        <w:tc>
          <w:tcPr>
            <w:tcW w:w="5000" w:type="pct"/>
            <w:gridSpan w:val="2"/>
            <w:shd w:val="clear" w:color="auto" w:fill="FFFFFF" w:themeFill="background1"/>
          </w:tcPr>
          <w:p w14:paraId="2A7B674E" w14:textId="77777777" w:rsidR="00FB6B32" w:rsidRDefault="00FB6B32" w:rsidP="005A0C7F">
            <w:pPr>
              <w:pStyle w:val="TableBody"/>
            </w:pPr>
          </w:p>
        </w:tc>
      </w:tr>
      <w:tr w:rsidR="00BE5357" w14:paraId="6C6501A4" w14:textId="77777777" w:rsidTr="00A80D96">
        <w:trPr>
          <w:cantSplit/>
        </w:trPr>
        <w:tc>
          <w:tcPr>
            <w:tcW w:w="3231" w:type="pct"/>
            <w:shd w:val="clear" w:color="auto" w:fill="034EA2" w:themeFill="accent1"/>
          </w:tcPr>
          <w:p w14:paraId="62358163" w14:textId="77777777" w:rsidR="00FB6B32" w:rsidRPr="00A55E0E" w:rsidRDefault="00FB6B32" w:rsidP="00A80D96">
            <w:pPr>
              <w:pStyle w:val="TableHeading"/>
              <w:rPr>
                <w:bCs/>
                <w:color w:val="000000" w:themeColor="text1"/>
              </w:rPr>
            </w:pPr>
            <w:r w:rsidRPr="007A4189">
              <w:t>Tehran Fuel Stations Cyber Attack</w:t>
            </w:r>
          </w:p>
        </w:tc>
        <w:tc>
          <w:tcPr>
            <w:tcW w:w="1769" w:type="pct"/>
            <w:shd w:val="clear" w:color="auto" w:fill="007BC3" w:themeFill="accent2"/>
          </w:tcPr>
          <w:p w14:paraId="39B19319" w14:textId="77777777" w:rsidR="00FB6B32" w:rsidRPr="00FB6B32" w:rsidRDefault="00FB6B32" w:rsidP="00A80D96">
            <w:pPr>
              <w:pStyle w:val="Tableriskcategory"/>
              <w:rPr>
                <w:color w:val="000000" w:themeColor="text1"/>
              </w:rPr>
            </w:pPr>
            <w:r w:rsidRPr="00FB6B32">
              <w:t xml:space="preserve">Cyber security </w:t>
            </w:r>
          </w:p>
        </w:tc>
      </w:tr>
      <w:tr w:rsidR="00FB6B32" w14:paraId="777A3CBA" w14:textId="77777777" w:rsidTr="00A80D96">
        <w:trPr>
          <w:cantSplit/>
        </w:trPr>
        <w:tc>
          <w:tcPr>
            <w:tcW w:w="5000" w:type="pct"/>
            <w:gridSpan w:val="2"/>
            <w:shd w:val="clear" w:color="auto" w:fill="FFFFFF" w:themeFill="background1"/>
          </w:tcPr>
          <w:p w14:paraId="79FCEF6E" w14:textId="77777777" w:rsidR="00FB6B32" w:rsidRDefault="00FB6B32" w:rsidP="005A0C7F">
            <w:pPr>
              <w:pStyle w:val="TableBody"/>
            </w:pPr>
            <w:r w:rsidRPr="00A80D96">
              <w:rPr>
                <w:b/>
                <w:bCs/>
              </w:rPr>
              <w:t>Situation</w:t>
            </w:r>
            <w:r w:rsidRPr="00374A1D">
              <w:t xml:space="preserve">: </w:t>
            </w:r>
            <w:r>
              <w:t xml:space="preserve"> </w:t>
            </w:r>
            <w:r w:rsidRPr="00910565">
              <w:t>In October 2021, Iran's fuel distribution system was brought to a halt following an unprecedented cyber-attack suspected to have been launched from abroad. The cyber-attack disrupted the country's electronic card system, which motorists use to purchase substantially subsidised fuel</w:t>
            </w:r>
            <w:r>
              <w:t xml:space="preserve"> and hours long lines were formed during the crisis.</w:t>
            </w:r>
            <w:r>
              <w:rPr>
                <w:rStyle w:val="FootnoteReference"/>
                <w:rFonts w:ascii="Arial" w:eastAsia="Times New Roman" w:hAnsi="Arial" w:cs="Arial"/>
              </w:rPr>
              <w:footnoteReference w:id="212"/>
            </w:r>
          </w:p>
        </w:tc>
      </w:tr>
      <w:tr w:rsidR="00FB6B32" w14:paraId="5BFDD5B1" w14:textId="77777777" w:rsidTr="00A80D96">
        <w:trPr>
          <w:cantSplit/>
        </w:trPr>
        <w:tc>
          <w:tcPr>
            <w:tcW w:w="5000" w:type="pct"/>
            <w:gridSpan w:val="2"/>
            <w:shd w:val="clear" w:color="auto" w:fill="F2F2F2" w:themeFill="accent6"/>
          </w:tcPr>
          <w:p w14:paraId="2778AFD2" w14:textId="77777777" w:rsidR="00FB6B32" w:rsidRDefault="00FB6B32" w:rsidP="005A0C7F">
            <w:pPr>
              <w:pStyle w:val="TableBody"/>
            </w:pPr>
            <w:r w:rsidRPr="00A80D96">
              <w:rPr>
                <w:b/>
                <w:bCs/>
              </w:rPr>
              <w:t>Outcome</w:t>
            </w:r>
            <w:r w:rsidRPr="00374A1D">
              <w:t xml:space="preserve">: </w:t>
            </w:r>
            <w:r w:rsidRPr="00F004F4">
              <w:t>Anyone that was attempting to purchase fuel via the machines using a government-issued card instead saw a notice saying "cyber-attack 64411." The majority of Iranians rely on these subsidies to fuel their automobiles, especially in light of the country's economic difficulties.</w:t>
            </w:r>
            <w:r>
              <w:t xml:space="preserve"> </w:t>
            </w:r>
            <w:r w:rsidRPr="003C55F4">
              <w:t>The failure of the intelligent fuel system resulted in the inability of the system to identify the fuel cards, as many fuel stations only sell fuel via this method.</w:t>
            </w:r>
            <w:r>
              <w:rPr>
                <w:rStyle w:val="FootnoteReference"/>
                <w:rFonts w:ascii="Arial" w:eastAsia="Times New Roman" w:hAnsi="Arial" w:cs="Arial"/>
              </w:rPr>
              <w:footnoteReference w:id="213"/>
            </w:r>
          </w:p>
        </w:tc>
      </w:tr>
      <w:tr w:rsidR="00FB6B32" w14:paraId="5E4C9B4E" w14:textId="77777777" w:rsidTr="00A80D96">
        <w:trPr>
          <w:cantSplit/>
        </w:trPr>
        <w:tc>
          <w:tcPr>
            <w:tcW w:w="5000" w:type="pct"/>
            <w:gridSpan w:val="2"/>
            <w:tcBorders>
              <w:bottom w:val="single" w:sz="4" w:space="0" w:color="BFBFBF" w:themeColor="background1" w:themeShade="BF"/>
            </w:tcBorders>
            <w:shd w:val="clear" w:color="auto" w:fill="FFFFFF" w:themeFill="background1"/>
          </w:tcPr>
          <w:p w14:paraId="33FBCF4D" w14:textId="77777777" w:rsidR="00FB6B32" w:rsidRDefault="00FB6B32" w:rsidP="005A0C7F">
            <w:pPr>
              <w:pStyle w:val="TableBody"/>
            </w:pPr>
            <w:r w:rsidRPr="00A80D96">
              <w:rPr>
                <w:b/>
                <w:bCs/>
              </w:rPr>
              <w:t>Identified Gap:</w:t>
            </w:r>
            <w:r w:rsidRPr="00374A1D">
              <w:t xml:space="preserve"> </w:t>
            </w:r>
            <w:r>
              <w:t xml:space="preserve"> </w:t>
            </w:r>
            <w:r w:rsidRPr="00A010A7">
              <w:t xml:space="preserve">Iran has been subjected to a series of cyber-attacks, and while the nation has disconnected much of its government infrastructure from </w:t>
            </w:r>
            <w:r>
              <w:t xml:space="preserve">international access, the </w:t>
            </w:r>
            <w:r w:rsidRPr="003107C2">
              <w:t xml:space="preserve">infrastructure, legislation, and regulations do </w:t>
            </w:r>
            <w:r>
              <w:t xml:space="preserve">not have </w:t>
            </w:r>
            <w:r w:rsidRPr="003107C2">
              <w:t>enough protections against this type of disconnection and cyber-attack</w:t>
            </w:r>
            <w:r>
              <w:t>s, highlight the need for appropriate measures in place to prevent future attacks in future.</w:t>
            </w:r>
            <w:r>
              <w:rPr>
                <w:rStyle w:val="FootnoteReference"/>
                <w:rFonts w:ascii="Arial" w:eastAsia="Times New Roman" w:hAnsi="Arial" w:cs="Arial"/>
              </w:rPr>
              <w:footnoteReference w:id="214"/>
            </w:r>
          </w:p>
        </w:tc>
      </w:tr>
      <w:tr w:rsidR="00FB6B32" w14:paraId="58FF57A0" w14:textId="77777777" w:rsidTr="00A80D96">
        <w:trPr>
          <w:cantSplit/>
        </w:trPr>
        <w:tc>
          <w:tcPr>
            <w:tcW w:w="5000" w:type="pct"/>
            <w:gridSpan w:val="2"/>
            <w:tcBorders>
              <w:top w:val="single" w:sz="4" w:space="0" w:color="BFBFBF" w:themeColor="background1" w:themeShade="BF"/>
              <w:bottom w:val="nil"/>
            </w:tcBorders>
            <w:shd w:val="clear" w:color="auto" w:fill="FFFFFF" w:themeFill="background1"/>
          </w:tcPr>
          <w:p w14:paraId="3BEEF37A" w14:textId="77777777" w:rsidR="00FB6B32" w:rsidRDefault="00FB6B32" w:rsidP="005A0C7F">
            <w:pPr>
              <w:pStyle w:val="TableBody"/>
            </w:pPr>
          </w:p>
        </w:tc>
      </w:tr>
      <w:tr w:rsidR="00BE5357" w14:paraId="325C01F4" w14:textId="77777777" w:rsidTr="00A80D96">
        <w:trPr>
          <w:cantSplit/>
        </w:trPr>
        <w:tc>
          <w:tcPr>
            <w:tcW w:w="3231" w:type="pct"/>
            <w:tcBorders>
              <w:top w:val="nil"/>
            </w:tcBorders>
            <w:shd w:val="clear" w:color="auto" w:fill="034EA2" w:themeFill="accent1"/>
          </w:tcPr>
          <w:p w14:paraId="56D179D4" w14:textId="77777777" w:rsidR="00FB6B32" w:rsidRDefault="00FB6B32" w:rsidP="00A80D96">
            <w:pPr>
              <w:pStyle w:val="TableHeading"/>
              <w:rPr>
                <w:bCs/>
              </w:rPr>
            </w:pPr>
            <w:r w:rsidRPr="007A4189">
              <w:t>Colonial Pipeline Cyber Attack</w:t>
            </w:r>
          </w:p>
        </w:tc>
        <w:tc>
          <w:tcPr>
            <w:tcW w:w="1769" w:type="pct"/>
            <w:tcBorders>
              <w:top w:val="nil"/>
            </w:tcBorders>
            <w:shd w:val="clear" w:color="auto" w:fill="007BC3" w:themeFill="accent2"/>
          </w:tcPr>
          <w:p w14:paraId="3D3B98A7" w14:textId="77777777" w:rsidR="00FB6B32" w:rsidRPr="00AE0E18" w:rsidRDefault="00FB6B32" w:rsidP="00A80D96">
            <w:pPr>
              <w:pStyle w:val="Tableriskcategory"/>
            </w:pPr>
            <w:r w:rsidRPr="00AE0E18">
              <w:t>Cyber security</w:t>
            </w:r>
          </w:p>
        </w:tc>
      </w:tr>
      <w:tr w:rsidR="00FB6B32" w14:paraId="086F43DC" w14:textId="77777777" w:rsidTr="00A80D96">
        <w:trPr>
          <w:cantSplit/>
        </w:trPr>
        <w:tc>
          <w:tcPr>
            <w:tcW w:w="5000" w:type="pct"/>
            <w:gridSpan w:val="2"/>
            <w:shd w:val="clear" w:color="auto" w:fill="FFFFFF" w:themeFill="background1"/>
          </w:tcPr>
          <w:p w14:paraId="0EC3CBD4" w14:textId="4DAAB7D9" w:rsidR="00FB6B32" w:rsidRDefault="00FB6B32" w:rsidP="005A0C7F">
            <w:pPr>
              <w:pStyle w:val="TableBody"/>
            </w:pPr>
            <w:r w:rsidRPr="00A80D96">
              <w:rPr>
                <w:b/>
                <w:bCs/>
              </w:rPr>
              <w:t>Situation</w:t>
            </w:r>
            <w:r w:rsidRPr="00374A1D">
              <w:t xml:space="preserve">: </w:t>
            </w:r>
            <w:r w:rsidRPr="00DF5A7F">
              <w:t xml:space="preserve">On May 7, 2021, </w:t>
            </w:r>
            <w:r>
              <w:t>the</w:t>
            </w:r>
            <w:r w:rsidRPr="00DF5A7F">
              <w:t xml:space="preserve"> Colonial Pipeline, </w:t>
            </w:r>
            <w:r>
              <w:t>which is the largest pipeline in the</w:t>
            </w:r>
            <w:r w:rsidRPr="00DF5A7F">
              <w:t xml:space="preserve"> American oil pipeline system and mostly transports oil and jet fuel to the south-east </w:t>
            </w:r>
            <w:r>
              <w:t xml:space="preserve">of </w:t>
            </w:r>
            <w:r w:rsidRPr="00DF5A7F">
              <w:t xml:space="preserve">United States, was hit by </w:t>
            </w:r>
            <w:r>
              <w:t>the largest</w:t>
            </w:r>
            <w:r w:rsidRPr="00DF5A7F">
              <w:t xml:space="preserve"> ransomware</w:t>
            </w:r>
            <w:r>
              <w:t xml:space="preserve"> cyber-attack in the </w:t>
            </w:r>
            <w:r w:rsidR="003648CD">
              <w:t>history of the</w:t>
            </w:r>
            <w:r>
              <w:t xml:space="preserve"> liquid fuels industry The attack</w:t>
            </w:r>
            <w:r w:rsidRPr="00DF5A7F">
              <w:t xml:space="preserve"> affected the pipeline's computerised equipment</w:t>
            </w:r>
            <w:r>
              <w:t xml:space="preserve"> and forced some airlines to make fuel stops on long-haul flights. The attack provoked the shutdown of the pipeline operations for a total of five days and also resulted in temporary fuel shortage along the East Coast.</w:t>
            </w:r>
            <w:r>
              <w:rPr>
                <w:rStyle w:val="FootnoteReference"/>
                <w:rFonts w:ascii="Arial" w:eastAsia="Times New Roman" w:hAnsi="Arial" w:cs="Arial"/>
              </w:rPr>
              <w:footnoteReference w:id="215"/>
            </w:r>
            <w:r>
              <w:t xml:space="preserve"> The ransomware attack was a form of malware that encrypts data until the victim pays and threatens to release the data online. </w:t>
            </w:r>
          </w:p>
        </w:tc>
      </w:tr>
      <w:tr w:rsidR="00FB6B32" w14:paraId="018364C4" w14:textId="77777777" w:rsidTr="00A80D96">
        <w:trPr>
          <w:cantSplit/>
        </w:trPr>
        <w:tc>
          <w:tcPr>
            <w:tcW w:w="5000" w:type="pct"/>
            <w:gridSpan w:val="2"/>
            <w:shd w:val="clear" w:color="auto" w:fill="F2F2F2" w:themeFill="accent6"/>
          </w:tcPr>
          <w:p w14:paraId="2F8AF91C" w14:textId="77777777" w:rsidR="00FB6B32" w:rsidRDefault="00FB6B32" w:rsidP="005A0C7F">
            <w:pPr>
              <w:pStyle w:val="TableBody"/>
            </w:pPr>
            <w:r w:rsidRPr="00A80D96">
              <w:rPr>
                <w:b/>
                <w:bCs/>
              </w:rPr>
              <w:lastRenderedPageBreak/>
              <w:t>Outcome</w:t>
            </w:r>
            <w:r w:rsidRPr="00374A1D">
              <w:t xml:space="preserve">: </w:t>
            </w:r>
            <w:r w:rsidRPr="00BD08E6">
              <w:t>This attack brought the pipeline's operations to a stop, and on the fourth day of the attack, fuel shortages began at filling stations and panic buying</w:t>
            </w:r>
            <w:r>
              <w:t xml:space="preserve"> occurred</w:t>
            </w:r>
            <w:r w:rsidRPr="00BD08E6">
              <w:t xml:space="preserve"> across Alabama, Florida, Georgia, North Carolina, and South Carolina. Additionally, average gasoline prices increased to their highest level since 2014, surpassing $3 per gallon.</w:t>
            </w:r>
            <w:r>
              <w:t xml:space="preserve"> The Colonial Pipeline made the ransom payment to the hacking group, roughly of a total of</w:t>
            </w:r>
            <w:r w:rsidRPr="00BD08E6">
              <w:t xml:space="preserve"> $5 million USD ($</w:t>
            </w:r>
            <w:r w:rsidR="005226A2">
              <w:t>6.4</w:t>
            </w:r>
            <w:r w:rsidR="00903751">
              <w:t>9</w:t>
            </w:r>
            <w:r w:rsidRPr="00BD08E6">
              <w:t xml:space="preserve"> million AUD) to restore the system</w:t>
            </w:r>
            <w:r>
              <w:t xml:space="preserve"> and recover its stolen data. </w:t>
            </w:r>
            <w:r>
              <w:rPr>
                <w:rStyle w:val="FootnoteReference"/>
                <w:rFonts w:ascii="Arial" w:eastAsia="Times New Roman" w:hAnsi="Arial" w:cs="Arial"/>
              </w:rPr>
              <w:footnoteReference w:id="216"/>
            </w:r>
          </w:p>
        </w:tc>
      </w:tr>
      <w:tr w:rsidR="00FB6B32" w14:paraId="06DF1E74" w14:textId="77777777" w:rsidTr="00A80D96">
        <w:trPr>
          <w:cantSplit/>
        </w:trPr>
        <w:tc>
          <w:tcPr>
            <w:tcW w:w="5000" w:type="pct"/>
            <w:gridSpan w:val="2"/>
            <w:shd w:val="clear" w:color="auto" w:fill="FFFFFF" w:themeFill="background1"/>
          </w:tcPr>
          <w:p w14:paraId="28BD7285" w14:textId="77777777" w:rsidR="00FB6B32" w:rsidRDefault="00FB6B32" w:rsidP="005A0C7F">
            <w:pPr>
              <w:pStyle w:val="TableBody"/>
            </w:pPr>
            <w:r w:rsidRPr="00A80D96">
              <w:rPr>
                <w:b/>
                <w:bCs/>
              </w:rPr>
              <w:t>Identified Gap:</w:t>
            </w:r>
            <w:r w:rsidRPr="00374A1D">
              <w:t xml:space="preserve"> </w:t>
            </w:r>
            <w:r w:rsidRPr="0005290B">
              <w:t>The cybersecurity specialists confirmed that the breach occurred as a consequence of a single compromised password. The hackers got access to the colonial pipeline's network using a virtual private network account that permitted employees to access the company's computer network remotely.</w:t>
            </w:r>
            <w:r>
              <w:t xml:space="preserve"> </w:t>
            </w:r>
            <w:r w:rsidRPr="00BE7B83">
              <w:t xml:space="preserve">The attack demonstrated the need of fuel industries and systems to keep up with increasing malware </w:t>
            </w:r>
            <w:r>
              <w:t>cap</w:t>
            </w:r>
            <w:r w:rsidRPr="00BE7B83">
              <w:t>abilities and work to improve the economy's security to fuel operations.</w:t>
            </w:r>
            <w:r>
              <w:rPr>
                <w:rStyle w:val="FootnoteReference"/>
                <w:rFonts w:ascii="Arial" w:eastAsia="Times New Roman" w:hAnsi="Arial" w:cs="Arial"/>
              </w:rPr>
              <w:footnoteReference w:id="217"/>
            </w:r>
            <w:r w:rsidRPr="00BE7B83">
              <w:t xml:space="preserve"> Without adequate safeguards and continuous re-evaluation, important operational systems for mitigating catastrophic occurrences will continue to be threatened.</w:t>
            </w:r>
          </w:p>
        </w:tc>
      </w:tr>
    </w:tbl>
    <w:p w14:paraId="310DCF59" w14:textId="77777777" w:rsidR="000C3D44" w:rsidRDefault="000C3D44" w:rsidP="00A80D96">
      <w:pPr>
        <w:pStyle w:val="AppendixH2"/>
      </w:pPr>
      <w:r>
        <w:t xml:space="preserve">Key risks to </w:t>
      </w:r>
      <w:r w:rsidR="008F4098">
        <w:t xml:space="preserve">critical liquid fuels </w:t>
      </w:r>
      <w:r w:rsidR="00625732">
        <w:t>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264"/>
        <w:gridCol w:w="4405"/>
        <w:gridCol w:w="3969"/>
      </w:tblGrid>
      <w:tr w:rsidR="00AD01F7" w:rsidRPr="001B6183" w14:paraId="75BA0965" w14:textId="77777777" w:rsidTr="00A80D96">
        <w:trPr>
          <w:tblHeader/>
        </w:trPr>
        <w:tc>
          <w:tcPr>
            <w:tcW w:w="656" w:type="pct"/>
            <w:shd w:val="clear" w:color="auto" w:fill="034EA2" w:themeFill="accent1"/>
          </w:tcPr>
          <w:p w14:paraId="79D86857" w14:textId="295BD52D" w:rsidR="0003786F" w:rsidRPr="001B6183" w:rsidRDefault="006B3927" w:rsidP="00A80D96">
            <w:pPr>
              <w:pStyle w:val="TableHeading"/>
            </w:pPr>
            <w:r>
              <w:t>Hazard domain</w:t>
            </w:r>
          </w:p>
        </w:tc>
        <w:tc>
          <w:tcPr>
            <w:tcW w:w="2285" w:type="pct"/>
            <w:shd w:val="clear" w:color="auto" w:fill="034EA2" w:themeFill="accent1"/>
          </w:tcPr>
          <w:p w14:paraId="7E27B7BB" w14:textId="77777777" w:rsidR="0003786F" w:rsidRPr="001B6183" w:rsidRDefault="0003786F" w:rsidP="00A80D96">
            <w:pPr>
              <w:pStyle w:val="TableHeading"/>
            </w:pPr>
            <w:r w:rsidRPr="001B6183">
              <w:t>Identified risk</w:t>
            </w:r>
          </w:p>
        </w:tc>
        <w:tc>
          <w:tcPr>
            <w:tcW w:w="2059" w:type="pct"/>
            <w:shd w:val="clear" w:color="auto" w:fill="034EA2" w:themeFill="accent1"/>
          </w:tcPr>
          <w:p w14:paraId="54C070F3" w14:textId="77777777" w:rsidR="0003786F" w:rsidRPr="001B6183" w:rsidRDefault="0003786F" w:rsidP="00A80D96">
            <w:pPr>
              <w:pStyle w:val="TableHeading"/>
            </w:pPr>
            <w:r w:rsidRPr="001B6183">
              <w:t>Example</w:t>
            </w:r>
          </w:p>
        </w:tc>
      </w:tr>
      <w:tr w:rsidR="007D7511" w:rsidRPr="00374A1D" w14:paraId="281B4DA3" w14:textId="77777777" w:rsidTr="00A80D96">
        <w:trPr>
          <w:trHeight w:val="547"/>
        </w:trPr>
        <w:tc>
          <w:tcPr>
            <w:tcW w:w="656" w:type="pct"/>
            <w:shd w:val="clear" w:color="auto" w:fill="F2F2F2" w:themeFill="background1" w:themeFillShade="F2"/>
          </w:tcPr>
          <w:p w14:paraId="7D074FD7" w14:textId="77777777" w:rsidR="0003786F" w:rsidRPr="004C77EC" w:rsidRDefault="0003786F" w:rsidP="00A80D96">
            <w:pPr>
              <w:pStyle w:val="TableBody"/>
              <w:rPr>
                <w:color w:val="FF9933"/>
              </w:rPr>
            </w:pPr>
            <w:r w:rsidRPr="00ED5B04">
              <w:t>Physical</w:t>
            </w:r>
          </w:p>
        </w:tc>
        <w:tc>
          <w:tcPr>
            <w:tcW w:w="2285" w:type="pct"/>
            <w:shd w:val="clear" w:color="auto" w:fill="auto"/>
          </w:tcPr>
          <w:p w14:paraId="1C8ED787" w14:textId="77777777" w:rsidR="0003786F" w:rsidRPr="004C77EC" w:rsidRDefault="0003786F" w:rsidP="00A80D96">
            <w:pPr>
              <w:pStyle w:val="TableBody"/>
              <w:rPr>
                <w:color w:val="FF9933"/>
              </w:rPr>
            </w:pPr>
            <w:r w:rsidRPr="00374A1D">
              <w:t xml:space="preserve">Increased occurrence of extreme weather events and natural disasters, including heatwaves, bushfires and floods, means </w:t>
            </w:r>
            <w:r>
              <w:t>liquid fuels</w:t>
            </w:r>
            <w:r w:rsidRPr="00374A1D">
              <w:t xml:space="preserve"> infrastructure is experiencing heightened pressure. This stems the threat or realisation of damage to critical infrastructure, </w:t>
            </w:r>
            <w:r>
              <w:t xml:space="preserve">oil </w:t>
            </w:r>
            <w:r w:rsidRPr="00374A1D">
              <w:t>pipelines.</w:t>
            </w:r>
          </w:p>
        </w:tc>
        <w:tc>
          <w:tcPr>
            <w:tcW w:w="2059" w:type="pct"/>
            <w:shd w:val="clear" w:color="auto" w:fill="auto"/>
          </w:tcPr>
          <w:p w14:paraId="2EEF2997" w14:textId="77777777" w:rsidR="0003786F" w:rsidRPr="00ED5B04" w:rsidRDefault="0003786F" w:rsidP="00A80D96">
            <w:pPr>
              <w:pStyle w:val="TableBody"/>
              <w:rPr>
                <w:color w:val="FF9933"/>
              </w:rPr>
            </w:pPr>
            <w:r w:rsidRPr="00E71269">
              <w:t xml:space="preserve">In July 2021, a fire on the ocean surface west of Mexico’s Yucatan peninsula was extinguished, which was due to the gas leak from an underwater pipeline </w:t>
            </w:r>
            <w:r>
              <w:t xml:space="preserve">that connects to a platform at Pemex’s flagship Ku Maloob Zaap oil development. Pemex, which has a long record of major industrial accidents at its facilities, also shut the valves of the 12-inch-diameter pipeline. </w:t>
            </w:r>
            <w:r>
              <w:rPr>
                <w:rStyle w:val="FootnoteReference"/>
                <w:rFonts w:ascii="Arial" w:eastAsia="Calibri" w:hAnsi="Arial" w:cs="Arial"/>
              </w:rPr>
              <w:footnoteReference w:id="218"/>
            </w:r>
          </w:p>
        </w:tc>
      </w:tr>
      <w:tr w:rsidR="0003786F" w:rsidRPr="00374A1D" w14:paraId="24034D18" w14:textId="77777777" w:rsidTr="00A80D96">
        <w:tc>
          <w:tcPr>
            <w:tcW w:w="656" w:type="pct"/>
            <w:shd w:val="clear" w:color="auto" w:fill="F2F2F2" w:themeFill="background1" w:themeFillShade="F2"/>
          </w:tcPr>
          <w:p w14:paraId="3A7E4081" w14:textId="77777777" w:rsidR="0003786F" w:rsidRPr="00374A1D" w:rsidRDefault="0003786F" w:rsidP="00A80D96">
            <w:pPr>
              <w:pStyle w:val="TableBody"/>
              <w:rPr>
                <w:rFonts w:ascii="Calibri" w:hAnsi="Calibri"/>
              </w:rPr>
            </w:pPr>
            <w:r w:rsidRPr="00374A1D">
              <w:t>Cyber</w:t>
            </w:r>
          </w:p>
        </w:tc>
        <w:tc>
          <w:tcPr>
            <w:tcW w:w="2285" w:type="pct"/>
            <w:shd w:val="clear" w:color="auto" w:fill="auto"/>
          </w:tcPr>
          <w:p w14:paraId="187D69FC" w14:textId="702B3A07" w:rsidR="0003786F" w:rsidRPr="004C77EC" w:rsidRDefault="0003786F" w:rsidP="00A80D96">
            <w:pPr>
              <w:pStyle w:val="TableBody"/>
              <w:rPr>
                <w:color w:val="FF9933"/>
              </w:rPr>
            </w:pPr>
            <w:r w:rsidRPr="00E06CD3">
              <w:rPr>
                <w:rFonts w:cstheme="minorHAnsi"/>
                <w:color w:val="auto"/>
                <w:shd w:val="clear" w:color="auto" w:fill="FFFFFF"/>
              </w:rPr>
              <w:t>Cyber-attacks in the oil and gas industry can threaten an organisation’s information technology (IT), its operational technology (OT) and any internet of things (IoT) systems in place. A breach in industrial control systems could cause a serious occupational health and safety event, which in an industry focused on creating zero harm work environments, could</w:t>
            </w:r>
            <w:r w:rsidRPr="00E06CD3">
              <w:rPr>
                <w:rFonts w:asciiTheme="majorHAnsi" w:hAnsiTheme="majorHAnsi" w:cstheme="majorHAnsi"/>
                <w:color w:val="auto"/>
                <w:shd w:val="clear" w:color="auto" w:fill="FFFFFF"/>
              </w:rPr>
              <w:t xml:space="preserve"> cause serious harm to an individual and an organisation’s ability to operate</w:t>
            </w:r>
            <w:r w:rsidRPr="00E06CD3">
              <w:rPr>
                <w:rFonts w:ascii="Open Sans" w:hAnsi="Open Sans" w:cs="Open Sans"/>
                <w:color w:val="auto"/>
                <w:shd w:val="clear" w:color="auto" w:fill="FFFFFF"/>
              </w:rPr>
              <w:t>.</w:t>
            </w:r>
          </w:p>
        </w:tc>
        <w:tc>
          <w:tcPr>
            <w:tcW w:w="2059" w:type="pct"/>
            <w:shd w:val="clear" w:color="auto" w:fill="auto"/>
          </w:tcPr>
          <w:p w14:paraId="1E57A936" w14:textId="430DF4EA" w:rsidR="0003786F" w:rsidRPr="00ED5B04" w:rsidRDefault="0003786F" w:rsidP="00A80D96">
            <w:pPr>
              <w:pStyle w:val="TableBody"/>
              <w:rPr>
                <w:color w:val="FF9933"/>
              </w:rPr>
            </w:pPr>
            <w:r w:rsidRPr="00FB6974">
              <w:t xml:space="preserve">A cyberattack forced the temporary shutdown of the one of the US’s largest </w:t>
            </w:r>
            <w:r>
              <w:t xml:space="preserve">pipelines, the Colonial pipeline, highlighting concerns over the vulnerabilities in the US’s critical infrastructure. Colonial, which transports more than 100 million litres and daily from Houston to the New York Harbor. In response to the attack, certain systems had to be turned offline to contain the threat, which halted all pipeline operations and affected some of the IT systems. </w:t>
            </w:r>
            <w:r>
              <w:rPr>
                <w:rStyle w:val="FootnoteReference"/>
                <w:rFonts w:ascii="Arial" w:eastAsia="Calibri" w:hAnsi="Arial" w:cs="Arial"/>
              </w:rPr>
              <w:footnoteReference w:id="219"/>
            </w:r>
          </w:p>
        </w:tc>
      </w:tr>
      <w:tr w:rsidR="007D7511" w:rsidRPr="00374A1D" w14:paraId="236DCE18" w14:textId="77777777" w:rsidTr="00A80D96">
        <w:trPr>
          <w:trHeight w:val="522"/>
        </w:trPr>
        <w:tc>
          <w:tcPr>
            <w:tcW w:w="656" w:type="pct"/>
            <w:shd w:val="clear" w:color="auto" w:fill="F2F2F2" w:themeFill="background1" w:themeFillShade="F2"/>
          </w:tcPr>
          <w:p w14:paraId="2DB14858" w14:textId="77777777" w:rsidR="0003786F" w:rsidRPr="00374A1D" w:rsidRDefault="0003786F" w:rsidP="00A80D96">
            <w:pPr>
              <w:pStyle w:val="TableBody"/>
              <w:rPr>
                <w:rFonts w:ascii="Calibri" w:hAnsi="Calibri"/>
              </w:rPr>
            </w:pPr>
            <w:r w:rsidRPr="00374A1D">
              <w:t>Supply Chain</w:t>
            </w:r>
          </w:p>
        </w:tc>
        <w:tc>
          <w:tcPr>
            <w:tcW w:w="2285" w:type="pct"/>
            <w:shd w:val="clear" w:color="auto" w:fill="auto"/>
          </w:tcPr>
          <w:p w14:paraId="05311B68" w14:textId="77777777" w:rsidR="0003786F" w:rsidRPr="004C77EC" w:rsidRDefault="0003786F" w:rsidP="00A80D96">
            <w:pPr>
              <w:pStyle w:val="TableBody"/>
              <w:rPr>
                <w:color w:val="FF9933"/>
              </w:rPr>
            </w:pPr>
            <w:r w:rsidRPr="00374A1D">
              <w:t xml:space="preserve">Disruption to supply chains pertinent to critical </w:t>
            </w:r>
            <w:r>
              <w:t>liquid fuel</w:t>
            </w:r>
            <w:r w:rsidRPr="00374A1D">
              <w:t xml:space="preserve"> assets may have detrimental consequences</w:t>
            </w:r>
            <w:r>
              <w:t xml:space="preserve">. Australia is heavily reliant on commercial stock of crude oil and refined products to maintain fuel supplied. The recent closure of Australian refineries will increase our reliance on imports under both normal </w:t>
            </w:r>
            <w:r>
              <w:lastRenderedPageBreak/>
              <w:t>conditions and during a liquid fuel emergency.</w:t>
            </w:r>
            <w:r>
              <w:rPr>
                <w:rStyle w:val="FootnoteReference"/>
                <w:rFonts w:ascii="Arial" w:eastAsia="Calibri" w:hAnsi="Arial" w:cs="Arial"/>
              </w:rPr>
              <w:footnoteReference w:id="220"/>
            </w:r>
          </w:p>
        </w:tc>
        <w:tc>
          <w:tcPr>
            <w:tcW w:w="2059" w:type="pct"/>
            <w:shd w:val="clear" w:color="auto" w:fill="auto"/>
          </w:tcPr>
          <w:p w14:paraId="47F52A8A" w14:textId="77777777" w:rsidR="0003786F" w:rsidRPr="00ED5B04" w:rsidRDefault="0003786F" w:rsidP="00A80D96">
            <w:pPr>
              <w:pStyle w:val="TableBody"/>
              <w:rPr>
                <w:color w:val="FF9933"/>
              </w:rPr>
            </w:pPr>
            <w:r w:rsidRPr="00CE280C">
              <w:lastRenderedPageBreak/>
              <w:t>In Australia, there has been shortages of special anti-pollution additive for diesel vehicles</w:t>
            </w:r>
            <w:r>
              <w:t xml:space="preserve"> (AdBlue)</w:t>
            </w:r>
            <w:r w:rsidRPr="00CE280C">
              <w:t xml:space="preserve">, which is </w:t>
            </w:r>
            <w:r>
              <w:t xml:space="preserve">placing further pressures on an </w:t>
            </w:r>
            <w:r w:rsidRPr="00CE280C">
              <w:t xml:space="preserve">already strained supply chain. </w:t>
            </w:r>
            <w:r>
              <w:t>Should the shortages continue, i</w:t>
            </w:r>
            <w:r w:rsidRPr="00CE280C">
              <w:t>t is anticipated</w:t>
            </w:r>
            <w:r>
              <w:t xml:space="preserve"> there will be a cascading impact across the country, also affecting </w:t>
            </w:r>
            <w:r>
              <w:lastRenderedPageBreak/>
              <w:t>the agricultural and power sectors, which rely heavily on diesel motors.</w:t>
            </w:r>
            <w:r>
              <w:rPr>
                <w:rStyle w:val="FootnoteReference"/>
                <w:rFonts w:ascii="Arial" w:eastAsia="Calibri" w:hAnsi="Arial" w:cs="Arial"/>
              </w:rPr>
              <w:footnoteReference w:id="221"/>
            </w:r>
          </w:p>
        </w:tc>
      </w:tr>
      <w:tr w:rsidR="0003786F" w:rsidRPr="00374A1D" w14:paraId="588C0C3F" w14:textId="77777777" w:rsidTr="00A80D96">
        <w:tc>
          <w:tcPr>
            <w:tcW w:w="656" w:type="pct"/>
            <w:shd w:val="clear" w:color="auto" w:fill="F2F2F2" w:themeFill="background1" w:themeFillShade="F2"/>
          </w:tcPr>
          <w:p w14:paraId="46884004" w14:textId="77777777" w:rsidR="0003786F" w:rsidRPr="00374A1D" w:rsidRDefault="0003786F" w:rsidP="00A80D96">
            <w:pPr>
              <w:pStyle w:val="TableBody"/>
              <w:rPr>
                <w:rFonts w:ascii="Calibri" w:hAnsi="Calibri"/>
              </w:rPr>
            </w:pPr>
            <w:r w:rsidRPr="00374A1D">
              <w:lastRenderedPageBreak/>
              <w:t>Personnel</w:t>
            </w:r>
          </w:p>
        </w:tc>
        <w:tc>
          <w:tcPr>
            <w:tcW w:w="2285" w:type="pct"/>
            <w:shd w:val="clear" w:color="auto" w:fill="auto"/>
          </w:tcPr>
          <w:p w14:paraId="740CB65D" w14:textId="77777777" w:rsidR="0003786F" w:rsidRPr="004C77EC" w:rsidRDefault="0003786F" w:rsidP="00A80D96">
            <w:pPr>
              <w:pStyle w:val="TableBody"/>
              <w:rPr>
                <w:color w:val="FF9933"/>
              </w:rPr>
            </w:pPr>
            <w:r w:rsidRPr="00374A1D">
              <w:t xml:space="preserve">Where personnel are immobilised for reasons that cannot be controlled, critical </w:t>
            </w:r>
            <w:r>
              <w:t xml:space="preserve">liquid fuels </w:t>
            </w:r>
            <w:r w:rsidRPr="00374A1D">
              <w:t>operations may be severely delayed or halted. Additionally, personnel with access to systems, data or premises may pose insider threat risks including fraud, theft, espionage, infrastructure sabotage and misuse of sensitive data.</w:t>
            </w:r>
            <w:r w:rsidRPr="00374A1D">
              <w:rPr>
                <w:vertAlign w:val="superscript"/>
              </w:rPr>
              <w:footnoteReference w:id="222"/>
            </w:r>
          </w:p>
        </w:tc>
        <w:tc>
          <w:tcPr>
            <w:tcW w:w="2059" w:type="pct"/>
            <w:shd w:val="clear" w:color="auto" w:fill="auto"/>
          </w:tcPr>
          <w:p w14:paraId="3967A75A" w14:textId="21337CE0" w:rsidR="0003786F" w:rsidRPr="00A80D96" w:rsidRDefault="0003786F" w:rsidP="00A80D96">
            <w:pPr>
              <w:pStyle w:val="TableBody"/>
            </w:pPr>
            <w:r w:rsidRPr="00374A1D">
              <w:t xml:space="preserve">The COVID-19 pandemic saw key industry personnel subject to extended periods of quarantine, forcing the closure of some </w:t>
            </w:r>
            <w:r>
              <w:t xml:space="preserve">liquid fuels </w:t>
            </w:r>
            <w:r w:rsidRPr="00374A1D">
              <w:t>generators or reduced capacity where insufficient personnel were available.</w:t>
            </w:r>
          </w:p>
        </w:tc>
      </w:tr>
    </w:tbl>
    <w:p w14:paraId="79A81845" w14:textId="77777777" w:rsidR="000C3D44" w:rsidRDefault="000C3D44" w:rsidP="00A80D96">
      <w:pPr>
        <w:pStyle w:val="AppendixH2"/>
      </w:pPr>
      <w:r w:rsidRPr="000F6098">
        <w:t xml:space="preserve">Existing legislation related to </w:t>
      </w:r>
      <w:r w:rsidR="00B26132">
        <w:t>critical liquid fuel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559"/>
        <w:gridCol w:w="4110"/>
        <w:gridCol w:w="3969"/>
      </w:tblGrid>
      <w:tr w:rsidR="00984F3B" w:rsidRPr="00374A1D" w14:paraId="51B40094" w14:textId="77777777" w:rsidTr="00DB2BA2">
        <w:trPr>
          <w:tblHeader/>
        </w:trPr>
        <w:tc>
          <w:tcPr>
            <w:tcW w:w="2941" w:type="pct"/>
            <w:gridSpan w:val="2"/>
            <w:shd w:val="clear" w:color="auto" w:fill="034EA2" w:themeFill="accent1"/>
          </w:tcPr>
          <w:p w14:paraId="6D575C9B" w14:textId="77777777" w:rsidR="00984F3B" w:rsidRPr="00374A1D" w:rsidRDefault="00984F3B" w:rsidP="00DB2BA2">
            <w:pPr>
              <w:pStyle w:val="TableHeading"/>
            </w:pPr>
            <w:r w:rsidRPr="00374A1D">
              <w:t>Overview of regulation</w:t>
            </w:r>
          </w:p>
        </w:tc>
        <w:tc>
          <w:tcPr>
            <w:tcW w:w="2059" w:type="pct"/>
            <w:shd w:val="clear" w:color="auto" w:fill="034EA2" w:themeFill="accent1"/>
          </w:tcPr>
          <w:p w14:paraId="4B889474" w14:textId="77777777" w:rsidR="00984F3B" w:rsidRPr="00374A1D" w:rsidRDefault="00984F3B" w:rsidP="00DB2BA2">
            <w:pPr>
              <w:pStyle w:val="TableHeading"/>
            </w:pPr>
            <w:r w:rsidRPr="00374A1D">
              <w:t>Identified gaps</w:t>
            </w:r>
          </w:p>
        </w:tc>
      </w:tr>
      <w:tr w:rsidR="00340241" w:rsidRPr="00374A1D" w14:paraId="28854257" w14:textId="77777777" w:rsidTr="00DB2BA2">
        <w:tc>
          <w:tcPr>
            <w:tcW w:w="809" w:type="pct"/>
            <w:shd w:val="clear" w:color="auto" w:fill="F2F2F2" w:themeFill="background1" w:themeFillShade="F2"/>
          </w:tcPr>
          <w:p w14:paraId="018710D3" w14:textId="77777777" w:rsidR="00984F3B" w:rsidRPr="00DB2BA2" w:rsidRDefault="00984F3B" w:rsidP="00DB2BA2">
            <w:pPr>
              <w:pStyle w:val="TableBody"/>
              <w:rPr>
                <w:i/>
                <w:iCs/>
                <w:color w:val="FF9933"/>
              </w:rPr>
            </w:pPr>
            <w:r w:rsidRPr="00DB2BA2">
              <w:rPr>
                <w:i/>
                <w:iCs/>
              </w:rPr>
              <w:t>Fuel Security Act 2021 (Cth)</w:t>
            </w:r>
          </w:p>
        </w:tc>
        <w:tc>
          <w:tcPr>
            <w:tcW w:w="2132" w:type="pct"/>
            <w:shd w:val="clear" w:color="auto" w:fill="auto"/>
          </w:tcPr>
          <w:p w14:paraId="359D2713" w14:textId="77777777" w:rsidR="00984F3B" w:rsidRPr="00B84AC1" w:rsidRDefault="00984F3B" w:rsidP="00DB2BA2">
            <w:pPr>
              <w:pStyle w:val="TableBody"/>
              <w:rPr>
                <w:color w:val="FF9933"/>
              </w:rPr>
            </w:pPr>
            <w:r w:rsidRPr="00E46093">
              <w:rPr>
                <w:rFonts w:asciiTheme="majorHAnsi" w:hAnsiTheme="majorHAnsi" w:cstheme="majorHAnsi"/>
                <w:color w:val="222222"/>
                <w:shd w:val="clear" w:color="auto" w:fill="FFFFFF"/>
              </w:rPr>
              <w:t>Establishes a minimum stockholding obligation for corporate entities that undertake certain activities (broadly, importing and refining) in relation to certain transport fuels to hold a minimum quantity of those fuels nationally; and enable a production payment for refinery operators (referred to as a fuel security services payment) to provide an adjustable cent per litre payment to refineries in return for a commitment to continue refining until at least 30 June 2027.</w:t>
            </w:r>
          </w:p>
        </w:tc>
        <w:tc>
          <w:tcPr>
            <w:tcW w:w="2059" w:type="pct"/>
            <w:shd w:val="clear" w:color="auto" w:fill="auto"/>
          </w:tcPr>
          <w:p w14:paraId="2D8027D8" w14:textId="60829B7F" w:rsidR="00984F3B" w:rsidRPr="00A80D96" w:rsidRDefault="00984F3B" w:rsidP="00DB2BA2">
            <w:pPr>
              <w:pStyle w:val="TableBody"/>
              <w:rPr>
                <w:rFonts w:eastAsia="Times New Roman"/>
              </w:rPr>
            </w:pPr>
            <w:r w:rsidRPr="00E46093">
              <w:rPr>
                <w:rFonts w:eastAsia="Times New Roman"/>
              </w:rPr>
              <w:t>While the Act is pushing for sovereign capability to protect fuel dependent industries and fuel disruptions, it does not have an all-hazards approach to secure recovery from disruptions and an emergency contingency plan.</w:t>
            </w:r>
          </w:p>
        </w:tc>
      </w:tr>
      <w:tr w:rsidR="00984F3B" w:rsidRPr="00374A1D" w14:paraId="74B5EA4E" w14:textId="77777777" w:rsidTr="00DB2BA2">
        <w:tc>
          <w:tcPr>
            <w:tcW w:w="809" w:type="pct"/>
            <w:shd w:val="clear" w:color="auto" w:fill="F2F2F2" w:themeFill="background1" w:themeFillShade="F2"/>
          </w:tcPr>
          <w:p w14:paraId="1B4ED847" w14:textId="77777777" w:rsidR="00984F3B" w:rsidRPr="00DB2BA2" w:rsidRDefault="00984F3B" w:rsidP="00DB2BA2">
            <w:pPr>
              <w:pStyle w:val="TableBody"/>
              <w:rPr>
                <w:i/>
                <w:iCs/>
              </w:rPr>
            </w:pPr>
            <w:r w:rsidRPr="00DB2BA2">
              <w:rPr>
                <w:i/>
                <w:iCs/>
              </w:rPr>
              <w:t>Liquid Fuel Emergency Act 1984 (Cth)</w:t>
            </w:r>
          </w:p>
        </w:tc>
        <w:tc>
          <w:tcPr>
            <w:tcW w:w="2132" w:type="pct"/>
            <w:shd w:val="clear" w:color="auto" w:fill="auto"/>
          </w:tcPr>
          <w:p w14:paraId="3ACBD903" w14:textId="14AEC822" w:rsidR="00984F3B" w:rsidRPr="00E46093" w:rsidRDefault="00984F3B" w:rsidP="00DB2BA2">
            <w:pPr>
              <w:pStyle w:val="TableBody"/>
            </w:pPr>
            <w:r w:rsidRPr="00E46093">
              <w:t xml:space="preserve">In the event of an actual or likely fuel shortage with national implications, the Governor General may declare a national liquid fuel emergency under this Act. The Act gives the Minister for Department of </w:t>
            </w:r>
            <w:r w:rsidR="0032055F">
              <w:t>Climate Change, Energy, the Environment and Water</w:t>
            </w:r>
            <w:r w:rsidRPr="00E46093">
              <w:t xml:space="preserve"> powers in an emergency to control:</w:t>
            </w:r>
          </w:p>
          <w:p w14:paraId="39510AED" w14:textId="77777777" w:rsidR="00984F3B" w:rsidRPr="00374A1D" w:rsidRDefault="00984F3B" w:rsidP="00DB2BA2">
            <w:pPr>
              <w:pStyle w:val="TableBody"/>
            </w:pPr>
            <w:r w:rsidRPr="00E46093">
              <w:t>Industry-held stocks of crude oil and liquid fuels; production by Australian refineries; and fuel sales across Australia</w:t>
            </w:r>
            <w:r>
              <w:t>.</w:t>
            </w:r>
          </w:p>
        </w:tc>
        <w:tc>
          <w:tcPr>
            <w:tcW w:w="2059" w:type="pct"/>
            <w:shd w:val="clear" w:color="auto" w:fill="auto"/>
          </w:tcPr>
          <w:p w14:paraId="751D00D5" w14:textId="77777777" w:rsidR="00984F3B" w:rsidRPr="00374A1D" w:rsidRDefault="00984F3B" w:rsidP="00DB2BA2">
            <w:pPr>
              <w:pStyle w:val="TableBody"/>
            </w:pPr>
            <w:r w:rsidRPr="00E46093">
              <w:rPr>
                <w:rFonts w:eastAsia="Times New Roman"/>
              </w:rPr>
              <w:t xml:space="preserve">While the risk management element contained in these legislative regimes may contribute to suitable risk management, they do not amount to an all-hazards approach to risk management, nor are </w:t>
            </w:r>
            <w:r>
              <w:rPr>
                <w:rFonts w:eastAsia="Times New Roman"/>
              </w:rPr>
              <w:t xml:space="preserve">security </w:t>
            </w:r>
            <w:r w:rsidRPr="00E46093">
              <w:rPr>
                <w:rFonts w:eastAsia="Times New Roman"/>
              </w:rPr>
              <w:t>risk management obligations imposed on a whole-of-sector basis.</w:t>
            </w:r>
          </w:p>
        </w:tc>
      </w:tr>
      <w:tr w:rsidR="00340241" w:rsidRPr="00374A1D" w14:paraId="53F36A5E" w14:textId="77777777" w:rsidTr="00DB2BA2">
        <w:tc>
          <w:tcPr>
            <w:tcW w:w="809" w:type="pct"/>
            <w:shd w:val="clear" w:color="auto" w:fill="F2F2F2" w:themeFill="background1" w:themeFillShade="F2"/>
          </w:tcPr>
          <w:p w14:paraId="01EAA727" w14:textId="77777777" w:rsidR="00984F3B" w:rsidRPr="00DB2BA2" w:rsidRDefault="00984F3B" w:rsidP="00DB2BA2">
            <w:pPr>
              <w:pStyle w:val="TableBody"/>
              <w:rPr>
                <w:i/>
                <w:iCs/>
              </w:rPr>
            </w:pPr>
            <w:r w:rsidRPr="00DB2BA2">
              <w:rPr>
                <w:i/>
                <w:iCs/>
              </w:rPr>
              <w:t>Liquid Fuel Emergency Amendment Act 2017 (Cth)</w:t>
            </w:r>
          </w:p>
        </w:tc>
        <w:tc>
          <w:tcPr>
            <w:tcW w:w="2132" w:type="pct"/>
            <w:shd w:val="clear" w:color="auto" w:fill="auto"/>
          </w:tcPr>
          <w:p w14:paraId="221B3D8A" w14:textId="77777777" w:rsidR="00984F3B" w:rsidRPr="00374A1D" w:rsidRDefault="00984F3B" w:rsidP="00DB2BA2">
            <w:pPr>
              <w:pStyle w:val="TableBody"/>
              <w:rPr>
                <w:rFonts w:eastAsia="Times New Roman"/>
              </w:rPr>
            </w:pPr>
            <w:r w:rsidRPr="00E46093">
              <w:t>The Act enables the Australian Government to enter into commercial oil stockholding contracts with Australian and foreign entities.</w:t>
            </w:r>
          </w:p>
        </w:tc>
        <w:tc>
          <w:tcPr>
            <w:tcW w:w="2059" w:type="pct"/>
            <w:shd w:val="clear" w:color="auto" w:fill="auto"/>
          </w:tcPr>
          <w:p w14:paraId="0A149DB9" w14:textId="77777777" w:rsidR="00984F3B" w:rsidRPr="00374A1D" w:rsidRDefault="00984F3B" w:rsidP="00DB2BA2">
            <w:pPr>
              <w:pStyle w:val="TableBody"/>
              <w:rPr>
                <w:rFonts w:eastAsia="Times New Roman"/>
              </w:rPr>
            </w:pPr>
            <w:r w:rsidRPr="00E46093">
              <w:rPr>
                <w:rFonts w:eastAsia="Times New Roman"/>
              </w:rPr>
              <w:t xml:space="preserve">While the Act has some risk management features in the sections relating to the emergency supply of liquid fuels, it does not </w:t>
            </w:r>
            <w:r>
              <w:rPr>
                <w:rFonts w:eastAsia="Times New Roman"/>
              </w:rPr>
              <w:t xml:space="preserve">cover a </w:t>
            </w:r>
            <w:r w:rsidRPr="00E46093">
              <w:rPr>
                <w:rFonts w:eastAsia="Times New Roman"/>
              </w:rPr>
              <w:t>risk management approach of foreign entities. There is a lack of requirements to reduce cyber security, supply-chain and personnel hazards in the Act.</w:t>
            </w:r>
          </w:p>
        </w:tc>
      </w:tr>
      <w:tr w:rsidR="00984F3B" w:rsidRPr="00374A1D" w14:paraId="2AF1C2DA" w14:textId="77777777" w:rsidTr="00DB2BA2">
        <w:tc>
          <w:tcPr>
            <w:tcW w:w="809" w:type="pct"/>
            <w:shd w:val="clear" w:color="auto" w:fill="F2F2F2" w:themeFill="background1" w:themeFillShade="F2"/>
          </w:tcPr>
          <w:p w14:paraId="3C447FC6" w14:textId="77777777" w:rsidR="00984F3B" w:rsidRPr="00DB2BA2" w:rsidRDefault="00984F3B" w:rsidP="00DB2BA2">
            <w:pPr>
              <w:pStyle w:val="TableBody"/>
              <w:rPr>
                <w:i/>
                <w:iCs/>
              </w:rPr>
            </w:pPr>
            <w:r w:rsidRPr="00DB2BA2">
              <w:rPr>
                <w:i/>
                <w:iCs/>
              </w:rPr>
              <w:t>The Pipelines Act 2005 (VIC)</w:t>
            </w:r>
          </w:p>
        </w:tc>
        <w:tc>
          <w:tcPr>
            <w:tcW w:w="2132" w:type="pct"/>
            <w:shd w:val="clear" w:color="auto" w:fill="auto"/>
          </w:tcPr>
          <w:p w14:paraId="2AE6B0CA" w14:textId="77777777" w:rsidR="00984F3B" w:rsidRPr="001746AA" w:rsidRDefault="00984F3B" w:rsidP="00DB2BA2">
            <w:pPr>
              <w:pStyle w:val="TableBody"/>
              <w:rPr>
                <w:rFonts w:asciiTheme="majorHAnsi" w:hAnsiTheme="majorHAnsi" w:cstheme="majorHAnsi"/>
                <w:szCs w:val="22"/>
              </w:rPr>
            </w:pPr>
            <w:r>
              <w:rPr>
                <w:rFonts w:asciiTheme="majorHAnsi" w:hAnsiTheme="majorHAnsi" w:cstheme="majorHAnsi"/>
                <w:szCs w:val="22"/>
              </w:rPr>
              <w:t>The p</w:t>
            </w:r>
            <w:r w:rsidRPr="00E46093">
              <w:rPr>
                <w:rFonts w:asciiTheme="majorHAnsi" w:hAnsiTheme="majorHAnsi" w:cstheme="majorHAnsi"/>
                <w:szCs w:val="22"/>
              </w:rPr>
              <w:t xml:space="preserve">rimary Act governing the construction and operation of pipelines carrying liquid and gaseous fuels at high pressure in </w:t>
            </w:r>
            <w:r w:rsidRPr="00E46093">
              <w:rPr>
                <w:rFonts w:asciiTheme="majorHAnsi" w:hAnsiTheme="majorHAnsi" w:cstheme="majorHAnsi"/>
                <w:szCs w:val="22"/>
              </w:rPr>
              <w:lastRenderedPageBreak/>
              <w:t>Victoria. The Acts covers ‘high transmission’ pipelines that have maximum design pressure exceeding 1050 kPa for gaseous hydrocarbons and 345 kPa for liquids.</w:t>
            </w:r>
          </w:p>
        </w:tc>
        <w:tc>
          <w:tcPr>
            <w:tcW w:w="2059" w:type="pct"/>
            <w:shd w:val="clear" w:color="auto" w:fill="auto"/>
          </w:tcPr>
          <w:p w14:paraId="6F18F166" w14:textId="77777777" w:rsidR="00984F3B" w:rsidRPr="00E46093" w:rsidRDefault="00984F3B" w:rsidP="00DB2BA2">
            <w:pPr>
              <w:pStyle w:val="TableBody"/>
              <w:rPr>
                <w:rFonts w:eastAsia="Times New Roman"/>
              </w:rPr>
            </w:pPr>
            <w:r w:rsidRPr="00E46093">
              <w:rPr>
                <w:rFonts w:eastAsia="Times New Roman"/>
              </w:rPr>
              <w:lastRenderedPageBreak/>
              <w:t xml:space="preserve">While Victoria has never suffered a large-scale pipeline incident, there is a lack of requirements to reduce cyber security, </w:t>
            </w:r>
            <w:r w:rsidRPr="00E46093">
              <w:rPr>
                <w:rFonts w:eastAsia="Times New Roman"/>
              </w:rPr>
              <w:lastRenderedPageBreak/>
              <w:t>supply-chain and personnel hazards in the Act. As it is evident that third party interference with pipeline remains one of the biggest threats to pipeline safety, the Act does not have a risk management approach to foreign interference and potential of serious disruptions.</w:t>
            </w:r>
          </w:p>
        </w:tc>
      </w:tr>
      <w:tr w:rsidR="00340241" w:rsidRPr="00374A1D" w14:paraId="617EE402" w14:textId="77777777" w:rsidTr="00DB2BA2">
        <w:tc>
          <w:tcPr>
            <w:tcW w:w="809" w:type="pct"/>
            <w:shd w:val="clear" w:color="auto" w:fill="F2F2F2" w:themeFill="background1" w:themeFillShade="F2"/>
          </w:tcPr>
          <w:p w14:paraId="17CCF526" w14:textId="77777777" w:rsidR="00984F3B" w:rsidRPr="00DB2BA2" w:rsidRDefault="00984F3B" w:rsidP="00DB2BA2">
            <w:pPr>
              <w:pStyle w:val="TableBody"/>
              <w:rPr>
                <w:i/>
                <w:iCs/>
              </w:rPr>
            </w:pPr>
            <w:r w:rsidRPr="00DB2BA2">
              <w:rPr>
                <w:i/>
                <w:iCs/>
              </w:rPr>
              <w:lastRenderedPageBreak/>
              <w:t>Pipelines Act 1967 (NSW)</w:t>
            </w:r>
          </w:p>
        </w:tc>
        <w:tc>
          <w:tcPr>
            <w:tcW w:w="2132" w:type="pct"/>
            <w:shd w:val="clear" w:color="auto" w:fill="auto"/>
          </w:tcPr>
          <w:p w14:paraId="2CE55F04" w14:textId="77777777" w:rsidR="00984F3B" w:rsidRPr="00E46093" w:rsidRDefault="00984F3B" w:rsidP="00DB2BA2">
            <w:pPr>
              <w:pStyle w:val="TableBody"/>
              <w:rPr>
                <w:rFonts w:asciiTheme="majorHAnsi" w:hAnsiTheme="majorHAnsi" w:cstheme="majorHAnsi"/>
                <w:szCs w:val="22"/>
              </w:rPr>
            </w:pPr>
            <w:r>
              <w:rPr>
                <w:rFonts w:asciiTheme="majorHAnsi" w:hAnsiTheme="majorHAnsi" w:cstheme="majorHAnsi"/>
                <w:szCs w:val="22"/>
              </w:rPr>
              <w:t>The Act covers the structure for protecting or supporting a pipeline, storage tanks, loading terminals and works and buildings used or to be used for purposes connect with or incidental to the operation of a pipeline. The Act also monitors the compliance, allocation and requirement of pipeline licences.</w:t>
            </w:r>
          </w:p>
        </w:tc>
        <w:tc>
          <w:tcPr>
            <w:tcW w:w="2059" w:type="pct"/>
            <w:shd w:val="clear" w:color="auto" w:fill="auto"/>
          </w:tcPr>
          <w:p w14:paraId="767AD65F" w14:textId="1C59B0A1" w:rsidR="00984F3B" w:rsidRPr="00E46093" w:rsidRDefault="00984F3B" w:rsidP="00DB2BA2">
            <w:pPr>
              <w:pStyle w:val="TableBody"/>
              <w:rPr>
                <w:rFonts w:eastAsia="Times New Roman"/>
              </w:rPr>
            </w:pPr>
            <w:r>
              <w:rPr>
                <w:rFonts w:eastAsia="Times New Roman"/>
              </w:rPr>
              <w:t>T</w:t>
            </w:r>
            <w:r w:rsidRPr="00E46093">
              <w:rPr>
                <w:rFonts w:eastAsia="Times New Roman"/>
              </w:rPr>
              <w:t>here is a lack of requirements</w:t>
            </w:r>
            <w:r w:rsidR="00C058B3">
              <w:rPr>
                <w:rFonts w:eastAsia="Times New Roman"/>
              </w:rPr>
              <w:t xml:space="preserve"> to reduce cyber security, supply </w:t>
            </w:r>
            <w:r w:rsidRPr="00E46093">
              <w:rPr>
                <w:rFonts w:eastAsia="Times New Roman"/>
              </w:rPr>
              <w:t xml:space="preserve">chain and personnel hazards in the Act. As it is evident that third party interference with pipeline remains one of the biggest threats to pipeline safety, </w:t>
            </w:r>
            <w:r>
              <w:rPr>
                <w:rFonts w:eastAsia="Times New Roman"/>
              </w:rPr>
              <w:t>and t</w:t>
            </w:r>
            <w:r w:rsidRPr="00E46093">
              <w:rPr>
                <w:rFonts w:eastAsia="Times New Roman"/>
              </w:rPr>
              <w:t>he Act does not have a risk management</w:t>
            </w:r>
            <w:r>
              <w:rPr>
                <w:rFonts w:eastAsia="Times New Roman"/>
              </w:rPr>
              <w:t xml:space="preserve"> and hazard security risk approach to prevent the interference’s from cyber criminals and</w:t>
            </w:r>
            <w:r w:rsidRPr="00E46093">
              <w:rPr>
                <w:rFonts w:eastAsia="Times New Roman"/>
              </w:rPr>
              <w:t xml:space="preserve"> disruptions.</w:t>
            </w:r>
          </w:p>
        </w:tc>
      </w:tr>
      <w:tr w:rsidR="00984F3B" w:rsidRPr="00374A1D" w14:paraId="51DFB64B" w14:textId="77777777" w:rsidTr="00DB2BA2">
        <w:tc>
          <w:tcPr>
            <w:tcW w:w="809" w:type="pct"/>
            <w:shd w:val="clear" w:color="auto" w:fill="F2F2F2" w:themeFill="background1" w:themeFillShade="F2"/>
          </w:tcPr>
          <w:p w14:paraId="5BFE1756" w14:textId="77777777" w:rsidR="00984F3B" w:rsidRPr="00DB2BA2" w:rsidRDefault="00984F3B" w:rsidP="00DB2BA2">
            <w:pPr>
              <w:pStyle w:val="TableBody"/>
              <w:rPr>
                <w:i/>
                <w:iCs/>
              </w:rPr>
            </w:pPr>
            <w:r w:rsidRPr="00DB2BA2">
              <w:rPr>
                <w:i/>
                <w:iCs/>
              </w:rPr>
              <w:t>Liquid Fuel Supply Act 1984 (QLD)</w:t>
            </w:r>
          </w:p>
        </w:tc>
        <w:tc>
          <w:tcPr>
            <w:tcW w:w="2132" w:type="pct"/>
            <w:shd w:val="clear" w:color="auto" w:fill="auto"/>
          </w:tcPr>
          <w:p w14:paraId="3DD22CB0" w14:textId="76B2BDFA" w:rsidR="00984F3B" w:rsidRDefault="003648CD" w:rsidP="00DB2BA2">
            <w:pPr>
              <w:pStyle w:val="TableBody"/>
              <w:rPr>
                <w:rFonts w:asciiTheme="majorHAnsi" w:hAnsiTheme="majorHAnsi" w:cstheme="majorHAnsi"/>
                <w:szCs w:val="22"/>
              </w:rPr>
            </w:pPr>
            <w:r>
              <w:rPr>
                <w:rFonts w:asciiTheme="majorHAnsi" w:hAnsiTheme="majorHAnsi" w:cstheme="majorHAnsi"/>
                <w:szCs w:val="22"/>
              </w:rPr>
              <w:t>This Act requires</w:t>
            </w:r>
            <w:r w:rsidR="00984F3B" w:rsidRPr="00E46093">
              <w:rPr>
                <w:rFonts w:asciiTheme="majorHAnsi" w:hAnsiTheme="majorHAnsi" w:cstheme="majorHAnsi"/>
                <w:szCs w:val="22"/>
              </w:rPr>
              <w:t xml:space="preserve"> fuel sellers (fuel retailers and fuel wholesalers) to sell minimum amounts of sustainable bio</w:t>
            </w:r>
            <w:r>
              <w:rPr>
                <w:rFonts w:asciiTheme="majorHAnsi" w:hAnsiTheme="majorHAnsi" w:cstheme="majorHAnsi"/>
                <w:szCs w:val="22"/>
              </w:rPr>
              <w:t>-</w:t>
            </w:r>
            <w:r w:rsidR="00984F3B" w:rsidRPr="00E46093">
              <w:rPr>
                <w:rFonts w:asciiTheme="majorHAnsi" w:hAnsiTheme="majorHAnsi" w:cstheme="majorHAnsi"/>
                <w:szCs w:val="22"/>
              </w:rPr>
              <w:t>based fuel.</w:t>
            </w:r>
          </w:p>
        </w:tc>
        <w:tc>
          <w:tcPr>
            <w:tcW w:w="2059" w:type="pct"/>
            <w:shd w:val="clear" w:color="auto" w:fill="auto"/>
          </w:tcPr>
          <w:p w14:paraId="43092BBC" w14:textId="77777777" w:rsidR="00984F3B" w:rsidRDefault="00984F3B" w:rsidP="00DB2BA2">
            <w:pPr>
              <w:pStyle w:val="TableBody"/>
              <w:rPr>
                <w:rFonts w:eastAsia="Times New Roman"/>
              </w:rPr>
            </w:pPr>
            <w:r w:rsidRPr="00E46093">
              <w:rPr>
                <w:rFonts w:eastAsia="Times New Roman"/>
              </w:rPr>
              <w:t>While the Act holds retailers accountable for mandated reporting, it lacks criteria for an all-hazards approach to transportation and protection in the event of a liquid fuel interruption. Additionally, there is no plan for avoiding future supply chain disruptions through</w:t>
            </w:r>
            <w:r>
              <w:rPr>
                <w:rFonts w:eastAsia="Times New Roman"/>
              </w:rPr>
              <w:t>, for example,</w:t>
            </w:r>
            <w:r w:rsidRPr="00E46093">
              <w:rPr>
                <w:rFonts w:eastAsia="Times New Roman"/>
              </w:rPr>
              <w:t xml:space="preserve"> cyber-attacks.</w:t>
            </w:r>
          </w:p>
        </w:tc>
      </w:tr>
      <w:tr w:rsidR="00340241" w:rsidRPr="00374A1D" w14:paraId="5F1BDCC5" w14:textId="77777777" w:rsidTr="00DB2BA2">
        <w:tc>
          <w:tcPr>
            <w:tcW w:w="809" w:type="pct"/>
            <w:shd w:val="clear" w:color="auto" w:fill="F2F2F2" w:themeFill="background1" w:themeFillShade="F2"/>
          </w:tcPr>
          <w:p w14:paraId="0E6143C6" w14:textId="77777777" w:rsidR="00984F3B" w:rsidRPr="00DB2BA2" w:rsidRDefault="00984F3B" w:rsidP="00DB2BA2">
            <w:pPr>
              <w:pStyle w:val="TableBody"/>
              <w:rPr>
                <w:i/>
                <w:iCs/>
              </w:rPr>
            </w:pPr>
            <w:r w:rsidRPr="00DB2BA2">
              <w:rPr>
                <w:i/>
                <w:iCs/>
              </w:rPr>
              <w:t>Liquid Fuel Supply Regulation 2016 (QLD)</w:t>
            </w:r>
          </w:p>
        </w:tc>
        <w:tc>
          <w:tcPr>
            <w:tcW w:w="2132" w:type="pct"/>
            <w:shd w:val="clear" w:color="auto" w:fill="auto"/>
          </w:tcPr>
          <w:p w14:paraId="4471C551" w14:textId="242600ED" w:rsidR="00984F3B" w:rsidRPr="00E46093" w:rsidRDefault="00984F3B" w:rsidP="00DB2BA2">
            <w:pPr>
              <w:pStyle w:val="TableBody"/>
              <w:rPr>
                <w:rFonts w:asciiTheme="majorHAnsi" w:hAnsiTheme="majorHAnsi" w:cstheme="majorHAnsi"/>
                <w:szCs w:val="22"/>
              </w:rPr>
            </w:pPr>
            <w:r w:rsidRPr="00E46093">
              <w:rPr>
                <w:rFonts w:asciiTheme="majorHAnsi" w:hAnsiTheme="majorHAnsi" w:cstheme="majorHAnsi"/>
                <w:szCs w:val="22"/>
              </w:rPr>
              <w:t>Sets sustainability criteria for biofuels sold under Queensland’s biofuels mandate. Fuel sellers (retailers and wholesalers) who are liable to meet the mandate need to report volumes of sustainable bio</w:t>
            </w:r>
            <w:r w:rsidR="003648CD">
              <w:rPr>
                <w:rFonts w:asciiTheme="majorHAnsi" w:hAnsiTheme="majorHAnsi" w:cstheme="majorHAnsi"/>
                <w:szCs w:val="22"/>
              </w:rPr>
              <w:t>-</w:t>
            </w:r>
            <w:r w:rsidRPr="00E46093">
              <w:rPr>
                <w:rFonts w:asciiTheme="majorHAnsi" w:hAnsiTheme="majorHAnsi" w:cstheme="majorHAnsi"/>
                <w:szCs w:val="22"/>
              </w:rPr>
              <w:t>based petrol and sustainable bio</w:t>
            </w:r>
            <w:r w:rsidR="003648CD">
              <w:rPr>
                <w:rFonts w:asciiTheme="majorHAnsi" w:hAnsiTheme="majorHAnsi" w:cstheme="majorHAnsi"/>
                <w:szCs w:val="22"/>
              </w:rPr>
              <w:t>-</w:t>
            </w:r>
            <w:r w:rsidRPr="00E46093">
              <w:rPr>
                <w:rFonts w:asciiTheme="majorHAnsi" w:hAnsiTheme="majorHAnsi" w:cstheme="majorHAnsi"/>
                <w:szCs w:val="22"/>
              </w:rPr>
              <w:t>based diesel under section 35E of the Act.</w:t>
            </w:r>
          </w:p>
        </w:tc>
        <w:tc>
          <w:tcPr>
            <w:tcW w:w="2059" w:type="pct"/>
            <w:shd w:val="clear" w:color="auto" w:fill="auto"/>
          </w:tcPr>
          <w:p w14:paraId="5BAB8BB7" w14:textId="77777777" w:rsidR="00984F3B" w:rsidRPr="00E46093" w:rsidRDefault="00984F3B" w:rsidP="00DB2BA2">
            <w:pPr>
              <w:pStyle w:val="TableBody"/>
              <w:rPr>
                <w:rFonts w:eastAsia="Times New Roman"/>
              </w:rPr>
            </w:pPr>
            <w:r w:rsidRPr="00E46093">
              <w:rPr>
                <w:rFonts w:eastAsia="Times New Roman"/>
              </w:rPr>
              <w:t xml:space="preserve">Under the </w:t>
            </w:r>
            <w:r w:rsidRPr="00E46093">
              <w:rPr>
                <w:iCs/>
              </w:rPr>
              <w:t>Liquid Fuel Supply Act 1984</w:t>
            </w:r>
            <w:r w:rsidRPr="00E46093">
              <w:rPr>
                <w:rFonts w:eastAsia="Times New Roman"/>
              </w:rPr>
              <w:t>, it lacks criteria for an all-hazards approach to transportation and protection in the event of a liquid fuel interruption. Additionally, there is no plan for avoiding future supply chain disruptions through</w:t>
            </w:r>
            <w:r>
              <w:rPr>
                <w:rFonts w:eastAsia="Times New Roman"/>
              </w:rPr>
              <w:t>, for example,</w:t>
            </w:r>
            <w:r w:rsidRPr="00E46093">
              <w:rPr>
                <w:rFonts w:eastAsia="Times New Roman"/>
              </w:rPr>
              <w:t xml:space="preserve"> cyber-attacks.</w:t>
            </w:r>
          </w:p>
        </w:tc>
      </w:tr>
      <w:tr w:rsidR="00984F3B" w:rsidRPr="00374A1D" w14:paraId="43BDA7A2" w14:textId="77777777" w:rsidTr="00DB2BA2">
        <w:tc>
          <w:tcPr>
            <w:tcW w:w="809" w:type="pct"/>
            <w:shd w:val="clear" w:color="auto" w:fill="F2F2F2" w:themeFill="background1" w:themeFillShade="F2"/>
          </w:tcPr>
          <w:p w14:paraId="4AF163FB" w14:textId="77777777" w:rsidR="00984F3B" w:rsidRPr="00DB2BA2" w:rsidRDefault="00984F3B" w:rsidP="00DB2BA2">
            <w:pPr>
              <w:pStyle w:val="TableBody"/>
              <w:rPr>
                <w:rFonts w:asciiTheme="majorHAnsi" w:hAnsiTheme="majorHAnsi" w:cstheme="majorHAnsi"/>
                <w:i/>
                <w:iCs/>
              </w:rPr>
            </w:pPr>
            <w:r w:rsidRPr="00DB2BA2">
              <w:rPr>
                <w:rFonts w:asciiTheme="majorHAnsi" w:hAnsiTheme="majorHAnsi" w:cstheme="majorHAnsi"/>
                <w:i/>
                <w:iCs/>
              </w:rPr>
              <w:t>Fuel, Energy and Power Resources Act 1972 (WA)</w:t>
            </w:r>
          </w:p>
        </w:tc>
        <w:tc>
          <w:tcPr>
            <w:tcW w:w="2132" w:type="pct"/>
            <w:shd w:val="clear" w:color="auto" w:fill="auto"/>
          </w:tcPr>
          <w:p w14:paraId="29957C09" w14:textId="77777777" w:rsidR="00984F3B" w:rsidRPr="001539F3" w:rsidRDefault="00984F3B" w:rsidP="00DB2BA2">
            <w:pPr>
              <w:pStyle w:val="TableBody"/>
              <w:rPr>
                <w:rFonts w:asciiTheme="majorHAnsi" w:hAnsiTheme="majorHAnsi" w:cstheme="majorHAnsi"/>
                <w:szCs w:val="22"/>
              </w:rPr>
            </w:pPr>
            <w:r w:rsidRPr="001539F3">
              <w:rPr>
                <w:rFonts w:asciiTheme="majorHAnsi" w:hAnsiTheme="majorHAnsi" w:cstheme="majorHAnsi"/>
                <w:szCs w:val="22"/>
              </w:rPr>
              <w:t>The Act provides conservation and efficient use of current and future sources and supplies of fuel, energy, and power in and to Western Australia, as well as the establishment and functions of the Western Australian Fuel and Power Commission and the Fuel and Power Advisory Council, and for other purposes.</w:t>
            </w:r>
          </w:p>
        </w:tc>
        <w:tc>
          <w:tcPr>
            <w:tcW w:w="2059" w:type="pct"/>
            <w:shd w:val="clear" w:color="auto" w:fill="auto"/>
          </w:tcPr>
          <w:p w14:paraId="66C435AA" w14:textId="77777777" w:rsidR="00984F3B" w:rsidRPr="001539F3" w:rsidRDefault="00984F3B" w:rsidP="00DB2BA2">
            <w:pPr>
              <w:pStyle w:val="TableBody"/>
              <w:rPr>
                <w:rFonts w:asciiTheme="majorHAnsi" w:eastAsia="Times New Roman" w:hAnsiTheme="majorHAnsi" w:cstheme="majorHAnsi"/>
              </w:rPr>
            </w:pPr>
            <w:r w:rsidRPr="001539F3">
              <w:rPr>
                <w:rFonts w:asciiTheme="majorHAnsi" w:eastAsia="Times New Roman" w:hAnsiTheme="majorHAnsi" w:cstheme="majorHAnsi"/>
              </w:rPr>
              <w:t>While the Act has some risk management features in the sections relating to the management of liquid fuel supply, and has requirements to reduce the risk of specific hazards, it does not amount to an all hazards approach to risk management.</w:t>
            </w:r>
          </w:p>
          <w:p w14:paraId="104BB724" w14:textId="77777777" w:rsidR="00984F3B" w:rsidRPr="001539F3" w:rsidRDefault="00984F3B" w:rsidP="00DB2BA2">
            <w:pPr>
              <w:pStyle w:val="TableBody"/>
              <w:rPr>
                <w:rFonts w:asciiTheme="majorHAnsi" w:eastAsia="Times New Roman" w:hAnsiTheme="majorHAnsi" w:cstheme="majorHAnsi"/>
              </w:rPr>
            </w:pPr>
            <w:r w:rsidRPr="001539F3">
              <w:rPr>
                <w:rFonts w:asciiTheme="majorHAnsi" w:eastAsia="Times New Roman" w:hAnsiTheme="majorHAnsi" w:cstheme="majorHAnsi"/>
              </w:rPr>
              <w:t>There is a lack of requirements to reduce cyber security, supply-chain and personnel hazards in the Act.</w:t>
            </w:r>
          </w:p>
        </w:tc>
      </w:tr>
      <w:tr w:rsidR="00340241" w:rsidRPr="00374A1D" w14:paraId="2D995E85" w14:textId="77777777" w:rsidTr="00DB2BA2">
        <w:tc>
          <w:tcPr>
            <w:tcW w:w="809" w:type="pct"/>
            <w:shd w:val="clear" w:color="auto" w:fill="F2F2F2" w:themeFill="background1" w:themeFillShade="F2"/>
          </w:tcPr>
          <w:p w14:paraId="5DD4DD99" w14:textId="77777777" w:rsidR="00984F3B" w:rsidRPr="00DB2BA2" w:rsidRDefault="00984F3B" w:rsidP="00DB2BA2">
            <w:pPr>
              <w:pStyle w:val="TableBody"/>
              <w:rPr>
                <w:rFonts w:asciiTheme="majorHAnsi" w:hAnsiTheme="majorHAnsi" w:cstheme="majorHAnsi"/>
                <w:i/>
                <w:iCs/>
              </w:rPr>
            </w:pPr>
            <w:r w:rsidRPr="00DB2BA2">
              <w:rPr>
                <w:i/>
                <w:iCs/>
              </w:rPr>
              <w:t>Offshore Petroleum and Greenhouse Gas Storage Act 2006 (Cth</w:t>
            </w:r>
          </w:p>
        </w:tc>
        <w:tc>
          <w:tcPr>
            <w:tcW w:w="2132" w:type="pct"/>
            <w:shd w:val="clear" w:color="auto" w:fill="auto"/>
          </w:tcPr>
          <w:p w14:paraId="4A461810" w14:textId="77777777" w:rsidR="00984F3B" w:rsidRPr="001539F3" w:rsidRDefault="00984F3B" w:rsidP="00DB2BA2">
            <w:pPr>
              <w:pStyle w:val="TableBody"/>
              <w:rPr>
                <w:rFonts w:asciiTheme="majorHAnsi" w:hAnsiTheme="majorHAnsi" w:cstheme="majorHAnsi"/>
                <w:szCs w:val="22"/>
              </w:rPr>
            </w:pPr>
            <w:r w:rsidRPr="00E46093">
              <w:rPr>
                <w:color w:val="202124"/>
                <w:szCs w:val="22"/>
                <w:shd w:val="clear" w:color="auto" w:fill="FFFFFF"/>
              </w:rPr>
              <w:t>The Offshore Petroleum and Greenhouse Gas Storage Act 2006 (OPGGS Act) and associated regulations provides the legal framework for the exploration and recovery of petroleum and greenhouse gas activities in Commonwealth waters (those areas that are more than three nautical miles from the territorial seal baseline).</w:t>
            </w:r>
          </w:p>
        </w:tc>
        <w:tc>
          <w:tcPr>
            <w:tcW w:w="2059" w:type="pct"/>
            <w:shd w:val="clear" w:color="auto" w:fill="auto"/>
          </w:tcPr>
          <w:p w14:paraId="7E1603B6" w14:textId="77777777" w:rsidR="00984F3B" w:rsidRPr="001539F3" w:rsidRDefault="00984F3B" w:rsidP="00DB2BA2">
            <w:pPr>
              <w:pStyle w:val="TableBody"/>
              <w:rPr>
                <w:rFonts w:asciiTheme="majorHAnsi" w:eastAsia="Times New Roman" w:hAnsiTheme="majorHAnsi" w:cstheme="majorHAnsi"/>
              </w:rPr>
            </w:pPr>
            <w:r w:rsidRPr="00E46093">
              <w:rPr>
                <w:rFonts w:eastAsia="Times New Roman"/>
              </w:rPr>
              <w:t xml:space="preserve">While the Act effectively has a framework to monitor and enforce compliance to prevent accidents and occurrences of petroleum and gas to the environment and waters, they do not amount to an all-hazards approach to risk management, nor are risk management obligations imposed on a whole-of-sector basis.  </w:t>
            </w:r>
          </w:p>
        </w:tc>
      </w:tr>
      <w:tr w:rsidR="00984F3B" w:rsidRPr="00374A1D" w14:paraId="7FB50290" w14:textId="77777777" w:rsidTr="00DB2BA2">
        <w:tc>
          <w:tcPr>
            <w:tcW w:w="809" w:type="pct"/>
            <w:shd w:val="clear" w:color="auto" w:fill="F2F2F2" w:themeFill="background1" w:themeFillShade="F2"/>
          </w:tcPr>
          <w:p w14:paraId="6FCBE277" w14:textId="77777777" w:rsidR="00984F3B" w:rsidRPr="00DB2BA2" w:rsidRDefault="00984F3B" w:rsidP="00DB2BA2">
            <w:pPr>
              <w:pStyle w:val="TableBody"/>
              <w:rPr>
                <w:i/>
                <w:iCs/>
              </w:rPr>
            </w:pPr>
            <w:r w:rsidRPr="00DB2BA2">
              <w:rPr>
                <w:rFonts w:asciiTheme="majorHAnsi" w:hAnsiTheme="majorHAnsi" w:cstheme="majorHAnsi"/>
                <w:i/>
                <w:iCs/>
              </w:rPr>
              <w:t>Fuels Rationing Act 2019 (ACT)</w:t>
            </w:r>
          </w:p>
        </w:tc>
        <w:tc>
          <w:tcPr>
            <w:tcW w:w="2132" w:type="pct"/>
            <w:shd w:val="clear" w:color="auto" w:fill="auto"/>
          </w:tcPr>
          <w:p w14:paraId="7BBBDA60" w14:textId="77777777" w:rsidR="00984F3B" w:rsidRPr="00C322EF" w:rsidRDefault="00984F3B" w:rsidP="00DB2BA2">
            <w:pPr>
              <w:pStyle w:val="TableBody"/>
              <w:rPr>
                <w:rFonts w:asciiTheme="majorHAnsi" w:hAnsiTheme="majorHAnsi" w:cstheme="majorHAnsi"/>
                <w:szCs w:val="22"/>
              </w:rPr>
            </w:pPr>
            <w:r w:rsidRPr="00E46093">
              <w:rPr>
                <w:rFonts w:asciiTheme="majorHAnsi" w:hAnsiTheme="majorHAnsi" w:cstheme="majorHAnsi"/>
                <w:szCs w:val="22"/>
              </w:rPr>
              <w:t>The powers provided under the Act may be used by the Minister in the event or likely event that a shortage of liquid fuel supplies is severe enough that normal industry processes, fuel stored, alternative supplies, and price fluctuations could not alone guarantee sufficient supply.</w:t>
            </w:r>
          </w:p>
        </w:tc>
        <w:tc>
          <w:tcPr>
            <w:tcW w:w="2059" w:type="pct"/>
            <w:shd w:val="clear" w:color="auto" w:fill="auto"/>
          </w:tcPr>
          <w:p w14:paraId="70B58B7C" w14:textId="77777777" w:rsidR="00984F3B" w:rsidRPr="00E46093" w:rsidRDefault="00984F3B" w:rsidP="00DB2BA2">
            <w:pPr>
              <w:pStyle w:val="TableBody"/>
              <w:rPr>
                <w:rFonts w:eastAsia="Times New Roman"/>
              </w:rPr>
            </w:pPr>
            <w:r w:rsidRPr="00E46093">
              <w:rPr>
                <w:rFonts w:asciiTheme="majorHAnsi" w:eastAsia="Times New Roman" w:hAnsiTheme="majorHAnsi" w:cstheme="majorHAnsi"/>
              </w:rPr>
              <w:t>While the Act provides the ability to manage and respond to a p</w:t>
            </w:r>
            <w:r w:rsidRPr="00E46093">
              <w:rPr>
                <w:rFonts w:asciiTheme="majorHAnsi" w:hAnsiTheme="majorHAnsi" w:cstheme="majorHAnsi"/>
              </w:rPr>
              <w:t xml:space="preserve">otential liquid fuel shortage, </w:t>
            </w:r>
            <w:r w:rsidRPr="00E46093">
              <w:rPr>
                <w:rFonts w:asciiTheme="majorHAnsi" w:eastAsia="Times New Roman" w:hAnsiTheme="majorHAnsi" w:cstheme="majorHAnsi"/>
              </w:rPr>
              <w:t xml:space="preserve">it does not amount to risk management </w:t>
            </w:r>
            <w:r>
              <w:rPr>
                <w:rFonts w:asciiTheme="majorHAnsi" w:eastAsia="Times New Roman" w:hAnsiTheme="majorHAnsi" w:cstheme="majorHAnsi"/>
              </w:rPr>
              <w:t>and all hazards security risk management approach.</w:t>
            </w:r>
          </w:p>
        </w:tc>
      </w:tr>
      <w:tr w:rsidR="00340241" w:rsidRPr="00374A1D" w14:paraId="3B9BC61C" w14:textId="77777777" w:rsidTr="00DB2BA2">
        <w:tc>
          <w:tcPr>
            <w:tcW w:w="809" w:type="pct"/>
            <w:shd w:val="clear" w:color="auto" w:fill="F2F2F2" w:themeFill="background1" w:themeFillShade="F2"/>
          </w:tcPr>
          <w:p w14:paraId="5E304B84" w14:textId="77777777" w:rsidR="00984F3B" w:rsidRPr="00DB2BA2" w:rsidRDefault="00984F3B" w:rsidP="00DB2BA2">
            <w:pPr>
              <w:pStyle w:val="TableBody"/>
              <w:rPr>
                <w:rFonts w:asciiTheme="majorHAnsi" w:hAnsiTheme="majorHAnsi" w:cstheme="majorHAnsi"/>
                <w:i/>
                <w:iCs/>
              </w:rPr>
            </w:pPr>
            <w:r w:rsidRPr="00DB2BA2">
              <w:rPr>
                <w:i/>
                <w:iCs/>
              </w:rPr>
              <w:lastRenderedPageBreak/>
              <w:t>Fuel Quality Standards Regulations 2019</w:t>
            </w:r>
          </w:p>
        </w:tc>
        <w:tc>
          <w:tcPr>
            <w:tcW w:w="2132" w:type="pct"/>
            <w:shd w:val="clear" w:color="auto" w:fill="auto"/>
          </w:tcPr>
          <w:p w14:paraId="7DCDF4DF" w14:textId="77777777" w:rsidR="00984F3B" w:rsidRPr="00E46093" w:rsidRDefault="00984F3B" w:rsidP="00DB2BA2">
            <w:pPr>
              <w:pStyle w:val="TableBody"/>
              <w:rPr>
                <w:rFonts w:asciiTheme="majorHAnsi" w:hAnsiTheme="majorHAnsi" w:cstheme="majorHAnsi"/>
                <w:szCs w:val="22"/>
              </w:rPr>
            </w:pPr>
            <w:r w:rsidRPr="00E46093">
              <w:rPr>
                <w:szCs w:val="22"/>
                <w:shd w:val="clear" w:color="auto" w:fill="FFFFFF"/>
              </w:rPr>
              <w:t>The regulations aim to provide the administrative detail for the following matters: application processes for an approval to vary a fuel standard; · appointment conditions of the Fuel Standards Consultative Committee; · publication of notices of action in relation to adding or removing a fuel additive, or class of fuel additive</w:t>
            </w:r>
            <w:r>
              <w:rPr>
                <w:szCs w:val="22"/>
                <w:shd w:val="clear" w:color="auto" w:fill="FFFFFF"/>
              </w:rPr>
              <w:t>.</w:t>
            </w:r>
          </w:p>
        </w:tc>
        <w:tc>
          <w:tcPr>
            <w:tcW w:w="2059" w:type="pct"/>
            <w:shd w:val="clear" w:color="auto" w:fill="auto"/>
          </w:tcPr>
          <w:p w14:paraId="6137FAC2" w14:textId="77777777" w:rsidR="00984F3B" w:rsidRPr="00E46093" w:rsidRDefault="00984F3B" w:rsidP="00DB2BA2">
            <w:pPr>
              <w:pStyle w:val="TableBody"/>
              <w:rPr>
                <w:rFonts w:asciiTheme="majorHAnsi" w:eastAsia="Times New Roman" w:hAnsiTheme="majorHAnsi" w:cstheme="majorHAnsi"/>
              </w:rPr>
            </w:pPr>
            <w:r w:rsidRPr="00E46093">
              <w:rPr>
                <w:rFonts w:eastAsia="Times New Roman"/>
              </w:rPr>
              <w:t>While the regulation provides the administrative requirement for fuel quality regulations, it does not amount to an all-hazards approach to risk management, nor is the requirement for a safety management scheme imposed on a whole-of-sector basis.</w:t>
            </w:r>
          </w:p>
        </w:tc>
      </w:tr>
    </w:tbl>
    <w:p w14:paraId="2CAAD045" w14:textId="77777777" w:rsidR="000A6D01" w:rsidRPr="00DB2BA2" w:rsidRDefault="000A6D01" w:rsidP="00DB2BA2">
      <w:pPr>
        <w:pStyle w:val="AppendixH2"/>
        <w:rPr>
          <w:spacing w:val="-4"/>
        </w:rPr>
      </w:pPr>
      <w:r w:rsidRPr="00DB2BA2">
        <w:rPr>
          <w:spacing w:val="-4"/>
        </w:rPr>
        <w:t>Existing standards, guidelines and regulators for critical liquid fuel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122"/>
        <w:gridCol w:w="3412"/>
        <w:gridCol w:w="5104"/>
      </w:tblGrid>
      <w:tr w:rsidR="00340241" w:rsidRPr="002C399D" w14:paraId="6D50090D" w14:textId="77777777" w:rsidTr="0066484D">
        <w:tc>
          <w:tcPr>
            <w:tcW w:w="582" w:type="pct"/>
            <w:shd w:val="clear" w:color="auto" w:fill="034EA2" w:themeFill="accent1"/>
          </w:tcPr>
          <w:p w14:paraId="3004C434" w14:textId="60FE54DE" w:rsidR="000A6D01" w:rsidRPr="006E7F2A" w:rsidRDefault="006B3927" w:rsidP="00DB2BA2">
            <w:pPr>
              <w:pStyle w:val="TableHeading"/>
            </w:pPr>
            <w:r>
              <w:t>Hazard domain</w:t>
            </w:r>
          </w:p>
        </w:tc>
        <w:tc>
          <w:tcPr>
            <w:tcW w:w="1770" w:type="pct"/>
            <w:shd w:val="clear" w:color="auto" w:fill="034EA2" w:themeFill="accent1"/>
          </w:tcPr>
          <w:p w14:paraId="41E7D043" w14:textId="77777777" w:rsidR="000A6D01" w:rsidRPr="006E7F2A" w:rsidRDefault="000A6D01" w:rsidP="00DB2BA2">
            <w:pPr>
              <w:pStyle w:val="TableHeading"/>
            </w:pPr>
            <w:r w:rsidRPr="006E7F2A">
              <w:t>Organisation</w:t>
            </w:r>
          </w:p>
        </w:tc>
        <w:tc>
          <w:tcPr>
            <w:tcW w:w="2647" w:type="pct"/>
            <w:shd w:val="clear" w:color="auto" w:fill="034EA2" w:themeFill="accent1"/>
          </w:tcPr>
          <w:p w14:paraId="752D7E37" w14:textId="77777777" w:rsidR="000A6D01" w:rsidRPr="006E7F2A" w:rsidRDefault="000A6D01" w:rsidP="00DB2BA2">
            <w:pPr>
              <w:pStyle w:val="TableHeading"/>
            </w:pPr>
            <w:r w:rsidRPr="006E7F2A">
              <w:t>Standards &amp; guidelines</w:t>
            </w:r>
          </w:p>
        </w:tc>
      </w:tr>
      <w:tr w:rsidR="000A6D01" w:rsidRPr="002C399D" w14:paraId="32D3BAF2" w14:textId="77777777" w:rsidTr="0066484D">
        <w:tc>
          <w:tcPr>
            <w:tcW w:w="582" w:type="pct"/>
            <w:vMerge w:val="restart"/>
            <w:shd w:val="clear" w:color="auto" w:fill="F2F2F2" w:themeFill="background1" w:themeFillShade="F2"/>
          </w:tcPr>
          <w:p w14:paraId="32782857" w14:textId="77777777" w:rsidR="000A6D01" w:rsidRPr="002C399D" w:rsidRDefault="000A6D01" w:rsidP="00DB2BA2">
            <w:pPr>
              <w:pStyle w:val="TableBody"/>
            </w:pPr>
            <w:r w:rsidRPr="002C399D">
              <w:t>Cyber</w:t>
            </w:r>
          </w:p>
        </w:tc>
        <w:tc>
          <w:tcPr>
            <w:tcW w:w="1770" w:type="pct"/>
            <w:shd w:val="clear" w:color="auto" w:fill="auto"/>
          </w:tcPr>
          <w:p w14:paraId="46B06BBE" w14:textId="77777777" w:rsidR="000A6D01" w:rsidRPr="00AC32B9" w:rsidRDefault="000A6D01" w:rsidP="00DB2BA2">
            <w:pPr>
              <w:pStyle w:val="TableBody"/>
            </w:pPr>
            <w:r w:rsidRPr="00AC32B9">
              <w:t>National Institutes of Standards and Technology (NIST)</w:t>
            </w:r>
          </w:p>
        </w:tc>
        <w:tc>
          <w:tcPr>
            <w:tcW w:w="2647" w:type="pct"/>
            <w:shd w:val="clear" w:color="auto" w:fill="auto"/>
          </w:tcPr>
          <w:p w14:paraId="79224591" w14:textId="77777777" w:rsidR="000A6D01" w:rsidRPr="00DB2BA2" w:rsidRDefault="000A6D01" w:rsidP="00DB2BA2">
            <w:pPr>
              <w:pStyle w:val="TableBody"/>
              <w:rPr>
                <w:b/>
                <w:bCs/>
              </w:rPr>
            </w:pPr>
            <w:r w:rsidRPr="00DB2BA2">
              <w:rPr>
                <w:b/>
                <w:bCs/>
              </w:rPr>
              <w:t>Cybersecurity Programs</w:t>
            </w:r>
          </w:p>
        </w:tc>
      </w:tr>
      <w:tr w:rsidR="00340241" w:rsidRPr="002C399D" w14:paraId="4570B6D2" w14:textId="77777777" w:rsidTr="0066484D">
        <w:tc>
          <w:tcPr>
            <w:tcW w:w="582" w:type="pct"/>
            <w:vMerge/>
            <w:shd w:val="clear" w:color="auto" w:fill="F2F2F2" w:themeFill="background1" w:themeFillShade="F2"/>
          </w:tcPr>
          <w:p w14:paraId="7FB7A5B6" w14:textId="77777777" w:rsidR="000A6D01" w:rsidRPr="002C399D" w:rsidRDefault="000A6D01" w:rsidP="00DB2BA2">
            <w:pPr>
              <w:pStyle w:val="TableBody"/>
            </w:pPr>
          </w:p>
        </w:tc>
        <w:tc>
          <w:tcPr>
            <w:tcW w:w="1770" w:type="pct"/>
            <w:shd w:val="clear" w:color="auto" w:fill="auto"/>
          </w:tcPr>
          <w:p w14:paraId="435D221D" w14:textId="10B535CD" w:rsidR="000A6D01" w:rsidRPr="00AC32B9" w:rsidRDefault="002F57EB" w:rsidP="00DB2BA2">
            <w:pPr>
              <w:pStyle w:val="TableBody"/>
            </w:pPr>
            <w:r>
              <w:t>International Organization for Standardization</w:t>
            </w:r>
            <w:r w:rsidR="000A6D01" w:rsidRPr="00AC32B9">
              <w:t xml:space="preserve"> (ISO)</w:t>
            </w:r>
          </w:p>
        </w:tc>
        <w:tc>
          <w:tcPr>
            <w:tcW w:w="2647" w:type="pct"/>
            <w:shd w:val="clear" w:color="auto" w:fill="auto"/>
          </w:tcPr>
          <w:p w14:paraId="04337734" w14:textId="67F08FEF" w:rsidR="000A6D01" w:rsidRPr="00DB2BA2" w:rsidRDefault="000A6D01" w:rsidP="00DB2BA2">
            <w:pPr>
              <w:pStyle w:val="TableBody"/>
            </w:pPr>
            <w:r w:rsidRPr="00DB2BA2">
              <w:rPr>
                <w:b/>
                <w:bCs/>
              </w:rPr>
              <w:t>ISO 27001</w:t>
            </w:r>
            <w:r w:rsidRPr="00AC32B9">
              <w:t xml:space="preserve"> provides requirements for information security management systems.</w:t>
            </w:r>
          </w:p>
        </w:tc>
      </w:tr>
      <w:tr w:rsidR="000A6D01" w:rsidRPr="002C399D" w14:paraId="7553DBE4" w14:textId="77777777" w:rsidTr="0066484D">
        <w:tc>
          <w:tcPr>
            <w:tcW w:w="582" w:type="pct"/>
            <w:vMerge/>
            <w:shd w:val="clear" w:color="auto" w:fill="F2F2F2" w:themeFill="background1" w:themeFillShade="F2"/>
          </w:tcPr>
          <w:p w14:paraId="10226138" w14:textId="77777777" w:rsidR="000A6D01" w:rsidRPr="002C399D" w:rsidRDefault="000A6D01" w:rsidP="00DB2BA2">
            <w:pPr>
              <w:pStyle w:val="TableBody"/>
            </w:pPr>
          </w:p>
        </w:tc>
        <w:tc>
          <w:tcPr>
            <w:tcW w:w="1770" w:type="pct"/>
            <w:shd w:val="clear" w:color="auto" w:fill="auto"/>
          </w:tcPr>
          <w:p w14:paraId="11F86D66" w14:textId="77777777" w:rsidR="000A6D01" w:rsidRPr="00AC32B9" w:rsidRDefault="000A6D01" w:rsidP="00DB2BA2">
            <w:pPr>
              <w:pStyle w:val="TableBody"/>
            </w:pPr>
            <w:r w:rsidRPr="00AC32B9">
              <w:t>United States Department of Energy</w:t>
            </w:r>
          </w:p>
        </w:tc>
        <w:tc>
          <w:tcPr>
            <w:tcW w:w="2647" w:type="pct"/>
            <w:shd w:val="clear" w:color="auto" w:fill="auto"/>
          </w:tcPr>
          <w:p w14:paraId="0289A38C" w14:textId="77777777" w:rsidR="000A6D01" w:rsidRPr="00AC32B9" w:rsidRDefault="000A6D01" w:rsidP="00DB2BA2">
            <w:pPr>
              <w:pStyle w:val="TableBody"/>
            </w:pPr>
            <w:r w:rsidRPr="00DB2BA2">
              <w:rPr>
                <w:b/>
                <w:bCs/>
              </w:rPr>
              <w:t>Cybersecurity Capability Maturity Model</w:t>
            </w:r>
            <w:r w:rsidRPr="00AC32B9">
              <w:t xml:space="preserve"> (C2M2) was developed by the U.S. Department of Energy in conjunction with energy sector subject matter experts. It provides a voluntary evaluation process which allows entities to determine the maturity of their cyber security capabilities. The AESCSF is based upon this model.</w:t>
            </w:r>
          </w:p>
        </w:tc>
      </w:tr>
      <w:tr w:rsidR="00340241" w:rsidRPr="002C399D" w14:paraId="7A6589BC" w14:textId="77777777" w:rsidTr="0066484D">
        <w:tc>
          <w:tcPr>
            <w:tcW w:w="582" w:type="pct"/>
            <w:vMerge/>
            <w:shd w:val="clear" w:color="auto" w:fill="F2F2F2" w:themeFill="background1" w:themeFillShade="F2"/>
          </w:tcPr>
          <w:p w14:paraId="2D27B637" w14:textId="77777777" w:rsidR="000A6D01" w:rsidRPr="002C399D" w:rsidRDefault="000A6D01" w:rsidP="00DB2BA2">
            <w:pPr>
              <w:pStyle w:val="TableBody"/>
            </w:pPr>
          </w:p>
        </w:tc>
        <w:tc>
          <w:tcPr>
            <w:tcW w:w="1770" w:type="pct"/>
            <w:shd w:val="clear" w:color="auto" w:fill="auto"/>
          </w:tcPr>
          <w:p w14:paraId="67861440" w14:textId="77777777" w:rsidR="000A6D01" w:rsidRPr="00AC32B9" w:rsidRDefault="000A6D01" w:rsidP="00DB2BA2">
            <w:pPr>
              <w:pStyle w:val="TableBody"/>
            </w:pPr>
            <w:r w:rsidRPr="00AC32B9">
              <w:t>ACSC</w:t>
            </w:r>
          </w:p>
        </w:tc>
        <w:tc>
          <w:tcPr>
            <w:tcW w:w="2647" w:type="pct"/>
            <w:shd w:val="clear" w:color="auto" w:fill="auto"/>
          </w:tcPr>
          <w:p w14:paraId="1DC3C4E7" w14:textId="77777777" w:rsidR="000A6D01" w:rsidRPr="00AC32B9" w:rsidRDefault="000A6D01" w:rsidP="00DB2BA2">
            <w:pPr>
              <w:pStyle w:val="TableBody"/>
            </w:pPr>
            <w:r w:rsidRPr="00DB2BA2">
              <w:rPr>
                <w:b/>
                <w:bCs/>
              </w:rPr>
              <w:t>Essential Eight Maturity Model</w:t>
            </w:r>
            <w:r w:rsidRPr="00AC32B9">
              <w:t xml:space="preserve"> provides requirements to increase business resilience against cyber and information security hazards.</w:t>
            </w:r>
          </w:p>
        </w:tc>
      </w:tr>
    </w:tbl>
    <w:p w14:paraId="5E54D7D5" w14:textId="77777777" w:rsidR="00CB53A1" w:rsidRDefault="00CB53A1" w:rsidP="00DB2BA2">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3053"/>
        <w:gridCol w:w="6585"/>
      </w:tblGrid>
      <w:tr w:rsidR="000A6D01" w:rsidRPr="002C399D" w14:paraId="721FC828" w14:textId="77777777" w:rsidTr="00D61F6D">
        <w:tc>
          <w:tcPr>
            <w:tcW w:w="1584" w:type="pct"/>
            <w:shd w:val="clear" w:color="auto" w:fill="034EA2" w:themeFill="accent1"/>
          </w:tcPr>
          <w:p w14:paraId="77E8EA55" w14:textId="77777777" w:rsidR="000A6D01" w:rsidRPr="002C399D" w:rsidRDefault="000A6D01" w:rsidP="00D61F6D">
            <w:pPr>
              <w:pStyle w:val="TableHeading"/>
            </w:pPr>
            <w:r w:rsidRPr="002C399D">
              <w:t>Jurisdiction</w:t>
            </w:r>
          </w:p>
        </w:tc>
        <w:tc>
          <w:tcPr>
            <w:tcW w:w="3416" w:type="pct"/>
            <w:shd w:val="clear" w:color="auto" w:fill="034EA2" w:themeFill="accent1"/>
          </w:tcPr>
          <w:p w14:paraId="3D72A48F" w14:textId="77777777" w:rsidR="000A6D01" w:rsidRPr="002C399D" w:rsidRDefault="000A6D01" w:rsidP="00D61F6D">
            <w:pPr>
              <w:pStyle w:val="TableHeading"/>
            </w:pPr>
            <w:r w:rsidRPr="002C399D">
              <w:t>Regulator/s</w:t>
            </w:r>
          </w:p>
        </w:tc>
      </w:tr>
      <w:tr w:rsidR="000A6D01" w:rsidRPr="002C399D" w14:paraId="236899F0" w14:textId="77777777" w:rsidTr="00D61F6D">
        <w:tc>
          <w:tcPr>
            <w:tcW w:w="1584" w:type="pct"/>
            <w:shd w:val="clear" w:color="auto" w:fill="F2F2F2" w:themeFill="background1" w:themeFillShade="F2"/>
          </w:tcPr>
          <w:p w14:paraId="484E87F0" w14:textId="77777777" w:rsidR="000A6D01" w:rsidRPr="002C399D" w:rsidRDefault="000A6D01" w:rsidP="00D61F6D">
            <w:pPr>
              <w:pStyle w:val="TableBody"/>
            </w:pPr>
            <w:r w:rsidRPr="002C399D">
              <w:t>Commonwealth</w:t>
            </w:r>
          </w:p>
        </w:tc>
        <w:tc>
          <w:tcPr>
            <w:tcW w:w="3416" w:type="pct"/>
            <w:shd w:val="clear" w:color="auto" w:fill="auto"/>
          </w:tcPr>
          <w:p w14:paraId="07C1E120" w14:textId="3912FFFC" w:rsidR="000A6D01" w:rsidRDefault="000A6D01" w:rsidP="00D61F6D">
            <w:pPr>
              <w:pStyle w:val="TableBody"/>
            </w:pPr>
            <w:r>
              <w:t xml:space="preserve">Department of </w:t>
            </w:r>
            <w:r w:rsidR="0032055F">
              <w:t>Climate Change, Energy, the Environment and Water</w:t>
            </w:r>
          </w:p>
          <w:p w14:paraId="33E6416C" w14:textId="77777777" w:rsidR="000A6D01" w:rsidRPr="002C399D" w:rsidRDefault="000A6D01" w:rsidP="00D61F6D">
            <w:pPr>
              <w:pStyle w:val="TableBody"/>
            </w:pPr>
            <w:r>
              <w:t>Fuel Quality Standards Regulations 2019</w:t>
            </w:r>
          </w:p>
        </w:tc>
      </w:tr>
      <w:tr w:rsidR="000A6D01" w:rsidRPr="002C399D" w14:paraId="78559132" w14:textId="77777777" w:rsidTr="00D61F6D">
        <w:tc>
          <w:tcPr>
            <w:tcW w:w="1584" w:type="pct"/>
            <w:shd w:val="clear" w:color="auto" w:fill="F2F2F2" w:themeFill="background1" w:themeFillShade="F2"/>
          </w:tcPr>
          <w:p w14:paraId="7EE64D85" w14:textId="77777777" w:rsidR="000A6D01" w:rsidRPr="002C399D" w:rsidRDefault="000A6D01" w:rsidP="00D61F6D">
            <w:pPr>
              <w:pStyle w:val="TableBody"/>
            </w:pPr>
            <w:r w:rsidRPr="002C399D">
              <w:t>Australian Capital Territory</w:t>
            </w:r>
          </w:p>
        </w:tc>
        <w:tc>
          <w:tcPr>
            <w:tcW w:w="3416" w:type="pct"/>
            <w:shd w:val="clear" w:color="auto" w:fill="auto"/>
          </w:tcPr>
          <w:p w14:paraId="6438F681" w14:textId="77777777" w:rsidR="000A6D01" w:rsidRPr="002C399D" w:rsidRDefault="000A6D01" w:rsidP="00D61F6D">
            <w:pPr>
              <w:pStyle w:val="TableBody"/>
            </w:pPr>
            <w:r>
              <w:t>ACT Fair Trading</w:t>
            </w:r>
          </w:p>
        </w:tc>
      </w:tr>
      <w:tr w:rsidR="000A6D01" w:rsidRPr="002C399D" w14:paraId="340A2706" w14:textId="77777777" w:rsidTr="00D61F6D">
        <w:tc>
          <w:tcPr>
            <w:tcW w:w="1584" w:type="pct"/>
            <w:shd w:val="clear" w:color="auto" w:fill="F2F2F2" w:themeFill="background1" w:themeFillShade="F2"/>
          </w:tcPr>
          <w:p w14:paraId="05B01F4F" w14:textId="77777777" w:rsidR="000A6D01" w:rsidRPr="002C399D" w:rsidRDefault="000A6D01" w:rsidP="00D61F6D">
            <w:pPr>
              <w:pStyle w:val="TableBody"/>
            </w:pPr>
            <w:r w:rsidRPr="002C399D">
              <w:t>New South Wales</w:t>
            </w:r>
          </w:p>
        </w:tc>
        <w:tc>
          <w:tcPr>
            <w:tcW w:w="3416" w:type="pct"/>
            <w:shd w:val="clear" w:color="auto" w:fill="auto"/>
          </w:tcPr>
          <w:p w14:paraId="50ADBBCA" w14:textId="77777777" w:rsidR="000A6D01" w:rsidRPr="002C399D" w:rsidRDefault="000A6D01" w:rsidP="00D61F6D">
            <w:pPr>
              <w:pStyle w:val="TableBody"/>
            </w:pPr>
            <w:r>
              <w:t>NSW Fair Trading</w:t>
            </w:r>
          </w:p>
        </w:tc>
      </w:tr>
      <w:tr w:rsidR="000A6D01" w:rsidRPr="002C399D" w14:paraId="5E22BDD4" w14:textId="77777777" w:rsidTr="00D61F6D">
        <w:tc>
          <w:tcPr>
            <w:tcW w:w="1584" w:type="pct"/>
            <w:shd w:val="clear" w:color="auto" w:fill="F2F2F2" w:themeFill="background1" w:themeFillShade="F2"/>
          </w:tcPr>
          <w:p w14:paraId="0487E793" w14:textId="77777777" w:rsidR="000A6D01" w:rsidRPr="002C399D" w:rsidRDefault="000A6D01" w:rsidP="00D61F6D">
            <w:pPr>
              <w:pStyle w:val="TableBody"/>
            </w:pPr>
            <w:r w:rsidRPr="002C399D">
              <w:t>Northern Territory</w:t>
            </w:r>
          </w:p>
        </w:tc>
        <w:tc>
          <w:tcPr>
            <w:tcW w:w="3416" w:type="pct"/>
            <w:shd w:val="clear" w:color="auto" w:fill="auto"/>
          </w:tcPr>
          <w:p w14:paraId="6CCBB66F" w14:textId="77777777" w:rsidR="000A6D01" w:rsidRPr="002C399D" w:rsidRDefault="000A6D01" w:rsidP="00D61F6D">
            <w:pPr>
              <w:pStyle w:val="TableBody"/>
            </w:pPr>
            <w:r>
              <w:t>NT Consumer Affairs</w:t>
            </w:r>
          </w:p>
        </w:tc>
      </w:tr>
      <w:tr w:rsidR="000A6D01" w:rsidRPr="002C399D" w14:paraId="4E1498FA" w14:textId="77777777" w:rsidTr="00D61F6D">
        <w:tc>
          <w:tcPr>
            <w:tcW w:w="1584" w:type="pct"/>
            <w:shd w:val="clear" w:color="auto" w:fill="F2F2F2" w:themeFill="background1" w:themeFillShade="F2"/>
          </w:tcPr>
          <w:p w14:paraId="75D95171" w14:textId="77777777" w:rsidR="000A6D01" w:rsidRPr="002C399D" w:rsidRDefault="000A6D01" w:rsidP="00D61F6D">
            <w:pPr>
              <w:pStyle w:val="TableBody"/>
            </w:pPr>
            <w:r w:rsidRPr="002C399D">
              <w:t>Queensland</w:t>
            </w:r>
          </w:p>
        </w:tc>
        <w:tc>
          <w:tcPr>
            <w:tcW w:w="3416" w:type="pct"/>
            <w:shd w:val="clear" w:color="auto" w:fill="auto"/>
          </w:tcPr>
          <w:p w14:paraId="2D165DAE" w14:textId="77777777" w:rsidR="000A6D01" w:rsidRPr="002C399D" w:rsidRDefault="000A6D01" w:rsidP="00D61F6D">
            <w:pPr>
              <w:pStyle w:val="TableBody"/>
            </w:pPr>
            <w:r>
              <w:t>QLD Office of Fair Trading</w:t>
            </w:r>
          </w:p>
        </w:tc>
      </w:tr>
      <w:tr w:rsidR="000A6D01" w:rsidRPr="002C399D" w14:paraId="33DC632F" w14:textId="77777777" w:rsidTr="00D61F6D">
        <w:tc>
          <w:tcPr>
            <w:tcW w:w="1584" w:type="pct"/>
            <w:shd w:val="clear" w:color="auto" w:fill="F2F2F2" w:themeFill="background1" w:themeFillShade="F2"/>
          </w:tcPr>
          <w:p w14:paraId="073D9494" w14:textId="77777777" w:rsidR="000A6D01" w:rsidRPr="002C399D" w:rsidRDefault="000A6D01" w:rsidP="00D61F6D">
            <w:pPr>
              <w:pStyle w:val="TableBody"/>
            </w:pPr>
            <w:r w:rsidRPr="002C399D">
              <w:t>South Australia</w:t>
            </w:r>
          </w:p>
        </w:tc>
        <w:tc>
          <w:tcPr>
            <w:tcW w:w="3416" w:type="pct"/>
            <w:shd w:val="clear" w:color="auto" w:fill="auto"/>
          </w:tcPr>
          <w:p w14:paraId="60799880" w14:textId="77777777" w:rsidR="000A6D01" w:rsidRPr="002C399D" w:rsidRDefault="000A6D01" w:rsidP="00D61F6D">
            <w:pPr>
              <w:pStyle w:val="TableBody"/>
            </w:pPr>
            <w:r>
              <w:t>SA Consumer Complaints and Advice</w:t>
            </w:r>
          </w:p>
        </w:tc>
      </w:tr>
      <w:tr w:rsidR="000A6D01" w:rsidRPr="002C399D" w14:paraId="05112397" w14:textId="77777777" w:rsidTr="00D61F6D">
        <w:tc>
          <w:tcPr>
            <w:tcW w:w="1584" w:type="pct"/>
            <w:shd w:val="clear" w:color="auto" w:fill="F2F2F2" w:themeFill="background1" w:themeFillShade="F2"/>
          </w:tcPr>
          <w:p w14:paraId="28D5BF24" w14:textId="77777777" w:rsidR="000A6D01" w:rsidRPr="002C399D" w:rsidRDefault="000A6D01" w:rsidP="00D61F6D">
            <w:pPr>
              <w:pStyle w:val="TableBody"/>
            </w:pPr>
            <w:r w:rsidRPr="002C399D">
              <w:t>Tasmania</w:t>
            </w:r>
          </w:p>
        </w:tc>
        <w:tc>
          <w:tcPr>
            <w:tcW w:w="3416" w:type="pct"/>
            <w:shd w:val="clear" w:color="auto" w:fill="auto"/>
          </w:tcPr>
          <w:p w14:paraId="2B12A358" w14:textId="77777777" w:rsidR="000A6D01" w:rsidRPr="002C399D" w:rsidRDefault="000A6D01" w:rsidP="00D61F6D">
            <w:pPr>
              <w:pStyle w:val="TableBody"/>
            </w:pPr>
            <w:r>
              <w:t>Consumer Affairs and Fair-Trading Tasmania</w:t>
            </w:r>
          </w:p>
        </w:tc>
      </w:tr>
      <w:tr w:rsidR="000A6D01" w:rsidRPr="002C399D" w14:paraId="04D846BC" w14:textId="77777777" w:rsidTr="00D61F6D">
        <w:tc>
          <w:tcPr>
            <w:tcW w:w="1584" w:type="pct"/>
            <w:shd w:val="clear" w:color="auto" w:fill="F2F2F2" w:themeFill="background1" w:themeFillShade="F2"/>
          </w:tcPr>
          <w:p w14:paraId="7D8F094E" w14:textId="77777777" w:rsidR="000A6D01" w:rsidRPr="002C399D" w:rsidRDefault="000A6D01" w:rsidP="00D61F6D">
            <w:pPr>
              <w:pStyle w:val="TableBody"/>
            </w:pPr>
            <w:r w:rsidRPr="002C399D">
              <w:t>Victoria</w:t>
            </w:r>
          </w:p>
        </w:tc>
        <w:tc>
          <w:tcPr>
            <w:tcW w:w="3416" w:type="pct"/>
            <w:shd w:val="clear" w:color="auto" w:fill="auto"/>
          </w:tcPr>
          <w:p w14:paraId="7364F10A" w14:textId="77777777" w:rsidR="000A6D01" w:rsidRDefault="000A6D01" w:rsidP="00D61F6D">
            <w:pPr>
              <w:pStyle w:val="TableBody"/>
            </w:pPr>
            <w:r>
              <w:t>Agriculture Victoria</w:t>
            </w:r>
          </w:p>
          <w:p w14:paraId="028008A5" w14:textId="77777777" w:rsidR="000A6D01" w:rsidRPr="002C399D" w:rsidRDefault="000A6D01" w:rsidP="00D61F6D">
            <w:pPr>
              <w:pStyle w:val="TableBody"/>
            </w:pPr>
            <w:r>
              <w:t>Consumer Affairs Victoria</w:t>
            </w:r>
          </w:p>
        </w:tc>
      </w:tr>
      <w:tr w:rsidR="000A6D01" w:rsidRPr="002C399D" w14:paraId="59583362" w14:textId="77777777" w:rsidTr="00D61F6D">
        <w:tc>
          <w:tcPr>
            <w:tcW w:w="1584" w:type="pct"/>
            <w:shd w:val="clear" w:color="auto" w:fill="F2F2F2" w:themeFill="background1" w:themeFillShade="F2"/>
          </w:tcPr>
          <w:p w14:paraId="781E54E4" w14:textId="77777777" w:rsidR="000A6D01" w:rsidRPr="002C399D" w:rsidRDefault="000A6D01" w:rsidP="00D61F6D">
            <w:pPr>
              <w:pStyle w:val="TableBody"/>
            </w:pPr>
            <w:r w:rsidRPr="002C399D">
              <w:t>Western Australia</w:t>
            </w:r>
          </w:p>
        </w:tc>
        <w:tc>
          <w:tcPr>
            <w:tcW w:w="3416" w:type="pct"/>
            <w:shd w:val="clear" w:color="auto" w:fill="auto"/>
          </w:tcPr>
          <w:p w14:paraId="3EABA14F" w14:textId="77777777" w:rsidR="000A6D01" w:rsidRPr="002C399D" w:rsidRDefault="000A6D01" w:rsidP="00D61F6D">
            <w:pPr>
              <w:pStyle w:val="TableBody"/>
            </w:pPr>
            <w:r>
              <w:t>WA Consumer Protection</w:t>
            </w:r>
          </w:p>
        </w:tc>
      </w:tr>
    </w:tbl>
    <w:p w14:paraId="24A4991E" w14:textId="77777777" w:rsidR="000C3D44" w:rsidRPr="00B26132" w:rsidRDefault="000C3D44" w:rsidP="00DB2BA2">
      <w:pPr>
        <w:pStyle w:val="AppendixH2"/>
      </w:pPr>
      <w:r>
        <w:lastRenderedPageBreak/>
        <w:t>Additional information on consultation</w:t>
      </w:r>
    </w:p>
    <w:p w14:paraId="5992D935" w14:textId="77777777" w:rsidR="00CB235C" w:rsidRPr="003645A2" w:rsidRDefault="00CB235C" w:rsidP="00DB2BA2">
      <w:pPr>
        <w:pStyle w:val="Caption"/>
      </w:pPr>
      <w:r w:rsidRPr="003645A2">
        <w:t>Overview of stakeholders consulted</w:t>
      </w:r>
    </w:p>
    <w:tbl>
      <w:tblPr>
        <w:tblStyle w:val="TableGrid5"/>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2552"/>
        <w:gridCol w:w="7086"/>
      </w:tblGrid>
      <w:tr w:rsidR="00CB235C" w:rsidRPr="003645A2" w14:paraId="2D5B693A" w14:textId="77777777" w:rsidTr="00D61F6D">
        <w:tc>
          <w:tcPr>
            <w:tcW w:w="5000" w:type="pct"/>
            <w:gridSpan w:val="2"/>
            <w:shd w:val="clear" w:color="auto" w:fill="034EA2" w:themeFill="accent1"/>
          </w:tcPr>
          <w:p w14:paraId="71A3A0C4" w14:textId="77777777" w:rsidR="00CB235C" w:rsidRPr="003645A2" w:rsidRDefault="00CB235C" w:rsidP="00D61F6D">
            <w:pPr>
              <w:pStyle w:val="TableHeading"/>
            </w:pPr>
            <w:r w:rsidRPr="003645A2">
              <w:t xml:space="preserve">Stakeholders Consulted </w:t>
            </w:r>
          </w:p>
        </w:tc>
      </w:tr>
      <w:tr w:rsidR="00CB235C" w:rsidRPr="003645A2" w14:paraId="2AE39DAC" w14:textId="77777777" w:rsidTr="00435ED1">
        <w:tc>
          <w:tcPr>
            <w:tcW w:w="1324" w:type="pct"/>
          </w:tcPr>
          <w:p w14:paraId="26E0B0CF" w14:textId="77777777" w:rsidR="00CB235C" w:rsidRDefault="00CB235C" w:rsidP="00D61F6D">
            <w:pPr>
              <w:pStyle w:val="TableBullet"/>
              <w:rPr>
                <w:rFonts w:eastAsia="Calibri"/>
              </w:rPr>
            </w:pPr>
            <w:r>
              <w:rPr>
                <w:rFonts w:eastAsia="Calibri"/>
              </w:rPr>
              <w:t>Santos</w:t>
            </w:r>
          </w:p>
          <w:p w14:paraId="14EBCDC4" w14:textId="77777777" w:rsidR="00CB235C" w:rsidRDefault="00CB235C" w:rsidP="00D61F6D">
            <w:pPr>
              <w:pStyle w:val="TableBullet"/>
              <w:rPr>
                <w:rFonts w:eastAsia="Calibri"/>
              </w:rPr>
            </w:pPr>
            <w:r>
              <w:rPr>
                <w:rFonts w:eastAsia="Calibri"/>
              </w:rPr>
              <w:t>Ampol</w:t>
            </w:r>
          </w:p>
          <w:p w14:paraId="3541A681" w14:textId="77777777" w:rsidR="00CB235C" w:rsidRDefault="00CB235C" w:rsidP="00D61F6D">
            <w:pPr>
              <w:pStyle w:val="TableBullet"/>
              <w:rPr>
                <w:rFonts w:eastAsia="Calibri"/>
              </w:rPr>
            </w:pPr>
            <w:r>
              <w:rPr>
                <w:rFonts w:eastAsia="Calibri"/>
              </w:rPr>
              <w:t>Chevron</w:t>
            </w:r>
          </w:p>
          <w:p w14:paraId="329D7596" w14:textId="77777777" w:rsidR="00CB235C" w:rsidRPr="003645A2" w:rsidRDefault="00CB235C" w:rsidP="00D61F6D">
            <w:pPr>
              <w:pStyle w:val="TableBullet"/>
              <w:rPr>
                <w:rFonts w:eastAsia="Calibri"/>
              </w:rPr>
            </w:pPr>
            <w:r>
              <w:rPr>
                <w:rFonts w:eastAsia="Calibri"/>
              </w:rPr>
              <w:t xml:space="preserve">Viva Energy </w:t>
            </w:r>
          </w:p>
        </w:tc>
        <w:tc>
          <w:tcPr>
            <w:tcW w:w="3676" w:type="pct"/>
          </w:tcPr>
          <w:p w14:paraId="5DB4C359" w14:textId="77777777" w:rsidR="00CB235C" w:rsidRDefault="00CB235C" w:rsidP="00D61F6D">
            <w:pPr>
              <w:pStyle w:val="TableBullet"/>
              <w:rPr>
                <w:rFonts w:eastAsia="Calibri"/>
              </w:rPr>
            </w:pPr>
            <w:r>
              <w:rPr>
                <w:rFonts w:eastAsia="Calibri"/>
              </w:rPr>
              <w:t>The National Offshore Petroleum Safety and Environmental Management Authority (NOPSEMA)</w:t>
            </w:r>
          </w:p>
          <w:p w14:paraId="7AB70E96" w14:textId="77777777" w:rsidR="00CB235C" w:rsidRDefault="00CB235C" w:rsidP="00D61F6D">
            <w:pPr>
              <w:pStyle w:val="TableBullet"/>
              <w:rPr>
                <w:rFonts w:eastAsia="Calibri"/>
              </w:rPr>
            </w:pPr>
            <w:r>
              <w:rPr>
                <w:rFonts w:eastAsia="Calibri"/>
              </w:rPr>
              <w:t xml:space="preserve">Woodside Energy </w:t>
            </w:r>
          </w:p>
          <w:p w14:paraId="5BB787DA" w14:textId="77777777" w:rsidR="00CB235C" w:rsidRPr="003645A2" w:rsidRDefault="00CB235C" w:rsidP="00D61F6D">
            <w:pPr>
              <w:pStyle w:val="TableBullet"/>
              <w:rPr>
                <w:rFonts w:eastAsia="Calibri"/>
              </w:rPr>
            </w:pPr>
            <w:r w:rsidRPr="005A3CA1">
              <w:rPr>
                <w:rFonts w:eastAsia="Calibri"/>
              </w:rPr>
              <w:t>The Australian Petroleum Production &amp; Exploration Association (APPEA)</w:t>
            </w:r>
          </w:p>
        </w:tc>
      </w:tr>
    </w:tbl>
    <w:p w14:paraId="7924A367" w14:textId="77777777" w:rsidR="001E4026" w:rsidRPr="00D65A59" w:rsidRDefault="001E4026" w:rsidP="00D61F6D">
      <w:pPr>
        <w:pStyle w:val="AppendixH2"/>
      </w:pPr>
      <w:r w:rsidRPr="00D65A59">
        <w:t xml:space="preserve">RMP Rules consultation </w:t>
      </w:r>
    </w:p>
    <w:p w14:paraId="0D9D910B" w14:textId="187DF62E" w:rsidR="005541C9" w:rsidRDefault="005541C9" w:rsidP="008F15F4">
      <w:pPr>
        <w:spacing w:after="160" w:line="259" w:lineRule="auto"/>
        <w:rPr>
          <w:rFonts w:ascii="Arial" w:eastAsia="Calibri" w:hAnsi="Arial" w:cs="Arial"/>
          <w:sz w:val="22"/>
        </w:rPr>
      </w:pPr>
      <w:r w:rsidRPr="003645A2">
        <w:rPr>
          <w:rFonts w:ascii="Arial" w:eastAsia="Calibri" w:hAnsi="Arial" w:cs="Arial"/>
          <w:sz w:val="22"/>
        </w:rPr>
        <w:t xml:space="preserve">Consultation with industry stakeholders occurred </w:t>
      </w:r>
      <w:r w:rsidR="00473052">
        <w:rPr>
          <w:rFonts w:ascii="Arial" w:eastAsia="Calibri" w:hAnsi="Arial" w:cs="Arial"/>
          <w:sz w:val="22"/>
        </w:rPr>
        <w:t>across the following</w:t>
      </w:r>
      <w:r>
        <w:rPr>
          <w:rFonts w:ascii="Arial" w:eastAsia="Calibri" w:hAnsi="Arial" w:cs="Arial"/>
          <w:sz w:val="22"/>
        </w:rPr>
        <w:t xml:space="preserve"> </w:t>
      </w:r>
      <w:r w:rsidRPr="003645A2">
        <w:rPr>
          <w:rFonts w:ascii="Arial" w:eastAsia="Calibri" w:hAnsi="Arial" w:cs="Arial"/>
          <w:sz w:val="22"/>
        </w:rPr>
        <w:t xml:space="preserve">key stages: </w:t>
      </w:r>
    </w:p>
    <w:p w14:paraId="70D218C0" w14:textId="77777777" w:rsidR="005541C9" w:rsidRPr="006D421C" w:rsidRDefault="005541C9" w:rsidP="007F265A">
      <w:pPr>
        <w:pStyle w:val="ListParagraph"/>
        <w:numPr>
          <w:ilvl w:val="0"/>
          <w:numId w:val="149"/>
        </w:numPr>
        <w:spacing w:line="259" w:lineRule="auto"/>
        <w:rPr>
          <w:rFonts w:eastAsia="Calibri"/>
        </w:rPr>
      </w:pPr>
      <w:r w:rsidRPr="006D421C">
        <w:rPr>
          <w:rFonts w:eastAsia="Calibri"/>
          <w:b/>
          <w:bCs/>
        </w:rPr>
        <w:t>A virtual Town Hall</w:t>
      </w:r>
      <w:r w:rsidRPr="006D421C">
        <w:rPr>
          <w:rFonts w:eastAsia="Calibri"/>
        </w:rPr>
        <w:t>, held on 19 October 2021, attended by approximately 360 industry and Government stakeholders, including from the liquid fuels sector. The purposes of the session were to:</w:t>
      </w:r>
    </w:p>
    <w:p w14:paraId="470C8213" w14:textId="257B8D84" w:rsidR="005541C9" w:rsidRDefault="005541C9" w:rsidP="001F7C19">
      <w:pPr>
        <w:pStyle w:val="ListParagraph"/>
        <w:numPr>
          <w:ilvl w:val="0"/>
          <w:numId w:val="147"/>
        </w:numPr>
        <w:spacing w:before="60" w:after="0"/>
        <w:ind w:left="1071" w:hanging="357"/>
        <w:contextualSpacing w:val="0"/>
        <w:rPr>
          <w:rFonts w:eastAsia="Calibri"/>
        </w:rPr>
      </w:pPr>
      <w:r>
        <w:rPr>
          <w:rFonts w:eastAsia="Calibri"/>
        </w:rPr>
        <w:t>Outline the CI/SONS reforms and provide an update on the SLACI Bill (now SLACI Act) and SLACIP Bill</w:t>
      </w:r>
      <w:r w:rsidR="00D721DC">
        <w:rPr>
          <w:rFonts w:eastAsia="Calibri"/>
        </w:rPr>
        <w:t xml:space="preserve"> (now SLACIP Act)</w:t>
      </w:r>
      <w:r>
        <w:rPr>
          <w:rFonts w:eastAsia="Calibri"/>
        </w:rPr>
        <w:t>;</w:t>
      </w:r>
    </w:p>
    <w:p w14:paraId="45E6E459" w14:textId="77777777" w:rsidR="005541C9" w:rsidRPr="002F2A18" w:rsidRDefault="005541C9" w:rsidP="001F7C19">
      <w:pPr>
        <w:pStyle w:val="ListParagraph"/>
        <w:numPr>
          <w:ilvl w:val="0"/>
          <w:numId w:val="147"/>
        </w:numPr>
        <w:spacing w:before="60" w:after="0"/>
        <w:ind w:left="1071" w:hanging="357"/>
        <w:contextualSpacing w:val="0"/>
        <w:rPr>
          <w:rFonts w:eastAsia="Calibri"/>
        </w:rPr>
      </w:pPr>
      <w:r>
        <w:rPr>
          <w:rFonts w:eastAsia="Calibri"/>
        </w:rPr>
        <w:t xml:space="preserve">Provide </w:t>
      </w:r>
      <w:r>
        <w:rPr>
          <w:rFonts w:eastAsia="Calibri"/>
          <w:szCs w:val="22"/>
          <w:lang w:eastAsia="en-US"/>
        </w:rPr>
        <w:t xml:space="preserve">an update </w:t>
      </w:r>
      <w:r w:rsidRPr="008B295F">
        <w:rPr>
          <w:rFonts w:eastAsia="Calibri"/>
        </w:rPr>
        <w:t xml:space="preserve">for industry on the </w:t>
      </w:r>
      <w:r>
        <w:rPr>
          <w:rFonts w:eastAsia="Calibri"/>
        </w:rPr>
        <w:t>decision to consult on</w:t>
      </w:r>
      <w:r w:rsidRPr="008B295F">
        <w:rPr>
          <w:rFonts w:eastAsia="Calibri"/>
        </w:rPr>
        <w:t xml:space="preserve"> sector-agnostic </w:t>
      </w:r>
      <w:r>
        <w:rPr>
          <w:rFonts w:eastAsia="Calibri"/>
        </w:rPr>
        <w:t xml:space="preserve">RMP </w:t>
      </w:r>
      <w:r w:rsidRPr="002F2A18">
        <w:rPr>
          <w:rFonts w:eastAsia="Calibri"/>
        </w:rPr>
        <w:t>rules (as opposed to sector-specific rules), and outline how this would affect the consultation process going forward; and</w:t>
      </w:r>
    </w:p>
    <w:p w14:paraId="45D3152E" w14:textId="77777777" w:rsidR="005541C9" w:rsidRPr="009F44B1" w:rsidRDefault="005541C9" w:rsidP="001F7C19">
      <w:pPr>
        <w:pStyle w:val="ListParagraph"/>
        <w:numPr>
          <w:ilvl w:val="0"/>
          <w:numId w:val="147"/>
        </w:numPr>
        <w:spacing w:before="60" w:after="0"/>
        <w:ind w:left="1071" w:hanging="357"/>
        <w:contextualSpacing w:val="0"/>
        <w:rPr>
          <w:rFonts w:eastAsia="Calibri"/>
        </w:rPr>
      </w:pPr>
      <w:r>
        <w:rPr>
          <w:rFonts w:eastAsia="Calibri"/>
        </w:rPr>
        <w:t>Answer any questions about the Bills or RMP rules consultation process.</w:t>
      </w:r>
      <w:r w:rsidRPr="00963347">
        <w:rPr>
          <w:rFonts w:eastAsia="Calibri"/>
        </w:rPr>
        <w:t xml:space="preserve"> </w:t>
      </w:r>
    </w:p>
    <w:p w14:paraId="33DB349A" w14:textId="77777777" w:rsidR="005541C9" w:rsidRPr="006D421C" w:rsidRDefault="005541C9" w:rsidP="002D32CA">
      <w:pPr>
        <w:pStyle w:val="ListParagraph"/>
        <w:numPr>
          <w:ilvl w:val="0"/>
          <w:numId w:val="149"/>
        </w:numPr>
        <w:spacing w:line="259" w:lineRule="auto"/>
        <w:contextualSpacing w:val="0"/>
        <w:rPr>
          <w:rFonts w:eastAsia="Calibri"/>
        </w:rPr>
      </w:pPr>
      <w:r w:rsidRPr="006D421C">
        <w:rPr>
          <w:rFonts w:eastAsia="Calibri"/>
          <w:b/>
          <w:bCs/>
        </w:rPr>
        <w:t xml:space="preserve">Two liquid fuels-specific Information Sessions, </w:t>
      </w:r>
      <w:r w:rsidRPr="006D421C">
        <w:rPr>
          <w:rFonts w:eastAsia="Calibri"/>
        </w:rPr>
        <w:t xml:space="preserve">held on 10 November and 22 November 2021, attended by approximately 50 and 30 industry and Government stakeholders respectively. The purpose of the information sessions was to reiterate the update for industry on the move from sector-specific to sector-agnostic RMP rules and to gain sector-specific feedback on the RMP rules. </w:t>
      </w:r>
    </w:p>
    <w:p w14:paraId="7B7DCE7C" w14:textId="3622D03D" w:rsidR="005541C9" w:rsidRPr="002D32CA" w:rsidRDefault="005541C9" w:rsidP="007F265A">
      <w:pPr>
        <w:pStyle w:val="ListParagraph"/>
        <w:numPr>
          <w:ilvl w:val="0"/>
          <w:numId w:val="149"/>
        </w:numPr>
        <w:spacing w:line="259" w:lineRule="auto"/>
        <w:rPr>
          <w:rFonts w:eastAsia="Calibri"/>
          <w:spacing w:val="-2"/>
        </w:rPr>
      </w:pPr>
      <w:r w:rsidRPr="002D32CA">
        <w:rPr>
          <w:rFonts w:eastAsia="Calibri"/>
          <w:b/>
          <w:bCs/>
          <w:spacing w:val="-2"/>
        </w:rPr>
        <w:t>A wrap-up virtual Town Hal</w:t>
      </w:r>
      <w:r w:rsidRPr="002D32CA">
        <w:rPr>
          <w:rFonts w:eastAsia="Calibri"/>
          <w:b/>
          <w:spacing w:val="-2"/>
        </w:rPr>
        <w:t>l</w:t>
      </w:r>
      <w:r w:rsidRPr="002D32CA">
        <w:rPr>
          <w:rFonts w:eastAsia="Calibri"/>
          <w:b/>
          <w:bCs/>
          <w:spacing w:val="-2"/>
        </w:rPr>
        <w:t xml:space="preserve"> </w:t>
      </w:r>
      <w:r w:rsidRPr="002D32CA">
        <w:rPr>
          <w:rFonts w:eastAsia="Calibri"/>
          <w:spacing w:val="-2"/>
        </w:rPr>
        <w:t xml:space="preserve">held on 25 November 2021. The purpose of the Town Hall was to present the updated RMP rules and provide information on the further consultation period. The Town Hall was attended by approximately 800 industry and Government stakeholders across the </w:t>
      </w:r>
      <w:r w:rsidR="0030492E">
        <w:rPr>
          <w:rFonts w:eastAsia="Calibri"/>
          <w:spacing w:val="-2"/>
        </w:rPr>
        <w:t>10</w:t>
      </w:r>
      <w:r w:rsidRPr="002D32CA">
        <w:rPr>
          <w:rFonts w:eastAsia="Calibri"/>
          <w:spacing w:val="-2"/>
        </w:rPr>
        <w:t xml:space="preserve"> critical infrastructure sectors, including by stakeholders from the liquid fuels sector.</w:t>
      </w:r>
    </w:p>
    <w:p w14:paraId="24676362" w14:textId="77777777" w:rsidR="005541C9" w:rsidRPr="00174572" w:rsidRDefault="005541C9" w:rsidP="002D32CA">
      <w:pPr>
        <w:pStyle w:val="ListParagraph"/>
        <w:numPr>
          <w:ilvl w:val="0"/>
          <w:numId w:val="149"/>
        </w:numPr>
        <w:spacing w:before="240" w:after="120" w:line="259" w:lineRule="auto"/>
        <w:contextualSpacing w:val="0"/>
        <w:rPr>
          <w:rFonts w:eastAsia="Calibri"/>
        </w:rPr>
      </w:pPr>
      <w:r w:rsidRPr="00174572">
        <w:rPr>
          <w:rFonts w:eastAsia="Calibri"/>
          <w:b/>
          <w:bCs/>
        </w:rPr>
        <w:t>Out of session consultation:</w:t>
      </w:r>
    </w:p>
    <w:p w14:paraId="2D5C75A7" w14:textId="77777777" w:rsidR="005541C9" w:rsidRPr="003645A2" w:rsidRDefault="005541C9" w:rsidP="001F7C19">
      <w:pPr>
        <w:pStyle w:val="Bullet2ndlevel"/>
      </w:pPr>
      <w:r w:rsidRPr="003645A2">
        <w:t xml:space="preserve">Stakeholders were encouraged to contact the Department out of session. The Department availed itself to stakeholders to discuss their concerns, working to ensure stakeholders’ understanding of the rules, and the rules’ proportionality. </w:t>
      </w:r>
    </w:p>
    <w:p w14:paraId="5491E0EF" w14:textId="335A08D8" w:rsidR="003A4A54" w:rsidRDefault="005541C9" w:rsidP="00CE4B35">
      <w:pPr>
        <w:pStyle w:val="Bullet2ndlevel"/>
      </w:pPr>
      <w:r w:rsidRPr="003645A2">
        <w:t xml:space="preserve">Out of session engagement also assisted in the iterative development of rules between workshops, through addressing concerns raised by individual stakeholders and proposing a solution. </w:t>
      </w:r>
    </w:p>
    <w:p w14:paraId="28E5DEFC" w14:textId="3BAF7114" w:rsidR="005541C9" w:rsidRDefault="005541C9" w:rsidP="00AB16DC">
      <w:pPr>
        <w:pStyle w:val="Bullet2ndlevel"/>
      </w:pPr>
      <w:r w:rsidRPr="003645A2">
        <w:t>This engagement strengthened the relationship between the Department and industry, while providing insights on implementation costs, entities’ operating environments and the overall impacts of the proposed regulatory changes.</w:t>
      </w:r>
    </w:p>
    <w:p w14:paraId="017B3424" w14:textId="201220E9" w:rsidR="003A4A54" w:rsidRPr="00D309FE" w:rsidRDefault="003A4A54" w:rsidP="00CE4B35">
      <w:pPr>
        <w:pStyle w:val="Bullet1stlevel"/>
        <w:numPr>
          <w:ilvl w:val="0"/>
          <w:numId w:val="149"/>
        </w:numPr>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6F6E9C9D" w14:textId="77777777" w:rsidR="003A4A54" w:rsidRPr="00464A59" w:rsidRDefault="003A4A54" w:rsidP="00CE4B35">
      <w:pPr>
        <w:pStyle w:val="Bullet3"/>
      </w:pPr>
    </w:p>
    <w:p w14:paraId="4D404D0A" w14:textId="77777777" w:rsidR="005541C9" w:rsidRPr="00C768BC" w:rsidRDefault="005541C9" w:rsidP="00D61F6D">
      <w:pPr>
        <w:pStyle w:val="AppendixH2"/>
      </w:pPr>
      <w:r w:rsidRPr="00C768BC">
        <w:t xml:space="preserve">Outcomes and themes from consultation on </w:t>
      </w:r>
      <w:r>
        <w:t>RMP rules</w:t>
      </w:r>
    </w:p>
    <w:p w14:paraId="36D850C0" w14:textId="77777777" w:rsidR="005541C9" w:rsidRDefault="005541C9" w:rsidP="00D61F6D">
      <w:pPr>
        <w:pStyle w:val="Caption"/>
        <w:rPr>
          <w:sz w:val="22"/>
        </w:rPr>
      </w:pPr>
      <w:bookmarkStart w:id="609" w:name="_Toc79157127"/>
      <w:r w:rsidRPr="003645A2">
        <w:t>Key themes from consultation</w:t>
      </w:r>
      <w:bookmarkEnd w:id="609"/>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A0" w:firstRow="1" w:lastRow="0" w:firstColumn="1" w:lastColumn="0" w:noHBand="0" w:noVBand="1"/>
      </w:tblPr>
      <w:tblGrid>
        <w:gridCol w:w="1440"/>
        <w:gridCol w:w="528"/>
        <w:gridCol w:w="3433"/>
        <w:gridCol w:w="4237"/>
      </w:tblGrid>
      <w:tr w:rsidR="005541C9" w:rsidRPr="00D61F6D" w14:paraId="3B4AF8FF" w14:textId="77777777" w:rsidTr="00D61F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pct"/>
          </w:tcPr>
          <w:p w14:paraId="239EA09B" w14:textId="77777777" w:rsidR="005541C9" w:rsidRPr="00D61F6D" w:rsidRDefault="005541C9" w:rsidP="00D61F6D">
            <w:pPr>
              <w:pStyle w:val="TableHeading"/>
              <w:rPr>
                <w:b/>
                <w:bCs/>
              </w:rPr>
            </w:pPr>
            <w:r w:rsidRPr="00D61F6D">
              <w:rPr>
                <w:b/>
                <w:bCs/>
              </w:rPr>
              <w:t>Rule category</w:t>
            </w:r>
          </w:p>
        </w:tc>
        <w:tc>
          <w:tcPr>
            <w:tcW w:w="2055" w:type="pct"/>
            <w:gridSpan w:val="2"/>
          </w:tcPr>
          <w:p w14:paraId="17841F65" w14:textId="77777777" w:rsidR="005541C9" w:rsidRPr="00D61F6D" w:rsidRDefault="005541C9" w:rsidP="00D61F6D">
            <w:pPr>
              <w:pStyle w:val="TableHeading"/>
              <w:cnfStyle w:val="100000000000" w:firstRow="1" w:lastRow="0" w:firstColumn="0" w:lastColumn="0" w:oddVBand="0" w:evenVBand="0" w:oddHBand="0" w:evenHBand="0" w:firstRowFirstColumn="0" w:firstRowLastColumn="0" w:lastRowFirstColumn="0" w:lastRowLastColumn="0"/>
              <w:rPr>
                <w:b/>
                <w:bCs/>
              </w:rPr>
            </w:pPr>
            <w:r w:rsidRPr="00D61F6D">
              <w:rPr>
                <w:b/>
                <w:bCs/>
              </w:rPr>
              <w:t>Identified themes</w:t>
            </w:r>
          </w:p>
        </w:tc>
        <w:tc>
          <w:tcPr>
            <w:tcW w:w="2198" w:type="pct"/>
          </w:tcPr>
          <w:p w14:paraId="42B52B4D" w14:textId="77777777" w:rsidR="005541C9" w:rsidRPr="00D61F6D" w:rsidRDefault="005541C9" w:rsidP="00D61F6D">
            <w:pPr>
              <w:pStyle w:val="TableHeading"/>
              <w:cnfStyle w:val="100000000000" w:firstRow="1" w:lastRow="0" w:firstColumn="0" w:lastColumn="0" w:oddVBand="0" w:evenVBand="0" w:oddHBand="0" w:evenHBand="0" w:firstRowFirstColumn="0" w:firstRowLastColumn="0" w:lastRowFirstColumn="0" w:lastRowLastColumn="0"/>
              <w:rPr>
                <w:b/>
                <w:bCs/>
              </w:rPr>
            </w:pPr>
            <w:r w:rsidRPr="00D61F6D">
              <w:rPr>
                <w:b/>
                <w:bCs/>
              </w:rPr>
              <w:t>Impact on development of rules</w:t>
            </w:r>
          </w:p>
        </w:tc>
      </w:tr>
      <w:tr w:rsidR="005541C9" w:rsidRPr="009278DF" w14:paraId="2BE7AC3D" w14:textId="77777777" w:rsidTr="7EBB1CE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47" w:type="pct"/>
            <w:shd w:val="clear" w:color="auto" w:fill="C0E7FF" w:themeFill="accent2" w:themeFillTint="33"/>
          </w:tcPr>
          <w:p w14:paraId="463F282D" w14:textId="77777777" w:rsidR="005541C9" w:rsidRPr="000F20CF" w:rsidRDefault="005541C9" w:rsidP="00D61F6D">
            <w:pPr>
              <w:pStyle w:val="TableBody"/>
            </w:pPr>
            <w:r w:rsidRPr="009807CA">
              <w:t xml:space="preserve">RMP </w:t>
            </w:r>
            <w:r w:rsidRPr="00D61F6D">
              <w:rPr>
                <w:rStyle w:val="superscript"/>
              </w:rPr>
              <w:t>rules</w:t>
            </w:r>
            <w:r w:rsidRPr="009807CA">
              <w:t xml:space="preserve"> </w:t>
            </w:r>
          </w:p>
        </w:tc>
        <w:tc>
          <w:tcPr>
            <w:tcW w:w="274" w:type="pct"/>
            <w:shd w:val="clear" w:color="auto" w:fill="F2F2F2" w:themeFill="background2" w:themeFillShade="F2"/>
            <w:textDirection w:val="btLr"/>
          </w:tcPr>
          <w:p w14:paraId="7FF52282" w14:textId="77777777" w:rsidR="005541C9" w:rsidRPr="00D61F6D" w:rsidRDefault="005541C9" w:rsidP="00D61F6D">
            <w:pPr>
              <w:pStyle w:val="TableBody"/>
              <w:jc w:val="center"/>
              <w:cnfStyle w:val="000000100000" w:firstRow="0" w:lastRow="0" w:firstColumn="0" w:lastColumn="0" w:oddVBand="0" w:evenVBand="0" w:oddHBand="1" w:evenHBand="0" w:firstRowFirstColumn="0" w:firstRowLastColumn="0" w:lastRowFirstColumn="0" w:lastRowLastColumn="0"/>
              <w:rPr>
                <w:b/>
                <w:bCs/>
              </w:rPr>
            </w:pPr>
            <w:r w:rsidRPr="00D61F6D">
              <w:rPr>
                <w:b/>
                <w:bCs/>
              </w:rPr>
              <w:t>Information sessions</w:t>
            </w:r>
          </w:p>
        </w:tc>
        <w:tc>
          <w:tcPr>
            <w:tcW w:w="1781" w:type="pct"/>
          </w:tcPr>
          <w:p w14:paraId="7A39BF19" w14:textId="77777777" w:rsidR="005541C9" w:rsidRPr="000F20CF" w:rsidRDefault="005541C9" w:rsidP="00D61F6D">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The liquid fuels sector </w:t>
            </w:r>
            <w:r w:rsidRPr="000F20CF">
              <w:rPr>
                <w:rFonts w:eastAsia="Calibri"/>
                <w:b/>
              </w:rPr>
              <w:t xml:space="preserve">broadly agrees </w:t>
            </w:r>
            <w:r w:rsidRPr="000F20CF">
              <w:rPr>
                <w:rFonts w:eastAsia="Calibri"/>
              </w:rPr>
              <w:t>with the RMP rules as drafted.</w:t>
            </w:r>
          </w:p>
          <w:p w14:paraId="14651540" w14:textId="77777777" w:rsidR="005541C9" w:rsidRPr="000F20CF" w:rsidRDefault="005541C9" w:rsidP="00D61F6D">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The sector expressed a desire to </w:t>
            </w:r>
            <w:r w:rsidRPr="000F20CF">
              <w:rPr>
                <w:rFonts w:eastAsia="Calibri"/>
                <w:b/>
              </w:rPr>
              <w:t>avoid regulatory duplication.</w:t>
            </w:r>
          </w:p>
          <w:p w14:paraId="04ECF2C6" w14:textId="77777777" w:rsidR="005541C9" w:rsidRPr="000F20CF" w:rsidRDefault="005541C9" w:rsidP="00D61F6D">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There is an </w:t>
            </w:r>
            <w:r w:rsidRPr="000F20CF">
              <w:rPr>
                <w:rFonts w:eastAsia="Calibri"/>
                <w:b/>
              </w:rPr>
              <w:t>appetite for guidance material</w:t>
            </w:r>
            <w:r w:rsidRPr="000F20CF">
              <w:rPr>
                <w:rFonts w:eastAsia="Calibri"/>
              </w:rPr>
              <w:t xml:space="preserve"> to support sector-specific uplift in security and resilience. For example, around defining ‘equivalent’ standards and background checks to AusCheck. </w:t>
            </w:r>
          </w:p>
        </w:tc>
        <w:tc>
          <w:tcPr>
            <w:tcW w:w="2198" w:type="pct"/>
          </w:tcPr>
          <w:p w14:paraId="112A4417" w14:textId="77777777" w:rsidR="005541C9" w:rsidRPr="000F20CF" w:rsidRDefault="005541C9" w:rsidP="00D61F6D">
            <w:pPr>
              <w:pStyle w:val="TableBody"/>
              <w:cnfStyle w:val="000000100000" w:firstRow="0" w:lastRow="0" w:firstColumn="0" w:lastColumn="0" w:oddVBand="0" w:evenVBand="0" w:oddHBand="1" w:evenHBand="0" w:firstRowFirstColumn="0" w:firstRowLastColumn="0" w:lastRowFirstColumn="0" w:lastRowLastColumn="0"/>
              <w:rPr>
                <w:lang w:eastAsia="en-AU"/>
              </w:rPr>
            </w:pPr>
            <w:r w:rsidRPr="000F20CF">
              <w:rPr>
                <w:lang w:eastAsia="en-AU"/>
              </w:rPr>
              <w:t xml:space="preserve">In response to feedback received during the information sessions, the Department committed to: </w:t>
            </w:r>
          </w:p>
          <w:p w14:paraId="1D82D5A3" w14:textId="77777777" w:rsidR="005541C9" w:rsidRPr="000F20CF" w:rsidRDefault="005541C9" w:rsidP="00D61F6D">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Allowing responsible entities to leverage existing reporting requirements where appropriate, reflecting this in the rules and guidance material; and</w:t>
            </w:r>
          </w:p>
          <w:p w14:paraId="3F4A994B" w14:textId="77777777" w:rsidR="005541C9" w:rsidRPr="000F20CF" w:rsidRDefault="005541C9" w:rsidP="00D61F6D">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The development of guidance materials, which would highlight aspects of risk management that should be prioritised by responsible entities and assist industry in interpreting and implementing the rules to achieve an uplift in security and resilience.  </w:t>
            </w:r>
          </w:p>
        </w:tc>
      </w:tr>
    </w:tbl>
    <w:p w14:paraId="31516C52" w14:textId="602B91EC" w:rsidR="000C6AEA" w:rsidRDefault="000C6AEA" w:rsidP="000C6AEA">
      <w:pPr>
        <w:pStyle w:val="BodyText"/>
      </w:pPr>
    </w:p>
    <w:p w14:paraId="0289E63A" w14:textId="77777777" w:rsidR="000C6AEA" w:rsidRDefault="000C6AEA">
      <w:pPr>
        <w:spacing w:before="80" w:after="80"/>
        <w:rPr>
          <w:rFonts w:cstheme="majorHAnsi"/>
          <w:sz w:val="22"/>
          <w:szCs w:val="28"/>
        </w:rPr>
      </w:pPr>
      <w:r>
        <w:br w:type="page"/>
      </w:r>
    </w:p>
    <w:p w14:paraId="07BDBBEF" w14:textId="5C4DD782" w:rsidR="005541C9" w:rsidRPr="00C768BC" w:rsidRDefault="005541C9" w:rsidP="00D61F6D">
      <w:pPr>
        <w:pStyle w:val="AppendixH2"/>
      </w:pPr>
      <w:r w:rsidRPr="00C768BC">
        <w:lastRenderedPageBreak/>
        <w:t xml:space="preserve">Consultation on costs </w:t>
      </w:r>
    </w:p>
    <w:p w14:paraId="14DF6883" w14:textId="77777777" w:rsidR="005541C9" w:rsidRPr="003645A2" w:rsidRDefault="005541C9" w:rsidP="00D61F6D">
      <w:pPr>
        <w:pStyle w:val="BodyText"/>
      </w:pPr>
      <w:r w:rsidRPr="003645A2">
        <w:t xml:space="preserve">During </w:t>
      </w:r>
      <w:r>
        <w:t>the second information session</w:t>
      </w:r>
      <w:r w:rsidRPr="003645A2">
        <w:t>,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59B93544" w14:textId="77777777" w:rsidR="005541C9" w:rsidRPr="003645A2" w:rsidRDefault="005541C9" w:rsidP="00D61F6D">
      <w:pPr>
        <w:pStyle w:val="Bullet1stlevel"/>
      </w:pPr>
      <w:r w:rsidRPr="003645A2">
        <w:t xml:space="preserve">Their demographic information; </w:t>
      </w:r>
    </w:p>
    <w:p w14:paraId="313D5D14" w14:textId="77777777" w:rsidR="005541C9" w:rsidRPr="002D32CA" w:rsidRDefault="005541C9" w:rsidP="00D61F6D">
      <w:pPr>
        <w:pStyle w:val="Bullet1stlevel"/>
        <w:rPr>
          <w:spacing w:val="-2"/>
        </w:rPr>
      </w:pPr>
      <w:r w:rsidRPr="002D32CA">
        <w:rPr>
          <w:spacing w:val="-2"/>
        </w:rPr>
        <w:t xml:space="preserve">Effort and cost estimates split by one-off and ongoing costs, staff effort, capital and other operating costs, and an estimated range between expected costs and highest possible costs; and </w:t>
      </w:r>
    </w:p>
    <w:p w14:paraId="1A2886E9" w14:textId="77777777" w:rsidR="005541C9" w:rsidRPr="003645A2" w:rsidRDefault="005541C9" w:rsidP="00D61F6D">
      <w:pPr>
        <w:pStyle w:val="Bullet1stlevel"/>
      </w:pPr>
      <w:r w:rsidRPr="003645A2">
        <w:t xml:space="preserve">Any comments on key boundaries, assumptions and cost drivers attached to the costing estimates provided. </w:t>
      </w:r>
    </w:p>
    <w:p w14:paraId="1FCC466E" w14:textId="77777777" w:rsidR="005541C9" w:rsidRPr="003B38F9" w:rsidRDefault="005541C9" w:rsidP="00D61F6D">
      <w:pPr>
        <w:pStyle w:val="BodyText"/>
      </w:pPr>
      <w:r w:rsidRPr="003645A2">
        <w:t xml:space="preserve">Industry was provided with the template on </w:t>
      </w:r>
      <w:r>
        <w:t>22 November</w:t>
      </w:r>
      <w:r w:rsidRPr="003645A2">
        <w:t xml:space="preserve"> 2021, with submissions open for a period of four weeks and closing on </w:t>
      </w:r>
      <w:r>
        <w:t>20</w:t>
      </w:r>
      <w:r w:rsidRPr="003645A2">
        <w:t xml:space="preserve"> </w:t>
      </w:r>
      <w:r>
        <w:t>December</w:t>
      </w:r>
      <w:r w:rsidRPr="003645A2">
        <w:t xml:space="preserve"> 2021.</w:t>
      </w:r>
    </w:p>
    <w:p w14:paraId="38D983E4" w14:textId="77777777" w:rsidR="001F7C19" w:rsidRDefault="005541C9" w:rsidP="001F7C19">
      <w:pPr>
        <w:pStyle w:val="BodyText"/>
      </w:pPr>
      <w:r w:rsidRPr="003B38F9">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sidRPr="003B38F9">
        <w:rPr>
          <w:vertAlign w:val="superscript"/>
        </w:rPr>
        <w:footnoteReference w:id="223"/>
      </w:r>
      <w:r w:rsidRPr="003B38F9">
        <w:t xml:space="preserve"> </w:t>
      </w:r>
    </w:p>
    <w:p w14:paraId="478820DF" w14:textId="5CD85146" w:rsidR="000C3D44" w:rsidRDefault="000C3D44" w:rsidP="00D61F6D">
      <w:pPr>
        <w:pStyle w:val="AppendixH1"/>
      </w:pPr>
      <w:bookmarkStart w:id="610" w:name="_Toc121397421"/>
      <w:r w:rsidRPr="005F10B9">
        <w:lastRenderedPageBreak/>
        <w:t>Supplementary information for critical</w:t>
      </w:r>
      <w:r>
        <w:t xml:space="preserve"> </w:t>
      </w:r>
      <w:r w:rsidR="00C93454">
        <w:t>hospital</w:t>
      </w:r>
      <w:r>
        <w:t xml:space="preserve"> assets</w:t>
      </w:r>
      <w:bookmarkEnd w:id="610"/>
    </w:p>
    <w:p w14:paraId="4C61DCD5" w14:textId="77777777" w:rsidR="000C3D44" w:rsidRDefault="000C3D44" w:rsidP="00D61F6D">
      <w:pPr>
        <w:pStyle w:val="AppendixH2"/>
      </w:pPr>
      <w:r>
        <w:t xml:space="preserve">Overview of the role of </w:t>
      </w:r>
      <w:r w:rsidR="00AE6606">
        <w:t>critical hospitals</w:t>
      </w:r>
      <w:r>
        <w:t xml:space="preserve"> in Australia</w:t>
      </w:r>
    </w:p>
    <w:p w14:paraId="6161BEB4" w14:textId="77777777" w:rsidR="001656B3" w:rsidRDefault="001656B3" w:rsidP="00D61F6D">
      <w:pPr>
        <w:pStyle w:val="BodyText"/>
      </w:pPr>
      <w:r w:rsidRPr="00C23B20">
        <w:t xml:space="preserve">Hospitals are an important part of Australia’s health care system. In Australia, public hospitals are largely owned and managed by </w:t>
      </w:r>
      <w:r>
        <w:t>S</w:t>
      </w:r>
      <w:r w:rsidRPr="00C23B20">
        <w:t xml:space="preserve">tate and </w:t>
      </w:r>
      <w:r>
        <w:t>T</w:t>
      </w:r>
      <w:r w:rsidRPr="00C23B20">
        <w:t xml:space="preserve">erritory </w:t>
      </w:r>
      <w:r>
        <w:t>G</w:t>
      </w:r>
      <w:r w:rsidRPr="00C23B20">
        <w:t xml:space="preserve">overnments, and private hospitals are owned and managed by private for-profit and not-for-profit organisations. All hospitals can receive funding from </w:t>
      </w:r>
      <w:r>
        <w:t>G</w:t>
      </w:r>
      <w:r w:rsidRPr="00C23B20">
        <w:t>overnments, individuals, and insurers.</w:t>
      </w:r>
      <w:r>
        <w:t xml:space="preserve"> I</w:t>
      </w:r>
      <w:r w:rsidRPr="001A524C">
        <w:t>ntensive care units</w:t>
      </w:r>
      <w:r w:rsidRPr="00C23B20">
        <w:t xml:space="preserve"> </w:t>
      </w:r>
      <w:r>
        <w:t>(</w:t>
      </w:r>
      <w:r w:rsidRPr="00C23B20">
        <w:t>ICU</w:t>
      </w:r>
      <w:r>
        <w:t>s)</w:t>
      </w:r>
      <w:r w:rsidRPr="00C23B20">
        <w:t xml:space="preserve"> </w:t>
      </w:r>
      <w:r>
        <w:t xml:space="preserve">are </w:t>
      </w:r>
      <w:r w:rsidRPr="00C23B20">
        <w:t>one of the most critically functioning operational environments in a hospital. Every ICU in a hospital has a different environment that will reflect the specialist medical and surgical procedures they perform. Most ICUs are large</w:t>
      </w:r>
      <w:r>
        <w:t>,</w:t>
      </w:r>
      <w:r w:rsidRPr="00C23B20">
        <w:t xml:space="preserve"> sterile areas with a high concentration of specialised, technical and monitoring equipment needed to care for critically ill patients.</w:t>
      </w:r>
    </w:p>
    <w:p w14:paraId="45A97E29" w14:textId="77777777" w:rsidR="001656B3" w:rsidRDefault="001656B3" w:rsidP="00D61F6D">
      <w:pPr>
        <w:pStyle w:val="BodyText"/>
      </w:pPr>
      <w:r w:rsidRPr="001A524C">
        <w:t xml:space="preserve">The Australian and New Zealand Intensive Care Society (ANZICS) conducted a survey of Australian intensive care units (ICUs) in March 2020 to assess their readiness to respond to </w:t>
      </w:r>
      <w:r>
        <w:t>the</w:t>
      </w:r>
      <w:r w:rsidRPr="001A524C">
        <w:t xml:space="preserve"> COVID-19 pandemic. The findings discovered that there </w:t>
      </w:r>
      <w:r>
        <w:t>were</w:t>
      </w:r>
      <w:r w:rsidRPr="001A524C">
        <w:t xml:space="preserve"> 2183 staffed ICU beds available in 194 Australian ICUs (including five rural high dependency units), 884 of which were in New South Wales (40 percent). </w:t>
      </w:r>
      <w:r>
        <w:t>In t</w:t>
      </w:r>
      <w:r w:rsidRPr="001A524C">
        <w:t>hat instance, there were 195 fewer intensive care units (8.2 percent) available in 2020 than there were in 2015. Overall number of ICU beds ha</w:t>
      </w:r>
      <w:r>
        <w:t>d</w:t>
      </w:r>
      <w:r w:rsidRPr="001A524C">
        <w:t xml:space="preserve"> decreased in all jurisdictions, but most significantly in rural/regional ICUs (59 fewer beds, an 18% loss) and private ICUs (140 fewer beds, 18 percent decline).</w:t>
      </w:r>
      <w:r>
        <w:rPr>
          <w:rStyle w:val="FootnoteReference"/>
          <w:rFonts w:asciiTheme="majorHAnsi" w:hAnsiTheme="majorHAnsi"/>
          <w:color w:val="000000" w:themeColor="text1"/>
        </w:rPr>
        <w:footnoteReference w:id="224"/>
      </w:r>
    </w:p>
    <w:p w14:paraId="1B7DD3B6" w14:textId="77777777" w:rsidR="001656B3" w:rsidRDefault="001656B3" w:rsidP="00D61F6D">
      <w:pPr>
        <w:pStyle w:val="BodyText"/>
      </w:pPr>
      <w:r w:rsidRPr="00241848">
        <w:t>Each day, around three to five patients are transported from regional ICUs to metropolitan or tertiary ICUs. Rural and regional ICUs are particularly vulnerable to demand exceeding capacity if the number of serious COVID-19 cases increase</w:t>
      </w:r>
      <w:r>
        <w:t>d</w:t>
      </w:r>
      <w:r w:rsidRPr="00241848">
        <w:t>, for a variety of reasons, including the strain on inter-hospital transport systems and the fact that cancelling elective surgery provides less relief than cancelling elective surgery in metropolitan areas, where the elective ICU caseload is already generally lower. The disparities in ICU bed numbers per population between states may expose those with weaker capacity to additional strain if public health constraints lessen.</w:t>
      </w:r>
      <w:r>
        <w:rPr>
          <w:rStyle w:val="FootnoteReference"/>
          <w:rFonts w:asciiTheme="majorHAnsi" w:hAnsiTheme="majorHAnsi"/>
          <w:color w:val="000000" w:themeColor="text1"/>
        </w:rPr>
        <w:footnoteReference w:id="225"/>
      </w:r>
    </w:p>
    <w:p w14:paraId="4E5642B8" w14:textId="51810366" w:rsidR="0004778F" w:rsidRDefault="0004778F" w:rsidP="00D61F6D">
      <w:pPr>
        <w:pStyle w:val="BodyText"/>
        <w:keepNext/>
      </w:pPr>
      <w:r w:rsidRPr="004A3E98">
        <w:lastRenderedPageBreak/>
        <w:t>The chart below displays the number of public and private ICUs in Australia in 2020 and 2021.</w:t>
      </w:r>
    </w:p>
    <w:p w14:paraId="68324F28" w14:textId="2C99EC0B" w:rsidR="001656B3" w:rsidRDefault="00D61F6D" w:rsidP="00D61F6D">
      <w:pPr>
        <w:pStyle w:val="BodyText"/>
        <w:rPr>
          <w:rFonts w:asciiTheme="majorHAnsi" w:hAnsiTheme="majorHAnsi"/>
          <w:color w:val="000000" w:themeColor="text1"/>
        </w:rPr>
      </w:pPr>
      <w:r>
        <w:rPr>
          <w:noProof/>
          <w:lang w:eastAsia="en-AU"/>
        </w:rPr>
        <w:drawing>
          <wp:inline distT="0" distB="0" distL="0" distR="0" wp14:anchorId="280128CE" wp14:editId="2A9392AF">
            <wp:extent cx="6120130" cy="39547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3954780"/>
                    </a:xfrm>
                    <a:prstGeom prst="rect">
                      <a:avLst/>
                    </a:prstGeom>
                  </pic:spPr>
                </pic:pic>
              </a:graphicData>
            </a:graphic>
          </wp:inline>
        </w:drawing>
      </w:r>
    </w:p>
    <w:p w14:paraId="6D13A2BF" w14:textId="6EF517AE" w:rsidR="001656B3" w:rsidRPr="009739FE" w:rsidRDefault="0004778F" w:rsidP="00D61F6D">
      <w:pPr>
        <w:pStyle w:val="BodyText"/>
      </w:pPr>
      <w:r w:rsidRPr="009739FE">
        <w:t xml:space="preserve">Demand for ICU services has not been consistent throughout the COVID-19 pandemic, and ICU resources are not uniformly dispersed throughout Australia. The COVID-19 pandemic has highlighted the tremendous impact it </w:t>
      </w:r>
      <w:r w:rsidR="001656B3" w:rsidRPr="009739FE">
        <w:t>can have</w:t>
      </w:r>
      <w:r w:rsidRPr="009739FE">
        <w:t xml:space="preserve"> on Australia's hospital sector, with a lack of capacity to respond to surge demands which involve compromised staffing arrangements and care in new settings. The health care system is under pressure to provide adequate care for the general public and to redirect resources away from non-COVID-19-related medical illnesses and treatments.</w:t>
      </w:r>
    </w:p>
    <w:p w14:paraId="255764D6" w14:textId="72854755" w:rsidR="001656B3" w:rsidRDefault="001656B3" w:rsidP="00D61F6D">
      <w:pPr>
        <w:pStyle w:val="BodyText"/>
      </w:pPr>
      <w:r w:rsidRPr="009739FE">
        <w:rPr>
          <w:color w:val="000000"/>
        </w:rPr>
        <w:t xml:space="preserve">The </w:t>
      </w:r>
      <w:r w:rsidR="00384419">
        <w:t>SOCI Act</w:t>
      </w:r>
      <w:r w:rsidRPr="009739FE">
        <w:t xml:space="preserve"> refers to assets within a critical infrastructure sector as ‘critical infrastructure assets’. Section </w:t>
      </w:r>
      <w:r w:rsidR="003A730A">
        <w:t>5</w:t>
      </w:r>
      <w:r w:rsidRPr="009739FE">
        <w:t xml:space="preserve"> of the </w:t>
      </w:r>
      <w:r w:rsidR="00384419">
        <w:t>SOCI Act</w:t>
      </w:r>
      <w:r w:rsidRPr="009739FE">
        <w:t xml:space="preserve"> outlines the following in relation to a ‘critical hospital’:</w:t>
      </w:r>
    </w:p>
    <w:p w14:paraId="4F99EB2B" w14:textId="77777777" w:rsidR="0004778F" w:rsidRPr="00AE18DC" w:rsidRDefault="0004778F" w:rsidP="007F265A">
      <w:pPr>
        <w:numPr>
          <w:ilvl w:val="0"/>
          <w:numId w:val="112"/>
        </w:numPr>
        <w:autoSpaceDE w:val="0"/>
        <w:autoSpaceDN w:val="0"/>
        <w:adjustRightInd w:val="0"/>
        <w:spacing w:after="160" w:line="259" w:lineRule="auto"/>
        <w:ind w:left="357" w:hanging="357"/>
        <w:rPr>
          <w:rFonts w:asciiTheme="majorHAnsi" w:eastAsia="Calibri" w:hAnsiTheme="majorHAnsi" w:cstheme="majorHAnsi"/>
          <w:i/>
          <w:iCs/>
          <w:color w:val="000000"/>
          <w:sz w:val="22"/>
        </w:rPr>
      </w:pPr>
      <w:r w:rsidRPr="00AE18DC">
        <w:rPr>
          <w:rFonts w:asciiTheme="majorHAnsi" w:eastAsia="Calibri" w:hAnsiTheme="majorHAnsi" w:cstheme="majorHAnsi"/>
          <w:i/>
          <w:iCs/>
          <w:color w:val="000000"/>
          <w:sz w:val="22"/>
        </w:rPr>
        <w:t xml:space="preserve">An asset </w:t>
      </w:r>
      <w:r w:rsidRPr="00AE18DC">
        <w:rPr>
          <w:rFonts w:asciiTheme="majorHAnsi" w:eastAsia="Calibri" w:hAnsiTheme="majorHAnsi" w:cstheme="majorHAnsi"/>
          <w:i/>
          <w:iCs/>
          <w:sz w:val="22"/>
        </w:rPr>
        <w:t xml:space="preserve">is a </w:t>
      </w:r>
      <w:r w:rsidRPr="00AE18DC">
        <w:rPr>
          <w:rFonts w:asciiTheme="majorHAnsi" w:eastAsia="Times New Roman" w:hAnsiTheme="majorHAnsi" w:cstheme="majorHAnsi"/>
          <w:b/>
          <w:bCs/>
          <w:i/>
          <w:iCs/>
          <w:sz w:val="22"/>
        </w:rPr>
        <w:t xml:space="preserve">critical hospital </w:t>
      </w:r>
      <w:r w:rsidRPr="00AE18DC">
        <w:rPr>
          <w:rFonts w:asciiTheme="majorHAnsi" w:eastAsia="Calibri" w:hAnsiTheme="majorHAnsi" w:cstheme="majorHAnsi"/>
          <w:i/>
          <w:iCs/>
          <w:color w:val="000000"/>
          <w:sz w:val="22"/>
        </w:rPr>
        <w:t xml:space="preserve">if it is: </w:t>
      </w:r>
    </w:p>
    <w:p w14:paraId="5EDFB373" w14:textId="77777777" w:rsidR="0004778F" w:rsidRDefault="0004778F" w:rsidP="007F265A">
      <w:pPr>
        <w:pStyle w:val="ListParagraph"/>
        <w:numPr>
          <w:ilvl w:val="0"/>
          <w:numId w:val="115"/>
        </w:numPr>
        <w:spacing w:line="264" w:lineRule="auto"/>
        <w:contextualSpacing w:val="0"/>
        <w:rPr>
          <w:rFonts w:asciiTheme="majorHAnsi" w:hAnsiTheme="majorHAnsi" w:cstheme="majorBidi"/>
        </w:rPr>
      </w:pPr>
      <w:r w:rsidRPr="431EF8FE">
        <w:rPr>
          <w:rFonts w:asciiTheme="majorHAnsi" w:hAnsiTheme="majorHAnsi" w:cstheme="majorBidi"/>
        </w:rPr>
        <w:t xml:space="preserve">critical hospital means a hospital that has a general intensive care unit. </w:t>
      </w:r>
    </w:p>
    <w:p w14:paraId="46F43305" w14:textId="77777777" w:rsidR="0004778F" w:rsidRPr="000C10D8" w:rsidRDefault="0004778F" w:rsidP="001A17D9">
      <w:pPr>
        <w:spacing w:after="160"/>
        <w:rPr>
          <w:rFonts w:asciiTheme="majorHAnsi" w:hAnsiTheme="majorHAnsi" w:cstheme="majorHAnsi"/>
          <w:i/>
          <w:sz w:val="22"/>
        </w:rPr>
      </w:pPr>
      <w:r w:rsidRPr="000C10D8">
        <w:rPr>
          <w:rFonts w:asciiTheme="majorHAnsi" w:hAnsiTheme="majorHAnsi" w:cstheme="majorHAnsi"/>
          <w:i/>
          <w:sz w:val="22"/>
        </w:rPr>
        <w:t>Note: The rules may prescribe that a specified critical hospital is not a critical infrastructure asset (see section 9).</w:t>
      </w:r>
    </w:p>
    <w:p w14:paraId="21562467" w14:textId="77777777" w:rsidR="000C3D44" w:rsidRDefault="000C3D44" w:rsidP="00D61F6D">
      <w:pPr>
        <w:pStyle w:val="AppendixH2"/>
      </w:pPr>
      <w:r>
        <w:t xml:space="preserve">Impacts of a disruption to </w:t>
      </w:r>
      <w:r w:rsidR="00F54204">
        <w:t xml:space="preserve">critical hospital </w:t>
      </w:r>
      <w:r w:rsidR="007F41C1">
        <w:t>assets</w:t>
      </w:r>
    </w:p>
    <w:p w14:paraId="00BF583E" w14:textId="77777777" w:rsidR="00F32A26" w:rsidRDefault="00F32A26" w:rsidP="00D61F6D">
      <w:pPr>
        <w:pStyle w:val="Bullet1stlevel"/>
      </w:pPr>
      <w:r>
        <w:t>Disruption to procedures and surgeries putting patients and public safety at risk;</w:t>
      </w:r>
    </w:p>
    <w:p w14:paraId="47A8E750" w14:textId="77777777" w:rsidR="00F32A26" w:rsidRDefault="00F32A26" w:rsidP="00D61F6D">
      <w:pPr>
        <w:pStyle w:val="Bullet1stlevel"/>
      </w:pPr>
      <w:r>
        <w:t>Significant delays in getting treatments;</w:t>
      </w:r>
    </w:p>
    <w:p w14:paraId="35BEC906" w14:textId="77777777" w:rsidR="00F32A26" w:rsidRPr="00204367" w:rsidRDefault="00F32A26" w:rsidP="00D61F6D">
      <w:pPr>
        <w:pStyle w:val="Bullet1stlevel"/>
      </w:pPr>
      <w:r>
        <w:t>Risk in increase mortality rates and serious conditions;</w:t>
      </w:r>
      <w:r w:rsidRPr="00204367">
        <w:t>;</w:t>
      </w:r>
    </w:p>
    <w:p w14:paraId="7332ABC4" w14:textId="77777777" w:rsidR="00F32A26" w:rsidRDefault="00F32A26" w:rsidP="00D61F6D">
      <w:pPr>
        <w:pStyle w:val="Bullet1stlevel"/>
      </w:pPr>
      <w:r>
        <w:t>S</w:t>
      </w:r>
      <w:r w:rsidRPr="00374A1D">
        <w:t>hortages in or destruction of essential medical supplies</w:t>
      </w:r>
      <w:r>
        <w:t>; and</w:t>
      </w:r>
    </w:p>
    <w:p w14:paraId="79F46E11" w14:textId="77777777" w:rsidR="000C3D44" w:rsidRDefault="00F32A26" w:rsidP="00D61F6D">
      <w:pPr>
        <w:pStyle w:val="Bullet1stlevel"/>
      </w:pPr>
      <w:r>
        <w:t>Lack of accessible ICU capacity and hospital beds to meet high demands</w:t>
      </w:r>
    </w:p>
    <w:p w14:paraId="7EF9A079" w14:textId="77777777" w:rsidR="00D61F6D" w:rsidRPr="00D55D38" w:rsidRDefault="00D61F6D" w:rsidP="00D61F6D">
      <w:pPr>
        <w:pStyle w:val="AppendixH2"/>
      </w:pPr>
      <w:r>
        <w:lastRenderedPageBreak/>
        <w:t>Examples of disruptions to critical hospital assets – domestic and international</w:t>
      </w:r>
    </w:p>
    <w:tbl>
      <w:tblPr>
        <w:tblStyle w:val="DHATable"/>
        <w:tblW w:w="9776"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364"/>
        <w:gridCol w:w="3412"/>
      </w:tblGrid>
      <w:tr w:rsidR="00340241" w:rsidRPr="00374A1D" w14:paraId="022265C4" w14:textId="77777777" w:rsidTr="008E21EF">
        <w:tc>
          <w:tcPr>
            <w:tcW w:w="6364" w:type="dxa"/>
            <w:shd w:val="clear" w:color="auto" w:fill="034EA2" w:themeFill="accent1"/>
          </w:tcPr>
          <w:p w14:paraId="07118942" w14:textId="77777777" w:rsidR="0026349E" w:rsidRPr="009446DF" w:rsidRDefault="002E7056" w:rsidP="008E21EF">
            <w:pPr>
              <w:pStyle w:val="TableHeading"/>
              <w:rPr>
                <w:rFonts w:eastAsia="Calibri"/>
              </w:rPr>
            </w:pPr>
            <w:r w:rsidRPr="007A4189">
              <w:t>Gippsland and south-west Victoria (Barwon Health) Cyber Attack</w:t>
            </w:r>
          </w:p>
        </w:tc>
        <w:tc>
          <w:tcPr>
            <w:tcW w:w="3412" w:type="dxa"/>
            <w:shd w:val="clear" w:color="auto" w:fill="007BC3" w:themeFill="accent2"/>
            <w:vAlign w:val="center"/>
          </w:tcPr>
          <w:p w14:paraId="46CB5901" w14:textId="77777777" w:rsidR="0026349E" w:rsidRPr="00A94A5F" w:rsidRDefault="0026349E" w:rsidP="008E21EF">
            <w:pPr>
              <w:pStyle w:val="Tableriskcategory"/>
            </w:pPr>
            <w:r w:rsidRPr="00A94A5F">
              <w:t>Cyber security</w:t>
            </w:r>
          </w:p>
        </w:tc>
      </w:tr>
      <w:tr w:rsidR="0026349E" w:rsidRPr="00374A1D" w14:paraId="2446408B" w14:textId="77777777" w:rsidTr="008E21EF">
        <w:tc>
          <w:tcPr>
            <w:tcW w:w="9776" w:type="dxa"/>
            <w:gridSpan w:val="2"/>
            <w:shd w:val="clear" w:color="auto" w:fill="auto"/>
          </w:tcPr>
          <w:p w14:paraId="7CA6C0FA" w14:textId="564BAF39" w:rsidR="0026349E" w:rsidRPr="00DF7750" w:rsidRDefault="0026349E" w:rsidP="00DC582A">
            <w:pPr>
              <w:pStyle w:val="TableBody"/>
              <w:rPr>
                <w:rFonts w:ascii="Arial" w:hAnsi="Arial" w:cs="Arial"/>
                <w:b/>
              </w:rPr>
            </w:pPr>
            <w:r w:rsidRPr="008E21EF">
              <w:rPr>
                <w:rFonts w:ascii="Arial" w:hAnsi="Arial" w:cs="Arial"/>
                <w:b/>
                <w:bCs/>
              </w:rPr>
              <w:t>Situation</w:t>
            </w:r>
            <w:r w:rsidRPr="00374A1D">
              <w:rPr>
                <w:rFonts w:ascii="Arial" w:hAnsi="Arial" w:cs="Arial"/>
              </w:rPr>
              <w:t>:</w:t>
            </w:r>
            <w:r w:rsidR="00B02427" w:rsidRPr="00FD3841">
              <w:rPr>
                <w:rFonts w:ascii="Arial" w:hAnsi="Arial" w:cs="Arial"/>
              </w:rPr>
              <w:t xml:space="preserve"> On 30 September 2019, regional hospitals in Victoria, including Geelong and Latrobe, were hit by a ransomware cyber-attack. The attack brought the state's health care providers' computer systems to a stop.</w:t>
            </w:r>
            <w:r w:rsidR="00B02427">
              <w:rPr>
                <w:rFonts w:ascii="Arial" w:hAnsi="Arial" w:cs="Arial"/>
              </w:rPr>
              <w:t xml:space="preserve"> </w:t>
            </w:r>
            <w:r w:rsidR="00B02427" w:rsidRPr="00DF7750">
              <w:rPr>
                <w:rFonts w:ascii="Arial" w:hAnsi="Arial" w:cs="Arial"/>
              </w:rPr>
              <w:t>The cyber-attack resulted in the infiltration of ransomware, which left various systems, including financial management, inaccessible.</w:t>
            </w:r>
            <w:r w:rsidR="00B02427">
              <w:rPr>
                <w:rFonts w:ascii="Arial" w:hAnsi="Arial" w:cs="Arial"/>
              </w:rPr>
              <w:t xml:space="preserve"> </w:t>
            </w:r>
            <w:r w:rsidR="00B02427" w:rsidRPr="003D216B">
              <w:rPr>
                <w:rFonts w:ascii="Arial" w:hAnsi="Arial" w:cs="Arial"/>
              </w:rPr>
              <w:t>Additionally, it stopped patient records, bookings, and management systems, requiring hospitals to return to manual processes and rely on paper records for the time being.</w:t>
            </w:r>
            <w:r w:rsidR="00B02427">
              <w:rPr>
                <w:rStyle w:val="FootnoteReference"/>
                <w:rFonts w:ascii="Arial" w:eastAsia="Times New Roman" w:hAnsi="Arial" w:cs="Arial"/>
              </w:rPr>
              <w:footnoteReference w:id="226"/>
            </w:r>
          </w:p>
        </w:tc>
      </w:tr>
      <w:tr w:rsidR="0026349E" w:rsidRPr="00374A1D" w14:paraId="0B730EDF" w14:textId="77777777" w:rsidTr="008E21EF">
        <w:tc>
          <w:tcPr>
            <w:tcW w:w="9776" w:type="dxa"/>
            <w:gridSpan w:val="2"/>
          </w:tcPr>
          <w:p w14:paraId="3626D982" w14:textId="7D4ACF2A" w:rsidR="0026349E" w:rsidRPr="002C352A" w:rsidRDefault="0026349E" w:rsidP="00DC582A">
            <w:pPr>
              <w:pStyle w:val="TableBody"/>
              <w:rPr>
                <w:rFonts w:ascii="Arial" w:hAnsi="Arial" w:cs="Arial"/>
                <w:b/>
              </w:rPr>
            </w:pPr>
            <w:r w:rsidRPr="008E21EF">
              <w:rPr>
                <w:rFonts w:ascii="Arial" w:hAnsi="Arial" w:cs="Arial"/>
                <w:b/>
                <w:bCs/>
              </w:rPr>
              <w:t>Outcome</w:t>
            </w:r>
            <w:r w:rsidRPr="00374A1D">
              <w:rPr>
                <w:rFonts w:ascii="Arial" w:hAnsi="Arial" w:cs="Arial"/>
              </w:rPr>
              <w:t>:</w:t>
            </w:r>
            <w:r w:rsidR="00E46532" w:rsidRPr="002C352A">
              <w:rPr>
                <w:rFonts w:ascii="Arial" w:hAnsi="Arial" w:cs="Arial"/>
              </w:rPr>
              <w:t xml:space="preserve"> The cost of the cyber-attack event surpassed $3 million, according to the Barwon Health Annual Report 2019-20. Additionally, the incident posed a risk to patients' health, as several elective surgical operations and outpatient visits were cancelled as a result of the attack. Around two months after the ransomware attack, Barwon Health's systems were recovered, and staff email access was restored more than a month later.</w:t>
            </w:r>
            <w:r w:rsidR="00E46532">
              <w:rPr>
                <w:rStyle w:val="FootnoteReference"/>
                <w:rFonts w:ascii="Arial" w:eastAsia="Times New Roman" w:hAnsi="Arial" w:cs="Arial"/>
              </w:rPr>
              <w:footnoteReference w:id="227"/>
            </w:r>
          </w:p>
        </w:tc>
      </w:tr>
      <w:tr w:rsidR="0026349E" w:rsidRPr="00374A1D" w14:paraId="3325FAE9" w14:textId="77777777" w:rsidTr="008E21EF">
        <w:trPr>
          <w:trHeight w:val="279"/>
        </w:trPr>
        <w:tc>
          <w:tcPr>
            <w:tcW w:w="9776" w:type="dxa"/>
            <w:gridSpan w:val="2"/>
            <w:shd w:val="clear" w:color="auto" w:fill="auto"/>
          </w:tcPr>
          <w:p w14:paraId="580E2ECB" w14:textId="0ECB9D04" w:rsidR="0026349E" w:rsidRPr="008F0D8A" w:rsidRDefault="0026349E" w:rsidP="00DC582A">
            <w:pPr>
              <w:pStyle w:val="TableBody"/>
              <w:rPr>
                <w:rFonts w:ascii="Arial" w:hAnsi="Arial" w:cs="Arial"/>
                <w:b/>
              </w:rPr>
            </w:pPr>
            <w:r w:rsidRPr="008E21EF">
              <w:rPr>
                <w:rFonts w:ascii="Arial" w:hAnsi="Arial" w:cs="Arial"/>
                <w:b/>
                <w:bCs/>
              </w:rPr>
              <w:t>Identified Gap:</w:t>
            </w:r>
            <w:r w:rsidR="00714561" w:rsidRPr="00BC0834">
              <w:rPr>
                <w:rFonts w:ascii="Arial" w:hAnsi="Arial" w:cs="Arial"/>
              </w:rPr>
              <w:t xml:space="preserve"> The Victorian Audit General Office (VAGO) audited the health services following the cyberattack and determined that significant barriers to implementing cybersecurity controls developed by the Department of Health and Human Services (DHHS) included a lack of dedicated cybersecurity funding and limited staff availability and capability. Additionally, it was stated that hospitals lack the necessary mechanism in place to deal with a cyber incident.</w:t>
            </w:r>
            <w:r w:rsidR="00714561">
              <w:rPr>
                <w:rStyle w:val="FootnoteReference"/>
                <w:rFonts w:ascii="Arial" w:eastAsia="Times New Roman" w:hAnsi="Arial" w:cs="Arial"/>
              </w:rPr>
              <w:footnoteReference w:id="228"/>
            </w:r>
          </w:p>
        </w:tc>
      </w:tr>
    </w:tbl>
    <w:p w14:paraId="53179C54" w14:textId="77777777" w:rsidR="000C3D44" w:rsidRPr="00DC582A" w:rsidRDefault="000C3D44" w:rsidP="00DC582A">
      <w:pPr>
        <w:pStyle w:val="BodyText"/>
      </w:pPr>
    </w:p>
    <w:tbl>
      <w:tblPr>
        <w:tblStyle w:val="DHATable"/>
        <w:tblW w:w="9776"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222"/>
        <w:gridCol w:w="3554"/>
      </w:tblGrid>
      <w:tr w:rsidR="00340241" w:rsidRPr="00374A1D" w14:paraId="3CA87BD7" w14:textId="77777777" w:rsidTr="008E21EF">
        <w:tc>
          <w:tcPr>
            <w:tcW w:w="6222" w:type="dxa"/>
            <w:shd w:val="clear" w:color="auto" w:fill="034EA2" w:themeFill="accent1"/>
          </w:tcPr>
          <w:p w14:paraId="4BD51AA2" w14:textId="77777777" w:rsidR="00142004" w:rsidRPr="007A4189" w:rsidRDefault="00142004" w:rsidP="008E21EF">
            <w:pPr>
              <w:pStyle w:val="TableHeading"/>
              <w:rPr>
                <w:rFonts w:eastAsia="Calibri" w:cstheme="majorHAnsi"/>
                <w:color w:val="034EA2" w:themeColor="accent1"/>
              </w:rPr>
            </w:pPr>
            <w:r w:rsidRPr="007A4189">
              <w:t>WannaCry Cyber-attack on National Health Service (NHS)</w:t>
            </w:r>
          </w:p>
        </w:tc>
        <w:tc>
          <w:tcPr>
            <w:tcW w:w="3554" w:type="dxa"/>
            <w:shd w:val="clear" w:color="auto" w:fill="007BC3" w:themeFill="accent2"/>
            <w:vAlign w:val="center"/>
          </w:tcPr>
          <w:p w14:paraId="496B83B4" w14:textId="77777777" w:rsidR="00142004" w:rsidRPr="00A94A5F" w:rsidRDefault="00142004" w:rsidP="008E21EF">
            <w:pPr>
              <w:pStyle w:val="Tableriskcategory"/>
            </w:pPr>
            <w:r w:rsidRPr="00A94A5F">
              <w:t>Cyber security</w:t>
            </w:r>
          </w:p>
        </w:tc>
      </w:tr>
      <w:tr w:rsidR="00142004" w:rsidRPr="00374A1D" w14:paraId="7025B880" w14:textId="77777777" w:rsidTr="008E21EF">
        <w:tc>
          <w:tcPr>
            <w:tcW w:w="9776" w:type="dxa"/>
            <w:gridSpan w:val="2"/>
            <w:shd w:val="clear" w:color="auto" w:fill="auto"/>
          </w:tcPr>
          <w:p w14:paraId="26A3ACB7" w14:textId="578E06E7" w:rsidR="00142004" w:rsidRPr="00DF7750" w:rsidRDefault="00142004" w:rsidP="00DC582A">
            <w:pPr>
              <w:pStyle w:val="TableBody"/>
              <w:rPr>
                <w:b/>
              </w:rPr>
            </w:pPr>
            <w:r w:rsidRPr="008E21EF">
              <w:rPr>
                <w:b/>
                <w:bCs/>
              </w:rPr>
              <w:t>Situation</w:t>
            </w:r>
            <w:r w:rsidRPr="00374A1D">
              <w:t xml:space="preserve">: </w:t>
            </w:r>
            <w:r w:rsidRPr="00502140">
              <w:t xml:space="preserve"> On 12 May 2017, a cyber-attack severely disrupted over 80 hospital trusts and 8% of GP </w:t>
            </w:r>
            <w:r w:rsidR="00943F24" w:rsidRPr="00502140">
              <w:t>practices</w:t>
            </w:r>
            <w:r w:rsidRPr="00502140">
              <w:t xml:space="preserve"> in </w:t>
            </w:r>
            <w:r>
              <w:t>the NHS</w:t>
            </w:r>
            <w:r w:rsidRPr="00502140">
              <w:t xml:space="preserve">, after hospitals were locked down </w:t>
            </w:r>
            <w:r>
              <w:t>from a ransomware cyber-attack</w:t>
            </w:r>
            <w:r w:rsidRPr="00502140">
              <w:t>. Hospitals and GP surgeries across England and Scotland were forced to postpone appointments. The at</w:t>
            </w:r>
            <w:r>
              <w:t>tack</w:t>
            </w:r>
            <w:r w:rsidRPr="00502140">
              <w:t xml:space="preserve"> also resulted in the cancellation of 19,000 appointments over the one-week attack period, accounting for approximately 1% of all NHS care. The ransomware worked by preventing users from accessing 200,000 computers via red-lettered error messages demanding Bitcoin.</w:t>
            </w:r>
            <w:r>
              <w:rPr>
                <w:rStyle w:val="FootnoteReference"/>
              </w:rPr>
              <w:footnoteReference w:id="229"/>
            </w:r>
          </w:p>
        </w:tc>
      </w:tr>
      <w:tr w:rsidR="00142004" w:rsidRPr="00374A1D" w14:paraId="6B1679A7" w14:textId="77777777" w:rsidTr="008E21EF">
        <w:tc>
          <w:tcPr>
            <w:tcW w:w="9776" w:type="dxa"/>
            <w:gridSpan w:val="2"/>
          </w:tcPr>
          <w:p w14:paraId="72240666" w14:textId="77777777" w:rsidR="00142004" w:rsidRPr="002C352A" w:rsidRDefault="00142004" w:rsidP="00DC582A">
            <w:pPr>
              <w:pStyle w:val="TableBody"/>
            </w:pPr>
            <w:r w:rsidRPr="008E21EF">
              <w:rPr>
                <w:b/>
                <w:bCs/>
              </w:rPr>
              <w:t>Outcome</w:t>
            </w:r>
            <w:r w:rsidRPr="00374A1D">
              <w:t xml:space="preserve">: </w:t>
            </w:r>
            <w:r w:rsidRPr="00502140">
              <w:t xml:space="preserve"> </w:t>
            </w:r>
            <w:r w:rsidRPr="008E21EF">
              <w:rPr>
                <w:rStyle w:val="Style3Char"/>
                <w:b w:val="0"/>
                <w:bCs w:val="0"/>
              </w:rPr>
              <w:t>Although the attack disrupted approximately 1% of NHS care, the Department of Health and Social Care (DHSC) report stated that the attack cost approximately £20 million ($36 million AUD) in lost output, followed by another £72 million (130 million AUD) in IT support to restore data and systems. The total cost to the NHS was £92 million (equivalent to more than $168 million AUD) due to services lost during the attack and IT costs in the aftermath.</w:t>
            </w:r>
            <w:r w:rsidRPr="008E21EF">
              <w:rPr>
                <w:rStyle w:val="FootnoteReference"/>
                <w:b/>
                <w:bCs/>
              </w:rPr>
              <w:footnoteReference w:id="230"/>
            </w:r>
          </w:p>
        </w:tc>
      </w:tr>
      <w:tr w:rsidR="00142004" w:rsidRPr="00374A1D" w14:paraId="0D920625" w14:textId="77777777" w:rsidTr="008E21EF">
        <w:trPr>
          <w:trHeight w:val="279"/>
        </w:trPr>
        <w:tc>
          <w:tcPr>
            <w:tcW w:w="9776" w:type="dxa"/>
            <w:gridSpan w:val="2"/>
            <w:shd w:val="clear" w:color="auto" w:fill="auto"/>
          </w:tcPr>
          <w:p w14:paraId="5845EC95" w14:textId="0BB137AA" w:rsidR="00142004" w:rsidRPr="008F0D8A" w:rsidRDefault="00142004" w:rsidP="00DC582A">
            <w:pPr>
              <w:pStyle w:val="TableBody"/>
            </w:pPr>
            <w:r w:rsidRPr="008E21EF">
              <w:rPr>
                <w:b/>
                <w:bCs/>
              </w:rPr>
              <w:t>Identified Gap:</w:t>
            </w:r>
            <w:r w:rsidRPr="008E21EF">
              <w:rPr>
                <w:rStyle w:val="Style3Char"/>
              </w:rPr>
              <w:t xml:space="preserve"> </w:t>
            </w:r>
            <w:r w:rsidRPr="008E21EF">
              <w:rPr>
                <w:rStyle w:val="Style3Char"/>
                <w:b w:val="0"/>
                <w:bCs w:val="0"/>
              </w:rPr>
              <w:t>The attack's audit report revealed that there was no backup system in place and that the NHS had neglected to invest in technology. The Microsoft’s Windows operating system is over 15 years old which is no longer up to date or supported. Microsoft only had the authority to fix the operating system. The UK's Government Communication Headquarters have been directed to develop a robust strategy to address future security issues and protect national IT infrastructure.</w:t>
            </w:r>
            <w:r w:rsidRPr="008E21EF">
              <w:rPr>
                <w:rStyle w:val="FootnoteReference"/>
                <w:b/>
                <w:bCs/>
              </w:rPr>
              <w:footnoteReference w:id="231"/>
            </w:r>
          </w:p>
        </w:tc>
      </w:tr>
    </w:tbl>
    <w:p w14:paraId="36027024" w14:textId="77777777" w:rsidR="004E0FBF" w:rsidRPr="00DC582A" w:rsidRDefault="004E0FBF" w:rsidP="00DC582A">
      <w:pPr>
        <w:pStyle w:val="BodyText"/>
      </w:pPr>
    </w:p>
    <w:tbl>
      <w:tblPr>
        <w:tblStyle w:val="DHATable"/>
        <w:tblW w:w="9776"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364"/>
        <w:gridCol w:w="3412"/>
      </w:tblGrid>
      <w:tr w:rsidR="00340241" w:rsidRPr="00374A1D" w14:paraId="20D36CE9" w14:textId="77777777" w:rsidTr="008E21EF">
        <w:tc>
          <w:tcPr>
            <w:tcW w:w="6364" w:type="dxa"/>
            <w:shd w:val="clear" w:color="auto" w:fill="034EA2" w:themeFill="accent1"/>
          </w:tcPr>
          <w:p w14:paraId="1694DF7C" w14:textId="77777777" w:rsidR="007C749D" w:rsidRPr="009446DF" w:rsidRDefault="00017697" w:rsidP="008E21EF">
            <w:pPr>
              <w:pStyle w:val="TableHeading"/>
              <w:rPr>
                <w:rFonts w:eastAsia="Calibri"/>
              </w:rPr>
            </w:pPr>
            <w:r w:rsidRPr="007A4189">
              <w:lastRenderedPageBreak/>
              <w:t>Cyber-attack on Dusseldorf University Hospital</w:t>
            </w:r>
          </w:p>
        </w:tc>
        <w:tc>
          <w:tcPr>
            <w:tcW w:w="3412" w:type="dxa"/>
            <w:shd w:val="clear" w:color="auto" w:fill="007BC3" w:themeFill="accent2"/>
            <w:vAlign w:val="center"/>
          </w:tcPr>
          <w:p w14:paraId="684E59AF" w14:textId="77777777" w:rsidR="007C749D" w:rsidRPr="00A94A5F" w:rsidRDefault="007C749D" w:rsidP="008E21EF">
            <w:pPr>
              <w:pStyle w:val="Tableriskcategory"/>
            </w:pPr>
            <w:r w:rsidRPr="00A94A5F">
              <w:t>Cyber security</w:t>
            </w:r>
          </w:p>
        </w:tc>
      </w:tr>
      <w:tr w:rsidR="007C749D" w:rsidRPr="00374A1D" w14:paraId="017E9B8B" w14:textId="77777777" w:rsidTr="008E21EF">
        <w:tc>
          <w:tcPr>
            <w:tcW w:w="9776" w:type="dxa"/>
            <w:gridSpan w:val="2"/>
            <w:shd w:val="clear" w:color="auto" w:fill="auto"/>
          </w:tcPr>
          <w:p w14:paraId="6A05F46B" w14:textId="77777777" w:rsidR="007C749D" w:rsidRPr="00374A1D" w:rsidRDefault="007C749D" w:rsidP="008E21EF">
            <w:pPr>
              <w:pStyle w:val="TableBody"/>
              <w:rPr>
                <w:rFonts w:ascii="Arial" w:hAnsi="Arial" w:cs="Arial"/>
              </w:rPr>
            </w:pPr>
            <w:r w:rsidRPr="008E21EF">
              <w:rPr>
                <w:rFonts w:ascii="Arial" w:hAnsi="Arial" w:cs="Arial"/>
                <w:b/>
                <w:bCs/>
              </w:rPr>
              <w:t>Situation</w:t>
            </w:r>
            <w:r w:rsidRPr="00374A1D">
              <w:rPr>
                <w:rFonts w:ascii="Arial" w:hAnsi="Arial" w:cs="Arial"/>
              </w:rPr>
              <w:t>:</w:t>
            </w:r>
            <w:r>
              <w:rPr>
                <w:rFonts w:ascii="Arial" w:hAnsi="Arial" w:cs="Arial"/>
              </w:rPr>
              <w:t xml:space="preserve"> On </w:t>
            </w:r>
            <w:r>
              <w:t>10</w:t>
            </w:r>
            <w:r w:rsidRPr="00DB5D8A">
              <w:t xml:space="preserve"> September 2020, a cyberattack taken down crucial systems at a University Hospital in Dusseldorf, western Germany. For a week, the University Clinic's systems were down, 30 of its clinic computers were hacked, hospitals were unable to access data, emergency patients were transferred to other hospitals, and operations were postponed.</w:t>
            </w:r>
            <w:r>
              <w:rPr>
                <w:rStyle w:val="FootnoteReference"/>
              </w:rPr>
              <w:footnoteReference w:id="232"/>
            </w:r>
          </w:p>
        </w:tc>
      </w:tr>
      <w:tr w:rsidR="007C749D" w:rsidRPr="00374A1D" w14:paraId="3BE1AD61" w14:textId="77777777" w:rsidTr="008E21EF">
        <w:tc>
          <w:tcPr>
            <w:tcW w:w="9776" w:type="dxa"/>
            <w:gridSpan w:val="2"/>
          </w:tcPr>
          <w:p w14:paraId="7121E1D5" w14:textId="77777777" w:rsidR="007C749D" w:rsidRPr="003C7104" w:rsidRDefault="007C749D" w:rsidP="008E21EF">
            <w:pPr>
              <w:pStyle w:val="TableBody"/>
              <w:rPr>
                <w:rFonts w:ascii="Arial" w:hAnsi="Arial" w:cs="Arial"/>
              </w:rPr>
            </w:pPr>
            <w:r w:rsidRPr="008E21EF">
              <w:rPr>
                <w:rFonts w:ascii="Arial" w:hAnsi="Arial" w:cs="Arial"/>
                <w:b/>
                <w:bCs/>
              </w:rPr>
              <w:t>Outcome</w:t>
            </w:r>
            <w:r w:rsidRPr="00374A1D">
              <w:rPr>
                <w:rFonts w:ascii="Arial" w:hAnsi="Arial" w:cs="Arial"/>
              </w:rPr>
              <w:t>:</w:t>
            </w:r>
            <w:r>
              <w:rPr>
                <w:rFonts w:ascii="Arial" w:hAnsi="Arial" w:cs="Arial"/>
              </w:rPr>
              <w:t xml:space="preserve"> As a result of the ransomware attack, a woman who needed urgent admission and was in a life-threatening condition, died after she had to be taken to another city for treatment which was 32 kilometres away as doctors were unable to treat her. It has been reported that this could be the first recorded death from a ransomware attack.</w:t>
            </w:r>
            <w:r>
              <w:rPr>
                <w:rStyle w:val="FootnoteReference"/>
                <w:rFonts w:ascii="Arial" w:eastAsia="Times New Roman" w:hAnsi="Arial" w:cs="Arial"/>
              </w:rPr>
              <w:footnoteReference w:id="233"/>
            </w:r>
          </w:p>
        </w:tc>
      </w:tr>
      <w:tr w:rsidR="007C749D" w:rsidRPr="00374A1D" w14:paraId="36FAEFD2" w14:textId="77777777" w:rsidTr="008E21EF">
        <w:trPr>
          <w:trHeight w:val="279"/>
        </w:trPr>
        <w:tc>
          <w:tcPr>
            <w:tcW w:w="9776" w:type="dxa"/>
            <w:gridSpan w:val="2"/>
            <w:shd w:val="clear" w:color="auto" w:fill="auto"/>
          </w:tcPr>
          <w:p w14:paraId="5BC53123" w14:textId="77777777" w:rsidR="007C749D" w:rsidRPr="002C4508" w:rsidRDefault="007C749D" w:rsidP="008E21EF">
            <w:pPr>
              <w:pStyle w:val="TableBody"/>
              <w:rPr>
                <w:rFonts w:ascii="Arial" w:hAnsi="Arial" w:cs="Arial"/>
                <w:b/>
              </w:rPr>
            </w:pPr>
            <w:r w:rsidRPr="008E21EF">
              <w:rPr>
                <w:rFonts w:ascii="Arial" w:hAnsi="Arial" w:cs="Arial"/>
                <w:b/>
                <w:bCs/>
              </w:rPr>
              <w:t>Identified Gap:</w:t>
            </w:r>
            <w:r w:rsidRPr="00374A1D">
              <w:rPr>
                <w:rFonts w:ascii="Arial" w:hAnsi="Arial" w:cs="Arial"/>
              </w:rPr>
              <w:t xml:space="preserve"> </w:t>
            </w:r>
            <w:r>
              <w:t xml:space="preserve"> </w:t>
            </w:r>
            <w:r w:rsidRPr="002B3DAE">
              <w:rPr>
                <w:rFonts w:ascii="Arial" w:hAnsi="Arial" w:cs="Arial"/>
              </w:rPr>
              <w:t>According to reports, the hospital's information technology networks were compromised due to a weakness in Citrix, a vendor of a VPN tool. According to analysts from a cybersecurity firm, the hospital could have improved its security by implementing a Citrix software update that has been available for IT administrators to fix systems since January. They were also warned of the vulnerability back in January. As a result, audits</w:t>
            </w:r>
            <w:r>
              <w:rPr>
                <w:rFonts w:ascii="Arial" w:hAnsi="Arial" w:cs="Arial"/>
              </w:rPr>
              <w:t xml:space="preserve"> and </w:t>
            </w:r>
            <w:r w:rsidRPr="002B3DAE">
              <w:rPr>
                <w:rFonts w:ascii="Arial" w:hAnsi="Arial" w:cs="Arial"/>
              </w:rPr>
              <w:t>cyber security skill development in the workforce are critical components of protecting the infrastructure and resuming services with care and minimal interruption.</w:t>
            </w:r>
            <w:r>
              <w:rPr>
                <w:rStyle w:val="FootnoteReference"/>
                <w:rFonts w:ascii="Arial" w:eastAsia="Times New Roman" w:hAnsi="Arial" w:cs="Arial"/>
              </w:rPr>
              <w:footnoteReference w:id="234"/>
            </w:r>
          </w:p>
        </w:tc>
      </w:tr>
    </w:tbl>
    <w:p w14:paraId="04D8300D" w14:textId="77777777" w:rsidR="008E21EF" w:rsidRDefault="008E21EF" w:rsidP="008E21EF">
      <w:pPr>
        <w:pStyle w:val="BodyText"/>
      </w:pPr>
    </w:p>
    <w:tbl>
      <w:tblPr>
        <w:tblStyle w:val="DHATable"/>
        <w:tblW w:w="9776"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364"/>
        <w:gridCol w:w="3412"/>
      </w:tblGrid>
      <w:tr w:rsidR="00340241" w:rsidRPr="00374A1D" w14:paraId="0C4B9328" w14:textId="77777777" w:rsidTr="008E21EF">
        <w:tc>
          <w:tcPr>
            <w:tcW w:w="6364" w:type="dxa"/>
            <w:shd w:val="clear" w:color="auto" w:fill="034EA2" w:themeFill="accent1"/>
          </w:tcPr>
          <w:p w14:paraId="53CF188A" w14:textId="77777777" w:rsidR="005945F6" w:rsidRPr="009446DF" w:rsidRDefault="005945F6" w:rsidP="008E21EF">
            <w:pPr>
              <w:pStyle w:val="TableHeading"/>
            </w:pPr>
            <w:r w:rsidRPr="006F1D72">
              <w:t>Eastern Health Services (VIC) Cyber Attack</w:t>
            </w:r>
          </w:p>
        </w:tc>
        <w:tc>
          <w:tcPr>
            <w:tcW w:w="3412" w:type="dxa"/>
            <w:shd w:val="clear" w:color="auto" w:fill="007BC3" w:themeFill="accent2"/>
            <w:vAlign w:val="center"/>
          </w:tcPr>
          <w:p w14:paraId="4AED4A63" w14:textId="77777777" w:rsidR="005945F6" w:rsidRPr="00A94A5F" w:rsidRDefault="005945F6" w:rsidP="008E21EF">
            <w:pPr>
              <w:pStyle w:val="Tableriskcategory"/>
            </w:pPr>
            <w:r w:rsidRPr="00A94A5F">
              <w:t>Cyber security, physical</w:t>
            </w:r>
          </w:p>
        </w:tc>
      </w:tr>
      <w:tr w:rsidR="005945F6" w:rsidRPr="00374A1D" w14:paraId="2DB7A846" w14:textId="77777777" w:rsidTr="008E21EF">
        <w:tc>
          <w:tcPr>
            <w:tcW w:w="9776" w:type="dxa"/>
            <w:gridSpan w:val="2"/>
            <w:shd w:val="clear" w:color="auto" w:fill="auto"/>
          </w:tcPr>
          <w:p w14:paraId="57748FA6" w14:textId="13992470" w:rsidR="005945F6" w:rsidRPr="008E21EF" w:rsidRDefault="005945F6" w:rsidP="008E21EF">
            <w:pPr>
              <w:pStyle w:val="TableBody"/>
              <w:rPr>
                <w:rFonts w:eastAsiaTheme="minorHAnsi" w:cstheme="minorBidi"/>
                <w:bCs/>
              </w:rPr>
            </w:pPr>
            <w:r w:rsidRPr="008E21EF">
              <w:rPr>
                <w:rFonts w:ascii="Arial" w:eastAsia="Times New Roman" w:hAnsi="Arial" w:cs="Arial"/>
                <w:b/>
                <w:bCs/>
              </w:rPr>
              <w:t>Situation</w:t>
            </w:r>
            <w:r w:rsidRPr="00374A1D">
              <w:rPr>
                <w:rFonts w:ascii="Arial" w:eastAsia="Times New Roman" w:hAnsi="Arial" w:cs="Arial"/>
              </w:rPr>
              <w:t>:</w:t>
            </w:r>
            <w:r>
              <w:rPr>
                <w:rFonts w:ascii="Arial" w:eastAsia="Times New Roman" w:hAnsi="Arial" w:cs="Arial"/>
              </w:rPr>
              <w:t xml:space="preserve"> </w:t>
            </w:r>
            <w:r w:rsidRPr="00C17247">
              <w:t>On March 16, Eastern Health Services which operates in Box Hill, Maroondah, Healesville and Angliss Hospitals was forced to shut down some of its IT Systems following a widespread cyber-attack that crippled the server</w:t>
            </w:r>
            <w:r>
              <w:t>. Elective</w:t>
            </w:r>
            <w:r w:rsidRPr="00FA2253">
              <w:t xml:space="preserve"> procedures were postpone</w:t>
            </w:r>
            <w:r>
              <w:t>d, and s</w:t>
            </w:r>
            <w:r w:rsidRPr="00FA2253">
              <w:t>taff were still unable to access internal emails and IT systems nearly two weeks after the attack</w:t>
            </w:r>
            <w:r>
              <w:t>, and they</w:t>
            </w:r>
            <w:r w:rsidRPr="00FA2253">
              <w:t xml:space="preserve"> had reverted to utilising pen and paper and whiteboards for some patient management.</w:t>
            </w:r>
            <w:r>
              <w:rPr>
                <w:rStyle w:val="FootnoteReference"/>
              </w:rPr>
              <w:footnoteReference w:id="235"/>
            </w:r>
          </w:p>
        </w:tc>
      </w:tr>
      <w:tr w:rsidR="005945F6" w:rsidRPr="00374A1D" w14:paraId="3D99ED08" w14:textId="77777777" w:rsidTr="008E21EF">
        <w:tc>
          <w:tcPr>
            <w:tcW w:w="9776" w:type="dxa"/>
            <w:gridSpan w:val="2"/>
          </w:tcPr>
          <w:p w14:paraId="79BF5E84" w14:textId="77777777" w:rsidR="005945F6" w:rsidRPr="00374A1D" w:rsidRDefault="005945F6" w:rsidP="008E21EF">
            <w:pPr>
              <w:pStyle w:val="TableBody"/>
              <w:rPr>
                <w:rFonts w:ascii="Calibri" w:hAnsi="Calibri"/>
              </w:rPr>
            </w:pPr>
            <w:r w:rsidRPr="008E21EF">
              <w:rPr>
                <w:rFonts w:ascii="Arial" w:eastAsia="Times New Roman" w:hAnsi="Arial" w:cs="Arial"/>
                <w:b/>
                <w:bCs/>
              </w:rPr>
              <w:t>Outcome</w:t>
            </w:r>
            <w:r w:rsidRPr="00374A1D">
              <w:rPr>
                <w:rFonts w:ascii="Arial" w:eastAsia="Times New Roman" w:hAnsi="Arial" w:cs="Arial"/>
              </w:rPr>
              <w:t xml:space="preserve">: </w:t>
            </w:r>
            <w:r>
              <w:t xml:space="preserve"> </w:t>
            </w:r>
            <w:r w:rsidRPr="00E54586">
              <w:rPr>
                <w:rFonts w:ascii="Arial" w:eastAsia="Times New Roman" w:hAnsi="Arial" w:cs="Arial"/>
              </w:rPr>
              <w:t>Due to doctors' difficulty in accessing hospital systems to gather patients' medical history, a frequent visitor to the hospital sought medical attention at Box Hill Hospital during the attack</w:t>
            </w:r>
            <w:r>
              <w:rPr>
                <w:rFonts w:ascii="Arial" w:eastAsia="Times New Roman" w:hAnsi="Arial" w:cs="Arial"/>
              </w:rPr>
              <w:t xml:space="preserve">. </w:t>
            </w:r>
            <w:r w:rsidRPr="00C2769B">
              <w:rPr>
                <w:rFonts w:ascii="Arial" w:eastAsia="Times New Roman" w:hAnsi="Arial" w:cs="Arial"/>
              </w:rPr>
              <w:t>The hospital staff treating him were unable to access his medical history, and due to his complicated needs, he was unable to express verbally to the doctor and nurses treating him that he had a history of diabetes and was in excruciating pain due to a swollen toe. He was discharged from the hospital with elevated blood sugar due to his diabetes, but they were unaware that he also had an infected toe. After visiting a podiatrist to have his sore toe examined, he was informed that the infection had gone to the bone.</w:t>
            </w:r>
            <w:r>
              <w:rPr>
                <w:rStyle w:val="FootnoteReference"/>
                <w:rFonts w:ascii="Arial" w:eastAsia="Times New Roman" w:hAnsi="Arial" w:cs="Arial"/>
              </w:rPr>
              <w:footnoteReference w:id="236"/>
            </w:r>
          </w:p>
        </w:tc>
      </w:tr>
      <w:tr w:rsidR="005945F6" w:rsidRPr="00374A1D" w14:paraId="5A3BDDEB" w14:textId="77777777" w:rsidTr="008E21EF">
        <w:trPr>
          <w:trHeight w:val="279"/>
        </w:trPr>
        <w:tc>
          <w:tcPr>
            <w:tcW w:w="9776" w:type="dxa"/>
            <w:gridSpan w:val="2"/>
            <w:shd w:val="clear" w:color="auto" w:fill="auto"/>
          </w:tcPr>
          <w:p w14:paraId="55272824" w14:textId="77777777" w:rsidR="005945F6" w:rsidRPr="00374A1D" w:rsidRDefault="005945F6" w:rsidP="008E21EF">
            <w:pPr>
              <w:pStyle w:val="TableBody"/>
              <w:rPr>
                <w:rFonts w:ascii="Arial" w:eastAsia="Times New Roman" w:hAnsi="Arial" w:cs="Arial"/>
              </w:rPr>
            </w:pPr>
            <w:r w:rsidRPr="008E21EF">
              <w:rPr>
                <w:rFonts w:ascii="Arial" w:eastAsia="Times New Roman" w:hAnsi="Arial" w:cs="Arial"/>
                <w:b/>
                <w:bCs/>
              </w:rPr>
              <w:t>Identified Gap:</w:t>
            </w:r>
            <w:r w:rsidRPr="00374A1D">
              <w:rPr>
                <w:rFonts w:ascii="Arial" w:eastAsia="Times New Roman" w:hAnsi="Arial" w:cs="Arial"/>
              </w:rPr>
              <w:t xml:space="preserve"> </w:t>
            </w:r>
            <w:r w:rsidRPr="00602747">
              <w:rPr>
                <w:rFonts w:ascii="Arial" w:eastAsia="Times New Roman" w:hAnsi="Arial" w:cs="Arial"/>
              </w:rPr>
              <w:t>The Australian Cyber Security Centre issued a critical alert for organisations that use Microsoft Exchange, stating that it has discovered major new vulnerabilities in the system which is used by eastern health services.</w:t>
            </w:r>
            <w:r>
              <w:rPr>
                <w:rFonts w:ascii="Arial" w:eastAsia="Times New Roman" w:hAnsi="Arial" w:cs="Arial"/>
              </w:rPr>
              <w:t xml:space="preserve"> </w:t>
            </w:r>
            <w:r w:rsidRPr="00C526E1">
              <w:rPr>
                <w:rFonts w:ascii="Arial" w:eastAsia="Times New Roman" w:hAnsi="Arial" w:cs="Arial"/>
              </w:rPr>
              <w:t>The outdated IT infrastructure of Microsoft Exchange 2013, 2016, and 2019 enables attackers to get and keep access, highlighting how hospitals continue to rely on an outdated IT infrastructure that requires a substantial update to avoid serious disruptions in the future.</w:t>
            </w:r>
            <w:r>
              <w:rPr>
                <w:rStyle w:val="FootnoteReference"/>
                <w:rFonts w:ascii="Arial" w:eastAsia="Times New Roman" w:hAnsi="Arial" w:cs="Arial"/>
              </w:rPr>
              <w:footnoteReference w:id="237"/>
            </w:r>
          </w:p>
        </w:tc>
      </w:tr>
    </w:tbl>
    <w:p w14:paraId="7E23ECD6" w14:textId="77777777" w:rsidR="000C3D44" w:rsidRDefault="000C3D44" w:rsidP="008E21EF">
      <w:pPr>
        <w:pStyle w:val="AppendixH2"/>
      </w:pPr>
      <w:r>
        <w:t xml:space="preserve">Key risks to </w:t>
      </w:r>
      <w:r w:rsidR="00105BFC">
        <w:t>critical hospital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127"/>
        <w:gridCol w:w="4291"/>
        <w:gridCol w:w="4220"/>
      </w:tblGrid>
      <w:tr w:rsidR="00AD01F7" w:rsidRPr="00BC1408" w14:paraId="4B59335F" w14:textId="77777777" w:rsidTr="008E21EF">
        <w:tc>
          <w:tcPr>
            <w:tcW w:w="584" w:type="pct"/>
            <w:shd w:val="clear" w:color="auto" w:fill="034EA2" w:themeFill="accent1"/>
          </w:tcPr>
          <w:p w14:paraId="4341D49D" w14:textId="29B45ADA" w:rsidR="0007034E" w:rsidRPr="00BC1408" w:rsidRDefault="006B3927" w:rsidP="008E21EF">
            <w:pPr>
              <w:pStyle w:val="TableHeading"/>
            </w:pPr>
            <w:r>
              <w:t>Hazard domain</w:t>
            </w:r>
          </w:p>
        </w:tc>
        <w:tc>
          <w:tcPr>
            <w:tcW w:w="2226" w:type="pct"/>
            <w:shd w:val="clear" w:color="auto" w:fill="034EA2" w:themeFill="accent1"/>
          </w:tcPr>
          <w:p w14:paraId="4F866313" w14:textId="77777777" w:rsidR="0007034E" w:rsidRPr="00BC1408" w:rsidRDefault="0007034E" w:rsidP="008E21EF">
            <w:pPr>
              <w:pStyle w:val="TableHeading"/>
            </w:pPr>
            <w:r w:rsidRPr="00BC1408">
              <w:t>Identified risk</w:t>
            </w:r>
          </w:p>
        </w:tc>
        <w:tc>
          <w:tcPr>
            <w:tcW w:w="2189" w:type="pct"/>
            <w:shd w:val="clear" w:color="auto" w:fill="034EA2" w:themeFill="accent1"/>
          </w:tcPr>
          <w:p w14:paraId="7193BA26" w14:textId="77777777" w:rsidR="0007034E" w:rsidRPr="00BC1408" w:rsidRDefault="0007034E" w:rsidP="008E21EF">
            <w:pPr>
              <w:pStyle w:val="TableHeading"/>
            </w:pPr>
            <w:r w:rsidRPr="00BC1408">
              <w:t>Example</w:t>
            </w:r>
          </w:p>
        </w:tc>
      </w:tr>
      <w:tr w:rsidR="007D7511" w:rsidRPr="00374A1D" w14:paraId="03A32E9F" w14:textId="77777777" w:rsidTr="008E21EF">
        <w:trPr>
          <w:trHeight w:val="547"/>
        </w:trPr>
        <w:tc>
          <w:tcPr>
            <w:tcW w:w="584" w:type="pct"/>
            <w:shd w:val="clear" w:color="auto" w:fill="F2F2F2" w:themeFill="background1" w:themeFillShade="F2"/>
          </w:tcPr>
          <w:p w14:paraId="3814AF2F" w14:textId="77777777" w:rsidR="0007034E" w:rsidRPr="008E21EF" w:rsidRDefault="0007034E" w:rsidP="008E21EF">
            <w:pPr>
              <w:pStyle w:val="TableBody"/>
            </w:pPr>
            <w:r w:rsidRPr="008E21EF">
              <w:t>Physical and Natural</w:t>
            </w:r>
          </w:p>
        </w:tc>
        <w:tc>
          <w:tcPr>
            <w:tcW w:w="2226" w:type="pct"/>
            <w:shd w:val="clear" w:color="auto" w:fill="auto"/>
          </w:tcPr>
          <w:p w14:paraId="0C917897" w14:textId="77777777" w:rsidR="0007034E" w:rsidRPr="004C77EC" w:rsidRDefault="0007034E" w:rsidP="008E21EF">
            <w:pPr>
              <w:pStyle w:val="TableBody"/>
              <w:rPr>
                <w:color w:val="FF9933"/>
              </w:rPr>
            </w:pPr>
            <w:r w:rsidRPr="00374A1D">
              <w:t xml:space="preserve">Increased occurrence of extreme weather events and natural disasters, including heatwaves, bushfires and floods, means </w:t>
            </w:r>
            <w:r>
              <w:t>critical hospital</w:t>
            </w:r>
            <w:r w:rsidRPr="00374A1D">
              <w:t xml:space="preserve"> infrastructure is experiencing </w:t>
            </w:r>
            <w:r>
              <w:lastRenderedPageBreak/>
              <w:t>risks to protect the physical infrastructure and handle the surge in patients and account for enough beds</w:t>
            </w:r>
            <w:r w:rsidRPr="00374A1D">
              <w:t xml:space="preserve">. </w:t>
            </w:r>
          </w:p>
        </w:tc>
        <w:tc>
          <w:tcPr>
            <w:tcW w:w="2189" w:type="pct"/>
            <w:shd w:val="clear" w:color="auto" w:fill="auto"/>
          </w:tcPr>
          <w:p w14:paraId="43CBFC84" w14:textId="77777777" w:rsidR="0007034E" w:rsidRPr="00586FA6" w:rsidRDefault="0007034E" w:rsidP="008E21EF">
            <w:pPr>
              <w:pStyle w:val="TableBody"/>
            </w:pPr>
            <w:r>
              <w:lastRenderedPageBreak/>
              <w:t xml:space="preserve">On March 11, 2011, Fukushima was struck by a 9.0 magnitude earthquake and tsunamis that rose up to 41 metres. 11 hospitals in the disaster area experienced damage and </w:t>
            </w:r>
            <w:r>
              <w:lastRenderedPageBreak/>
              <w:t xml:space="preserve">critical building damage, 84 hospitals stopped accepting new inpatients and 45 hospital closed outpatient wards. The unprepared evacuation of hospitals caused increased mortality of patients, especially among the elderly. In the aftermath, there was much fear among hospital staff members about radiation exposure and many staff members failed to report to work. </w:t>
            </w:r>
          </w:p>
        </w:tc>
      </w:tr>
      <w:tr w:rsidR="00340241" w:rsidRPr="00374A1D" w14:paraId="2FC29F7D" w14:textId="77777777" w:rsidTr="008E21EF">
        <w:tc>
          <w:tcPr>
            <w:tcW w:w="584" w:type="pct"/>
            <w:shd w:val="clear" w:color="auto" w:fill="F2F2F2" w:themeFill="background1" w:themeFillShade="F2"/>
          </w:tcPr>
          <w:p w14:paraId="264034FF" w14:textId="77777777" w:rsidR="0007034E" w:rsidRPr="008E21EF" w:rsidRDefault="0007034E" w:rsidP="008E21EF">
            <w:pPr>
              <w:pStyle w:val="TableBody"/>
            </w:pPr>
            <w:r w:rsidRPr="008E21EF">
              <w:lastRenderedPageBreak/>
              <w:t>Cyber</w:t>
            </w:r>
          </w:p>
        </w:tc>
        <w:tc>
          <w:tcPr>
            <w:tcW w:w="2226" w:type="pct"/>
            <w:shd w:val="clear" w:color="auto" w:fill="auto"/>
          </w:tcPr>
          <w:p w14:paraId="083DED10" w14:textId="77777777" w:rsidR="0007034E" w:rsidRPr="008A4811" w:rsidRDefault="0007034E" w:rsidP="008E21EF">
            <w:pPr>
              <w:pStyle w:val="TableBody"/>
              <w:rPr>
                <w:b/>
                <w:color w:val="22355A"/>
                <w:szCs w:val="24"/>
              </w:rPr>
            </w:pPr>
            <w:bookmarkStart w:id="611" w:name="_Toc90994701"/>
            <w:r w:rsidRPr="008A4811">
              <w:rPr>
                <w:szCs w:val="24"/>
              </w:rPr>
              <w:t>Healthcare is one of the industries hit particularly hard by cyber criminals. Cyberattacks on health care systems have spiked during the COVID-19 pandemic, threatening patient care and private data. Hospitals are then forced to turn off all online systems, which results staff being unable to provide services at full capacity and delayed procedures.</w:t>
            </w:r>
            <w:bookmarkEnd w:id="611"/>
            <w:r w:rsidRPr="008A4811">
              <w:rPr>
                <w:szCs w:val="24"/>
              </w:rPr>
              <w:t xml:space="preserve"> </w:t>
            </w:r>
          </w:p>
        </w:tc>
        <w:tc>
          <w:tcPr>
            <w:tcW w:w="2189" w:type="pct"/>
            <w:shd w:val="clear" w:color="auto" w:fill="auto"/>
          </w:tcPr>
          <w:p w14:paraId="4ABC2ACC" w14:textId="77777777" w:rsidR="0007034E" w:rsidRPr="00ED5B04" w:rsidRDefault="0007034E" w:rsidP="008E21EF">
            <w:pPr>
              <w:pStyle w:val="TableBody"/>
              <w:rPr>
                <w:color w:val="FF9933"/>
              </w:rPr>
            </w:pPr>
            <w:r w:rsidRPr="00B06D14">
              <w:t>Between June-July 2018, Singapore’s health system, ‘SingHealth’ was a target of a major cyber-attack. The attack caused a security breach that compromised 1.5 million SingHeal</w:t>
            </w:r>
            <w:r>
              <w:t xml:space="preserve">th </w:t>
            </w:r>
            <w:r w:rsidRPr="00B06D14">
              <w:t xml:space="preserve">patients including Prime Minister Lee Hsien Loong. The incident also compromised outpatient medical data of 160,000 patients that visited the healthcare provider’s facilities, which included four public hospital, nine polyclinics and 42 clinical specialities. The cost of the cyber-attack cost Singapore’s public health sector around 250,000 AUD and around 770,000 AUD on financial penalties for the data breaches.  </w:t>
            </w:r>
          </w:p>
        </w:tc>
      </w:tr>
      <w:tr w:rsidR="007D7511" w:rsidRPr="00374A1D" w14:paraId="72DEB8F1" w14:textId="77777777" w:rsidTr="008E21EF">
        <w:trPr>
          <w:trHeight w:val="522"/>
        </w:trPr>
        <w:tc>
          <w:tcPr>
            <w:tcW w:w="584" w:type="pct"/>
            <w:shd w:val="clear" w:color="auto" w:fill="F2F2F2" w:themeFill="background1" w:themeFillShade="F2"/>
          </w:tcPr>
          <w:p w14:paraId="586D4DE8" w14:textId="77777777" w:rsidR="0007034E" w:rsidRPr="008E21EF" w:rsidRDefault="0007034E" w:rsidP="008E21EF">
            <w:pPr>
              <w:pStyle w:val="TableBody"/>
            </w:pPr>
            <w:r w:rsidRPr="008E21EF">
              <w:t>Supply Chain</w:t>
            </w:r>
          </w:p>
        </w:tc>
        <w:tc>
          <w:tcPr>
            <w:tcW w:w="2226" w:type="pct"/>
            <w:shd w:val="clear" w:color="auto" w:fill="auto"/>
          </w:tcPr>
          <w:p w14:paraId="7452B2C4" w14:textId="77777777" w:rsidR="0007034E" w:rsidRPr="004C77EC" w:rsidRDefault="0007034E" w:rsidP="008E21EF">
            <w:pPr>
              <w:pStyle w:val="TableBody"/>
              <w:rPr>
                <w:color w:val="FF9933"/>
              </w:rPr>
            </w:pPr>
            <w:r w:rsidRPr="00374A1D">
              <w:t xml:space="preserve">Disruption to supply chains pertinent to critical </w:t>
            </w:r>
            <w:r>
              <w:t>hospitals</w:t>
            </w:r>
            <w:r w:rsidRPr="00374A1D">
              <w:t xml:space="preserve"> may have detrimental consequences, </w:t>
            </w:r>
            <w:r>
              <w:t xml:space="preserve">as many procedures and services required for patient care and treatments are sourced domestically and internationally. </w:t>
            </w:r>
            <w:r w:rsidRPr="00374A1D">
              <w:t>This risk is compounded where organisations are primarily reliant on suppliers concentrated in a particular part of the world and may be concurrently affected by supply chain disruptions</w:t>
            </w:r>
            <w:r>
              <w:t>.</w:t>
            </w:r>
          </w:p>
        </w:tc>
        <w:tc>
          <w:tcPr>
            <w:tcW w:w="2189" w:type="pct"/>
            <w:shd w:val="clear" w:color="auto" w:fill="auto"/>
          </w:tcPr>
          <w:p w14:paraId="23A10237" w14:textId="77777777" w:rsidR="0007034E" w:rsidRPr="00BF676F" w:rsidRDefault="0007034E" w:rsidP="008E21EF">
            <w:pPr>
              <w:pStyle w:val="TableBody"/>
            </w:pPr>
            <w:r w:rsidRPr="00374A1D">
              <w:t>The COVID-19 pandemic incited concern that the</w:t>
            </w:r>
            <w:r>
              <w:t xml:space="preserve"> health</w:t>
            </w:r>
            <w:r w:rsidRPr="00374A1D">
              <w:t xml:space="preserve"> manufacturing and delivery of materials required for the maintenance of key pieces of </w:t>
            </w:r>
            <w:r>
              <w:t>hospital providers maybe delayed. The delay of deliveries of medical supply chains has strained hospitals in Australia and further states to undergo patient treatments and procedures.</w:t>
            </w:r>
          </w:p>
        </w:tc>
      </w:tr>
      <w:tr w:rsidR="00340241" w:rsidRPr="00374A1D" w14:paraId="687047E2" w14:textId="77777777" w:rsidTr="008E21EF">
        <w:tc>
          <w:tcPr>
            <w:tcW w:w="584" w:type="pct"/>
            <w:shd w:val="clear" w:color="auto" w:fill="F2F2F2" w:themeFill="background1" w:themeFillShade="F2"/>
          </w:tcPr>
          <w:p w14:paraId="6569E1E5" w14:textId="77777777" w:rsidR="0007034E" w:rsidRPr="008E21EF" w:rsidRDefault="0007034E" w:rsidP="008E21EF">
            <w:pPr>
              <w:pStyle w:val="TableBody"/>
            </w:pPr>
            <w:r w:rsidRPr="008E21EF">
              <w:t>Personnel</w:t>
            </w:r>
          </w:p>
        </w:tc>
        <w:tc>
          <w:tcPr>
            <w:tcW w:w="2226" w:type="pct"/>
            <w:shd w:val="clear" w:color="auto" w:fill="auto"/>
          </w:tcPr>
          <w:p w14:paraId="2A0C0135" w14:textId="77777777" w:rsidR="0007034E" w:rsidRPr="004C77EC" w:rsidRDefault="0007034E" w:rsidP="008E21EF">
            <w:pPr>
              <w:pStyle w:val="TableBody"/>
              <w:rPr>
                <w:color w:val="FF9933"/>
              </w:rPr>
            </w:pPr>
            <w:r w:rsidRPr="00374A1D">
              <w:t xml:space="preserve">Where personnel are immobilised for reasons that cannot be controlled, critical </w:t>
            </w:r>
            <w:r>
              <w:t xml:space="preserve">hospital </w:t>
            </w:r>
            <w:r w:rsidRPr="00374A1D">
              <w:t>operations may be severely delayed or halted.</w:t>
            </w:r>
            <w:r>
              <w:t xml:space="preserve"> Staff at facilities will not have the full ability to care or existing and incoming patients, potentially creating a surge. </w:t>
            </w:r>
            <w:r w:rsidRPr="00374A1D">
              <w:t>Additionally, personnel with access to systems, data or premises may pose insider threat risks including fraud, theft, espionage, infrastructure sabotage and misuse of sensitive data</w:t>
            </w:r>
          </w:p>
        </w:tc>
        <w:tc>
          <w:tcPr>
            <w:tcW w:w="2189" w:type="pct"/>
            <w:shd w:val="clear" w:color="auto" w:fill="auto"/>
          </w:tcPr>
          <w:p w14:paraId="25DE9E6B" w14:textId="571C0915" w:rsidR="0007034E" w:rsidRPr="008E21EF" w:rsidRDefault="0007034E" w:rsidP="008E21EF">
            <w:pPr>
              <w:pStyle w:val="TableBody"/>
            </w:pPr>
            <w:r w:rsidRPr="00374A1D">
              <w:t xml:space="preserve">The COVID-19 pandemic saw key industry personnel subject to extended periods of quarantine, forcing the </w:t>
            </w:r>
            <w:r>
              <w:t>shortage of staff, remote technology with limited protection</w:t>
            </w:r>
            <w:r w:rsidRPr="00374A1D">
              <w:t xml:space="preserve"> or reduced capacity where insufficient personnel were available.</w:t>
            </w:r>
          </w:p>
        </w:tc>
      </w:tr>
    </w:tbl>
    <w:p w14:paraId="3682A136" w14:textId="77777777" w:rsidR="000C3D44" w:rsidRDefault="000C3D44" w:rsidP="000C3D44">
      <w:pPr>
        <w:pStyle w:val="BodyText"/>
      </w:pPr>
    </w:p>
    <w:p w14:paraId="4C6F74F9" w14:textId="77777777" w:rsidR="000C3D44" w:rsidRDefault="000C3D44" w:rsidP="008E21EF">
      <w:pPr>
        <w:pStyle w:val="AppendixH2"/>
      </w:pPr>
      <w:r w:rsidRPr="000F6098">
        <w:t xml:space="preserve">Existing legislation related to </w:t>
      </w:r>
      <w:r w:rsidR="00BD2B19">
        <w:t>critical hospital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625"/>
        <w:gridCol w:w="4902"/>
        <w:gridCol w:w="3111"/>
      </w:tblGrid>
      <w:tr w:rsidR="00340241" w:rsidRPr="00374A1D" w14:paraId="08040D88" w14:textId="77777777" w:rsidTr="008B41DA">
        <w:trPr>
          <w:tblHeader/>
        </w:trPr>
        <w:tc>
          <w:tcPr>
            <w:tcW w:w="3386" w:type="pct"/>
            <w:gridSpan w:val="2"/>
            <w:shd w:val="clear" w:color="auto" w:fill="034EA2" w:themeFill="accent1"/>
          </w:tcPr>
          <w:p w14:paraId="6AE764EC" w14:textId="77777777" w:rsidR="00045898" w:rsidRPr="00374A1D" w:rsidRDefault="00045898" w:rsidP="00CF087E">
            <w:pPr>
              <w:pStyle w:val="TableHeading"/>
            </w:pPr>
            <w:r w:rsidRPr="009807CA">
              <w:t>Overview of regulation</w:t>
            </w:r>
          </w:p>
        </w:tc>
        <w:tc>
          <w:tcPr>
            <w:tcW w:w="1614" w:type="pct"/>
            <w:shd w:val="clear" w:color="auto" w:fill="034EA2" w:themeFill="accent1"/>
          </w:tcPr>
          <w:p w14:paraId="4A17A439" w14:textId="77777777" w:rsidR="00045898" w:rsidRPr="00374A1D" w:rsidRDefault="00045898" w:rsidP="00CF087E">
            <w:pPr>
              <w:pStyle w:val="TableHeading"/>
            </w:pPr>
            <w:r w:rsidRPr="009807CA">
              <w:t>Identified gaps</w:t>
            </w:r>
          </w:p>
        </w:tc>
      </w:tr>
      <w:tr w:rsidR="009E6DAB" w:rsidRPr="00374A1D" w14:paraId="7BFE1C4F" w14:textId="77777777" w:rsidTr="7EBB1CEE">
        <w:tc>
          <w:tcPr>
            <w:tcW w:w="843" w:type="pct"/>
            <w:shd w:val="clear" w:color="auto" w:fill="F2F2F2" w:themeFill="background2" w:themeFillShade="F2"/>
          </w:tcPr>
          <w:p w14:paraId="1E87C053" w14:textId="77777777" w:rsidR="00045898" w:rsidRPr="00CF087E" w:rsidRDefault="00045898" w:rsidP="00165EC6">
            <w:pPr>
              <w:pStyle w:val="TableBody"/>
              <w:rPr>
                <w:color w:val="FF9933"/>
              </w:rPr>
            </w:pPr>
            <w:r w:rsidRPr="00CF087E">
              <w:t>National Health Security Act 2007 (Cth)</w:t>
            </w:r>
          </w:p>
        </w:tc>
        <w:tc>
          <w:tcPr>
            <w:tcW w:w="2543" w:type="pct"/>
            <w:shd w:val="clear" w:color="auto" w:fill="auto"/>
          </w:tcPr>
          <w:p w14:paraId="58E9E02E" w14:textId="77777777" w:rsidR="00045898" w:rsidRPr="00CF087E" w:rsidRDefault="00045898" w:rsidP="00165EC6">
            <w:pPr>
              <w:pStyle w:val="TableBody"/>
              <w:rPr>
                <w:rFonts w:ascii="Arial" w:eastAsia="Calibri" w:hAnsi="Arial" w:cs="Arial"/>
                <w:color w:val="FF9933"/>
              </w:rPr>
            </w:pPr>
            <w:r w:rsidRPr="00CF087E">
              <w:rPr>
                <w:shd w:val="clear" w:color="auto" w:fill="FFFFFF"/>
              </w:rPr>
              <w:t xml:space="preserve">Establishes a framework for clear, quick and informed decision making to support a coordinated national response to public health emergencies. It also </w:t>
            </w:r>
            <w:r w:rsidRPr="00CF087E">
              <w:rPr>
                <w:color w:val="222222"/>
                <w:shd w:val="clear" w:color="auto" w:fill="FFFFFF"/>
              </w:rPr>
              <w:t>supports the exchange of information about significant public health events and authorises the disclosure of personal information when required to support an effective national or international response.</w:t>
            </w:r>
          </w:p>
        </w:tc>
        <w:tc>
          <w:tcPr>
            <w:tcW w:w="1614" w:type="pct"/>
            <w:shd w:val="clear" w:color="auto" w:fill="auto"/>
          </w:tcPr>
          <w:p w14:paraId="1F4A2F1D" w14:textId="77777777" w:rsidR="00045898" w:rsidRPr="00B84AC1" w:rsidRDefault="00045898" w:rsidP="00165EC6">
            <w:pPr>
              <w:pStyle w:val="TableBody"/>
              <w:rPr>
                <w:rFonts w:ascii="Arial" w:eastAsia="Calibri" w:hAnsi="Arial" w:cs="Arial"/>
                <w:color w:val="FF9933"/>
              </w:rPr>
            </w:pPr>
            <w:r w:rsidRPr="00563BEB">
              <w:rPr>
                <w:rFonts w:ascii="Arial" w:eastAsia="Calibri" w:hAnsi="Arial" w:cs="Arial"/>
              </w:rPr>
              <w:t>While the Act enables the exchange of public health information of national significance, there</w:t>
            </w:r>
            <w:r w:rsidRPr="00563BEB">
              <w:t xml:space="preserve"> is lack of </w:t>
            </w:r>
            <w:r>
              <w:t>RMP</w:t>
            </w:r>
            <w:r w:rsidRPr="00563BEB">
              <w:t>s, mandatory cyber incident reporting, enhanced cyber security obligations for systems.</w:t>
            </w:r>
          </w:p>
        </w:tc>
      </w:tr>
      <w:tr w:rsidR="00340241" w:rsidRPr="00374A1D" w14:paraId="4588CB8B" w14:textId="77777777" w:rsidTr="7EBB1CEE">
        <w:tc>
          <w:tcPr>
            <w:tcW w:w="843" w:type="pct"/>
            <w:shd w:val="clear" w:color="auto" w:fill="F2F2F2" w:themeFill="background2" w:themeFillShade="F2"/>
          </w:tcPr>
          <w:p w14:paraId="5E910C6A" w14:textId="77777777" w:rsidR="00045898" w:rsidRPr="00CF087E" w:rsidRDefault="00045898" w:rsidP="00165EC6">
            <w:pPr>
              <w:pStyle w:val="TableBody"/>
            </w:pPr>
            <w:r w:rsidRPr="00CF087E">
              <w:lastRenderedPageBreak/>
              <w:t>My Health Records Act 2012 (Cth)</w:t>
            </w:r>
          </w:p>
        </w:tc>
        <w:tc>
          <w:tcPr>
            <w:tcW w:w="2543" w:type="pct"/>
            <w:shd w:val="clear" w:color="auto" w:fill="auto"/>
          </w:tcPr>
          <w:p w14:paraId="7D963950" w14:textId="77777777" w:rsidR="00045898" w:rsidRDefault="00045898" w:rsidP="00165EC6">
            <w:pPr>
              <w:pStyle w:val="TableBody"/>
            </w:pPr>
            <w:r w:rsidRPr="00563BEB">
              <w:rPr>
                <w:shd w:val="clear" w:color="auto" w:fill="FFFFFF"/>
              </w:rPr>
              <w:t xml:space="preserve">The Act establishes the My Health Record system. The My Health Record system contains online summaries of individual's health information which can be viewed by their registered treating healthcare providers, including doctors, nurses and pharmacists across Australia. It </w:t>
            </w:r>
            <w:r w:rsidRPr="00563BEB">
              <w:t>limits when and how health information included in a My Health Record can be collected, used and disclosed. Unauthorised collection use or disclosure of My Health Record information is both a breach of the My Health Records Act and an interference with privacy.</w:t>
            </w:r>
          </w:p>
          <w:p w14:paraId="0721A71B" w14:textId="77777777" w:rsidR="00045898" w:rsidRPr="00CE38E6" w:rsidRDefault="00045898" w:rsidP="00165EC6">
            <w:pPr>
              <w:pStyle w:val="TableBody"/>
            </w:pPr>
            <w:r w:rsidRPr="00374A1D">
              <w:t>The equivalent State and Territory Acts include:</w:t>
            </w:r>
          </w:p>
          <w:p w14:paraId="31145FCC" w14:textId="77777777" w:rsidR="00045898" w:rsidRPr="00563BEB" w:rsidRDefault="00045898" w:rsidP="00165EC6">
            <w:pPr>
              <w:pStyle w:val="TableBullet"/>
            </w:pPr>
            <w:r w:rsidRPr="7EBB1CEE">
              <w:rPr>
                <w:rStyle w:val="Emphasis"/>
                <w:rFonts w:ascii="Arial" w:hAnsi="Arial" w:cs="Arial"/>
              </w:rPr>
              <w:t>Victorian Health Records Act 2001</w:t>
            </w:r>
            <w:r w:rsidRPr="00563BEB">
              <w:t> </w:t>
            </w:r>
          </w:p>
          <w:p w14:paraId="75ABD64B" w14:textId="77777777" w:rsidR="00045898" w:rsidRPr="00563BEB" w:rsidRDefault="00045898" w:rsidP="00165EC6">
            <w:pPr>
              <w:pStyle w:val="TableBullet"/>
            </w:pPr>
            <w:r w:rsidRPr="00563BEB">
              <w:t>Health Records and Information Privacy Act 2002 (NSW)</w:t>
            </w:r>
          </w:p>
          <w:p w14:paraId="5C48FC7F" w14:textId="77777777" w:rsidR="00045898" w:rsidRPr="00563BEB" w:rsidRDefault="00045898" w:rsidP="00165EC6">
            <w:pPr>
              <w:pStyle w:val="TableBullet"/>
            </w:pPr>
            <w:r w:rsidRPr="00563BEB">
              <w:t>Personal Information Protection Act 2004 (Tas)</w:t>
            </w:r>
          </w:p>
          <w:p w14:paraId="770B7AB6" w14:textId="77777777" w:rsidR="00045898" w:rsidRPr="00563BEB" w:rsidRDefault="00045898" w:rsidP="00165EC6">
            <w:pPr>
              <w:pStyle w:val="TableBullet"/>
              <w:rPr>
                <w:shd w:val="clear" w:color="auto" w:fill="FFFFFF"/>
              </w:rPr>
            </w:pPr>
            <w:r w:rsidRPr="7EBB1CEE">
              <w:rPr>
                <w:rStyle w:val="Emphasis"/>
                <w:rFonts w:ascii="Arial" w:hAnsi="Arial" w:cs="Arial"/>
                <w:shd w:val="clear" w:color="auto" w:fill="FFFFFF"/>
              </w:rPr>
              <w:t>Hospital</w:t>
            </w:r>
            <w:r w:rsidRPr="00563BEB">
              <w:rPr>
                <w:shd w:val="clear" w:color="auto" w:fill="FFFFFF"/>
              </w:rPr>
              <w:t> and </w:t>
            </w:r>
            <w:r w:rsidRPr="7EBB1CEE">
              <w:rPr>
                <w:rStyle w:val="Emphasis"/>
                <w:rFonts w:ascii="Arial" w:hAnsi="Arial" w:cs="Arial"/>
                <w:shd w:val="clear" w:color="auto" w:fill="FFFFFF"/>
              </w:rPr>
              <w:t>Health</w:t>
            </w:r>
            <w:r w:rsidRPr="00563BEB">
              <w:rPr>
                <w:shd w:val="clear" w:color="auto" w:fill="FFFFFF"/>
              </w:rPr>
              <w:t> Boards </w:t>
            </w:r>
            <w:r w:rsidRPr="7EBB1CEE">
              <w:rPr>
                <w:rStyle w:val="Emphasis"/>
                <w:rFonts w:ascii="Arial" w:hAnsi="Arial" w:cs="Arial"/>
                <w:shd w:val="clear" w:color="auto" w:fill="FFFFFF"/>
              </w:rPr>
              <w:t>Act</w:t>
            </w:r>
            <w:r w:rsidRPr="00563BEB">
              <w:rPr>
                <w:shd w:val="clear" w:color="auto" w:fill="FFFFFF"/>
              </w:rPr>
              <w:t> 2011 (QLD)</w:t>
            </w:r>
          </w:p>
          <w:p w14:paraId="0E6F8B83" w14:textId="77777777" w:rsidR="00045898" w:rsidRPr="00563BEB" w:rsidRDefault="00045898" w:rsidP="00165EC6">
            <w:pPr>
              <w:pStyle w:val="TableBullet"/>
              <w:rPr>
                <w:shd w:val="clear" w:color="auto" w:fill="FFFFFF"/>
              </w:rPr>
            </w:pPr>
            <w:r w:rsidRPr="00563BEB">
              <w:rPr>
                <w:shd w:val="clear" w:color="auto" w:fill="FFFFFF"/>
              </w:rPr>
              <w:t>Health Records (Privacy and Access) Act 1997 (ACT)</w:t>
            </w:r>
          </w:p>
          <w:p w14:paraId="6847C993" w14:textId="77777777" w:rsidR="00045898" w:rsidRPr="00374A1D" w:rsidRDefault="00045898" w:rsidP="00165EC6">
            <w:pPr>
              <w:pStyle w:val="TableBullet"/>
              <w:rPr>
                <w:rFonts w:ascii="Arial" w:eastAsia="Calibri" w:hAnsi="Arial" w:cs="Arial"/>
              </w:rPr>
            </w:pPr>
            <w:r w:rsidRPr="00563BEB">
              <w:rPr>
                <w:rFonts w:eastAsia="Calibri"/>
              </w:rPr>
              <w:t>Information Act 2002 (NT)</w:t>
            </w:r>
          </w:p>
        </w:tc>
        <w:tc>
          <w:tcPr>
            <w:tcW w:w="1614" w:type="pct"/>
            <w:shd w:val="clear" w:color="auto" w:fill="auto"/>
          </w:tcPr>
          <w:p w14:paraId="7CF7B286" w14:textId="3D188B6E" w:rsidR="00045898" w:rsidRPr="00165EC6" w:rsidRDefault="00045898" w:rsidP="00165EC6">
            <w:pPr>
              <w:pStyle w:val="TableBody"/>
            </w:pPr>
            <w:r w:rsidRPr="00563BEB">
              <w:t xml:space="preserve">While the Act has safeguards implements around digital infrastructure, there is lack of </w:t>
            </w:r>
            <w:r>
              <w:t>RMP</w:t>
            </w:r>
            <w:r w:rsidRPr="00563BEB">
              <w:t>s, mandatory cyber incident reporting, enhanced cyber security obligations for systems of national significance and the introduction of government assistance in responding to significant cyber-attacks.</w:t>
            </w:r>
            <w:r w:rsidRPr="00926C9A">
              <w:t xml:space="preserve"> </w:t>
            </w:r>
          </w:p>
        </w:tc>
      </w:tr>
      <w:tr w:rsidR="009E6DAB" w:rsidRPr="00374A1D" w14:paraId="47334091" w14:textId="77777777" w:rsidTr="7EBB1CEE">
        <w:tc>
          <w:tcPr>
            <w:tcW w:w="843" w:type="pct"/>
            <w:shd w:val="clear" w:color="auto" w:fill="F2F2F2" w:themeFill="background2" w:themeFillShade="F2"/>
          </w:tcPr>
          <w:p w14:paraId="2BF57FEB" w14:textId="77777777" w:rsidR="00045898" w:rsidRPr="000F20CF" w:rsidRDefault="00045898" w:rsidP="00165EC6">
            <w:pPr>
              <w:pStyle w:val="TableBody"/>
            </w:pPr>
            <w:r>
              <w:t>Human Services (Medicare) Act 1973 (Cth)</w:t>
            </w:r>
          </w:p>
        </w:tc>
        <w:tc>
          <w:tcPr>
            <w:tcW w:w="2543" w:type="pct"/>
            <w:shd w:val="clear" w:color="auto" w:fill="auto"/>
          </w:tcPr>
          <w:p w14:paraId="04392DD8" w14:textId="77777777" w:rsidR="00045898" w:rsidRPr="00374A1D" w:rsidRDefault="00045898" w:rsidP="00165EC6">
            <w:pPr>
              <w:pStyle w:val="TableBody"/>
              <w:rPr>
                <w:rFonts w:ascii="Arial" w:eastAsia="Times New Roman" w:hAnsi="Arial" w:cs="Arial"/>
              </w:rPr>
            </w:pPr>
            <w:r w:rsidRPr="00563BEB">
              <w:rPr>
                <w:shd w:val="clear" w:color="auto" w:fill="FFFFFF"/>
              </w:rPr>
              <w:t>The Act Creates the statutory office of the Chief Executive Medicare within the Department of Human Services and determines Chief Executive Medicare’s functions including service delivery functions, functions conferred by other Acts and Medicare functions.</w:t>
            </w:r>
          </w:p>
        </w:tc>
        <w:tc>
          <w:tcPr>
            <w:tcW w:w="1614" w:type="pct"/>
            <w:shd w:val="clear" w:color="auto" w:fill="auto"/>
          </w:tcPr>
          <w:p w14:paraId="20A07849" w14:textId="77777777" w:rsidR="00045898" w:rsidRPr="00374A1D" w:rsidRDefault="00045898" w:rsidP="00165EC6">
            <w:pPr>
              <w:pStyle w:val="TableBody"/>
            </w:pPr>
            <w:r w:rsidRPr="00FC2C5C">
              <w:t>The Act lack</w:t>
            </w:r>
            <w:r>
              <w:t>s</w:t>
            </w:r>
            <w:r w:rsidRPr="00FC2C5C">
              <w:t xml:space="preserve"> a framework for protecting data on Medicare services, posing a threat to numerous health records. Given the legislation's date of enactment, it is also out of time, as it excludes </w:t>
            </w:r>
            <w:r>
              <w:t>RMP</w:t>
            </w:r>
            <w:r w:rsidRPr="00FC2C5C">
              <w:t>mes for future cyber security incidents</w:t>
            </w:r>
            <w:r>
              <w:t>.</w:t>
            </w:r>
          </w:p>
        </w:tc>
      </w:tr>
      <w:tr w:rsidR="00340241" w:rsidRPr="00374A1D" w14:paraId="59FF3464" w14:textId="77777777" w:rsidTr="7EBB1CEE">
        <w:tc>
          <w:tcPr>
            <w:tcW w:w="843" w:type="pct"/>
            <w:shd w:val="clear" w:color="auto" w:fill="F2F2F2" w:themeFill="background2" w:themeFillShade="F2"/>
          </w:tcPr>
          <w:p w14:paraId="1440CF6C" w14:textId="77777777" w:rsidR="00045898" w:rsidRPr="000F20CF" w:rsidRDefault="00045898" w:rsidP="00165EC6">
            <w:pPr>
              <w:pStyle w:val="TableBody"/>
            </w:pPr>
            <w:r>
              <w:t>Privacy Act 1988 (Cth)</w:t>
            </w:r>
          </w:p>
        </w:tc>
        <w:tc>
          <w:tcPr>
            <w:tcW w:w="2543" w:type="pct"/>
            <w:shd w:val="clear" w:color="auto" w:fill="auto"/>
          </w:tcPr>
          <w:p w14:paraId="1562266C" w14:textId="2958F308" w:rsidR="00045898" w:rsidRPr="00DC24A6" w:rsidRDefault="00045898" w:rsidP="00165EC6">
            <w:pPr>
              <w:pStyle w:val="TableBody"/>
            </w:pPr>
            <w:r>
              <w:t>The Act</w:t>
            </w:r>
            <w:r w:rsidRPr="00116049">
              <w:t xml:space="preserve"> protect</w:t>
            </w:r>
            <w:r>
              <w:t xml:space="preserve">s </w:t>
            </w:r>
            <w:r w:rsidRPr="00116049">
              <w:t>the privacy of individuals and to regulate how Australian Government agencies and organisations with an annual turnover of more than $3 million, and </w:t>
            </w:r>
            <w:hyperlink r:id="rId62" w:anchor="WhoHasResponsibilitiesUnderPrivacyAct" w:history="1">
              <w:r w:rsidRPr="00116049">
                <w:rPr>
                  <w:rStyle w:val="Hyperlink"/>
                  <w:rFonts w:ascii="Arial" w:hAnsi="Arial" w:cs="Arial"/>
                  <w:color w:val="auto"/>
                  <w:sz w:val="22"/>
                  <w:szCs w:val="22"/>
                  <w:u w:val="none"/>
                  <w:bdr w:val="none" w:sz="0" w:space="0" w:color="auto" w:frame="1"/>
                </w:rPr>
                <w:t>some other organisations</w:t>
              </w:r>
            </w:hyperlink>
            <w:r w:rsidRPr="00116049">
              <w:t>, handle information. The Privacy Act includes 13 </w:t>
            </w:r>
            <w:hyperlink r:id="rId63" w:history="1">
              <w:r w:rsidRPr="00116049">
                <w:rPr>
                  <w:rStyle w:val="Hyperlink"/>
                  <w:rFonts w:ascii="Arial" w:hAnsi="Arial" w:cs="Arial"/>
                  <w:color w:val="auto"/>
                  <w:sz w:val="22"/>
                  <w:szCs w:val="22"/>
                  <w:u w:val="none"/>
                  <w:bdr w:val="none" w:sz="0" w:space="0" w:color="auto" w:frame="1"/>
                </w:rPr>
                <w:t>Australian Privacy Principles</w:t>
              </w:r>
            </w:hyperlink>
            <w:r w:rsidRPr="00116049">
              <w:t> (APPs), which apply to some private sector organisations, as well as most Australian Government agencies.</w:t>
            </w:r>
          </w:p>
        </w:tc>
        <w:tc>
          <w:tcPr>
            <w:tcW w:w="1614" w:type="pct"/>
            <w:shd w:val="clear" w:color="auto" w:fill="auto"/>
          </w:tcPr>
          <w:p w14:paraId="7168BBF2" w14:textId="77777777" w:rsidR="00045898" w:rsidRPr="00FC2C5C" w:rsidRDefault="00045898" w:rsidP="00165EC6">
            <w:pPr>
              <w:pStyle w:val="TableBody"/>
              <w:rPr>
                <w:rFonts w:ascii="Arial" w:eastAsia="Times New Roman" w:hAnsi="Arial" w:cs="Arial"/>
              </w:rPr>
            </w:pPr>
            <w:r w:rsidRPr="00926C9A">
              <w:t>The State and territory public hospitals and health services are not covered by the Privacy Act, and only covered by relevant state or territory legislation.</w:t>
            </w:r>
            <w:r>
              <w:t xml:space="preserve"> In addition, there aren’t any</w:t>
            </w:r>
            <w:r w:rsidRPr="00374A1D">
              <w:rPr>
                <w:rFonts w:ascii="Arial" w:eastAsia="Times New Roman" w:hAnsi="Arial" w:cs="Arial"/>
              </w:rPr>
              <w:t xml:space="preserve"> risk management obligations</w:t>
            </w:r>
            <w:r>
              <w:rPr>
                <w:rFonts w:ascii="Arial" w:eastAsia="Times New Roman" w:hAnsi="Arial" w:cs="Arial"/>
              </w:rPr>
              <w:t xml:space="preserve"> and cyber security incident reporting</w:t>
            </w:r>
            <w:r w:rsidRPr="00374A1D">
              <w:rPr>
                <w:rFonts w:ascii="Arial" w:eastAsia="Times New Roman" w:hAnsi="Arial" w:cs="Arial"/>
              </w:rPr>
              <w:t xml:space="preserve"> imposed on a whole-of-sector basis.</w:t>
            </w:r>
          </w:p>
        </w:tc>
      </w:tr>
      <w:tr w:rsidR="009E6DAB" w:rsidRPr="00374A1D" w14:paraId="4359A10F" w14:textId="77777777" w:rsidTr="7EBB1CEE">
        <w:tc>
          <w:tcPr>
            <w:tcW w:w="843" w:type="pct"/>
            <w:shd w:val="clear" w:color="auto" w:fill="F2F2F2" w:themeFill="background2" w:themeFillShade="F2"/>
          </w:tcPr>
          <w:p w14:paraId="2E89B560" w14:textId="77777777" w:rsidR="00045898" w:rsidRPr="005F6229" w:rsidRDefault="00045898" w:rsidP="005F6229">
            <w:pPr>
              <w:pStyle w:val="TableBody"/>
            </w:pPr>
            <w:r w:rsidRPr="005F6229">
              <w:t>The Health Insurance </w:t>
            </w:r>
            <w:r w:rsidRPr="005F6229">
              <w:rPr>
                <w:rStyle w:val="Emphasis"/>
              </w:rPr>
              <w:t>Act 1973</w:t>
            </w:r>
            <w:r w:rsidRPr="005F6229">
              <w:t> </w:t>
            </w:r>
          </w:p>
        </w:tc>
        <w:tc>
          <w:tcPr>
            <w:tcW w:w="2543" w:type="pct"/>
            <w:shd w:val="clear" w:color="auto" w:fill="auto"/>
          </w:tcPr>
          <w:p w14:paraId="73FFDD91" w14:textId="77777777" w:rsidR="00045898" w:rsidRDefault="00045898" w:rsidP="00165EC6">
            <w:pPr>
              <w:pStyle w:val="TableBody"/>
              <w:rPr>
                <w:sz w:val="22"/>
                <w:szCs w:val="22"/>
              </w:rPr>
            </w:pPr>
            <w:r w:rsidRPr="00563BEB">
              <w:rPr>
                <w:shd w:val="clear" w:color="auto" w:fill="FFFFFF"/>
              </w:rPr>
              <w:t>The Health Insurance </w:t>
            </w:r>
            <w:r w:rsidRPr="00563BEB">
              <w:rPr>
                <w:rStyle w:val="Emphasis"/>
                <w:rFonts w:ascii="Arial" w:hAnsi="Arial" w:cs="Arial"/>
                <w:sz w:val="21"/>
                <w:szCs w:val="21"/>
                <w:shd w:val="clear" w:color="auto" w:fill="FFFFFF"/>
              </w:rPr>
              <w:t>Act 1973</w:t>
            </w:r>
            <w:r w:rsidRPr="00563BEB">
              <w:rPr>
                <w:shd w:val="clear" w:color="auto" w:fill="FFFFFF"/>
              </w:rPr>
              <w:t> underpins the </w:t>
            </w:r>
            <w:r w:rsidRPr="00563BEB">
              <w:rPr>
                <w:rStyle w:val="Emphasis"/>
                <w:rFonts w:ascii="Arial" w:hAnsi="Arial" w:cs="Arial"/>
                <w:sz w:val="21"/>
                <w:szCs w:val="21"/>
                <w:shd w:val="clear" w:color="auto" w:fill="FFFFFF"/>
              </w:rPr>
              <w:t>Medicare</w:t>
            </w:r>
            <w:r w:rsidRPr="00563BEB">
              <w:rPr>
                <w:shd w:val="clear" w:color="auto" w:fill="FFFFFF"/>
              </w:rPr>
              <w:t> scheme by providing for payments by way of medical benefits and for hospital </w:t>
            </w:r>
            <w:r w:rsidRPr="00563BEB">
              <w:rPr>
                <w:rStyle w:val="Emphasis"/>
                <w:rFonts w:ascii="Arial" w:hAnsi="Arial" w:cs="Arial"/>
                <w:sz w:val="21"/>
                <w:szCs w:val="21"/>
                <w:shd w:val="clear" w:color="auto" w:fill="FFFFFF"/>
              </w:rPr>
              <w:t>services</w:t>
            </w:r>
            <w:r w:rsidRPr="00563BEB">
              <w:rPr>
                <w:shd w:val="clear" w:color="auto" w:fill="FFFFFF"/>
              </w:rPr>
              <w:t>.</w:t>
            </w:r>
          </w:p>
        </w:tc>
        <w:tc>
          <w:tcPr>
            <w:tcW w:w="1614" w:type="pct"/>
            <w:shd w:val="clear" w:color="auto" w:fill="auto"/>
          </w:tcPr>
          <w:p w14:paraId="7AAC6989" w14:textId="405D6CFE" w:rsidR="00045898" w:rsidRPr="00165EC6" w:rsidRDefault="00045898" w:rsidP="00165EC6">
            <w:pPr>
              <w:pStyle w:val="TableBody"/>
              <w:rPr>
                <w:rFonts w:cstheme="minorBidi"/>
              </w:rPr>
            </w:pPr>
            <w:r>
              <w:t>T</w:t>
            </w:r>
            <w:r w:rsidRPr="00926C9A">
              <w:t xml:space="preserve">here is lack of </w:t>
            </w:r>
            <w:r>
              <w:t>RMP</w:t>
            </w:r>
            <w:r w:rsidRPr="00926C9A">
              <w:t>s mandatory cyber incident reporting, enhanced cyber security obligations</w:t>
            </w:r>
            <w:r>
              <w:t xml:space="preserve"> in supporting the hospital services in the Act. The </w:t>
            </w:r>
            <w:r w:rsidRPr="00926C9A">
              <w:t xml:space="preserve">systems of national </w:t>
            </w:r>
            <w:r w:rsidRPr="00165EC6">
              <w:t>significance</w:t>
            </w:r>
            <w:r w:rsidRPr="00926C9A">
              <w:t xml:space="preserve"> and responding to significant cyber-attacks</w:t>
            </w:r>
            <w:r>
              <w:t xml:space="preserve"> lacks the protection to the hospital services data and payments under the Medicare scheme.</w:t>
            </w:r>
          </w:p>
        </w:tc>
      </w:tr>
      <w:tr w:rsidR="00340241" w:rsidRPr="00374A1D" w14:paraId="06DCF151" w14:textId="77777777" w:rsidTr="7EBB1CEE">
        <w:tc>
          <w:tcPr>
            <w:tcW w:w="843" w:type="pct"/>
            <w:shd w:val="clear" w:color="auto" w:fill="F2F2F2" w:themeFill="background2" w:themeFillShade="F2"/>
          </w:tcPr>
          <w:p w14:paraId="608492B1" w14:textId="77777777" w:rsidR="00045898" w:rsidRPr="000F20CF" w:rsidRDefault="00045898" w:rsidP="00165EC6">
            <w:pPr>
              <w:pStyle w:val="TableBody"/>
              <w:rPr>
                <w:rFonts w:asciiTheme="majorHAnsi" w:hAnsiTheme="majorHAnsi" w:cstheme="majorHAnsi"/>
                <w:sz w:val="21"/>
                <w:szCs w:val="21"/>
                <w:shd w:val="clear" w:color="auto" w:fill="FFFFFF"/>
              </w:rPr>
            </w:pPr>
            <w:r w:rsidRPr="000A6D01">
              <w:rPr>
                <w:rStyle w:val="Emphasis"/>
              </w:rPr>
              <w:t>Health Records Regulations 2012</w:t>
            </w:r>
            <w:r w:rsidRPr="000A6D01">
              <w:rPr>
                <w:rFonts w:asciiTheme="majorHAnsi" w:hAnsiTheme="majorHAnsi" w:cstheme="majorHAnsi"/>
              </w:rPr>
              <w:t> </w:t>
            </w:r>
          </w:p>
        </w:tc>
        <w:tc>
          <w:tcPr>
            <w:tcW w:w="2543" w:type="pct"/>
            <w:shd w:val="clear" w:color="auto" w:fill="auto"/>
          </w:tcPr>
          <w:p w14:paraId="58FC6CC3" w14:textId="77777777" w:rsidR="00045898" w:rsidRPr="003C4EA6" w:rsidRDefault="00045898" w:rsidP="00165EC6">
            <w:pPr>
              <w:pStyle w:val="TableBody"/>
              <w:rPr>
                <w:sz w:val="21"/>
                <w:szCs w:val="21"/>
                <w:shd w:val="clear" w:color="auto" w:fill="FFFFFF"/>
              </w:rPr>
            </w:pPr>
            <w:r w:rsidRPr="003C4EA6">
              <w:t xml:space="preserve">A key objective of the regulations is to strike an appropriate balance between allowing adequate cost recovery for organisations and not setting maximum fees that are prohibitive for applicants. These regulations apply when an individual is exercising a </w:t>
            </w:r>
            <w:r w:rsidRPr="003C4EA6">
              <w:lastRenderedPageBreak/>
              <w:t>statutory right to obtain access to, or requests the transfer of, health information under the Act.</w:t>
            </w:r>
          </w:p>
        </w:tc>
        <w:tc>
          <w:tcPr>
            <w:tcW w:w="1614" w:type="pct"/>
            <w:shd w:val="clear" w:color="auto" w:fill="auto"/>
          </w:tcPr>
          <w:p w14:paraId="66E55439" w14:textId="77777777" w:rsidR="00045898" w:rsidRDefault="00045898" w:rsidP="00165EC6">
            <w:pPr>
              <w:pStyle w:val="TableBody"/>
            </w:pPr>
            <w:r w:rsidRPr="00CF4AEC">
              <w:lastRenderedPageBreak/>
              <w:t xml:space="preserve">While the regulation establishes protocols for obtaining access to health information, it lacks a risk management strategy for cyber security and data protection that </w:t>
            </w:r>
            <w:r w:rsidRPr="00CF4AEC">
              <w:lastRenderedPageBreak/>
              <w:t>would minimise stolen information and disruption.</w:t>
            </w:r>
          </w:p>
        </w:tc>
      </w:tr>
    </w:tbl>
    <w:p w14:paraId="1948CD19" w14:textId="77777777" w:rsidR="000C3D44" w:rsidRDefault="000C3D44" w:rsidP="008E21EF">
      <w:pPr>
        <w:pStyle w:val="AppendixH2"/>
      </w:pPr>
      <w:r>
        <w:lastRenderedPageBreak/>
        <w:t xml:space="preserve">Existing standards, guidelines and regulators for </w:t>
      </w:r>
      <w:r w:rsidR="00BD2B19">
        <w:t>critical hospital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1299"/>
        <w:gridCol w:w="2670"/>
        <w:gridCol w:w="5669"/>
      </w:tblGrid>
      <w:tr w:rsidR="001B5961" w:rsidRPr="000F20CF" w14:paraId="49CD2AB4" w14:textId="77777777" w:rsidTr="005F6229">
        <w:tc>
          <w:tcPr>
            <w:tcW w:w="674" w:type="pct"/>
            <w:shd w:val="clear" w:color="auto" w:fill="034EA2" w:themeFill="accent1"/>
          </w:tcPr>
          <w:p w14:paraId="18F10230" w14:textId="070E15B2" w:rsidR="001B5961" w:rsidRPr="000F20CF" w:rsidRDefault="006B3927" w:rsidP="004600C5">
            <w:pPr>
              <w:pStyle w:val="TableHeading"/>
            </w:pPr>
            <w:r>
              <w:t>Hazard domain</w:t>
            </w:r>
          </w:p>
        </w:tc>
        <w:tc>
          <w:tcPr>
            <w:tcW w:w="1385" w:type="pct"/>
            <w:shd w:val="clear" w:color="auto" w:fill="034EA2" w:themeFill="accent1"/>
          </w:tcPr>
          <w:p w14:paraId="70EDB790" w14:textId="77777777" w:rsidR="001B5961" w:rsidRPr="000F20CF" w:rsidRDefault="001B5961" w:rsidP="004600C5">
            <w:pPr>
              <w:pStyle w:val="TableHeading"/>
            </w:pPr>
            <w:r w:rsidRPr="000F20CF">
              <w:t>Organisations</w:t>
            </w:r>
          </w:p>
        </w:tc>
        <w:tc>
          <w:tcPr>
            <w:tcW w:w="2941" w:type="pct"/>
            <w:shd w:val="clear" w:color="auto" w:fill="034EA2" w:themeFill="accent1"/>
          </w:tcPr>
          <w:p w14:paraId="6AA7FE21" w14:textId="77777777" w:rsidR="001B5961" w:rsidRPr="000F20CF" w:rsidRDefault="001B5961" w:rsidP="004600C5">
            <w:pPr>
              <w:pStyle w:val="TableHeading"/>
            </w:pPr>
            <w:r>
              <w:t>Description</w:t>
            </w:r>
          </w:p>
        </w:tc>
      </w:tr>
      <w:tr w:rsidR="001B5961" w:rsidRPr="002C399D" w14:paraId="1D8EB6FC" w14:textId="77777777" w:rsidTr="7EBB1CEE">
        <w:tc>
          <w:tcPr>
            <w:tcW w:w="674" w:type="pct"/>
            <w:shd w:val="clear" w:color="auto" w:fill="F2F2F2" w:themeFill="background2" w:themeFillShade="F2"/>
          </w:tcPr>
          <w:p w14:paraId="5EEC18C0" w14:textId="77777777" w:rsidR="001B5961" w:rsidRPr="000F20CF" w:rsidRDefault="001B5961" w:rsidP="004600C5">
            <w:pPr>
              <w:pStyle w:val="TableBody"/>
            </w:pPr>
            <w:r w:rsidRPr="000F20CF">
              <w:t>Cyber</w:t>
            </w:r>
          </w:p>
        </w:tc>
        <w:tc>
          <w:tcPr>
            <w:tcW w:w="1385" w:type="pct"/>
            <w:shd w:val="clear" w:color="auto" w:fill="auto"/>
          </w:tcPr>
          <w:p w14:paraId="65D0380F" w14:textId="77777777" w:rsidR="001B5961" w:rsidRPr="000F20CF" w:rsidRDefault="001B5961" w:rsidP="004600C5">
            <w:pPr>
              <w:pStyle w:val="TableBody"/>
            </w:pPr>
            <w:r w:rsidRPr="000F20CF">
              <w:t>The Royal Australian College of Australian Practitioners (RACGP)</w:t>
            </w:r>
          </w:p>
          <w:p w14:paraId="00037749" w14:textId="77777777" w:rsidR="001B5961" w:rsidRDefault="001B5961" w:rsidP="004600C5">
            <w:pPr>
              <w:pStyle w:val="TableBody"/>
            </w:pPr>
            <w:r w:rsidRPr="000F20CF">
              <w:t>Australian Digital Health Agency (ADHA)</w:t>
            </w:r>
          </w:p>
          <w:p w14:paraId="2003EB36" w14:textId="77777777" w:rsidR="001B5961" w:rsidRPr="000F20CF" w:rsidRDefault="001B5961" w:rsidP="004600C5">
            <w:pPr>
              <w:pStyle w:val="TableBody"/>
            </w:pPr>
            <w:r>
              <w:t>National Standards Institute of Technology (NIST)</w:t>
            </w:r>
          </w:p>
        </w:tc>
        <w:tc>
          <w:tcPr>
            <w:tcW w:w="2941" w:type="pct"/>
            <w:shd w:val="clear" w:color="auto" w:fill="auto"/>
          </w:tcPr>
          <w:p w14:paraId="66976017" w14:textId="6EFD8C7F" w:rsidR="001B5961" w:rsidRPr="000F20CF" w:rsidRDefault="001B5961" w:rsidP="004600C5">
            <w:pPr>
              <w:pStyle w:val="TableBody"/>
            </w:pPr>
            <w:r w:rsidRPr="000F20CF">
              <w:t>Key industry and government stakeholders and leverage existing best practice standards for cyber security and safety, from Australia and overseas.</w:t>
            </w:r>
          </w:p>
          <w:p w14:paraId="584E37CF" w14:textId="77777777" w:rsidR="001B5961" w:rsidRPr="000F20CF" w:rsidRDefault="001B5961" w:rsidP="004600C5">
            <w:pPr>
              <w:pStyle w:val="TableBullet"/>
              <w:rPr>
                <w:rFonts w:eastAsia="Calibri"/>
              </w:rPr>
            </w:pPr>
            <w:r w:rsidRPr="000F20CF">
              <w:rPr>
                <w:rFonts w:eastAsia="Calibri"/>
              </w:rPr>
              <w:t>Information Security in General Practice</w:t>
            </w:r>
          </w:p>
          <w:p w14:paraId="4CA12C99" w14:textId="77777777" w:rsidR="00D310E0" w:rsidRDefault="001B5961" w:rsidP="004600C5">
            <w:pPr>
              <w:pStyle w:val="TableBullet"/>
              <w:rPr>
                <w:rFonts w:eastAsia="Calibri"/>
              </w:rPr>
            </w:pPr>
            <w:r w:rsidRPr="000F20CF">
              <w:rPr>
                <w:rFonts w:eastAsia="Calibri"/>
              </w:rPr>
              <w:t>Information security guide for small healthcare businesses</w:t>
            </w:r>
          </w:p>
          <w:p w14:paraId="06664C6D" w14:textId="07972633" w:rsidR="001B5961" w:rsidRPr="00D310E0" w:rsidRDefault="001B5961" w:rsidP="004600C5">
            <w:pPr>
              <w:pStyle w:val="TableBullet"/>
              <w:rPr>
                <w:rFonts w:eastAsia="Calibri"/>
              </w:rPr>
            </w:pPr>
            <w:r>
              <w:t>NIST Cybersecurity Programs</w:t>
            </w:r>
          </w:p>
        </w:tc>
      </w:tr>
      <w:tr w:rsidR="001B5961" w:rsidRPr="002C399D" w14:paraId="1907323D" w14:textId="77777777" w:rsidTr="7EBB1CEE">
        <w:tc>
          <w:tcPr>
            <w:tcW w:w="674" w:type="pct"/>
            <w:shd w:val="clear" w:color="auto" w:fill="F2F2F2" w:themeFill="background2" w:themeFillShade="F2"/>
          </w:tcPr>
          <w:p w14:paraId="070E9CAB" w14:textId="77777777" w:rsidR="001B5961" w:rsidRPr="000F20CF" w:rsidRDefault="001B5961" w:rsidP="004600C5">
            <w:pPr>
              <w:pStyle w:val="TableBody"/>
            </w:pPr>
          </w:p>
        </w:tc>
        <w:tc>
          <w:tcPr>
            <w:tcW w:w="1385" w:type="pct"/>
            <w:shd w:val="clear" w:color="auto" w:fill="auto"/>
          </w:tcPr>
          <w:p w14:paraId="569D0BA9" w14:textId="5B75DAA2" w:rsidR="001B5961" w:rsidRPr="000F20CF" w:rsidRDefault="002F57EB" w:rsidP="004600C5">
            <w:pPr>
              <w:pStyle w:val="TableBody"/>
            </w:pPr>
            <w:r>
              <w:t>International Organization for Standardization</w:t>
            </w:r>
            <w:r w:rsidR="001B5961" w:rsidRPr="000F20CF">
              <w:t xml:space="preserve"> (ISO)</w:t>
            </w:r>
          </w:p>
        </w:tc>
        <w:tc>
          <w:tcPr>
            <w:tcW w:w="2941" w:type="pct"/>
            <w:shd w:val="clear" w:color="auto" w:fill="auto"/>
          </w:tcPr>
          <w:p w14:paraId="4A3CC966" w14:textId="1E4ECF94" w:rsidR="001B5961" w:rsidRPr="000F20CF" w:rsidRDefault="001B5961" w:rsidP="004600C5">
            <w:pPr>
              <w:pStyle w:val="TableBody"/>
            </w:pPr>
            <w:r w:rsidRPr="000F20CF">
              <w:rPr>
                <w:b/>
              </w:rPr>
              <w:t>ISO 27001</w:t>
            </w:r>
            <w:r w:rsidRPr="000F20CF">
              <w:t xml:space="preserve"> provides requirements for information security management systems.</w:t>
            </w:r>
          </w:p>
        </w:tc>
      </w:tr>
    </w:tbl>
    <w:p w14:paraId="73B70595" w14:textId="1F7F717E" w:rsidR="008B41DA" w:rsidRDefault="008B41DA" w:rsidP="00165EC6">
      <w:pPr>
        <w:pStyle w:val="BodyText"/>
      </w:pPr>
    </w:p>
    <w:p w14:paraId="7731C04B" w14:textId="77777777" w:rsidR="008B41DA" w:rsidRDefault="008B41DA">
      <w:pPr>
        <w:spacing w:before="80" w:after="80"/>
        <w:rPr>
          <w:rFonts w:cstheme="majorHAnsi"/>
          <w:sz w:val="22"/>
          <w:szCs w:val="28"/>
        </w:rPr>
      </w:pPr>
      <w:r>
        <w:br w:type="page"/>
      </w:r>
    </w:p>
    <w:p w14:paraId="57096BF5" w14:textId="77777777" w:rsidR="000A6D01" w:rsidRPr="00165EC6" w:rsidRDefault="000A6D01" w:rsidP="00165EC6">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3329"/>
        <w:gridCol w:w="6309"/>
      </w:tblGrid>
      <w:tr w:rsidR="000A6D01" w14:paraId="1413E0D7" w14:textId="77777777" w:rsidTr="004600C5">
        <w:tc>
          <w:tcPr>
            <w:tcW w:w="1727" w:type="pct"/>
            <w:shd w:val="clear" w:color="auto" w:fill="034EA2" w:themeFill="accent1"/>
            <w:hideMark/>
          </w:tcPr>
          <w:p w14:paraId="4F5E270E" w14:textId="77777777" w:rsidR="000A6D01" w:rsidRDefault="000A6D01" w:rsidP="004600C5">
            <w:pPr>
              <w:pStyle w:val="TableHeading"/>
            </w:pPr>
            <w:r>
              <w:t>Jurisdiction</w:t>
            </w:r>
          </w:p>
        </w:tc>
        <w:tc>
          <w:tcPr>
            <w:tcW w:w="3273" w:type="pct"/>
            <w:shd w:val="clear" w:color="auto" w:fill="034EA2" w:themeFill="accent1"/>
            <w:hideMark/>
          </w:tcPr>
          <w:p w14:paraId="6A0D1CB9" w14:textId="77777777" w:rsidR="000A6D01" w:rsidRDefault="000A6D01" w:rsidP="004600C5">
            <w:pPr>
              <w:pStyle w:val="TableHeading"/>
            </w:pPr>
            <w:r>
              <w:t>Regulator/s</w:t>
            </w:r>
          </w:p>
        </w:tc>
      </w:tr>
      <w:tr w:rsidR="000A6D01" w14:paraId="66408211" w14:textId="77777777" w:rsidTr="004600C5">
        <w:tc>
          <w:tcPr>
            <w:tcW w:w="1727" w:type="pct"/>
            <w:hideMark/>
          </w:tcPr>
          <w:p w14:paraId="59A566B4" w14:textId="77777777" w:rsidR="000A6D01" w:rsidRDefault="000A6D01" w:rsidP="004600C5">
            <w:pPr>
              <w:pStyle w:val="TableBody"/>
            </w:pPr>
            <w:r>
              <w:t>Commonwealth</w:t>
            </w:r>
          </w:p>
        </w:tc>
        <w:tc>
          <w:tcPr>
            <w:tcW w:w="3273" w:type="pct"/>
            <w:shd w:val="clear" w:color="auto" w:fill="auto"/>
            <w:hideMark/>
          </w:tcPr>
          <w:p w14:paraId="3961F5FC" w14:textId="77777777" w:rsidR="000A6D01" w:rsidRPr="000F20CF" w:rsidRDefault="000A6D01" w:rsidP="004600C5">
            <w:pPr>
              <w:pStyle w:val="TableBody"/>
              <w:rPr>
                <w:szCs w:val="18"/>
              </w:rPr>
            </w:pPr>
            <w:r w:rsidRPr="000F20CF">
              <w:rPr>
                <w:szCs w:val="18"/>
              </w:rPr>
              <w:t>The Department of Health</w:t>
            </w:r>
          </w:p>
          <w:p w14:paraId="7E26A247" w14:textId="77777777" w:rsidR="000A6D01" w:rsidRPr="000F20CF" w:rsidRDefault="000A6D01" w:rsidP="004600C5">
            <w:pPr>
              <w:pStyle w:val="TableBody"/>
              <w:rPr>
                <w:szCs w:val="18"/>
              </w:rPr>
            </w:pPr>
            <w:r w:rsidRPr="000F20CF">
              <w:rPr>
                <w:szCs w:val="18"/>
              </w:rPr>
              <w:t xml:space="preserve">Therapeutic Goods Administration </w:t>
            </w:r>
          </w:p>
          <w:p w14:paraId="2B2C86EA" w14:textId="77777777" w:rsidR="000A6D01" w:rsidRPr="00F960B4" w:rsidRDefault="000A6D01" w:rsidP="004600C5">
            <w:pPr>
              <w:pStyle w:val="TableBody"/>
              <w:rPr>
                <w:szCs w:val="18"/>
              </w:rPr>
            </w:pPr>
            <w:r w:rsidRPr="000F20CF">
              <w:rPr>
                <w:szCs w:val="18"/>
              </w:rPr>
              <w:t>Private Health Insurance Ombudsman</w:t>
            </w:r>
          </w:p>
        </w:tc>
      </w:tr>
      <w:tr w:rsidR="000A6D01" w14:paraId="09158233" w14:textId="77777777" w:rsidTr="004600C5">
        <w:tc>
          <w:tcPr>
            <w:tcW w:w="1727" w:type="pct"/>
            <w:hideMark/>
          </w:tcPr>
          <w:p w14:paraId="53CAB5D1" w14:textId="77777777" w:rsidR="000A6D01" w:rsidRDefault="000A6D01" w:rsidP="004600C5">
            <w:pPr>
              <w:pStyle w:val="TableBody"/>
            </w:pPr>
            <w:r>
              <w:t>Australian Capital Territory</w:t>
            </w:r>
          </w:p>
        </w:tc>
        <w:tc>
          <w:tcPr>
            <w:tcW w:w="3273" w:type="pct"/>
            <w:shd w:val="clear" w:color="auto" w:fill="auto"/>
            <w:hideMark/>
          </w:tcPr>
          <w:p w14:paraId="22AE057E" w14:textId="77777777" w:rsidR="000A6D01" w:rsidRPr="00F960B4" w:rsidRDefault="000A6D01" w:rsidP="004600C5">
            <w:pPr>
              <w:pStyle w:val="TableBody"/>
              <w:rPr>
                <w:szCs w:val="18"/>
              </w:rPr>
            </w:pPr>
            <w:r w:rsidRPr="000F20CF">
              <w:rPr>
                <w:szCs w:val="18"/>
              </w:rPr>
              <w:t>ACT Health</w:t>
            </w:r>
          </w:p>
        </w:tc>
      </w:tr>
      <w:tr w:rsidR="000A6D01" w14:paraId="506B167B" w14:textId="77777777" w:rsidTr="004600C5">
        <w:tc>
          <w:tcPr>
            <w:tcW w:w="1727" w:type="pct"/>
            <w:hideMark/>
          </w:tcPr>
          <w:p w14:paraId="1930A6B0" w14:textId="77777777" w:rsidR="000A6D01" w:rsidRDefault="000A6D01" w:rsidP="004600C5">
            <w:pPr>
              <w:pStyle w:val="TableBody"/>
            </w:pPr>
            <w:r>
              <w:t>New South Wales</w:t>
            </w:r>
          </w:p>
        </w:tc>
        <w:tc>
          <w:tcPr>
            <w:tcW w:w="3273" w:type="pct"/>
            <w:shd w:val="clear" w:color="auto" w:fill="auto"/>
            <w:hideMark/>
          </w:tcPr>
          <w:p w14:paraId="7A775E57" w14:textId="77777777" w:rsidR="000A6D01" w:rsidRPr="00F960B4" w:rsidRDefault="000A6D01" w:rsidP="004600C5">
            <w:pPr>
              <w:pStyle w:val="TableBody"/>
              <w:rPr>
                <w:szCs w:val="18"/>
              </w:rPr>
            </w:pPr>
            <w:r w:rsidRPr="000F20CF">
              <w:rPr>
                <w:szCs w:val="18"/>
              </w:rPr>
              <w:t>NSW Health</w:t>
            </w:r>
          </w:p>
        </w:tc>
      </w:tr>
      <w:tr w:rsidR="000A6D01" w14:paraId="54C067FF" w14:textId="77777777" w:rsidTr="004600C5">
        <w:tc>
          <w:tcPr>
            <w:tcW w:w="1727" w:type="pct"/>
            <w:hideMark/>
          </w:tcPr>
          <w:p w14:paraId="374A55A9" w14:textId="77777777" w:rsidR="000A6D01" w:rsidRDefault="000A6D01" w:rsidP="004600C5">
            <w:pPr>
              <w:pStyle w:val="TableBody"/>
            </w:pPr>
            <w:r>
              <w:t>Northern Territory</w:t>
            </w:r>
          </w:p>
        </w:tc>
        <w:tc>
          <w:tcPr>
            <w:tcW w:w="3273" w:type="pct"/>
            <w:shd w:val="clear" w:color="auto" w:fill="auto"/>
            <w:hideMark/>
          </w:tcPr>
          <w:p w14:paraId="39C4FA3A" w14:textId="77777777" w:rsidR="000A6D01" w:rsidRPr="00F960B4" w:rsidRDefault="000A6D01" w:rsidP="004600C5">
            <w:pPr>
              <w:pStyle w:val="TableBody"/>
              <w:rPr>
                <w:szCs w:val="18"/>
              </w:rPr>
            </w:pPr>
            <w:r w:rsidRPr="000F20CF">
              <w:rPr>
                <w:szCs w:val="18"/>
              </w:rPr>
              <w:t>NT Health</w:t>
            </w:r>
          </w:p>
        </w:tc>
      </w:tr>
      <w:tr w:rsidR="000A6D01" w14:paraId="2EAE723D" w14:textId="77777777" w:rsidTr="004600C5">
        <w:tc>
          <w:tcPr>
            <w:tcW w:w="1727" w:type="pct"/>
            <w:hideMark/>
          </w:tcPr>
          <w:p w14:paraId="7462952C" w14:textId="77777777" w:rsidR="000A6D01" w:rsidRDefault="000A6D01" w:rsidP="004600C5">
            <w:pPr>
              <w:pStyle w:val="TableBody"/>
            </w:pPr>
            <w:r>
              <w:t>Queensland</w:t>
            </w:r>
          </w:p>
        </w:tc>
        <w:tc>
          <w:tcPr>
            <w:tcW w:w="3273" w:type="pct"/>
            <w:shd w:val="clear" w:color="auto" w:fill="auto"/>
            <w:hideMark/>
          </w:tcPr>
          <w:p w14:paraId="0501BCA3" w14:textId="77777777" w:rsidR="000A6D01" w:rsidRPr="00F960B4" w:rsidRDefault="000A6D01" w:rsidP="004600C5">
            <w:pPr>
              <w:pStyle w:val="TableBody"/>
              <w:rPr>
                <w:szCs w:val="18"/>
              </w:rPr>
            </w:pPr>
            <w:r w:rsidRPr="000F20CF">
              <w:rPr>
                <w:szCs w:val="18"/>
              </w:rPr>
              <w:t>QLD Health</w:t>
            </w:r>
          </w:p>
        </w:tc>
      </w:tr>
      <w:tr w:rsidR="000A6D01" w14:paraId="5A71D223" w14:textId="77777777" w:rsidTr="004600C5">
        <w:tc>
          <w:tcPr>
            <w:tcW w:w="1727" w:type="pct"/>
            <w:hideMark/>
          </w:tcPr>
          <w:p w14:paraId="75614A66" w14:textId="77777777" w:rsidR="000A6D01" w:rsidRDefault="000A6D01" w:rsidP="004600C5">
            <w:pPr>
              <w:pStyle w:val="TableBody"/>
            </w:pPr>
            <w:r>
              <w:t>South Australia</w:t>
            </w:r>
          </w:p>
        </w:tc>
        <w:tc>
          <w:tcPr>
            <w:tcW w:w="3273" w:type="pct"/>
            <w:shd w:val="clear" w:color="auto" w:fill="auto"/>
            <w:hideMark/>
          </w:tcPr>
          <w:p w14:paraId="30702CC2" w14:textId="77777777" w:rsidR="000A6D01" w:rsidRPr="00F960B4" w:rsidRDefault="000A6D01" w:rsidP="004600C5">
            <w:pPr>
              <w:pStyle w:val="TableBody"/>
              <w:rPr>
                <w:szCs w:val="18"/>
              </w:rPr>
            </w:pPr>
            <w:r w:rsidRPr="000F20CF">
              <w:rPr>
                <w:szCs w:val="18"/>
              </w:rPr>
              <w:t>SA Health</w:t>
            </w:r>
          </w:p>
        </w:tc>
      </w:tr>
      <w:tr w:rsidR="000A6D01" w14:paraId="0E6C512B" w14:textId="77777777" w:rsidTr="004600C5">
        <w:tc>
          <w:tcPr>
            <w:tcW w:w="1727" w:type="pct"/>
            <w:hideMark/>
          </w:tcPr>
          <w:p w14:paraId="5B976360" w14:textId="77777777" w:rsidR="000A6D01" w:rsidRDefault="000A6D01" w:rsidP="004600C5">
            <w:pPr>
              <w:pStyle w:val="TableBody"/>
            </w:pPr>
            <w:r>
              <w:t>Tasmania</w:t>
            </w:r>
          </w:p>
        </w:tc>
        <w:tc>
          <w:tcPr>
            <w:tcW w:w="3273" w:type="pct"/>
            <w:shd w:val="clear" w:color="auto" w:fill="auto"/>
            <w:hideMark/>
          </w:tcPr>
          <w:p w14:paraId="59CC51D5" w14:textId="77777777" w:rsidR="000A6D01" w:rsidRPr="00F960B4" w:rsidRDefault="000A6D01" w:rsidP="004600C5">
            <w:pPr>
              <w:pStyle w:val="TableBody"/>
              <w:rPr>
                <w:szCs w:val="18"/>
              </w:rPr>
            </w:pPr>
            <w:r w:rsidRPr="000F20CF">
              <w:rPr>
                <w:szCs w:val="18"/>
              </w:rPr>
              <w:t>Tasmanian Department of Health</w:t>
            </w:r>
          </w:p>
        </w:tc>
      </w:tr>
      <w:tr w:rsidR="000A6D01" w14:paraId="7BCB5A95" w14:textId="77777777" w:rsidTr="004600C5">
        <w:tc>
          <w:tcPr>
            <w:tcW w:w="1727" w:type="pct"/>
            <w:hideMark/>
          </w:tcPr>
          <w:p w14:paraId="6C728A9A" w14:textId="77777777" w:rsidR="000A6D01" w:rsidRDefault="000A6D01" w:rsidP="004600C5">
            <w:pPr>
              <w:pStyle w:val="TableBody"/>
            </w:pPr>
            <w:r>
              <w:t>Victoria</w:t>
            </w:r>
          </w:p>
        </w:tc>
        <w:tc>
          <w:tcPr>
            <w:tcW w:w="3273" w:type="pct"/>
            <w:shd w:val="clear" w:color="auto" w:fill="auto"/>
            <w:hideMark/>
          </w:tcPr>
          <w:p w14:paraId="013C27B1" w14:textId="77777777" w:rsidR="000A6D01" w:rsidRPr="00F960B4" w:rsidRDefault="000A6D01" w:rsidP="004600C5">
            <w:pPr>
              <w:pStyle w:val="TableBody"/>
              <w:rPr>
                <w:szCs w:val="18"/>
              </w:rPr>
            </w:pPr>
            <w:r w:rsidRPr="000F20CF">
              <w:rPr>
                <w:szCs w:val="18"/>
              </w:rPr>
              <w:t>Victoria Government Department of Health</w:t>
            </w:r>
          </w:p>
        </w:tc>
      </w:tr>
      <w:tr w:rsidR="000A6D01" w14:paraId="4D16BBFE" w14:textId="77777777" w:rsidTr="004600C5">
        <w:tc>
          <w:tcPr>
            <w:tcW w:w="1727" w:type="pct"/>
            <w:hideMark/>
          </w:tcPr>
          <w:p w14:paraId="435F098E" w14:textId="77777777" w:rsidR="000A6D01" w:rsidRDefault="000A6D01" w:rsidP="004600C5">
            <w:pPr>
              <w:pStyle w:val="TableBody"/>
            </w:pPr>
            <w:r>
              <w:t>Western Australia</w:t>
            </w:r>
          </w:p>
        </w:tc>
        <w:tc>
          <w:tcPr>
            <w:tcW w:w="3273" w:type="pct"/>
            <w:shd w:val="clear" w:color="auto" w:fill="auto"/>
            <w:hideMark/>
          </w:tcPr>
          <w:p w14:paraId="2FFE6288" w14:textId="77777777" w:rsidR="000A6D01" w:rsidRPr="00F960B4" w:rsidRDefault="000A6D01" w:rsidP="004600C5">
            <w:pPr>
              <w:pStyle w:val="TableBody"/>
              <w:rPr>
                <w:szCs w:val="18"/>
              </w:rPr>
            </w:pPr>
            <w:r w:rsidRPr="000F20CF">
              <w:rPr>
                <w:szCs w:val="18"/>
              </w:rPr>
              <w:t>Government of Western Australia Department of Health</w:t>
            </w:r>
          </w:p>
        </w:tc>
      </w:tr>
    </w:tbl>
    <w:p w14:paraId="6281192F" w14:textId="77777777" w:rsidR="000C3D44" w:rsidRDefault="000C3D44" w:rsidP="008B41DA">
      <w:pPr>
        <w:pStyle w:val="AppendixH2"/>
      </w:pPr>
      <w:r>
        <w:t>Additional information on consultation</w:t>
      </w:r>
    </w:p>
    <w:p w14:paraId="0DB00980" w14:textId="77777777" w:rsidR="00760959" w:rsidRPr="003645A2" w:rsidRDefault="00760959" w:rsidP="008B41DA">
      <w:pPr>
        <w:pStyle w:val="Caption"/>
      </w:pPr>
      <w:r w:rsidRPr="003645A2">
        <w:t>Overview of stakeholders consulted</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20" w:firstRow="1" w:lastRow="0" w:firstColumn="0" w:lastColumn="0" w:noHBand="0" w:noVBand="1"/>
      </w:tblPr>
      <w:tblGrid>
        <w:gridCol w:w="4859"/>
        <w:gridCol w:w="4779"/>
      </w:tblGrid>
      <w:tr w:rsidR="00760959" w:rsidRPr="00BE7AA7" w14:paraId="214D90DC" w14:textId="77777777" w:rsidTr="008B41DA">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35693CC8" w14:textId="77777777" w:rsidR="00760959" w:rsidRPr="008B41DA" w:rsidRDefault="00760959" w:rsidP="008B41DA">
            <w:pPr>
              <w:pStyle w:val="TableHeading"/>
              <w:rPr>
                <w:b/>
                <w:bCs/>
              </w:rPr>
            </w:pPr>
            <w:r w:rsidRPr="008B41DA">
              <w:rPr>
                <w:b/>
                <w:bCs/>
              </w:rPr>
              <w:t xml:space="preserve">Stakeholders Consulted </w:t>
            </w:r>
          </w:p>
        </w:tc>
      </w:tr>
      <w:tr w:rsidR="00760959" w:rsidRPr="00BE7AA7" w14:paraId="131BE2B0" w14:textId="77777777" w:rsidTr="008B41DA">
        <w:trPr>
          <w:cnfStyle w:val="000000100000" w:firstRow="0" w:lastRow="0" w:firstColumn="0" w:lastColumn="0" w:oddVBand="0" w:evenVBand="0" w:oddHBand="1" w:evenHBand="0" w:firstRowFirstColumn="0" w:firstRowLastColumn="0" w:lastRowFirstColumn="0" w:lastRowLastColumn="0"/>
          <w:trHeight w:val="741"/>
        </w:trPr>
        <w:tc>
          <w:tcPr>
            <w:tcW w:w="2521" w:type="pct"/>
          </w:tcPr>
          <w:p w14:paraId="37BB1759" w14:textId="77777777" w:rsidR="00760959" w:rsidRPr="008A4846" w:rsidRDefault="00760959" w:rsidP="008B41DA">
            <w:pPr>
              <w:pStyle w:val="TableBullet"/>
              <w:rPr>
                <w:rFonts w:eastAsia="Calibri"/>
                <w:b/>
              </w:rPr>
            </w:pPr>
            <w:r w:rsidRPr="008A4846">
              <w:rPr>
                <w:rFonts w:eastAsia="Calibri"/>
              </w:rPr>
              <w:t>Biogen</w:t>
            </w:r>
          </w:p>
          <w:p w14:paraId="1F7B797E" w14:textId="77777777" w:rsidR="00760959" w:rsidRPr="008A4846" w:rsidRDefault="00760959" w:rsidP="008B41DA">
            <w:pPr>
              <w:pStyle w:val="TableBullet"/>
              <w:rPr>
                <w:rFonts w:eastAsia="Calibri"/>
                <w:b/>
              </w:rPr>
            </w:pPr>
            <w:r w:rsidRPr="008A4846">
              <w:rPr>
                <w:rFonts w:eastAsia="Calibri"/>
              </w:rPr>
              <w:t>CSL Limited</w:t>
            </w:r>
          </w:p>
          <w:p w14:paraId="5EF0872D" w14:textId="77777777" w:rsidR="00760959" w:rsidRPr="008A4846" w:rsidRDefault="00760959" w:rsidP="008B41DA">
            <w:pPr>
              <w:pStyle w:val="TableBullet"/>
              <w:rPr>
                <w:rFonts w:eastAsia="Calibri"/>
                <w:b/>
              </w:rPr>
            </w:pPr>
            <w:r w:rsidRPr="008A4846">
              <w:rPr>
                <w:rFonts w:eastAsia="Calibri"/>
              </w:rPr>
              <w:t>Johnson &amp; Johnson</w:t>
            </w:r>
          </w:p>
          <w:p w14:paraId="4C7EB039" w14:textId="77777777" w:rsidR="00760959" w:rsidRPr="008A4846" w:rsidRDefault="00760959" w:rsidP="008B41DA">
            <w:pPr>
              <w:pStyle w:val="TableBullet"/>
              <w:rPr>
                <w:rFonts w:eastAsia="Calibri"/>
                <w:b/>
              </w:rPr>
            </w:pPr>
            <w:r w:rsidRPr="008A4846">
              <w:rPr>
                <w:rFonts w:eastAsia="Calibri"/>
              </w:rPr>
              <w:t>Roche Product Pty Ltd</w:t>
            </w:r>
          </w:p>
          <w:p w14:paraId="333B639C" w14:textId="77777777" w:rsidR="00760959" w:rsidRPr="008A4846" w:rsidRDefault="00760959" w:rsidP="008B41DA">
            <w:pPr>
              <w:pStyle w:val="TableBullet"/>
              <w:rPr>
                <w:rFonts w:eastAsia="Calibri"/>
                <w:b/>
              </w:rPr>
            </w:pPr>
            <w:r w:rsidRPr="008A4846">
              <w:rPr>
                <w:rFonts w:eastAsia="Calibri"/>
              </w:rPr>
              <w:t>Ability Centre Australasia Limited</w:t>
            </w:r>
          </w:p>
          <w:p w14:paraId="0869168A" w14:textId="77777777" w:rsidR="00760959" w:rsidRPr="008A4846" w:rsidRDefault="00760959" w:rsidP="008B41DA">
            <w:pPr>
              <w:pStyle w:val="TableBullet"/>
              <w:rPr>
                <w:rFonts w:eastAsia="Calibri"/>
                <w:b/>
              </w:rPr>
            </w:pPr>
            <w:r w:rsidRPr="008A4846">
              <w:rPr>
                <w:rFonts w:eastAsia="Calibri"/>
              </w:rPr>
              <w:t>National Blood Authority</w:t>
            </w:r>
          </w:p>
          <w:p w14:paraId="42926ED2" w14:textId="77777777" w:rsidR="00760959" w:rsidRPr="008A4846" w:rsidRDefault="00760959" w:rsidP="008B41DA">
            <w:pPr>
              <w:pStyle w:val="TableBullet"/>
              <w:rPr>
                <w:rFonts w:eastAsia="Calibri"/>
                <w:b/>
              </w:rPr>
            </w:pPr>
            <w:r w:rsidRPr="008A4846">
              <w:rPr>
                <w:rFonts w:eastAsia="Calibri"/>
              </w:rPr>
              <w:t>Therapeutic Goods Administration</w:t>
            </w:r>
          </w:p>
          <w:p w14:paraId="06B23B18" w14:textId="77777777" w:rsidR="00760959" w:rsidRPr="008A4846" w:rsidRDefault="00760959" w:rsidP="008B41DA">
            <w:pPr>
              <w:pStyle w:val="TableBullet"/>
              <w:rPr>
                <w:rFonts w:eastAsia="Calibri"/>
                <w:b/>
              </w:rPr>
            </w:pPr>
            <w:r w:rsidRPr="008A4846">
              <w:rPr>
                <w:rFonts w:eastAsia="Calibri"/>
              </w:rPr>
              <w:t>Health Direct</w:t>
            </w:r>
          </w:p>
          <w:p w14:paraId="7E91C229" w14:textId="77777777" w:rsidR="00760959" w:rsidRPr="008A4846" w:rsidRDefault="00760959" w:rsidP="008B41DA">
            <w:pPr>
              <w:pStyle w:val="TableBullet"/>
              <w:rPr>
                <w:rFonts w:eastAsia="Calibri"/>
                <w:b/>
              </w:rPr>
            </w:pPr>
            <w:r w:rsidRPr="008A4846">
              <w:rPr>
                <w:rFonts w:eastAsia="Calibri"/>
              </w:rPr>
              <w:t>Medicines Australia</w:t>
            </w:r>
          </w:p>
          <w:p w14:paraId="38D292CF" w14:textId="77777777" w:rsidR="00760959" w:rsidRPr="008A4846" w:rsidRDefault="00760959" w:rsidP="008B41DA">
            <w:pPr>
              <w:pStyle w:val="TableBullet"/>
              <w:rPr>
                <w:rFonts w:eastAsia="Calibri"/>
                <w:b/>
              </w:rPr>
            </w:pPr>
            <w:r w:rsidRPr="008A4846">
              <w:rPr>
                <w:rFonts w:eastAsia="Calibri"/>
              </w:rPr>
              <w:t>Epworth HealthCare</w:t>
            </w:r>
          </w:p>
          <w:p w14:paraId="0156E90B" w14:textId="77777777" w:rsidR="00760959" w:rsidRPr="008A4846" w:rsidRDefault="00760959" w:rsidP="008B41DA">
            <w:pPr>
              <w:pStyle w:val="TableBullet"/>
              <w:rPr>
                <w:rFonts w:eastAsia="Calibri"/>
                <w:b/>
              </w:rPr>
            </w:pPr>
            <w:r w:rsidRPr="008A4846">
              <w:rPr>
                <w:rFonts w:eastAsia="Calibri"/>
              </w:rPr>
              <w:t>Icon Group</w:t>
            </w:r>
          </w:p>
          <w:p w14:paraId="7E36F64D" w14:textId="77777777" w:rsidR="00760959" w:rsidRPr="008A4846" w:rsidRDefault="00760959" w:rsidP="008B41DA">
            <w:pPr>
              <w:pStyle w:val="TableBullet"/>
              <w:rPr>
                <w:rFonts w:eastAsia="Calibri"/>
                <w:b/>
              </w:rPr>
            </w:pPr>
            <w:r w:rsidRPr="008A4846">
              <w:rPr>
                <w:rFonts w:eastAsia="Calibri"/>
              </w:rPr>
              <w:t>Monash Health</w:t>
            </w:r>
          </w:p>
          <w:p w14:paraId="1D93E7BB" w14:textId="77777777" w:rsidR="00760959" w:rsidRPr="008A4846" w:rsidRDefault="00760959" w:rsidP="008B41DA">
            <w:pPr>
              <w:pStyle w:val="TableBullet"/>
              <w:rPr>
                <w:rFonts w:eastAsia="Calibri"/>
                <w:b/>
              </w:rPr>
            </w:pPr>
            <w:r w:rsidRPr="008A4846">
              <w:rPr>
                <w:rFonts w:eastAsia="Calibri"/>
              </w:rPr>
              <w:t>Ramsay Health Care</w:t>
            </w:r>
          </w:p>
          <w:p w14:paraId="4E2DA469" w14:textId="77777777" w:rsidR="00760959" w:rsidRPr="008A4846" w:rsidRDefault="00760959" w:rsidP="008B41DA">
            <w:pPr>
              <w:pStyle w:val="TableBullet"/>
              <w:rPr>
                <w:rFonts w:eastAsia="Calibri"/>
                <w:b/>
              </w:rPr>
            </w:pPr>
            <w:r w:rsidRPr="008A4846">
              <w:rPr>
                <w:rFonts w:eastAsia="Calibri"/>
              </w:rPr>
              <w:t>Rehab Management</w:t>
            </w:r>
          </w:p>
          <w:p w14:paraId="480921D1" w14:textId="77777777" w:rsidR="00760959" w:rsidRPr="008A4846" w:rsidRDefault="00760959" w:rsidP="008B41DA">
            <w:pPr>
              <w:pStyle w:val="TableBullet"/>
              <w:rPr>
                <w:rFonts w:eastAsia="Calibri"/>
                <w:b/>
              </w:rPr>
            </w:pPr>
            <w:r w:rsidRPr="008A4846">
              <w:rPr>
                <w:rFonts w:eastAsia="Calibri"/>
              </w:rPr>
              <w:t>Sigma Healthcare</w:t>
            </w:r>
          </w:p>
          <w:p w14:paraId="21632851" w14:textId="77777777" w:rsidR="00760959" w:rsidRPr="008A4846" w:rsidRDefault="00760959" w:rsidP="008B41DA">
            <w:pPr>
              <w:pStyle w:val="TableBullet"/>
              <w:rPr>
                <w:rFonts w:eastAsia="Calibri"/>
                <w:b/>
              </w:rPr>
            </w:pPr>
            <w:r w:rsidRPr="008A4846">
              <w:rPr>
                <w:rFonts w:eastAsia="Calibri"/>
              </w:rPr>
              <w:t>St John of God Health Care</w:t>
            </w:r>
          </w:p>
          <w:p w14:paraId="740E79A6" w14:textId="77777777" w:rsidR="00760959" w:rsidRPr="008A4846" w:rsidRDefault="00760959" w:rsidP="008B41DA">
            <w:pPr>
              <w:pStyle w:val="TableBullet"/>
              <w:rPr>
                <w:rFonts w:eastAsia="Calibri"/>
                <w:b/>
              </w:rPr>
            </w:pPr>
            <w:r w:rsidRPr="008A4846">
              <w:rPr>
                <w:rFonts w:eastAsia="Calibri"/>
              </w:rPr>
              <w:t>Telstra Health</w:t>
            </w:r>
          </w:p>
          <w:p w14:paraId="6A5DC76B" w14:textId="77777777" w:rsidR="00760959" w:rsidRPr="008A4846" w:rsidRDefault="00760959" w:rsidP="008B41DA">
            <w:pPr>
              <w:pStyle w:val="TableBullet"/>
              <w:rPr>
                <w:rFonts w:eastAsia="Calibri"/>
                <w:b/>
              </w:rPr>
            </w:pPr>
            <w:r w:rsidRPr="008A4846">
              <w:rPr>
                <w:rFonts w:eastAsia="Calibri"/>
              </w:rPr>
              <w:t>UnitingCare</w:t>
            </w:r>
          </w:p>
          <w:p w14:paraId="2AB8464A" w14:textId="77777777" w:rsidR="00760959" w:rsidRPr="008A4846" w:rsidRDefault="00760959" w:rsidP="008B41DA">
            <w:pPr>
              <w:pStyle w:val="TableBullet"/>
              <w:rPr>
                <w:rFonts w:eastAsia="Calibri"/>
                <w:b/>
              </w:rPr>
            </w:pPr>
            <w:r w:rsidRPr="008A4846">
              <w:rPr>
                <w:rFonts w:eastAsia="Calibri"/>
              </w:rPr>
              <w:t>Monash Health</w:t>
            </w:r>
          </w:p>
          <w:p w14:paraId="7A6D465E" w14:textId="77777777" w:rsidR="00760959" w:rsidRPr="008A4846" w:rsidRDefault="00760959" w:rsidP="008B41DA">
            <w:pPr>
              <w:pStyle w:val="TableBullet"/>
              <w:rPr>
                <w:rFonts w:eastAsia="Calibri"/>
                <w:b/>
              </w:rPr>
            </w:pPr>
            <w:r w:rsidRPr="008A4846">
              <w:rPr>
                <w:rFonts w:eastAsia="Calibri"/>
              </w:rPr>
              <w:t>Royal Flying Doctor Service</w:t>
            </w:r>
          </w:p>
          <w:p w14:paraId="4D317AE9" w14:textId="77777777" w:rsidR="00760959" w:rsidRPr="008A4846" w:rsidRDefault="00760959" w:rsidP="008B41DA">
            <w:pPr>
              <w:pStyle w:val="TableBullet"/>
              <w:rPr>
                <w:rFonts w:eastAsia="Calibri"/>
                <w:b/>
              </w:rPr>
            </w:pPr>
            <w:r w:rsidRPr="008A4846">
              <w:rPr>
                <w:rFonts w:eastAsia="Calibri"/>
              </w:rPr>
              <w:t>Australian &amp; New Zealand Burn Association</w:t>
            </w:r>
          </w:p>
          <w:p w14:paraId="7E4512BC" w14:textId="77777777" w:rsidR="00760959" w:rsidRPr="008A4846" w:rsidRDefault="00760959" w:rsidP="008B41DA">
            <w:pPr>
              <w:pStyle w:val="TableBullet"/>
              <w:rPr>
                <w:rFonts w:eastAsia="Calibri"/>
                <w:b/>
              </w:rPr>
            </w:pPr>
            <w:r w:rsidRPr="008A4846">
              <w:rPr>
                <w:rFonts w:eastAsia="Calibri"/>
              </w:rPr>
              <w:t>Australian Medical Association</w:t>
            </w:r>
          </w:p>
          <w:p w14:paraId="3AECAB30" w14:textId="77777777" w:rsidR="00760959" w:rsidRPr="008A4846" w:rsidRDefault="00760959" w:rsidP="008B41DA">
            <w:pPr>
              <w:pStyle w:val="TableBullet"/>
              <w:rPr>
                <w:rFonts w:eastAsia="Calibri"/>
                <w:b/>
              </w:rPr>
            </w:pPr>
            <w:r w:rsidRPr="008A4846">
              <w:rPr>
                <w:rFonts w:eastAsia="Calibri"/>
              </w:rPr>
              <w:t>Australian Private Hospitals Association</w:t>
            </w:r>
          </w:p>
          <w:p w14:paraId="247011B4" w14:textId="77777777" w:rsidR="00760959" w:rsidRPr="008A4846" w:rsidRDefault="00760959" w:rsidP="008B41DA">
            <w:pPr>
              <w:pStyle w:val="TableBullet"/>
              <w:rPr>
                <w:rFonts w:eastAsia="Calibri"/>
                <w:b/>
              </w:rPr>
            </w:pPr>
            <w:r w:rsidRPr="008A4846">
              <w:rPr>
                <w:rFonts w:eastAsia="Calibri"/>
              </w:rPr>
              <w:t>Australian Red Cross Blood Service</w:t>
            </w:r>
          </w:p>
          <w:p w14:paraId="7A63E1E1" w14:textId="77777777" w:rsidR="00760959" w:rsidRPr="008A4846" w:rsidRDefault="00760959" w:rsidP="008B41DA">
            <w:pPr>
              <w:pStyle w:val="TableBullet"/>
              <w:rPr>
                <w:rFonts w:eastAsia="Calibri"/>
                <w:b/>
              </w:rPr>
            </w:pPr>
            <w:r w:rsidRPr="008A4846">
              <w:rPr>
                <w:rFonts w:eastAsia="Calibri"/>
              </w:rPr>
              <w:t>Consumer Healthcare Products Australia</w:t>
            </w:r>
          </w:p>
          <w:p w14:paraId="64DD7D7B" w14:textId="77777777" w:rsidR="00760959" w:rsidRPr="008A4846" w:rsidRDefault="00760959" w:rsidP="008B41DA">
            <w:pPr>
              <w:pStyle w:val="TableBullet"/>
              <w:rPr>
                <w:rFonts w:eastAsia="Calibri"/>
                <w:b/>
              </w:rPr>
            </w:pPr>
            <w:r w:rsidRPr="008A4846">
              <w:rPr>
                <w:rFonts w:eastAsia="Calibri"/>
              </w:rPr>
              <w:lastRenderedPageBreak/>
              <w:t>Council of Ambulance Authorities</w:t>
            </w:r>
          </w:p>
          <w:p w14:paraId="2023C48F" w14:textId="77777777" w:rsidR="00760959" w:rsidRPr="008A4846" w:rsidRDefault="00760959" w:rsidP="008B41DA">
            <w:pPr>
              <w:pStyle w:val="TableBullet"/>
              <w:rPr>
                <w:rFonts w:eastAsia="Calibri"/>
                <w:b/>
              </w:rPr>
            </w:pPr>
            <w:r w:rsidRPr="008A4846">
              <w:rPr>
                <w:rFonts w:eastAsia="Calibri"/>
              </w:rPr>
              <w:t>Medical Technology Association of Australia</w:t>
            </w:r>
          </w:p>
          <w:p w14:paraId="17385281" w14:textId="77777777" w:rsidR="00760959" w:rsidRPr="008A4846" w:rsidRDefault="00760959" w:rsidP="008B41DA">
            <w:pPr>
              <w:pStyle w:val="TableBullet"/>
              <w:rPr>
                <w:rFonts w:eastAsia="Calibri"/>
                <w:b/>
              </w:rPr>
            </w:pPr>
            <w:r w:rsidRPr="008A4846">
              <w:rPr>
                <w:rFonts w:eastAsia="Calibri"/>
              </w:rPr>
              <w:t>Medicines Australia</w:t>
            </w:r>
          </w:p>
          <w:p w14:paraId="66C1ED50" w14:textId="77777777" w:rsidR="00760959" w:rsidRPr="008A4846" w:rsidRDefault="00760959" w:rsidP="008B41DA">
            <w:pPr>
              <w:pStyle w:val="TableBullet"/>
              <w:rPr>
                <w:rFonts w:eastAsia="Calibri"/>
                <w:b/>
              </w:rPr>
            </w:pPr>
            <w:r w:rsidRPr="008A4846">
              <w:rPr>
                <w:rFonts w:eastAsia="Calibri"/>
              </w:rPr>
              <w:t>National Pharmaceutical Services Association</w:t>
            </w:r>
          </w:p>
          <w:p w14:paraId="38B9F6B9" w14:textId="77777777" w:rsidR="00760959" w:rsidRPr="008A4846" w:rsidRDefault="00760959" w:rsidP="008B41DA">
            <w:pPr>
              <w:pStyle w:val="TableBullet"/>
              <w:rPr>
                <w:rFonts w:eastAsia="Calibri"/>
                <w:b/>
              </w:rPr>
            </w:pPr>
            <w:r w:rsidRPr="008A4846">
              <w:rPr>
                <w:rFonts w:eastAsia="Calibri"/>
              </w:rPr>
              <w:t>Merck Sharp &amp; Dohme</w:t>
            </w:r>
          </w:p>
          <w:p w14:paraId="513AD6D2" w14:textId="77777777" w:rsidR="00760959" w:rsidRPr="008A4846" w:rsidRDefault="00760959" w:rsidP="008B41DA">
            <w:pPr>
              <w:pStyle w:val="TableBullet"/>
              <w:rPr>
                <w:rFonts w:eastAsia="Calibri"/>
                <w:b/>
              </w:rPr>
            </w:pPr>
            <w:r w:rsidRPr="008A4846">
              <w:rPr>
                <w:rFonts w:eastAsia="Calibri"/>
              </w:rPr>
              <w:t>Healthscope</w:t>
            </w:r>
          </w:p>
          <w:p w14:paraId="5950184B" w14:textId="77777777" w:rsidR="00760959" w:rsidRPr="008A4846" w:rsidRDefault="00760959" w:rsidP="008B41DA">
            <w:pPr>
              <w:pStyle w:val="TableBullet"/>
              <w:rPr>
                <w:rFonts w:eastAsia="Calibri"/>
                <w:b/>
              </w:rPr>
            </w:pPr>
            <w:r w:rsidRPr="008A4846">
              <w:rPr>
                <w:rFonts w:eastAsia="Calibri"/>
              </w:rPr>
              <w:t>Ambulance Victoria</w:t>
            </w:r>
          </w:p>
          <w:p w14:paraId="70C0E590" w14:textId="77777777" w:rsidR="00760959" w:rsidRPr="008A4846" w:rsidRDefault="00760959" w:rsidP="008B41DA">
            <w:pPr>
              <w:pStyle w:val="TableBullet"/>
              <w:rPr>
                <w:rFonts w:eastAsia="Calibri"/>
                <w:b/>
              </w:rPr>
            </w:pPr>
            <w:r w:rsidRPr="008A4846">
              <w:rPr>
                <w:rFonts w:eastAsia="Calibri"/>
              </w:rPr>
              <w:t>Cochlear</w:t>
            </w:r>
          </w:p>
          <w:p w14:paraId="3333A9DE" w14:textId="77777777" w:rsidR="00760959" w:rsidRPr="008A4846" w:rsidRDefault="00760959" w:rsidP="008B41DA">
            <w:pPr>
              <w:pStyle w:val="TableBullet"/>
              <w:rPr>
                <w:rFonts w:eastAsia="Calibri"/>
                <w:b/>
              </w:rPr>
            </w:pPr>
            <w:r w:rsidRPr="008A4846">
              <w:rPr>
                <w:rFonts w:eastAsia="Calibri"/>
              </w:rPr>
              <w:t>Australian Nursing and Midwifery Federation</w:t>
            </w:r>
          </w:p>
          <w:p w14:paraId="60087A7F" w14:textId="77777777" w:rsidR="00760959" w:rsidRPr="008A4846" w:rsidRDefault="00760959" w:rsidP="008B41DA">
            <w:pPr>
              <w:pStyle w:val="TableBullet"/>
              <w:rPr>
                <w:rFonts w:eastAsia="Calibri"/>
                <w:b/>
              </w:rPr>
            </w:pPr>
            <w:r w:rsidRPr="008A4846">
              <w:rPr>
                <w:rFonts w:eastAsia="Calibri"/>
              </w:rPr>
              <w:t>ACHA Health</w:t>
            </w:r>
          </w:p>
          <w:p w14:paraId="4050339A" w14:textId="77777777" w:rsidR="00760959" w:rsidRPr="008A4846" w:rsidRDefault="00760959" w:rsidP="008B41DA">
            <w:pPr>
              <w:pStyle w:val="TableBullet"/>
              <w:rPr>
                <w:rFonts w:eastAsia="Calibri"/>
                <w:b/>
              </w:rPr>
            </w:pPr>
            <w:r w:rsidRPr="008A4846">
              <w:rPr>
                <w:rFonts w:eastAsia="Calibri"/>
              </w:rPr>
              <w:t>St Andrews Hospital</w:t>
            </w:r>
          </w:p>
          <w:p w14:paraId="5FD87023" w14:textId="77777777" w:rsidR="00760959" w:rsidRPr="008A4846" w:rsidRDefault="00760959" w:rsidP="008B41DA">
            <w:pPr>
              <w:pStyle w:val="TableBullet"/>
              <w:rPr>
                <w:rFonts w:eastAsia="Calibri"/>
                <w:b/>
              </w:rPr>
            </w:pPr>
            <w:r w:rsidRPr="008A4846">
              <w:rPr>
                <w:rFonts w:eastAsia="Calibri"/>
              </w:rPr>
              <w:t>Calvary Healthcare</w:t>
            </w:r>
          </w:p>
          <w:p w14:paraId="0D52DCB7" w14:textId="77777777" w:rsidR="00760959" w:rsidRPr="008A4846" w:rsidRDefault="00760959" w:rsidP="008B41DA">
            <w:pPr>
              <w:pStyle w:val="TableBullet"/>
              <w:rPr>
                <w:rFonts w:eastAsia="Calibri"/>
                <w:b/>
              </w:rPr>
            </w:pPr>
            <w:r w:rsidRPr="008A4846">
              <w:rPr>
                <w:rFonts w:eastAsia="Calibri"/>
              </w:rPr>
              <w:t xml:space="preserve">Western Hospital </w:t>
            </w:r>
          </w:p>
          <w:p w14:paraId="3EE9FE78" w14:textId="77777777" w:rsidR="00760959" w:rsidRPr="008A4846" w:rsidRDefault="00760959" w:rsidP="008B41DA">
            <w:pPr>
              <w:pStyle w:val="TableBullet"/>
              <w:rPr>
                <w:rFonts w:eastAsia="Calibri"/>
                <w:b/>
              </w:rPr>
            </w:pPr>
            <w:r w:rsidRPr="008A4846">
              <w:rPr>
                <w:rFonts w:eastAsia="Calibri"/>
              </w:rPr>
              <w:t>Department for Health and Wellbeing</w:t>
            </w:r>
          </w:p>
          <w:p w14:paraId="31D41EF5" w14:textId="77777777" w:rsidR="00760959" w:rsidRPr="008A4846" w:rsidRDefault="00760959" w:rsidP="008B41DA">
            <w:pPr>
              <w:pStyle w:val="TableBullet"/>
              <w:rPr>
                <w:rFonts w:eastAsia="Calibri"/>
                <w:b/>
              </w:rPr>
            </w:pPr>
            <w:r w:rsidRPr="008A4846">
              <w:rPr>
                <w:rFonts w:eastAsia="Calibri"/>
              </w:rPr>
              <w:t>Women's and Children's Health Network</w:t>
            </w:r>
          </w:p>
          <w:p w14:paraId="31B45CEB" w14:textId="77777777" w:rsidR="00760959" w:rsidRPr="008A4846" w:rsidRDefault="00760959" w:rsidP="008B41DA">
            <w:pPr>
              <w:pStyle w:val="TableBullet"/>
              <w:rPr>
                <w:rFonts w:eastAsia="Calibri"/>
                <w:b/>
              </w:rPr>
            </w:pPr>
            <w:r w:rsidRPr="008A4846">
              <w:rPr>
                <w:rFonts w:eastAsia="Calibri"/>
              </w:rPr>
              <w:t>Southern Adelaide Local Health Network</w:t>
            </w:r>
          </w:p>
          <w:p w14:paraId="6F5D7AE3" w14:textId="77777777" w:rsidR="00760959" w:rsidRPr="008A4846" w:rsidRDefault="00760959" w:rsidP="008B41DA">
            <w:pPr>
              <w:pStyle w:val="TableBullet"/>
              <w:rPr>
                <w:rFonts w:eastAsia="Calibri"/>
                <w:b/>
              </w:rPr>
            </w:pPr>
            <w:r w:rsidRPr="008A4846">
              <w:rPr>
                <w:rFonts w:eastAsia="Calibri"/>
              </w:rPr>
              <w:t>Central Adelaide Local Health Network</w:t>
            </w:r>
          </w:p>
          <w:p w14:paraId="7040364C" w14:textId="77777777" w:rsidR="00760959" w:rsidRPr="008A4846" w:rsidRDefault="00760959" w:rsidP="008B41DA">
            <w:pPr>
              <w:pStyle w:val="TableBullet"/>
              <w:rPr>
                <w:rFonts w:eastAsia="Calibri"/>
                <w:b/>
              </w:rPr>
            </w:pPr>
            <w:r w:rsidRPr="008A4846">
              <w:rPr>
                <w:rFonts w:eastAsia="Calibri"/>
              </w:rPr>
              <w:t>Northern Adelaide Local Health Network</w:t>
            </w:r>
          </w:p>
          <w:p w14:paraId="6A6FE7BC" w14:textId="77777777" w:rsidR="00760959" w:rsidRPr="008A4846" w:rsidRDefault="00760959" w:rsidP="008B41DA">
            <w:pPr>
              <w:pStyle w:val="TableBullet"/>
              <w:rPr>
                <w:rFonts w:eastAsia="Calibri"/>
                <w:b/>
              </w:rPr>
            </w:pPr>
            <w:r w:rsidRPr="008A4846">
              <w:rPr>
                <w:rFonts w:eastAsia="Calibri"/>
              </w:rPr>
              <w:t>Ramsay Health Care</w:t>
            </w:r>
          </w:p>
          <w:p w14:paraId="621A0750" w14:textId="77777777" w:rsidR="00760959" w:rsidRPr="008A4846" w:rsidRDefault="00760959" w:rsidP="008B41DA">
            <w:pPr>
              <w:pStyle w:val="TableBullet"/>
              <w:rPr>
                <w:rFonts w:eastAsia="Calibri"/>
                <w:b/>
              </w:rPr>
            </w:pPr>
            <w:r w:rsidRPr="008A4846">
              <w:rPr>
                <w:rFonts w:eastAsia="Calibri"/>
              </w:rPr>
              <w:t>UnitingCare Queensland</w:t>
            </w:r>
          </w:p>
          <w:p w14:paraId="1B97771C" w14:textId="77777777" w:rsidR="00760959" w:rsidRPr="008A4846" w:rsidRDefault="00760959" w:rsidP="008B41DA">
            <w:pPr>
              <w:pStyle w:val="TableBullet"/>
              <w:rPr>
                <w:rFonts w:eastAsia="Calibri"/>
                <w:b/>
              </w:rPr>
            </w:pPr>
            <w:r w:rsidRPr="008A4846">
              <w:rPr>
                <w:rFonts w:eastAsia="Calibri"/>
              </w:rPr>
              <w:t>Albury Wodonga Health (Albury Hospital)</w:t>
            </w:r>
          </w:p>
          <w:p w14:paraId="1CC127FE" w14:textId="77777777" w:rsidR="00760959" w:rsidRPr="008A4846" w:rsidRDefault="00760959" w:rsidP="008B41DA">
            <w:pPr>
              <w:pStyle w:val="TableBullet"/>
              <w:rPr>
                <w:rFonts w:eastAsia="Calibri"/>
                <w:b/>
              </w:rPr>
            </w:pPr>
            <w:r w:rsidRPr="008A4846">
              <w:rPr>
                <w:rFonts w:eastAsia="Calibri"/>
              </w:rPr>
              <w:t>Alfred Health (The Alfred (Prahran))</w:t>
            </w:r>
          </w:p>
          <w:p w14:paraId="3928054E" w14:textId="77777777" w:rsidR="00760959" w:rsidRPr="008A4846" w:rsidRDefault="00760959" w:rsidP="008B41DA">
            <w:pPr>
              <w:pStyle w:val="TableBullet"/>
              <w:rPr>
                <w:rFonts w:eastAsia="Calibri"/>
                <w:b/>
              </w:rPr>
            </w:pPr>
            <w:r w:rsidRPr="008A4846">
              <w:rPr>
                <w:rFonts w:eastAsia="Calibri"/>
              </w:rPr>
              <w:t>Austin Health (Austin Hospital (Heidelberg))</w:t>
            </w:r>
          </w:p>
          <w:p w14:paraId="4F60467E" w14:textId="77777777" w:rsidR="00760959" w:rsidRPr="008A4846" w:rsidRDefault="00760959" w:rsidP="008B41DA">
            <w:pPr>
              <w:pStyle w:val="TableBullet"/>
              <w:rPr>
                <w:rFonts w:eastAsia="Calibri"/>
                <w:b/>
              </w:rPr>
            </w:pPr>
            <w:r w:rsidRPr="008A4846">
              <w:rPr>
                <w:rFonts w:eastAsia="Calibri"/>
              </w:rPr>
              <w:t>Barwon Health (University Hospital (Geelong))</w:t>
            </w:r>
          </w:p>
          <w:p w14:paraId="3B7D42B7" w14:textId="77777777" w:rsidR="00760959" w:rsidRPr="008A4846" w:rsidRDefault="00760959" w:rsidP="008B41DA">
            <w:pPr>
              <w:pStyle w:val="TableBullet"/>
              <w:rPr>
                <w:rFonts w:eastAsia="Calibri"/>
                <w:b/>
              </w:rPr>
            </w:pPr>
            <w:r w:rsidRPr="008A4846">
              <w:rPr>
                <w:rFonts w:eastAsia="Calibri"/>
              </w:rPr>
              <w:t>Bendigo Health (Bendigo Health Hospital)</w:t>
            </w:r>
          </w:p>
          <w:p w14:paraId="4F753262" w14:textId="77777777" w:rsidR="00760959" w:rsidRPr="008A4846" w:rsidRDefault="00760959" w:rsidP="008B41DA">
            <w:pPr>
              <w:pStyle w:val="TableBullet"/>
              <w:rPr>
                <w:rFonts w:eastAsia="Calibri"/>
                <w:b/>
              </w:rPr>
            </w:pPr>
            <w:r w:rsidRPr="008A4846">
              <w:rPr>
                <w:rFonts w:eastAsia="Calibri"/>
              </w:rPr>
              <w:t>Cabrini Health (Cabrini Hospital (Malvern))</w:t>
            </w:r>
          </w:p>
          <w:p w14:paraId="5E1AB384" w14:textId="77777777" w:rsidR="00760959" w:rsidRPr="008A4846" w:rsidRDefault="00760959" w:rsidP="008B41DA">
            <w:pPr>
              <w:pStyle w:val="TableBullet"/>
              <w:rPr>
                <w:rFonts w:eastAsia="Calibri"/>
                <w:b/>
              </w:rPr>
            </w:pPr>
            <w:r w:rsidRPr="008A4846">
              <w:rPr>
                <w:rFonts w:eastAsia="Calibri"/>
              </w:rPr>
              <w:t>Eastern Health (Angliss Hospital, Box Hill</w:t>
            </w:r>
          </w:p>
          <w:p w14:paraId="4165A798" w14:textId="77777777" w:rsidR="00760959" w:rsidRPr="008A4846" w:rsidRDefault="00760959" w:rsidP="008B41DA">
            <w:pPr>
              <w:pStyle w:val="TableBullet"/>
              <w:rPr>
                <w:rFonts w:eastAsia="Calibri"/>
                <w:b/>
              </w:rPr>
            </w:pPr>
            <w:r w:rsidRPr="008A4846">
              <w:rPr>
                <w:rFonts w:eastAsia="Calibri"/>
              </w:rPr>
              <w:t>Hospital, Maroondah Hospital)</w:t>
            </w:r>
          </w:p>
          <w:p w14:paraId="3E525503" w14:textId="72CCE858" w:rsidR="00760959" w:rsidRPr="008B41DA" w:rsidRDefault="00760959" w:rsidP="008B41DA">
            <w:pPr>
              <w:pStyle w:val="TableBullet"/>
              <w:rPr>
                <w:rFonts w:eastAsia="Calibri"/>
              </w:rPr>
            </w:pPr>
            <w:r w:rsidRPr="008A4846">
              <w:rPr>
                <w:rFonts w:eastAsia="Calibri"/>
              </w:rPr>
              <w:t>Eastern Health (Angliss Hospital, Box Hill Hospital, Maroondah Hospital)</w:t>
            </w:r>
          </w:p>
        </w:tc>
        <w:tc>
          <w:tcPr>
            <w:tcW w:w="2479" w:type="pct"/>
          </w:tcPr>
          <w:p w14:paraId="77941C65" w14:textId="77777777" w:rsidR="00760959" w:rsidRPr="008A4846" w:rsidRDefault="00760959" w:rsidP="008B41DA">
            <w:pPr>
              <w:pStyle w:val="TableBullet"/>
              <w:rPr>
                <w:rFonts w:eastAsia="Calibri"/>
              </w:rPr>
            </w:pPr>
            <w:r w:rsidRPr="008A4846">
              <w:rPr>
                <w:rFonts w:eastAsia="Calibri"/>
              </w:rPr>
              <w:lastRenderedPageBreak/>
              <w:t>Epworth HealthCare (Epworth Eastern (Box Hill))</w:t>
            </w:r>
          </w:p>
          <w:p w14:paraId="08123366" w14:textId="77777777" w:rsidR="00760959" w:rsidRPr="008A4846" w:rsidRDefault="00760959" w:rsidP="008B41DA">
            <w:pPr>
              <w:pStyle w:val="TableBullet"/>
              <w:rPr>
                <w:rFonts w:eastAsia="Calibri"/>
              </w:rPr>
            </w:pPr>
            <w:r w:rsidRPr="008A4846">
              <w:rPr>
                <w:rFonts w:eastAsia="Calibri"/>
              </w:rPr>
              <w:t>Epworth HealthCare (Epworth Freemasons (Melbourne))</w:t>
            </w:r>
          </w:p>
          <w:p w14:paraId="3D4A8854" w14:textId="77777777" w:rsidR="00760959" w:rsidRPr="008A4846" w:rsidRDefault="00760959" w:rsidP="008B41DA">
            <w:pPr>
              <w:pStyle w:val="TableBullet"/>
              <w:rPr>
                <w:rFonts w:eastAsia="Calibri"/>
              </w:rPr>
            </w:pPr>
            <w:r w:rsidRPr="008A4846">
              <w:rPr>
                <w:rFonts w:eastAsia="Calibri"/>
              </w:rPr>
              <w:t>Epworth HealthCare (Epworth Hospital (Geelong))</w:t>
            </w:r>
          </w:p>
          <w:p w14:paraId="6F5CC1CC" w14:textId="77777777" w:rsidR="00760959" w:rsidRPr="008A4846" w:rsidRDefault="00760959" w:rsidP="008B41DA">
            <w:pPr>
              <w:pStyle w:val="TableBullet"/>
              <w:rPr>
                <w:rFonts w:eastAsia="Calibri"/>
              </w:rPr>
            </w:pPr>
            <w:r w:rsidRPr="008A4846">
              <w:rPr>
                <w:rFonts w:eastAsia="Calibri"/>
              </w:rPr>
              <w:t>Epworth HealthCare (Epworth Richmond)</w:t>
            </w:r>
          </w:p>
          <w:p w14:paraId="5483B3A8" w14:textId="77777777" w:rsidR="00760959" w:rsidRPr="008A4846" w:rsidRDefault="00760959" w:rsidP="008B41DA">
            <w:pPr>
              <w:pStyle w:val="TableBullet"/>
              <w:rPr>
                <w:rFonts w:eastAsia="Calibri"/>
              </w:rPr>
            </w:pPr>
            <w:r w:rsidRPr="008A4846">
              <w:rPr>
                <w:rFonts w:eastAsia="Calibri"/>
              </w:rPr>
              <w:t>Goulburn Valley Health (Goulburn Valley Health (Shepparton))</w:t>
            </w:r>
          </w:p>
          <w:p w14:paraId="5B901A4F" w14:textId="77777777" w:rsidR="00760959" w:rsidRPr="008A4846" w:rsidRDefault="00760959" w:rsidP="008B41DA">
            <w:pPr>
              <w:pStyle w:val="TableBullet"/>
              <w:rPr>
                <w:rFonts w:eastAsia="Calibri"/>
              </w:rPr>
            </w:pPr>
            <w:r w:rsidRPr="008A4846">
              <w:rPr>
                <w:rFonts w:eastAsia="Calibri"/>
              </w:rPr>
              <w:t>Grampians Health (Ballarat Hospital)</w:t>
            </w:r>
          </w:p>
          <w:p w14:paraId="424E2037" w14:textId="77777777" w:rsidR="00760959" w:rsidRPr="008A4846" w:rsidRDefault="00760959" w:rsidP="008B41DA">
            <w:pPr>
              <w:pStyle w:val="TableBullet"/>
              <w:rPr>
                <w:rFonts w:eastAsia="Calibri"/>
              </w:rPr>
            </w:pPr>
            <w:r w:rsidRPr="008A4846">
              <w:rPr>
                <w:rFonts w:eastAsia="Calibri"/>
              </w:rPr>
              <w:t>Healthecare (Mulgrave Private Hospital)</w:t>
            </w:r>
          </w:p>
          <w:p w14:paraId="4A36BDD0" w14:textId="77777777" w:rsidR="00760959" w:rsidRPr="008A4846" w:rsidRDefault="00760959" w:rsidP="008B41DA">
            <w:pPr>
              <w:pStyle w:val="TableBullet"/>
              <w:rPr>
                <w:rFonts w:eastAsia="Calibri"/>
              </w:rPr>
            </w:pPr>
            <w:r w:rsidRPr="008A4846">
              <w:rPr>
                <w:rFonts w:eastAsia="Calibri"/>
              </w:rPr>
              <w:t>Healthscope (Melbourne Private Hospital)</w:t>
            </w:r>
          </w:p>
          <w:p w14:paraId="311CBA9E" w14:textId="77777777" w:rsidR="00760959" w:rsidRPr="008A4846" w:rsidRDefault="00760959" w:rsidP="008B41DA">
            <w:pPr>
              <w:pStyle w:val="TableBullet"/>
              <w:rPr>
                <w:rFonts w:eastAsia="Calibri"/>
              </w:rPr>
            </w:pPr>
            <w:r w:rsidRPr="008A4846">
              <w:rPr>
                <w:rFonts w:eastAsia="Calibri"/>
              </w:rPr>
              <w:t>Healthscope (Holmesglen Private Hospital)</w:t>
            </w:r>
          </w:p>
          <w:p w14:paraId="36300203" w14:textId="77777777" w:rsidR="00760959" w:rsidRPr="008A4846" w:rsidRDefault="00760959" w:rsidP="008B41DA">
            <w:pPr>
              <w:pStyle w:val="TableBullet"/>
              <w:rPr>
                <w:rFonts w:eastAsia="Calibri"/>
              </w:rPr>
            </w:pPr>
            <w:r w:rsidRPr="008A4846">
              <w:rPr>
                <w:rFonts w:eastAsia="Calibri"/>
              </w:rPr>
              <w:t>Healthscope (John Fawkner Private Hospital (Coburg))</w:t>
            </w:r>
          </w:p>
          <w:p w14:paraId="6AC9F2EC" w14:textId="77777777" w:rsidR="00760959" w:rsidRPr="008A4846" w:rsidRDefault="00760959" w:rsidP="008B41DA">
            <w:pPr>
              <w:pStyle w:val="TableBullet"/>
              <w:rPr>
                <w:rFonts w:eastAsia="Calibri"/>
              </w:rPr>
            </w:pPr>
            <w:r w:rsidRPr="008A4846">
              <w:rPr>
                <w:rFonts w:eastAsia="Calibri"/>
              </w:rPr>
              <w:t>Healthscope (Knox Private Hospital)</w:t>
            </w:r>
          </w:p>
          <w:p w14:paraId="60792CA9" w14:textId="77777777" w:rsidR="00760959" w:rsidRPr="008A4846" w:rsidRDefault="00760959" w:rsidP="008B41DA">
            <w:pPr>
              <w:pStyle w:val="TableBullet"/>
              <w:rPr>
                <w:rFonts w:eastAsia="Calibri"/>
              </w:rPr>
            </w:pPr>
            <w:r w:rsidRPr="008A4846">
              <w:rPr>
                <w:rFonts w:eastAsia="Calibri"/>
              </w:rPr>
              <w:t>Latrobe Regional Hospital (Latrobe Regional Hospital)</w:t>
            </w:r>
          </w:p>
          <w:p w14:paraId="23B34303" w14:textId="77777777" w:rsidR="00760959" w:rsidRPr="008A4846" w:rsidRDefault="00760959" w:rsidP="008B41DA">
            <w:pPr>
              <w:pStyle w:val="TableBullet"/>
              <w:rPr>
                <w:rFonts w:eastAsia="Calibri"/>
              </w:rPr>
            </w:pPr>
            <w:r w:rsidRPr="008A4846">
              <w:rPr>
                <w:rFonts w:eastAsia="Calibri"/>
              </w:rPr>
              <w:t>Melbourne Health (Royal Melbourne Hospital)</w:t>
            </w:r>
          </w:p>
          <w:p w14:paraId="2F1E87FB" w14:textId="77777777" w:rsidR="00760959" w:rsidRPr="008A4846" w:rsidRDefault="00760959" w:rsidP="008B41DA">
            <w:pPr>
              <w:pStyle w:val="TableBullet"/>
              <w:rPr>
                <w:rFonts w:eastAsia="Calibri"/>
              </w:rPr>
            </w:pPr>
            <w:r w:rsidRPr="008A4846">
              <w:rPr>
                <w:rFonts w:eastAsia="Calibri"/>
              </w:rPr>
              <w:t>Mercy Health (Werribee)</w:t>
            </w:r>
          </w:p>
          <w:p w14:paraId="4153835F" w14:textId="77777777" w:rsidR="00760959" w:rsidRPr="008A4846" w:rsidRDefault="00760959" w:rsidP="008B41DA">
            <w:pPr>
              <w:pStyle w:val="TableBullet"/>
              <w:rPr>
                <w:rFonts w:eastAsia="Calibri"/>
              </w:rPr>
            </w:pPr>
            <w:r w:rsidRPr="008A4846">
              <w:rPr>
                <w:rFonts w:eastAsia="Calibri"/>
              </w:rPr>
              <w:t>Mercy Hospital</w:t>
            </w:r>
          </w:p>
          <w:p w14:paraId="3BE3AF86" w14:textId="77777777" w:rsidR="00760959" w:rsidRPr="008A4846" w:rsidRDefault="00760959" w:rsidP="008B41DA">
            <w:pPr>
              <w:pStyle w:val="TableBullet"/>
              <w:rPr>
                <w:rFonts w:eastAsia="Calibri"/>
              </w:rPr>
            </w:pPr>
            <w:r w:rsidRPr="008A4846">
              <w:rPr>
                <w:rFonts w:eastAsia="Calibri"/>
              </w:rPr>
              <w:t>Monash Health (Casey Hospital, Dandenong Hospital, Monash Children’s Hospital, Monash Medical Centre)</w:t>
            </w:r>
          </w:p>
          <w:p w14:paraId="28D1839E" w14:textId="77777777" w:rsidR="00760959" w:rsidRPr="008A4846" w:rsidRDefault="00760959" w:rsidP="008B41DA">
            <w:pPr>
              <w:pStyle w:val="TableBullet"/>
              <w:rPr>
                <w:rFonts w:eastAsia="Calibri"/>
              </w:rPr>
            </w:pPr>
            <w:r w:rsidRPr="008A4846">
              <w:rPr>
                <w:rFonts w:eastAsia="Calibri"/>
              </w:rPr>
              <w:t>Monash Health (Jessie McPherson Private Hospital)</w:t>
            </w:r>
          </w:p>
          <w:p w14:paraId="08B3195F" w14:textId="77777777" w:rsidR="00760959" w:rsidRPr="008A4846" w:rsidRDefault="00760959" w:rsidP="008B41DA">
            <w:pPr>
              <w:pStyle w:val="TableBullet"/>
              <w:rPr>
                <w:rFonts w:eastAsia="Calibri"/>
              </w:rPr>
            </w:pPr>
            <w:r w:rsidRPr="008A4846">
              <w:rPr>
                <w:rFonts w:eastAsia="Calibri"/>
              </w:rPr>
              <w:t>Northern Health (Northern Hospital)</w:t>
            </w:r>
          </w:p>
          <w:p w14:paraId="59E1043D" w14:textId="77777777" w:rsidR="00760959" w:rsidRPr="008A4846" w:rsidRDefault="00760959" w:rsidP="008B41DA">
            <w:pPr>
              <w:pStyle w:val="TableBullet"/>
              <w:rPr>
                <w:rFonts w:eastAsia="Calibri"/>
              </w:rPr>
            </w:pPr>
            <w:r w:rsidRPr="008A4846">
              <w:rPr>
                <w:rFonts w:eastAsia="Calibri"/>
              </w:rPr>
              <w:lastRenderedPageBreak/>
              <w:t>Peninsula Health (Frankston Hospital)</w:t>
            </w:r>
          </w:p>
          <w:p w14:paraId="286C70E1" w14:textId="77777777" w:rsidR="00760959" w:rsidRPr="008A4846" w:rsidRDefault="00760959" w:rsidP="008B41DA">
            <w:pPr>
              <w:pStyle w:val="TableBullet"/>
              <w:rPr>
                <w:rFonts w:eastAsia="Calibri"/>
              </w:rPr>
            </w:pPr>
            <w:r w:rsidRPr="008A4846">
              <w:rPr>
                <w:rFonts w:eastAsia="Calibri"/>
              </w:rPr>
              <w:t>Ramsay Health (Peninsula Private Hospital)</w:t>
            </w:r>
          </w:p>
          <w:p w14:paraId="63331D9C" w14:textId="77777777" w:rsidR="00760959" w:rsidRPr="008A4846" w:rsidRDefault="00760959" w:rsidP="008B41DA">
            <w:pPr>
              <w:pStyle w:val="TableBullet"/>
              <w:rPr>
                <w:rFonts w:eastAsia="Calibri"/>
              </w:rPr>
            </w:pPr>
            <w:r w:rsidRPr="008A4846">
              <w:rPr>
                <w:rFonts w:eastAsia="Calibri"/>
              </w:rPr>
              <w:t>Ramsay Health (Warringal Private Hospital (Heidelberg))</w:t>
            </w:r>
          </w:p>
          <w:p w14:paraId="3B03DA84" w14:textId="77777777" w:rsidR="00760959" w:rsidRPr="008A4846" w:rsidRDefault="00760959" w:rsidP="008B41DA">
            <w:pPr>
              <w:pStyle w:val="TableBullet"/>
              <w:rPr>
                <w:rFonts w:eastAsia="Calibri"/>
              </w:rPr>
            </w:pPr>
            <w:r w:rsidRPr="008A4846">
              <w:rPr>
                <w:rFonts w:eastAsia="Calibri"/>
              </w:rPr>
              <w:t>Royal Children’s Hospital (Royal Children’s Hospital)</w:t>
            </w:r>
          </w:p>
          <w:p w14:paraId="1DE2C290" w14:textId="77777777" w:rsidR="00760959" w:rsidRPr="008A4846" w:rsidRDefault="00760959" w:rsidP="008B41DA">
            <w:pPr>
              <w:pStyle w:val="TableBullet"/>
              <w:rPr>
                <w:rFonts w:eastAsia="Calibri"/>
              </w:rPr>
            </w:pPr>
            <w:r w:rsidRPr="008A4846">
              <w:rPr>
                <w:rFonts w:eastAsia="Calibri"/>
              </w:rPr>
              <w:t>Royal Women’s Hospital (Royal Women’s Hospital)</w:t>
            </w:r>
          </w:p>
          <w:p w14:paraId="1F4EC22A" w14:textId="77777777" w:rsidR="00760959" w:rsidRPr="008A4846" w:rsidRDefault="00760959" w:rsidP="008B41DA">
            <w:pPr>
              <w:pStyle w:val="TableBullet"/>
              <w:rPr>
                <w:rFonts w:eastAsia="Calibri"/>
              </w:rPr>
            </w:pPr>
            <w:r w:rsidRPr="008A4846">
              <w:rPr>
                <w:rFonts w:eastAsia="Calibri"/>
              </w:rPr>
              <w:t>St John of God Healthcare (St John of God Ballarat Hospital)</w:t>
            </w:r>
          </w:p>
          <w:p w14:paraId="2B7B9369" w14:textId="77777777" w:rsidR="00760959" w:rsidRPr="008A4846" w:rsidRDefault="00760959" w:rsidP="008B41DA">
            <w:pPr>
              <w:pStyle w:val="TableBullet"/>
              <w:rPr>
                <w:rFonts w:eastAsia="Calibri"/>
              </w:rPr>
            </w:pPr>
            <w:r w:rsidRPr="008A4846">
              <w:rPr>
                <w:rFonts w:eastAsia="Calibri"/>
              </w:rPr>
              <w:t>St John of God Healthcare (St John of God Bendigo Hospital)</w:t>
            </w:r>
          </w:p>
          <w:p w14:paraId="3ED2E7EE" w14:textId="77777777" w:rsidR="00760959" w:rsidRPr="008A4846" w:rsidRDefault="00760959" w:rsidP="008B41DA">
            <w:pPr>
              <w:pStyle w:val="TableBullet"/>
              <w:rPr>
                <w:rFonts w:eastAsia="Calibri"/>
              </w:rPr>
            </w:pPr>
            <w:r w:rsidRPr="008A4846">
              <w:rPr>
                <w:rFonts w:eastAsia="Calibri"/>
              </w:rPr>
              <w:t>St John of God Healthcare (St John of God Berwick Hospital)</w:t>
            </w:r>
          </w:p>
          <w:p w14:paraId="3C18658F" w14:textId="77777777" w:rsidR="00760959" w:rsidRPr="008A4846" w:rsidRDefault="00760959" w:rsidP="008B41DA">
            <w:pPr>
              <w:pStyle w:val="TableBullet"/>
              <w:rPr>
                <w:rFonts w:eastAsia="Calibri"/>
              </w:rPr>
            </w:pPr>
            <w:r w:rsidRPr="008A4846">
              <w:rPr>
                <w:rFonts w:eastAsia="Calibri"/>
              </w:rPr>
              <w:t>St John of God Healthcare (St John of God Geelong Hospital)</w:t>
            </w:r>
          </w:p>
          <w:p w14:paraId="0EFCFF76" w14:textId="77777777" w:rsidR="00760959" w:rsidRPr="008A4846" w:rsidRDefault="00760959" w:rsidP="008B41DA">
            <w:pPr>
              <w:pStyle w:val="TableBullet"/>
              <w:rPr>
                <w:rFonts w:eastAsia="Calibri"/>
              </w:rPr>
            </w:pPr>
            <w:r w:rsidRPr="008A4846">
              <w:rPr>
                <w:rFonts w:eastAsia="Calibri"/>
              </w:rPr>
              <w:t>St Vincent’s Health (St Vincent’s Private Hospital Fitzroy)</w:t>
            </w:r>
          </w:p>
          <w:p w14:paraId="1AE1038C" w14:textId="77777777" w:rsidR="00760959" w:rsidRPr="008A4846" w:rsidRDefault="00760959" w:rsidP="008B41DA">
            <w:pPr>
              <w:pStyle w:val="TableBullet"/>
              <w:rPr>
                <w:rFonts w:eastAsia="Calibri"/>
              </w:rPr>
            </w:pPr>
            <w:r w:rsidRPr="008A4846">
              <w:rPr>
                <w:rFonts w:eastAsia="Calibri"/>
              </w:rPr>
              <w:t>St Vincent’s Health Australia (St Vincent’s Hospital Fitzroy)</w:t>
            </w:r>
          </w:p>
          <w:p w14:paraId="4551D5BF" w14:textId="77777777" w:rsidR="00760959" w:rsidRPr="008A4846" w:rsidRDefault="00760959" w:rsidP="008B41DA">
            <w:pPr>
              <w:pStyle w:val="TableBullet"/>
              <w:rPr>
                <w:rFonts w:eastAsia="Calibri"/>
              </w:rPr>
            </w:pPr>
            <w:r w:rsidRPr="008A4846">
              <w:rPr>
                <w:rFonts w:eastAsia="Calibri"/>
              </w:rPr>
              <w:t>The Bays Healthcare Group (The Bays Hospital)</w:t>
            </w:r>
          </w:p>
          <w:p w14:paraId="6F81C997" w14:textId="77777777" w:rsidR="00760959" w:rsidRPr="008A4846" w:rsidRDefault="00760959" w:rsidP="008B41DA">
            <w:pPr>
              <w:pStyle w:val="TableBullet"/>
              <w:rPr>
                <w:rFonts w:eastAsia="Calibri"/>
              </w:rPr>
            </w:pPr>
            <w:r w:rsidRPr="008A4846">
              <w:rPr>
                <w:rFonts w:eastAsia="Calibri"/>
              </w:rPr>
              <w:t>Western Health (Footscray Hospital, Sunshine Hospital)</w:t>
            </w:r>
          </w:p>
          <w:p w14:paraId="611F9173" w14:textId="77777777" w:rsidR="00760959" w:rsidRPr="008A4846" w:rsidRDefault="00760959" w:rsidP="008B41DA">
            <w:pPr>
              <w:pStyle w:val="TableBullet"/>
              <w:rPr>
                <w:rFonts w:eastAsia="Calibri"/>
              </w:rPr>
            </w:pPr>
            <w:r w:rsidRPr="008A4846">
              <w:rPr>
                <w:rFonts w:eastAsia="Calibri"/>
              </w:rPr>
              <w:t>Representatives from Public and Private Hospital ICUs nationally.</w:t>
            </w:r>
          </w:p>
        </w:tc>
      </w:tr>
    </w:tbl>
    <w:p w14:paraId="7C854C49" w14:textId="77777777" w:rsidR="008B41DA" w:rsidRDefault="008B41DA">
      <w:pPr>
        <w:spacing w:before="80" w:after="80"/>
        <w:rPr>
          <w:rFonts w:asciiTheme="majorHAnsi" w:eastAsia="Times New Roman" w:hAnsiTheme="majorHAnsi" w:cs="Arial"/>
          <w:b/>
          <w:bCs/>
          <w:color w:val="007BC3" w:themeColor="accent2"/>
          <w:sz w:val="28"/>
          <w:szCs w:val="28"/>
          <w:lang w:eastAsia="en-AU"/>
        </w:rPr>
      </w:pPr>
      <w:bookmarkStart w:id="612" w:name="_Toc90994726"/>
      <w:r>
        <w:lastRenderedPageBreak/>
        <w:br w:type="page"/>
      </w:r>
    </w:p>
    <w:p w14:paraId="7CEA0A21" w14:textId="5423CD3C" w:rsidR="001E4026" w:rsidRPr="00D65A59" w:rsidRDefault="001E4026" w:rsidP="008B41DA">
      <w:pPr>
        <w:pStyle w:val="AppendixH2"/>
      </w:pPr>
      <w:r w:rsidRPr="00D65A59">
        <w:lastRenderedPageBreak/>
        <w:t xml:space="preserve">RMP Rules consultation </w:t>
      </w:r>
    </w:p>
    <w:bookmarkEnd w:id="612"/>
    <w:p w14:paraId="39938F79" w14:textId="77777777" w:rsidR="004F37A8" w:rsidRPr="003645A2" w:rsidRDefault="004F37A8" w:rsidP="008B41DA">
      <w:pPr>
        <w:pStyle w:val="BodyText"/>
      </w:pPr>
      <w:r w:rsidRPr="003645A2">
        <w:t>The Department undertook extensive consultation with industry</w:t>
      </w:r>
      <w:r>
        <w:t>, including the hospital sector</w:t>
      </w:r>
      <w:r w:rsidRPr="003645A2">
        <w:t xml:space="preserve"> for the design </w:t>
      </w:r>
      <w:r>
        <w:t>of</w:t>
      </w:r>
      <w:r w:rsidRPr="003645A2">
        <w:t xml:space="preserve"> </w:t>
      </w:r>
      <w:r>
        <w:t>RMP rules</w:t>
      </w:r>
      <w:r w:rsidRPr="003645A2">
        <w:t xml:space="preserve">, with the objectives of:  </w:t>
      </w:r>
    </w:p>
    <w:p w14:paraId="6CF3D59E" w14:textId="77777777" w:rsidR="004F37A8" w:rsidRPr="003645A2" w:rsidRDefault="004F37A8" w:rsidP="008B41DA">
      <w:pPr>
        <w:pStyle w:val="Bullet1stlevel"/>
      </w:pPr>
      <w:r w:rsidRPr="003645A2">
        <w:t xml:space="preserve">Assessing whether there are existing regulations that meet the Bill’s </w:t>
      </w:r>
      <w:r>
        <w:t>RMP</w:t>
      </w:r>
      <w:r w:rsidRPr="003645A2">
        <w:t xml:space="preserve"> objectives, to ensure the regulatory burden is reduced where possible; and </w:t>
      </w:r>
    </w:p>
    <w:p w14:paraId="6157053C" w14:textId="77777777" w:rsidR="004F37A8" w:rsidRPr="003645A2" w:rsidRDefault="004F37A8" w:rsidP="004F37A8">
      <w:pPr>
        <w:numPr>
          <w:ilvl w:val="0"/>
          <w:numId w:val="36"/>
        </w:numPr>
        <w:spacing w:after="160" w:line="259" w:lineRule="auto"/>
        <w:contextualSpacing/>
        <w:rPr>
          <w:rFonts w:ascii="Arial" w:eastAsia="Calibri" w:hAnsi="Arial" w:cs="Arial"/>
          <w:sz w:val="22"/>
        </w:rPr>
      </w:pPr>
      <w:r w:rsidRPr="00BC2412">
        <w:rPr>
          <w:rFonts w:ascii="Arial" w:eastAsia="Calibri" w:hAnsi="Arial" w:cs="Arial"/>
          <w:sz w:val="22"/>
        </w:rPr>
        <w:t xml:space="preserve">Ensuring there are rules in place that will drive an uplift in the security and resilience of critical </w:t>
      </w:r>
      <w:r>
        <w:rPr>
          <w:rFonts w:ascii="Arial" w:eastAsia="Calibri" w:hAnsi="Arial" w:cs="Arial"/>
          <w:sz w:val="22"/>
        </w:rPr>
        <w:t>hospitals</w:t>
      </w:r>
      <w:r w:rsidRPr="003645A2">
        <w:rPr>
          <w:rFonts w:ascii="Arial" w:eastAsia="Calibri" w:hAnsi="Arial" w:cs="Arial"/>
          <w:sz w:val="22"/>
        </w:rPr>
        <w:t>.</w:t>
      </w:r>
      <w:r w:rsidRPr="003645A2">
        <w:rPr>
          <w:rFonts w:ascii="Arial" w:eastAsia="Calibri" w:hAnsi="Arial" w:cs="Arial"/>
          <w:sz w:val="22"/>
          <w:vertAlign w:val="superscript"/>
        </w:rPr>
        <w:footnoteReference w:id="238"/>
      </w:r>
    </w:p>
    <w:p w14:paraId="6270ABEE" w14:textId="0F4516D8" w:rsidR="004F37A8" w:rsidRPr="003645A2" w:rsidRDefault="004F37A8" w:rsidP="008B41DA">
      <w:pPr>
        <w:pStyle w:val="BodyText"/>
      </w:pPr>
      <w:r w:rsidRPr="003645A2">
        <w:t xml:space="preserve">Consultation with industry stakeholders occurred </w:t>
      </w:r>
      <w:r w:rsidR="00D7513F">
        <w:t>across the following</w:t>
      </w:r>
      <w:r>
        <w:t xml:space="preserve"> </w:t>
      </w:r>
      <w:r w:rsidRPr="003645A2">
        <w:t xml:space="preserve">key stages: </w:t>
      </w:r>
    </w:p>
    <w:p w14:paraId="1780C133" w14:textId="77777777" w:rsidR="004F37A8" w:rsidRDefault="004F37A8" w:rsidP="007F265A">
      <w:pPr>
        <w:pStyle w:val="ListParagraph"/>
        <w:numPr>
          <w:ilvl w:val="0"/>
          <w:numId w:val="121"/>
        </w:numPr>
        <w:spacing w:line="259" w:lineRule="auto"/>
        <w:rPr>
          <w:rFonts w:eastAsia="Calibri"/>
        </w:rPr>
      </w:pPr>
      <w:r w:rsidRPr="003D6352">
        <w:rPr>
          <w:rFonts w:eastAsia="Calibri"/>
          <w:b/>
        </w:rPr>
        <w:t>A virtual Town Hall</w:t>
      </w:r>
      <w:r w:rsidRPr="003645A2">
        <w:rPr>
          <w:rFonts w:eastAsia="Calibri"/>
        </w:rPr>
        <w:t xml:space="preserve">, held </w:t>
      </w:r>
      <w:r>
        <w:rPr>
          <w:rFonts w:eastAsia="Calibri"/>
        </w:rPr>
        <w:t xml:space="preserve">on 19 October </w:t>
      </w:r>
      <w:r w:rsidRPr="009278DF">
        <w:rPr>
          <w:rFonts w:eastAsia="Calibri"/>
        </w:rPr>
        <w:t>2021</w:t>
      </w:r>
      <w:r>
        <w:rPr>
          <w:rFonts w:eastAsia="Calibri"/>
        </w:rPr>
        <w:t xml:space="preserve">, </w:t>
      </w:r>
      <w:r w:rsidRPr="003645A2">
        <w:rPr>
          <w:rFonts w:eastAsia="Calibri"/>
        </w:rPr>
        <w:t xml:space="preserve">attended by </w:t>
      </w:r>
      <w:r>
        <w:rPr>
          <w:rFonts w:eastAsia="Calibri"/>
        </w:rPr>
        <w:t xml:space="preserve">360 </w:t>
      </w:r>
      <w:r w:rsidRPr="003645A2">
        <w:rPr>
          <w:rFonts w:eastAsia="Calibri"/>
        </w:rPr>
        <w:t>approximately industry and Government stakeholders</w:t>
      </w:r>
      <w:r>
        <w:rPr>
          <w:rFonts w:eastAsia="Calibri"/>
        </w:rPr>
        <w:t>, including from the critical hospitals sector. The purposes of the session were to:</w:t>
      </w:r>
    </w:p>
    <w:p w14:paraId="41807F0B" w14:textId="2FDFF355" w:rsidR="004F37A8" w:rsidRPr="008B41DA" w:rsidRDefault="004F37A8" w:rsidP="00CE4B35">
      <w:pPr>
        <w:pStyle w:val="Bullet2ndlevel"/>
        <w:numPr>
          <w:ilvl w:val="0"/>
          <w:numId w:val="180"/>
        </w:numPr>
      </w:pPr>
      <w:r>
        <w:t xml:space="preserve">Outline the CI/SONS </w:t>
      </w:r>
      <w:r w:rsidRPr="008B41DA">
        <w:t>reforms and provide an update on the SLACI Bill (now SLACI Act) and SLACIP Bill</w:t>
      </w:r>
      <w:r w:rsidR="00D721DC">
        <w:t xml:space="preserve"> (now SLACIP Act)</w:t>
      </w:r>
      <w:r w:rsidRPr="008B41DA">
        <w:t>;</w:t>
      </w:r>
    </w:p>
    <w:p w14:paraId="7996A7B4" w14:textId="77777777" w:rsidR="004F37A8" w:rsidRPr="008B41DA" w:rsidRDefault="004F37A8" w:rsidP="00CE4B35">
      <w:pPr>
        <w:pStyle w:val="Bullet2ndlevel"/>
        <w:numPr>
          <w:ilvl w:val="0"/>
          <w:numId w:val="180"/>
        </w:numPr>
      </w:pPr>
      <w:r w:rsidRPr="008B41DA">
        <w:t>Provide an update for industry on the decision to consult on sector-agnostic RMP rules (as opposed to sector-specific rules), and outline how this would affect the consultation process going forward; and</w:t>
      </w:r>
    </w:p>
    <w:p w14:paraId="23AC9503" w14:textId="77777777" w:rsidR="004F37A8" w:rsidRDefault="004F37A8" w:rsidP="00CE4B35">
      <w:pPr>
        <w:pStyle w:val="Bullet2ndlevel"/>
        <w:numPr>
          <w:ilvl w:val="0"/>
          <w:numId w:val="180"/>
        </w:numPr>
      </w:pPr>
      <w:r w:rsidRPr="008B41DA">
        <w:t>Answer any questions about</w:t>
      </w:r>
      <w:r>
        <w:t xml:space="preserve"> the Bills or RMP rules consultation process. </w:t>
      </w:r>
    </w:p>
    <w:p w14:paraId="7A1AD6D4" w14:textId="77777777" w:rsidR="004F37A8" w:rsidRDefault="004F37A8" w:rsidP="00CE4B35">
      <w:pPr>
        <w:pStyle w:val="ListParagraph"/>
        <w:numPr>
          <w:ilvl w:val="0"/>
          <w:numId w:val="121"/>
        </w:numPr>
        <w:spacing w:line="259" w:lineRule="auto"/>
        <w:ind w:left="351" w:hanging="357"/>
        <w:contextualSpacing w:val="0"/>
        <w:rPr>
          <w:rFonts w:eastAsia="Calibri"/>
        </w:rPr>
      </w:pPr>
      <w:r w:rsidRPr="003D6352">
        <w:rPr>
          <w:rFonts w:eastAsia="Calibri"/>
          <w:b/>
        </w:rPr>
        <w:t xml:space="preserve">Two critical hospitals-specific Information Sessions, </w:t>
      </w:r>
      <w:r>
        <w:rPr>
          <w:rFonts w:eastAsia="Calibri"/>
        </w:rPr>
        <w:t xml:space="preserve">held on 12 and 24 November 2021, attended by approximately 180 and 75 industry and Government stakeholders respectively. </w:t>
      </w:r>
      <w:r w:rsidRPr="009278DF">
        <w:rPr>
          <w:rFonts w:eastAsia="Calibri"/>
        </w:rPr>
        <w:t xml:space="preserve">The purpose of the information sessions was to </w:t>
      </w:r>
      <w:r>
        <w:rPr>
          <w:rFonts w:eastAsia="Calibri"/>
        </w:rPr>
        <w:t>reiterate the</w:t>
      </w:r>
      <w:r w:rsidRPr="009278DF">
        <w:rPr>
          <w:rFonts w:eastAsia="Calibri"/>
        </w:rPr>
        <w:t xml:space="preserve"> update for industry on the move from sector-specific to sector-agnostic </w:t>
      </w:r>
      <w:r>
        <w:rPr>
          <w:rFonts w:eastAsia="Calibri"/>
        </w:rPr>
        <w:t>RMP rules</w:t>
      </w:r>
      <w:r w:rsidRPr="009278DF">
        <w:rPr>
          <w:rFonts w:eastAsia="Calibri"/>
        </w:rPr>
        <w:t xml:space="preserve"> and to gain sector-specific feedback on the</w:t>
      </w:r>
      <w:r>
        <w:rPr>
          <w:rFonts w:eastAsia="Calibri"/>
        </w:rPr>
        <w:t xml:space="preserve"> RMP rules</w:t>
      </w:r>
      <w:r w:rsidRPr="009278DF">
        <w:rPr>
          <w:rFonts w:eastAsia="Calibri"/>
        </w:rPr>
        <w:t xml:space="preserve">. </w:t>
      </w:r>
    </w:p>
    <w:p w14:paraId="72B07248" w14:textId="1747EE58" w:rsidR="004F37A8" w:rsidRPr="009278DF" w:rsidRDefault="001656B3" w:rsidP="00CE4B35">
      <w:pPr>
        <w:pStyle w:val="ListParagraph"/>
        <w:numPr>
          <w:ilvl w:val="0"/>
          <w:numId w:val="121"/>
        </w:numPr>
        <w:spacing w:line="259" w:lineRule="auto"/>
        <w:ind w:left="351" w:hanging="357"/>
        <w:contextualSpacing w:val="0"/>
        <w:rPr>
          <w:rFonts w:eastAsia="Calibri"/>
        </w:rPr>
      </w:pPr>
      <w:r w:rsidRPr="003D6352">
        <w:rPr>
          <w:rFonts w:eastAsia="Calibri"/>
          <w:b/>
        </w:rPr>
        <w:t xml:space="preserve">A </w:t>
      </w:r>
      <w:r>
        <w:rPr>
          <w:rFonts w:eastAsia="Calibri"/>
          <w:b/>
        </w:rPr>
        <w:t>final</w:t>
      </w:r>
      <w:r w:rsidRPr="003D6352">
        <w:rPr>
          <w:rFonts w:eastAsia="Calibri"/>
          <w:b/>
        </w:rPr>
        <w:t xml:space="preserve"> virtual Town Hall</w:t>
      </w:r>
      <w:r>
        <w:rPr>
          <w:rFonts w:eastAsia="Calibri"/>
          <w:b/>
          <w:bCs/>
        </w:rPr>
        <w:t xml:space="preserve"> </w:t>
      </w:r>
      <w:r w:rsidR="004F37A8">
        <w:rPr>
          <w:rFonts w:eastAsia="Calibri"/>
        </w:rPr>
        <w:t>held on 25 November 2021. The purpose of the Town Hall was</w:t>
      </w:r>
      <w:r w:rsidR="004F37A8" w:rsidRPr="009278DF">
        <w:rPr>
          <w:rFonts w:eastAsia="Calibri"/>
        </w:rPr>
        <w:t xml:space="preserve"> to present the updated </w:t>
      </w:r>
      <w:r w:rsidR="004F37A8">
        <w:rPr>
          <w:rFonts w:eastAsia="Calibri"/>
        </w:rPr>
        <w:t>RMP rules</w:t>
      </w:r>
      <w:r w:rsidR="004F37A8" w:rsidRPr="009278DF">
        <w:rPr>
          <w:rFonts w:eastAsia="Calibri"/>
        </w:rPr>
        <w:t xml:space="preserve"> and provide information on the further consultation period. The Town Hall was attended by approximately 800 industry and Government stakeholders across the </w:t>
      </w:r>
      <w:r w:rsidR="0030492E">
        <w:rPr>
          <w:rFonts w:eastAsia="Calibri"/>
        </w:rPr>
        <w:t>10</w:t>
      </w:r>
      <w:r w:rsidR="004F37A8" w:rsidRPr="009278DF">
        <w:rPr>
          <w:rFonts w:eastAsia="Calibri"/>
        </w:rPr>
        <w:t xml:space="preserve"> critical infrastructure sectors, including by</w:t>
      </w:r>
      <w:r w:rsidR="004F37A8">
        <w:rPr>
          <w:rFonts w:eastAsia="Calibri"/>
        </w:rPr>
        <w:t xml:space="preserve"> </w:t>
      </w:r>
      <w:r w:rsidR="004F37A8" w:rsidRPr="009278DF">
        <w:rPr>
          <w:rFonts w:eastAsia="Calibri"/>
        </w:rPr>
        <w:t xml:space="preserve">stakeholders from the </w:t>
      </w:r>
      <w:r w:rsidR="004F37A8">
        <w:rPr>
          <w:rFonts w:eastAsia="Calibri"/>
        </w:rPr>
        <w:t>critical hospitals sector.</w:t>
      </w:r>
    </w:p>
    <w:p w14:paraId="761D2A51" w14:textId="77777777" w:rsidR="004F37A8" w:rsidRPr="003645A2" w:rsidRDefault="004F37A8" w:rsidP="007F265A">
      <w:pPr>
        <w:pStyle w:val="ListParagraph"/>
        <w:numPr>
          <w:ilvl w:val="0"/>
          <w:numId w:val="121"/>
        </w:numPr>
        <w:spacing w:line="259" w:lineRule="auto"/>
        <w:rPr>
          <w:rFonts w:eastAsia="Calibri"/>
        </w:rPr>
      </w:pPr>
      <w:r w:rsidRPr="003D6352">
        <w:rPr>
          <w:rFonts w:eastAsia="Calibri"/>
          <w:b/>
        </w:rPr>
        <w:t>O</w:t>
      </w:r>
      <w:r w:rsidRPr="003645A2">
        <w:rPr>
          <w:rFonts w:eastAsia="Calibri"/>
          <w:b/>
          <w:bCs/>
        </w:rPr>
        <w:t>ut of session consultation</w:t>
      </w:r>
      <w:r>
        <w:rPr>
          <w:rFonts w:eastAsia="Calibri"/>
        </w:rPr>
        <w:t>:</w:t>
      </w:r>
    </w:p>
    <w:p w14:paraId="57ED507F" w14:textId="77777777" w:rsidR="004F37A8" w:rsidRPr="008B41DA" w:rsidRDefault="004F37A8" w:rsidP="008B41DA">
      <w:pPr>
        <w:pStyle w:val="Bullet2ndlevel"/>
      </w:pPr>
      <w:r w:rsidRPr="00FD357E">
        <w:t>Stakeholders were encouraged to contact the Department out of session. The Departm</w:t>
      </w:r>
      <w:r w:rsidRPr="003645A2">
        <w:t xml:space="preserve">ent availed itself to </w:t>
      </w:r>
      <w:r w:rsidRPr="008B41DA">
        <w:t xml:space="preserve">stakeholders to discuss their concerns, working to ensure stakeholders’ understanding of the rules, and the rules’ proportionality. </w:t>
      </w:r>
    </w:p>
    <w:p w14:paraId="463607B4" w14:textId="77777777" w:rsidR="004F37A8" w:rsidRPr="008B41DA" w:rsidRDefault="004F37A8" w:rsidP="008B41DA">
      <w:pPr>
        <w:pStyle w:val="Bullet2ndlevel"/>
      </w:pPr>
      <w:r w:rsidRPr="008B41DA">
        <w:t xml:space="preserve">Out of session engagement also assisted in the iterative development of rules between workshops, through addressing concerns raised by individual stakeholders and proposing a solution. </w:t>
      </w:r>
    </w:p>
    <w:p w14:paraId="6D376C4B" w14:textId="2FD7BCF7" w:rsidR="00FD357E" w:rsidRDefault="004F37A8" w:rsidP="008B41DA">
      <w:pPr>
        <w:pStyle w:val="Bullet2ndlevel"/>
      </w:pPr>
      <w:r w:rsidRPr="008B41DA">
        <w:t>This engagement strengthened</w:t>
      </w:r>
      <w:r w:rsidRPr="00FD357E">
        <w:t xml:space="preserve"> the relationship between the Department and industry, while </w:t>
      </w:r>
      <w:r w:rsidRPr="003645A2">
        <w:t>providing insights on implementation costs, entities’ operating environments and the overall impacts of the proposed regulatory changes.</w:t>
      </w:r>
    </w:p>
    <w:p w14:paraId="7B372EFC" w14:textId="688A1317" w:rsidR="00507847" w:rsidRPr="00CE4B35" w:rsidRDefault="00507847" w:rsidP="00CE4B35">
      <w:pPr>
        <w:pStyle w:val="Bullet2ndlevel"/>
        <w:numPr>
          <w:ilvl w:val="0"/>
          <w:numId w:val="121"/>
        </w:numPr>
        <w:tabs>
          <w:tab w:val="clear" w:pos="2038"/>
        </w:tabs>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 xml:space="preserve">held on 10 October and 12 October 2022, attended by approximately 550 industry and Government stakeholders (across both sessions). The sessions provided information on the proposed RMP Rules as well as the broader obligation. These Town Halls, </w:t>
      </w:r>
      <w:r>
        <w:lastRenderedPageBreak/>
        <w:t>as well as four subsequent question and answer sessions, provided an opportunity for industry to ask questions about the proposed RMP Rules and process.</w:t>
      </w:r>
    </w:p>
    <w:p w14:paraId="211F1075" w14:textId="77777777" w:rsidR="004F37A8" w:rsidRPr="00C768BC" w:rsidRDefault="004F37A8" w:rsidP="008B41DA">
      <w:pPr>
        <w:pStyle w:val="AppendixH2"/>
      </w:pPr>
      <w:r w:rsidRPr="00C768BC">
        <w:t xml:space="preserve">Outcomes and themes from consultation on </w:t>
      </w:r>
      <w:r>
        <w:t>RMP rules</w:t>
      </w:r>
    </w:p>
    <w:p w14:paraId="3FC72049" w14:textId="77777777" w:rsidR="004F37A8" w:rsidRDefault="004F37A8" w:rsidP="008B41DA">
      <w:pPr>
        <w:pStyle w:val="Caption"/>
        <w:rPr>
          <w:sz w:val="22"/>
        </w:rPr>
      </w:pPr>
      <w:r w:rsidRPr="003645A2">
        <w:t>Key themes from consultation</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A0" w:firstRow="1" w:lastRow="0" w:firstColumn="1" w:lastColumn="0" w:noHBand="0" w:noVBand="1"/>
      </w:tblPr>
      <w:tblGrid>
        <w:gridCol w:w="1267"/>
        <w:gridCol w:w="711"/>
        <w:gridCol w:w="3412"/>
        <w:gridCol w:w="4248"/>
      </w:tblGrid>
      <w:tr w:rsidR="004F37A8" w:rsidRPr="003645A2" w14:paraId="50CB10B0" w14:textId="77777777" w:rsidTr="008B41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 w:type="pct"/>
          </w:tcPr>
          <w:p w14:paraId="552E6ACF" w14:textId="77777777" w:rsidR="004F37A8" w:rsidRPr="008B41DA" w:rsidRDefault="004F37A8" w:rsidP="008B41DA">
            <w:pPr>
              <w:pStyle w:val="TableHeading"/>
              <w:rPr>
                <w:b/>
                <w:bCs/>
              </w:rPr>
            </w:pPr>
            <w:r w:rsidRPr="008B41DA">
              <w:rPr>
                <w:b/>
                <w:bCs/>
              </w:rPr>
              <w:t>Rule category</w:t>
            </w:r>
          </w:p>
        </w:tc>
        <w:tc>
          <w:tcPr>
            <w:tcW w:w="2139" w:type="pct"/>
            <w:gridSpan w:val="2"/>
          </w:tcPr>
          <w:p w14:paraId="70C45C51" w14:textId="77777777" w:rsidR="004F37A8" w:rsidRPr="008B41DA" w:rsidRDefault="004F37A8" w:rsidP="008B41DA">
            <w:pPr>
              <w:pStyle w:val="TableHeading"/>
              <w:cnfStyle w:val="100000000000" w:firstRow="1" w:lastRow="0" w:firstColumn="0" w:lastColumn="0" w:oddVBand="0" w:evenVBand="0" w:oddHBand="0" w:evenHBand="0" w:firstRowFirstColumn="0" w:firstRowLastColumn="0" w:lastRowFirstColumn="0" w:lastRowLastColumn="0"/>
              <w:rPr>
                <w:b/>
                <w:bCs/>
              </w:rPr>
            </w:pPr>
            <w:r w:rsidRPr="008B41DA">
              <w:rPr>
                <w:b/>
                <w:bCs/>
              </w:rPr>
              <w:t>Identified themes</w:t>
            </w:r>
          </w:p>
        </w:tc>
        <w:tc>
          <w:tcPr>
            <w:tcW w:w="2204" w:type="pct"/>
          </w:tcPr>
          <w:p w14:paraId="38167674" w14:textId="77777777" w:rsidR="004F37A8" w:rsidRPr="008B41DA" w:rsidRDefault="004F37A8" w:rsidP="008B41DA">
            <w:pPr>
              <w:pStyle w:val="TableHeading"/>
              <w:cnfStyle w:val="100000000000" w:firstRow="1" w:lastRow="0" w:firstColumn="0" w:lastColumn="0" w:oddVBand="0" w:evenVBand="0" w:oddHBand="0" w:evenHBand="0" w:firstRowFirstColumn="0" w:firstRowLastColumn="0" w:lastRowFirstColumn="0" w:lastRowLastColumn="0"/>
              <w:rPr>
                <w:b/>
                <w:bCs/>
              </w:rPr>
            </w:pPr>
            <w:r w:rsidRPr="008B41DA">
              <w:rPr>
                <w:b/>
                <w:bCs/>
              </w:rPr>
              <w:t>Impact on development of rules</w:t>
            </w:r>
          </w:p>
        </w:tc>
      </w:tr>
      <w:tr w:rsidR="004F37A8" w:rsidRPr="009278DF" w14:paraId="07356B91" w14:textId="77777777" w:rsidTr="7EBB1CE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57" w:type="pct"/>
            <w:shd w:val="clear" w:color="auto" w:fill="BBDAFD" w:themeFill="accent1" w:themeFillTint="33"/>
          </w:tcPr>
          <w:p w14:paraId="194C13E5" w14:textId="77777777" w:rsidR="004F37A8" w:rsidRPr="00220EA2" w:rsidRDefault="004F37A8" w:rsidP="00BD2B19">
            <w:pPr>
              <w:jc w:val="center"/>
              <w:rPr>
                <w:rFonts w:ascii="Arial" w:eastAsia="Calibri" w:hAnsi="Arial" w:cs="Arial"/>
              </w:rPr>
            </w:pPr>
            <w:r w:rsidRPr="00220EA2">
              <w:rPr>
                <w:rFonts w:ascii="Arial" w:eastAsia="Calibri" w:hAnsi="Arial" w:cs="Arial"/>
              </w:rPr>
              <w:t xml:space="preserve">RMP rules </w:t>
            </w:r>
          </w:p>
        </w:tc>
        <w:tc>
          <w:tcPr>
            <w:tcW w:w="369" w:type="pct"/>
            <w:shd w:val="clear" w:color="auto" w:fill="F2F2F2" w:themeFill="background2" w:themeFillShade="F2"/>
            <w:textDirection w:val="btLr"/>
          </w:tcPr>
          <w:p w14:paraId="16A3F782" w14:textId="77777777" w:rsidR="004F37A8" w:rsidRPr="003645A2" w:rsidRDefault="004F37A8" w:rsidP="00BD2B19">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Pr>
                <w:rFonts w:ascii="Arial" w:eastAsia="Calibri" w:hAnsi="Arial" w:cs="Arial"/>
                <w:b/>
              </w:rPr>
              <w:t>Information sessions</w:t>
            </w:r>
          </w:p>
        </w:tc>
        <w:tc>
          <w:tcPr>
            <w:tcW w:w="1770" w:type="pct"/>
          </w:tcPr>
          <w:p w14:paraId="2B5AFC5C" w14:textId="77777777"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The sector </w:t>
            </w:r>
            <w:r w:rsidRPr="000F20CF">
              <w:rPr>
                <w:rFonts w:eastAsia="Calibri"/>
                <w:b/>
              </w:rPr>
              <w:t>acknowledges the emerging and increasing threats</w:t>
            </w:r>
            <w:r w:rsidRPr="000F20CF">
              <w:rPr>
                <w:rFonts w:eastAsia="Calibri"/>
              </w:rPr>
              <w:t xml:space="preserve"> to its critical infrastructure across all hazards. </w:t>
            </w:r>
          </w:p>
          <w:p w14:paraId="5C902FDC" w14:textId="77777777"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The sector expressed a desire to </w:t>
            </w:r>
            <w:r w:rsidRPr="000F20CF">
              <w:rPr>
                <w:rFonts w:eastAsia="Calibri"/>
                <w:b/>
              </w:rPr>
              <w:t>avoid regulatory duplication.</w:t>
            </w:r>
          </w:p>
          <w:p w14:paraId="2288EDFB" w14:textId="77777777"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The sector expressed some concerns regarding </w:t>
            </w:r>
            <w:r w:rsidRPr="000F20CF">
              <w:rPr>
                <w:rFonts w:eastAsia="Calibri"/>
                <w:b/>
              </w:rPr>
              <w:t>timelines</w:t>
            </w:r>
            <w:r w:rsidRPr="000F20CF">
              <w:rPr>
                <w:rFonts w:eastAsia="Calibri"/>
              </w:rPr>
              <w:t xml:space="preserve"> for implementation. </w:t>
            </w:r>
          </w:p>
          <w:p w14:paraId="7A1E6E9A" w14:textId="77777777"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Some expressed a desire to </w:t>
            </w:r>
            <w:r w:rsidRPr="000F20CF">
              <w:rPr>
                <w:rFonts w:eastAsia="Calibri"/>
                <w:b/>
              </w:rPr>
              <w:t>broaden the asset definition</w:t>
            </w:r>
            <w:r w:rsidRPr="000F20CF">
              <w:rPr>
                <w:rFonts w:eastAsia="Calibri"/>
              </w:rPr>
              <w:t xml:space="preserve"> to adequate secure the sector, however some were content with the definition.  </w:t>
            </w:r>
          </w:p>
          <w:p w14:paraId="7C860187" w14:textId="20EFF946"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There is an </w:t>
            </w:r>
            <w:r w:rsidRPr="000F20CF">
              <w:rPr>
                <w:rFonts w:eastAsia="Calibri"/>
                <w:b/>
              </w:rPr>
              <w:t>appetite for guidance material</w:t>
            </w:r>
            <w:r w:rsidRPr="000F20CF">
              <w:rPr>
                <w:rFonts w:eastAsia="Calibri"/>
              </w:rPr>
              <w:t xml:space="preserve"> to support sector-specific uplift in security and resilience, particularly for cybersecurity and supply chain hazards, potentially involving scenario-based examples. </w:t>
            </w:r>
          </w:p>
        </w:tc>
        <w:tc>
          <w:tcPr>
            <w:tcW w:w="2204" w:type="pct"/>
          </w:tcPr>
          <w:p w14:paraId="3BF59459" w14:textId="77777777" w:rsidR="004F37A8" w:rsidRPr="000F20CF" w:rsidRDefault="004F37A8" w:rsidP="00BD2B19">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AU"/>
              </w:rPr>
            </w:pPr>
            <w:r w:rsidRPr="000F20CF">
              <w:rPr>
                <w:rFonts w:ascii="Arial" w:eastAsia="Calibri" w:hAnsi="Arial" w:cs="Arial"/>
                <w:lang w:eastAsia="en-AU"/>
              </w:rPr>
              <w:t xml:space="preserve">In response to feedback received during the information sessions, the Department committed to: </w:t>
            </w:r>
          </w:p>
          <w:p w14:paraId="5749015B" w14:textId="77777777"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Allowing responsible entities to leverage existing reporting requirements where appropriate, reflecting this in the rules and guidance material; </w:t>
            </w:r>
          </w:p>
          <w:p w14:paraId="26C5F6E6" w14:textId="77777777"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 xml:space="preserve">Taking a collaborative and educational approach to regulatory compliance, involving ongoing discussions around implementation (discussed further in section 7.1.3); and </w:t>
            </w:r>
          </w:p>
          <w:p w14:paraId="139D8C2E" w14:textId="77777777"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Having ongoing discussions with industry to confirm the appropriateness of the asset definition; and</w:t>
            </w:r>
          </w:p>
          <w:p w14:paraId="1E178426" w14:textId="326CE713" w:rsidR="004F37A8" w:rsidRPr="000F20CF" w:rsidRDefault="004F37A8" w:rsidP="008B41DA">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0F20CF">
              <w:rPr>
                <w:rFonts w:eastAsia="Calibri"/>
              </w:rPr>
              <w:t>The development of guidance materials, which would highlight aspects of risk management that should be prioritised by responsible entities, assist industry in interpreting and implementing the rules to achieve an uplift in security and resilience, and address any concerns.</w:t>
            </w:r>
          </w:p>
        </w:tc>
      </w:tr>
    </w:tbl>
    <w:p w14:paraId="0176BBBB" w14:textId="77777777" w:rsidR="004F37A8" w:rsidRPr="00C768BC" w:rsidRDefault="004F37A8" w:rsidP="008B41DA">
      <w:pPr>
        <w:pStyle w:val="AppendixH2"/>
      </w:pPr>
      <w:r w:rsidRPr="00C768BC">
        <w:t xml:space="preserve">Consultation on costs </w:t>
      </w:r>
    </w:p>
    <w:p w14:paraId="430CAB7B" w14:textId="77777777" w:rsidR="004F37A8" w:rsidRPr="003645A2" w:rsidRDefault="004F37A8" w:rsidP="008B41DA">
      <w:pPr>
        <w:pStyle w:val="BodyText"/>
        <w:spacing w:before="80" w:after="80"/>
      </w:pPr>
      <w:r w:rsidRPr="003645A2">
        <w:t xml:space="preserve">During </w:t>
      </w:r>
      <w:r>
        <w:t>the second information session</w:t>
      </w:r>
      <w:r w:rsidRPr="003645A2">
        <w:t>,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581B7084" w14:textId="77777777" w:rsidR="004F37A8" w:rsidRPr="003645A2" w:rsidRDefault="004F37A8" w:rsidP="008B41DA">
      <w:pPr>
        <w:pStyle w:val="Bullet1stlevel"/>
        <w:spacing w:before="80" w:after="80"/>
      </w:pPr>
      <w:r w:rsidRPr="003645A2">
        <w:t xml:space="preserve">Their demographic information; </w:t>
      </w:r>
    </w:p>
    <w:p w14:paraId="2FB84D4C" w14:textId="77777777" w:rsidR="004F37A8" w:rsidRPr="008B41DA" w:rsidRDefault="004F37A8" w:rsidP="008B41DA">
      <w:pPr>
        <w:pStyle w:val="Bullet1stlevel"/>
        <w:spacing w:before="80" w:after="80"/>
        <w:rPr>
          <w:spacing w:val="-2"/>
        </w:rPr>
      </w:pPr>
      <w:r w:rsidRPr="008B41DA">
        <w:rPr>
          <w:spacing w:val="-2"/>
        </w:rPr>
        <w:t xml:space="preserve">Effort and cost estimates split by one-off and ongoing costs, staff effort, capital and other operating costs, and an estimated range between expected costs and highest possible costs; and </w:t>
      </w:r>
    </w:p>
    <w:p w14:paraId="4C7A322D" w14:textId="77777777" w:rsidR="004F37A8" w:rsidRPr="003645A2" w:rsidRDefault="004F37A8" w:rsidP="008B41DA">
      <w:pPr>
        <w:pStyle w:val="Bullet1stlevel"/>
        <w:spacing w:before="80" w:after="80"/>
      </w:pPr>
      <w:r w:rsidRPr="003645A2">
        <w:t xml:space="preserve">Any comments on key boundaries, assumptions and cost drivers attached to the costing estimates provided. </w:t>
      </w:r>
    </w:p>
    <w:p w14:paraId="06E3D2D3" w14:textId="77777777" w:rsidR="004F37A8" w:rsidRPr="003B38F9" w:rsidRDefault="004F37A8" w:rsidP="008B41DA">
      <w:pPr>
        <w:pStyle w:val="BodyText"/>
        <w:spacing w:before="80" w:after="80"/>
      </w:pPr>
      <w:r w:rsidRPr="003645A2">
        <w:t xml:space="preserve">Industry was provided with the template on </w:t>
      </w:r>
      <w:r>
        <w:t>24 November</w:t>
      </w:r>
      <w:r w:rsidRPr="003645A2">
        <w:rPr>
          <w:bCs/>
        </w:rPr>
        <w:t xml:space="preserve"> 2021</w:t>
      </w:r>
      <w:r w:rsidRPr="003645A2">
        <w:t xml:space="preserve">, with submissions open for a period of four weeks and closing on </w:t>
      </w:r>
      <w:r>
        <w:t>22</w:t>
      </w:r>
      <w:r w:rsidRPr="003645A2">
        <w:rPr>
          <w:bCs/>
        </w:rPr>
        <w:t xml:space="preserve"> </w:t>
      </w:r>
      <w:r>
        <w:rPr>
          <w:bCs/>
        </w:rPr>
        <w:t>December</w:t>
      </w:r>
      <w:r w:rsidRPr="003645A2">
        <w:rPr>
          <w:bCs/>
        </w:rPr>
        <w:t xml:space="preserve"> 2021</w:t>
      </w:r>
      <w:r w:rsidRPr="003645A2">
        <w:t>.</w:t>
      </w:r>
    </w:p>
    <w:p w14:paraId="6D1BA066" w14:textId="77777777" w:rsidR="000C3D44" w:rsidRDefault="004F37A8" w:rsidP="008B41DA">
      <w:pPr>
        <w:pStyle w:val="BodyText"/>
      </w:pPr>
      <w:r w:rsidRPr="003B38F9">
        <w:t xml:space="preserve">The absence of entities within the sector that meet the definition of a small business indicated that consultation with the Australian Small Business and Family </w:t>
      </w:r>
      <w:r w:rsidRPr="008B41DA">
        <w:t>Enterprise</w:t>
      </w:r>
      <w:r w:rsidRPr="003B38F9">
        <w:t xml:space="preserve"> Ombudsman was not required to identify expected costs to small businesses in preparing this RIS.</w:t>
      </w:r>
      <w:r w:rsidRPr="003B38F9">
        <w:rPr>
          <w:vertAlign w:val="superscript"/>
        </w:rPr>
        <w:footnoteReference w:id="239"/>
      </w:r>
      <w:r w:rsidRPr="003B38F9">
        <w:t xml:space="preserve"> </w:t>
      </w:r>
      <w:r w:rsidR="000C3D44">
        <w:br w:type="page"/>
      </w:r>
    </w:p>
    <w:p w14:paraId="57E5484A" w14:textId="55DA1285" w:rsidR="000C3D44" w:rsidRDefault="000C3D44" w:rsidP="00636D32">
      <w:pPr>
        <w:pStyle w:val="AppendixH1"/>
      </w:pPr>
      <w:bookmarkStart w:id="613" w:name="_Toc121397422"/>
      <w:r w:rsidRPr="005F10B9">
        <w:lastRenderedPageBreak/>
        <w:t>Supplementary information for critical</w:t>
      </w:r>
      <w:r>
        <w:t xml:space="preserve"> </w:t>
      </w:r>
      <w:r w:rsidR="00C06BB9">
        <w:t>energy market operator</w:t>
      </w:r>
      <w:r>
        <w:t xml:space="preserve"> assets</w:t>
      </w:r>
      <w:bookmarkEnd w:id="613"/>
    </w:p>
    <w:p w14:paraId="121313A1" w14:textId="77777777" w:rsidR="000C3D44" w:rsidRDefault="000C3D44" w:rsidP="00636D32">
      <w:pPr>
        <w:pStyle w:val="AppendixH2"/>
      </w:pPr>
      <w:r>
        <w:t xml:space="preserve">Overview of the role of </w:t>
      </w:r>
      <w:r w:rsidR="00AE6606">
        <w:t>energy market operators</w:t>
      </w:r>
      <w:r>
        <w:t xml:space="preserve"> in Australia</w:t>
      </w:r>
    </w:p>
    <w:p w14:paraId="00E4CBAD" w14:textId="77777777" w:rsidR="001656B3" w:rsidRDefault="001656B3" w:rsidP="00636D32">
      <w:pPr>
        <w:pStyle w:val="BodyText"/>
      </w:pPr>
      <w:r>
        <w:t>E</w:t>
      </w:r>
      <w:r w:rsidRPr="00374A1D">
        <w:t xml:space="preserve">lectricity </w:t>
      </w:r>
      <w:r>
        <w:t>and gas are</w:t>
      </w:r>
      <w:r w:rsidRPr="00374A1D">
        <w:t xml:space="preserve"> major contributor</w:t>
      </w:r>
      <w:r>
        <w:t>s</w:t>
      </w:r>
      <w:r w:rsidRPr="00374A1D">
        <w:t xml:space="preserve"> to Australia’s economy and essential </w:t>
      </w:r>
      <w:r>
        <w:t xml:space="preserve">to </w:t>
      </w:r>
      <w:r w:rsidRPr="00374A1D">
        <w:t>efficient</w:t>
      </w:r>
      <w:r>
        <w:t>ly</w:t>
      </w:r>
      <w:r w:rsidRPr="00374A1D">
        <w:t xml:space="preserve"> conduct almost all day-to-day activities. </w:t>
      </w:r>
      <w:r>
        <w:t xml:space="preserve">Energy market operators manage electricity and gas systems and markets across Australia. </w:t>
      </w:r>
    </w:p>
    <w:p w14:paraId="4812F16D" w14:textId="29689B0A" w:rsidR="00DA3C17" w:rsidRDefault="00DA3C17" w:rsidP="00636D32">
      <w:pPr>
        <w:pStyle w:val="BodyText"/>
      </w:pPr>
      <w:r>
        <w:t xml:space="preserve">The Australian Energy Market Operator (AEMO) manages most wholesale and retail electricity and gas markets nationally, including the National Energy Market (NEM), servicing over 22 million Australians across the six eastern and southern states and territories, and the (WEM) in Western Australia. Meanwhile, PowerWater operates the Northern Territory Electricity Market (I-NTEM), Horizon Power operates electricity markets in regional Western Australia and Western Power operates the South Western Interconnected System (SWIS) in </w:t>
      </w:r>
      <w:r w:rsidR="00512B48">
        <w:t>south-western</w:t>
      </w:r>
      <w:r>
        <w:t xml:space="preserve"> WA. </w:t>
      </w:r>
    </w:p>
    <w:p w14:paraId="19C4C31C" w14:textId="77777777" w:rsidR="00DA3C17" w:rsidRDefault="00DA3C17" w:rsidP="00636D32">
      <w:pPr>
        <w:pStyle w:val="BodyText"/>
      </w:pPr>
      <w:r>
        <w:t>Their main activities are as follows:</w:t>
      </w:r>
    </w:p>
    <w:p w14:paraId="2C7DBADA" w14:textId="77777777" w:rsidR="00DA3C17" w:rsidRDefault="00DA3C17" w:rsidP="00636D32">
      <w:pPr>
        <w:pStyle w:val="Bullet1stlevel"/>
      </w:pPr>
      <w:r w:rsidRPr="00434D21">
        <w:rPr>
          <w:b/>
          <w:bCs/>
        </w:rPr>
        <w:t>Maintaining the security and reliability</w:t>
      </w:r>
      <w:r>
        <w:t xml:space="preserve"> of energy markets, which includes monitoring system performance and conducting forecasting to ensure supply meets demand, and crucially, restoring energy systems in the event of a disruption, which may involve coordinating with emergency management and state and territory governments. </w:t>
      </w:r>
    </w:p>
    <w:p w14:paraId="6E760114" w14:textId="77777777" w:rsidR="00DA3C17" w:rsidRPr="004C1D75" w:rsidRDefault="00DA3C17" w:rsidP="00636D32">
      <w:pPr>
        <w:pStyle w:val="Bullet1stlevel"/>
      </w:pPr>
      <w:r w:rsidRPr="00B65C55">
        <w:rPr>
          <w:b/>
          <w:bCs/>
        </w:rPr>
        <w:t>Operating the whole and retail energy markets</w:t>
      </w:r>
      <w:r>
        <w:t xml:space="preserve"> for the buying and selling of energy, which includes registering market participants, overseeing wholesale trading, managing electricity dispatch, operating retail market infrastructure and providing timely market data.</w:t>
      </w:r>
      <w:r>
        <w:rPr>
          <w:rStyle w:val="FootnoteReference"/>
          <w:rFonts w:eastAsia="Calibri"/>
        </w:rPr>
        <w:footnoteReference w:id="240"/>
      </w:r>
    </w:p>
    <w:p w14:paraId="40144BD6" w14:textId="23513B36" w:rsidR="001656B3" w:rsidRPr="00575A59" w:rsidRDefault="00DA3C17" w:rsidP="00636D32">
      <w:pPr>
        <w:pStyle w:val="BodyText"/>
      </w:pPr>
      <w:r w:rsidRPr="00575A59">
        <w:t xml:space="preserve">The </w:t>
      </w:r>
      <w:r w:rsidR="00384419">
        <w:t>SOCI Act</w:t>
      </w:r>
      <w:r w:rsidRPr="00575A59">
        <w:t xml:space="preserve"> refers to assets within a critical infrastructure sector as ‘critical infrastructure assets’. </w:t>
      </w:r>
      <w:r w:rsidR="001656B3">
        <w:t xml:space="preserve">Section </w:t>
      </w:r>
      <w:r w:rsidR="001656B3" w:rsidRPr="00575A59">
        <w:t xml:space="preserve">10 of the </w:t>
      </w:r>
      <w:r w:rsidR="00384419">
        <w:t>SOCI Act</w:t>
      </w:r>
      <w:r w:rsidR="001656B3" w:rsidRPr="00575A59">
        <w:t xml:space="preserve"> </w:t>
      </w:r>
      <w:r w:rsidR="001656B3">
        <w:t>outlines</w:t>
      </w:r>
      <w:r w:rsidR="001656B3" w:rsidRPr="00575A59">
        <w:t xml:space="preserve"> the following in relation to ‘critical energy market operator assets’:</w:t>
      </w:r>
    </w:p>
    <w:p w14:paraId="67D1A6D1" w14:textId="77777777" w:rsidR="00DA3C17" w:rsidRPr="00575A59" w:rsidRDefault="00DA3C17" w:rsidP="00380832">
      <w:pPr>
        <w:autoSpaceDE w:val="0"/>
        <w:autoSpaceDN w:val="0"/>
        <w:adjustRightInd w:val="0"/>
        <w:spacing w:line="259" w:lineRule="auto"/>
        <w:rPr>
          <w:rFonts w:eastAsia="Calibri"/>
          <w:i/>
          <w:color w:val="000000"/>
          <w:sz w:val="22"/>
          <w:szCs w:val="24"/>
        </w:rPr>
      </w:pPr>
      <w:r w:rsidRPr="00575A59">
        <w:rPr>
          <w:rFonts w:eastAsia="Calibri"/>
          <w:b/>
          <w:i/>
          <w:color w:val="000000"/>
          <w:sz w:val="22"/>
          <w:szCs w:val="24"/>
        </w:rPr>
        <w:t>Critical energy market operator asset</w:t>
      </w:r>
      <w:r w:rsidRPr="00575A59">
        <w:rPr>
          <w:rFonts w:eastAsia="Calibri"/>
          <w:i/>
          <w:color w:val="000000"/>
          <w:sz w:val="22"/>
          <w:szCs w:val="24"/>
        </w:rPr>
        <w:t xml:space="preserve"> means an asset that: </w:t>
      </w:r>
    </w:p>
    <w:p w14:paraId="70F9A0F3" w14:textId="77777777" w:rsidR="00DA3C17" w:rsidRPr="00575A59" w:rsidRDefault="00DA3C17" w:rsidP="00575A59">
      <w:pPr>
        <w:rPr>
          <w:i/>
          <w:sz w:val="22"/>
          <w:szCs w:val="24"/>
        </w:rPr>
      </w:pPr>
      <w:r w:rsidRPr="00575A59">
        <w:rPr>
          <w:i/>
          <w:sz w:val="22"/>
          <w:szCs w:val="24"/>
        </w:rPr>
        <w:t xml:space="preserve">(a) is owned or operated by: </w:t>
      </w:r>
    </w:p>
    <w:p w14:paraId="33A0823D" w14:textId="77777777" w:rsidR="00DA3C17" w:rsidRPr="00575A59" w:rsidRDefault="00DA3C17" w:rsidP="00575A59">
      <w:pPr>
        <w:ind w:firstLine="720"/>
        <w:rPr>
          <w:i/>
          <w:sz w:val="22"/>
          <w:szCs w:val="24"/>
        </w:rPr>
      </w:pPr>
      <w:r w:rsidRPr="00575A59">
        <w:rPr>
          <w:i/>
          <w:sz w:val="22"/>
          <w:szCs w:val="24"/>
        </w:rPr>
        <w:t>(i) Australian Energy Market Operator Limited (ACN 32 072 010 327); or</w:t>
      </w:r>
    </w:p>
    <w:p w14:paraId="2FB130A8" w14:textId="77777777" w:rsidR="00DA3C17" w:rsidRPr="00575A59" w:rsidRDefault="00DA3C17" w:rsidP="00575A59">
      <w:pPr>
        <w:ind w:firstLine="720"/>
        <w:rPr>
          <w:i/>
          <w:sz w:val="22"/>
          <w:szCs w:val="24"/>
        </w:rPr>
      </w:pPr>
      <w:r w:rsidRPr="00575A59">
        <w:rPr>
          <w:i/>
          <w:sz w:val="22"/>
          <w:szCs w:val="24"/>
        </w:rPr>
        <w:t xml:space="preserve">(ii) Power and Water Corporation; or </w:t>
      </w:r>
    </w:p>
    <w:p w14:paraId="3BA47659" w14:textId="77777777" w:rsidR="00DA3C17" w:rsidRPr="00575A59" w:rsidRDefault="00DA3C17" w:rsidP="00575A59">
      <w:pPr>
        <w:ind w:firstLine="720"/>
        <w:rPr>
          <w:i/>
          <w:sz w:val="22"/>
          <w:szCs w:val="24"/>
        </w:rPr>
      </w:pPr>
      <w:r w:rsidRPr="00575A59">
        <w:rPr>
          <w:i/>
          <w:sz w:val="22"/>
          <w:szCs w:val="24"/>
        </w:rPr>
        <w:t xml:space="preserve">(iii) Regional Power Corporation; or </w:t>
      </w:r>
    </w:p>
    <w:p w14:paraId="2F5CFB97" w14:textId="77777777" w:rsidR="00DA3C17" w:rsidRPr="00575A59" w:rsidRDefault="00DA3C17" w:rsidP="00575A59">
      <w:pPr>
        <w:ind w:firstLine="720"/>
        <w:rPr>
          <w:i/>
          <w:sz w:val="22"/>
          <w:szCs w:val="24"/>
        </w:rPr>
      </w:pPr>
      <w:r w:rsidRPr="00575A59">
        <w:rPr>
          <w:i/>
          <w:sz w:val="22"/>
          <w:szCs w:val="24"/>
        </w:rPr>
        <w:t>(iv) Electricity Networks Corporation; and</w:t>
      </w:r>
    </w:p>
    <w:p w14:paraId="1D2C9FBB" w14:textId="77777777" w:rsidR="00DA3C17" w:rsidRPr="00575A59" w:rsidRDefault="00DA3C17" w:rsidP="00575A59">
      <w:pPr>
        <w:rPr>
          <w:i/>
          <w:sz w:val="22"/>
          <w:szCs w:val="24"/>
        </w:rPr>
      </w:pPr>
      <w:r w:rsidRPr="00575A59">
        <w:rPr>
          <w:i/>
          <w:sz w:val="22"/>
          <w:szCs w:val="24"/>
        </w:rPr>
        <w:t xml:space="preserve">(b) is used in connection with the operation of an energy market or system; and </w:t>
      </w:r>
    </w:p>
    <w:p w14:paraId="53F89489" w14:textId="77777777" w:rsidR="00DA3C17" w:rsidRPr="00575A59" w:rsidRDefault="00DA3C17" w:rsidP="00575A59">
      <w:pPr>
        <w:rPr>
          <w:i/>
          <w:sz w:val="22"/>
          <w:szCs w:val="24"/>
        </w:rPr>
      </w:pPr>
      <w:r w:rsidRPr="00575A59">
        <w:rPr>
          <w:i/>
          <w:sz w:val="22"/>
          <w:szCs w:val="24"/>
        </w:rPr>
        <w:t>(c) is critical to ensuring the security and reliability of an energy market; but does not include:</w:t>
      </w:r>
    </w:p>
    <w:p w14:paraId="0267302D" w14:textId="77777777" w:rsidR="00DA3C17" w:rsidRPr="00575A59" w:rsidRDefault="00DA3C17" w:rsidP="00575A59">
      <w:pPr>
        <w:rPr>
          <w:i/>
          <w:sz w:val="22"/>
          <w:szCs w:val="24"/>
        </w:rPr>
      </w:pPr>
      <w:r w:rsidRPr="00575A59">
        <w:rPr>
          <w:i/>
          <w:sz w:val="22"/>
          <w:szCs w:val="24"/>
        </w:rPr>
        <w:t xml:space="preserve">(d) a critical electricity asset; or </w:t>
      </w:r>
    </w:p>
    <w:p w14:paraId="4BAFF11C" w14:textId="77777777" w:rsidR="00DA3C17" w:rsidRPr="00575A59" w:rsidRDefault="00DA3C17" w:rsidP="00575A59">
      <w:pPr>
        <w:rPr>
          <w:i/>
          <w:sz w:val="22"/>
          <w:szCs w:val="24"/>
        </w:rPr>
      </w:pPr>
      <w:r w:rsidRPr="00575A59">
        <w:rPr>
          <w:i/>
          <w:sz w:val="22"/>
          <w:szCs w:val="24"/>
        </w:rPr>
        <w:t xml:space="preserve">(e) a critical gas asset; or </w:t>
      </w:r>
    </w:p>
    <w:p w14:paraId="37C192F2" w14:textId="77777777" w:rsidR="000C3D44" w:rsidRPr="00575A59" w:rsidRDefault="00DA3C17" w:rsidP="00380832">
      <w:pPr>
        <w:rPr>
          <w:i/>
          <w:sz w:val="22"/>
          <w:szCs w:val="24"/>
        </w:rPr>
      </w:pPr>
      <w:r w:rsidRPr="00575A59">
        <w:rPr>
          <w:i/>
          <w:sz w:val="22"/>
          <w:szCs w:val="24"/>
        </w:rPr>
        <w:t>(f) a critical liquid fuel asset.</w:t>
      </w:r>
    </w:p>
    <w:p w14:paraId="182F1B3E" w14:textId="77777777" w:rsidR="000C3D44" w:rsidRDefault="000C3D44" w:rsidP="00636D32">
      <w:pPr>
        <w:pStyle w:val="AppendixH2"/>
      </w:pPr>
      <w:r>
        <w:t xml:space="preserve">Impacts of a disruption to </w:t>
      </w:r>
      <w:r w:rsidR="00C366FB">
        <w:t>critical energy market operator assets</w:t>
      </w:r>
    </w:p>
    <w:p w14:paraId="6234DE61" w14:textId="77777777" w:rsidR="00C366FB" w:rsidRPr="00DE27A4" w:rsidRDefault="00C366FB" w:rsidP="00396246">
      <w:pPr>
        <w:pStyle w:val="BodyText"/>
        <w:spacing w:after="80"/>
      </w:pPr>
      <w:r>
        <w:t xml:space="preserve">The consequences of a prolonged and widespread </w:t>
      </w:r>
      <w:r w:rsidR="00955588">
        <w:t xml:space="preserve">disruption to </w:t>
      </w:r>
      <w:r>
        <w:t>a critical energy market operator asset may include</w:t>
      </w:r>
      <w:r w:rsidR="00DE27A4">
        <w:t>:</w:t>
      </w:r>
    </w:p>
    <w:p w14:paraId="21442CAC" w14:textId="77777777" w:rsidR="00955588" w:rsidRDefault="00C366FB" w:rsidP="00396246">
      <w:pPr>
        <w:pStyle w:val="Bullet1stlevel"/>
        <w:spacing w:after="80"/>
      </w:pPr>
      <w:r>
        <w:lastRenderedPageBreak/>
        <w:t>D</w:t>
      </w:r>
      <w:r w:rsidR="00955588">
        <w:t>isruption to electricity, gas and water assets;</w:t>
      </w:r>
    </w:p>
    <w:p w14:paraId="4F727882" w14:textId="77777777" w:rsidR="00955588" w:rsidRPr="00D56449" w:rsidRDefault="00C366FB" w:rsidP="00396246">
      <w:pPr>
        <w:pStyle w:val="Bullet1stlevel"/>
        <w:spacing w:after="80"/>
      </w:pPr>
      <w:r>
        <w:t>D</w:t>
      </w:r>
      <w:r w:rsidR="00955588">
        <w:t>elays to the restoration of disrupted electricity, gas and water assets;</w:t>
      </w:r>
    </w:p>
    <w:p w14:paraId="7585EBA4" w14:textId="77777777" w:rsidR="00955588" w:rsidRPr="00374A1D" w:rsidRDefault="00C366FB" w:rsidP="00396246">
      <w:pPr>
        <w:pStyle w:val="Bullet1stlevel"/>
        <w:spacing w:after="80"/>
      </w:pPr>
      <w:r>
        <w:t>D</w:t>
      </w:r>
      <w:r w:rsidR="00955588" w:rsidRPr="00374A1D">
        <w:t xml:space="preserve">isruption to telecommunications networks which are dependent on electricity; </w:t>
      </w:r>
    </w:p>
    <w:p w14:paraId="2DADD94E" w14:textId="77777777" w:rsidR="00955588" w:rsidRPr="00374A1D" w:rsidRDefault="00C366FB" w:rsidP="00396246">
      <w:pPr>
        <w:pStyle w:val="Bullet1stlevel"/>
        <w:spacing w:after="80"/>
      </w:pPr>
      <w:r>
        <w:t>D</w:t>
      </w:r>
      <w:r w:rsidR="00955588" w:rsidRPr="00374A1D">
        <w:t xml:space="preserve">isruptions to transport infrastructure, traffic management systems and fuel supplies; </w:t>
      </w:r>
    </w:p>
    <w:p w14:paraId="01766061" w14:textId="77777777" w:rsidR="00955588" w:rsidRPr="00374A1D" w:rsidRDefault="00C366FB" w:rsidP="00396246">
      <w:pPr>
        <w:pStyle w:val="Bullet1stlevel"/>
        <w:spacing w:after="80"/>
      </w:pPr>
      <w:r>
        <w:t>R</w:t>
      </w:r>
      <w:r w:rsidR="00955588" w:rsidRPr="00374A1D">
        <w:t>educed services or closure of banking, finance and retail sectors</w:t>
      </w:r>
      <w:r w:rsidR="00955588">
        <w:t xml:space="preserve"> dependent on electricity; </w:t>
      </w:r>
    </w:p>
    <w:p w14:paraId="355C10F4" w14:textId="77777777" w:rsidR="00955588" w:rsidRDefault="00C366FB" w:rsidP="00396246">
      <w:pPr>
        <w:pStyle w:val="Bullet1stlevel"/>
        <w:spacing w:after="80"/>
      </w:pPr>
      <w:r>
        <w:t>A</w:t>
      </w:r>
      <w:r w:rsidR="00955588" w:rsidRPr="00374A1D">
        <w:t>n inability for businesses and governments to function as normal</w:t>
      </w:r>
      <w:r w:rsidR="00955588">
        <w:t>; and</w:t>
      </w:r>
    </w:p>
    <w:p w14:paraId="28031E76" w14:textId="77777777" w:rsidR="00955588" w:rsidRPr="00D56449" w:rsidRDefault="00C366FB" w:rsidP="00396246">
      <w:pPr>
        <w:pStyle w:val="Bullet1stlevel"/>
        <w:spacing w:after="80"/>
      </w:pPr>
      <w:r>
        <w:t>A</w:t>
      </w:r>
      <w:r w:rsidR="00955588" w:rsidRPr="00374A1D">
        <w:t xml:space="preserve"> reduction in </w:t>
      </w:r>
      <w:r w:rsidR="00955588">
        <w:t>business and market confidence.</w:t>
      </w:r>
    </w:p>
    <w:p w14:paraId="1229CF7E" w14:textId="77777777" w:rsidR="000C3D44" w:rsidRDefault="000C3D44" w:rsidP="00636D32">
      <w:pPr>
        <w:pStyle w:val="AppendixH2"/>
      </w:pPr>
      <w:r>
        <w:t xml:space="preserve">Examples of disruptions to </w:t>
      </w:r>
      <w:r w:rsidR="00C366FB">
        <w:t>critical energy market operator assets</w:t>
      </w:r>
      <w:r>
        <w:t xml:space="preserve"> – domestic and international</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367"/>
        <w:gridCol w:w="3271"/>
      </w:tblGrid>
      <w:tr w:rsidR="00340241" w:rsidRPr="00386A14" w14:paraId="75F0D10B" w14:textId="77777777" w:rsidTr="00EA2877">
        <w:tc>
          <w:tcPr>
            <w:tcW w:w="3303" w:type="pct"/>
            <w:shd w:val="clear" w:color="auto" w:fill="034EA2" w:themeFill="accent1"/>
          </w:tcPr>
          <w:p w14:paraId="6909CA62" w14:textId="77777777" w:rsidR="00097615" w:rsidRPr="00386A14" w:rsidRDefault="00097615" w:rsidP="00320236">
            <w:pPr>
              <w:pStyle w:val="TableHeading"/>
            </w:pPr>
            <w:r w:rsidRPr="006F1D72">
              <w:t>Australia’s summer bushfires threaten electricity grid (2020</w:t>
            </w:r>
            <w:r w:rsidRPr="0020096D">
              <w:t>)</w:t>
            </w:r>
          </w:p>
        </w:tc>
        <w:tc>
          <w:tcPr>
            <w:tcW w:w="1697" w:type="pct"/>
            <w:shd w:val="clear" w:color="auto" w:fill="007BC3" w:themeFill="accent2"/>
          </w:tcPr>
          <w:p w14:paraId="37A5FD3D" w14:textId="77777777" w:rsidR="00097615" w:rsidRPr="008A4846" w:rsidRDefault="00097615" w:rsidP="00320236">
            <w:pPr>
              <w:pStyle w:val="Tableriskcategory"/>
            </w:pPr>
            <w:r w:rsidRPr="008A4846">
              <w:t>Natural hazard &amp; physical risk</w:t>
            </w:r>
          </w:p>
        </w:tc>
      </w:tr>
      <w:tr w:rsidR="00097615" w:rsidRPr="00386A14" w14:paraId="6CEDB9FB" w14:textId="77777777" w:rsidTr="00EA2877">
        <w:tc>
          <w:tcPr>
            <w:tcW w:w="5000" w:type="pct"/>
            <w:gridSpan w:val="2"/>
            <w:shd w:val="clear" w:color="auto" w:fill="auto"/>
          </w:tcPr>
          <w:p w14:paraId="32908291" w14:textId="77777777" w:rsidR="00097615" w:rsidRPr="00EA2877" w:rsidRDefault="00097615" w:rsidP="00502ABE">
            <w:pPr>
              <w:pStyle w:val="TableBody"/>
              <w:rPr>
                <w:b/>
                <w:bCs/>
              </w:rPr>
            </w:pPr>
            <w:r w:rsidRPr="00EA2877">
              <w:rPr>
                <w:b/>
                <w:bCs/>
              </w:rPr>
              <w:t xml:space="preserve">Situation: </w:t>
            </w:r>
            <w:r w:rsidRPr="00EA2877">
              <w:rPr>
                <w:rStyle w:val="Style3Char"/>
                <w:b w:val="0"/>
                <w:bCs w:val="0"/>
              </w:rPr>
              <w:t>The Australian bushfires in the summer of 2020, which destroyed more than 10 million hectares of land and killed more than a billion animals, saw unprecedented pressure on Australia’s electricity grid. While the biggest potential threat, that bushfires would strike the critical interconnector linking the Victorian and New South Wales electricity grids, was not realised, accompanying extreme hot weather saw significant increases in the demand for electricity.</w:t>
            </w:r>
            <w:r w:rsidRPr="00EA2877">
              <w:rPr>
                <w:rStyle w:val="Style3Char"/>
                <w:b w:val="0"/>
                <w:bCs w:val="0"/>
                <w:vertAlign w:val="superscript"/>
              </w:rPr>
              <w:footnoteReference w:id="241"/>
            </w:r>
          </w:p>
        </w:tc>
      </w:tr>
      <w:tr w:rsidR="00097615" w:rsidRPr="00386A14" w14:paraId="0F21D07A" w14:textId="77777777" w:rsidTr="00EA2877">
        <w:tc>
          <w:tcPr>
            <w:tcW w:w="5000" w:type="pct"/>
            <w:gridSpan w:val="2"/>
          </w:tcPr>
          <w:p w14:paraId="7704D30F" w14:textId="77777777" w:rsidR="00097615" w:rsidRPr="00EA2877" w:rsidRDefault="00097615" w:rsidP="00502ABE">
            <w:pPr>
              <w:pStyle w:val="TableBody"/>
              <w:rPr>
                <w:b/>
                <w:bCs/>
              </w:rPr>
            </w:pPr>
            <w:r w:rsidRPr="00EA2877">
              <w:rPr>
                <w:b/>
                <w:bCs/>
              </w:rPr>
              <w:t xml:space="preserve">Outcome: </w:t>
            </w:r>
            <w:r w:rsidRPr="00EA2877">
              <w:rPr>
                <w:rStyle w:val="Style3Char"/>
                <w:b w:val="0"/>
                <w:bCs w:val="0"/>
              </w:rPr>
              <w:t>The combination of catastrophic bushfires and extreme weather conditions saw some Australian customers without electricity for an extended period. The Australian Energy Market Operator (AEMO) issued a level two ‘lack of reserve’ warning and signalled a potential need to call on emergency power reserves to avoid widespread blackouts. Approximately 10,000 customers in the Tumbarumba and South Coast regions, as well as an additional 5,800 were without electricity between New Years Eve of 2019 and early January 2020.</w:t>
            </w:r>
            <w:r w:rsidRPr="00EA2877">
              <w:rPr>
                <w:rStyle w:val="Style3Char"/>
                <w:b w:val="0"/>
                <w:bCs w:val="0"/>
                <w:vertAlign w:val="superscript"/>
              </w:rPr>
              <w:footnoteReference w:id="242"/>
            </w:r>
            <w:r w:rsidRPr="00EA2877">
              <w:rPr>
                <w:rStyle w:val="Style3Char"/>
                <w:b w:val="0"/>
                <w:bCs w:val="0"/>
              </w:rPr>
              <w:t xml:space="preserve"> </w:t>
            </w:r>
          </w:p>
        </w:tc>
      </w:tr>
      <w:tr w:rsidR="00097615" w:rsidRPr="00386A14" w14:paraId="16ED613B" w14:textId="77777777" w:rsidTr="00EA2877">
        <w:tc>
          <w:tcPr>
            <w:tcW w:w="5000" w:type="pct"/>
            <w:gridSpan w:val="2"/>
            <w:shd w:val="clear" w:color="auto" w:fill="auto"/>
          </w:tcPr>
          <w:p w14:paraId="1F478CB3" w14:textId="77777777" w:rsidR="00097615" w:rsidRPr="00EA2877" w:rsidRDefault="00097615" w:rsidP="00502ABE">
            <w:pPr>
              <w:pStyle w:val="TableBody"/>
              <w:rPr>
                <w:b/>
                <w:bCs/>
              </w:rPr>
            </w:pPr>
            <w:r w:rsidRPr="00EA2877">
              <w:rPr>
                <w:b/>
                <w:bCs/>
              </w:rPr>
              <w:t xml:space="preserve">Identified Gap: </w:t>
            </w:r>
            <w:r w:rsidRPr="00EA2877">
              <w:rPr>
                <w:rStyle w:val="Style3Char"/>
                <w:b w:val="0"/>
                <w:bCs w:val="0"/>
              </w:rPr>
              <w:t>Rural towns and those residing on the edge of the electricity grid had no or insufficient back-up supplies or lacked a contingency plan. This caused power outages across regional communities and meant some critical energy assets were unable to sustain operation for the duration of the bushfire disaster. The continued emergency reflected the need for regional market operators to have thorough RMPs which reflect ways to mitigate the risks associated with the increase in natural hazards such as bushfires to prevent outages in the provision of electricity during times of emergency.</w:t>
            </w:r>
          </w:p>
        </w:tc>
      </w:tr>
    </w:tbl>
    <w:p w14:paraId="2BB7E2BC" w14:textId="0DD39D41" w:rsidR="000C3D44" w:rsidRDefault="000C3D44" w:rsidP="000C3D44">
      <w:pPr>
        <w:pStyle w:val="BodyText"/>
      </w:pPr>
    </w:p>
    <w:p w14:paraId="0A4476A5" w14:textId="26242CCD" w:rsidR="00EA2877" w:rsidRDefault="00EA2877" w:rsidP="000C3D44">
      <w:pPr>
        <w:pStyle w:val="BodyText"/>
      </w:pPr>
    </w:p>
    <w:p w14:paraId="54D7695F" w14:textId="66F2447D" w:rsidR="00EA2877" w:rsidRDefault="00EA2877" w:rsidP="000C3D44">
      <w:pPr>
        <w:pStyle w:val="BodyText"/>
      </w:pPr>
    </w:p>
    <w:p w14:paraId="773A6D96" w14:textId="77777777" w:rsidR="00EA2877" w:rsidRDefault="00EA2877" w:rsidP="000C3D44">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274"/>
        <w:gridCol w:w="3364"/>
      </w:tblGrid>
      <w:tr w:rsidR="00982CCB" w:rsidRPr="009446DF" w14:paraId="12B553BF" w14:textId="77777777" w:rsidTr="00EA2877">
        <w:tc>
          <w:tcPr>
            <w:tcW w:w="3255" w:type="pct"/>
            <w:shd w:val="clear" w:color="auto" w:fill="034EA2" w:themeFill="accent1"/>
          </w:tcPr>
          <w:p w14:paraId="48821904" w14:textId="77777777" w:rsidR="00982CCB" w:rsidRPr="009446DF" w:rsidRDefault="00982CCB" w:rsidP="00320236">
            <w:pPr>
              <w:pStyle w:val="TableHeading"/>
              <w:rPr>
                <w:rFonts w:eastAsia="Calibri" w:cstheme="majorHAnsi"/>
              </w:rPr>
            </w:pPr>
            <w:r w:rsidRPr="006F1D72">
              <w:t>Ukraine’s extended power disruptions (2015</w:t>
            </w:r>
            <w:r w:rsidRPr="00386A14">
              <w:t>)</w:t>
            </w:r>
          </w:p>
        </w:tc>
        <w:tc>
          <w:tcPr>
            <w:tcW w:w="1745" w:type="pct"/>
            <w:shd w:val="clear" w:color="auto" w:fill="007BC3" w:themeFill="accent2"/>
          </w:tcPr>
          <w:p w14:paraId="42069CAC" w14:textId="77777777" w:rsidR="00982CCB" w:rsidRPr="008A4846" w:rsidRDefault="00982CCB" w:rsidP="00320236">
            <w:pPr>
              <w:pStyle w:val="Tableriskcategory"/>
            </w:pPr>
            <w:r w:rsidRPr="008A4846">
              <w:t>Physical</w:t>
            </w:r>
          </w:p>
        </w:tc>
      </w:tr>
      <w:tr w:rsidR="00982CCB" w:rsidRPr="00DF7750" w14:paraId="15AEB438" w14:textId="77777777" w:rsidTr="00EA2877">
        <w:tc>
          <w:tcPr>
            <w:tcW w:w="5000" w:type="pct"/>
            <w:gridSpan w:val="2"/>
            <w:shd w:val="clear" w:color="auto" w:fill="auto"/>
          </w:tcPr>
          <w:p w14:paraId="515A7105" w14:textId="0127D260" w:rsidR="00982CCB" w:rsidRPr="00EA2877" w:rsidRDefault="00982CCB" w:rsidP="00502ABE">
            <w:pPr>
              <w:pStyle w:val="TableBody"/>
              <w:rPr>
                <w:rFonts w:ascii="Arial" w:hAnsi="Arial" w:cs="Arial"/>
                <w:b/>
                <w:bCs/>
              </w:rPr>
            </w:pPr>
            <w:r w:rsidRPr="00EA2877">
              <w:rPr>
                <w:rFonts w:ascii="Arial" w:hAnsi="Arial" w:cs="Arial"/>
                <w:b/>
                <w:bCs/>
              </w:rPr>
              <w:t>Situation</w:t>
            </w:r>
            <w:r w:rsidRPr="00EA2877">
              <w:rPr>
                <w:b/>
                <w:bCs/>
              </w:rPr>
              <w:t xml:space="preserve">: </w:t>
            </w:r>
            <w:r w:rsidRPr="00EA2877">
              <w:rPr>
                <w:rStyle w:val="Style3Char"/>
                <w:b w:val="0"/>
                <w:bCs w:val="0"/>
              </w:rPr>
              <w:t>On 23 December 201</w:t>
            </w:r>
            <w:r w:rsidR="003F7A0E" w:rsidRPr="00EA2877">
              <w:rPr>
                <w:rStyle w:val="Style3Char"/>
                <w:b w:val="0"/>
                <w:bCs w:val="0"/>
              </w:rPr>
              <w:t>5</w:t>
            </w:r>
            <w:r w:rsidRPr="00EA2877">
              <w:rPr>
                <w:rStyle w:val="Style3Char"/>
                <w:b w:val="0"/>
                <w:bCs w:val="0"/>
              </w:rPr>
              <w:t>, malicious actors launched a sophisticated attack on the Ukrainian power grid, taking control of three energy distributors’ Supervisory Control and Data Acquisition Networks. The attack saw the malicious actors attain remote access to and control over the firms’ computers, allowing circuit breakers to be tripped and eventually taking thirty substations offline. Attackers also sought to disable or destroy other digital infrastructure, by wiping essential data from the companies’ networks. Concurrently, a call centre that provided up to date information to consumers about the blackout was rendered inoperable due to a denial-of-service attack.</w:t>
            </w:r>
          </w:p>
        </w:tc>
      </w:tr>
      <w:tr w:rsidR="00982CCB" w:rsidRPr="002C352A" w14:paraId="64204CFD" w14:textId="77777777" w:rsidTr="00EA2877">
        <w:tc>
          <w:tcPr>
            <w:tcW w:w="5000" w:type="pct"/>
            <w:gridSpan w:val="2"/>
          </w:tcPr>
          <w:p w14:paraId="6A44954B" w14:textId="6FBE6691" w:rsidR="00982CCB" w:rsidRPr="00EA2877" w:rsidRDefault="00982CCB" w:rsidP="00502ABE">
            <w:pPr>
              <w:pStyle w:val="TableBody"/>
              <w:rPr>
                <w:rFonts w:ascii="Arial" w:hAnsi="Arial" w:cs="Arial"/>
                <w:b/>
                <w:bCs/>
              </w:rPr>
            </w:pPr>
            <w:r w:rsidRPr="00EA2877">
              <w:rPr>
                <w:rFonts w:ascii="Arial" w:hAnsi="Arial" w:cs="Arial"/>
                <w:b/>
                <w:bCs/>
              </w:rPr>
              <w:t xml:space="preserve">Outcome: </w:t>
            </w:r>
            <w:r w:rsidRPr="00EA2877">
              <w:rPr>
                <w:rStyle w:val="Style3Char"/>
                <w:b w:val="0"/>
                <w:bCs w:val="0"/>
              </w:rPr>
              <w:t xml:space="preserve">While less than 1 per cent of the country’s daily consumption of energy was disrupted, the attack left over 225,000 Ukrainians, in the middle of winter, without power for several hours. Two months </w:t>
            </w:r>
            <w:r w:rsidRPr="00EA2877">
              <w:rPr>
                <w:rStyle w:val="Style3Char"/>
                <w:b w:val="0"/>
                <w:bCs w:val="0"/>
              </w:rPr>
              <w:lastRenderedPageBreak/>
              <w:t>after the attack, some substations were still not fully operational and required manual operation to continue functioning.</w:t>
            </w:r>
            <w:r w:rsidRPr="00EA2877">
              <w:rPr>
                <w:b/>
                <w:bCs/>
              </w:rPr>
              <w:t xml:space="preserve">  </w:t>
            </w:r>
          </w:p>
        </w:tc>
      </w:tr>
      <w:tr w:rsidR="00982CCB" w:rsidRPr="002C352A" w14:paraId="31B03BA5" w14:textId="77777777" w:rsidTr="00EA2877">
        <w:tc>
          <w:tcPr>
            <w:tcW w:w="5000" w:type="pct"/>
            <w:gridSpan w:val="2"/>
            <w:shd w:val="clear" w:color="auto" w:fill="auto"/>
          </w:tcPr>
          <w:p w14:paraId="46367195" w14:textId="75D4FA37" w:rsidR="00982CCB" w:rsidRPr="00EA2877" w:rsidRDefault="00982CCB" w:rsidP="00502ABE">
            <w:pPr>
              <w:pStyle w:val="TableBody"/>
              <w:rPr>
                <w:rFonts w:ascii="Arial" w:hAnsi="Arial" w:cs="Arial"/>
                <w:b/>
                <w:bCs/>
              </w:rPr>
            </w:pPr>
            <w:r w:rsidRPr="00EA2877">
              <w:rPr>
                <w:rFonts w:ascii="Arial" w:hAnsi="Arial" w:cs="Arial"/>
                <w:b/>
                <w:bCs/>
              </w:rPr>
              <w:lastRenderedPageBreak/>
              <w:t>Identified Gap:</w:t>
            </w:r>
            <w:r w:rsidR="001656B3" w:rsidRPr="00EA2877">
              <w:rPr>
                <w:rStyle w:val="Style3Char"/>
                <w:b w:val="0"/>
                <w:bCs w:val="0"/>
              </w:rPr>
              <w:t xml:space="preserve"> </w:t>
            </w:r>
            <w:r w:rsidRPr="00EA2877">
              <w:rPr>
                <w:rStyle w:val="Style3Char"/>
                <w:b w:val="0"/>
                <w:bCs w:val="0"/>
              </w:rPr>
              <w:t>The attack is believed to be the first known cyber intrusion with success in downing the operation of a power grid. This incident highlights that while it is imperative to ensure the protection of critical energy market operator assets, supplementary and connected services must also be protected. For example, the disruption of the Ukraine power plant’s customer service centre heightened, and prolonged, the effects of the attack itself.</w:t>
            </w:r>
            <w:r w:rsidRPr="00EA2877">
              <w:rPr>
                <w:b/>
                <w:bCs/>
              </w:rPr>
              <w:t xml:space="preserve">  </w:t>
            </w:r>
          </w:p>
        </w:tc>
      </w:tr>
    </w:tbl>
    <w:p w14:paraId="2C3DAA9C" w14:textId="77777777" w:rsidR="000F6F83" w:rsidRDefault="000F6F83" w:rsidP="000C3D44">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274"/>
        <w:gridCol w:w="3364"/>
      </w:tblGrid>
      <w:tr w:rsidR="00117BA8" w:rsidRPr="009446DF" w14:paraId="60F906C1" w14:textId="77777777" w:rsidTr="00EA2877">
        <w:tc>
          <w:tcPr>
            <w:tcW w:w="3255" w:type="pct"/>
            <w:shd w:val="clear" w:color="auto" w:fill="034EA2" w:themeFill="accent1"/>
          </w:tcPr>
          <w:p w14:paraId="54C6F445" w14:textId="77777777" w:rsidR="00117BA8" w:rsidRPr="009446DF" w:rsidRDefault="008A1651" w:rsidP="00320236">
            <w:pPr>
              <w:pStyle w:val="TableHeading"/>
              <w:rPr>
                <w:rFonts w:eastAsia="Calibri" w:cstheme="majorHAnsi"/>
              </w:rPr>
            </w:pPr>
            <w:r w:rsidRPr="006F1D72">
              <w:t>Malware attack on Saudi Arabian petrochemical plant (2017)</w:t>
            </w:r>
          </w:p>
        </w:tc>
        <w:tc>
          <w:tcPr>
            <w:tcW w:w="1745" w:type="pct"/>
            <w:shd w:val="clear" w:color="auto" w:fill="007BC3" w:themeFill="accent2"/>
          </w:tcPr>
          <w:p w14:paraId="6F95CD7C" w14:textId="77777777" w:rsidR="00117BA8" w:rsidRPr="008A4846" w:rsidRDefault="00117BA8" w:rsidP="00320236">
            <w:pPr>
              <w:pStyle w:val="Tableriskcategory"/>
            </w:pPr>
            <w:r w:rsidRPr="008A4846">
              <w:t>Physical</w:t>
            </w:r>
            <w:r w:rsidR="008A1651" w:rsidRPr="008A4846">
              <w:t>, cyber &amp; personnel risk</w:t>
            </w:r>
          </w:p>
        </w:tc>
      </w:tr>
      <w:tr w:rsidR="00117BA8" w:rsidRPr="00DF7750" w14:paraId="27277FEE" w14:textId="77777777" w:rsidTr="00EA2877">
        <w:tc>
          <w:tcPr>
            <w:tcW w:w="5000" w:type="pct"/>
            <w:gridSpan w:val="2"/>
            <w:shd w:val="clear" w:color="auto" w:fill="auto"/>
          </w:tcPr>
          <w:p w14:paraId="4C850BEE" w14:textId="78E453FD" w:rsidR="00117BA8" w:rsidRPr="00DF7750" w:rsidRDefault="00117BA8" w:rsidP="00502ABE">
            <w:pPr>
              <w:pStyle w:val="TableBody"/>
              <w:rPr>
                <w:rFonts w:ascii="Arial" w:eastAsia="Times New Roman" w:hAnsi="Arial" w:cs="Arial"/>
                <w:b/>
              </w:rPr>
            </w:pPr>
            <w:r w:rsidRPr="00EA2877">
              <w:rPr>
                <w:rFonts w:ascii="Arial" w:eastAsia="Times New Roman" w:hAnsi="Arial" w:cs="Arial"/>
                <w:b/>
                <w:bCs/>
              </w:rPr>
              <w:t>Situation</w:t>
            </w:r>
            <w:r w:rsidRPr="00374A1D">
              <w:rPr>
                <w:rFonts w:ascii="Arial" w:eastAsia="Times New Roman" w:hAnsi="Arial" w:cs="Arial"/>
              </w:rPr>
              <w:t>:</w:t>
            </w:r>
            <w:r w:rsidRPr="00386A14">
              <w:t xml:space="preserve"> In 2017, hackers deployed malware on a Saudi Arabian petrochemical plant, which allowed remote access to and control over the plant’s safety systems. The safety systems were designed as a ‘last line of defence’ against plant malfunctions, supporting plant processes in returning to safe levels or forcing them to cease operating where the threat of continued operation was too great.</w:t>
            </w:r>
            <w:r w:rsidRPr="00386A14">
              <w:rPr>
                <w:vertAlign w:val="superscript"/>
              </w:rPr>
              <w:footnoteRef/>
            </w:r>
            <w:r w:rsidRPr="00386A14">
              <w:t xml:space="preserve"> The malware deployed to conduct the intrusion is widely suspected to be built by a nation-state actor.</w:t>
            </w:r>
            <w:r w:rsidRPr="00386A14">
              <w:rPr>
                <w:vertAlign w:val="superscript"/>
              </w:rPr>
              <w:footnoteReference w:id="243"/>
            </w:r>
          </w:p>
        </w:tc>
      </w:tr>
      <w:tr w:rsidR="00117BA8" w:rsidRPr="002C352A" w14:paraId="54DCE040" w14:textId="77777777" w:rsidTr="00EA2877">
        <w:tc>
          <w:tcPr>
            <w:tcW w:w="5000" w:type="pct"/>
            <w:gridSpan w:val="2"/>
          </w:tcPr>
          <w:p w14:paraId="31639877" w14:textId="76090992" w:rsidR="00117BA8" w:rsidRPr="00EA2877" w:rsidRDefault="00117BA8" w:rsidP="00502ABE">
            <w:pPr>
              <w:pStyle w:val="TableBody"/>
              <w:rPr>
                <w:rFonts w:ascii="Arial" w:hAnsi="Arial" w:cs="Arial"/>
                <w:b/>
                <w:bCs/>
              </w:rPr>
            </w:pPr>
            <w:r w:rsidRPr="00EA2877">
              <w:rPr>
                <w:rFonts w:ascii="Arial" w:hAnsi="Arial" w:cs="Arial"/>
                <w:b/>
                <w:bCs/>
              </w:rPr>
              <w:t>Outcome:</w:t>
            </w:r>
            <w:r w:rsidRPr="00EA2877">
              <w:rPr>
                <w:rStyle w:val="Style3Char"/>
                <w:b w:val="0"/>
                <w:bCs w:val="0"/>
              </w:rPr>
              <w:t xml:space="preserve"> A flaw in the hackers’ code meant their infiltration operation was ultimately unsuccessful. However, had the hackers’ infiltration been successful, it could have led to the release of toxic hydrogen sulphide gas or prompted explosions, putting at risk the lives of those who work at the facility and those in the surrounding area.</w:t>
            </w:r>
            <w:r w:rsidRPr="00EA2877">
              <w:rPr>
                <w:rStyle w:val="Style3Char"/>
                <w:b w:val="0"/>
                <w:bCs w:val="0"/>
                <w:vertAlign w:val="superscript"/>
              </w:rPr>
              <w:footnoteRef/>
            </w:r>
          </w:p>
        </w:tc>
      </w:tr>
      <w:tr w:rsidR="00117BA8" w:rsidRPr="002C352A" w14:paraId="1B449FF5" w14:textId="77777777" w:rsidTr="00EA2877">
        <w:tc>
          <w:tcPr>
            <w:tcW w:w="5000" w:type="pct"/>
            <w:gridSpan w:val="2"/>
            <w:shd w:val="clear" w:color="auto" w:fill="auto"/>
          </w:tcPr>
          <w:p w14:paraId="3893DAFB" w14:textId="5DD6A44D" w:rsidR="00117BA8" w:rsidRPr="00374A1D" w:rsidRDefault="00117BA8" w:rsidP="00502ABE">
            <w:pPr>
              <w:pStyle w:val="TableBody"/>
              <w:rPr>
                <w:rFonts w:ascii="Arial" w:eastAsia="Times New Roman" w:hAnsi="Arial" w:cs="Arial"/>
              </w:rPr>
            </w:pPr>
            <w:r w:rsidRPr="00EA2877">
              <w:rPr>
                <w:rFonts w:ascii="Arial" w:eastAsia="Times New Roman" w:hAnsi="Arial" w:cs="Arial"/>
                <w:b/>
                <w:bCs/>
              </w:rPr>
              <w:t>Identified Gap:</w:t>
            </w:r>
            <w:r w:rsidRPr="009739FE">
              <w:t xml:space="preserve"> </w:t>
            </w:r>
            <w:r w:rsidRPr="00386A14">
              <w:t>The attack highlighted the need for entities to maintain pace with evolving malware capabilities and work to strengthen their ‘last line of defence’. Without adequate protections and consistent re-evaluations, operating systems considered critical to defending against catastrophic events, may be compromised.</w:t>
            </w:r>
            <w:r w:rsidRPr="00386A14">
              <w:rPr>
                <w:vertAlign w:val="superscript"/>
              </w:rPr>
              <w:footnoteReference w:id="244"/>
            </w:r>
          </w:p>
        </w:tc>
      </w:tr>
    </w:tbl>
    <w:p w14:paraId="0B715030" w14:textId="17426F10" w:rsidR="000F6F83" w:rsidRDefault="000F6F83" w:rsidP="000C3D44">
      <w:pPr>
        <w:pStyle w:val="BodyText"/>
      </w:pPr>
    </w:p>
    <w:p w14:paraId="6AAB6D7C" w14:textId="45E32C4A" w:rsidR="00EA2877" w:rsidRDefault="00EA2877" w:rsidP="000C3D44">
      <w:pPr>
        <w:pStyle w:val="BodyText"/>
      </w:pPr>
    </w:p>
    <w:p w14:paraId="3726F304" w14:textId="6C45BC03" w:rsidR="00EA2877" w:rsidRDefault="00EA2877" w:rsidP="000C3D44">
      <w:pPr>
        <w:pStyle w:val="BodyText"/>
      </w:pPr>
    </w:p>
    <w:p w14:paraId="4A4ABDF1" w14:textId="3065B452" w:rsidR="00EA2877" w:rsidRDefault="00EA2877" w:rsidP="000C3D44">
      <w:pPr>
        <w:pStyle w:val="BodyText"/>
      </w:pPr>
    </w:p>
    <w:p w14:paraId="48C38B99" w14:textId="10CF564F" w:rsidR="00EA2877" w:rsidRDefault="00EA2877" w:rsidP="000C3D44">
      <w:pPr>
        <w:pStyle w:val="BodyText"/>
      </w:pPr>
    </w:p>
    <w:p w14:paraId="7D2ED37C" w14:textId="77777777" w:rsidR="00EA2877" w:rsidRDefault="00EA2877" w:rsidP="000C3D44">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274"/>
        <w:gridCol w:w="3364"/>
      </w:tblGrid>
      <w:tr w:rsidR="00340241" w:rsidRPr="009446DF" w14:paraId="0A2B9725" w14:textId="77777777" w:rsidTr="00EA2877">
        <w:trPr>
          <w:trHeight w:val="112"/>
        </w:trPr>
        <w:tc>
          <w:tcPr>
            <w:tcW w:w="3255" w:type="pct"/>
            <w:shd w:val="clear" w:color="auto" w:fill="034EA2" w:themeFill="accent1"/>
          </w:tcPr>
          <w:p w14:paraId="151DEAF3" w14:textId="77777777" w:rsidR="00CF2B5F" w:rsidRPr="009446DF" w:rsidRDefault="00CF2B5F" w:rsidP="00320236">
            <w:pPr>
              <w:pStyle w:val="TableHeading"/>
              <w:rPr>
                <w:rFonts w:eastAsia="Calibri" w:cstheme="majorHAnsi"/>
              </w:rPr>
            </w:pPr>
            <w:r w:rsidRPr="006F1D72">
              <w:t>Japan’s earthquake and tsunami cause</w:t>
            </w:r>
            <w:r w:rsidR="001E4026">
              <w:t xml:space="preserve"> </w:t>
            </w:r>
            <w:r w:rsidRPr="006F1D72">
              <w:t>blackouts (2011)</w:t>
            </w:r>
          </w:p>
        </w:tc>
        <w:tc>
          <w:tcPr>
            <w:tcW w:w="1745" w:type="pct"/>
            <w:shd w:val="clear" w:color="auto" w:fill="007BC3" w:themeFill="accent2"/>
          </w:tcPr>
          <w:p w14:paraId="37CB37E1" w14:textId="77777777" w:rsidR="00CF2B5F" w:rsidRPr="000F20CF" w:rsidRDefault="00CF2B5F" w:rsidP="00EA2877">
            <w:pPr>
              <w:pStyle w:val="Tableriskcategory"/>
              <w:rPr>
                <w:sz w:val="18"/>
                <w:szCs w:val="18"/>
              </w:rPr>
            </w:pPr>
            <w:r w:rsidRPr="008A4846">
              <w:t>Physical</w:t>
            </w:r>
          </w:p>
        </w:tc>
      </w:tr>
      <w:tr w:rsidR="00CF2B5F" w:rsidRPr="00DF7750" w14:paraId="7C0383A8" w14:textId="77777777" w:rsidTr="00EA2877">
        <w:tc>
          <w:tcPr>
            <w:tcW w:w="5000" w:type="pct"/>
            <w:gridSpan w:val="2"/>
            <w:shd w:val="clear" w:color="auto" w:fill="auto"/>
          </w:tcPr>
          <w:p w14:paraId="45522934" w14:textId="77777777" w:rsidR="00CF2B5F" w:rsidRPr="007E6F7C" w:rsidRDefault="00CF2B5F" w:rsidP="00502ABE">
            <w:pPr>
              <w:pStyle w:val="TableBody"/>
              <w:rPr>
                <w:rFonts w:ascii="Arial" w:eastAsia="Times New Roman" w:hAnsi="Arial" w:cs="Arial"/>
                <w:b/>
              </w:rPr>
            </w:pPr>
            <w:r w:rsidRPr="00EA2877">
              <w:rPr>
                <w:rFonts w:ascii="Arial" w:eastAsia="Times New Roman" w:hAnsi="Arial" w:cs="Arial"/>
                <w:b/>
                <w:bCs/>
              </w:rPr>
              <w:t>Situation</w:t>
            </w:r>
            <w:r w:rsidRPr="007E6F7C">
              <w:rPr>
                <w:rFonts w:ascii="Arial" w:eastAsia="Times New Roman" w:hAnsi="Arial" w:cs="Arial"/>
              </w:rPr>
              <w:t>:</w:t>
            </w:r>
            <w:r w:rsidRPr="007E6F7C">
              <w:t xml:space="preserve"> In March 2011, Japan experienced its strongest earthquake in history, which subsequently caused the Tohoku tsunami – producing waves of up to 40 meters. Following the disaster, large parts of Japan were plunged into darkness amid rolling blackouts caused from a drastic reduction in the supply of electricity. At the time of the incident, Japan relied on nuclear energy for approximately one quarter of its electricity. Of the country’s 54 reactors, 11 were forced to close following the disaster, leaving 2.6 million households without power.</w:t>
            </w:r>
            <w:r w:rsidRPr="007E6F7C">
              <w:rPr>
                <w:vertAlign w:val="superscript"/>
              </w:rPr>
              <w:footnoteReference w:id="245"/>
            </w:r>
            <w:r w:rsidRPr="007E6F7C">
              <w:rPr>
                <w:vertAlign w:val="superscript"/>
              </w:rPr>
              <w:t xml:space="preserve">  </w:t>
            </w:r>
          </w:p>
        </w:tc>
      </w:tr>
      <w:tr w:rsidR="00CF2B5F" w:rsidRPr="002C352A" w14:paraId="4F4A765D" w14:textId="77777777" w:rsidTr="00EA2877">
        <w:tc>
          <w:tcPr>
            <w:tcW w:w="5000" w:type="pct"/>
            <w:gridSpan w:val="2"/>
          </w:tcPr>
          <w:p w14:paraId="2DDEC715" w14:textId="77777777" w:rsidR="00CF2B5F" w:rsidRPr="007E6F7C" w:rsidRDefault="00CF2B5F" w:rsidP="00502ABE">
            <w:pPr>
              <w:pStyle w:val="TableBody"/>
              <w:rPr>
                <w:b/>
              </w:rPr>
            </w:pPr>
            <w:r w:rsidRPr="00EA2877">
              <w:rPr>
                <w:rFonts w:ascii="Arial" w:eastAsia="Times New Roman" w:hAnsi="Arial" w:cs="Arial"/>
                <w:b/>
                <w:bCs/>
              </w:rPr>
              <w:t>Outcome</w:t>
            </w:r>
            <w:r w:rsidRPr="007E6F7C">
              <w:rPr>
                <w:rFonts w:ascii="Arial" w:eastAsia="Times New Roman" w:hAnsi="Arial" w:cs="Arial"/>
              </w:rPr>
              <w:t>:</w:t>
            </w:r>
            <w:r w:rsidR="008A4846">
              <w:rPr>
                <w:rFonts w:ascii="Arial" w:eastAsia="Times New Roman" w:hAnsi="Arial" w:cs="Arial"/>
              </w:rPr>
              <w:t xml:space="preserve"> </w:t>
            </w:r>
            <w:r w:rsidRPr="007E6F7C">
              <w:t>Environmental risks, such as natural disasters and weather events, are categorised as an external supply chain risk, with the Australian Productivity Commission recognising Japan’s 2011 disaster as an example of an environmental hazard which caused significant disruption of supply chains.</w:t>
            </w:r>
            <w:r w:rsidRPr="007E6F7C">
              <w:rPr>
                <w:vertAlign w:val="superscript"/>
              </w:rPr>
              <w:footnoteReference w:id="246"/>
            </w:r>
            <w:r w:rsidRPr="007E6F7C">
              <w:t xml:space="preserve"> Following the earthquake and tsunami: </w:t>
            </w:r>
          </w:p>
          <w:p w14:paraId="56883EA1" w14:textId="77777777" w:rsidR="00CF2B5F" w:rsidRPr="007E6F7C" w:rsidRDefault="00CF2B5F" w:rsidP="00320236">
            <w:pPr>
              <w:pStyle w:val="TableBullet"/>
              <w:rPr>
                <w:rFonts w:eastAsiaTheme="minorEastAsia"/>
                <w:b/>
              </w:rPr>
            </w:pPr>
            <w:r w:rsidRPr="7EBB1CEE">
              <w:rPr>
                <w:rFonts w:eastAsiaTheme="minorEastAsia"/>
              </w:rPr>
              <w:t xml:space="preserve">Electricity rationing was introduced, to account for the country’s power shortfall; </w:t>
            </w:r>
          </w:p>
          <w:p w14:paraId="43D783B3" w14:textId="77777777" w:rsidR="00CF2B5F" w:rsidRPr="007E6F7C" w:rsidRDefault="00CF2B5F" w:rsidP="00320236">
            <w:pPr>
              <w:pStyle w:val="TableBullet"/>
              <w:rPr>
                <w:rFonts w:eastAsiaTheme="minorEastAsia"/>
                <w:b/>
              </w:rPr>
            </w:pPr>
            <w:r w:rsidRPr="7EBB1CEE">
              <w:rPr>
                <w:rFonts w:eastAsiaTheme="minorEastAsia"/>
              </w:rPr>
              <w:lastRenderedPageBreak/>
              <w:t xml:space="preserve">Utility companies were forced to approach their top commercial and industrial customers to request that they cut back on their energy usage; </w:t>
            </w:r>
          </w:p>
          <w:p w14:paraId="3DE4425E" w14:textId="77777777" w:rsidR="00CF2B5F" w:rsidRPr="007E6F7C" w:rsidRDefault="00CF2B5F" w:rsidP="00320236">
            <w:pPr>
              <w:pStyle w:val="TableBullet"/>
              <w:rPr>
                <w:rFonts w:eastAsiaTheme="minorEastAsia"/>
                <w:b/>
              </w:rPr>
            </w:pPr>
            <w:r w:rsidRPr="7EBB1CEE">
              <w:rPr>
                <w:rFonts w:eastAsiaTheme="minorEastAsia"/>
              </w:rPr>
              <w:t>Train operations were decreased by 30-50% in order to save power; and</w:t>
            </w:r>
          </w:p>
          <w:p w14:paraId="78D2EFE7" w14:textId="77777777" w:rsidR="00CF2B5F" w:rsidRPr="007E6F7C" w:rsidRDefault="00CF2B5F" w:rsidP="00502ABE">
            <w:pPr>
              <w:pStyle w:val="TableBody"/>
              <w:rPr>
                <w:rFonts w:ascii="Arial" w:eastAsia="Times New Roman" w:hAnsi="Arial" w:cs="Arial"/>
                <w:b/>
              </w:rPr>
            </w:pPr>
            <w:r w:rsidRPr="007E6F7C">
              <w:t>In the longer term, Japan began importing additional oil, fuel and natural gas resources, to account for the shortfall in electricity generation.</w:t>
            </w:r>
            <w:r w:rsidRPr="007E6F7C">
              <w:rPr>
                <w:vertAlign w:val="superscript"/>
              </w:rPr>
              <w:footnoteReference w:id="247"/>
            </w:r>
          </w:p>
        </w:tc>
      </w:tr>
      <w:tr w:rsidR="00CF2B5F" w:rsidRPr="002C352A" w14:paraId="3530156F" w14:textId="77777777" w:rsidTr="00EA2877">
        <w:tc>
          <w:tcPr>
            <w:tcW w:w="5000" w:type="pct"/>
            <w:gridSpan w:val="2"/>
            <w:shd w:val="clear" w:color="auto" w:fill="auto"/>
          </w:tcPr>
          <w:p w14:paraId="76ABBAF4" w14:textId="77777777" w:rsidR="00CF2B5F" w:rsidRPr="00374A1D" w:rsidRDefault="00CF2B5F" w:rsidP="00502ABE">
            <w:pPr>
              <w:pStyle w:val="TableBody"/>
              <w:rPr>
                <w:rFonts w:ascii="Arial" w:eastAsia="Times New Roman" w:hAnsi="Arial" w:cs="Arial"/>
              </w:rPr>
            </w:pPr>
            <w:r w:rsidRPr="00EA2877">
              <w:rPr>
                <w:rFonts w:ascii="Arial" w:eastAsia="Times New Roman" w:hAnsi="Arial" w:cs="Arial"/>
                <w:b/>
                <w:bCs/>
              </w:rPr>
              <w:lastRenderedPageBreak/>
              <w:t>Identified Gap:</w:t>
            </w:r>
            <w:r w:rsidRPr="00386A14">
              <w:t xml:space="preserve"> The Australian Productivity Commission suggests that the consequences of disruption, such as those caused in Japan, can be mitigated through increased preparedness. Japan’s 2011 disaster was compounded by the nation’s geographic clustering of key electricity-related infrastructure. Such clustering caused extensive market-level vulnerabilities, as many firms in the electricity industry were affected.</w:t>
            </w:r>
            <w:r w:rsidRPr="00386A14">
              <w:rPr>
                <w:vertAlign w:val="superscript"/>
              </w:rPr>
              <w:footnoteReference w:id="248"/>
            </w:r>
            <w:r w:rsidRPr="00386A14">
              <w:t xml:space="preserve"> Diversified supply chains and advanced contingency planning can assist in reducing the levels of disruption caused by environmental risks.</w:t>
            </w:r>
            <w:r w:rsidRPr="00386A14">
              <w:rPr>
                <w:vertAlign w:val="superscript"/>
              </w:rPr>
              <w:footnoteReference w:id="249"/>
            </w:r>
          </w:p>
        </w:tc>
      </w:tr>
    </w:tbl>
    <w:p w14:paraId="10B3014B" w14:textId="77777777" w:rsidR="000C3D44" w:rsidRDefault="000C3D44" w:rsidP="00636D32">
      <w:pPr>
        <w:pStyle w:val="AppendixH2"/>
      </w:pPr>
      <w:r>
        <w:t xml:space="preserve">Key risks to </w:t>
      </w:r>
      <w:r w:rsidR="00C366FB">
        <w:t>critical energy market operator assets</w:t>
      </w:r>
    </w:p>
    <w:tbl>
      <w:tblPr>
        <w:tblStyle w:val="DHATable"/>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276"/>
        <w:gridCol w:w="4347"/>
        <w:gridCol w:w="4015"/>
      </w:tblGrid>
      <w:tr w:rsidR="00291688" w:rsidRPr="00374A1D" w14:paraId="5BD20EB8" w14:textId="77777777" w:rsidTr="00BB7AFB">
        <w:trPr>
          <w:tblHeader/>
        </w:trPr>
        <w:tc>
          <w:tcPr>
            <w:tcW w:w="1276" w:type="dxa"/>
            <w:shd w:val="clear" w:color="auto" w:fill="034EA2" w:themeFill="accent1"/>
          </w:tcPr>
          <w:p w14:paraId="3E45560A" w14:textId="77777777" w:rsidR="00291688" w:rsidRPr="00386A14" w:rsidRDefault="00291688" w:rsidP="00396246">
            <w:pPr>
              <w:pStyle w:val="TableHeading"/>
            </w:pPr>
            <w:r w:rsidRPr="00386A14">
              <w:t xml:space="preserve">Risk </w:t>
            </w:r>
          </w:p>
        </w:tc>
        <w:tc>
          <w:tcPr>
            <w:tcW w:w="4347" w:type="dxa"/>
            <w:shd w:val="clear" w:color="auto" w:fill="034EA2" w:themeFill="accent1"/>
          </w:tcPr>
          <w:p w14:paraId="05029587" w14:textId="77777777" w:rsidR="00291688" w:rsidRPr="00386A14" w:rsidRDefault="00291688" w:rsidP="00396246">
            <w:pPr>
              <w:pStyle w:val="TableHeading"/>
            </w:pPr>
            <w:r w:rsidRPr="00386A14">
              <w:t>Identified risk</w:t>
            </w:r>
          </w:p>
        </w:tc>
        <w:tc>
          <w:tcPr>
            <w:tcW w:w="0" w:type="auto"/>
            <w:shd w:val="clear" w:color="auto" w:fill="034EA2" w:themeFill="accent1"/>
          </w:tcPr>
          <w:p w14:paraId="4F2F11FE" w14:textId="77777777" w:rsidR="00291688" w:rsidRPr="00386A14" w:rsidRDefault="00291688" w:rsidP="00396246">
            <w:pPr>
              <w:pStyle w:val="TableHeading"/>
            </w:pPr>
            <w:r w:rsidRPr="00386A14">
              <w:t>Example</w:t>
            </w:r>
          </w:p>
        </w:tc>
      </w:tr>
      <w:tr w:rsidR="00394C58" w:rsidRPr="00374A1D" w14:paraId="61E79F0B" w14:textId="77777777" w:rsidTr="00BB7AFB">
        <w:tc>
          <w:tcPr>
            <w:tcW w:w="1276" w:type="dxa"/>
            <w:vMerge w:val="restart"/>
            <w:shd w:val="clear" w:color="auto" w:fill="F2F2F2" w:themeFill="accent6"/>
          </w:tcPr>
          <w:p w14:paraId="248B93B2" w14:textId="77777777" w:rsidR="00291688" w:rsidRPr="00EA2877" w:rsidRDefault="00291688" w:rsidP="00EA2877">
            <w:pPr>
              <w:pStyle w:val="TableBody"/>
            </w:pPr>
            <w:r w:rsidRPr="00EA2877">
              <w:t>Physical</w:t>
            </w:r>
          </w:p>
        </w:tc>
        <w:tc>
          <w:tcPr>
            <w:tcW w:w="4347" w:type="dxa"/>
            <w:shd w:val="clear" w:color="auto" w:fill="auto"/>
          </w:tcPr>
          <w:p w14:paraId="19ADC7E4" w14:textId="77777777" w:rsidR="00291688" w:rsidRPr="00374A1D" w:rsidRDefault="00291688" w:rsidP="00EA2877">
            <w:pPr>
              <w:pStyle w:val="TableBody"/>
            </w:pPr>
            <w:r w:rsidRPr="00374A1D">
              <w:t>Increased occurrence of extreme weather events and natural disasters, including heatwaves, bushfires and floods, means physical electricity infrastructure is experiencing heightened pressure. This stems from both increased demand for energy and the threat or realisation of damage to critical infrastructure, such as power plants, power lines and pipelines.</w:t>
            </w:r>
          </w:p>
        </w:tc>
        <w:tc>
          <w:tcPr>
            <w:tcW w:w="0" w:type="auto"/>
            <w:shd w:val="clear" w:color="auto" w:fill="auto"/>
          </w:tcPr>
          <w:p w14:paraId="3ADA4075" w14:textId="77777777" w:rsidR="00291688" w:rsidRPr="00374A1D" w:rsidRDefault="00291688" w:rsidP="00EA2877">
            <w:pPr>
              <w:pStyle w:val="TableBody"/>
            </w:pPr>
            <w:r w:rsidRPr="00374A1D">
              <w:t xml:space="preserve">In 2016, a series of severe thunderstorms triggered a state-wide blackout in South Australia. The incident damaged transmission and distribution assets and resulted in the suspension of the state’s wholesale market for thirteen hours. </w:t>
            </w:r>
          </w:p>
        </w:tc>
      </w:tr>
      <w:tr w:rsidR="009E6DAB" w:rsidRPr="00374A1D" w14:paraId="541C3C4E" w14:textId="77777777" w:rsidTr="00BB7AFB">
        <w:tc>
          <w:tcPr>
            <w:tcW w:w="1276" w:type="dxa"/>
            <w:vMerge/>
            <w:shd w:val="clear" w:color="auto" w:fill="F2F2F2" w:themeFill="accent6"/>
          </w:tcPr>
          <w:p w14:paraId="0DCD6156" w14:textId="77777777" w:rsidR="00291688" w:rsidRPr="00EA2877" w:rsidRDefault="00291688" w:rsidP="00EA2877">
            <w:pPr>
              <w:pStyle w:val="TableBody"/>
            </w:pPr>
          </w:p>
        </w:tc>
        <w:tc>
          <w:tcPr>
            <w:tcW w:w="4347" w:type="dxa"/>
            <w:shd w:val="clear" w:color="auto" w:fill="auto"/>
          </w:tcPr>
          <w:p w14:paraId="1B1BC8C8" w14:textId="77777777" w:rsidR="00291688" w:rsidRPr="00374A1D" w:rsidRDefault="00291688" w:rsidP="00EA2877">
            <w:pPr>
              <w:pStyle w:val="TableBody"/>
            </w:pPr>
            <w:r w:rsidRPr="00374A1D">
              <w:t>There is also a risk of sabotage by malicious actors to critical infrastructure’s physical facilities. This could be used to disrupt the functioning of critical infrastructure and the systems which rely upon its function during times of heightened tension or conflict in the case of state</w:t>
            </w:r>
            <w:r>
              <w:t>-</w:t>
            </w:r>
            <w:r w:rsidRPr="00374A1D">
              <w:t>based actors.</w:t>
            </w:r>
          </w:p>
        </w:tc>
        <w:tc>
          <w:tcPr>
            <w:tcW w:w="0" w:type="auto"/>
            <w:shd w:val="clear" w:color="auto" w:fill="auto"/>
          </w:tcPr>
          <w:p w14:paraId="13F25E66" w14:textId="77777777" w:rsidR="00291688" w:rsidRPr="00374A1D" w:rsidRDefault="00291688" w:rsidP="00EA2877">
            <w:pPr>
              <w:pStyle w:val="TableBody"/>
            </w:pPr>
            <w:r w:rsidRPr="00374A1D">
              <w:t>In 1996 the Irish Republican Army (IRA) planned to disrupt the supply of electricity to the south east of England by destroying six electrical sub-stations with explosive devices. If the attack had been successful, there would have been a disruption in supply to the area for several months, with cascading disruptions across services reliant upon the electrical supply to function.</w:t>
            </w:r>
            <w:r w:rsidRPr="00374A1D">
              <w:rPr>
                <w:vertAlign w:val="superscript"/>
              </w:rPr>
              <w:footnoteReference w:id="250"/>
            </w:r>
          </w:p>
        </w:tc>
      </w:tr>
      <w:tr w:rsidR="007D7511" w:rsidRPr="00374A1D" w14:paraId="5A529EAA" w14:textId="77777777" w:rsidTr="00BB7AFB">
        <w:tc>
          <w:tcPr>
            <w:tcW w:w="1276" w:type="dxa"/>
            <w:shd w:val="clear" w:color="auto" w:fill="F2F2F2" w:themeFill="accent6"/>
          </w:tcPr>
          <w:p w14:paraId="5A426097" w14:textId="77777777" w:rsidR="00291688" w:rsidRPr="00EA2877" w:rsidRDefault="00291688" w:rsidP="00EA2877">
            <w:pPr>
              <w:pStyle w:val="TableBody"/>
            </w:pPr>
            <w:r w:rsidRPr="00EA2877">
              <w:t>Cyber</w:t>
            </w:r>
          </w:p>
        </w:tc>
        <w:tc>
          <w:tcPr>
            <w:tcW w:w="4347" w:type="dxa"/>
            <w:shd w:val="clear" w:color="auto" w:fill="auto"/>
          </w:tcPr>
          <w:p w14:paraId="3F805C0B" w14:textId="77777777" w:rsidR="00291688" w:rsidRPr="00374A1D" w:rsidRDefault="00291688" w:rsidP="00EA2877">
            <w:pPr>
              <w:pStyle w:val="TableBody"/>
            </w:pPr>
            <w:r>
              <w:t>Market operators</w:t>
            </w:r>
            <w:r w:rsidRPr="00374A1D">
              <w:t xml:space="preserve"> </w:t>
            </w:r>
            <w:r>
              <w:t xml:space="preserve">are becoming more reliant on software technology, to create more accurate market forecasts and data, as well as better collaborate across the grid and with emergency management. This creates </w:t>
            </w:r>
            <w:r w:rsidRPr="00374A1D">
              <w:t xml:space="preserve">the potential for unintended taint (where software design or implementation flaws increase susceptibility to cyber risks) and malicious taint (deliberate diversion or disruption to cyber </w:t>
            </w:r>
            <w:r w:rsidRPr="00374A1D">
              <w:lastRenderedPageBreak/>
              <w:t>supply chains intentionally introduces cyber risks).</w:t>
            </w:r>
            <w:r w:rsidRPr="00374A1D">
              <w:rPr>
                <w:vertAlign w:val="superscript"/>
              </w:rPr>
              <w:footnoteReference w:id="251"/>
            </w:r>
          </w:p>
        </w:tc>
        <w:tc>
          <w:tcPr>
            <w:tcW w:w="0" w:type="auto"/>
            <w:shd w:val="clear" w:color="auto" w:fill="auto"/>
          </w:tcPr>
          <w:p w14:paraId="3A57EE02" w14:textId="77777777" w:rsidR="00291688" w:rsidRPr="00374A1D" w:rsidRDefault="00291688" w:rsidP="00EA2877">
            <w:pPr>
              <w:pStyle w:val="TableBody"/>
              <w:rPr>
                <w:rFonts w:ascii="Calibri" w:hAnsi="Calibri"/>
              </w:rPr>
            </w:pPr>
            <w:r w:rsidRPr="00374A1D">
              <w:lastRenderedPageBreak/>
              <w:t>The AEMO has advised it is aware of sustained cyber-attack campaigns targeting Australia’s electricity grid.</w:t>
            </w:r>
            <w:r w:rsidRPr="00374A1D">
              <w:rPr>
                <w:vertAlign w:val="superscript"/>
              </w:rPr>
              <w:footnoteReference w:id="252"/>
            </w:r>
            <w:r w:rsidRPr="00374A1D">
              <w:t xml:space="preserve"> The AEMO advised that malicious actors such as the Avaddon Ransomware group had targeted more than 120 organisations globally, including critical infrastructure assets, with one Australian entity being attacked in early 2021.</w:t>
            </w:r>
            <w:r w:rsidRPr="00374A1D">
              <w:rPr>
                <w:vertAlign w:val="superscript"/>
              </w:rPr>
              <w:footnoteReference w:id="253"/>
            </w:r>
          </w:p>
        </w:tc>
      </w:tr>
      <w:tr w:rsidR="00DE7201" w:rsidRPr="00374A1D" w14:paraId="46FC0669" w14:textId="77777777" w:rsidTr="00BB7AFB">
        <w:tc>
          <w:tcPr>
            <w:tcW w:w="1276" w:type="dxa"/>
            <w:shd w:val="clear" w:color="auto" w:fill="F2F2F2" w:themeFill="accent6"/>
          </w:tcPr>
          <w:p w14:paraId="2E9DB4BA" w14:textId="77777777" w:rsidR="00291688" w:rsidRPr="00EA2877" w:rsidRDefault="00291688" w:rsidP="00EA2877">
            <w:pPr>
              <w:pStyle w:val="TableBody"/>
            </w:pPr>
            <w:r w:rsidRPr="00EA2877">
              <w:t>Supply Chain</w:t>
            </w:r>
          </w:p>
        </w:tc>
        <w:tc>
          <w:tcPr>
            <w:tcW w:w="4347" w:type="dxa"/>
            <w:shd w:val="clear" w:color="auto" w:fill="auto"/>
          </w:tcPr>
          <w:p w14:paraId="732B1CA8" w14:textId="77777777" w:rsidR="00291688" w:rsidRPr="00374A1D" w:rsidRDefault="00291688" w:rsidP="00EA2877">
            <w:pPr>
              <w:pStyle w:val="TableBody"/>
            </w:pPr>
            <w:r w:rsidRPr="00374A1D">
              <w:t xml:space="preserve">Disruption to supply chains pertinent to </w:t>
            </w:r>
            <w:r>
              <w:t>critical energy market operator</w:t>
            </w:r>
            <w:r w:rsidRPr="00374A1D">
              <w:t xml:space="preserve"> assets may have detrimental consequences, as many project components and materials required for the maintenance of key pieces of </w:t>
            </w:r>
            <w:r>
              <w:t xml:space="preserve">energy </w:t>
            </w:r>
            <w:r w:rsidRPr="00374A1D">
              <w:t>infrastructure are sourced from international suppliers.</w:t>
            </w:r>
            <w:r w:rsidRPr="00374A1D">
              <w:rPr>
                <w:vertAlign w:val="superscript"/>
              </w:rPr>
              <w:footnoteReference w:id="254"/>
            </w:r>
            <w:r w:rsidRPr="00374A1D">
              <w:t xml:space="preserve"> This risk is compounded where organisations are primarily reliant on suppliers concentrated in a particular part of the world and may be concurrently affected by supply chain disruptions.</w:t>
            </w:r>
            <w:r w:rsidRPr="00374A1D">
              <w:rPr>
                <w:vertAlign w:val="superscript"/>
              </w:rPr>
              <w:footnoteReference w:id="255"/>
            </w:r>
          </w:p>
        </w:tc>
        <w:tc>
          <w:tcPr>
            <w:tcW w:w="0" w:type="auto"/>
            <w:shd w:val="clear" w:color="auto" w:fill="auto"/>
          </w:tcPr>
          <w:p w14:paraId="57F7581C" w14:textId="77777777" w:rsidR="00291688" w:rsidRPr="00374A1D" w:rsidRDefault="00291688" w:rsidP="00EA2877">
            <w:pPr>
              <w:pStyle w:val="TableBody"/>
            </w:pPr>
            <w:r w:rsidRPr="00374A1D">
              <w:t xml:space="preserve">The COVID-19 pandemic incited concern that the manufacturing and delivery of materials required for the maintenance of key pieces of </w:t>
            </w:r>
            <w:r>
              <w:t xml:space="preserve">energy </w:t>
            </w:r>
            <w:r w:rsidRPr="00374A1D">
              <w:t>infrastructure be delayed, as required components must be sourced from Asia. Supply chain risks arose through the need for some electricity companies to cut back on capital and operational expenditures, which filtered down to suppliers and services companies who are reliant on upstream resources.</w:t>
            </w:r>
            <w:r w:rsidRPr="00374A1D">
              <w:rPr>
                <w:vertAlign w:val="superscript"/>
              </w:rPr>
              <w:footnoteReference w:id="256"/>
            </w:r>
          </w:p>
        </w:tc>
      </w:tr>
      <w:tr w:rsidR="007D7511" w:rsidRPr="00374A1D" w14:paraId="31703CDD" w14:textId="77777777" w:rsidTr="00BB7AFB">
        <w:tc>
          <w:tcPr>
            <w:tcW w:w="1276" w:type="dxa"/>
            <w:shd w:val="clear" w:color="auto" w:fill="F2F2F2" w:themeFill="accent6"/>
          </w:tcPr>
          <w:p w14:paraId="4D8EB49F" w14:textId="77777777" w:rsidR="00291688" w:rsidRPr="00EA2877" w:rsidRDefault="00291688" w:rsidP="00EA2877">
            <w:pPr>
              <w:pStyle w:val="TableBody"/>
            </w:pPr>
            <w:r w:rsidRPr="00EA2877">
              <w:t>Personnel</w:t>
            </w:r>
          </w:p>
        </w:tc>
        <w:tc>
          <w:tcPr>
            <w:tcW w:w="4347" w:type="dxa"/>
            <w:shd w:val="clear" w:color="auto" w:fill="auto"/>
          </w:tcPr>
          <w:p w14:paraId="76B426BA" w14:textId="77777777" w:rsidR="00291688" w:rsidRPr="00374A1D" w:rsidRDefault="00291688" w:rsidP="00EA2877">
            <w:pPr>
              <w:pStyle w:val="TableBody"/>
              <w:rPr>
                <w:rFonts w:ascii="Calibri" w:hAnsi="Calibri"/>
              </w:rPr>
            </w:pPr>
            <w:r w:rsidRPr="00374A1D">
              <w:t xml:space="preserve">Where personnel are immobilised for reasons that cannot be controlled, </w:t>
            </w:r>
            <w:r>
              <w:t>critical energy market operator</w:t>
            </w:r>
            <w:r w:rsidRPr="00374A1D">
              <w:t xml:space="preserve"> operations may be severely delayed or halted. Additionally, personnel with access to systems, data or premises may pose insider threat risks including fraud, theft, espionage, infrastructure sabotage and misuse of sensitive data.</w:t>
            </w:r>
            <w:r w:rsidRPr="00374A1D">
              <w:rPr>
                <w:vertAlign w:val="superscript"/>
              </w:rPr>
              <w:footnoteReference w:id="257"/>
            </w:r>
          </w:p>
        </w:tc>
        <w:tc>
          <w:tcPr>
            <w:tcW w:w="0" w:type="auto"/>
            <w:shd w:val="clear" w:color="auto" w:fill="auto"/>
          </w:tcPr>
          <w:p w14:paraId="783EAE25" w14:textId="77777777" w:rsidR="00291688" w:rsidRPr="00374A1D" w:rsidRDefault="00291688" w:rsidP="00EA2877">
            <w:pPr>
              <w:pStyle w:val="TableBody"/>
            </w:pPr>
            <w:r w:rsidRPr="00374A1D">
              <w:t>The COVID-19 pandemic saw key industry personnel subject to extended periods of quarantine, forcing the closure of some electricity generators or reduced capacity where insufficient personnel were available.</w:t>
            </w:r>
          </w:p>
          <w:p w14:paraId="17ABB5F5" w14:textId="77777777" w:rsidR="00291688" w:rsidRPr="00374A1D" w:rsidRDefault="00291688" w:rsidP="00EA2877">
            <w:pPr>
              <w:pStyle w:val="TableBody"/>
            </w:pPr>
            <w:r w:rsidRPr="00374A1D">
              <w:t>Between 2013 and 2015, a series of attacks occurred on a company responsible for operating over 50 power plants across the US and Canada. The attacks were facilitated by information stolen by a company contractor and resulted in the theft of critical power plant designs and system passwords.</w:t>
            </w:r>
            <w:r w:rsidRPr="00374A1D">
              <w:rPr>
                <w:vertAlign w:val="superscript"/>
              </w:rPr>
              <w:footnoteReference w:id="258"/>
            </w:r>
            <w:r w:rsidRPr="00374A1D">
              <w:t xml:space="preserve"> </w:t>
            </w:r>
          </w:p>
        </w:tc>
      </w:tr>
    </w:tbl>
    <w:p w14:paraId="3E957615" w14:textId="77777777" w:rsidR="00C366FB" w:rsidRDefault="000C3D44" w:rsidP="00BB7AFB">
      <w:pPr>
        <w:pStyle w:val="AppendixH2"/>
      </w:pPr>
      <w:r w:rsidRPr="000F6098">
        <w:t xml:space="preserve">Existing legislation related to </w:t>
      </w:r>
      <w:r w:rsidR="00C366FB">
        <w:t>critical energy market operator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552"/>
        <w:gridCol w:w="4119"/>
        <w:gridCol w:w="3955"/>
        <w:gridCol w:w="12"/>
      </w:tblGrid>
      <w:tr w:rsidR="00CD4F5B" w:rsidRPr="00374A1D" w14:paraId="67692C2B" w14:textId="77777777" w:rsidTr="00CD4F5B">
        <w:trPr>
          <w:tblHeader/>
        </w:trPr>
        <w:tc>
          <w:tcPr>
            <w:tcW w:w="2941" w:type="pct"/>
            <w:gridSpan w:val="2"/>
            <w:shd w:val="clear" w:color="auto" w:fill="034EA2" w:themeFill="accent1"/>
          </w:tcPr>
          <w:p w14:paraId="06DFDC0C" w14:textId="77777777" w:rsidR="00701F68" w:rsidRPr="00374A1D" w:rsidRDefault="00701F68" w:rsidP="00CD4F5B">
            <w:pPr>
              <w:pStyle w:val="TableHeading"/>
            </w:pPr>
            <w:r w:rsidRPr="00EE7E2C">
              <w:t>Overview of regulation</w:t>
            </w:r>
          </w:p>
        </w:tc>
        <w:tc>
          <w:tcPr>
            <w:tcW w:w="2059" w:type="pct"/>
            <w:gridSpan w:val="2"/>
            <w:shd w:val="clear" w:color="auto" w:fill="034EA2" w:themeFill="accent1"/>
          </w:tcPr>
          <w:p w14:paraId="550978B9" w14:textId="77777777" w:rsidR="00701F68" w:rsidRPr="00374A1D" w:rsidRDefault="00701F68" w:rsidP="00CD4F5B">
            <w:pPr>
              <w:pStyle w:val="TableHeading"/>
            </w:pPr>
            <w:r w:rsidRPr="00EE7E2C">
              <w:t>Identified gaps</w:t>
            </w:r>
          </w:p>
        </w:tc>
      </w:tr>
      <w:tr w:rsidR="00CD4F5B" w:rsidRPr="00374A1D" w14:paraId="486EE61B" w14:textId="77777777" w:rsidTr="7EBB1CEE">
        <w:trPr>
          <w:gridAfter w:val="1"/>
          <w:wAfter w:w="6" w:type="pct"/>
        </w:trPr>
        <w:tc>
          <w:tcPr>
            <w:tcW w:w="805" w:type="pct"/>
            <w:shd w:val="clear" w:color="auto" w:fill="F2F2F2" w:themeFill="background2" w:themeFillShade="F2"/>
          </w:tcPr>
          <w:p w14:paraId="48D05B17" w14:textId="77777777" w:rsidR="00536B76" w:rsidRPr="00CD4F5B" w:rsidRDefault="00536B76" w:rsidP="00CD4F5B">
            <w:pPr>
              <w:pStyle w:val="TableBody"/>
              <w:rPr>
                <w:i/>
                <w:iCs/>
              </w:rPr>
            </w:pPr>
            <w:r w:rsidRPr="00CD4F5B">
              <w:rPr>
                <w:i/>
                <w:iCs/>
              </w:rPr>
              <w:t>Electricity Industry Act 2004 (WA)</w:t>
            </w:r>
          </w:p>
        </w:tc>
        <w:tc>
          <w:tcPr>
            <w:tcW w:w="2137" w:type="pct"/>
            <w:shd w:val="clear" w:color="auto" w:fill="auto"/>
          </w:tcPr>
          <w:p w14:paraId="7C4369A7" w14:textId="77777777" w:rsidR="00536B76" w:rsidRPr="00374A1D" w:rsidRDefault="00536B76" w:rsidP="00CD4F5B">
            <w:pPr>
              <w:pStyle w:val="TableBody"/>
              <w:rPr>
                <w:rFonts w:eastAsia="Calibri"/>
              </w:rPr>
            </w:pPr>
            <w:r>
              <w:t xml:space="preserve">Establishes WA’s Wholesale Energy market. </w:t>
            </w:r>
          </w:p>
        </w:tc>
        <w:tc>
          <w:tcPr>
            <w:tcW w:w="2052" w:type="pct"/>
            <w:shd w:val="clear" w:color="auto" w:fill="auto"/>
          </w:tcPr>
          <w:p w14:paraId="413925E0" w14:textId="77777777" w:rsidR="00536B76" w:rsidRPr="00374A1D" w:rsidRDefault="00536B76" w:rsidP="00CD4F5B">
            <w:pPr>
              <w:pStyle w:val="TableBody"/>
              <w:rPr>
                <w:rFonts w:eastAsia="Calibri"/>
              </w:rPr>
            </w:pPr>
            <w:r>
              <w:t xml:space="preserve">The </w:t>
            </w:r>
            <w:r w:rsidRPr="00316475">
              <w:t xml:space="preserve">Electricity Industry (Wholesale Electricity Market) Regulations 2004 </w:t>
            </w:r>
            <w:r>
              <w:t xml:space="preserve">outline that the market operator must ensure that ‘SWIS is operated in a secure and reliable manner’. However, no risk management principles are specified. </w:t>
            </w:r>
          </w:p>
        </w:tc>
      </w:tr>
      <w:tr w:rsidR="00CD4F5B" w:rsidRPr="00374A1D" w14:paraId="43276213" w14:textId="77777777" w:rsidTr="7EBB1CEE">
        <w:tc>
          <w:tcPr>
            <w:tcW w:w="805" w:type="pct"/>
            <w:shd w:val="clear" w:color="auto" w:fill="F2F2F2" w:themeFill="background2" w:themeFillShade="F2"/>
          </w:tcPr>
          <w:p w14:paraId="2510DB71" w14:textId="18492395" w:rsidR="00701F68" w:rsidRPr="00CD4F5B" w:rsidRDefault="00701F68" w:rsidP="00CD4F5B">
            <w:pPr>
              <w:pStyle w:val="TableBody"/>
              <w:rPr>
                <w:i/>
                <w:iCs/>
              </w:rPr>
            </w:pPr>
            <w:r w:rsidRPr="00CD4F5B">
              <w:rPr>
                <w:i/>
                <w:iCs/>
              </w:rPr>
              <w:t>National Electricity (South Australia) Act 1996</w:t>
            </w:r>
          </w:p>
        </w:tc>
        <w:tc>
          <w:tcPr>
            <w:tcW w:w="2137" w:type="pct"/>
            <w:shd w:val="clear" w:color="auto" w:fill="auto"/>
          </w:tcPr>
          <w:p w14:paraId="4ED2B792" w14:textId="723F16FC" w:rsidR="00701F68" w:rsidRPr="00374A1D" w:rsidRDefault="00701F68" w:rsidP="00CD4F5B">
            <w:pPr>
              <w:pStyle w:val="TableBody"/>
            </w:pPr>
            <w:r w:rsidRPr="00374A1D">
              <w:t>Adopted as the model law, referred to as the National Electricity Law, and implemented (with minor amendments) across Australian State and Territory participants in the NEM.</w:t>
            </w:r>
          </w:p>
          <w:p w14:paraId="04D94E02" w14:textId="77777777" w:rsidR="00701F68" w:rsidRPr="00374A1D" w:rsidRDefault="00701F68" w:rsidP="00CD4F5B">
            <w:pPr>
              <w:pStyle w:val="TableBody"/>
            </w:pPr>
            <w:r w:rsidRPr="00374A1D">
              <w:t>The equivalent State and Territory Acts include:</w:t>
            </w:r>
          </w:p>
          <w:p w14:paraId="1F9260C5" w14:textId="77777777" w:rsidR="00701F68" w:rsidRPr="00374A1D" w:rsidRDefault="00701F68" w:rsidP="00CD4F5B">
            <w:pPr>
              <w:pStyle w:val="TableBullet"/>
              <w:rPr>
                <w:rFonts w:eastAsia="Calibri"/>
              </w:rPr>
            </w:pPr>
            <w:r w:rsidRPr="00CD4F5B">
              <w:rPr>
                <w:rFonts w:eastAsia="Calibri"/>
                <w:i/>
                <w:iCs/>
              </w:rPr>
              <w:t>Electricity (National Scheme) Act 1997</w:t>
            </w:r>
            <w:r w:rsidRPr="00374A1D">
              <w:rPr>
                <w:rFonts w:eastAsia="Calibri"/>
              </w:rPr>
              <w:t xml:space="preserve"> (ACT); </w:t>
            </w:r>
          </w:p>
          <w:p w14:paraId="4D972854" w14:textId="77777777" w:rsidR="00701F68" w:rsidRPr="00CD4F5B" w:rsidRDefault="00701F68" w:rsidP="00CD4F5B">
            <w:pPr>
              <w:pStyle w:val="TableBullet"/>
              <w:rPr>
                <w:rFonts w:eastAsia="Calibri"/>
                <w:i/>
                <w:iCs/>
              </w:rPr>
            </w:pPr>
            <w:r w:rsidRPr="00CD4F5B">
              <w:rPr>
                <w:rFonts w:eastAsia="Calibri"/>
                <w:i/>
                <w:iCs/>
              </w:rPr>
              <w:lastRenderedPageBreak/>
              <w:t xml:space="preserve">National Electricity (New South Wales) Act 1997 No 20 &amp; National Electricity (New South Wales) Law No 20a; </w:t>
            </w:r>
          </w:p>
          <w:p w14:paraId="3AF2F249" w14:textId="77777777" w:rsidR="00701F68" w:rsidRPr="00CD4F5B" w:rsidRDefault="00701F68" w:rsidP="00CD4F5B">
            <w:pPr>
              <w:pStyle w:val="TableBullet"/>
              <w:rPr>
                <w:rFonts w:eastAsia="Calibri"/>
                <w:i/>
                <w:iCs/>
              </w:rPr>
            </w:pPr>
            <w:r w:rsidRPr="00CD4F5B">
              <w:rPr>
                <w:rFonts w:eastAsia="Calibri"/>
                <w:i/>
                <w:iCs/>
              </w:rPr>
              <w:t>National Electricity (Northern Territory) (National Uniform Legislation) Act 2015;</w:t>
            </w:r>
          </w:p>
          <w:p w14:paraId="1545B735" w14:textId="77777777" w:rsidR="00701F68" w:rsidRPr="00CD4F5B" w:rsidRDefault="00701F68" w:rsidP="00CD4F5B">
            <w:pPr>
              <w:pStyle w:val="TableBullet"/>
              <w:rPr>
                <w:rFonts w:eastAsia="Calibri"/>
                <w:i/>
                <w:iCs/>
              </w:rPr>
            </w:pPr>
            <w:r w:rsidRPr="00CD4F5B">
              <w:rPr>
                <w:rFonts w:eastAsia="Calibri"/>
                <w:i/>
                <w:iCs/>
              </w:rPr>
              <w:t>Electricity – National Scheme (Queensland) Act 1997 &amp; National Electricity (Queensland) Law;</w:t>
            </w:r>
          </w:p>
          <w:p w14:paraId="2E923A2E" w14:textId="77777777" w:rsidR="00701F68" w:rsidRPr="00CD4F5B" w:rsidRDefault="00701F68" w:rsidP="00CD4F5B">
            <w:pPr>
              <w:pStyle w:val="TableBullet"/>
              <w:rPr>
                <w:rFonts w:eastAsia="Calibri"/>
                <w:i/>
                <w:iCs/>
              </w:rPr>
            </w:pPr>
            <w:r w:rsidRPr="00CD4F5B">
              <w:rPr>
                <w:rFonts w:eastAsia="Calibri"/>
                <w:i/>
                <w:iCs/>
              </w:rPr>
              <w:t>Electricity – National Scheme (Tasmania) Act 1999 &amp; National Electricity (Tasmania) Law; and</w:t>
            </w:r>
          </w:p>
          <w:p w14:paraId="3ACECCF4" w14:textId="77777777" w:rsidR="00701F68" w:rsidRPr="00CD4F5B" w:rsidRDefault="00701F68" w:rsidP="00CD4F5B">
            <w:pPr>
              <w:pStyle w:val="TableBullet"/>
              <w:rPr>
                <w:rFonts w:eastAsia="Calibri"/>
                <w:i/>
                <w:iCs/>
              </w:rPr>
            </w:pPr>
            <w:r w:rsidRPr="00CD4F5B">
              <w:rPr>
                <w:rFonts w:eastAsia="Calibri"/>
                <w:i/>
                <w:iCs/>
              </w:rPr>
              <w:t>National Electricity (Victoria) Act 2005.</w:t>
            </w:r>
          </w:p>
          <w:p w14:paraId="2A99891B" w14:textId="77777777" w:rsidR="00701F68" w:rsidRPr="00374A1D" w:rsidRDefault="00701F68" w:rsidP="00CD4F5B">
            <w:pPr>
              <w:pStyle w:val="TableBody"/>
            </w:pPr>
            <w:r w:rsidRPr="00374A1D">
              <w:t xml:space="preserve">In Western Australia, the </w:t>
            </w:r>
            <w:r w:rsidRPr="00374A1D">
              <w:rPr>
                <w:i/>
                <w:iCs/>
              </w:rPr>
              <w:t>Electricity Act 1945</w:t>
            </w:r>
            <w:r w:rsidRPr="00374A1D">
              <w:t xml:space="preserve"> and </w:t>
            </w:r>
            <w:r w:rsidRPr="00374A1D">
              <w:rPr>
                <w:i/>
                <w:iCs/>
              </w:rPr>
              <w:t xml:space="preserve">Electricity Regulations 1947 </w:t>
            </w:r>
            <w:r w:rsidRPr="00374A1D">
              <w:t xml:space="preserve">operate, in addition to a series of other legislative frameworks. These schemes are similar in content and form to the National Electricity Law but operate as a separate regime. </w:t>
            </w:r>
          </w:p>
        </w:tc>
        <w:tc>
          <w:tcPr>
            <w:tcW w:w="2059" w:type="pct"/>
            <w:gridSpan w:val="2"/>
            <w:shd w:val="clear" w:color="auto" w:fill="auto"/>
          </w:tcPr>
          <w:p w14:paraId="5F2D89D4" w14:textId="77777777" w:rsidR="00701F68" w:rsidRPr="00374A1D" w:rsidRDefault="00701F68" w:rsidP="00CD4F5B">
            <w:pPr>
              <w:pStyle w:val="TableBody"/>
            </w:pPr>
            <w:r w:rsidRPr="00374A1D">
              <w:lastRenderedPageBreak/>
              <w:t xml:space="preserve">The National Electricity Law is contained in a Schedule to the </w:t>
            </w:r>
            <w:r w:rsidRPr="00374A1D">
              <w:rPr>
                <w:i/>
                <w:iCs/>
              </w:rPr>
              <w:t xml:space="preserve">National Electricity (South Australia) Act 1996 </w:t>
            </w:r>
            <w:r w:rsidRPr="00374A1D">
              <w:t xml:space="preserve">and seeks to establish the governance framework and key obligations for the NEM, including: </w:t>
            </w:r>
          </w:p>
          <w:p w14:paraId="710D6C9E" w14:textId="77777777" w:rsidR="00701F68" w:rsidRPr="00374A1D" w:rsidRDefault="00701F68" w:rsidP="00CD4F5B">
            <w:pPr>
              <w:pStyle w:val="TableBullet"/>
              <w:rPr>
                <w:rFonts w:eastAsia="Calibri"/>
              </w:rPr>
            </w:pPr>
            <w:r w:rsidRPr="00374A1D">
              <w:rPr>
                <w:rFonts w:eastAsia="Calibri"/>
              </w:rPr>
              <w:t xml:space="preserve">The functions of the AEMO; and </w:t>
            </w:r>
          </w:p>
          <w:p w14:paraId="2B0CEB1A" w14:textId="77777777" w:rsidR="00701F68" w:rsidRPr="00374A1D" w:rsidRDefault="00701F68" w:rsidP="00CD4F5B">
            <w:pPr>
              <w:pStyle w:val="TableBullet"/>
              <w:rPr>
                <w:rFonts w:eastAsia="Calibri"/>
              </w:rPr>
            </w:pPr>
            <w:r w:rsidRPr="00374A1D">
              <w:rPr>
                <w:rFonts w:eastAsia="Calibri"/>
              </w:rPr>
              <w:t xml:space="preserve">The regulation of access to electricity networks. </w:t>
            </w:r>
          </w:p>
          <w:p w14:paraId="29A4081B" w14:textId="77777777" w:rsidR="00701F68" w:rsidRPr="00374A1D" w:rsidRDefault="00701F68" w:rsidP="00CD4F5B">
            <w:pPr>
              <w:pStyle w:val="TableBody"/>
            </w:pPr>
            <w:r w:rsidRPr="00374A1D">
              <w:lastRenderedPageBreak/>
              <w:t xml:space="preserve">The National Electricity Law is supported by the National Electricity Regulations and National Electricity Rules, which support the operation of the NEM. </w:t>
            </w:r>
          </w:p>
          <w:p w14:paraId="14D7CE7A" w14:textId="77777777" w:rsidR="00701F68" w:rsidRDefault="00701F68" w:rsidP="00CD4F5B">
            <w:pPr>
              <w:pStyle w:val="TableBody"/>
            </w:pPr>
            <w:r w:rsidRPr="00374A1D">
              <w:t xml:space="preserve">The National Electricity Law (and its subordinate legislation) does impose certain requirements on specific entities, with some implication for risk management. </w:t>
            </w:r>
            <w:r>
              <w:t>I</w:t>
            </w:r>
            <w:r w:rsidRPr="00374A1D">
              <w:t>t requires the AEMO to maintain</w:t>
            </w:r>
            <w:r>
              <w:t xml:space="preserve"> supply-demand balance (electrical supply security), but does not impose obligations around cyber, physical or other security</w:t>
            </w:r>
            <w:r w:rsidRPr="00374A1D">
              <w:t xml:space="preserve">. </w:t>
            </w:r>
          </w:p>
          <w:p w14:paraId="3618C98E" w14:textId="77777777" w:rsidR="00701F68" w:rsidRPr="00374A1D" w:rsidRDefault="00701F68" w:rsidP="00CD4F5B">
            <w:pPr>
              <w:pStyle w:val="TableBody"/>
            </w:pPr>
            <w:r>
              <w:t>Furthermore, t</w:t>
            </w:r>
            <w:r w:rsidRPr="00374A1D">
              <w:t xml:space="preserve">he National Electricity Law is primarily focussed on matters of governance and does not impose baseline risk reduction requirements on all entities. </w:t>
            </w:r>
          </w:p>
          <w:p w14:paraId="6FF91F01" w14:textId="77777777" w:rsidR="00701F68" w:rsidRPr="00374A1D" w:rsidRDefault="00701F68" w:rsidP="00CD4F5B">
            <w:pPr>
              <w:pStyle w:val="TableBody"/>
            </w:pPr>
            <w:r>
              <w:t>Finally</w:t>
            </w:r>
            <w:r w:rsidRPr="00374A1D">
              <w:t>, the National Electricity Law places obligations on AEMO to operate the system in a particular way,</w:t>
            </w:r>
            <w:r>
              <w:t xml:space="preserve"> but it does not obligate AEMO to have an all hazards RMP. </w:t>
            </w:r>
          </w:p>
        </w:tc>
      </w:tr>
      <w:tr w:rsidR="00CD4F5B" w:rsidRPr="00374A1D" w14:paraId="59125ADE" w14:textId="77777777" w:rsidTr="7EBB1CEE">
        <w:trPr>
          <w:gridAfter w:val="1"/>
          <w:wAfter w:w="6" w:type="pct"/>
        </w:trPr>
        <w:tc>
          <w:tcPr>
            <w:tcW w:w="805" w:type="pct"/>
            <w:shd w:val="clear" w:color="auto" w:fill="F2F2F2" w:themeFill="background2" w:themeFillShade="F2"/>
          </w:tcPr>
          <w:p w14:paraId="58EA3E5B" w14:textId="77777777" w:rsidR="00536B76" w:rsidRPr="00CD4F5B" w:rsidRDefault="00536B76" w:rsidP="00CD4F5B">
            <w:pPr>
              <w:pStyle w:val="TableBody"/>
              <w:rPr>
                <w:i/>
                <w:iCs/>
              </w:rPr>
            </w:pPr>
            <w:r w:rsidRPr="00CD4F5B">
              <w:rPr>
                <w:i/>
                <w:iCs/>
              </w:rPr>
              <w:lastRenderedPageBreak/>
              <w:t>Australian Energy Market Act 2004 (Cth)</w:t>
            </w:r>
          </w:p>
        </w:tc>
        <w:tc>
          <w:tcPr>
            <w:tcW w:w="2137" w:type="pct"/>
            <w:shd w:val="clear" w:color="auto" w:fill="auto"/>
          </w:tcPr>
          <w:p w14:paraId="2D66FF87" w14:textId="77777777" w:rsidR="00536B76" w:rsidRDefault="00536B76" w:rsidP="00CD4F5B">
            <w:pPr>
              <w:pStyle w:val="TableBody"/>
            </w:pPr>
            <w:r w:rsidRPr="00374A1D">
              <w:t>Applies the National Electricity Law, the National Electricity Regulations and the National Electricity Rules as Commonwealth law in offshore areas as part of a uniform scheme of national electricity regulation.</w:t>
            </w:r>
          </w:p>
          <w:p w14:paraId="4E130461" w14:textId="7BD4B6DB" w:rsidR="00536B76" w:rsidRPr="00374A1D" w:rsidRDefault="00536B76" w:rsidP="00CD4F5B">
            <w:pPr>
              <w:pStyle w:val="TableBody"/>
            </w:pPr>
            <w:r>
              <w:t>Also a</w:t>
            </w:r>
            <w:r w:rsidRPr="002B412F">
              <w:t>pplies the National Gas Law, the National Gas Regulations and the National Gas Rules as Commonwealth law in offshore areas</w:t>
            </w:r>
            <w:r>
              <w:t xml:space="preserve">. </w:t>
            </w:r>
          </w:p>
        </w:tc>
        <w:tc>
          <w:tcPr>
            <w:tcW w:w="2052" w:type="pct"/>
            <w:shd w:val="clear" w:color="auto" w:fill="auto"/>
          </w:tcPr>
          <w:p w14:paraId="4A9BE0F8" w14:textId="77777777" w:rsidR="00536B76" w:rsidRPr="00374A1D" w:rsidRDefault="00536B76" w:rsidP="00CD4F5B">
            <w:pPr>
              <w:pStyle w:val="TableBody"/>
            </w:pPr>
            <w:r w:rsidRPr="00374A1D">
              <w:t>This Act has, largely, an administrative function in applying the National Electricity</w:t>
            </w:r>
            <w:r>
              <w:t xml:space="preserve"> and Gas</w:t>
            </w:r>
            <w:r w:rsidRPr="00374A1D">
              <w:t xml:space="preserve"> Law in offshore areas. It does include provisions supplementary to the National Electricity </w:t>
            </w:r>
            <w:r>
              <w:t xml:space="preserve">and Gas </w:t>
            </w:r>
            <w:r w:rsidRPr="00374A1D">
              <w:t xml:space="preserve">Law and therefore, does not impose risk reduction requirements. </w:t>
            </w:r>
          </w:p>
        </w:tc>
      </w:tr>
      <w:tr w:rsidR="00CD4F5B" w:rsidRPr="00F36CDF" w14:paraId="22C35C2B" w14:textId="77777777" w:rsidTr="7EBB1CEE">
        <w:trPr>
          <w:gridAfter w:val="1"/>
          <w:wAfter w:w="6" w:type="pct"/>
          <w:tblHeader/>
        </w:trPr>
        <w:tc>
          <w:tcPr>
            <w:tcW w:w="805" w:type="pct"/>
            <w:shd w:val="clear" w:color="auto" w:fill="F2F2F2" w:themeFill="background2" w:themeFillShade="F2"/>
          </w:tcPr>
          <w:p w14:paraId="3034C925" w14:textId="77777777" w:rsidR="00701F68" w:rsidRPr="00CD4F5B" w:rsidRDefault="00701F68" w:rsidP="00CD4F5B">
            <w:pPr>
              <w:pStyle w:val="TableBody"/>
              <w:rPr>
                <w:i/>
                <w:iCs/>
                <w:szCs w:val="24"/>
              </w:rPr>
            </w:pPr>
            <w:r w:rsidRPr="00CD4F5B">
              <w:rPr>
                <w:i/>
                <w:iCs/>
                <w:szCs w:val="24"/>
              </w:rPr>
              <w:t>National Gas (South Australia) Act 2008</w:t>
            </w:r>
          </w:p>
        </w:tc>
        <w:tc>
          <w:tcPr>
            <w:tcW w:w="2137" w:type="pct"/>
            <w:shd w:val="clear" w:color="auto" w:fill="auto"/>
          </w:tcPr>
          <w:p w14:paraId="741569C1" w14:textId="77777777" w:rsidR="00701F68" w:rsidRPr="00F36CDF" w:rsidRDefault="00701F68" w:rsidP="00CD4F5B">
            <w:pPr>
              <w:pStyle w:val="TableBody"/>
            </w:pPr>
            <w:r w:rsidRPr="00F36CDF">
              <w:t xml:space="preserve">Adopted as the model law, referred to as the National Gas Law, and implemented (with minor amendments) across Australian State and Territory participants in the National Gas Market. </w:t>
            </w:r>
          </w:p>
          <w:p w14:paraId="79E7423E" w14:textId="77777777" w:rsidR="00701F68" w:rsidRPr="00F36CDF" w:rsidRDefault="00701F68" w:rsidP="00CD4F5B">
            <w:pPr>
              <w:pStyle w:val="TableBody"/>
            </w:pPr>
            <w:r w:rsidRPr="00F36CDF">
              <w:t>The equivalent State and Territory Acts include:</w:t>
            </w:r>
          </w:p>
          <w:p w14:paraId="37E53D89" w14:textId="77777777" w:rsidR="00701F68" w:rsidRPr="00CD4F5B" w:rsidRDefault="00701F68" w:rsidP="00CD4F5B">
            <w:pPr>
              <w:pStyle w:val="TableBullet"/>
              <w:rPr>
                <w:i/>
                <w:iCs/>
              </w:rPr>
            </w:pPr>
            <w:r w:rsidRPr="00CD4F5B">
              <w:rPr>
                <w:i/>
                <w:iCs/>
              </w:rPr>
              <w:t xml:space="preserve">National Gas (ACT) Act 2008; </w:t>
            </w:r>
          </w:p>
          <w:p w14:paraId="707671BB" w14:textId="77777777" w:rsidR="00701F68" w:rsidRPr="00CD4F5B" w:rsidRDefault="00701F68" w:rsidP="00CD4F5B">
            <w:pPr>
              <w:pStyle w:val="TableBullet"/>
              <w:rPr>
                <w:i/>
                <w:iCs/>
              </w:rPr>
            </w:pPr>
            <w:r w:rsidRPr="00CD4F5B">
              <w:rPr>
                <w:i/>
                <w:iCs/>
              </w:rPr>
              <w:t xml:space="preserve">National Gas (New South Wales) Act 2008 No 31 &amp; National Gas (New South Wales) Law No 31a; </w:t>
            </w:r>
          </w:p>
          <w:p w14:paraId="0AF5FF49" w14:textId="77777777" w:rsidR="00701F68" w:rsidRPr="00CD4F5B" w:rsidRDefault="00701F68" w:rsidP="00CD4F5B">
            <w:pPr>
              <w:pStyle w:val="TableBullet"/>
              <w:rPr>
                <w:i/>
                <w:iCs/>
              </w:rPr>
            </w:pPr>
            <w:r w:rsidRPr="00CD4F5B">
              <w:rPr>
                <w:i/>
                <w:iCs/>
              </w:rPr>
              <w:t xml:space="preserve">National Gas (Northern Territory) Act 2008; </w:t>
            </w:r>
          </w:p>
          <w:p w14:paraId="1A4F39CF" w14:textId="77777777" w:rsidR="00701F68" w:rsidRPr="00CD4F5B" w:rsidRDefault="00701F68" w:rsidP="00CD4F5B">
            <w:pPr>
              <w:pStyle w:val="TableBullet"/>
              <w:rPr>
                <w:i/>
                <w:iCs/>
              </w:rPr>
            </w:pPr>
            <w:r w:rsidRPr="00CD4F5B">
              <w:rPr>
                <w:i/>
                <w:iCs/>
              </w:rPr>
              <w:t xml:space="preserve">National Gas (Queensland) Act 2008; </w:t>
            </w:r>
          </w:p>
          <w:p w14:paraId="6C698D11" w14:textId="77777777" w:rsidR="00701F68" w:rsidRPr="00CD4F5B" w:rsidRDefault="00701F68" w:rsidP="00CD4F5B">
            <w:pPr>
              <w:pStyle w:val="TableBullet"/>
              <w:rPr>
                <w:i/>
                <w:iCs/>
              </w:rPr>
            </w:pPr>
            <w:r w:rsidRPr="00CD4F5B">
              <w:rPr>
                <w:i/>
                <w:iCs/>
              </w:rPr>
              <w:t xml:space="preserve">National Gas (Tasmania) Act 2008; and </w:t>
            </w:r>
          </w:p>
          <w:p w14:paraId="2855C155" w14:textId="77777777" w:rsidR="00701F68" w:rsidRPr="00CD4F5B" w:rsidRDefault="00701F68" w:rsidP="00CD4F5B">
            <w:pPr>
              <w:pStyle w:val="TableBullet"/>
              <w:rPr>
                <w:i/>
                <w:iCs/>
              </w:rPr>
            </w:pPr>
            <w:r w:rsidRPr="00CD4F5B">
              <w:rPr>
                <w:i/>
                <w:iCs/>
              </w:rPr>
              <w:t xml:space="preserve">National Gas (Victoria) Act 2008. </w:t>
            </w:r>
          </w:p>
          <w:p w14:paraId="7CE6B2F7" w14:textId="77777777" w:rsidR="00701F68" w:rsidRPr="00F36CDF" w:rsidRDefault="00701F68" w:rsidP="00CD4F5B">
            <w:pPr>
              <w:pStyle w:val="TableBody"/>
              <w:rPr>
                <w:rFonts w:eastAsia="Times New Roman"/>
              </w:rPr>
            </w:pPr>
            <w:r w:rsidRPr="00F36CDF">
              <w:t xml:space="preserve">Western Australia participates in the National Gas Market to the extent set out in the </w:t>
            </w:r>
            <w:r w:rsidRPr="00F36CDF">
              <w:rPr>
                <w:i/>
                <w:iCs/>
              </w:rPr>
              <w:t>National Gas Access (WA) Act 2009</w:t>
            </w:r>
            <w:r w:rsidRPr="00F36CDF">
              <w:t xml:space="preserve">. </w:t>
            </w:r>
          </w:p>
        </w:tc>
        <w:tc>
          <w:tcPr>
            <w:tcW w:w="2052" w:type="pct"/>
            <w:shd w:val="clear" w:color="auto" w:fill="auto"/>
          </w:tcPr>
          <w:p w14:paraId="396CACCF" w14:textId="77777777" w:rsidR="00701F68" w:rsidRPr="00F36CDF" w:rsidRDefault="00701F68" w:rsidP="00CD4F5B">
            <w:pPr>
              <w:pStyle w:val="TableBody"/>
            </w:pPr>
            <w:r w:rsidRPr="00F36CDF">
              <w:t xml:space="preserve">The National Gas Law is contained in a Schedule to the </w:t>
            </w:r>
            <w:r w:rsidRPr="00F36CDF">
              <w:rPr>
                <w:i/>
                <w:iCs/>
              </w:rPr>
              <w:t>National Gas (South Australia) Act 2008</w:t>
            </w:r>
            <w:r w:rsidRPr="00F36CDF">
              <w:t xml:space="preserve"> and sets out a State and Territory access regime for gas pipelines, which are subject to either ‘light’ or ‘full’ regulation, if classified as ‘covered’ pipelines. A person seeking access to a natural gas pipeline must satisfy certain criteria before obtaining a statutory right of access.</w:t>
            </w:r>
            <w:r w:rsidRPr="00F36CDF">
              <w:rPr>
                <w:rStyle w:val="FootnoteReference"/>
                <w:rFonts w:ascii="Arial" w:hAnsi="Arial" w:cs="Arial"/>
                <w:sz w:val="22"/>
                <w:szCs w:val="24"/>
              </w:rPr>
              <w:footnoteReference w:id="259"/>
            </w:r>
          </w:p>
          <w:p w14:paraId="192E5D70" w14:textId="77777777" w:rsidR="00701F68" w:rsidRPr="00F36CDF" w:rsidRDefault="00701F68" w:rsidP="00CD4F5B">
            <w:pPr>
              <w:pStyle w:val="TableBody"/>
              <w:rPr>
                <w:rFonts w:eastAsia="Times New Roman"/>
              </w:rPr>
            </w:pPr>
            <w:r w:rsidRPr="00F36CDF">
              <w:t>The National Gas Law is supported by the National Gas Regulations and National Gas Rules, which govern access to natural gas pipeline services. However, the National Gas Law is focussed on access and licensing regimes. It does not impose baseline risk reduction requirements on entities.</w:t>
            </w:r>
          </w:p>
        </w:tc>
      </w:tr>
      <w:tr w:rsidR="00CD4F5B" w:rsidRPr="00F36CDF" w14:paraId="4325D043" w14:textId="77777777" w:rsidTr="7EBB1CEE">
        <w:trPr>
          <w:gridAfter w:val="1"/>
          <w:wAfter w:w="6" w:type="pct"/>
          <w:tblHeader/>
        </w:trPr>
        <w:tc>
          <w:tcPr>
            <w:tcW w:w="805" w:type="pct"/>
            <w:shd w:val="clear" w:color="auto" w:fill="F2F2F2" w:themeFill="background2" w:themeFillShade="F2"/>
          </w:tcPr>
          <w:p w14:paraId="3BB3A63A" w14:textId="77777777" w:rsidR="00CA2DB0" w:rsidRPr="00CD4F5B" w:rsidRDefault="00CA2DB0" w:rsidP="00CD4F5B">
            <w:pPr>
              <w:pStyle w:val="TableBody"/>
              <w:rPr>
                <w:szCs w:val="24"/>
              </w:rPr>
            </w:pPr>
            <w:r w:rsidRPr="00CD4F5B">
              <w:lastRenderedPageBreak/>
              <w:t>State and Territory Emergency Management Legislation</w:t>
            </w:r>
          </w:p>
        </w:tc>
        <w:tc>
          <w:tcPr>
            <w:tcW w:w="2137" w:type="pct"/>
            <w:shd w:val="clear" w:color="auto" w:fill="auto"/>
          </w:tcPr>
          <w:p w14:paraId="75FCD948" w14:textId="77777777" w:rsidR="00CA2DB0" w:rsidRPr="00374A1D" w:rsidRDefault="00CA2DB0" w:rsidP="00CD4F5B">
            <w:pPr>
              <w:pStyle w:val="TableBody"/>
            </w:pPr>
            <w:r w:rsidRPr="00374A1D">
              <w:t xml:space="preserve">Australia’s States and Territories have in place emergency management legislation which may have a risk management element, including: </w:t>
            </w:r>
          </w:p>
          <w:p w14:paraId="002893AD" w14:textId="77777777" w:rsidR="00CA2DB0" w:rsidRPr="00CD4F5B" w:rsidRDefault="00CA2DB0" w:rsidP="00CD4F5B">
            <w:pPr>
              <w:pStyle w:val="TableBullet"/>
              <w:rPr>
                <w:i/>
                <w:iCs/>
              </w:rPr>
            </w:pPr>
            <w:r w:rsidRPr="00CD4F5B">
              <w:rPr>
                <w:i/>
                <w:iCs/>
              </w:rPr>
              <w:t>Electricity Supply Act 1995 (NSW)</w:t>
            </w:r>
          </w:p>
          <w:p w14:paraId="2FB5F258" w14:textId="77777777" w:rsidR="00CA2DB0" w:rsidRPr="00CD4F5B" w:rsidRDefault="00CA2DB0" w:rsidP="00CD4F5B">
            <w:pPr>
              <w:pStyle w:val="TableBullet"/>
              <w:rPr>
                <w:i/>
                <w:iCs/>
              </w:rPr>
            </w:pPr>
            <w:r w:rsidRPr="00CD4F5B">
              <w:rPr>
                <w:i/>
                <w:iCs/>
              </w:rPr>
              <w:t>Essential Goods and Services Act 1981 (NT)</w:t>
            </w:r>
          </w:p>
          <w:p w14:paraId="721EF109" w14:textId="77777777" w:rsidR="00CA2DB0" w:rsidRPr="00CD4F5B" w:rsidRDefault="00CA2DB0" w:rsidP="00CD4F5B">
            <w:pPr>
              <w:pStyle w:val="TableBullet"/>
              <w:rPr>
                <w:i/>
                <w:iCs/>
              </w:rPr>
            </w:pPr>
            <w:r w:rsidRPr="00CD4F5B">
              <w:rPr>
                <w:i/>
                <w:iCs/>
              </w:rPr>
              <w:t>Electricity Reform Act 2000 (NT)</w:t>
            </w:r>
          </w:p>
          <w:p w14:paraId="2811D10B" w14:textId="77777777" w:rsidR="00CA2DB0" w:rsidRPr="00CD4F5B" w:rsidRDefault="00CA2DB0" w:rsidP="00CD4F5B">
            <w:pPr>
              <w:pStyle w:val="TableBullet"/>
              <w:rPr>
                <w:i/>
                <w:iCs/>
              </w:rPr>
            </w:pPr>
            <w:r w:rsidRPr="00CD4F5B">
              <w:rPr>
                <w:i/>
                <w:iCs/>
              </w:rPr>
              <w:t>Fuel Energy and Resources Act 1972 (WA)</w:t>
            </w:r>
          </w:p>
          <w:p w14:paraId="4E8D66B1" w14:textId="77777777" w:rsidR="00CA2DB0" w:rsidRPr="00CD4F5B" w:rsidRDefault="00CA2DB0" w:rsidP="00CD4F5B">
            <w:pPr>
              <w:pStyle w:val="TableBullet"/>
              <w:rPr>
                <w:i/>
                <w:iCs/>
              </w:rPr>
            </w:pPr>
            <w:r w:rsidRPr="00CD4F5B">
              <w:rPr>
                <w:i/>
                <w:iCs/>
              </w:rPr>
              <w:t>Essential Services Act 1981 (SA)</w:t>
            </w:r>
          </w:p>
          <w:p w14:paraId="21A96A05" w14:textId="77777777" w:rsidR="00CA2DB0" w:rsidRPr="00CD4F5B" w:rsidRDefault="00CA2DB0" w:rsidP="00CD4F5B">
            <w:pPr>
              <w:pStyle w:val="TableBullet"/>
              <w:rPr>
                <w:i/>
                <w:iCs/>
              </w:rPr>
            </w:pPr>
            <w:r w:rsidRPr="00CD4F5B">
              <w:rPr>
                <w:i/>
                <w:iCs/>
              </w:rPr>
              <w:t>Electricity Industry Act 2000 (VIC)</w:t>
            </w:r>
          </w:p>
          <w:p w14:paraId="7B5513DC" w14:textId="77777777" w:rsidR="00CA2DB0" w:rsidRPr="00CD4F5B" w:rsidRDefault="00CA2DB0" w:rsidP="00CD4F5B">
            <w:pPr>
              <w:pStyle w:val="TableBullet"/>
              <w:rPr>
                <w:i/>
                <w:iCs/>
              </w:rPr>
            </w:pPr>
            <w:r w:rsidRPr="00CD4F5B">
              <w:rPr>
                <w:i/>
                <w:iCs/>
              </w:rPr>
              <w:t>Electricity Supply Industry Act 1995 (TAS)</w:t>
            </w:r>
          </w:p>
          <w:p w14:paraId="09E7DB28" w14:textId="77777777" w:rsidR="00CA2DB0" w:rsidRPr="00CD4F5B" w:rsidRDefault="00CA2DB0" w:rsidP="00CD4F5B">
            <w:pPr>
              <w:pStyle w:val="TableBullet"/>
              <w:rPr>
                <w:i/>
                <w:iCs/>
              </w:rPr>
            </w:pPr>
            <w:r w:rsidRPr="00CD4F5B">
              <w:rPr>
                <w:i/>
                <w:iCs/>
              </w:rPr>
              <w:t>Utilities Act 2000 (ACT)</w:t>
            </w:r>
          </w:p>
          <w:p w14:paraId="1ECF474E" w14:textId="77777777" w:rsidR="00CA2DB0" w:rsidRPr="00F36CDF" w:rsidRDefault="00CA2DB0" w:rsidP="00CD4F5B">
            <w:pPr>
              <w:pStyle w:val="TableBullet"/>
            </w:pPr>
            <w:r w:rsidRPr="00CD4F5B">
              <w:rPr>
                <w:i/>
                <w:iCs/>
              </w:rPr>
              <w:t>Electricity Act 1994 (QLD)</w:t>
            </w:r>
          </w:p>
        </w:tc>
        <w:tc>
          <w:tcPr>
            <w:tcW w:w="2052" w:type="pct"/>
            <w:shd w:val="clear" w:color="auto" w:fill="auto"/>
          </w:tcPr>
          <w:p w14:paraId="10EF308A" w14:textId="77777777" w:rsidR="00CA2DB0" w:rsidRPr="00F36CDF" w:rsidRDefault="00CA2DB0" w:rsidP="00CD4F5B">
            <w:pPr>
              <w:pStyle w:val="TableBody"/>
              <w:rPr>
                <w:szCs w:val="24"/>
              </w:rPr>
            </w:pPr>
            <w:r w:rsidRPr="00374A1D">
              <w:t xml:space="preserve">While the risk management element contained in these legislative regimes may contribute to suitable risk management, they do not amount to an all hazards approach to risk management, nor are risk management obligations imposed on a whole-of-sector basis. </w:t>
            </w:r>
          </w:p>
        </w:tc>
      </w:tr>
      <w:tr w:rsidR="00CD4F5B" w:rsidRPr="00F36CDF" w14:paraId="53BB0E6A" w14:textId="77777777" w:rsidTr="7EBB1CEE">
        <w:trPr>
          <w:gridAfter w:val="1"/>
          <w:wAfter w:w="6" w:type="pct"/>
          <w:tblHeader/>
        </w:trPr>
        <w:tc>
          <w:tcPr>
            <w:tcW w:w="805" w:type="pct"/>
            <w:shd w:val="clear" w:color="auto" w:fill="F2F2F2" w:themeFill="background2" w:themeFillShade="F2"/>
          </w:tcPr>
          <w:p w14:paraId="1CB361AD" w14:textId="77777777" w:rsidR="00CA2DB0" w:rsidRPr="00CD4F5B" w:rsidRDefault="00CA2DB0" w:rsidP="00CD4F5B">
            <w:pPr>
              <w:pStyle w:val="TableBody"/>
              <w:rPr>
                <w:szCs w:val="24"/>
              </w:rPr>
            </w:pPr>
            <w:r w:rsidRPr="00CD4F5B">
              <w:t>Wholesale Electricity market (WEM) Rules WA</w:t>
            </w:r>
          </w:p>
        </w:tc>
        <w:tc>
          <w:tcPr>
            <w:tcW w:w="2137" w:type="pct"/>
            <w:shd w:val="clear" w:color="auto" w:fill="auto"/>
          </w:tcPr>
          <w:p w14:paraId="28B6DA54" w14:textId="77777777" w:rsidR="00CA2DB0" w:rsidRPr="00F36CDF" w:rsidRDefault="00CA2DB0" w:rsidP="00CD4F5B">
            <w:pPr>
              <w:pStyle w:val="TableBody"/>
              <w:rPr>
                <w:szCs w:val="24"/>
              </w:rPr>
            </w:pPr>
            <w:r>
              <w:t xml:space="preserve">Guide the operation of the WEM, including the trading and dispatch of energy, the Reserve Capacity Mechanism and settlement. They also mandate governance of the WEM. </w:t>
            </w:r>
          </w:p>
        </w:tc>
        <w:tc>
          <w:tcPr>
            <w:tcW w:w="2052" w:type="pct"/>
            <w:shd w:val="clear" w:color="auto" w:fill="auto"/>
          </w:tcPr>
          <w:p w14:paraId="09E29000" w14:textId="77777777" w:rsidR="00CA2DB0" w:rsidRPr="00F36CDF" w:rsidRDefault="00CA2DB0" w:rsidP="00CD4F5B">
            <w:pPr>
              <w:pStyle w:val="TableBody"/>
              <w:rPr>
                <w:szCs w:val="24"/>
              </w:rPr>
            </w:pPr>
            <w:r>
              <w:t xml:space="preserve">The Rules stipulate that the market operator must have an Operating Protocol with ‘general principles and processes for security management and coordination’ and for ‘management of emergencies’, as well as a process to determining and classifying ‘credible contingency’ events. However, it does not provide baseline standards of security management that must be met by the market operator(s). </w:t>
            </w:r>
          </w:p>
        </w:tc>
      </w:tr>
    </w:tbl>
    <w:p w14:paraId="0369BDB4" w14:textId="77777777" w:rsidR="000C3D44" w:rsidRDefault="000C3D44" w:rsidP="00CD4F5B">
      <w:pPr>
        <w:pStyle w:val="AppendixH2"/>
      </w:pPr>
      <w:r>
        <w:t xml:space="preserve">Existing standards, guidelines and regulators for </w:t>
      </w:r>
      <w:r w:rsidR="00C366FB">
        <w:t>critical energy market operator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264"/>
        <w:gridCol w:w="2138"/>
        <w:gridCol w:w="6236"/>
      </w:tblGrid>
      <w:tr w:rsidR="00291F3E" w:rsidRPr="002C399D" w14:paraId="042115B7" w14:textId="77777777" w:rsidTr="7EBB1CEE">
        <w:tc>
          <w:tcPr>
            <w:tcW w:w="656" w:type="pct"/>
            <w:tcBorders>
              <w:bottom w:val="single" w:sz="4" w:space="0" w:color="BFBFBF" w:themeColor="background2" w:themeShade="BF"/>
            </w:tcBorders>
            <w:shd w:val="clear" w:color="auto" w:fill="034EA2" w:themeFill="accent1"/>
          </w:tcPr>
          <w:p w14:paraId="0A9F5A97" w14:textId="0E6A175C" w:rsidR="000D4B43" w:rsidRPr="000F20CF" w:rsidRDefault="006B3927" w:rsidP="00A82BE6">
            <w:pPr>
              <w:pStyle w:val="TableHeading"/>
            </w:pPr>
            <w:r>
              <w:t>Hazard domain</w:t>
            </w:r>
          </w:p>
        </w:tc>
        <w:tc>
          <w:tcPr>
            <w:tcW w:w="1109" w:type="pct"/>
            <w:shd w:val="clear" w:color="auto" w:fill="034EA2" w:themeFill="accent1"/>
          </w:tcPr>
          <w:p w14:paraId="1E630F2D" w14:textId="77777777" w:rsidR="000D4B43" w:rsidRPr="000F20CF" w:rsidRDefault="000D4B43" w:rsidP="00A82BE6">
            <w:pPr>
              <w:pStyle w:val="TableHeading"/>
            </w:pPr>
            <w:r w:rsidRPr="000F20CF">
              <w:t>Organisation</w:t>
            </w:r>
          </w:p>
        </w:tc>
        <w:tc>
          <w:tcPr>
            <w:tcW w:w="3235" w:type="pct"/>
            <w:shd w:val="clear" w:color="auto" w:fill="034EA2" w:themeFill="accent1"/>
          </w:tcPr>
          <w:p w14:paraId="5949ED4A" w14:textId="77777777" w:rsidR="000D4B43" w:rsidRPr="000F20CF" w:rsidRDefault="000D4B43" w:rsidP="00A82BE6">
            <w:pPr>
              <w:pStyle w:val="TableHeading"/>
            </w:pPr>
            <w:r w:rsidRPr="000F20CF">
              <w:t>Standards &amp; guidelines</w:t>
            </w:r>
          </w:p>
        </w:tc>
      </w:tr>
      <w:tr w:rsidR="000D4B43" w:rsidRPr="002C399D" w14:paraId="37C0C6AE" w14:textId="77777777" w:rsidTr="7EBB1CEE">
        <w:tc>
          <w:tcPr>
            <w:tcW w:w="656" w:type="pct"/>
            <w:tcBorders>
              <w:top w:val="single" w:sz="4" w:space="0" w:color="BFBFBF" w:themeColor="background2" w:themeShade="BF"/>
              <w:bottom w:val="nil"/>
            </w:tcBorders>
            <w:shd w:val="clear" w:color="auto" w:fill="F2F2F2" w:themeFill="background2" w:themeFillShade="F2"/>
          </w:tcPr>
          <w:p w14:paraId="044ABB31" w14:textId="77777777" w:rsidR="000D4B43" w:rsidRPr="002C399D" w:rsidRDefault="000D4B43" w:rsidP="00A82BE6">
            <w:pPr>
              <w:pStyle w:val="TableBody"/>
            </w:pPr>
            <w:r w:rsidRPr="002C399D">
              <w:t>Cyber</w:t>
            </w:r>
          </w:p>
        </w:tc>
        <w:tc>
          <w:tcPr>
            <w:tcW w:w="1109" w:type="pct"/>
            <w:shd w:val="clear" w:color="auto" w:fill="auto"/>
          </w:tcPr>
          <w:p w14:paraId="41FBF2A2" w14:textId="77777777" w:rsidR="000D4B43" w:rsidRPr="002C399D" w:rsidRDefault="000D4B43" w:rsidP="00A82BE6">
            <w:pPr>
              <w:pStyle w:val="TableBody"/>
              <w:rPr>
                <w:b/>
                <w:bCs/>
              </w:rPr>
            </w:pPr>
            <w:r w:rsidRPr="002C399D">
              <w:t xml:space="preserve">AEMO </w:t>
            </w:r>
          </w:p>
          <w:p w14:paraId="799814A7" w14:textId="77777777" w:rsidR="000D4B43" w:rsidRPr="002C399D" w:rsidRDefault="000D4B43" w:rsidP="00A82BE6">
            <w:pPr>
              <w:pStyle w:val="TableBody"/>
              <w:rPr>
                <w:b/>
                <w:bCs/>
              </w:rPr>
            </w:pPr>
            <w:r w:rsidRPr="002C399D">
              <w:t>Australian Cyber Security Centre (ACSC)</w:t>
            </w:r>
          </w:p>
          <w:p w14:paraId="5A5D48C5" w14:textId="77777777" w:rsidR="000D4B43" w:rsidRPr="002C399D" w:rsidRDefault="000D4B43" w:rsidP="00A82BE6">
            <w:pPr>
              <w:pStyle w:val="TableBody"/>
              <w:rPr>
                <w:b/>
                <w:bCs/>
              </w:rPr>
            </w:pPr>
            <w:r>
              <w:t>Cyber and Infrastructure Security Centre</w:t>
            </w:r>
            <w:r w:rsidRPr="002C399D">
              <w:t xml:space="preserve"> </w:t>
            </w:r>
          </w:p>
          <w:p w14:paraId="47BDA261" w14:textId="77777777" w:rsidR="000D4B43" w:rsidRPr="002C399D" w:rsidRDefault="000D4B43" w:rsidP="00A82BE6">
            <w:pPr>
              <w:pStyle w:val="TableBody"/>
            </w:pPr>
            <w:r w:rsidRPr="002C399D">
              <w:t>Cyber Security Industry Working Group</w:t>
            </w:r>
          </w:p>
        </w:tc>
        <w:tc>
          <w:tcPr>
            <w:tcW w:w="3235" w:type="pct"/>
            <w:shd w:val="clear" w:color="auto" w:fill="auto"/>
          </w:tcPr>
          <w:p w14:paraId="510B43E5" w14:textId="77777777" w:rsidR="000D4B43" w:rsidRPr="002C399D" w:rsidRDefault="000D4B43" w:rsidP="00291F3E">
            <w:pPr>
              <w:pStyle w:val="TableBody"/>
            </w:pPr>
            <w:r w:rsidRPr="002C399D">
              <w:rPr>
                <w:b/>
                <w:bCs/>
              </w:rPr>
              <w:t>Australian Energy Sector Cyber Security Framework</w:t>
            </w:r>
            <w:r w:rsidRPr="002C399D">
              <w:t xml:space="preserve"> (AESCSF) was developed with key industry and government stakeholders and leverages existing best practice standards for cyber security and safety, from Australia and overseas. The AESCSF incorporates the following Australian references: </w:t>
            </w:r>
          </w:p>
          <w:p w14:paraId="38388E2B" w14:textId="77777777" w:rsidR="000D4B43" w:rsidRPr="002C399D" w:rsidRDefault="000D4B43" w:rsidP="00291F3E">
            <w:pPr>
              <w:pStyle w:val="TableBullet"/>
              <w:rPr>
                <w:rFonts w:eastAsia="Calibri"/>
              </w:rPr>
            </w:pPr>
            <w:r w:rsidRPr="002C399D">
              <w:rPr>
                <w:rFonts w:eastAsia="Calibri"/>
              </w:rPr>
              <w:t xml:space="preserve">ACSC Essential 8 Strategies to Mitigate Cyber Security Incidents; </w:t>
            </w:r>
          </w:p>
          <w:p w14:paraId="6CB2E9A0" w14:textId="77777777" w:rsidR="000D4B43" w:rsidRPr="002C399D" w:rsidRDefault="000D4B43" w:rsidP="00291F3E">
            <w:pPr>
              <w:pStyle w:val="TableBullet"/>
              <w:rPr>
                <w:rFonts w:eastAsia="Calibri"/>
              </w:rPr>
            </w:pPr>
            <w:r w:rsidRPr="002C399D">
              <w:rPr>
                <w:rFonts w:eastAsia="Calibri"/>
              </w:rPr>
              <w:t xml:space="preserve">The Australian Privacy Principles; and </w:t>
            </w:r>
          </w:p>
          <w:p w14:paraId="26B98F72" w14:textId="77777777" w:rsidR="000D4B43" w:rsidRPr="002C399D" w:rsidRDefault="000D4B43" w:rsidP="00291F3E">
            <w:pPr>
              <w:pStyle w:val="TableBullet"/>
              <w:rPr>
                <w:rFonts w:eastAsia="Calibri"/>
              </w:rPr>
            </w:pPr>
            <w:r w:rsidRPr="002C399D">
              <w:rPr>
                <w:rFonts w:eastAsia="Calibri"/>
              </w:rPr>
              <w:t xml:space="preserve">The Notifiable Data Breaches Scheme. </w:t>
            </w:r>
          </w:p>
        </w:tc>
      </w:tr>
      <w:tr w:rsidR="000D4B43" w:rsidRPr="002C399D" w14:paraId="394274D8" w14:textId="77777777" w:rsidTr="7EBB1CEE">
        <w:tc>
          <w:tcPr>
            <w:tcW w:w="656" w:type="pct"/>
            <w:tcBorders>
              <w:top w:val="nil"/>
              <w:bottom w:val="nil"/>
            </w:tcBorders>
            <w:shd w:val="clear" w:color="auto" w:fill="F2F2F2" w:themeFill="background2" w:themeFillShade="F2"/>
          </w:tcPr>
          <w:p w14:paraId="7992D8E0" w14:textId="77777777" w:rsidR="000D4B43" w:rsidRPr="002C399D" w:rsidRDefault="000D4B43" w:rsidP="00A82BE6">
            <w:pPr>
              <w:pStyle w:val="TableBody"/>
            </w:pPr>
          </w:p>
        </w:tc>
        <w:tc>
          <w:tcPr>
            <w:tcW w:w="1109" w:type="pct"/>
            <w:shd w:val="clear" w:color="auto" w:fill="auto"/>
          </w:tcPr>
          <w:p w14:paraId="1196F726" w14:textId="77777777" w:rsidR="000D4B43" w:rsidRPr="002C399D" w:rsidRDefault="000D4B43" w:rsidP="00A82BE6">
            <w:pPr>
              <w:pStyle w:val="TableBody"/>
            </w:pPr>
            <w:r w:rsidRPr="002C399D">
              <w:t>National Institutes of Standards and Technology (NIST)</w:t>
            </w:r>
          </w:p>
        </w:tc>
        <w:tc>
          <w:tcPr>
            <w:tcW w:w="3235" w:type="pct"/>
            <w:shd w:val="clear" w:color="auto" w:fill="auto"/>
          </w:tcPr>
          <w:p w14:paraId="67942453" w14:textId="77777777" w:rsidR="000D4B43" w:rsidRPr="00291F3E" w:rsidRDefault="000D4B43" w:rsidP="00291F3E">
            <w:pPr>
              <w:pStyle w:val="TableBody"/>
              <w:rPr>
                <w:b/>
                <w:bCs/>
              </w:rPr>
            </w:pPr>
            <w:r w:rsidRPr="00291F3E">
              <w:rPr>
                <w:b/>
                <w:bCs/>
              </w:rPr>
              <w:t>Cybersecurity Programs</w:t>
            </w:r>
          </w:p>
        </w:tc>
      </w:tr>
      <w:tr w:rsidR="000D4B43" w:rsidRPr="002C399D" w14:paraId="3F4D379E" w14:textId="77777777" w:rsidTr="7EBB1CEE">
        <w:tc>
          <w:tcPr>
            <w:tcW w:w="656" w:type="pct"/>
            <w:tcBorders>
              <w:top w:val="nil"/>
              <w:bottom w:val="nil"/>
            </w:tcBorders>
            <w:shd w:val="clear" w:color="auto" w:fill="F2F2F2" w:themeFill="background2" w:themeFillShade="F2"/>
          </w:tcPr>
          <w:p w14:paraId="45896380" w14:textId="77777777" w:rsidR="000D4B43" w:rsidRPr="002C399D" w:rsidRDefault="000D4B43" w:rsidP="00A82BE6">
            <w:pPr>
              <w:pStyle w:val="TableBody"/>
            </w:pPr>
          </w:p>
        </w:tc>
        <w:tc>
          <w:tcPr>
            <w:tcW w:w="1109" w:type="pct"/>
            <w:shd w:val="clear" w:color="auto" w:fill="auto"/>
          </w:tcPr>
          <w:p w14:paraId="42BB07F5" w14:textId="591E3DBA" w:rsidR="000D4B43" w:rsidRPr="00D24A50" w:rsidRDefault="002F57EB" w:rsidP="00A82BE6">
            <w:pPr>
              <w:pStyle w:val="TableBody"/>
            </w:pPr>
            <w:r>
              <w:t>International Organization for Standardization</w:t>
            </w:r>
            <w:r w:rsidR="000D4B43" w:rsidRPr="00D24A50">
              <w:t xml:space="preserve"> (ISO)</w:t>
            </w:r>
          </w:p>
        </w:tc>
        <w:tc>
          <w:tcPr>
            <w:tcW w:w="3235" w:type="pct"/>
            <w:shd w:val="clear" w:color="auto" w:fill="auto"/>
          </w:tcPr>
          <w:p w14:paraId="07B4D49D" w14:textId="411D9E61" w:rsidR="000D4B43" w:rsidRPr="00D24A50" w:rsidRDefault="000D4B43" w:rsidP="00291F3E">
            <w:pPr>
              <w:pStyle w:val="TableBody"/>
            </w:pPr>
            <w:r w:rsidRPr="00D24A50">
              <w:rPr>
                <w:b/>
                <w:bCs/>
              </w:rPr>
              <w:t>ISO 27001</w:t>
            </w:r>
            <w:r w:rsidRPr="00D24A50">
              <w:t xml:space="preserve"> provides requirements for information security management systems.</w:t>
            </w:r>
          </w:p>
        </w:tc>
      </w:tr>
      <w:tr w:rsidR="000D4B43" w:rsidRPr="002C399D" w14:paraId="5A9DA6B3" w14:textId="77777777" w:rsidTr="7EBB1CEE">
        <w:tc>
          <w:tcPr>
            <w:tcW w:w="656" w:type="pct"/>
            <w:tcBorders>
              <w:top w:val="nil"/>
              <w:bottom w:val="nil"/>
            </w:tcBorders>
            <w:shd w:val="clear" w:color="auto" w:fill="F2F2F2" w:themeFill="background2" w:themeFillShade="F2"/>
          </w:tcPr>
          <w:p w14:paraId="105B852A" w14:textId="77777777" w:rsidR="000D4B43" w:rsidRPr="002C399D" w:rsidRDefault="000D4B43" w:rsidP="00A82BE6">
            <w:pPr>
              <w:pStyle w:val="TableBody"/>
            </w:pPr>
          </w:p>
        </w:tc>
        <w:tc>
          <w:tcPr>
            <w:tcW w:w="1109" w:type="pct"/>
            <w:shd w:val="clear" w:color="auto" w:fill="auto"/>
          </w:tcPr>
          <w:p w14:paraId="22104ACA" w14:textId="77777777" w:rsidR="000D4B43" w:rsidRPr="00D24A50" w:rsidRDefault="000D4B43" w:rsidP="00A82BE6">
            <w:pPr>
              <w:pStyle w:val="TableBody"/>
            </w:pPr>
            <w:r w:rsidRPr="00D24A50">
              <w:t>United States Department of Energy</w:t>
            </w:r>
          </w:p>
        </w:tc>
        <w:tc>
          <w:tcPr>
            <w:tcW w:w="3235" w:type="pct"/>
            <w:shd w:val="clear" w:color="auto" w:fill="auto"/>
          </w:tcPr>
          <w:p w14:paraId="6611F981" w14:textId="77777777" w:rsidR="000D4B43" w:rsidRPr="00D24A50" w:rsidRDefault="000D4B43" w:rsidP="00291F3E">
            <w:pPr>
              <w:pStyle w:val="TableBody"/>
            </w:pPr>
            <w:r w:rsidRPr="00D24A50">
              <w:rPr>
                <w:b/>
              </w:rPr>
              <w:t>Cybersecurity Capability Maturity Model (C2M2)</w:t>
            </w:r>
            <w:r w:rsidRPr="00D24A50">
              <w:t xml:space="preserve"> was developed by the U.S. Department of Energy in conjunction with energy sector subject matter experts. It provides a voluntary evaluation process which allows entities to determine the maturity of their cyber security capabilities. The AESCSF is based upon this model.</w:t>
            </w:r>
          </w:p>
        </w:tc>
      </w:tr>
      <w:tr w:rsidR="000D4B43" w:rsidRPr="002C399D" w14:paraId="4188E748" w14:textId="77777777" w:rsidTr="7EBB1CEE">
        <w:tc>
          <w:tcPr>
            <w:tcW w:w="656" w:type="pct"/>
            <w:tcBorders>
              <w:top w:val="nil"/>
              <w:bottom w:val="nil"/>
            </w:tcBorders>
            <w:shd w:val="clear" w:color="auto" w:fill="F2F2F2" w:themeFill="background2" w:themeFillShade="F2"/>
          </w:tcPr>
          <w:p w14:paraId="6D10FCE3" w14:textId="77777777" w:rsidR="000D4B43" w:rsidRPr="002C399D" w:rsidRDefault="000D4B43" w:rsidP="00A82BE6">
            <w:pPr>
              <w:pStyle w:val="TableBody"/>
            </w:pPr>
          </w:p>
        </w:tc>
        <w:tc>
          <w:tcPr>
            <w:tcW w:w="1109" w:type="pct"/>
            <w:shd w:val="clear" w:color="auto" w:fill="auto"/>
          </w:tcPr>
          <w:p w14:paraId="3FC284D4" w14:textId="77777777" w:rsidR="000D4B43" w:rsidRPr="00D24A50" w:rsidRDefault="000D4B43" w:rsidP="00A82BE6">
            <w:pPr>
              <w:pStyle w:val="TableBody"/>
            </w:pPr>
            <w:r w:rsidRPr="00D24A50">
              <w:t>ACSC</w:t>
            </w:r>
          </w:p>
        </w:tc>
        <w:tc>
          <w:tcPr>
            <w:tcW w:w="3235" w:type="pct"/>
            <w:shd w:val="clear" w:color="auto" w:fill="auto"/>
          </w:tcPr>
          <w:p w14:paraId="246E964E" w14:textId="77777777" w:rsidR="000D4B43" w:rsidRPr="00D24A50" w:rsidRDefault="000D4B43" w:rsidP="00291F3E">
            <w:pPr>
              <w:pStyle w:val="TableBody"/>
            </w:pPr>
            <w:r w:rsidRPr="00D24A50">
              <w:rPr>
                <w:b/>
              </w:rPr>
              <w:t>Essential Eight Maturity Model</w:t>
            </w:r>
            <w:r w:rsidRPr="00D24A50">
              <w:t xml:space="preserve"> provides requirements to increase business resilience against cyber and information security hazards.</w:t>
            </w:r>
          </w:p>
        </w:tc>
      </w:tr>
      <w:tr w:rsidR="000D4B43" w:rsidRPr="002C399D" w14:paraId="39CCC373" w14:textId="77777777" w:rsidTr="7EBB1CEE">
        <w:tc>
          <w:tcPr>
            <w:tcW w:w="656" w:type="pct"/>
            <w:tcBorders>
              <w:top w:val="nil"/>
            </w:tcBorders>
            <w:shd w:val="clear" w:color="auto" w:fill="F2F2F2" w:themeFill="background2" w:themeFillShade="F2"/>
          </w:tcPr>
          <w:p w14:paraId="3C1D90CB" w14:textId="77777777" w:rsidR="000D4B43" w:rsidRPr="002C399D" w:rsidRDefault="000D4B43" w:rsidP="00A82BE6">
            <w:pPr>
              <w:pStyle w:val="TableBody"/>
            </w:pPr>
          </w:p>
        </w:tc>
        <w:tc>
          <w:tcPr>
            <w:tcW w:w="1109" w:type="pct"/>
            <w:shd w:val="clear" w:color="auto" w:fill="auto"/>
          </w:tcPr>
          <w:p w14:paraId="55489B34" w14:textId="77777777" w:rsidR="000D4B43" w:rsidRPr="00D24A50" w:rsidRDefault="000D4B43" w:rsidP="00A82BE6">
            <w:pPr>
              <w:pStyle w:val="TableBody"/>
            </w:pPr>
            <w:r>
              <w:t>AEMO</w:t>
            </w:r>
          </w:p>
        </w:tc>
        <w:tc>
          <w:tcPr>
            <w:tcW w:w="3235" w:type="pct"/>
            <w:shd w:val="clear" w:color="auto" w:fill="auto"/>
          </w:tcPr>
          <w:p w14:paraId="5D770377" w14:textId="694D444E" w:rsidR="000D4B43" w:rsidRPr="00873E68" w:rsidRDefault="000D4B43" w:rsidP="00291F3E">
            <w:pPr>
              <w:pStyle w:val="TableBody"/>
              <w:rPr>
                <w:b/>
              </w:rPr>
            </w:pPr>
            <w:r>
              <w:rPr>
                <w:b/>
              </w:rPr>
              <w:t xml:space="preserve">Power System Data Communication </w:t>
            </w:r>
            <w:r w:rsidR="00512B48">
              <w:rPr>
                <w:b/>
              </w:rPr>
              <w:t xml:space="preserve">Standard </w:t>
            </w:r>
            <w:r w:rsidRPr="000042F5">
              <w:t>sets out the standards with which Data Communication Providers (DCPs) must comply when transmitting data to and from AEMO.</w:t>
            </w:r>
          </w:p>
        </w:tc>
      </w:tr>
      <w:tr w:rsidR="000D4B43" w:rsidRPr="002C399D" w14:paraId="477B8F4B" w14:textId="77777777" w:rsidTr="7EBB1CEE">
        <w:tc>
          <w:tcPr>
            <w:tcW w:w="656" w:type="pct"/>
            <w:shd w:val="clear" w:color="auto" w:fill="F2F2F2" w:themeFill="background2" w:themeFillShade="F2"/>
          </w:tcPr>
          <w:p w14:paraId="7F72D6BC" w14:textId="77777777" w:rsidR="000D4B43" w:rsidRPr="002C399D" w:rsidRDefault="000D4B43" w:rsidP="00A82BE6">
            <w:pPr>
              <w:pStyle w:val="TableBody"/>
            </w:pPr>
            <w:r>
              <w:t>Natural Hazards</w:t>
            </w:r>
          </w:p>
        </w:tc>
        <w:tc>
          <w:tcPr>
            <w:tcW w:w="1109" w:type="pct"/>
            <w:shd w:val="clear" w:color="auto" w:fill="auto"/>
          </w:tcPr>
          <w:p w14:paraId="73A4E0D5" w14:textId="77777777" w:rsidR="000D4B43" w:rsidRDefault="000D4B43" w:rsidP="00A82BE6">
            <w:pPr>
              <w:pStyle w:val="TableBody"/>
            </w:pPr>
            <w:r>
              <w:t>AEMO</w:t>
            </w:r>
          </w:p>
        </w:tc>
        <w:tc>
          <w:tcPr>
            <w:tcW w:w="3235" w:type="pct"/>
            <w:shd w:val="clear" w:color="auto" w:fill="auto"/>
          </w:tcPr>
          <w:p w14:paraId="17523302" w14:textId="77777777" w:rsidR="000D4B43" w:rsidRPr="00F275D3" w:rsidRDefault="000D4B43" w:rsidP="00291F3E">
            <w:pPr>
              <w:pStyle w:val="TableBody"/>
            </w:pPr>
            <w:r>
              <w:rPr>
                <w:b/>
              </w:rPr>
              <w:t xml:space="preserve">Reliability Standards Implementation Guidelines </w:t>
            </w:r>
            <w:r w:rsidRPr="00D323C0">
              <w:t>The Guidelines set out how the Australian Energy Market Operator (AEMO) implements the reliability standard, including regarding the treatment of extreme weather events.</w:t>
            </w:r>
            <w:r>
              <w:t xml:space="preserve"> </w:t>
            </w:r>
            <w:r>
              <w:rPr>
                <w:b/>
              </w:rPr>
              <w:t xml:space="preserve"> </w:t>
            </w:r>
          </w:p>
        </w:tc>
      </w:tr>
    </w:tbl>
    <w:p w14:paraId="36911C0D" w14:textId="7F5E9824" w:rsidR="00291F3E" w:rsidRDefault="00291F3E" w:rsidP="00107B5A">
      <w:pPr>
        <w:pStyle w:val="BodyText"/>
      </w:pPr>
    </w:p>
    <w:p w14:paraId="6AFF9B68" w14:textId="77777777" w:rsidR="00291F3E" w:rsidRDefault="00291F3E">
      <w:pPr>
        <w:spacing w:before="80" w:after="80"/>
        <w:rPr>
          <w:rFonts w:cstheme="majorHAnsi"/>
          <w:sz w:val="22"/>
          <w:szCs w:val="28"/>
        </w:rPr>
      </w:pPr>
      <w:r>
        <w:br w:type="page"/>
      </w:r>
    </w:p>
    <w:p w14:paraId="29D58511" w14:textId="77777777" w:rsidR="00291F3E" w:rsidRPr="00107B5A" w:rsidRDefault="00291F3E" w:rsidP="00107B5A">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866"/>
        <w:gridCol w:w="7772"/>
      </w:tblGrid>
      <w:tr w:rsidR="007127C1" w:rsidRPr="002C399D" w14:paraId="5BEE7800" w14:textId="77777777" w:rsidTr="00291F3E">
        <w:tc>
          <w:tcPr>
            <w:tcW w:w="968" w:type="pct"/>
            <w:shd w:val="clear" w:color="auto" w:fill="034EA2" w:themeFill="accent1"/>
          </w:tcPr>
          <w:p w14:paraId="1223C4E6" w14:textId="77777777" w:rsidR="007127C1" w:rsidRPr="002C399D" w:rsidRDefault="007127C1" w:rsidP="00291F3E">
            <w:pPr>
              <w:pStyle w:val="TableHeading"/>
            </w:pPr>
            <w:r w:rsidRPr="002C399D">
              <w:t>Jurisdiction</w:t>
            </w:r>
          </w:p>
        </w:tc>
        <w:tc>
          <w:tcPr>
            <w:tcW w:w="4032" w:type="pct"/>
            <w:shd w:val="clear" w:color="auto" w:fill="034EA2" w:themeFill="accent1"/>
          </w:tcPr>
          <w:p w14:paraId="01455585" w14:textId="77777777" w:rsidR="007127C1" w:rsidRPr="002C399D" w:rsidRDefault="007127C1" w:rsidP="00291F3E">
            <w:pPr>
              <w:pStyle w:val="TableHeading"/>
            </w:pPr>
            <w:r w:rsidRPr="002C399D">
              <w:t>Regulator/s</w:t>
            </w:r>
          </w:p>
        </w:tc>
      </w:tr>
      <w:tr w:rsidR="007127C1" w:rsidRPr="002C399D" w14:paraId="73AA44D0" w14:textId="77777777" w:rsidTr="00291F3E">
        <w:tc>
          <w:tcPr>
            <w:tcW w:w="968" w:type="pct"/>
            <w:shd w:val="clear" w:color="auto" w:fill="F2F2F2" w:themeFill="background1" w:themeFillShade="F2"/>
          </w:tcPr>
          <w:p w14:paraId="667E8A0A" w14:textId="77777777" w:rsidR="007127C1" w:rsidRPr="002C399D" w:rsidRDefault="007127C1" w:rsidP="00291F3E">
            <w:pPr>
              <w:pStyle w:val="TableBody"/>
            </w:pPr>
            <w:r w:rsidRPr="002C399D">
              <w:t>Commonwealth</w:t>
            </w:r>
          </w:p>
        </w:tc>
        <w:tc>
          <w:tcPr>
            <w:tcW w:w="4032" w:type="pct"/>
            <w:shd w:val="clear" w:color="auto" w:fill="auto"/>
          </w:tcPr>
          <w:p w14:paraId="1F829879" w14:textId="77777777" w:rsidR="007127C1" w:rsidRPr="002C399D" w:rsidRDefault="007127C1" w:rsidP="00291F3E">
            <w:pPr>
              <w:pStyle w:val="TableBody"/>
            </w:pPr>
            <w:r w:rsidRPr="002C399D">
              <w:t xml:space="preserve">Australian Energy Regulator </w:t>
            </w:r>
          </w:p>
          <w:p w14:paraId="70201094" w14:textId="77777777" w:rsidR="007127C1" w:rsidRPr="002C399D" w:rsidRDefault="007127C1" w:rsidP="00291F3E">
            <w:pPr>
              <w:pStyle w:val="TableBody"/>
            </w:pPr>
            <w:r w:rsidRPr="002C399D">
              <w:t>(Responsible for regulating wholesale and retail energy markets and energy networks, under national energy legislation and rules. The AER sets network prices so that energy consumers pay no more than necessary for the safe and reliable delivery of electricity services, which includes setting the maximum amount of revenue which can be earned by electricity networks. The AER’s regulatory functions relate, in particular, to energy markets in eastern and southern Australia.)</w:t>
            </w:r>
          </w:p>
          <w:p w14:paraId="1928E791" w14:textId="77777777" w:rsidR="007127C1" w:rsidRPr="002C399D" w:rsidRDefault="007127C1" w:rsidP="00291F3E">
            <w:pPr>
              <w:pStyle w:val="TableBody"/>
            </w:pPr>
            <w:r w:rsidRPr="002C399D">
              <w:t xml:space="preserve">Australian Energy Market Operator </w:t>
            </w:r>
          </w:p>
          <w:p w14:paraId="51486B6F" w14:textId="77777777" w:rsidR="007127C1" w:rsidRPr="002C399D" w:rsidRDefault="007127C1" w:rsidP="00291F3E">
            <w:pPr>
              <w:pStyle w:val="TableBody"/>
            </w:pPr>
            <w:r w:rsidRPr="002C399D">
              <w:t xml:space="preserve">Energy Security Board </w:t>
            </w:r>
          </w:p>
          <w:p w14:paraId="624E5F48" w14:textId="77777777" w:rsidR="007127C1" w:rsidRPr="002C399D" w:rsidRDefault="007127C1" w:rsidP="00291F3E">
            <w:pPr>
              <w:pStyle w:val="TableBody"/>
            </w:pPr>
            <w:r w:rsidRPr="002C399D">
              <w:t>(Provides whole of system oversight on energy security and reliability.)</w:t>
            </w:r>
          </w:p>
        </w:tc>
      </w:tr>
      <w:tr w:rsidR="007127C1" w:rsidRPr="002C399D" w14:paraId="3FC8E748" w14:textId="77777777" w:rsidTr="00291F3E">
        <w:tc>
          <w:tcPr>
            <w:tcW w:w="968" w:type="pct"/>
            <w:shd w:val="clear" w:color="auto" w:fill="F2F2F2" w:themeFill="background1" w:themeFillShade="F2"/>
          </w:tcPr>
          <w:p w14:paraId="661EE2D6" w14:textId="77777777" w:rsidR="007127C1" w:rsidRPr="002C399D" w:rsidRDefault="007127C1" w:rsidP="00291F3E">
            <w:pPr>
              <w:pStyle w:val="TableBody"/>
            </w:pPr>
            <w:r w:rsidRPr="002C399D">
              <w:t>Northern Territory</w:t>
            </w:r>
          </w:p>
        </w:tc>
        <w:tc>
          <w:tcPr>
            <w:tcW w:w="4032" w:type="pct"/>
            <w:shd w:val="clear" w:color="auto" w:fill="auto"/>
          </w:tcPr>
          <w:p w14:paraId="49F10E93" w14:textId="77777777" w:rsidR="007127C1" w:rsidRPr="002C399D" w:rsidRDefault="007127C1" w:rsidP="00291F3E">
            <w:pPr>
              <w:pStyle w:val="TableBody"/>
            </w:pPr>
            <w:r w:rsidRPr="002C399D">
              <w:t xml:space="preserve">Utilities Commission of the Northern Territory </w:t>
            </w:r>
          </w:p>
        </w:tc>
      </w:tr>
      <w:tr w:rsidR="007127C1" w:rsidRPr="002C399D" w14:paraId="07DDC4A0" w14:textId="77777777" w:rsidTr="00291F3E">
        <w:tc>
          <w:tcPr>
            <w:tcW w:w="968" w:type="pct"/>
            <w:shd w:val="clear" w:color="auto" w:fill="F2F2F2" w:themeFill="background1" w:themeFillShade="F2"/>
          </w:tcPr>
          <w:p w14:paraId="195D92BF" w14:textId="77777777" w:rsidR="007127C1" w:rsidRPr="002C399D" w:rsidRDefault="007127C1" w:rsidP="00291F3E">
            <w:pPr>
              <w:pStyle w:val="TableBody"/>
            </w:pPr>
            <w:r w:rsidRPr="002C399D">
              <w:t>Western Australia</w:t>
            </w:r>
          </w:p>
        </w:tc>
        <w:tc>
          <w:tcPr>
            <w:tcW w:w="4032" w:type="pct"/>
            <w:shd w:val="clear" w:color="auto" w:fill="auto"/>
          </w:tcPr>
          <w:p w14:paraId="35D357D8" w14:textId="77777777" w:rsidR="007127C1" w:rsidRPr="002C399D" w:rsidRDefault="007127C1" w:rsidP="00291F3E">
            <w:pPr>
              <w:pStyle w:val="TableBody"/>
            </w:pPr>
            <w:r w:rsidRPr="002C399D">
              <w:t>Economic Regulation Authority of Western Australia</w:t>
            </w:r>
          </w:p>
        </w:tc>
      </w:tr>
    </w:tbl>
    <w:p w14:paraId="0D08B656" w14:textId="77777777" w:rsidR="000C3D44" w:rsidRDefault="000C3D44" w:rsidP="00291F3E">
      <w:pPr>
        <w:pStyle w:val="AppendixH2"/>
      </w:pPr>
      <w:r>
        <w:t>Additional information on consultation</w:t>
      </w:r>
    </w:p>
    <w:p w14:paraId="2247AC67" w14:textId="77777777" w:rsidR="001156B1" w:rsidRPr="003645A2" w:rsidRDefault="001156B1" w:rsidP="00291F3E">
      <w:pPr>
        <w:pStyle w:val="Caption"/>
        <w:rPr>
          <w:iCs/>
        </w:rPr>
      </w:pPr>
      <w:bookmarkStart w:id="614" w:name="_Toc90995106"/>
      <w:r w:rsidRPr="00C366FB">
        <w:t>Overview of stakeholders consulted</w:t>
      </w:r>
      <w:bookmarkEnd w:id="614"/>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20" w:firstRow="1" w:lastRow="0" w:firstColumn="0" w:lastColumn="0" w:noHBand="0" w:noVBand="1"/>
      </w:tblPr>
      <w:tblGrid>
        <w:gridCol w:w="4393"/>
        <w:gridCol w:w="5245"/>
      </w:tblGrid>
      <w:tr w:rsidR="001156B1" w:rsidRPr="003645A2" w14:paraId="4D4D5F7A" w14:textId="77777777" w:rsidTr="00291F3E">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32ADB6DF" w14:textId="77777777" w:rsidR="001156B1" w:rsidRPr="00291F3E" w:rsidRDefault="001156B1" w:rsidP="00291F3E">
            <w:pPr>
              <w:pStyle w:val="TableHeading"/>
              <w:rPr>
                <w:b/>
                <w:bCs/>
              </w:rPr>
            </w:pPr>
            <w:r w:rsidRPr="00291F3E">
              <w:rPr>
                <w:b/>
                <w:bCs/>
              </w:rPr>
              <w:t xml:space="preserve">Stakeholders Consulted </w:t>
            </w:r>
          </w:p>
        </w:tc>
      </w:tr>
      <w:tr w:rsidR="001156B1" w:rsidRPr="003645A2" w14:paraId="12CACE30" w14:textId="77777777" w:rsidTr="00291F3E">
        <w:trPr>
          <w:cnfStyle w:val="000000100000" w:firstRow="0" w:lastRow="0" w:firstColumn="0" w:lastColumn="0" w:oddVBand="0" w:evenVBand="0" w:oddHBand="1" w:evenHBand="0" w:firstRowFirstColumn="0" w:firstRowLastColumn="0" w:lastRowFirstColumn="0" w:lastRowLastColumn="0"/>
        </w:trPr>
        <w:tc>
          <w:tcPr>
            <w:tcW w:w="2279" w:type="pct"/>
          </w:tcPr>
          <w:p w14:paraId="2C54BCB0" w14:textId="77777777" w:rsidR="001156B1" w:rsidRPr="000F20CF" w:rsidRDefault="001156B1" w:rsidP="00291F3E">
            <w:pPr>
              <w:pStyle w:val="TableBullet"/>
              <w:rPr>
                <w:rFonts w:eastAsia="Calibri"/>
              </w:rPr>
            </w:pPr>
            <w:r w:rsidRPr="000F20CF">
              <w:rPr>
                <w:rFonts w:eastAsia="Calibri"/>
              </w:rPr>
              <w:t>Western Power</w:t>
            </w:r>
          </w:p>
          <w:p w14:paraId="49D77EF5" w14:textId="77777777" w:rsidR="001156B1" w:rsidRPr="00B869A8" w:rsidRDefault="001156B1" w:rsidP="00291F3E">
            <w:pPr>
              <w:pStyle w:val="TableBullet"/>
              <w:rPr>
                <w:rFonts w:eastAsia="Calibri"/>
              </w:rPr>
            </w:pPr>
            <w:r w:rsidRPr="000F20CF">
              <w:rPr>
                <w:rFonts w:eastAsia="Calibri"/>
              </w:rPr>
              <w:t>Horizon Power</w:t>
            </w:r>
          </w:p>
        </w:tc>
        <w:tc>
          <w:tcPr>
            <w:tcW w:w="2721" w:type="pct"/>
          </w:tcPr>
          <w:p w14:paraId="6B2E60BB" w14:textId="77777777" w:rsidR="00EE7E2C" w:rsidRDefault="001156B1" w:rsidP="00291F3E">
            <w:pPr>
              <w:pStyle w:val="TableBullet"/>
              <w:rPr>
                <w:rFonts w:eastAsia="Calibri"/>
              </w:rPr>
            </w:pPr>
            <w:r w:rsidRPr="00E53ADC">
              <w:rPr>
                <w:rFonts w:eastAsia="Calibri"/>
              </w:rPr>
              <w:t>The Australian Energy Market Operator (AEMO)</w:t>
            </w:r>
          </w:p>
          <w:p w14:paraId="6D41DD11" w14:textId="77777777" w:rsidR="001156B1" w:rsidRPr="00386A14" w:rsidRDefault="001156B1" w:rsidP="00291F3E">
            <w:pPr>
              <w:pStyle w:val="TableBullet"/>
              <w:rPr>
                <w:rFonts w:eastAsia="Calibri"/>
              </w:rPr>
            </w:pPr>
            <w:r w:rsidRPr="003E6383">
              <w:rPr>
                <w:rFonts w:eastAsia="Calibri"/>
              </w:rPr>
              <w:t xml:space="preserve">Power and Water Corporation </w:t>
            </w:r>
          </w:p>
        </w:tc>
      </w:tr>
    </w:tbl>
    <w:p w14:paraId="1498DD67" w14:textId="77777777" w:rsidR="001E4026" w:rsidRPr="00D65A59" w:rsidRDefault="001E4026" w:rsidP="00291F3E">
      <w:pPr>
        <w:pStyle w:val="AppendixH2"/>
      </w:pPr>
      <w:r w:rsidRPr="00D65A59">
        <w:t xml:space="preserve">RMP Rules consultation </w:t>
      </w:r>
    </w:p>
    <w:p w14:paraId="477284EB" w14:textId="140B4328" w:rsidR="00301C75" w:rsidRPr="00553136" w:rsidRDefault="00301C75" w:rsidP="00291F3E">
      <w:pPr>
        <w:pStyle w:val="BodyText"/>
      </w:pPr>
      <w:r w:rsidRPr="00553136">
        <w:t xml:space="preserve">Consultation with industry stakeholders occurred </w:t>
      </w:r>
      <w:r w:rsidR="002B1BFD">
        <w:t>across the following</w:t>
      </w:r>
      <w:r w:rsidRPr="00553136">
        <w:t xml:space="preserve"> key stages: </w:t>
      </w:r>
    </w:p>
    <w:p w14:paraId="0F6216AC" w14:textId="77777777" w:rsidR="00301C75" w:rsidRPr="00553136" w:rsidRDefault="00301C75" w:rsidP="007F265A">
      <w:pPr>
        <w:numPr>
          <w:ilvl w:val="0"/>
          <w:numId w:val="118"/>
        </w:numPr>
        <w:spacing w:after="160"/>
        <w:ind w:hanging="357"/>
        <w:rPr>
          <w:rFonts w:ascii="Arial" w:eastAsia="Calibri" w:hAnsi="Arial" w:cs="Arial"/>
          <w:sz w:val="22"/>
        </w:rPr>
      </w:pPr>
      <w:r w:rsidRPr="00553136">
        <w:rPr>
          <w:rFonts w:ascii="Arial" w:eastAsia="Calibri" w:hAnsi="Arial" w:cs="Arial"/>
          <w:b/>
          <w:bCs/>
          <w:sz w:val="22"/>
        </w:rPr>
        <w:t>A virtual town hall</w:t>
      </w:r>
      <w:r w:rsidRPr="00553136">
        <w:rPr>
          <w:rFonts w:ascii="Arial" w:eastAsia="Calibri" w:hAnsi="Arial" w:cs="Arial"/>
          <w:sz w:val="22"/>
        </w:rPr>
        <w:t xml:space="preserve">, held in April 2021 attended by approximately 170 industry and Government stakeholders, to communicate the purpose of the co-design process and obtain information to inform the design of future workshops. </w:t>
      </w:r>
    </w:p>
    <w:p w14:paraId="410C7C28" w14:textId="77777777" w:rsidR="00301C75" w:rsidRPr="00553136" w:rsidRDefault="00301C75" w:rsidP="007F265A">
      <w:pPr>
        <w:numPr>
          <w:ilvl w:val="0"/>
          <w:numId w:val="118"/>
        </w:numPr>
        <w:spacing w:after="160"/>
        <w:ind w:hanging="357"/>
        <w:rPr>
          <w:rFonts w:ascii="Arial" w:eastAsia="Calibri" w:hAnsi="Arial" w:cs="Arial"/>
          <w:sz w:val="22"/>
        </w:rPr>
      </w:pPr>
      <w:r w:rsidRPr="00553136">
        <w:rPr>
          <w:rFonts w:ascii="Arial" w:eastAsia="Calibri" w:hAnsi="Arial" w:cs="Arial"/>
          <w:b/>
          <w:bCs/>
          <w:sz w:val="22"/>
        </w:rPr>
        <w:t>A series of three virtual workshops</w:t>
      </w:r>
      <w:r>
        <w:rPr>
          <w:rFonts w:ascii="Arial" w:eastAsia="Calibri" w:hAnsi="Arial" w:cs="Arial"/>
          <w:b/>
          <w:bCs/>
          <w:sz w:val="22"/>
        </w:rPr>
        <w:t xml:space="preserve"> for both energy market operators and the electricity sector</w:t>
      </w:r>
      <w:r w:rsidRPr="00553136">
        <w:rPr>
          <w:rFonts w:ascii="Arial" w:eastAsia="Calibri" w:hAnsi="Arial" w:cs="Arial"/>
          <w:sz w:val="22"/>
        </w:rPr>
        <w:t xml:space="preserve">, held over a six-week period beginning in April 2021 and each attended by approximately 190 industry and Government stakeholders, </w:t>
      </w:r>
      <w:r>
        <w:rPr>
          <w:rFonts w:ascii="Arial" w:eastAsia="Calibri" w:hAnsi="Arial" w:cs="Arial"/>
          <w:sz w:val="22"/>
        </w:rPr>
        <w:t xml:space="preserve">including market operators, </w:t>
      </w:r>
      <w:r w:rsidRPr="00553136">
        <w:rPr>
          <w:rFonts w:ascii="Arial" w:eastAsia="Calibri" w:hAnsi="Arial" w:cs="Arial"/>
          <w:sz w:val="22"/>
        </w:rPr>
        <w:t xml:space="preserve">which provided a forum to design RMP Rules and assisted in understanding the costs and benefits associated with implementing the risk management program framework. Workshops were designed to provide: </w:t>
      </w:r>
    </w:p>
    <w:p w14:paraId="1703E2CD" w14:textId="21AE0236" w:rsidR="00301C75" w:rsidRPr="00553136" w:rsidRDefault="00301C75" w:rsidP="00CE4B35">
      <w:pPr>
        <w:pStyle w:val="Bullet2ndlevel"/>
        <w:numPr>
          <w:ilvl w:val="0"/>
          <w:numId w:val="172"/>
        </w:numPr>
        <w:tabs>
          <w:tab w:val="clear" w:pos="2038"/>
        </w:tabs>
      </w:pPr>
      <w:r w:rsidRPr="00553136">
        <w:t xml:space="preserve">Several opportunities for discussion and feedback to gather industry perspectives; </w:t>
      </w:r>
    </w:p>
    <w:p w14:paraId="0B2084E7" w14:textId="77777777" w:rsidR="00301C75" w:rsidRPr="00553136" w:rsidRDefault="00301C75" w:rsidP="00CE4B35">
      <w:pPr>
        <w:pStyle w:val="Bullet2ndlevel"/>
        <w:numPr>
          <w:ilvl w:val="0"/>
          <w:numId w:val="172"/>
        </w:numPr>
        <w:tabs>
          <w:tab w:val="clear" w:pos="2038"/>
        </w:tabs>
      </w:pPr>
      <w:r w:rsidRPr="00553136">
        <w:t xml:space="preserve">Polling, in-session surveys and facilitated discussions; and </w:t>
      </w:r>
    </w:p>
    <w:p w14:paraId="79974EC2" w14:textId="77777777" w:rsidR="00301C75" w:rsidRPr="003645A2" w:rsidRDefault="00301C75" w:rsidP="00CE4B35">
      <w:pPr>
        <w:pStyle w:val="Bullet2ndlevel"/>
        <w:numPr>
          <w:ilvl w:val="0"/>
          <w:numId w:val="172"/>
        </w:numPr>
        <w:tabs>
          <w:tab w:val="clear" w:pos="2038"/>
        </w:tabs>
      </w:pPr>
      <w:r w:rsidRPr="00553136">
        <w:t>‘Break out room’ discussions, divided into generators, transmitters and distributors</w:t>
      </w:r>
      <w:r w:rsidRPr="003645A2">
        <w:t xml:space="preserve">, to ensure comprehensive discussion occurred across all subsets of industry. </w:t>
      </w:r>
    </w:p>
    <w:p w14:paraId="3CB55533" w14:textId="77777777" w:rsidR="00301C75" w:rsidRPr="003645A2" w:rsidRDefault="00301C75" w:rsidP="007F265A">
      <w:pPr>
        <w:pStyle w:val="ListParagraph"/>
        <w:numPr>
          <w:ilvl w:val="0"/>
          <w:numId w:val="118"/>
        </w:numPr>
        <w:rPr>
          <w:rFonts w:eastAsia="Calibri"/>
        </w:rPr>
      </w:pPr>
      <w:r w:rsidRPr="00C366FB">
        <w:rPr>
          <w:rFonts w:eastAsia="Calibri"/>
          <w:b/>
        </w:rPr>
        <w:t>Out of session consultation</w:t>
      </w:r>
      <w:r w:rsidRPr="003645A2">
        <w:rPr>
          <w:rFonts w:eastAsia="Calibri"/>
        </w:rPr>
        <w:t>, including meetings with a number of stakeholders and extensive email communication.</w:t>
      </w:r>
    </w:p>
    <w:p w14:paraId="13924E96" w14:textId="77777777" w:rsidR="00301C75" w:rsidRPr="003645A2" w:rsidRDefault="00301C75" w:rsidP="00CE4B35">
      <w:pPr>
        <w:pStyle w:val="Bullet2ndlevel"/>
        <w:numPr>
          <w:ilvl w:val="0"/>
          <w:numId w:val="173"/>
        </w:numPr>
        <w:tabs>
          <w:tab w:val="clear" w:pos="2038"/>
        </w:tabs>
      </w:pPr>
      <w:r w:rsidRPr="003645A2">
        <w:t xml:space="preserve">Stakeholders were encouraged to contact the Department out of session. The Department availed itself to stakeholders to discuss their concerns, working to ensure stakeholders’ understanding of the rules, and the rules’ proportionality. </w:t>
      </w:r>
    </w:p>
    <w:p w14:paraId="6EDD87C9" w14:textId="77777777" w:rsidR="00301C75" w:rsidRPr="003645A2" w:rsidRDefault="00301C75" w:rsidP="00CE4B35">
      <w:pPr>
        <w:pStyle w:val="Bullet2ndlevel"/>
        <w:numPr>
          <w:ilvl w:val="0"/>
          <w:numId w:val="173"/>
        </w:numPr>
        <w:tabs>
          <w:tab w:val="clear" w:pos="2038"/>
        </w:tabs>
      </w:pPr>
      <w:r w:rsidRPr="003645A2">
        <w:lastRenderedPageBreak/>
        <w:t xml:space="preserve">Out of session engagement also assisted in the iterative development of rules between workshops, through addressing concerns raised by individual stakeholders and proposing a solution. </w:t>
      </w:r>
    </w:p>
    <w:p w14:paraId="43AF2C2C" w14:textId="77777777" w:rsidR="00301C75" w:rsidRPr="0034543D" w:rsidRDefault="00301C75" w:rsidP="00CE4B35">
      <w:pPr>
        <w:pStyle w:val="Bullet2ndlevel"/>
        <w:numPr>
          <w:ilvl w:val="0"/>
          <w:numId w:val="173"/>
        </w:numPr>
        <w:tabs>
          <w:tab w:val="clear" w:pos="2038"/>
        </w:tabs>
      </w:pPr>
      <w:r w:rsidRPr="003645A2">
        <w:t xml:space="preserve">This engagement strengthened the relationship between the Department and industry, while providing insights on implementation costs, entities’ operating environments and the overall impacts of the proposed </w:t>
      </w:r>
      <w:r w:rsidRPr="0034543D">
        <w:t>regulatory changes.</w:t>
      </w:r>
    </w:p>
    <w:p w14:paraId="323E5B18" w14:textId="400834D8" w:rsidR="001656B3" w:rsidRPr="009739FE" w:rsidRDefault="001656B3" w:rsidP="007F265A">
      <w:pPr>
        <w:pStyle w:val="ListParagraph"/>
        <w:numPr>
          <w:ilvl w:val="0"/>
          <w:numId w:val="118"/>
        </w:numPr>
        <w:spacing w:line="264" w:lineRule="auto"/>
        <w:rPr>
          <w:rFonts w:eastAsia="Calibri"/>
        </w:rPr>
      </w:pPr>
      <w:r w:rsidRPr="001656B3">
        <w:rPr>
          <w:rFonts w:eastAsia="Calibri"/>
          <w:b/>
          <w:bCs/>
        </w:rPr>
        <w:t>A follow up consultation session and two industry-agnostic town halls</w:t>
      </w:r>
      <w:r w:rsidRPr="001656B3">
        <w:rPr>
          <w:rFonts w:eastAsia="Calibri"/>
        </w:rPr>
        <w:t xml:space="preserve"> held from October to December 2021. The purpose of the consultation session was to provide an update for industry on the move from sector-specific to sector-agnostic RMP Rules and to gain sector-specific feedback on the updated RMP Rules. The purpose of the industry town hall was to present the updated RMP Rules and provide information on the further consultation period. The consultation session was attended by approximately 32 industry and Government stakeholders. The two town halls were attended by approximately 800 industry and Government stakeholders across the </w:t>
      </w:r>
      <w:r w:rsidR="0030492E">
        <w:rPr>
          <w:rFonts w:eastAsia="Calibri"/>
        </w:rPr>
        <w:t>10</w:t>
      </w:r>
      <w:r w:rsidRPr="001656B3">
        <w:rPr>
          <w:rFonts w:eastAsia="Calibri"/>
        </w:rPr>
        <w:t xml:space="preserve"> critical infrastructure sectors, including many stakeholders from energy market operators.</w:t>
      </w:r>
    </w:p>
    <w:p w14:paraId="38277946" w14:textId="0F1C1B4B" w:rsidR="002B1BFD" w:rsidRPr="00D309FE" w:rsidRDefault="002B1BFD" w:rsidP="002B1BFD">
      <w:pPr>
        <w:pStyle w:val="Bullet1stlevel"/>
        <w:numPr>
          <w:ilvl w:val="0"/>
          <w:numId w:val="118"/>
        </w:numPr>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15354868" w14:textId="77777777" w:rsidR="002B1BFD" w:rsidRPr="00623AD0" w:rsidRDefault="002B1BFD" w:rsidP="00CE4B35">
      <w:pPr>
        <w:spacing w:line="264" w:lineRule="auto"/>
        <w:ind w:left="-3"/>
        <w:rPr>
          <w:rFonts w:eastAsia="Calibri"/>
        </w:rPr>
      </w:pPr>
    </w:p>
    <w:p w14:paraId="4794E608" w14:textId="2A77F5FB" w:rsidR="00301C75" w:rsidRPr="00827F58" w:rsidRDefault="00301C75" w:rsidP="00291F3E">
      <w:pPr>
        <w:pStyle w:val="AppendixH2"/>
      </w:pPr>
      <w:r w:rsidRPr="00827F58">
        <w:t xml:space="preserve">Outcomes </w:t>
      </w:r>
      <w:r>
        <w:t xml:space="preserve">from </w:t>
      </w:r>
      <w:r w:rsidRPr="00827F58">
        <w:t xml:space="preserve">consultation on </w:t>
      </w:r>
      <w:r>
        <w:t>Risk Management Program rules</w:t>
      </w:r>
    </w:p>
    <w:p w14:paraId="36498AB6" w14:textId="77777777" w:rsidR="00301C75" w:rsidRPr="00813EBB" w:rsidRDefault="00301C75" w:rsidP="00291F3E">
      <w:pPr>
        <w:pStyle w:val="Caption"/>
      </w:pPr>
      <w:bookmarkStart w:id="615" w:name="_Toc90995110"/>
      <w:r w:rsidRPr="00813EBB">
        <w:t xml:space="preserve">Summary of Feedback from consultation sessions with responsible entities for </w:t>
      </w:r>
      <w:r>
        <w:t>critical energy market operator</w:t>
      </w:r>
      <w:r w:rsidRPr="00813EBB">
        <w:t xml:space="preserve"> assets</w:t>
      </w:r>
      <w:bookmarkEnd w:id="615"/>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A0" w:firstRow="1" w:lastRow="0" w:firstColumn="1" w:lastColumn="0" w:noHBand="0" w:noVBand="1"/>
      </w:tblPr>
      <w:tblGrid>
        <w:gridCol w:w="1264"/>
        <w:gridCol w:w="646"/>
        <w:gridCol w:w="3080"/>
        <w:gridCol w:w="4648"/>
      </w:tblGrid>
      <w:tr w:rsidR="00301C75" w:rsidRPr="00291F3E" w14:paraId="249A74AB" w14:textId="77777777" w:rsidTr="00291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5B3EBC" w14:textId="77777777" w:rsidR="00301C75" w:rsidRPr="00291F3E" w:rsidRDefault="00301C75" w:rsidP="00291F3E">
            <w:pPr>
              <w:pStyle w:val="TableHeading"/>
              <w:rPr>
                <w:b/>
                <w:bCs/>
              </w:rPr>
            </w:pPr>
            <w:r w:rsidRPr="00291F3E">
              <w:rPr>
                <w:b/>
                <w:bCs/>
              </w:rPr>
              <w:t>Rule category</w:t>
            </w:r>
          </w:p>
        </w:tc>
        <w:tc>
          <w:tcPr>
            <w:tcW w:w="0" w:type="auto"/>
            <w:gridSpan w:val="2"/>
          </w:tcPr>
          <w:p w14:paraId="4D828B3C" w14:textId="77777777" w:rsidR="00301C75" w:rsidRPr="00291F3E" w:rsidRDefault="00301C75" w:rsidP="00291F3E">
            <w:pPr>
              <w:pStyle w:val="TableHeading"/>
              <w:cnfStyle w:val="100000000000" w:firstRow="1" w:lastRow="0" w:firstColumn="0" w:lastColumn="0" w:oddVBand="0" w:evenVBand="0" w:oddHBand="0" w:evenHBand="0" w:firstRowFirstColumn="0" w:firstRowLastColumn="0" w:lastRowFirstColumn="0" w:lastRowLastColumn="0"/>
              <w:rPr>
                <w:b/>
                <w:bCs/>
              </w:rPr>
            </w:pPr>
            <w:r w:rsidRPr="00291F3E">
              <w:rPr>
                <w:b/>
                <w:bCs/>
              </w:rPr>
              <w:t>Identified themes</w:t>
            </w:r>
          </w:p>
        </w:tc>
        <w:tc>
          <w:tcPr>
            <w:tcW w:w="0" w:type="auto"/>
          </w:tcPr>
          <w:p w14:paraId="24246DF1" w14:textId="77777777" w:rsidR="00301C75" w:rsidRPr="00291F3E" w:rsidRDefault="00301C75" w:rsidP="00291F3E">
            <w:pPr>
              <w:pStyle w:val="TableHeading"/>
              <w:cnfStyle w:val="100000000000" w:firstRow="1" w:lastRow="0" w:firstColumn="0" w:lastColumn="0" w:oddVBand="0" w:evenVBand="0" w:oddHBand="0" w:evenHBand="0" w:firstRowFirstColumn="0" w:firstRowLastColumn="0" w:lastRowFirstColumn="0" w:lastRowLastColumn="0"/>
              <w:rPr>
                <w:b/>
                <w:bCs/>
              </w:rPr>
            </w:pPr>
            <w:r w:rsidRPr="00291F3E">
              <w:rPr>
                <w:b/>
                <w:bCs/>
              </w:rPr>
              <w:t>Impact on development of rules</w:t>
            </w:r>
          </w:p>
        </w:tc>
      </w:tr>
      <w:tr w:rsidR="00301C75" w:rsidRPr="003645A2" w14:paraId="1D03908A" w14:textId="77777777" w:rsidTr="7EBB1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BDAFD" w:themeFill="accent1" w:themeFillTint="33"/>
          </w:tcPr>
          <w:p w14:paraId="547A8DDA" w14:textId="77777777" w:rsidR="00301C75" w:rsidRPr="000F20CF" w:rsidRDefault="00301C75" w:rsidP="00291F3E">
            <w:pPr>
              <w:pStyle w:val="TableBody"/>
            </w:pPr>
            <w:r w:rsidRPr="009807CA">
              <w:t xml:space="preserve">Sector-agnostic RMP Rules </w:t>
            </w:r>
          </w:p>
        </w:tc>
        <w:tc>
          <w:tcPr>
            <w:tcW w:w="0" w:type="auto"/>
            <w:shd w:val="clear" w:color="auto" w:fill="F2F2F2" w:themeFill="background2" w:themeFillShade="F2"/>
            <w:textDirection w:val="btLr"/>
          </w:tcPr>
          <w:p w14:paraId="3C204288" w14:textId="695D01E2" w:rsidR="00301C75" w:rsidRPr="00F24AC9" w:rsidRDefault="00301C75" w:rsidP="00291F3E">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F24AC9">
              <w:rPr>
                <w:rFonts w:ascii="Arial" w:eastAsia="Calibri" w:hAnsi="Arial" w:cs="Arial"/>
                <w:b/>
              </w:rPr>
              <w:t>Consultation Sessions</w:t>
            </w:r>
          </w:p>
        </w:tc>
        <w:tc>
          <w:tcPr>
            <w:tcW w:w="0" w:type="auto"/>
          </w:tcPr>
          <w:p w14:paraId="3CA525F6" w14:textId="77777777" w:rsidR="00301C75" w:rsidRPr="00F24AC9" w:rsidRDefault="00301C75" w:rsidP="00291F3E">
            <w:pPr>
              <w:pStyle w:val="TableBullet"/>
              <w:cnfStyle w:val="000000100000" w:firstRow="0" w:lastRow="0" w:firstColumn="0" w:lastColumn="0" w:oddVBand="0" w:evenVBand="0" w:oddHBand="1" w:evenHBand="0" w:firstRowFirstColumn="0" w:firstRowLastColumn="0" w:lastRowFirstColumn="0" w:lastRowLastColumn="0"/>
              <w:rPr>
                <w:rFonts w:eastAsia="Calibri"/>
                <w:b/>
              </w:rPr>
            </w:pPr>
            <w:r w:rsidRPr="00F24AC9">
              <w:rPr>
                <w:rFonts w:eastAsia="Calibri"/>
              </w:rPr>
              <w:t xml:space="preserve">Industry believes the RMP Rules are </w:t>
            </w:r>
            <w:r w:rsidRPr="00F24AC9">
              <w:rPr>
                <w:rFonts w:eastAsia="Calibri"/>
                <w:b/>
              </w:rPr>
              <w:t>clear and understandable.</w:t>
            </w:r>
          </w:p>
          <w:p w14:paraId="26AE1DF1" w14:textId="77777777" w:rsidR="00301C75" w:rsidRPr="00F24AC9" w:rsidRDefault="00301C75" w:rsidP="00291F3E">
            <w:pPr>
              <w:pStyle w:val="TableBullet"/>
              <w:cnfStyle w:val="000000100000" w:firstRow="0" w:lastRow="0" w:firstColumn="0" w:lastColumn="0" w:oddVBand="0" w:evenVBand="0" w:oddHBand="1" w:evenHBand="0" w:firstRowFirstColumn="0" w:firstRowLastColumn="0" w:lastRowFirstColumn="0" w:lastRowLastColumn="0"/>
              <w:rPr>
                <w:rFonts w:eastAsia="Calibri"/>
                <w:b/>
              </w:rPr>
            </w:pPr>
            <w:r w:rsidRPr="00F24AC9">
              <w:rPr>
                <w:rFonts w:eastAsia="Calibri"/>
              </w:rPr>
              <w:t xml:space="preserve">Industry believes the RMP Rules will </w:t>
            </w:r>
            <w:r w:rsidRPr="00F24AC9">
              <w:rPr>
                <w:rFonts w:eastAsia="Calibri"/>
                <w:b/>
              </w:rPr>
              <w:t>be able to be implemented.</w:t>
            </w:r>
          </w:p>
          <w:p w14:paraId="00BF7CA6" w14:textId="77777777" w:rsidR="00301C75" w:rsidRPr="00F24AC9" w:rsidRDefault="00301C75" w:rsidP="00291F3E">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F24AC9">
              <w:rPr>
                <w:rFonts w:eastAsia="Calibri"/>
              </w:rPr>
              <w:t xml:space="preserve">The RMP Rules provide a </w:t>
            </w:r>
            <w:r w:rsidRPr="00F24AC9">
              <w:rPr>
                <w:rFonts w:eastAsia="Calibri"/>
                <w:b/>
              </w:rPr>
              <w:t>baseline</w:t>
            </w:r>
            <w:r w:rsidRPr="00F24AC9">
              <w:rPr>
                <w:rFonts w:eastAsia="Calibri"/>
              </w:rPr>
              <w:t xml:space="preserve"> for sector resilience and security.</w:t>
            </w:r>
          </w:p>
          <w:p w14:paraId="02D580DD" w14:textId="1A724D1B" w:rsidR="00301C75" w:rsidRPr="00291F3E" w:rsidRDefault="00301C75" w:rsidP="00291F3E">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F24AC9">
              <w:rPr>
                <w:rFonts w:eastAsia="Calibri"/>
              </w:rPr>
              <w:t xml:space="preserve">There is an </w:t>
            </w:r>
            <w:r w:rsidRPr="00F24AC9">
              <w:rPr>
                <w:rFonts w:eastAsia="Calibri"/>
                <w:b/>
              </w:rPr>
              <w:t xml:space="preserve">appetite for guidance material </w:t>
            </w:r>
            <w:r w:rsidRPr="00F24AC9">
              <w:rPr>
                <w:rFonts w:eastAsia="Calibri"/>
              </w:rPr>
              <w:t>to support sector-specific uplift in security and resilience.</w:t>
            </w:r>
          </w:p>
        </w:tc>
        <w:tc>
          <w:tcPr>
            <w:tcW w:w="0" w:type="auto"/>
          </w:tcPr>
          <w:p w14:paraId="53BD3EE1" w14:textId="77777777" w:rsidR="00301C75" w:rsidRPr="00F24AC9" w:rsidRDefault="00301C75" w:rsidP="00291F3E">
            <w:pPr>
              <w:pStyle w:val="TableBody"/>
              <w:cnfStyle w:val="000000100000" w:firstRow="0" w:lastRow="0" w:firstColumn="0" w:lastColumn="0" w:oddVBand="0" w:evenVBand="0" w:oddHBand="1" w:evenHBand="0" w:firstRowFirstColumn="0" w:firstRowLastColumn="0" w:lastRowFirstColumn="0" w:lastRowLastColumn="0"/>
            </w:pPr>
            <w:r w:rsidRPr="00F24AC9">
              <w:t xml:space="preserve">In response to feedback received during the consultation sessions, the Department committed to: </w:t>
            </w:r>
          </w:p>
          <w:p w14:paraId="1E22181B" w14:textId="77777777" w:rsidR="00301C75" w:rsidRPr="00F24AC9" w:rsidRDefault="00301C75" w:rsidP="00291F3E">
            <w:pPr>
              <w:pStyle w:val="TableBullet"/>
              <w:cnfStyle w:val="000000100000" w:firstRow="0" w:lastRow="0" w:firstColumn="0" w:lastColumn="0" w:oddVBand="0" w:evenVBand="0" w:oddHBand="1" w:evenHBand="0" w:firstRowFirstColumn="0" w:firstRowLastColumn="0" w:lastRowFirstColumn="0" w:lastRowLastColumn="0"/>
              <w:rPr>
                <w:rFonts w:eastAsia="Calibri"/>
              </w:rPr>
            </w:pPr>
            <w:r w:rsidRPr="00F24AC9">
              <w:rPr>
                <w:rFonts w:eastAsia="Calibri"/>
              </w:rPr>
              <w:t xml:space="preserve">The development of guidance materials, which would highlight aspects of risk management that should be prioritised by responsible entities and assist industry in interpreting and implementing the rules to achieve an uplift in security and resilience.  </w:t>
            </w:r>
          </w:p>
        </w:tc>
      </w:tr>
    </w:tbl>
    <w:p w14:paraId="7AAECDCC" w14:textId="444FC3D8" w:rsidR="00291F3E" w:rsidRDefault="00291F3E">
      <w:pPr>
        <w:spacing w:before="80" w:after="80"/>
        <w:rPr>
          <w:rFonts w:asciiTheme="majorHAnsi" w:eastAsia="Times New Roman" w:hAnsiTheme="majorHAnsi" w:cs="Arial"/>
          <w:b/>
          <w:bCs/>
          <w:color w:val="007BC3" w:themeColor="accent2"/>
          <w:sz w:val="28"/>
          <w:szCs w:val="28"/>
          <w:lang w:eastAsia="en-AU"/>
        </w:rPr>
      </w:pPr>
    </w:p>
    <w:p w14:paraId="43C67F58" w14:textId="3F4950D5" w:rsidR="00301C75" w:rsidRPr="00C768BC" w:rsidRDefault="00301C75" w:rsidP="00291F3E">
      <w:pPr>
        <w:pStyle w:val="AppendixH2"/>
      </w:pPr>
      <w:r w:rsidRPr="00C768BC">
        <w:t xml:space="preserve">Consultation on costs </w:t>
      </w:r>
    </w:p>
    <w:p w14:paraId="31102C5C" w14:textId="77777777" w:rsidR="00301C75" w:rsidRPr="003645A2" w:rsidRDefault="00301C75" w:rsidP="00291F3E">
      <w:pPr>
        <w:pStyle w:val="BodyText"/>
      </w:pPr>
      <w:r w:rsidRPr="003645A2">
        <w:t xml:space="preserve">During </w:t>
      </w:r>
      <w:r>
        <w:t>the final consultation session,</w:t>
      </w:r>
      <w:r w:rsidRPr="003645A2">
        <w:t xml:space="preserve"> attendees were invited to participate in cost impact data collection through the completion of a cost impact template. This template was designed to collect </w:t>
      </w:r>
      <w:r w:rsidRPr="003645A2">
        <w:lastRenderedPageBreak/>
        <w:t>substantive costing data to supplement the anecdotal costing discussions which had occurred throughout the workshop series. Industry were asked to provide:</w:t>
      </w:r>
    </w:p>
    <w:p w14:paraId="548293A5" w14:textId="77777777" w:rsidR="00301C75" w:rsidRPr="003645A2" w:rsidRDefault="00301C75" w:rsidP="00291F3E">
      <w:pPr>
        <w:pStyle w:val="Bullet1stlevel"/>
      </w:pPr>
      <w:r w:rsidRPr="003645A2">
        <w:t xml:space="preserve">Their demographic information; </w:t>
      </w:r>
    </w:p>
    <w:p w14:paraId="3067130F" w14:textId="77777777" w:rsidR="00301C75" w:rsidRPr="003645A2" w:rsidRDefault="00301C75" w:rsidP="00291F3E">
      <w:pPr>
        <w:pStyle w:val="Bullet1stlevel"/>
      </w:pPr>
      <w:r w:rsidRPr="003645A2">
        <w:t xml:space="preserve">Effort and cost estimates split by one-off and ongoing costs, staff effort, capital and other operating costs, and an estimated range between expected costs and highest possible costs; and </w:t>
      </w:r>
    </w:p>
    <w:p w14:paraId="7D52F26C" w14:textId="77777777" w:rsidR="00301C75" w:rsidRPr="003645A2" w:rsidRDefault="00301C75" w:rsidP="00291F3E">
      <w:pPr>
        <w:pStyle w:val="Bullet1stlevel"/>
      </w:pPr>
      <w:r w:rsidRPr="003645A2">
        <w:t xml:space="preserve">Any comments on key boundaries, assumptions and cost drivers attached to the costing estimates provided. </w:t>
      </w:r>
    </w:p>
    <w:p w14:paraId="722B207A" w14:textId="2EB71159" w:rsidR="00301C75" w:rsidRPr="003645A2" w:rsidRDefault="00301C75" w:rsidP="00291F3E">
      <w:pPr>
        <w:pStyle w:val="BodyText"/>
      </w:pPr>
      <w:r w:rsidRPr="003645A2">
        <w:t>Industry was provided with the template on</w:t>
      </w:r>
      <w:r>
        <w:rPr>
          <w:bCs/>
        </w:rPr>
        <w:t xml:space="preserve"> 8 December 2021,</w:t>
      </w:r>
      <w:r w:rsidRPr="003645A2">
        <w:t xml:space="preserve"> with submissions open for a period of four weeks and closing on </w:t>
      </w:r>
      <w:r>
        <w:rPr>
          <w:bCs/>
        </w:rPr>
        <w:t>1</w:t>
      </w:r>
      <w:r w:rsidR="001656B3">
        <w:rPr>
          <w:bCs/>
        </w:rPr>
        <w:t>2</w:t>
      </w:r>
      <w:r>
        <w:rPr>
          <w:bCs/>
        </w:rPr>
        <w:t xml:space="preserve"> January</w:t>
      </w:r>
      <w:r w:rsidRPr="003645A2">
        <w:rPr>
          <w:bCs/>
        </w:rPr>
        <w:t xml:space="preserve"> 202</w:t>
      </w:r>
      <w:r>
        <w:rPr>
          <w:bCs/>
        </w:rPr>
        <w:t xml:space="preserve">2. </w:t>
      </w:r>
    </w:p>
    <w:p w14:paraId="7B89E346" w14:textId="77777777" w:rsidR="00301C75" w:rsidRPr="00C06FDB" w:rsidRDefault="00301C75" w:rsidP="00291F3E">
      <w:pPr>
        <w:pStyle w:val="BodyText"/>
      </w:pPr>
      <w:r w:rsidRPr="003645A2">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sidRPr="003645A2">
        <w:rPr>
          <w:vertAlign w:val="superscript"/>
        </w:rPr>
        <w:footnoteReference w:id="260"/>
      </w:r>
      <w:r w:rsidRPr="003645A2">
        <w:t xml:space="preserve"> </w:t>
      </w:r>
    </w:p>
    <w:p w14:paraId="1882F7B0" w14:textId="77777777" w:rsidR="000C3D44" w:rsidRDefault="000C3D44" w:rsidP="00291F3E">
      <w:pPr>
        <w:pStyle w:val="BodyText"/>
      </w:pPr>
      <w:r>
        <w:br w:type="page"/>
      </w:r>
    </w:p>
    <w:p w14:paraId="58D1A8C9" w14:textId="14E3B2C6" w:rsidR="00245FE9" w:rsidRDefault="003D145E" w:rsidP="00C650A1">
      <w:pPr>
        <w:pStyle w:val="AppendixH1"/>
        <w:rPr>
          <w:szCs w:val="32"/>
        </w:rPr>
      </w:pPr>
      <w:bookmarkStart w:id="616" w:name="_Toc121397423"/>
      <w:r w:rsidRPr="00B85BE2">
        <w:rPr>
          <w:szCs w:val="32"/>
        </w:rPr>
        <w:lastRenderedPageBreak/>
        <w:t>Supplementary information for critical freight infrastructure and critical freight services assets</w:t>
      </w:r>
      <w:bookmarkEnd w:id="616"/>
    </w:p>
    <w:p w14:paraId="2307B62C" w14:textId="77777777" w:rsidR="00F02720" w:rsidRDefault="00F02720" w:rsidP="00F02720">
      <w:pPr>
        <w:pStyle w:val="AppendixH2"/>
      </w:pPr>
      <w:r>
        <w:t>Overview of the role of freight infrastructure and freight services in Australia</w:t>
      </w:r>
    </w:p>
    <w:p w14:paraId="79E46AF5" w14:textId="77777777" w:rsidR="00F02720" w:rsidRPr="00E72760" w:rsidRDefault="00F02720" w:rsidP="00F02720">
      <w:pPr>
        <w:pStyle w:val="BodyText"/>
      </w:pPr>
      <w:r w:rsidRPr="00E72760">
        <w:t>Freight infrastructure and freight services incorporate the freight networks and service providers that u</w:t>
      </w:r>
      <w:r>
        <w:t xml:space="preserve">se </w:t>
      </w:r>
      <w:r w:rsidRPr="00E72760">
        <w:t xml:space="preserve">road, </w:t>
      </w:r>
      <w:r w:rsidRPr="0064309F">
        <w:t>rail,</w:t>
      </w:r>
      <w:r w:rsidRPr="00E72760">
        <w:t xml:space="preserve"> and maritime infrastructure to transport nationally produced goods and products for domestic consumption and</w:t>
      </w:r>
      <w:r>
        <w:t xml:space="preserve"> to</w:t>
      </w:r>
      <w:r w:rsidRPr="00E72760">
        <w:t xml:space="preserve"> facilitate imports and exports. Freight infrastructure and services </w:t>
      </w:r>
      <w:r>
        <w:t>form c</w:t>
      </w:r>
      <w:r w:rsidRPr="00E72760">
        <w:t>rucial parts of the supply chain for Australian imports, exports, and domestic consumption.</w:t>
      </w:r>
    </w:p>
    <w:p w14:paraId="4AE822F4" w14:textId="77777777" w:rsidR="00F02720" w:rsidRPr="00AA70E6" w:rsidRDefault="00F02720" w:rsidP="00F02720">
      <w:pPr>
        <w:pStyle w:val="BodyText"/>
        <w:rPr>
          <w:rFonts w:eastAsia="Times New Roman"/>
          <w:color w:val="000000"/>
        </w:rPr>
      </w:pPr>
      <w:r>
        <w:t>Critical</w:t>
      </w:r>
      <w:r w:rsidRPr="00E72760">
        <w:t xml:space="preserve"> freight infrastructure </w:t>
      </w:r>
      <w:r>
        <w:t>refers to the</w:t>
      </w:r>
      <w:r w:rsidRPr="00E72760">
        <w:t xml:space="preserve"> critical corridors for the transportation of goods </w:t>
      </w:r>
      <w:r>
        <w:t xml:space="preserve">while critical freight </w:t>
      </w:r>
      <w:r w:rsidRPr="00E72760">
        <w:t>service providers that conduct business that is essential to the transportation of goods. These include road, rail, maritime or intermodal transfer facilities, or entities that operate within these freight subsets.</w:t>
      </w:r>
    </w:p>
    <w:p w14:paraId="4691BE7C" w14:textId="77777777" w:rsidR="00F02720" w:rsidRPr="00E72760" w:rsidRDefault="00F02720" w:rsidP="00F02720">
      <w:pPr>
        <w:pStyle w:val="BodyText"/>
      </w:pPr>
      <w:r w:rsidRPr="00374A1D">
        <w:t xml:space="preserve">The </w:t>
      </w:r>
      <w:r>
        <w:t>SOCI Act</w:t>
      </w:r>
      <w:r w:rsidRPr="00374A1D">
        <w:t xml:space="preserve"> refers to assets within a critical infrastructure sector as ‘critical infrastructure assets’. </w:t>
      </w:r>
      <w:r>
        <w:t>Section 12B and 12C</w:t>
      </w:r>
      <w:r w:rsidRPr="00374A1D">
        <w:t xml:space="preserve"> of the </w:t>
      </w:r>
      <w:r>
        <w:t>SOCI Act</w:t>
      </w:r>
      <w:r w:rsidRPr="00374A1D">
        <w:t xml:space="preserve"> </w:t>
      </w:r>
      <w:r>
        <w:t>p</w:t>
      </w:r>
      <w:r w:rsidRPr="00374A1D">
        <w:t>rovid</w:t>
      </w:r>
      <w:r>
        <w:t>e</w:t>
      </w:r>
      <w:r w:rsidRPr="00374A1D">
        <w:t xml:space="preserve"> the following in relation to ‘</w:t>
      </w:r>
      <w:r w:rsidRPr="00E72760">
        <w:t>critical freight infrastructure and services assets’</w:t>
      </w:r>
      <w:r>
        <w:t>:</w:t>
      </w:r>
    </w:p>
    <w:p w14:paraId="60457EB3" w14:textId="77777777" w:rsidR="00F02720" w:rsidRPr="00763B39" w:rsidRDefault="00F02720" w:rsidP="00F02720">
      <w:pPr>
        <w:autoSpaceDE w:val="0"/>
        <w:autoSpaceDN w:val="0"/>
        <w:adjustRightInd w:val="0"/>
        <w:spacing w:after="160" w:line="259" w:lineRule="auto"/>
        <w:rPr>
          <w:rFonts w:ascii="Arial" w:eastAsia="Calibri" w:hAnsi="Arial" w:cs="Arial"/>
          <w:i/>
          <w:sz w:val="24"/>
          <w:szCs w:val="24"/>
        </w:rPr>
      </w:pPr>
      <w:r w:rsidRPr="00E72760">
        <w:rPr>
          <w:rFonts w:ascii="Arial" w:eastAsia="Calibri" w:hAnsi="Arial" w:cs="Arial"/>
          <w:i/>
          <w:iCs/>
          <w:sz w:val="22"/>
        </w:rPr>
        <w:t xml:space="preserve">An asset </w:t>
      </w:r>
      <w:r w:rsidRPr="00125EC6">
        <w:rPr>
          <w:rFonts w:ascii="Arial" w:eastAsia="Calibri" w:hAnsi="Arial" w:cs="Arial"/>
          <w:i/>
          <w:iCs/>
          <w:sz w:val="22"/>
        </w:rPr>
        <w:t xml:space="preserve">is a </w:t>
      </w:r>
      <w:r w:rsidRPr="00125EC6">
        <w:rPr>
          <w:rFonts w:ascii="Arial" w:eastAsia="Times New Roman" w:hAnsi="Arial" w:cs="Arial"/>
          <w:b/>
          <w:bCs/>
          <w:i/>
          <w:iCs/>
          <w:sz w:val="22"/>
        </w:rPr>
        <w:t xml:space="preserve">critical </w:t>
      </w:r>
      <w:r w:rsidRPr="00E72760">
        <w:rPr>
          <w:rFonts w:ascii="Arial" w:eastAsia="Times New Roman" w:hAnsi="Arial" w:cs="Arial"/>
          <w:b/>
          <w:bCs/>
          <w:i/>
          <w:iCs/>
          <w:sz w:val="22"/>
        </w:rPr>
        <w:t>freight infrastructure and services</w:t>
      </w:r>
      <w:r w:rsidRPr="00125EC6">
        <w:rPr>
          <w:rFonts w:ascii="Arial" w:eastAsia="Times New Roman" w:hAnsi="Arial" w:cs="Arial"/>
          <w:b/>
          <w:bCs/>
          <w:i/>
          <w:iCs/>
          <w:sz w:val="22"/>
        </w:rPr>
        <w:t xml:space="preserve"> asset</w:t>
      </w:r>
      <w:r w:rsidRPr="00125EC6">
        <w:rPr>
          <w:rFonts w:ascii="Arial" w:eastAsia="Calibri" w:hAnsi="Arial" w:cs="Arial"/>
          <w:i/>
          <w:iCs/>
          <w:szCs w:val="20"/>
        </w:rPr>
        <w:t xml:space="preserve"> </w:t>
      </w:r>
      <w:r w:rsidRPr="00E72760">
        <w:rPr>
          <w:rFonts w:ascii="Arial" w:eastAsia="Calibri" w:hAnsi="Arial" w:cs="Arial"/>
          <w:i/>
          <w:iCs/>
          <w:sz w:val="22"/>
        </w:rPr>
        <w:t xml:space="preserve">if it is: </w:t>
      </w:r>
    </w:p>
    <w:p w14:paraId="651A8931" w14:textId="77777777" w:rsidR="00F02720" w:rsidRPr="000F20CF" w:rsidRDefault="00F02720" w:rsidP="00F02720">
      <w:pPr>
        <w:shd w:val="clear" w:color="auto" w:fill="FFFFFF"/>
        <w:spacing w:before="180"/>
        <w:rPr>
          <w:rFonts w:ascii="Arial" w:hAnsi="Arial" w:cs="Arial"/>
          <w:i/>
          <w:color w:val="000000"/>
          <w:sz w:val="22"/>
        </w:rPr>
      </w:pPr>
      <w:r w:rsidRPr="00763B39">
        <w:rPr>
          <w:rFonts w:ascii="Arial" w:hAnsi="Arial" w:cs="Arial"/>
          <w:color w:val="000000"/>
          <w:sz w:val="22"/>
        </w:rPr>
        <w:t xml:space="preserve">(1) </w:t>
      </w:r>
      <w:r w:rsidRPr="000F20CF">
        <w:rPr>
          <w:rFonts w:ascii="Arial" w:hAnsi="Arial" w:cs="Arial"/>
          <w:i/>
          <w:color w:val="000000"/>
          <w:sz w:val="22"/>
        </w:rPr>
        <w:t>An asset is a </w:t>
      </w:r>
      <w:r w:rsidRPr="00D87759">
        <w:rPr>
          <w:rFonts w:ascii="Arial" w:hAnsi="Arial" w:cs="Arial"/>
          <w:b/>
          <w:i/>
          <w:color w:val="000000"/>
          <w:sz w:val="22"/>
        </w:rPr>
        <w:t>critical freight infrastructure asset</w:t>
      </w:r>
      <w:r w:rsidRPr="000F20CF">
        <w:rPr>
          <w:rFonts w:ascii="Arial" w:hAnsi="Arial" w:cs="Arial"/>
          <w:i/>
          <w:color w:val="000000"/>
          <w:sz w:val="22"/>
        </w:rPr>
        <w:t xml:space="preserve"> if it is any of the following: </w:t>
      </w:r>
    </w:p>
    <w:p w14:paraId="460E19C8" w14:textId="77777777" w:rsidR="00F02720" w:rsidRPr="000F20CF" w:rsidRDefault="00F02720" w:rsidP="00F02720">
      <w:pPr>
        <w:shd w:val="clear" w:color="auto" w:fill="FFFFFF"/>
        <w:spacing w:before="180"/>
        <w:ind w:firstLine="360"/>
        <w:rPr>
          <w:rFonts w:ascii="Arial" w:hAnsi="Arial" w:cs="Arial"/>
          <w:i/>
          <w:color w:val="000000"/>
          <w:sz w:val="22"/>
        </w:rPr>
      </w:pPr>
      <w:r w:rsidRPr="000F20CF">
        <w:rPr>
          <w:rFonts w:ascii="Arial" w:hAnsi="Arial" w:cs="Arial"/>
          <w:i/>
          <w:color w:val="000000"/>
          <w:sz w:val="22"/>
        </w:rPr>
        <w:t>(a) a road network that, in accordance with subsection (2), functions as a critical corridor for the transportation of goods between:</w:t>
      </w:r>
    </w:p>
    <w:p w14:paraId="25FFE699"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  2 States; or</w:t>
      </w:r>
    </w:p>
    <w:p w14:paraId="653E465C"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  a State and a Territory; or</w:t>
      </w:r>
    </w:p>
    <w:p w14:paraId="211E1BE7"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(iii)  2 Territories; or</w:t>
      </w:r>
    </w:p>
    <w:p w14:paraId="1B2136A6"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(iv)  2 regional centres;</w:t>
      </w:r>
    </w:p>
    <w:p w14:paraId="643A4DF4" w14:textId="77777777" w:rsidR="00F02720" w:rsidRPr="000F20CF" w:rsidRDefault="00F02720" w:rsidP="00F02720">
      <w:pPr>
        <w:shd w:val="clear" w:color="auto" w:fill="FFFFFF"/>
        <w:spacing w:before="40"/>
        <w:ind w:left="360"/>
        <w:rPr>
          <w:rFonts w:ascii="Arial" w:hAnsi="Arial" w:cs="Arial"/>
          <w:i/>
          <w:color w:val="000000"/>
          <w:sz w:val="22"/>
        </w:rPr>
      </w:pPr>
      <w:r w:rsidRPr="000F20CF">
        <w:rPr>
          <w:rFonts w:ascii="Arial" w:hAnsi="Arial" w:cs="Arial"/>
          <w:i/>
          <w:color w:val="000000"/>
          <w:sz w:val="22"/>
        </w:rPr>
        <w:t>(b)  a rail network that, in accordance with subsection (3), functions as a critical corridor for the transportation of goods between:</w:t>
      </w:r>
    </w:p>
    <w:p w14:paraId="2BCD66B4"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  2 States; or</w:t>
      </w:r>
    </w:p>
    <w:p w14:paraId="01E9D1CC"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(ii)  a State and a Territory; or</w:t>
      </w:r>
    </w:p>
    <w:p w14:paraId="022240C0"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(iii)  2 Territories; or</w:t>
      </w:r>
    </w:p>
    <w:p w14:paraId="771ABDB9"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(iv)  2 regional centres;</w:t>
      </w:r>
    </w:p>
    <w:p w14:paraId="57ED46FB" w14:textId="77777777" w:rsidR="00F02720" w:rsidRPr="000F20CF" w:rsidRDefault="00F02720" w:rsidP="00F02720">
      <w:pPr>
        <w:shd w:val="clear" w:color="auto" w:fill="FFFFFF"/>
        <w:spacing w:before="40"/>
        <w:ind w:left="360"/>
        <w:rPr>
          <w:rFonts w:ascii="Arial" w:hAnsi="Arial" w:cs="Arial"/>
          <w:i/>
          <w:color w:val="000000"/>
          <w:sz w:val="22"/>
        </w:rPr>
      </w:pPr>
      <w:r w:rsidRPr="000F20CF">
        <w:rPr>
          <w:rFonts w:ascii="Arial" w:hAnsi="Arial" w:cs="Arial"/>
          <w:i/>
          <w:color w:val="000000"/>
          <w:sz w:val="22"/>
        </w:rPr>
        <w:t>(c)  an intermodal transfer facility that, in accordance with subsection (4), is critical to the transportation of goods between:</w:t>
      </w:r>
    </w:p>
    <w:p w14:paraId="44C8E938"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  2 States; or</w:t>
      </w:r>
    </w:p>
    <w:p w14:paraId="6AA7E19B"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  a State and a Territory; or</w:t>
      </w:r>
    </w:p>
    <w:p w14:paraId="4586F676"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(iii)  2 Territories; or</w:t>
      </w:r>
    </w:p>
    <w:p w14:paraId="65A9F012"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(iv)  2 regional centres.</w:t>
      </w:r>
    </w:p>
    <w:p w14:paraId="436BCF43" w14:textId="77777777" w:rsidR="00F02720" w:rsidRPr="000F20CF" w:rsidRDefault="00F02720" w:rsidP="00F02720">
      <w:pPr>
        <w:shd w:val="clear" w:color="auto" w:fill="FFFFFF"/>
        <w:spacing w:before="40"/>
        <w:rPr>
          <w:rFonts w:ascii="Arial" w:hAnsi="Arial" w:cs="Arial"/>
          <w:i/>
          <w:color w:val="000000"/>
          <w:sz w:val="22"/>
        </w:rPr>
      </w:pPr>
      <w:r w:rsidRPr="000F20CF">
        <w:rPr>
          <w:rFonts w:ascii="Arial" w:hAnsi="Arial" w:cs="Arial"/>
          <w:i/>
          <w:color w:val="000000"/>
          <w:sz w:val="22"/>
        </w:rPr>
        <w:t>(2)  specified road networks that function as a critical corridor for the transportation of goods between:</w:t>
      </w:r>
    </w:p>
    <w:p w14:paraId="19FB0653"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  2 States; or</w:t>
      </w:r>
    </w:p>
    <w:p w14:paraId="4E2E4E7B"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  a State and a Territory; or</w:t>
      </w:r>
    </w:p>
    <w:p w14:paraId="6185A497" w14:textId="77777777" w:rsidR="00F02720" w:rsidRPr="000F20CF" w:rsidRDefault="00F02720" w:rsidP="00F02720">
      <w:pPr>
        <w:shd w:val="clear" w:color="auto" w:fill="FFFFFF"/>
        <w:spacing w:before="40"/>
        <w:ind w:left="360"/>
        <w:rPr>
          <w:rFonts w:ascii="Arial" w:hAnsi="Arial" w:cs="Arial"/>
          <w:i/>
          <w:color w:val="000000"/>
          <w:sz w:val="22"/>
        </w:rPr>
      </w:pPr>
      <w:r w:rsidRPr="000F20CF">
        <w:rPr>
          <w:rFonts w:ascii="Arial" w:hAnsi="Arial" w:cs="Arial"/>
          <w:i/>
          <w:color w:val="000000"/>
          <w:sz w:val="22"/>
        </w:rPr>
        <w:lastRenderedPageBreak/>
        <w:t>   </w:t>
      </w:r>
      <w:r w:rsidRPr="000F20CF">
        <w:rPr>
          <w:rFonts w:ascii="Arial" w:hAnsi="Arial" w:cs="Arial"/>
          <w:i/>
          <w:color w:val="000000"/>
          <w:sz w:val="22"/>
        </w:rPr>
        <w:tab/>
        <w:t>(iii)  2 Territories; or</w:t>
      </w:r>
    </w:p>
    <w:p w14:paraId="5F0821E0"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(iv)  2 regional centres; or</w:t>
      </w:r>
    </w:p>
    <w:p w14:paraId="5608733A" w14:textId="77777777" w:rsidR="00F02720" w:rsidRPr="000F20CF" w:rsidRDefault="00F02720" w:rsidP="00F02720">
      <w:pPr>
        <w:shd w:val="clear" w:color="auto" w:fill="FFFFFF"/>
        <w:spacing w:before="40"/>
        <w:ind w:left="360"/>
        <w:rPr>
          <w:rFonts w:ascii="Arial" w:hAnsi="Arial" w:cs="Arial"/>
          <w:i/>
          <w:color w:val="000000"/>
          <w:sz w:val="22"/>
        </w:rPr>
      </w:pPr>
      <w:r w:rsidRPr="000F20CF">
        <w:rPr>
          <w:rFonts w:ascii="Arial" w:hAnsi="Arial" w:cs="Arial"/>
          <w:i/>
          <w:color w:val="000000"/>
          <w:sz w:val="22"/>
        </w:rPr>
        <w:t>(b)  requirements for a road network to function as a critical corridor for the transportation of goods between:</w:t>
      </w:r>
    </w:p>
    <w:p w14:paraId="1D3964A5"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  2 States; or</w:t>
      </w:r>
    </w:p>
    <w:p w14:paraId="3DD6C8FC"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  a State and a Territory; or</w:t>
      </w:r>
    </w:p>
    <w:p w14:paraId="73E94A7A"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(iii)  2 Territories; or</w:t>
      </w:r>
    </w:p>
    <w:p w14:paraId="57DB2FD7"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(iv)  2 regional centres.</w:t>
      </w:r>
    </w:p>
    <w:p w14:paraId="0EC73F53" w14:textId="77777777" w:rsidR="00F02720" w:rsidRPr="000F20CF" w:rsidRDefault="00F02720" w:rsidP="00F02720">
      <w:pPr>
        <w:shd w:val="clear" w:color="auto" w:fill="FFFFFF"/>
        <w:spacing w:before="180"/>
        <w:rPr>
          <w:rFonts w:ascii="Arial" w:hAnsi="Arial" w:cs="Arial"/>
          <w:i/>
          <w:color w:val="000000"/>
          <w:sz w:val="22"/>
        </w:rPr>
      </w:pPr>
      <w:r w:rsidRPr="000F20CF">
        <w:rPr>
          <w:rFonts w:ascii="Arial" w:hAnsi="Arial" w:cs="Arial"/>
          <w:i/>
          <w:color w:val="000000"/>
          <w:sz w:val="22"/>
        </w:rPr>
        <w:t>(3)  For the purposes of paragraph (1)(b), the rules may prescribe:</w:t>
      </w:r>
    </w:p>
    <w:p w14:paraId="0CD4FC11" w14:textId="77777777" w:rsidR="00F02720" w:rsidRPr="000F20CF" w:rsidRDefault="00F02720" w:rsidP="00F02720">
      <w:pPr>
        <w:shd w:val="clear" w:color="auto" w:fill="FFFFFF"/>
        <w:spacing w:before="40"/>
        <w:ind w:left="360"/>
        <w:rPr>
          <w:rFonts w:ascii="Arial" w:hAnsi="Arial" w:cs="Arial"/>
          <w:i/>
          <w:color w:val="000000"/>
          <w:sz w:val="22"/>
        </w:rPr>
      </w:pPr>
      <w:r w:rsidRPr="000F20CF">
        <w:rPr>
          <w:rFonts w:ascii="Arial" w:hAnsi="Arial" w:cs="Arial"/>
          <w:i/>
          <w:color w:val="000000"/>
          <w:sz w:val="22"/>
        </w:rPr>
        <w:t>(a)  specified rail networks that function as a critical corridor for the transportation of goods between:</w:t>
      </w:r>
    </w:p>
    <w:p w14:paraId="61D6D265"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  2 States; or</w:t>
      </w:r>
    </w:p>
    <w:p w14:paraId="09524BB4"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  a State and a Territory; or</w:t>
      </w:r>
    </w:p>
    <w:p w14:paraId="352EF828"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(iii)  2 Territories; or</w:t>
      </w:r>
    </w:p>
    <w:p w14:paraId="65F2E01C"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(iv)  2 regional centres; or</w:t>
      </w:r>
    </w:p>
    <w:p w14:paraId="318C7A40" w14:textId="77777777" w:rsidR="00F02720" w:rsidRPr="000F20CF" w:rsidRDefault="00F02720" w:rsidP="00F02720">
      <w:pPr>
        <w:shd w:val="clear" w:color="auto" w:fill="FFFFFF"/>
        <w:spacing w:before="40"/>
        <w:ind w:left="350" w:firstLine="10"/>
        <w:rPr>
          <w:rFonts w:ascii="Arial" w:hAnsi="Arial" w:cs="Arial"/>
          <w:i/>
          <w:color w:val="000000"/>
          <w:sz w:val="22"/>
        </w:rPr>
      </w:pPr>
      <w:r w:rsidRPr="000F20CF">
        <w:rPr>
          <w:rFonts w:ascii="Arial" w:hAnsi="Arial" w:cs="Arial"/>
          <w:i/>
          <w:color w:val="000000"/>
          <w:sz w:val="22"/>
        </w:rPr>
        <w:t>(b)  requirements for a rail network to function as a critical corridor for the transportation of goods between:</w:t>
      </w:r>
    </w:p>
    <w:p w14:paraId="753AA830"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  2 States; or</w:t>
      </w:r>
    </w:p>
    <w:p w14:paraId="66532974"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  a State and a Territory; or</w:t>
      </w:r>
    </w:p>
    <w:p w14:paraId="1F6A3643"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(iii)  2 Territories; or</w:t>
      </w:r>
    </w:p>
    <w:p w14:paraId="48B06A20"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(iv)  2 regional centres.</w:t>
      </w:r>
    </w:p>
    <w:p w14:paraId="32E439E6" w14:textId="77777777" w:rsidR="00F02720" w:rsidRPr="000F20CF" w:rsidRDefault="00F02720" w:rsidP="00F02720">
      <w:pPr>
        <w:shd w:val="clear" w:color="auto" w:fill="FFFFFF"/>
        <w:spacing w:before="180"/>
        <w:rPr>
          <w:rFonts w:ascii="Arial" w:hAnsi="Arial" w:cs="Arial"/>
          <w:i/>
          <w:color w:val="000000"/>
          <w:sz w:val="22"/>
        </w:rPr>
      </w:pPr>
      <w:r w:rsidRPr="000F20CF">
        <w:rPr>
          <w:rFonts w:ascii="Arial" w:hAnsi="Arial" w:cs="Arial"/>
          <w:i/>
          <w:color w:val="000000"/>
          <w:sz w:val="22"/>
        </w:rPr>
        <w:t>(4)  For the purposes of paragraph (1)(c), the rules may prescribe:</w:t>
      </w:r>
    </w:p>
    <w:p w14:paraId="788DF216" w14:textId="77777777" w:rsidR="00F02720" w:rsidRPr="000F20CF" w:rsidRDefault="00F02720" w:rsidP="00F02720">
      <w:pPr>
        <w:shd w:val="clear" w:color="auto" w:fill="FFFFFF"/>
        <w:spacing w:before="40"/>
        <w:ind w:left="350" w:firstLine="10"/>
        <w:rPr>
          <w:rFonts w:ascii="Arial" w:hAnsi="Arial" w:cs="Arial"/>
          <w:i/>
          <w:color w:val="000000"/>
          <w:sz w:val="22"/>
        </w:rPr>
      </w:pPr>
      <w:r w:rsidRPr="000F20CF">
        <w:rPr>
          <w:rFonts w:ascii="Arial" w:hAnsi="Arial" w:cs="Arial"/>
          <w:i/>
          <w:color w:val="000000"/>
          <w:sz w:val="22"/>
        </w:rPr>
        <w:t>(a)  specified intermodal transfer facilities that are critical to the transportation of goods between:</w:t>
      </w:r>
    </w:p>
    <w:p w14:paraId="788D2568"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 (i)  2 States; or</w:t>
      </w:r>
    </w:p>
    <w:p w14:paraId="59E10AE1"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  a State and a Territory; or</w:t>
      </w:r>
    </w:p>
    <w:p w14:paraId="296B3C92"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(iii)  2 Territories; or</w:t>
      </w:r>
    </w:p>
    <w:p w14:paraId="11FF76EC" w14:textId="77777777" w:rsidR="00F02720" w:rsidRPr="000F20CF" w:rsidRDefault="00F02720" w:rsidP="00F02720">
      <w:pPr>
        <w:shd w:val="clear" w:color="auto" w:fill="FFFFFF"/>
        <w:spacing w:before="40"/>
        <w:ind w:left="360" w:firstLine="360"/>
        <w:rPr>
          <w:rFonts w:ascii="Arial" w:hAnsi="Arial" w:cs="Arial"/>
          <w:i/>
          <w:color w:val="000000"/>
          <w:sz w:val="22"/>
        </w:rPr>
      </w:pPr>
      <w:r w:rsidRPr="000F20CF">
        <w:rPr>
          <w:rFonts w:ascii="Arial" w:hAnsi="Arial" w:cs="Arial"/>
          <w:i/>
          <w:color w:val="000000"/>
          <w:sz w:val="22"/>
        </w:rPr>
        <w:t>(iv)  2 regional centres; or</w:t>
      </w:r>
    </w:p>
    <w:p w14:paraId="1081F2F6" w14:textId="77777777" w:rsidR="00F02720" w:rsidRPr="000F20CF" w:rsidRDefault="00F02720" w:rsidP="00F02720">
      <w:pPr>
        <w:shd w:val="clear" w:color="auto" w:fill="FFFFFF"/>
        <w:spacing w:before="40"/>
        <w:ind w:left="350" w:firstLine="10"/>
        <w:rPr>
          <w:rFonts w:ascii="Arial" w:hAnsi="Arial" w:cs="Arial"/>
          <w:i/>
          <w:color w:val="000000"/>
          <w:sz w:val="22"/>
        </w:rPr>
      </w:pPr>
      <w:r w:rsidRPr="000F20CF">
        <w:rPr>
          <w:rFonts w:ascii="Arial" w:hAnsi="Arial" w:cs="Arial"/>
          <w:i/>
          <w:color w:val="000000"/>
          <w:sz w:val="22"/>
        </w:rPr>
        <w:t>(b)  requirements for an intermodal transfer facility to be critical to the transportation of goods between:</w:t>
      </w:r>
    </w:p>
    <w:p w14:paraId="645275D2"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  2 States; or</w:t>
      </w:r>
    </w:p>
    <w:p w14:paraId="4A7EEACE"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(ii)  a State and a Territory; or</w:t>
      </w:r>
    </w:p>
    <w:p w14:paraId="0202C1CC" w14:textId="77777777" w:rsidR="00F02720" w:rsidRPr="000F20CF" w:rsidRDefault="00F02720" w:rsidP="00F02720">
      <w:pPr>
        <w:pStyle w:val="ListParagraph"/>
        <w:numPr>
          <w:ilvl w:val="0"/>
          <w:numId w:val="23"/>
        </w:numPr>
        <w:shd w:val="clear" w:color="auto" w:fill="FFFFFF"/>
        <w:spacing w:before="40" w:after="120" w:line="264" w:lineRule="auto"/>
        <w:contextualSpacing w:val="0"/>
        <w:rPr>
          <w:i/>
          <w:color w:val="000000"/>
          <w:sz w:val="24"/>
          <w:szCs w:val="22"/>
        </w:rPr>
      </w:pPr>
      <w:r w:rsidRPr="000F20CF">
        <w:rPr>
          <w:i/>
          <w:color w:val="000000"/>
          <w:sz w:val="24"/>
          <w:szCs w:val="22"/>
        </w:rPr>
        <w:t>2 Territories; or</w:t>
      </w:r>
    </w:p>
    <w:p w14:paraId="3ED1643C" w14:textId="77777777" w:rsidR="00F02720" w:rsidRPr="000F20CF" w:rsidRDefault="00F02720" w:rsidP="00F02720">
      <w:pPr>
        <w:pStyle w:val="ListParagraph"/>
        <w:numPr>
          <w:ilvl w:val="0"/>
          <w:numId w:val="23"/>
        </w:numPr>
        <w:shd w:val="clear" w:color="auto" w:fill="FFFFFF"/>
        <w:spacing w:before="40" w:after="120" w:line="264" w:lineRule="auto"/>
        <w:contextualSpacing w:val="0"/>
        <w:rPr>
          <w:i/>
          <w:color w:val="000000"/>
          <w:sz w:val="24"/>
          <w:szCs w:val="22"/>
        </w:rPr>
      </w:pPr>
      <w:r w:rsidRPr="000F20CF">
        <w:rPr>
          <w:i/>
          <w:color w:val="000000"/>
          <w:sz w:val="24"/>
          <w:szCs w:val="22"/>
        </w:rPr>
        <w:t>2 regional centres.</w:t>
      </w:r>
    </w:p>
    <w:p w14:paraId="01FF2353" w14:textId="77777777" w:rsidR="00F02720" w:rsidRPr="000F20CF" w:rsidRDefault="00F02720" w:rsidP="00F02720">
      <w:pPr>
        <w:shd w:val="clear" w:color="auto" w:fill="FFFFFF"/>
        <w:spacing w:before="180"/>
        <w:rPr>
          <w:rFonts w:ascii="Arial" w:hAnsi="Arial" w:cs="Arial"/>
          <w:i/>
          <w:color w:val="000000"/>
          <w:sz w:val="22"/>
        </w:rPr>
      </w:pPr>
      <w:r w:rsidRPr="000F20CF">
        <w:rPr>
          <w:rFonts w:ascii="Arial" w:hAnsi="Arial" w:cs="Arial"/>
          <w:i/>
          <w:color w:val="000000"/>
          <w:sz w:val="22"/>
        </w:rPr>
        <w:t>(1) An asset is a </w:t>
      </w:r>
      <w:r w:rsidRPr="00D87759">
        <w:rPr>
          <w:rFonts w:ascii="Arial" w:hAnsi="Arial" w:cs="Arial"/>
          <w:b/>
          <w:i/>
          <w:color w:val="000000"/>
          <w:sz w:val="22"/>
        </w:rPr>
        <w:t>critical freight services asset</w:t>
      </w:r>
      <w:r w:rsidRPr="000F20CF">
        <w:rPr>
          <w:rFonts w:ascii="Arial" w:hAnsi="Arial" w:cs="Arial"/>
          <w:i/>
          <w:color w:val="000000"/>
          <w:sz w:val="22"/>
        </w:rPr>
        <w:t> if it is a network that is used by an entity carrying on a business that, in accordance with subsection (2), is critical to the transportation of goods by any or all of the following:</w:t>
      </w:r>
    </w:p>
    <w:p w14:paraId="33FAE33F" w14:textId="77777777" w:rsidR="00F02720" w:rsidRPr="000F20CF" w:rsidRDefault="00F02720" w:rsidP="00F02720">
      <w:pPr>
        <w:shd w:val="clear" w:color="auto" w:fill="FFFFFF"/>
        <w:spacing w:before="40"/>
        <w:ind w:firstLine="360"/>
        <w:rPr>
          <w:rFonts w:ascii="Arial" w:hAnsi="Arial" w:cs="Arial"/>
          <w:i/>
          <w:color w:val="000000"/>
          <w:sz w:val="22"/>
        </w:rPr>
      </w:pPr>
      <w:r w:rsidRPr="000F20CF">
        <w:rPr>
          <w:rFonts w:ascii="Arial" w:hAnsi="Arial" w:cs="Arial"/>
          <w:i/>
          <w:color w:val="000000"/>
          <w:sz w:val="22"/>
        </w:rPr>
        <w:t>(a)  road;</w:t>
      </w:r>
    </w:p>
    <w:p w14:paraId="3AECB54A" w14:textId="77777777" w:rsidR="00F02720" w:rsidRPr="000F20CF" w:rsidRDefault="00F02720" w:rsidP="00F02720">
      <w:pPr>
        <w:shd w:val="clear" w:color="auto" w:fill="FFFFFF"/>
        <w:spacing w:before="40"/>
        <w:ind w:firstLine="360"/>
        <w:rPr>
          <w:rFonts w:ascii="Arial" w:hAnsi="Arial" w:cs="Arial"/>
          <w:i/>
          <w:color w:val="000000"/>
          <w:sz w:val="22"/>
        </w:rPr>
      </w:pPr>
      <w:r w:rsidRPr="000F20CF">
        <w:rPr>
          <w:rFonts w:ascii="Arial" w:hAnsi="Arial" w:cs="Arial"/>
          <w:i/>
          <w:color w:val="000000"/>
          <w:sz w:val="22"/>
        </w:rPr>
        <w:t>(b)  rail;</w:t>
      </w:r>
    </w:p>
    <w:p w14:paraId="25F3BAB7" w14:textId="77777777" w:rsidR="00F02720" w:rsidRPr="000F20CF" w:rsidRDefault="00F02720" w:rsidP="00F02720">
      <w:pPr>
        <w:shd w:val="clear" w:color="auto" w:fill="FFFFFF"/>
        <w:spacing w:before="40"/>
        <w:ind w:firstLine="360"/>
        <w:rPr>
          <w:rFonts w:ascii="Arial" w:hAnsi="Arial" w:cs="Arial"/>
          <w:i/>
          <w:color w:val="000000"/>
          <w:sz w:val="22"/>
        </w:rPr>
      </w:pPr>
      <w:r w:rsidRPr="000F20CF">
        <w:rPr>
          <w:rFonts w:ascii="Arial" w:hAnsi="Arial" w:cs="Arial"/>
          <w:i/>
          <w:color w:val="000000"/>
          <w:sz w:val="22"/>
        </w:rPr>
        <w:lastRenderedPageBreak/>
        <w:t>(c)  inland waters;</w:t>
      </w:r>
    </w:p>
    <w:p w14:paraId="124EC85D" w14:textId="77777777" w:rsidR="00F02720" w:rsidRPr="000F20CF" w:rsidRDefault="00F02720" w:rsidP="00F02720">
      <w:pPr>
        <w:shd w:val="clear" w:color="auto" w:fill="FFFFFF"/>
        <w:spacing w:before="40"/>
        <w:ind w:firstLine="360"/>
        <w:rPr>
          <w:rFonts w:ascii="Arial" w:hAnsi="Arial" w:cs="Arial"/>
          <w:i/>
          <w:color w:val="000000"/>
          <w:sz w:val="22"/>
        </w:rPr>
      </w:pPr>
      <w:r w:rsidRPr="000F20CF">
        <w:rPr>
          <w:rFonts w:ascii="Arial" w:hAnsi="Arial" w:cs="Arial"/>
          <w:i/>
          <w:color w:val="000000"/>
          <w:sz w:val="22"/>
        </w:rPr>
        <w:t>(d)  sea.</w:t>
      </w:r>
    </w:p>
    <w:p w14:paraId="73694F01" w14:textId="77777777" w:rsidR="00F02720" w:rsidRPr="000F20CF" w:rsidRDefault="00F02720" w:rsidP="00F02720">
      <w:pPr>
        <w:shd w:val="clear" w:color="auto" w:fill="FFFFFF"/>
        <w:spacing w:before="180"/>
        <w:rPr>
          <w:rFonts w:ascii="Arial" w:hAnsi="Arial" w:cs="Arial"/>
          <w:i/>
          <w:color w:val="000000"/>
          <w:sz w:val="22"/>
        </w:rPr>
      </w:pPr>
      <w:r w:rsidRPr="000F20CF">
        <w:rPr>
          <w:rFonts w:ascii="Arial" w:hAnsi="Arial" w:cs="Arial"/>
          <w:i/>
          <w:color w:val="000000"/>
          <w:sz w:val="22"/>
        </w:rPr>
        <w:t>(2)  For the purposes of subsection (1), the rules may prescribe:</w:t>
      </w:r>
    </w:p>
    <w:p w14:paraId="2A08D48C" w14:textId="77777777" w:rsidR="00F02720" w:rsidRPr="000F20CF" w:rsidRDefault="00F02720" w:rsidP="00F02720">
      <w:pPr>
        <w:shd w:val="clear" w:color="auto" w:fill="FFFFFF"/>
        <w:spacing w:before="40"/>
        <w:ind w:left="851" w:hanging="425"/>
        <w:rPr>
          <w:rFonts w:ascii="Arial" w:hAnsi="Arial" w:cs="Arial"/>
          <w:i/>
          <w:color w:val="000000"/>
          <w:sz w:val="22"/>
        </w:rPr>
      </w:pPr>
      <w:r w:rsidRPr="000F20CF">
        <w:rPr>
          <w:rFonts w:ascii="Arial" w:hAnsi="Arial" w:cs="Arial"/>
          <w:i/>
          <w:color w:val="000000"/>
          <w:sz w:val="22"/>
        </w:rPr>
        <w:t>(a)  specified businesses that are critical to the transportation of goods by any or all of the following:</w:t>
      </w:r>
    </w:p>
    <w:p w14:paraId="2FCECA04"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  road;</w:t>
      </w:r>
    </w:p>
    <w:p w14:paraId="2B28B60C"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(ii)  rail;</w:t>
      </w:r>
    </w:p>
    <w:p w14:paraId="53DCC5D9"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(iii)  inland waters;</w:t>
      </w:r>
    </w:p>
    <w:p w14:paraId="579EE75A"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(iv)  sea; or</w:t>
      </w:r>
    </w:p>
    <w:p w14:paraId="061E5984" w14:textId="77777777" w:rsidR="00F02720" w:rsidRPr="000F20CF" w:rsidRDefault="00F02720" w:rsidP="00F02720">
      <w:pPr>
        <w:shd w:val="clear" w:color="auto" w:fill="FFFFFF"/>
        <w:spacing w:before="40"/>
        <w:ind w:left="851" w:hanging="425"/>
        <w:rPr>
          <w:rFonts w:ascii="Arial" w:hAnsi="Arial" w:cs="Arial"/>
          <w:i/>
          <w:color w:val="000000"/>
          <w:sz w:val="22"/>
        </w:rPr>
      </w:pPr>
      <w:r w:rsidRPr="000F20CF">
        <w:rPr>
          <w:rFonts w:ascii="Arial" w:hAnsi="Arial" w:cs="Arial"/>
          <w:i/>
          <w:color w:val="000000"/>
          <w:sz w:val="22"/>
        </w:rPr>
        <w:t>(b)  requirements for a business to be critical to the transportation of goods by any or all of the following:</w:t>
      </w:r>
    </w:p>
    <w:p w14:paraId="555CCD0E"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  road;</w:t>
      </w:r>
    </w:p>
    <w:p w14:paraId="64338373"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(ii)  rail;</w:t>
      </w:r>
    </w:p>
    <w:p w14:paraId="2746CC2A"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(iii)  inland waters;</w:t>
      </w:r>
    </w:p>
    <w:p w14:paraId="6213249F" w14:textId="77777777" w:rsidR="00F02720" w:rsidRPr="000F20CF" w:rsidRDefault="00F02720" w:rsidP="00F02720">
      <w:pPr>
        <w:shd w:val="clear" w:color="auto" w:fill="FFFFFF"/>
        <w:spacing w:before="40"/>
        <w:ind w:firstLine="720"/>
        <w:rPr>
          <w:rFonts w:ascii="Arial" w:hAnsi="Arial" w:cs="Arial"/>
          <w:i/>
          <w:color w:val="000000"/>
          <w:sz w:val="22"/>
        </w:rPr>
      </w:pPr>
      <w:r w:rsidRPr="000F20CF">
        <w:rPr>
          <w:rFonts w:ascii="Arial" w:hAnsi="Arial" w:cs="Arial"/>
          <w:i/>
          <w:color w:val="000000"/>
          <w:sz w:val="22"/>
        </w:rPr>
        <w:t>(iv)  sea.</w:t>
      </w:r>
    </w:p>
    <w:p w14:paraId="7FF5D165" w14:textId="77777777" w:rsidR="002A6150" w:rsidRDefault="002A6150" w:rsidP="002A6150">
      <w:pPr>
        <w:pStyle w:val="AppendixH2"/>
      </w:pPr>
      <w:r>
        <w:t>Impacts of a disruption to critical freight infrastructure and freight services assets</w:t>
      </w:r>
    </w:p>
    <w:p w14:paraId="146EFB37" w14:textId="77777777" w:rsidR="002A6150" w:rsidRPr="00E72760" w:rsidRDefault="002A6150" w:rsidP="002A6150">
      <w:pPr>
        <w:pStyle w:val="Bullet1stlevel"/>
      </w:pPr>
      <w:r w:rsidRPr="00E72760">
        <w:t>Reduced access to supplies</w:t>
      </w:r>
      <w:r>
        <w:t>, such as food, medicine, building and agricultural supplies, due to reduced ability to transport domestically, import and export;</w:t>
      </w:r>
    </w:p>
    <w:p w14:paraId="00A839A3" w14:textId="77777777" w:rsidR="002A6150" w:rsidRDefault="002A6150" w:rsidP="002A6150">
      <w:pPr>
        <w:pStyle w:val="Bullet1stlevel"/>
      </w:pPr>
      <w:r w:rsidRPr="00E72760">
        <w:t xml:space="preserve">Reduced access to critical infrastructure </w:t>
      </w:r>
      <w:r>
        <w:t xml:space="preserve">such as </w:t>
      </w:r>
      <w:r w:rsidRPr="00E72760">
        <w:t xml:space="preserve">critical </w:t>
      </w:r>
      <w:r>
        <w:t>supermarkets, particularly for regional and remote Australians;</w:t>
      </w:r>
    </w:p>
    <w:p w14:paraId="50B7CEB9" w14:textId="77777777" w:rsidR="002A6150" w:rsidRDefault="002A6150" w:rsidP="002A6150">
      <w:pPr>
        <w:pStyle w:val="Bullet1stlevel"/>
      </w:pPr>
      <w:r w:rsidRPr="00E72760">
        <w:t>Reduced fuel supply due to an inability to transport, with flow on effects to consumers and industry;</w:t>
      </w:r>
    </w:p>
    <w:p w14:paraId="4369957B" w14:textId="77777777" w:rsidR="002A6150" w:rsidRDefault="002A6150" w:rsidP="002A6150">
      <w:pPr>
        <w:pStyle w:val="Bullet1stlevel"/>
      </w:pPr>
      <w:r>
        <w:t xml:space="preserve">Reduced economic activity and increased inflationary pressures; and </w:t>
      </w:r>
    </w:p>
    <w:p w14:paraId="4498596A" w14:textId="77777777" w:rsidR="002A6150" w:rsidRPr="00763B39" w:rsidRDefault="002A6150" w:rsidP="002A6150">
      <w:pPr>
        <w:pStyle w:val="Bullet1stlevel"/>
      </w:pPr>
      <w:r w:rsidRPr="00E72760">
        <w:t>Increased vulnerability to natural disasters</w:t>
      </w:r>
      <w:r>
        <w:t xml:space="preserve">, with reduced ability to deploy emergency services personnel in the event of a natural disaster. </w:t>
      </w:r>
      <w:r w:rsidRPr="00E72760">
        <w:t xml:space="preserve"> </w:t>
      </w:r>
    </w:p>
    <w:p w14:paraId="2DF9976B" w14:textId="77777777" w:rsidR="002C07AA" w:rsidRDefault="002C07AA" w:rsidP="002C07AA">
      <w:pPr>
        <w:pStyle w:val="Bullet1stlevel"/>
      </w:pPr>
      <w:r>
        <w:t>Examples of disruptions to critical freight assets – domestic and international</w:t>
      </w:r>
    </w:p>
    <w:tbl>
      <w:tblPr>
        <w:tblStyle w:val="DHATable"/>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222"/>
        <w:gridCol w:w="3386"/>
      </w:tblGrid>
      <w:tr w:rsidR="002C07AA" w:rsidRPr="006F11D2" w14:paraId="7B78DC6D" w14:textId="77777777" w:rsidTr="00C650A1">
        <w:tc>
          <w:tcPr>
            <w:tcW w:w="6222" w:type="dxa"/>
            <w:shd w:val="clear" w:color="auto" w:fill="034EA2" w:themeFill="accent1"/>
          </w:tcPr>
          <w:p w14:paraId="5B32C20E" w14:textId="77777777" w:rsidR="002C07AA" w:rsidRPr="006F11D2" w:rsidRDefault="002C07AA" w:rsidP="00C650A1">
            <w:pPr>
              <w:pStyle w:val="TableHeading"/>
            </w:pPr>
            <w:r w:rsidRPr="007F2FAE">
              <w:t>Maersk hit in NotPeyta attack, Global, 2017</w:t>
            </w:r>
          </w:p>
        </w:tc>
        <w:tc>
          <w:tcPr>
            <w:tcW w:w="3386" w:type="dxa"/>
            <w:shd w:val="clear" w:color="auto" w:fill="007BC3" w:themeFill="accent2"/>
          </w:tcPr>
          <w:p w14:paraId="454B794A" w14:textId="77777777" w:rsidR="002C07AA" w:rsidRPr="00677F1E" w:rsidRDefault="002C07AA" w:rsidP="00C650A1">
            <w:pPr>
              <w:pStyle w:val="Tableriskcategory"/>
            </w:pPr>
            <w:r w:rsidRPr="00172793">
              <w:t>Cyber &amp; Personnel Risk</w:t>
            </w:r>
          </w:p>
        </w:tc>
      </w:tr>
      <w:tr w:rsidR="002C07AA" w:rsidRPr="006F11D2" w14:paraId="214635D6" w14:textId="77777777" w:rsidTr="00C650A1">
        <w:tc>
          <w:tcPr>
            <w:tcW w:w="9608" w:type="dxa"/>
            <w:gridSpan w:val="2"/>
            <w:shd w:val="clear" w:color="auto" w:fill="auto"/>
          </w:tcPr>
          <w:p w14:paraId="66AD4BEA" w14:textId="77777777" w:rsidR="002C07AA" w:rsidRPr="00677F1E" w:rsidRDefault="002C07AA" w:rsidP="00C650A1">
            <w:pPr>
              <w:pStyle w:val="TableBody"/>
              <w:rPr>
                <w:b/>
              </w:rPr>
            </w:pPr>
            <w:r w:rsidRPr="00F8437F">
              <w:rPr>
                <w:b/>
                <w:bCs/>
              </w:rPr>
              <w:t>Situation</w:t>
            </w:r>
            <w:r w:rsidRPr="006F11D2">
              <w:t>:</w:t>
            </w:r>
            <w:r>
              <w:t xml:space="preserve"> Maersk is a Danish shipping company, the largest in the world, that provides integrated container logistics and supply chain services globally, including to Australia. In 2017, Maersk was one of the victims of a sophisticated cyber attack spree that hit a list of companies. NotPeyta was the malware responsible for attacking communications, IT systems, critical systems and operational controls company wide. The malware was spread via the Microsoft Windows systems to almost all offices across 130 countries.</w:t>
            </w:r>
            <w:r w:rsidRPr="00841050">
              <w:rPr>
                <w:rStyle w:val="FootnoteReference"/>
                <w:rFonts w:ascii="Arial" w:hAnsi="Arial" w:cs="Arial"/>
              </w:rPr>
              <w:footnoteReference w:id="261"/>
            </w:r>
            <w:r w:rsidRPr="00841050">
              <w:rPr>
                <w:vertAlign w:val="superscript"/>
              </w:rPr>
              <w:t>,</w:t>
            </w:r>
            <w:r w:rsidRPr="00841050">
              <w:rPr>
                <w:rStyle w:val="FootnoteReference"/>
                <w:rFonts w:ascii="Arial" w:hAnsi="Arial" w:cs="Arial"/>
              </w:rPr>
              <w:footnoteReference w:id="262"/>
            </w:r>
          </w:p>
        </w:tc>
      </w:tr>
      <w:tr w:rsidR="002C07AA" w:rsidRPr="006F11D2" w14:paraId="24B9CBC3" w14:textId="77777777" w:rsidTr="00C650A1">
        <w:tc>
          <w:tcPr>
            <w:tcW w:w="9608" w:type="dxa"/>
            <w:gridSpan w:val="2"/>
            <w:shd w:val="clear" w:color="auto" w:fill="F2F2F2" w:themeFill="background1" w:themeFillShade="F2"/>
          </w:tcPr>
          <w:p w14:paraId="1D8C26D0" w14:textId="77777777" w:rsidR="002C07AA" w:rsidRPr="002A3197" w:rsidRDefault="002C07AA" w:rsidP="00C650A1">
            <w:pPr>
              <w:pStyle w:val="TableBody"/>
              <w:rPr>
                <w:b/>
              </w:rPr>
            </w:pPr>
            <w:r w:rsidRPr="00F8437F">
              <w:rPr>
                <w:b/>
                <w:bCs/>
              </w:rPr>
              <w:t>Outcome</w:t>
            </w:r>
            <w:r w:rsidRPr="006F11D2">
              <w:t>:</w:t>
            </w:r>
            <w:r>
              <w:t xml:space="preserve"> The attack destroyed all end-user devices including laptops, print capability, applications, communications, and servers. Requiring almost a complete infrastructure overhaul, Maersk was forced to reinstall 45,000 PCs, 2,500 applications, and 4,000 servers to recover from the attack, costing $300 million USD. The company was forced to reduce operational volume to 80% during the recovery.</w:t>
            </w:r>
            <w:r>
              <w:rPr>
                <w:rStyle w:val="FootnoteReference"/>
                <w:rFonts w:ascii="Arial" w:hAnsi="Arial" w:cs="Arial"/>
              </w:rPr>
              <w:footnoteReference w:id="263"/>
            </w:r>
          </w:p>
        </w:tc>
      </w:tr>
      <w:tr w:rsidR="002C07AA" w:rsidRPr="006F11D2" w14:paraId="299962E6" w14:textId="77777777" w:rsidTr="00C650A1">
        <w:tc>
          <w:tcPr>
            <w:tcW w:w="9608" w:type="dxa"/>
            <w:gridSpan w:val="2"/>
            <w:shd w:val="clear" w:color="auto" w:fill="auto"/>
          </w:tcPr>
          <w:p w14:paraId="06CAB549" w14:textId="77777777" w:rsidR="002C07AA" w:rsidRPr="00C9684F" w:rsidRDefault="002C07AA" w:rsidP="00C650A1">
            <w:pPr>
              <w:pStyle w:val="TableBody"/>
              <w:rPr>
                <w:b/>
              </w:rPr>
            </w:pPr>
            <w:r w:rsidRPr="00F8437F">
              <w:rPr>
                <w:b/>
                <w:bCs/>
              </w:rPr>
              <w:lastRenderedPageBreak/>
              <w:t>Identified Gap:</w:t>
            </w:r>
            <w:r>
              <w:t xml:space="preserve"> Maersk fell victim to the attack through a member of staff responding to an email infected with the NotPeyta malware. The incident demonstrates the importance of cyber security training of personnel and internal detection systems. Increased cyber security training and better detection systems may have dramatically reduced or removed the threat entirely.</w:t>
            </w:r>
          </w:p>
        </w:tc>
      </w:tr>
    </w:tbl>
    <w:p w14:paraId="7C73DFED" w14:textId="77777777" w:rsidR="002C07AA" w:rsidRDefault="002C07AA" w:rsidP="006D71DB">
      <w:pPr>
        <w:pStyle w:val="Bullet1stlevel"/>
        <w:numPr>
          <w:ilvl w:val="0"/>
          <w:numId w:val="0"/>
        </w:numPr>
        <w:ind w:left="340" w:hanging="340"/>
      </w:pPr>
    </w:p>
    <w:tbl>
      <w:tblPr>
        <w:tblStyle w:val="DHATable"/>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222"/>
        <w:gridCol w:w="3386"/>
      </w:tblGrid>
      <w:tr w:rsidR="002C07AA" w:rsidRPr="006F11D2" w14:paraId="1BFDAD6C" w14:textId="77777777" w:rsidTr="00C650A1">
        <w:tc>
          <w:tcPr>
            <w:tcW w:w="6222" w:type="dxa"/>
            <w:shd w:val="clear" w:color="auto" w:fill="034EA2" w:themeFill="accent1"/>
          </w:tcPr>
          <w:p w14:paraId="04628727" w14:textId="77777777" w:rsidR="002C07AA" w:rsidRPr="0091632E" w:rsidRDefault="002C07AA" w:rsidP="00C650A1">
            <w:pPr>
              <w:pStyle w:val="TableHeading"/>
            </w:pPr>
            <w:r w:rsidRPr="0091632E">
              <w:t>TNT Express targeted in NotPeyta attack, Global, 2017</w:t>
            </w:r>
          </w:p>
        </w:tc>
        <w:tc>
          <w:tcPr>
            <w:tcW w:w="3386" w:type="dxa"/>
            <w:shd w:val="clear" w:color="auto" w:fill="007BC3" w:themeFill="accent2"/>
          </w:tcPr>
          <w:p w14:paraId="52E7A6FA" w14:textId="77777777" w:rsidR="002C07AA" w:rsidRPr="00677F1E" w:rsidRDefault="002C07AA" w:rsidP="00C650A1">
            <w:pPr>
              <w:pStyle w:val="Tableriskcategory"/>
            </w:pPr>
            <w:r w:rsidRPr="00172793">
              <w:t>Cyber Risk</w:t>
            </w:r>
          </w:p>
        </w:tc>
      </w:tr>
      <w:tr w:rsidR="002C07AA" w:rsidRPr="006F11D2" w14:paraId="175F6107" w14:textId="77777777" w:rsidTr="00C650A1">
        <w:trPr>
          <w:trHeight w:val="321"/>
        </w:trPr>
        <w:tc>
          <w:tcPr>
            <w:tcW w:w="9608" w:type="dxa"/>
            <w:gridSpan w:val="2"/>
            <w:shd w:val="clear" w:color="auto" w:fill="auto"/>
          </w:tcPr>
          <w:p w14:paraId="6DF2D196" w14:textId="77777777" w:rsidR="002C07AA" w:rsidRPr="00677F1E" w:rsidRDefault="002C07AA" w:rsidP="00C650A1">
            <w:pPr>
              <w:pStyle w:val="TableBody"/>
              <w:rPr>
                <w:b/>
              </w:rPr>
            </w:pPr>
            <w:r w:rsidRPr="00F8437F">
              <w:rPr>
                <w:b/>
                <w:bCs/>
              </w:rPr>
              <w:t>Situation</w:t>
            </w:r>
            <w:r w:rsidRPr="006F11D2">
              <w:t>:</w:t>
            </w:r>
            <w:r>
              <w:t xml:space="preserve"> FedEx subsidiary company, TNT, also fell victim to the global wave of NotPeyta malware and ransomware attacks in 2017. The cyber-attack disrupted computer systems and IT operations which caused deliveries and sales to suffer in all countries of operation, including Australia. It is believed the company was exposed to the ransomware via an infected tax software update used by its Ukrainian office.</w:t>
            </w:r>
            <w:r>
              <w:rPr>
                <w:rStyle w:val="FootnoteReference"/>
                <w:rFonts w:ascii="Arial" w:hAnsi="Arial" w:cs="Arial"/>
                <w:bCs/>
              </w:rPr>
              <w:footnoteReference w:id="264"/>
            </w:r>
          </w:p>
        </w:tc>
      </w:tr>
      <w:tr w:rsidR="002C07AA" w:rsidRPr="006F11D2" w14:paraId="20A4511B" w14:textId="77777777" w:rsidTr="7EBB1CEE">
        <w:tc>
          <w:tcPr>
            <w:tcW w:w="9608" w:type="dxa"/>
            <w:gridSpan w:val="2"/>
            <w:shd w:val="clear" w:color="auto" w:fill="F2F2F2" w:themeFill="background2" w:themeFillShade="F2"/>
          </w:tcPr>
          <w:p w14:paraId="411A14FF" w14:textId="493F9D51" w:rsidR="002C07AA" w:rsidRPr="002A3197" w:rsidRDefault="002C07AA" w:rsidP="00C650A1">
            <w:pPr>
              <w:pStyle w:val="TableBody"/>
              <w:rPr>
                <w:b/>
              </w:rPr>
            </w:pPr>
            <w:r w:rsidRPr="00F8437F">
              <w:rPr>
                <w:b/>
                <w:bCs/>
              </w:rPr>
              <w:t>Outcome</w:t>
            </w:r>
            <w:r w:rsidRPr="006F11D2">
              <w:t>:</w:t>
            </w:r>
            <w:r>
              <w:t xml:space="preserve"> </w:t>
            </w:r>
            <w:r w:rsidRPr="000C16D8">
              <w:t>FedEx</w:t>
            </w:r>
            <w:r>
              <w:t xml:space="preserve"> reported that the ransomware attack cost TNT approximately </w:t>
            </w:r>
            <w:r w:rsidR="00A50A0D">
              <w:t>USD</w:t>
            </w:r>
            <w:r>
              <w:t>300</w:t>
            </w:r>
            <w:r w:rsidR="00A50A0D">
              <w:t>.0</w:t>
            </w:r>
            <w:r>
              <w:t xml:space="preserve"> million </w:t>
            </w:r>
            <w:r w:rsidR="00A50A0D">
              <w:t>(AUD</w:t>
            </w:r>
            <w:r w:rsidR="63D0DA5D">
              <w:t>416.7</w:t>
            </w:r>
            <w:r>
              <w:t xml:space="preserve"> million AUD) in lost earnings due to disruptions in the company’s operations, loss of information technology systems and extended recovery times.</w:t>
            </w:r>
            <w:r w:rsidRPr="00AE1148">
              <w:rPr>
                <w:rStyle w:val="FootnoteReference"/>
                <w:rFonts w:ascii="Arial" w:hAnsi="Arial" w:cs="Arial"/>
                <w:bCs/>
              </w:rPr>
              <w:footnoteReference w:id="265"/>
            </w:r>
            <w:r w:rsidRPr="00AE1148">
              <w:rPr>
                <w:vertAlign w:val="superscript"/>
              </w:rPr>
              <w:t>,</w:t>
            </w:r>
            <w:r w:rsidRPr="00AE1148">
              <w:rPr>
                <w:rStyle w:val="FootnoteReference"/>
                <w:rFonts w:ascii="Arial" w:hAnsi="Arial" w:cs="Arial"/>
                <w:bCs/>
              </w:rPr>
              <w:footnoteReference w:id="266"/>
            </w:r>
          </w:p>
        </w:tc>
      </w:tr>
      <w:tr w:rsidR="002C07AA" w:rsidRPr="006F11D2" w14:paraId="4FDE5595" w14:textId="77777777" w:rsidTr="00C650A1">
        <w:tc>
          <w:tcPr>
            <w:tcW w:w="9608" w:type="dxa"/>
            <w:gridSpan w:val="2"/>
            <w:shd w:val="clear" w:color="auto" w:fill="auto"/>
          </w:tcPr>
          <w:p w14:paraId="5AC843CF" w14:textId="77777777" w:rsidR="002C07AA" w:rsidRPr="00C9684F" w:rsidRDefault="002C07AA" w:rsidP="00C650A1">
            <w:pPr>
              <w:pStyle w:val="TableBody"/>
              <w:rPr>
                <w:b/>
              </w:rPr>
            </w:pPr>
            <w:r w:rsidRPr="00F8437F">
              <w:rPr>
                <w:b/>
                <w:bCs/>
              </w:rPr>
              <w:t xml:space="preserve">Identified Gap: </w:t>
            </w:r>
            <w:r>
              <w:t>The incident highlighted the lack of cyber security protocols in their operations, finance, back-office and secondary business systems.</w:t>
            </w:r>
          </w:p>
        </w:tc>
      </w:tr>
    </w:tbl>
    <w:p w14:paraId="6709BA02" w14:textId="77777777" w:rsidR="002C07AA" w:rsidRDefault="002C07AA" w:rsidP="006D71DB">
      <w:pPr>
        <w:pStyle w:val="Bullet1stlevel"/>
        <w:numPr>
          <w:ilvl w:val="0"/>
          <w:numId w:val="0"/>
        </w:numPr>
      </w:pPr>
    </w:p>
    <w:tbl>
      <w:tblPr>
        <w:tblStyle w:val="DHATable"/>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222"/>
        <w:gridCol w:w="3386"/>
      </w:tblGrid>
      <w:tr w:rsidR="002C07AA" w:rsidRPr="006F11D2" w14:paraId="79210621" w14:textId="77777777" w:rsidTr="00C650A1">
        <w:tc>
          <w:tcPr>
            <w:tcW w:w="6222" w:type="dxa"/>
            <w:shd w:val="clear" w:color="auto" w:fill="034EA2" w:themeFill="accent1"/>
          </w:tcPr>
          <w:p w14:paraId="7B31CCF1" w14:textId="77777777" w:rsidR="002C07AA" w:rsidRPr="0091632E" w:rsidRDefault="002C07AA" w:rsidP="00C650A1">
            <w:pPr>
              <w:pStyle w:val="TableHeading"/>
            </w:pPr>
            <w:r w:rsidRPr="0091632E">
              <w:t>Forward Air Ransomware attack, North America, 2020</w:t>
            </w:r>
          </w:p>
        </w:tc>
        <w:tc>
          <w:tcPr>
            <w:tcW w:w="3386" w:type="dxa"/>
            <w:shd w:val="clear" w:color="auto" w:fill="007BC3" w:themeFill="accent2"/>
          </w:tcPr>
          <w:p w14:paraId="4090412C" w14:textId="77777777" w:rsidR="002C07AA" w:rsidRPr="00763B39" w:rsidRDefault="002C07AA" w:rsidP="00C650A1">
            <w:pPr>
              <w:pStyle w:val="Tableriskcategory"/>
            </w:pPr>
            <w:r w:rsidRPr="00172793">
              <w:t>Cyber &amp; Personnel Risk</w:t>
            </w:r>
          </w:p>
        </w:tc>
      </w:tr>
      <w:tr w:rsidR="002C07AA" w:rsidRPr="006F11D2" w14:paraId="0F3FFC61" w14:textId="77777777" w:rsidTr="00C650A1">
        <w:tc>
          <w:tcPr>
            <w:tcW w:w="9608" w:type="dxa"/>
            <w:gridSpan w:val="2"/>
            <w:shd w:val="clear" w:color="auto" w:fill="auto"/>
          </w:tcPr>
          <w:p w14:paraId="02F51554" w14:textId="77777777" w:rsidR="002C07AA" w:rsidRPr="00677F1E" w:rsidRDefault="002C07AA" w:rsidP="00C650A1">
            <w:pPr>
              <w:pStyle w:val="TableBody"/>
              <w:rPr>
                <w:b/>
              </w:rPr>
            </w:pPr>
            <w:r w:rsidRPr="00F8437F">
              <w:rPr>
                <w:b/>
                <w:bCs/>
              </w:rPr>
              <w:t>Situation</w:t>
            </w:r>
            <w:r w:rsidRPr="006F11D2">
              <w:t>:</w:t>
            </w:r>
            <w:r>
              <w:t xml:space="preserve"> Forward Air, an air freight shipping company operating in the United States and Canada, was the subject of a ransomware attack in December 2020. The incident impacted the operation and information technology systems and included a data breech. The company suspended all electronic customer databases temporarily to limit the impact of the attack.</w:t>
            </w:r>
            <w:r w:rsidRPr="00F42EFA">
              <w:rPr>
                <w:rStyle w:val="FootnoteReference"/>
                <w:rFonts w:ascii="Arial" w:hAnsi="Arial" w:cs="Arial"/>
              </w:rPr>
              <w:footnoteReference w:id="267"/>
            </w:r>
            <w:r w:rsidRPr="00F42EFA">
              <w:rPr>
                <w:vertAlign w:val="superscript"/>
              </w:rPr>
              <w:t>,</w:t>
            </w:r>
            <w:r w:rsidRPr="00F42EFA">
              <w:rPr>
                <w:rStyle w:val="FootnoteReference"/>
                <w:rFonts w:ascii="Arial" w:hAnsi="Arial" w:cs="Arial"/>
              </w:rPr>
              <w:footnoteReference w:id="268"/>
            </w:r>
          </w:p>
        </w:tc>
      </w:tr>
      <w:tr w:rsidR="002C07AA" w:rsidRPr="006F11D2" w14:paraId="38D3A1F1" w14:textId="77777777" w:rsidTr="00C650A1">
        <w:tc>
          <w:tcPr>
            <w:tcW w:w="9608" w:type="dxa"/>
            <w:gridSpan w:val="2"/>
            <w:shd w:val="clear" w:color="auto" w:fill="F2F2F2" w:themeFill="background1" w:themeFillShade="F2"/>
          </w:tcPr>
          <w:p w14:paraId="24C1C5F2" w14:textId="6CA542B3" w:rsidR="002C07AA" w:rsidRPr="002A3197" w:rsidRDefault="002C07AA" w:rsidP="00C650A1">
            <w:pPr>
              <w:pStyle w:val="TableBody"/>
              <w:rPr>
                <w:b/>
              </w:rPr>
            </w:pPr>
            <w:r w:rsidRPr="00B65181">
              <w:rPr>
                <w:b/>
                <w:bCs/>
              </w:rPr>
              <w:t>Outcome</w:t>
            </w:r>
            <w:r w:rsidRPr="006F11D2">
              <w:t>:</w:t>
            </w:r>
            <w:r>
              <w:t xml:space="preserve"> The attack cost Forward Air $7.5 million USD </w:t>
            </w:r>
            <w:r w:rsidR="00B02A49">
              <w:t xml:space="preserve">(AUD </w:t>
            </w:r>
            <w:r w:rsidR="00A52044">
              <w:t xml:space="preserve">10.4 million) </w:t>
            </w:r>
            <w:r>
              <w:t>in less than load freight revenue as a result the required temporary suspension of the electronic data interfaces with its customers.</w:t>
            </w:r>
            <w:r>
              <w:rPr>
                <w:rStyle w:val="FootnoteReference"/>
                <w:rFonts w:ascii="Arial" w:hAnsi="Arial" w:cs="Arial"/>
              </w:rPr>
              <w:footnoteReference w:id="269"/>
            </w:r>
          </w:p>
        </w:tc>
      </w:tr>
      <w:tr w:rsidR="002C07AA" w:rsidRPr="006F11D2" w14:paraId="3A03841B" w14:textId="77777777" w:rsidTr="00C650A1">
        <w:tc>
          <w:tcPr>
            <w:tcW w:w="9608" w:type="dxa"/>
            <w:gridSpan w:val="2"/>
            <w:shd w:val="clear" w:color="auto" w:fill="auto"/>
          </w:tcPr>
          <w:p w14:paraId="29F869E7" w14:textId="77777777" w:rsidR="002C07AA" w:rsidRPr="00C9684F" w:rsidRDefault="002C07AA" w:rsidP="00C650A1">
            <w:pPr>
              <w:pStyle w:val="TableBody"/>
              <w:rPr>
                <w:b/>
              </w:rPr>
            </w:pPr>
            <w:r w:rsidRPr="00B65181">
              <w:rPr>
                <w:b/>
                <w:bCs/>
              </w:rPr>
              <w:t>Identified Gap:</w:t>
            </w:r>
            <w:r>
              <w:t xml:space="preserve"> While it is unclear exactly how Forward Air fell victim to the Hades ransomware attack, the incident demonstrates the importance of having proactive risk management processes in place to identify and contain cyber risks and the risks posed by malicious insiders.  </w:t>
            </w:r>
          </w:p>
        </w:tc>
      </w:tr>
    </w:tbl>
    <w:p w14:paraId="33EFDAB3" w14:textId="77777777" w:rsidR="002C07AA" w:rsidRDefault="002C07AA" w:rsidP="009B4B57">
      <w:pPr>
        <w:pStyle w:val="Bullet1stlevel"/>
        <w:numPr>
          <w:ilvl w:val="0"/>
          <w:numId w:val="0"/>
        </w:numPr>
        <w:ind w:left="340"/>
      </w:pPr>
    </w:p>
    <w:tbl>
      <w:tblPr>
        <w:tblStyle w:val="DHATable"/>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6222"/>
        <w:gridCol w:w="3386"/>
      </w:tblGrid>
      <w:tr w:rsidR="002C07AA" w:rsidRPr="006F11D2" w14:paraId="15E48EAF" w14:textId="77777777" w:rsidTr="00C650A1">
        <w:tc>
          <w:tcPr>
            <w:tcW w:w="6222" w:type="dxa"/>
            <w:shd w:val="clear" w:color="auto" w:fill="034EA2" w:themeFill="accent1"/>
          </w:tcPr>
          <w:p w14:paraId="13A5C52B" w14:textId="77777777" w:rsidR="002C07AA" w:rsidRPr="006F11D2" w:rsidRDefault="002C07AA" w:rsidP="00C650A1">
            <w:pPr>
              <w:pStyle w:val="TableHeading"/>
            </w:pPr>
            <w:r w:rsidRPr="0091632E">
              <w:t>BHP runaway train, Port Hedland, Western Australia, 2018</w:t>
            </w:r>
          </w:p>
        </w:tc>
        <w:tc>
          <w:tcPr>
            <w:tcW w:w="3386" w:type="dxa"/>
            <w:shd w:val="clear" w:color="auto" w:fill="007BC3" w:themeFill="accent2"/>
          </w:tcPr>
          <w:p w14:paraId="5989C8AE" w14:textId="77777777" w:rsidR="002C07AA" w:rsidRPr="00677F1E" w:rsidRDefault="002C07AA" w:rsidP="00C650A1">
            <w:pPr>
              <w:pStyle w:val="Tableriskcategory"/>
            </w:pPr>
            <w:r w:rsidRPr="00172793">
              <w:t>Physical &amp; Personnel Risk</w:t>
            </w:r>
          </w:p>
        </w:tc>
      </w:tr>
      <w:tr w:rsidR="002C07AA" w:rsidRPr="006F11D2" w14:paraId="24A2B6F3" w14:textId="77777777" w:rsidTr="00C650A1">
        <w:trPr>
          <w:trHeight w:val="321"/>
        </w:trPr>
        <w:tc>
          <w:tcPr>
            <w:tcW w:w="9608" w:type="dxa"/>
            <w:gridSpan w:val="2"/>
            <w:shd w:val="clear" w:color="auto" w:fill="auto"/>
          </w:tcPr>
          <w:p w14:paraId="7C429062" w14:textId="77777777" w:rsidR="002C07AA" w:rsidRPr="006F11D2" w:rsidRDefault="002C07AA" w:rsidP="00C650A1">
            <w:pPr>
              <w:pStyle w:val="TableBody"/>
            </w:pPr>
            <w:r w:rsidRPr="00F8437F">
              <w:rPr>
                <w:b/>
                <w:bCs/>
              </w:rPr>
              <w:t>Situation</w:t>
            </w:r>
            <w:r w:rsidRPr="006F11D2">
              <w:t>: BHP was forced to derail a runaway iron ore train that was fully laden, after the train had travelled for over 50 minutes without a driver. The forced stop destroyed over 1.5km of railway tracks. The 268-wagon train was carrying 30,000 tonnes of iron ore at the time of the incident, with all but 24 wagons damaged</w:t>
            </w:r>
            <w:r w:rsidRPr="006F11D2">
              <w:rPr>
                <w:rStyle w:val="FootnoteReference"/>
                <w:rFonts w:ascii="Arial" w:hAnsi="Arial" w:cs="Arial"/>
              </w:rPr>
              <w:footnoteReference w:id="270"/>
            </w:r>
            <w:r w:rsidRPr="006F11D2">
              <w:t xml:space="preserve">. </w:t>
            </w:r>
          </w:p>
          <w:p w14:paraId="20AA0460" w14:textId="77777777" w:rsidR="002C07AA" w:rsidRPr="006F11D2" w:rsidRDefault="002C07AA" w:rsidP="00C650A1">
            <w:pPr>
              <w:pStyle w:val="TableBody"/>
            </w:pPr>
            <w:r>
              <w:t>When exiting the train to carry out an inspection, t</w:t>
            </w:r>
            <w:r w:rsidRPr="006F11D2">
              <w:t>he driver of the train failed to engage the emergency brake as required by the relevant operating procedures, which led to the backup braking system failing to operate and automatically releas</w:t>
            </w:r>
            <w:r>
              <w:t xml:space="preserve">ing </w:t>
            </w:r>
            <w:r w:rsidRPr="006F11D2">
              <w:t>after an hour while the driver was still outside the train</w:t>
            </w:r>
            <w:r w:rsidRPr="006F11D2">
              <w:rPr>
                <w:rStyle w:val="FootnoteReference"/>
                <w:rFonts w:ascii="Arial" w:hAnsi="Arial" w:cs="Arial"/>
              </w:rPr>
              <w:footnoteReference w:id="271"/>
            </w:r>
            <w:r w:rsidRPr="006F11D2">
              <w:t xml:space="preserve">. It should be </w:t>
            </w:r>
            <w:r w:rsidRPr="006F11D2">
              <w:lastRenderedPageBreak/>
              <w:t xml:space="preserve">noted that maintenance workers had mistakenly applied brakes to the wrong locomotive </w:t>
            </w:r>
            <w:r>
              <w:t xml:space="preserve">in the </w:t>
            </w:r>
            <w:r w:rsidRPr="006F11D2">
              <w:t>last year prior to the incident</w:t>
            </w:r>
            <w:r w:rsidRPr="006F11D2">
              <w:rPr>
                <w:rStyle w:val="FootnoteReference"/>
                <w:rFonts w:ascii="Arial" w:hAnsi="Arial" w:cs="Arial"/>
              </w:rPr>
              <w:footnoteReference w:id="272"/>
            </w:r>
            <w:r w:rsidRPr="006F11D2">
              <w:t>.</w:t>
            </w:r>
          </w:p>
          <w:p w14:paraId="3576AB9F" w14:textId="77777777" w:rsidR="002C07AA" w:rsidRPr="00677F1E" w:rsidRDefault="002C07AA" w:rsidP="00C650A1">
            <w:pPr>
              <w:pStyle w:val="TableBody"/>
              <w:rPr>
                <w:b/>
              </w:rPr>
            </w:pPr>
            <w:r w:rsidRPr="006F11D2">
              <w:t>It is understood that the AutoHaul system being introduced by Rio Tinto may have been able to stop the runaway train, with the company moving to introduce driverless trains in the near future</w:t>
            </w:r>
            <w:r>
              <w:t>.</w:t>
            </w:r>
            <w:r w:rsidRPr="006F11D2">
              <w:rPr>
                <w:rStyle w:val="FootnoteReference"/>
                <w:rFonts w:ascii="Arial" w:hAnsi="Arial" w:cs="Arial"/>
              </w:rPr>
              <w:footnoteReference w:id="273"/>
            </w:r>
          </w:p>
        </w:tc>
      </w:tr>
      <w:tr w:rsidR="002C07AA" w:rsidRPr="006F11D2" w14:paraId="761D5962" w14:textId="77777777" w:rsidTr="00C650A1">
        <w:tc>
          <w:tcPr>
            <w:tcW w:w="9608" w:type="dxa"/>
            <w:gridSpan w:val="2"/>
            <w:shd w:val="clear" w:color="auto" w:fill="auto"/>
          </w:tcPr>
          <w:p w14:paraId="115146FF" w14:textId="77777777" w:rsidR="002C07AA" w:rsidRPr="002A3197" w:rsidRDefault="002C07AA" w:rsidP="00C650A1">
            <w:pPr>
              <w:pStyle w:val="TableBody"/>
              <w:rPr>
                <w:b/>
              </w:rPr>
            </w:pPr>
            <w:r w:rsidRPr="00F8437F">
              <w:rPr>
                <w:b/>
                <w:bCs/>
              </w:rPr>
              <w:lastRenderedPageBreak/>
              <w:t>Outcome</w:t>
            </w:r>
            <w:r w:rsidRPr="006F11D2">
              <w:t xml:space="preserve">: The disruption, including lost product, </w:t>
            </w:r>
            <w:r>
              <w:t>was anticipated to have</w:t>
            </w:r>
            <w:r w:rsidRPr="006F11D2">
              <w:t xml:space="preserve"> cost the company up to $600 million with an estimated loss of $55 million in revenue per day</w:t>
            </w:r>
            <w:r>
              <w:t>, since</w:t>
            </w:r>
            <w:r w:rsidRPr="006F11D2">
              <w:t xml:space="preserve"> BHP </w:t>
            </w:r>
            <w:r>
              <w:t>could not</w:t>
            </w:r>
            <w:r w:rsidRPr="006F11D2">
              <w:t xml:space="preserve"> ship iron ore to its Asian customers</w:t>
            </w:r>
            <w:r w:rsidRPr="006F11D2">
              <w:rPr>
                <w:rStyle w:val="FootnoteReference"/>
                <w:rFonts w:ascii="Arial" w:hAnsi="Arial" w:cs="Arial"/>
              </w:rPr>
              <w:footnoteReference w:id="274"/>
            </w:r>
            <w:r w:rsidRPr="006F11D2">
              <w:t>. As a result of the incident, there was a 4 million tonne production loss</w:t>
            </w:r>
            <w:r>
              <w:t>,</w:t>
            </w:r>
            <w:r w:rsidRPr="006F11D2">
              <w:t xml:space="preserve"> with BHP iron ore productivity down by 6%</w:t>
            </w:r>
            <w:r w:rsidRPr="006F11D2">
              <w:rPr>
                <w:rStyle w:val="FootnoteReference"/>
                <w:rFonts w:ascii="Arial" w:hAnsi="Arial" w:cs="Arial"/>
              </w:rPr>
              <w:footnoteReference w:id="275"/>
            </w:r>
            <w:r w:rsidRPr="006F11D2">
              <w:t>.</w:t>
            </w:r>
          </w:p>
        </w:tc>
      </w:tr>
      <w:tr w:rsidR="002C07AA" w:rsidRPr="006F11D2" w14:paraId="5E3C2CDC" w14:textId="77777777" w:rsidTr="00C650A1">
        <w:tc>
          <w:tcPr>
            <w:tcW w:w="9608" w:type="dxa"/>
            <w:gridSpan w:val="2"/>
            <w:shd w:val="clear" w:color="auto" w:fill="auto"/>
          </w:tcPr>
          <w:p w14:paraId="5EFB0002" w14:textId="77777777" w:rsidR="002C07AA" w:rsidRPr="00C9684F" w:rsidRDefault="002C07AA" w:rsidP="00C650A1">
            <w:pPr>
              <w:pStyle w:val="TableBody"/>
              <w:rPr>
                <w:b/>
              </w:rPr>
            </w:pPr>
            <w:r w:rsidRPr="00F8437F">
              <w:rPr>
                <w:b/>
                <w:bCs/>
              </w:rPr>
              <w:t>Identified Gap:</w:t>
            </w:r>
            <w:r w:rsidRPr="006F11D2">
              <w:t xml:space="preserve"> The incident highlighted the need for more intensive personnel and physical security protocol training. Maintenance workers and train drivers may require additional training to prevent reoccurrences. There is a clear gap in protocol with the central switch board receiving information pertaining to the incident and in their response. Physical infrastructure provides another opportunity to solidify critical infrastructure that may prevent future compromises. </w:t>
            </w:r>
          </w:p>
        </w:tc>
      </w:tr>
    </w:tbl>
    <w:p w14:paraId="5078AC52" w14:textId="77777777" w:rsidR="00957658" w:rsidRPr="00957658" w:rsidRDefault="00957658" w:rsidP="00957658">
      <w:pPr>
        <w:keepNext/>
        <w:keepLines/>
        <w:tabs>
          <w:tab w:val="left" w:pos="851"/>
        </w:tabs>
        <w:spacing w:before="360" w:after="240"/>
        <w:outlineLvl w:val="1"/>
        <w:rPr>
          <w:rFonts w:asciiTheme="majorHAnsi" w:eastAsia="Times New Roman" w:hAnsiTheme="majorHAnsi" w:cs="Arial"/>
          <w:b/>
          <w:bCs/>
          <w:color w:val="007BC3" w:themeColor="accent2"/>
          <w:sz w:val="28"/>
          <w:szCs w:val="28"/>
          <w:lang w:eastAsia="en-AU"/>
        </w:rPr>
      </w:pPr>
      <w:r w:rsidRPr="00957658">
        <w:rPr>
          <w:rFonts w:asciiTheme="majorHAnsi" w:eastAsia="Times New Roman" w:hAnsiTheme="majorHAnsi" w:cs="Arial"/>
          <w:b/>
          <w:bCs/>
          <w:color w:val="007BC3" w:themeColor="accent2"/>
          <w:sz w:val="28"/>
          <w:szCs w:val="28"/>
          <w:lang w:eastAsia="en-AU"/>
        </w:rPr>
        <w:t>Key risks to critical freight assets</w:t>
      </w:r>
    </w:p>
    <w:tbl>
      <w:tblPr>
        <w:tblStyle w:val="DHATable2"/>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163"/>
        <w:gridCol w:w="4117"/>
        <w:gridCol w:w="4358"/>
      </w:tblGrid>
      <w:tr w:rsidR="00957658" w:rsidRPr="00957658" w14:paraId="381D628E" w14:textId="77777777" w:rsidTr="00C650A1">
        <w:trPr>
          <w:tblHeader/>
        </w:trPr>
        <w:tc>
          <w:tcPr>
            <w:tcW w:w="603" w:type="pct"/>
            <w:shd w:val="clear" w:color="auto" w:fill="034EA2" w:themeFill="accent1"/>
          </w:tcPr>
          <w:p w14:paraId="40779FEE" w14:textId="77777777" w:rsidR="00957658" w:rsidRPr="00957658" w:rsidRDefault="00957658" w:rsidP="00957658">
            <w:pPr>
              <w:keepNext/>
              <w:rPr>
                <w:b/>
                <w:color w:val="FFFFFF" w:themeColor="background1"/>
              </w:rPr>
            </w:pPr>
            <w:r w:rsidRPr="00957658">
              <w:rPr>
                <w:b/>
                <w:color w:val="FFFFFF" w:themeColor="background1"/>
              </w:rPr>
              <w:t>Hazard domain</w:t>
            </w:r>
          </w:p>
        </w:tc>
        <w:tc>
          <w:tcPr>
            <w:tcW w:w="2136" w:type="pct"/>
            <w:shd w:val="clear" w:color="auto" w:fill="034EA2" w:themeFill="accent1"/>
          </w:tcPr>
          <w:p w14:paraId="483F34A5" w14:textId="77777777" w:rsidR="00957658" w:rsidRPr="00957658" w:rsidRDefault="00957658" w:rsidP="00957658">
            <w:pPr>
              <w:keepNext/>
              <w:rPr>
                <w:b/>
                <w:color w:val="FFFFFF" w:themeColor="background1"/>
              </w:rPr>
            </w:pPr>
            <w:r w:rsidRPr="00957658">
              <w:rPr>
                <w:b/>
                <w:color w:val="FFFFFF" w:themeColor="background1"/>
              </w:rPr>
              <w:t>Identified risk</w:t>
            </w:r>
          </w:p>
        </w:tc>
        <w:tc>
          <w:tcPr>
            <w:tcW w:w="2262" w:type="pct"/>
            <w:shd w:val="clear" w:color="auto" w:fill="034EA2" w:themeFill="accent1"/>
          </w:tcPr>
          <w:p w14:paraId="3BD366D9" w14:textId="77777777" w:rsidR="00957658" w:rsidRPr="00957658" w:rsidRDefault="00957658" w:rsidP="00957658">
            <w:pPr>
              <w:keepNext/>
              <w:rPr>
                <w:b/>
                <w:color w:val="FFFFFF" w:themeColor="background1"/>
              </w:rPr>
            </w:pPr>
            <w:r w:rsidRPr="00957658">
              <w:rPr>
                <w:b/>
                <w:color w:val="FFFFFF" w:themeColor="background1"/>
              </w:rPr>
              <w:t>Example</w:t>
            </w:r>
          </w:p>
        </w:tc>
      </w:tr>
      <w:tr w:rsidR="00957658" w:rsidRPr="00957658" w14:paraId="53C1A84E" w14:textId="77777777" w:rsidTr="00C650A1">
        <w:trPr>
          <w:trHeight w:val="450"/>
        </w:trPr>
        <w:tc>
          <w:tcPr>
            <w:tcW w:w="603" w:type="pct"/>
            <w:vMerge w:val="restart"/>
            <w:shd w:val="clear" w:color="auto" w:fill="F2F2F2" w:themeFill="background1" w:themeFillShade="F2"/>
          </w:tcPr>
          <w:p w14:paraId="5A5AC59D" w14:textId="77777777" w:rsidR="00957658" w:rsidRPr="00957658" w:rsidRDefault="00957658" w:rsidP="00957658">
            <w:pPr>
              <w:spacing w:before="60" w:after="60"/>
              <w:rPr>
                <w:rFonts w:eastAsia="MS Mincho" w:cs="Times New Roman"/>
                <w:color w:val="FF9933"/>
                <w:lang w:val="en-US"/>
              </w:rPr>
            </w:pPr>
            <w:r w:rsidRPr="00957658">
              <w:rPr>
                <w:rFonts w:eastAsia="MS Mincho" w:cs="Times New Roman"/>
                <w:lang w:val="en-US"/>
              </w:rPr>
              <w:t>Physical &amp; Natural Hazard</w:t>
            </w:r>
          </w:p>
        </w:tc>
        <w:tc>
          <w:tcPr>
            <w:tcW w:w="2136" w:type="pct"/>
            <w:shd w:val="clear" w:color="auto" w:fill="auto"/>
          </w:tcPr>
          <w:p w14:paraId="675C04AE" w14:textId="77777777" w:rsidR="00957658" w:rsidRPr="00957658" w:rsidRDefault="00957658" w:rsidP="00957658">
            <w:pPr>
              <w:spacing w:before="60" w:after="60"/>
              <w:rPr>
                <w:rFonts w:eastAsia="MS Mincho" w:cs="Times New Roman"/>
                <w:color w:val="FF9933"/>
                <w:lang w:val="en-US"/>
              </w:rPr>
            </w:pPr>
            <w:r w:rsidRPr="00957658">
              <w:rPr>
                <w:rFonts w:eastAsia="MS Mincho" w:cs="Times New Roman"/>
                <w:lang w:val="en-US"/>
              </w:rPr>
              <w:t xml:space="preserve">An increase in extreme weather events across Australia and the world, including heatwaves, bushfires and flooding, can undermine the physical security of critical freight infrastructure assets and impair operations of critical freight services by placing such assets under strain. Drought and subsequent flooding events also have the ability to create significant flow on effects that may directly or indirectly affect other critical infrastructure assets. </w:t>
            </w:r>
          </w:p>
        </w:tc>
        <w:tc>
          <w:tcPr>
            <w:tcW w:w="2262" w:type="pct"/>
            <w:shd w:val="clear" w:color="auto" w:fill="auto"/>
          </w:tcPr>
          <w:p w14:paraId="502C6F96" w14:textId="77777777" w:rsidR="00957658" w:rsidRPr="00957658" w:rsidRDefault="00957658" w:rsidP="00957658">
            <w:pPr>
              <w:spacing w:before="60" w:after="60"/>
              <w:rPr>
                <w:rFonts w:eastAsia="MS Mincho" w:cs="Times New Roman"/>
                <w:color w:val="FF9933"/>
                <w:lang w:val="en-US"/>
              </w:rPr>
            </w:pPr>
            <w:r w:rsidRPr="00957658">
              <w:rPr>
                <w:rFonts w:eastAsia="MS Mincho" w:cs="Times New Roman"/>
                <w:lang w:val="en-US"/>
              </w:rPr>
              <w:t>Due to heavy rain and flooding occurring across Queensland in Spring 2021, after 180mm of rain fell in 24 hours, over 400 roads were closed. Dams and rivers threatened to burst their banks, affecting major roadways in regions across the states south-east, including Ipswich, Brisbane, Gold Coast, Logan, Scenic Rim, Moreton Bay, Sunshine Coast, Toowoomba and the Darling Downs.</w:t>
            </w:r>
            <w:r w:rsidRPr="00957658">
              <w:rPr>
                <w:rFonts w:ascii="Arial" w:eastAsia="Calibri" w:hAnsi="Arial" w:cs="Arial"/>
                <w:vertAlign w:val="superscript"/>
                <w:lang w:val="en-US"/>
              </w:rPr>
              <w:footnoteReference w:id="276"/>
            </w:r>
            <w:r w:rsidRPr="00957658">
              <w:rPr>
                <w:rFonts w:eastAsia="MS Mincho" w:cs="Times New Roman"/>
                <w:lang w:val="en-US"/>
              </w:rPr>
              <w:t xml:space="preserve"> The severe 2019 bushfire season also highlighted the vulnerability of critical freight assets to natural disaster, seeing over 100 major roads closed across Victoria, New South Wales and South Australia due to fire conditions.</w:t>
            </w:r>
            <w:r w:rsidRPr="00957658">
              <w:rPr>
                <w:rFonts w:ascii="Arial" w:eastAsia="Calibri" w:hAnsi="Arial" w:cs="Arial"/>
                <w:vertAlign w:val="superscript"/>
                <w:lang w:val="en-US"/>
              </w:rPr>
              <w:footnoteReference w:id="277"/>
            </w:r>
          </w:p>
        </w:tc>
      </w:tr>
      <w:tr w:rsidR="00957658" w:rsidRPr="00957658" w14:paraId="4F0C0DE4" w14:textId="77777777" w:rsidTr="00C650A1">
        <w:trPr>
          <w:trHeight w:val="450"/>
        </w:trPr>
        <w:tc>
          <w:tcPr>
            <w:tcW w:w="603" w:type="pct"/>
            <w:vMerge/>
            <w:shd w:val="clear" w:color="auto" w:fill="F2F2F2" w:themeFill="background1" w:themeFillShade="F2"/>
          </w:tcPr>
          <w:p w14:paraId="476297DF" w14:textId="77777777" w:rsidR="00957658" w:rsidRPr="00957658" w:rsidRDefault="00957658" w:rsidP="00957658">
            <w:pPr>
              <w:spacing w:before="60" w:after="60"/>
              <w:rPr>
                <w:rFonts w:eastAsia="MS Mincho" w:cs="Times New Roman"/>
                <w:lang w:val="en-US"/>
              </w:rPr>
            </w:pPr>
          </w:p>
        </w:tc>
        <w:tc>
          <w:tcPr>
            <w:tcW w:w="2136" w:type="pct"/>
            <w:shd w:val="clear" w:color="auto" w:fill="auto"/>
          </w:tcPr>
          <w:p w14:paraId="2C691031" w14:textId="77777777" w:rsidR="00957658" w:rsidRPr="00957658" w:rsidRDefault="00957658" w:rsidP="00957658">
            <w:pPr>
              <w:spacing w:before="60" w:after="60"/>
              <w:rPr>
                <w:rFonts w:eastAsia="MS Mincho" w:cs="Times New Roman"/>
                <w:lang w:val="en-US"/>
              </w:rPr>
            </w:pPr>
            <w:r w:rsidRPr="00957658">
              <w:rPr>
                <w:rFonts w:eastAsia="MS Mincho" w:cs="Times New Roman"/>
                <w:lang w:val="en-US"/>
              </w:rPr>
              <w:t>There is also a risk of sabotage by malicious actors to critical infrastructure’s physical facilities. This could be used to disrupt the functioning of critical infrastructure and the systems which rely upon its function during times of heightened tension or conflict in the case of state-based actors. Alternatively, critical freight infrastructure and services may be subject to disruption or damage to physical assets due to non-malicious personnel faults.</w:t>
            </w:r>
          </w:p>
        </w:tc>
        <w:tc>
          <w:tcPr>
            <w:tcW w:w="2262" w:type="pct"/>
            <w:shd w:val="clear" w:color="auto" w:fill="auto"/>
          </w:tcPr>
          <w:p w14:paraId="559EFAE5" w14:textId="77777777" w:rsidR="00957658" w:rsidRPr="00957658" w:rsidRDefault="00957658" w:rsidP="00957658">
            <w:pPr>
              <w:spacing w:before="60" w:after="60"/>
              <w:rPr>
                <w:rFonts w:eastAsia="MS Mincho" w:cs="Times New Roman"/>
                <w:color w:val="FF9933"/>
                <w:lang w:val="en-US"/>
              </w:rPr>
            </w:pPr>
            <w:r w:rsidRPr="00957658">
              <w:rPr>
                <w:rFonts w:eastAsia="MS Mincho" w:cs="Times New Roman"/>
                <w:lang w:val="en-US"/>
              </w:rPr>
              <w:t xml:space="preserve">BHP was forced to derail a runaway iron ore train that was fully laden, after the train had travelled for over 50 minutes without a driver. The forced stop destroyed over 1.5km of railway tracks. The 268-wagon train was carrying 30,000 tonnes of iron ore at the time of the incident, with all but 24 wagons damaged. The train was initially stopped after a braking system control cable became disconnected, leading the driver of the train to exit the train to carry out an inspection. The driver of the train failed to engage the emergency brake as required by the relevant operating procedures, which led to the backup </w:t>
            </w:r>
            <w:r w:rsidRPr="00957658">
              <w:rPr>
                <w:rFonts w:eastAsia="MS Mincho" w:cs="Times New Roman"/>
                <w:lang w:val="en-US"/>
              </w:rPr>
              <w:lastRenderedPageBreak/>
              <w:t>braking system failing to operate and was automatically released after an hour while the driver was still outside the train.</w:t>
            </w:r>
            <w:r w:rsidRPr="00957658">
              <w:rPr>
                <w:rFonts w:ascii="Arial" w:eastAsia="MS Mincho" w:hAnsi="Arial" w:cs="Arial"/>
                <w:vertAlign w:val="superscript"/>
                <w:lang w:val="en-US"/>
              </w:rPr>
              <w:footnoteReference w:id="278"/>
            </w:r>
            <w:r w:rsidRPr="00957658">
              <w:rPr>
                <w:rFonts w:eastAsia="MS Mincho" w:cs="Times New Roman"/>
                <w:vertAlign w:val="superscript"/>
                <w:lang w:val="en-US"/>
              </w:rPr>
              <w:t>,</w:t>
            </w:r>
            <w:r w:rsidRPr="00957658">
              <w:rPr>
                <w:rFonts w:ascii="Arial" w:eastAsia="MS Mincho" w:hAnsi="Arial" w:cs="Arial"/>
                <w:vertAlign w:val="superscript"/>
                <w:lang w:val="en-US"/>
              </w:rPr>
              <w:footnoteReference w:id="279"/>
            </w:r>
          </w:p>
        </w:tc>
      </w:tr>
      <w:tr w:rsidR="00957658" w:rsidRPr="00957658" w14:paraId="34496441" w14:textId="77777777" w:rsidTr="00C650A1">
        <w:tc>
          <w:tcPr>
            <w:tcW w:w="603" w:type="pct"/>
            <w:shd w:val="clear" w:color="auto" w:fill="F2F2F2" w:themeFill="background1" w:themeFillShade="F2"/>
          </w:tcPr>
          <w:p w14:paraId="1C7DB07B" w14:textId="77777777" w:rsidR="00957658" w:rsidRPr="00957658" w:rsidRDefault="00957658" w:rsidP="00957658">
            <w:pPr>
              <w:spacing w:before="60" w:after="60"/>
              <w:rPr>
                <w:rFonts w:ascii="Calibri" w:eastAsia="MS Mincho" w:hAnsi="Calibri" w:cs="Times New Roman"/>
                <w:lang w:val="en-US"/>
              </w:rPr>
            </w:pPr>
            <w:r w:rsidRPr="00957658">
              <w:rPr>
                <w:rFonts w:eastAsia="MS Mincho" w:cs="Times New Roman"/>
                <w:lang w:val="en-US"/>
              </w:rPr>
              <w:lastRenderedPageBreak/>
              <w:t>Cyber</w:t>
            </w:r>
          </w:p>
        </w:tc>
        <w:tc>
          <w:tcPr>
            <w:tcW w:w="2136" w:type="pct"/>
            <w:shd w:val="clear" w:color="auto" w:fill="auto"/>
          </w:tcPr>
          <w:p w14:paraId="1CE8318F" w14:textId="77777777" w:rsidR="00957658" w:rsidRPr="00957658" w:rsidRDefault="00957658" w:rsidP="00957658">
            <w:pPr>
              <w:spacing w:before="60" w:after="60"/>
              <w:rPr>
                <w:rFonts w:eastAsia="MS Mincho" w:cs="Times New Roman"/>
                <w:lang w:val="en-US"/>
              </w:rPr>
            </w:pPr>
            <w:r w:rsidRPr="00957658">
              <w:rPr>
                <w:rFonts w:eastAsia="MS Mincho" w:cs="Times New Roman"/>
                <w:lang w:val="en-US"/>
              </w:rPr>
              <w:t>Information Technology (IT) and Operational Technology (OT) systems are becoming integrated more frequently. IT refers to software applications with capabilities in process management, resource allocation and decision-making, while OT allows for the operational control of assets within the network, in real time. The integration of OT and IT is desirable as the applications are able to work in tandem to optimise a holistic operational approach. However, as this convergence occurs, it provides more opportunity to malicious actors, including but not limited to exploiting backdoor vulnerabilities or increased risk of personnel exposing a system to malware, phishing, or other cyber attacks.</w:t>
            </w:r>
          </w:p>
        </w:tc>
        <w:tc>
          <w:tcPr>
            <w:tcW w:w="2262" w:type="pct"/>
            <w:shd w:val="clear" w:color="auto" w:fill="auto"/>
          </w:tcPr>
          <w:p w14:paraId="12C1EA62" w14:textId="77777777" w:rsidR="00957658" w:rsidRPr="00957658" w:rsidRDefault="00957658" w:rsidP="00957658">
            <w:pPr>
              <w:spacing w:before="60" w:after="60"/>
              <w:rPr>
                <w:rFonts w:eastAsia="MS Mincho" w:cs="Times New Roman"/>
                <w:color w:val="FF9933"/>
                <w:lang w:val="en-US"/>
              </w:rPr>
            </w:pPr>
            <w:r w:rsidRPr="00957658">
              <w:rPr>
                <w:rFonts w:eastAsia="MS Mincho" w:cs="Times New Roman"/>
                <w:lang w:val="en-US"/>
              </w:rPr>
              <w:t>Global shipping companies Maerk and FedEx subsidiary TNT fell victim to NotPeyta malware and ransomware attacks that targeted hundreds of companies in 2017. The companies both experienced failures across their information and operational technology systems, with the attack resulting in fatal errors to a significant proportion of both companies’ technology systems. There was a direct blow to operational volume and lost earnings by both companies.</w:t>
            </w:r>
            <w:r w:rsidRPr="00957658">
              <w:rPr>
                <w:rFonts w:ascii="Arial" w:eastAsia="MS Mincho" w:hAnsi="Arial" w:cs="Arial"/>
                <w:vertAlign w:val="superscript"/>
                <w:lang w:val="en-US"/>
              </w:rPr>
              <w:t xml:space="preserve"> </w:t>
            </w:r>
            <w:r w:rsidRPr="00957658">
              <w:rPr>
                <w:rFonts w:ascii="Arial" w:eastAsia="MS Mincho" w:hAnsi="Arial" w:cs="Arial"/>
                <w:vertAlign w:val="superscript"/>
                <w:lang w:val="en-US"/>
              </w:rPr>
              <w:footnoteReference w:id="280"/>
            </w:r>
            <w:r w:rsidRPr="00957658">
              <w:rPr>
                <w:rFonts w:eastAsia="MS Mincho" w:cs="Times New Roman"/>
                <w:vertAlign w:val="superscript"/>
                <w:lang w:val="en-US"/>
              </w:rPr>
              <w:t>,</w:t>
            </w:r>
            <w:r w:rsidRPr="00957658">
              <w:rPr>
                <w:rFonts w:ascii="Arial" w:eastAsia="MS Mincho" w:hAnsi="Arial" w:cs="Arial"/>
                <w:vertAlign w:val="superscript"/>
                <w:lang w:val="en-US"/>
              </w:rPr>
              <w:footnoteReference w:id="281"/>
            </w:r>
            <w:r w:rsidRPr="00957658">
              <w:rPr>
                <w:rFonts w:eastAsia="MS Mincho" w:cs="Times New Roman"/>
                <w:vertAlign w:val="superscript"/>
                <w:lang w:val="en-US"/>
              </w:rPr>
              <w:t>,</w:t>
            </w:r>
            <w:r w:rsidRPr="00957658">
              <w:rPr>
                <w:rFonts w:ascii="Arial" w:eastAsia="MS Mincho" w:hAnsi="Arial" w:cs="Arial"/>
                <w:vertAlign w:val="superscript"/>
                <w:lang w:val="en-US"/>
              </w:rPr>
              <w:footnoteReference w:id="282"/>
            </w:r>
          </w:p>
        </w:tc>
      </w:tr>
      <w:tr w:rsidR="00957658" w:rsidRPr="00957658" w14:paraId="1B875EB6" w14:textId="77777777" w:rsidTr="00C650A1">
        <w:trPr>
          <w:trHeight w:val="522"/>
        </w:trPr>
        <w:tc>
          <w:tcPr>
            <w:tcW w:w="603" w:type="pct"/>
            <w:shd w:val="clear" w:color="auto" w:fill="F2F2F2" w:themeFill="background1" w:themeFillShade="F2"/>
          </w:tcPr>
          <w:p w14:paraId="7E97E35B" w14:textId="77777777" w:rsidR="00957658" w:rsidRPr="00957658" w:rsidRDefault="00957658" w:rsidP="00957658">
            <w:pPr>
              <w:spacing w:before="60" w:after="60"/>
              <w:rPr>
                <w:rFonts w:ascii="Calibri" w:eastAsia="MS Mincho" w:hAnsi="Calibri" w:cs="Times New Roman"/>
                <w:lang w:val="en-US"/>
              </w:rPr>
            </w:pPr>
            <w:r w:rsidRPr="00957658">
              <w:rPr>
                <w:rFonts w:eastAsia="MS Mincho" w:cs="Times New Roman"/>
                <w:lang w:val="en-US"/>
              </w:rPr>
              <w:t>Supply Chain</w:t>
            </w:r>
          </w:p>
        </w:tc>
        <w:tc>
          <w:tcPr>
            <w:tcW w:w="2136" w:type="pct"/>
            <w:shd w:val="clear" w:color="auto" w:fill="auto"/>
          </w:tcPr>
          <w:p w14:paraId="23FA20C8" w14:textId="77777777" w:rsidR="00957658" w:rsidRPr="00957658" w:rsidRDefault="00957658" w:rsidP="00957658">
            <w:pPr>
              <w:spacing w:before="60" w:after="60"/>
              <w:rPr>
                <w:rFonts w:eastAsia="MS Mincho" w:cs="Times New Roman"/>
                <w:color w:val="FF9933"/>
                <w:lang w:val="en-US"/>
              </w:rPr>
            </w:pPr>
            <w:r w:rsidRPr="00957658">
              <w:rPr>
                <w:rFonts w:eastAsia="MS Mincho" w:cs="Times New Roman"/>
                <w:lang w:val="en-US"/>
              </w:rPr>
              <w:t>Disruption to or overwhelming of supply chains pertinent to critical freight infrastructure and services assets may have detrimental consequences. This may include causing physical failure of freight infrastructure or overburdening freight services to the point of mass failure of systems and services.</w:t>
            </w:r>
          </w:p>
        </w:tc>
        <w:tc>
          <w:tcPr>
            <w:tcW w:w="2262" w:type="pct"/>
            <w:shd w:val="clear" w:color="auto" w:fill="auto"/>
          </w:tcPr>
          <w:p w14:paraId="4DC862E9" w14:textId="77777777" w:rsidR="00957658" w:rsidRPr="00957658" w:rsidRDefault="00957658" w:rsidP="00957658">
            <w:pPr>
              <w:spacing w:before="60" w:after="60"/>
              <w:rPr>
                <w:rFonts w:eastAsia="MS Mincho" w:cs="Times New Roman"/>
                <w:lang w:val="en-US"/>
              </w:rPr>
            </w:pPr>
            <w:r w:rsidRPr="00957658">
              <w:rPr>
                <w:rFonts w:eastAsia="MS Mincho" w:cs="Times New Roman"/>
                <w:lang w:val="en-US"/>
              </w:rPr>
              <w:t>Shipping and freight costs in Australia have increased because of the influx of demand on the global supply chain due to COVID-19, leading to the import and export exceeding capacity of ports across the country. Due to the restrictions on travel, trade has seen enormous pressure to cope with increasing demand on decreasing availability of freight options. Australia imports substantially more than they export, leading to a build-up of empty shipping containers that are both exacerbated the acute worldwide shortage of shipping containers. This has resulted in increased costs and a blowout in delays.</w:t>
            </w:r>
            <w:r w:rsidRPr="00957658">
              <w:rPr>
                <w:rFonts w:ascii="Arial" w:eastAsia="MS Mincho" w:hAnsi="Arial" w:cs="Arial"/>
                <w:vertAlign w:val="superscript"/>
                <w:lang w:val="en-US"/>
              </w:rPr>
              <w:footnoteReference w:id="283"/>
            </w:r>
            <w:r w:rsidRPr="00957658">
              <w:rPr>
                <w:rFonts w:eastAsia="MS Mincho" w:cs="Times New Roman"/>
                <w:vertAlign w:val="superscript"/>
                <w:lang w:val="en-US"/>
              </w:rPr>
              <w:t>,</w:t>
            </w:r>
            <w:r w:rsidRPr="00957658">
              <w:rPr>
                <w:rFonts w:ascii="Arial" w:eastAsia="MS Mincho" w:hAnsi="Arial" w:cs="Arial"/>
                <w:vertAlign w:val="superscript"/>
                <w:lang w:val="en-US"/>
              </w:rPr>
              <w:footnoteReference w:id="284"/>
            </w:r>
            <w:r w:rsidRPr="00957658">
              <w:rPr>
                <w:rFonts w:eastAsia="MS Mincho" w:cs="Times New Roman"/>
                <w:vertAlign w:val="superscript"/>
                <w:lang w:val="en-US"/>
              </w:rPr>
              <w:t>,</w:t>
            </w:r>
            <w:r w:rsidRPr="00957658">
              <w:rPr>
                <w:rFonts w:ascii="Arial" w:eastAsia="MS Mincho" w:hAnsi="Arial" w:cs="Arial"/>
                <w:vertAlign w:val="superscript"/>
                <w:lang w:val="en-US"/>
              </w:rPr>
              <w:footnoteReference w:id="285"/>
            </w:r>
            <w:r w:rsidRPr="00957658">
              <w:rPr>
                <w:rFonts w:eastAsia="MS Mincho" w:cs="Times New Roman"/>
                <w:vertAlign w:val="superscript"/>
                <w:lang w:val="en-US"/>
              </w:rPr>
              <w:t>,</w:t>
            </w:r>
            <w:r w:rsidRPr="00957658">
              <w:rPr>
                <w:rFonts w:ascii="Arial" w:eastAsia="MS Mincho" w:hAnsi="Arial" w:cs="Arial"/>
                <w:vertAlign w:val="superscript"/>
                <w:lang w:val="en-US"/>
              </w:rPr>
              <w:footnoteReference w:id="286"/>
            </w:r>
          </w:p>
        </w:tc>
      </w:tr>
      <w:tr w:rsidR="00957658" w:rsidRPr="00957658" w14:paraId="523EDC0A" w14:textId="77777777" w:rsidTr="00C650A1">
        <w:tc>
          <w:tcPr>
            <w:tcW w:w="603" w:type="pct"/>
            <w:shd w:val="clear" w:color="auto" w:fill="F2F2F2" w:themeFill="background1" w:themeFillShade="F2"/>
          </w:tcPr>
          <w:p w14:paraId="33492C55" w14:textId="77777777" w:rsidR="00957658" w:rsidRPr="00957658" w:rsidRDefault="00957658" w:rsidP="00957658">
            <w:pPr>
              <w:spacing w:before="60" w:after="60"/>
              <w:rPr>
                <w:rFonts w:ascii="Calibri" w:eastAsia="MS Mincho" w:hAnsi="Calibri" w:cs="Times New Roman"/>
                <w:lang w:val="en-US"/>
              </w:rPr>
            </w:pPr>
            <w:r w:rsidRPr="00957658">
              <w:rPr>
                <w:rFonts w:eastAsia="MS Mincho" w:cs="Times New Roman"/>
                <w:lang w:val="en-US"/>
              </w:rPr>
              <w:t>Personnel</w:t>
            </w:r>
          </w:p>
        </w:tc>
        <w:tc>
          <w:tcPr>
            <w:tcW w:w="2136" w:type="pct"/>
            <w:shd w:val="clear" w:color="auto" w:fill="auto"/>
          </w:tcPr>
          <w:p w14:paraId="193685E8" w14:textId="77777777" w:rsidR="00957658" w:rsidRPr="00957658" w:rsidRDefault="00957658" w:rsidP="00957658">
            <w:pPr>
              <w:spacing w:before="60" w:after="60"/>
              <w:rPr>
                <w:rFonts w:eastAsia="MS Mincho" w:cs="Times New Roman"/>
                <w:color w:val="FF9933"/>
                <w:lang w:val="en-US"/>
              </w:rPr>
            </w:pPr>
            <w:r w:rsidRPr="00957658">
              <w:rPr>
                <w:rFonts w:eastAsia="MS Mincho" w:cs="Times New Roman"/>
                <w:lang w:val="en-US"/>
              </w:rPr>
              <w:t xml:space="preserve">Where personnel are immobilised for reasons that cannot be controlled, critical freight operations may be severely delayed or halted. Additionally, personnel with access to systems, data or premises may pose insider threat risks including fraud, theft, espionage, infrastructure sabotage and misuse of sensitive data. Alternatively, personnel may be responsible for major </w:t>
            </w:r>
            <w:r w:rsidRPr="00957658">
              <w:rPr>
                <w:rFonts w:eastAsia="MS Mincho" w:cs="Times New Roman"/>
                <w:lang w:val="en-US"/>
              </w:rPr>
              <w:lastRenderedPageBreak/>
              <w:t>disruption to critical freight infrastructure and services due to other reasons such as strikes.</w:t>
            </w:r>
          </w:p>
        </w:tc>
        <w:tc>
          <w:tcPr>
            <w:tcW w:w="2262" w:type="pct"/>
            <w:shd w:val="clear" w:color="auto" w:fill="auto"/>
          </w:tcPr>
          <w:p w14:paraId="5BBBE4A1" w14:textId="77777777" w:rsidR="00957658" w:rsidRPr="00957658" w:rsidRDefault="00957658" w:rsidP="00957658">
            <w:pPr>
              <w:spacing w:before="60" w:after="60"/>
              <w:rPr>
                <w:rFonts w:eastAsia="MS Mincho" w:cs="Times New Roman"/>
                <w:color w:val="FF9933"/>
                <w:lang w:val="en-US"/>
              </w:rPr>
            </w:pPr>
            <w:r w:rsidRPr="00957658">
              <w:rPr>
                <w:rFonts w:eastAsia="MS Mincho" w:cs="Times New Roman"/>
                <w:lang w:val="en-US"/>
              </w:rPr>
              <w:lastRenderedPageBreak/>
              <w:t xml:space="preserve">The COVID-19 pandemic saw personnel and critical freight services subject to extended periods of quarantine and shutdown, often leading to understaffing and significantly increased pressure and workload. Additionally, workers faced poor working conditions partially as a result of enduring two cyber-attacks on Toll companies combined with high volume intense periods over Christmas and frequent </w:t>
            </w:r>
            <w:r w:rsidRPr="00957658">
              <w:rPr>
                <w:rFonts w:eastAsia="MS Mincho" w:cs="Times New Roman"/>
                <w:lang w:val="en-US"/>
              </w:rPr>
              <w:lastRenderedPageBreak/>
              <w:t>late payments (due to company restructuring to cope during the pandemic). The combined conditions caused to plan and participate in strikes several times, with some 7,000 striking workers affecting as they protested working conditions</w:t>
            </w:r>
            <w:r w:rsidRPr="00957658">
              <w:rPr>
                <w:rFonts w:ascii="Arial" w:eastAsia="MS Mincho" w:hAnsi="Arial" w:cs="Arial"/>
                <w:vertAlign w:val="superscript"/>
                <w:lang w:val="en-US"/>
              </w:rPr>
              <w:footnoteReference w:id="287"/>
            </w:r>
            <w:r w:rsidRPr="00957658">
              <w:rPr>
                <w:rFonts w:eastAsia="MS Mincho" w:cs="Times New Roman"/>
                <w:vertAlign w:val="superscript"/>
                <w:lang w:val="en-US"/>
              </w:rPr>
              <w:t>,</w:t>
            </w:r>
            <w:r w:rsidRPr="00957658">
              <w:rPr>
                <w:rFonts w:ascii="Arial" w:eastAsia="MS Mincho" w:hAnsi="Arial" w:cs="Arial"/>
                <w:vertAlign w:val="superscript"/>
                <w:lang w:val="en-US"/>
              </w:rPr>
              <w:footnoteReference w:id="288"/>
            </w:r>
          </w:p>
        </w:tc>
      </w:tr>
    </w:tbl>
    <w:p w14:paraId="508C4685" w14:textId="77777777" w:rsidR="00957658" w:rsidRPr="00957658" w:rsidRDefault="00957658" w:rsidP="00957658">
      <w:pPr>
        <w:rPr>
          <w:rFonts w:cstheme="majorHAnsi"/>
          <w:sz w:val="22"/>
          <w:szCs w:val="28"/>
        </w:rPr>
      </w:pPr>
    </w:p>
    <w:p w14:paraId="47128964" w14:textId="77777777" w:rsidR="00F76736" w:rsidRDefault="00F76736" w:rsidP="00F76736">
      <w:pPr>
        <w:pStyle w:val="AppendixH2"/>
      </w:pPr>
      <w:r w:rsidRPr="000F6098">
        <w:t xml:space="preserve">Existing legislation related to </w:t>
      </w:r>
      <w:r>
        <w:t xml:space="preserve">critical freight assets </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567"/>
        <w:gridCol w:w="1985"/>
        <w:gridCol w:w="4112"/>
        <w:gridCol w:w="2974"/>
      </w:tblGrid>
      <w:tr w:rsidR="00F76736" w:rsidRPr="004A65E4" w14:paraId="4D5AC707" w14:textId="77777777" w:rsidTr="00C650A1">
        <w:trPr>
          <w:cantSplit/>
          <w:tblHeader/>
        </w:trPr>
        <w:tc>
          <w:tcPr>
            <w:tcW w:w="3457" w:type="pct"/>
            <w:gridSpan w:val="3"/>
            <w:shd w:val="clear" w:color="auto" w:fill="034EA2" w:themeFill="accent1"/>
          </w:tcPr>
          <w:p w14:paraId="2D2D9DA4" w14:textId="77777777" w:rsidR="00F76736" w:rsidRPr="00E72760" w:rsidRDefault="00F76736" w:rsidP="00C650A1">
            <w:pPr>
              <w:pStyle w:val="TableHeading"/>
            </w:pPr>
            <w:r>
              <w:t>Overview of regulation</w:t>
            </w:r>
          </w:p>
        </w:tc>
        <w:tc>
          <w:tcPr>
            <w:tcW w:w="1543" w:type="pct"/>
            <w:shd w:val="clear" w:color="auto" w:fill="034EA2" w:themeFill="accent1"/>
          </w:tcPr>
          <w:p w14:paraId="4A056E06" w14:textId="77777777" w:rsidR="00F76736" w:rsidRPr="00E72760" w:rsidRDefault="00F76736" w:rsidP="00C650A1">
            <w:pPr>
              <w:pStyle w:val="TableHeading"/>
            </w:pPr>
            <w:r>
              <w:t>Identified gaps</w:t>
            </w:r>
          </w:p>
        </w:tc>
      </w:tr>
      <w:tr w:rsidR="00F76736" w:rsidRPr="004A65E4" w14:paraId="47157765" w14:textId="77777777" w:rsidTr="00C650A1">
        <w:tc>
          <w:tcPr>
            <w:tcW w:w="294" w:type="pct"/>
            <w:vMerge w:val="restart"/>
            <w:shd w:val="clear" w:color="auto" w:fill="F2F2F2" w:themeFill="background1" w:themeFillShade="F2"/>
            <w:textDirection w:val="btLr"/>
          </w:tcPr>
          <w:p w14:paraId="2E923222" w14:textId="77777777" w:rsidR="00F76736" w:rsidRPr="00F8437F" w:rsidRDefault="00F76736" w:rsidP="00C650A1">
            <w:pPr>
              <w:pStyle w:val="TableBody"/>
              <w:jc w:val="center"/>
              <w:rPr>
                <w:rStyle w:val="superscript"/>
              </w:rPr>
            </w:pPr>
            <w:r w:rsidRPr="00F8437F">
              <w:rPr>
                <w:rStyle w:val="superscript"/>
              </w:rPr>
              <w:t>Maritime</w:t>
            </w:r>
          </w:p>
        </w:tc>
        <w:tc>
          <w:tcPr>
            <w:tcW w:w="1030" w:type="pct"/>
            <w:shd w:val="clear" w:color="auto" w:fill="auto"/>
          </w:tcPr>
          <w:p w14:paraId="399A0CFB"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Australian Maritime Safety Authority Act 1990 (Cth)</w:t>
            </w:r>
          </w:p>
        </w:tc>
        <w:tc>
          <w:tcPr>
            <w:tcW w:w="2133" w:type="pct"/>
            <w:shd w:val="clear" w:color="auto" w:fill="auto"/>
          </w:tcPr>
          <w:p w14:paraId="65F0CFB9"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main objects of this Act are: (a) to promote maritime safety; and (b) to protect the marine environment; and (c) to promote the efficient provision of services by the Authority.</w:t>
            </w:r>
          </w:p>
        </w:tc>
        <w:tc>
          <w:tcPr>
            <w:tcW w:w="1543" w:type="pct"/>
            <w:shd w:val="clear" w:color="auto" w:fill="auto"/>
          </w:tcPr>
          <w:p w14:paraId="625DE48A" w14:textId="77777777" w:rsidR="00F76736" w:rsidRPr="00E72760" w:rsidRDefault="00F76736" w:rsidP="00C650A1">
            <w:pPr>
              <w:pStyle w:val="TableBody"/>
              <w:rPr>
                <w:rFonts w:asciiTheme="majorHAnsi" w:hAnsiTheme="majorHAnsi" w:cstheme="majorHAnsi"/>
                <w:color w:val="000000"/>
              </w:rPr>
            </w:pPr>
            <w:r w:rsidRPr="00E72760">
              <w:rPr>
                <w:rFonts w:asciiTheme="majorHAnsi" w:eastAsia="Times New Roman" w:hAnsiTheme="majorHAnsi" w:cstheme="majorHAnsi"/>
              </w:rPr>
              <w:t>While the Act may contribute to suitable risk management, explicitly environmental security and protection, it does not amount to an all-hazards approach to risk management, nor is the requirement for a safety management system imposed on a whole-of-sector basis.</w:t>
            </w:r>
          </w:p>
        </w:tc>
      </w:tr>
      <w:tr w:rsidR="00F76736" w:rsidRPr="004A65E4" w14:paraId="1A1E9E49" w14:textId="77777777" w:rsidTr="00C650A1">
        <w:tc>
          <w:tcPr>
            <w:tcW w:w="294" w:type="pct"/>
            <w:vMerge/>
            <w:shd w:val="clear" w:color="auto" w:fill="F2F2F2" w:themeFill="background1" w:themeFillShade="F2"/>
          </w:tcPr>
          <w:p w14:paraId="1D9241CC" w14:textId="77777777" w:rsidR="00F76736" w:rsidRPr="00F8437F" w:rsidRDefault="00F76736" w:rsidP="00C650A1">
            <w:pPr>
              <w:pStyle w:val="TableBody"/>
              <w:jc w:val="center"/>
              <w:rPr>
                <w:rStyle w:val="superscript"/>
              </w:rPr>
            </w:pPr>
          </w:p>
        </w:tc>
        <w:tc>
          <w:tcPr>
            <w:tcW w:w="1030" w:type="pct"/>
            <w:shd w:val="clear" w:color="auto" w:fill="auto"/>
          </w:tcPr>
          <w:p w14:paraId="0EF2FC5D"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Carriage of Goods by Sea Act 1991</w:t>
            </w:r>
          </w:p>
        </w:tc>
        <w:tc>
          <w:tcPr>
            <w:tcW w:w="2133" w:type="pct"/>
            <w:shd w:val="clear" w:color="auto" w:fill="auto"/>
          </w:tcPr>
          <w:p w14:paraId="1AC839AE"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object of this Act is to introduce a regime of marine cargo liability that: (a) is up</w:t>
            </w:r>
            <w:r w:rsidRPr="00E72760">
              <w:rPr>
                <w:rFonts w:asciiTheme="majorHAnsi" w:hAnsiTheme="majorHAnsi" w:cstheme="majorHAnsi"/>
              </w:rPr>
              <w:noBreakHyphen/>
              <w:t>to</w:t>
            </w:r>
            <w:r w:rsidRPr="00E72760">
              <w:rPr>
                <w:rFonts w:asciiTheme="majorHAnsi" w:hAnsiTheme="majorHAnsi" w:cstheme="majorHAnsi"/>
              </w:rPr>
              <w:noBreakHyphen/>
              <w:t>date, equitable and efficient; and (b) is compatible with arrangements existing in countries that are major trading partners of Australia; and (c) considers developments within the United Nations in relation to marine cargo liability arrangements.</w:t>
            </w:r>
          </w:p>
        </w:tc>
        <w:tc>
          <w:tcPr>
            <w:tcW w:w="1543" w:type="pct"/>
            <w:shd w:val="clear" w:color="auto" w:fill="auto"/>
          </w:tcPr>
          <w:p w14:paraId="0E597D0A" w14:textId="77777777" w:rsidR="00F76736" w:rsidRPr="00E72760" w:rsidRDefault="00F76736" w:rsidP="00C650A1">
            <w:pPr>
              <w:pStyle w:val="TableBody"/>
              <w:rPr>
                <w:rFonts w:asciiTheme="majorHAnsi" w:hAnsiTheme="majorHAnsi" w:cstheme="majorHAnsi"/>
                <w:color w:val="000000"/>
              </w:rPr>
            </w:pPr>
            <w:r w:rsidRPr="00E72760">
              <w:rPr>
                <w:rFonts w:asciiTheme="majorHAnsi" w:eastAsia="Times New Roman" w:hAnsiTheme="majorHAnsi" w:cstheme="majorHAnsi"/>
              </w:rPr>
              <w:t>While the Act may contribute to suitable risk management, including cargo regulations in line with international standards, it does not amount to an all-hazards approach to risk management, nor is the requirement for a safety management system imposed on a whole-of-sector basis.</w:t>
            </w:r>
          </w:p>
        </w:tc>
      </w:tr>
      <w:tr w:rsidR="00F76736" w:rsidRPr="004A65E4" w14:paraId="70F77F15" w14:textId="77777777" w:rsidTr="00C650A1">
        <w:tc>
          <w:tcPr>
            <w:tcW w:w="294" w:type="pct"/>
            <w:vMerge/>
            <w:shd w:val="clear" w:color="auto" w:fill="F2F2F2" w:themeFill="background1" w:themeFillShade="F2"/>
          </w:tcPr>
          <w:p w14:paraId="23AB0C18" w14:textId="77777777" w:rsidR="00F76736" w:rsidRPr="00F8437F" w:rsidRDefault="00F76736" w:rsidP="00C650A1">
            <w:pPr>
              <w:pStyle w:val="TableBody"/>
              <w:jc w:val="center"/>
              <w:rPr>
                <w:rStyle w:val="superscript"/>
              </w:rPr>
            </w:pPr>
          </w:p>
        </w:tc>
        <w:tc>
          <w:tcPr>
            <w:tcW w:w="1030" w:type="pct"/>
            <w:shd w:val="clear" w:color="auto" w:fill="auto"/>
          </w:tcPr>
          <w:p w14:paraId="73FBC9AF"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Marine Safety Act 2010 (Vic)</w:t>
            </w:r>
          </w:p>
        </w:tc>
        <w:tc>
          <w:tcPr>
            <w:tcW w:w="2133" w:type="pct"/>
            <w:shd w:val="clear" w:color="auto" w:fill="auto"/>
          </w:tcPr>
          <w:p w14:paraId="1D753E08"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purpose of this Act is to provide for safe marine operations in Victoria through safety rules and regulations pertaining to staff, operation of vessels, licensing, and physical security.</w:t>
            </w:r>
          </w:p>
        </w:tc>
        <w:tc>
          <w:tcPr>
            <w:tcW w:w="1543" w:type="pct"/>
            <w:shd w:val="clear" w:color="auto" w:fill="auto"/>
          </w:tcPr>
          <w:p w14:paraId="35D96B55" w14:textId="77777777" w:rsidR="00F76736" w:rsidRPr="00E72760" w:rsidRDefault="00F76736" w:rsidP="00C650A1">
            <w:pPr>
              <w:pStyle w:val="TableBody"/>
              <w:rPr>
                <w:rFonts w:asciiTheme="majorHAnsi" w:hAnsiTheme="majorHAnsi" w:cstheme="majorHAnsi"/>
                <w:color w:val="000000"/>
              </w:rPr>
            </w:pPr>
            <w:r w:rsidRPr="00E72760">
              <w:rPr>
                <w:rFonts w:asciiTheme="majorHAnsi" w:eastAsia="Times New Roman" w:hAnsiTheme="majorHAnsi" w:cstheme="majorHAnsi"/>
              </w:rPr>
              <w:t>While the Act may contribute to suitable risk management, it does not amount to an all-hazards approach to risk management, nor is the requirement for a safety management system imposed on a whole-of-sector basis.</w:t>
            </w:r>
          </w:p>
        </w:tc>
      </w:tr>
      <w:tr w:rsidR="00F76736" w:rsidRPr="004A65E4" w14:paraId="4537CB99" w14:textId="77777777" w:rsidTr="00C650A1">
        <w:tc>
          <w:tcPr>
            <w:tcW w:w="294" w:type="pct"/>
            <w:vMerge/>
            <w:shd w:val="clear" w:color="auto" w:fill="F2F2F2" w:themeFill="background1" w:themeFillShade="F2"/>
          </w:tcPr>
          <w:p w14:paraId="61D33559" w14:textId="77777777" w:rsidR="00F76736" w:rsidRPr="00F8437F" w:rsidRDefault="00F76736" w:rsidP="00C650A1">
            <w:pPr>
              <w:pStyle w:val="TableBody"/>
              <w:jc w:val="center"/>
              <w:rPr>
                <w:rStyle w:val="superscript"/>
              </w:rPr>
            </w:pPr>
          </w:p>
        </w:tc>
        <w:tc>
          <w:tcPr>
            <w:tcW w:w="1030" w:type="pct"/>
            <w:shd w:val="clear" w:color="auto" w:fill="auto"/>
          </w:tcPr>
          <w:p w14:paraId="7EB286BF"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 xml:space="preserve">Maritime Transport and Offshore Facilities Security Act 2003 (MTOFSA) &amp; Maritime Transport and Offshore Facilities Security </w:t>
            </w:r>
            <w:r w:rsidRPr="00E72760">
              <w:rPr>
                <w:rFonts w:asciiTheme="majorHAnsi" w:hAnsiTheme="majorHAnsi" w:cstheme="majorHAnsi"/>
                <w:i/>
              </w:rPr>
              <w:lastRenderedPageBreak/>
              <w:t>Regulations 2003 (Cth)</w:t>
            </w:r>
          </w:p>
        </w:tc>
        <w:tc>
          <w:tcPr>
            <w:tcW w:w="2133" w:type="pct"/>
            <w:shd w:val="clear" w:color="auto" w:fill="auto"/>
          </w:tcPr>
          <w:p w14:paraId="21E8516A"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lastRenderedPageBreak/>
              <w:t xml:space="preserve">The purpose of the Act and Regulations is to safeguard against unlawful interference with maritime transport or offshore facilities. To achieve this purpose, this Act establishes a regulatory framework centred around the development of security plans for ships, other maritime transport operations and offshore facilities. The implementation of a security plan should </w:t>
            </w:r>
            <w:r w:rsidRPr="00E72760">
              <w:rPr>
                <w:rFonts w:asciiTheme="majorHAnsi" w:hAnsiTheme="majorHAnsi" w:cstheme="majorHAnsi"/>
              </w:rPr>
              <w:lastRenderedPageBreak/>
              <w:t>make an appropriate contribution to the achievement of the maritime security outcomes.</w:t>
            </w:r>
          </w:p>
        </w:tc>
        <w:tc>
          <w:tcPr>
            <w:tcW w:w="1543" w:type="pct"/>
            <w:shd w:val="clear" w:color="auto" w:fill="auto"/>
          </w:tcPr>
          <w:p w14:paraId="68880514" w14:textId="77777777" w:rsidR="00F76736" w:rsidRPr="00E72760" w:rsidRDefault="00F76736" w:rsidP="00C650A1">
            <w:pPr>
              <w:pStyle w:val="TableBody"/>
              <w:rPr>
                <w:rFonts w:asciiTheme="majorHAnsi" w:hAnsiTheme="majorHAnsi" w:cstheme="majorHAnsi"/>
                <w:color w:val="000000"/>
              </w:rPr>
            </w:pPr>
            <w:r w:rsidRPr="00E72760">
              <w:rPr>
                <w:rFonts w:asciiTheme="majorHAnsi" w:eastAsia="Times New Roman" w:hAnsiTheme="majorHAnsi" w:cstheme="majorHAnsi"/>
              </w:rPr>
              <w:lastRenderedPageBreak/>
              <w:t xml:space="preserve">While the legislation and regulations may contribute to suitable risk management, it does not amount to an all-hazards approach to risk management, nor is the requirement for a safety management system imposed on a whole-of-sector basis and </w:t>
            </w:r>
            <w:r w:rsidRPr="00E72760">
              <w:rPr>
                <w:rFonts w:asciiTheme="majorHAnsi" w:eastAsia="Times New Roman" w:hAnsiTheme="majorHAnsi" w:cstheme="majorHAnsi"/>
              </w:rPr>
              <w:lastRenderedPageBreak/>
              <w:t>is limited to specific sections of the maritime industry.</w:t>
            </w:r>
          </w:p>
        </w:tc>
      </w:tr>
      <w:tr w:rsidR="00F76736" w:rsidRPr="004A65E4" w14:paraId="4E7230ED" w14:textId="77777777" w:rsidTr="00C650A1">
        <w:tc>
          <w:tcPr>
            <w:tcW w:w="294" w:type="pct"/>
            <w:vMerge/>
            <w:shd w:val="clear" w:color="auto" w:fill="F2F2F2" w:themeFill="background1" w:themeFillShade="F2"/>
          </w:tcPr>
          <w:p w14:paraId="088A85AD" w14:textId="77777777" w:rsidR="00F76736" w:rsidRPr="00F8437F" w:rsidRDefault="00F76736" w:rsidP="00C650A1">
            <w:pPr>
              <w:pStyle w:val="TableBody"/>
              <w:jc w:val="center"/>
              <w:rPr>
                <w:rStyle w:val="superscript"/>
              </w:rPr>
            </w:pPr>
          </w:p>
        </w:tc>
        <w:tc>
          <w:tcPr>
            <w:tcW w:w="1030" w:type="pct"/>
            <w:shd w:val="clear" w:color="auto" w:fill="auto"/>
          </w:tcPr>
          <w:p w14:paraId="4536F033"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 xml:space="preserve">Occupational Health and Safety (Maritime Industry) Act 1993 (Cth) </w:t>
            </w:r>
          </w:p>
          <w:p w14:paraId="67A9B0C3" w14:textId="77777777" w:rsidR="00F76736" w:rsidRPr="00F8437F" w:rsidRDefault="00F76736" w:rsidP="00C650A1">
            <w:pPr>
              <w:pStyle w:val="TableBody"/>
              <w:rPr>
                <w:rFonts w:asciiTheme="majorHAnsi" w:hAnsiTheme="majorHAnsi" w:cstheme="majorHAnsi"/>
                <w:i/>
              </w:rPr>
            </w:pPr>
            <w:r w:rsidRPr="00E72760">
              <w:rPr>
                <w:rFonts w:asciiTheme="majorHAnsi" w:hAnsiTheme="majorHAnsi" w:cstheme="majorHAnsi"/>
                <w:i/>
              </w:rPr>
              <w:t>Occupational Health and Safety (Maritime Industry) (National Standards) Regulations 2003 (Cth)</w:t>
            </w:r>
          </w:p>
          <w:p w14:paraId="73EF19AE" w14:textId="77777777" w:rsidR="00F76736" w:rsidRPr="00F8437F" w:rsidRDefault="00F76736" w:rsidP="00C650A1">
            <w:pPr>
              <w:pStyle w:val="TableBody"/>
              <w:rPr>
                <w:rFonts w:asciiTheme="majorHAnsi" w:eastAsiaTheme="minorHAnsi" w:hAnsiTheme="majorHAnsi" w:cstheme="majorHAnsi"/>
                <w:i/>
              </w:rPr>
            </w:pPr>
            <w:r w:rsidRPr="00E72760">
              <w:rPr>
                <w:rFonts w:asciiTheme="majorHAnsi" w:hAnsiTheme="majorHAnsi" w:cstheme="majorHAnsi"/>
                <w:i/>
              </w:rPr>
              <w:t>Occupational Health and Safety (Maritime Industry) Regulations 1995 (Cth)</w:t>
            </w:r>
          </w:p>
        </w:tc>
        <w:tc>
          <w:tcPr>
            <w:tcW w:w="2133" w:type="pct"/>
            <w:shd w:val="clear" w:color="auto" w:fill="auto"/>
          </w:tcPr>
          <w:p w14:paraId="36B9172E"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objects of this Act are:</w:t>
            </w:r>
            <w:r w:rsidRPr="00E72760">
              <w:rPr>
                <w:rFonts w:asciiTheme="majorHAnsi" w:hAnsiTheme="majorHAnsi" w:cstheme="majorHAnsi"/>
              </w:rPr>
              <w:br/>
              <w:t>(a)  to secure the health, safety and welfare at work of maritime industry employees; and</w:t>
            </w:r>
            <w:r w:rsidRPr="00E72760">
              <w:rPr>
                <w:rFonts w:asciiTheme="majorHAnsi" w:hAnsiTheme="majorHAnsi" w:cstheme="majorHAnsi"/>
              </w:rPr>
              <w:br/>
              <w:t>(b)  to protect persons at or near workplaces from risks to health and safety arising out of the activities of maritime industry employees at work; and</w:t>
            </w:r>
            <w:r w:rsidRPr="00E72760">
              <w:rPr>
                <w:rFonts w:asciiTheme="majorHAnsi" w:hAnsiTheme="majorHAnsi" w:cstheme="majorHAnsi"/>
              </w:rPr>
              <w:br/>
              <w:t>(c)  to ensure that expert advice is available on occupational health and safety matters affecting maritime industry operators, maritime industry employees and maritime industry contractors; and</w:t>
            </w:r>
            <w:r w:rsidRPr="00E72760">
              <w:rPr>
                <w:rFonts w:asciiTheme="majorHAnsi" w:hAnsiTheme="majorHAnsi" w:cstheme="majorHAnsi"/>
              </w:rPr>
              <w:br/>
              <w:t>(d)  to promote an occupational environment for maritime industry employees that is adapted to their health and safety needs; and</w:t>
            </w:r>
            <w:r w:rsidRPr="00E72760">
              <w:rPr>
                <w:rFonts w:asciiTheme="majorHAnsi" w:hAnsiTheme="majorHAnsi" w:cstheme="majorHAnsi"/>
              </w:rPr>
              <w:br/>
              <w:t>(e)  to foster a cooperative consultative relationship between maritime industry operators and maritime industry employees on the health, safety and welfare of maritime industry employees at work.</w:t>
            </w:r>
          </w:p>
          <w:p w14:paraId="75BB19FF"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object of this Regulation compliment</w:t>
            </w:r>
            <w:r>
              <w:rPr>
                <w:rFonts w:asciiTheme="majorHAnsi" w:hAnsiTheme="majorHAnsi" w:cstheme="majorHAnsi"/>
              </w:rPr>
              <w:t>ing</w:t>
            </w:r>
            <w:r w:rsidRPr="00E72760">
              <w:rPr>
                <w:rFonts w:asciiTheme="majorHAnsi" w:hAnsiTheme="majorHAnsi" w:cstheme="majorHAnsi"/>
              </w:rPr>
              <w:t xml:space="preserve"> the Act is to minimise the risk to the health of persons due to exposure to hazardous substances: (a) by regulating hazardous substances used at workplaces,  (b) by providing for: (i) the assessment of the risk of exposure to hazardous substances; and (ii) the control of exposure to hazardous substances; and (iii) the training of employees and contractors who could be exposed to hazardous substances at work on the nature of the hazard and the level of risk posed by the hazardous substances, and the means of assessing and controlling exposure to the substances</w:t>
            </w:r>
          </w:p>
        </w:tc>
        <w:tc>
          <w:tcPr>
            <w:tcW w:w="1543" w:type="pct"/>
            <w:shd w:val="clear" w:color="auto" w:fill="auto"/>
          </w:tcPr>
          <w:p w14:paraId="25E1471F" w14:textId="77777777" w:rsidR="00F76736" w:rsidRPr="00E72760" w:rsidRDefault="00F76736" w:rsidP="00C650A1">
            <w:pPr>
              <w:pStyle w:val="TableBody"/>
              <w:rPr>
                <w:rFonts w:asciiTheme="majorHAnsi" w:hAnsiTheme="majorHAnsi" w:cstheme="majorHAnsi"/>
                <w:color w:val="000000"/>
              </w:rPr>
            </w:pPr>
            <w:r w:rsidRPr="00E72760">
              <w:rPr>
                <w:rFonts w:asciiTheme="majorHAnsi" w:eastAsia="Times New Roman" w:hAnsiTheme="majorHAnsi" w:cstheme="majorHAnsi"/>
              </w:rPr>
              <w:t>While the legislation and regulations may contribute to suitable risk management, it does not amount to an all-hazards approach to risk management. The Act and Regulations are primarily centred on safety rather than security, resulting in the legislation focusing primarily on personnel security and does not address a whole-of-sector risk management approach.</w:t>
            </w:r>
          </w:p>
        </w:tc>
      </w:tr>
      <w:tr w:rsidR="00F76736" w:rsidRPr="004A65E4" w14:paraId="5D09D682" w14:textId="77777777" w:rsidTr="00C650A1">
        <w:tc>
          <w:tcPr>
            <w:tcW w:w="294" w:type="pct"/>
            <w:vMerge/>
            <w:shd w:val="clear" w:color="auto" w:fill="F2F2F2" w:themeFill="background1" w:themeFillShade="F2"/>
          </w:tcPr>
          <w:p w14:paraId="0DCBC493" w14:textId="77777777" w:rsidR="00F76736" w:rsidRPr="00F8437F" w:rsidRDefault="00F76736" w:rsidP="00C650A1">
            <w:pPr>
              <w:pStyle w:val="TableBody"/>
              <w:jc w:val="center"/>
              <w:rPr>
                <w:rStyle w:val="superscript"/>
              </w:rPr>
            </w:pPr>
          </w:p>
        </w:tc>
        <w:tc>
          <w:tcPr>
            <w:tcW w:w="1030" w:type="pct"/>
            <w:shd w:val="clear" w:color="auto" w:fill="auto"/>
          </w:tcPr>
          <w:p w14:paraId="5D40F206"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Ports and Maritime Administration Act 1995</w:t>
            </w:r>
          </w:p>
        </w:tc>
        <w:tc>
          <w:tcPr>
            <w:tcW w:w="2133" w:type="pct"/>
            <w:shd w:val="clear" w:color="auto" w:fill="auto"/>
          </w:tcPr>
          <w:p w14:paraId="1F91B9FB"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principal objectives of the Act are to increase and maintain business security and resilience, maintain operational security practices and improve efficiency in ports and the port-related supply chain.</w:t>
            </w:r>
          </w:p>
        </w:tc>
        <w:tc>
          <w:tcPr>
            <w:tcW w:w="1543" w:type="pct"/>
            <w:shd w:val="clear" w:color="auto" w:fill="auto"/>
          </w:tcPr>
          <w:p w14:paraId="349897F1" w14:textId="77777777" w:rsidR="00F76736" w:rsidRPr="00E72760" w:rsidRDefault="00F76736" w:rsidP="00C650A1">
            <w:pPr>
              <w:pStyle w:val="TableBody"/>
              <w:rPr>
                <w:rFonts w:asciiTheme="majorHAnsi" w:hAnsiTheme="majorHAnsi" w:cstheme="majorHAnsi"/>
                <w:color w:val="000000"/>
              </w:rPr>
            </w:pPr>
            <w:r w:rsidRPr="00E72760">
              <w:rPr>
                <w:rFonts w:asciiTheme="majorHAnsi" w:eastAsia="Times New Roman" w:hAnsiTheme="majorHAnsi" w:cstheme="majorHAnsi"/>
              </w:rPr>
              <w:t>While the Act may contribute to suitable risk management, it does not amount to an all-hazards approach to risk management, nor is the requirement for a safety management system imposed on a whole-of-sector basis.</w:t>
            </w:r>
          </w:p>
        </w:tc>
      </w:tr>
      <w:tr w:rsidR="00F76736" w:rsidRPr="004A65E4" w14:paraId="5A097261" w14:textId="77777777" w:rsidTr="00C650A1">
        <w:tc>
          <w:tcPr>
            <w:tcW w:w="294" w:type="pct"/>
            <w:shd w:val="clear" w:color="auto" w:fill="F2F2F2" w:themeFill="background1" w:themeFillShade="F2"/>
            <w:textDirection w:val="btLr"/>
          </w:tcPr>
          <w:p w14:paraId="5D7730E3" w14:textId="77777777" w:rsidR="00F76736" w:rsidRPr="00F8437F" w:rsidRDefault="00F76736" w:rsidP="00C650A1">
            <w:pPr>
              <w:pStyle w:val="TableBody"/>
              <w:jc w:val="center"/>
              <w:rPr>
                <w:rStyle w:val="superscript"/>
              </w:rPr>
            </w:pPr>
            <w:r w:rsidRPr="00F8437F">
              <w:rPr>
                <w:rStyle w:val="superscript"/>
              </w:rPr>
              <w:t>Rail</w:t>
            </w:r>
          </w:p>
        </w:tc>
        <w:tc>
          <w:tcPr>
            <w:tcW w:w="1030" w:type="pct"/>
            <w:shd w:val="clear" w:color="auto" w:fill="auto"/>
          </w:tcPr>
          <w:p w14:paraId="409B5160"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 xml:space="preserve">Rail Safety National Law </w:t>
            </w:r>
          </w:p>
          <w:p w14:paraId="218DB2B5"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 xml:space="preserve">Rail Safety National Law (South Australia) (Drug and Alcohol Testing) Regulations 2012 </w:t>
            </w:r>
          </w:p>
        </w:tc>
        <w:tc>
          <w:tcPr>
            <w:tcW w:w="2133" w:type="pct"/>
            <w:shd w:val="clear" w:color="auto" w:fill="auto"/>
          </w:tcPr>
          <w:p w14:paraId="540D93A2"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creation of a single national entity replaced seven separate regulatory authorities. The Rail Safety National Law establishes ONRSR as the body responsible for rail safety regulation in that state or territory.</w:t>
            </w:r>
          </w:p>
          <w:p w14:paraId="27E58B70"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 xml:space="preserve">The regulations compliment the Act to define the requirements of personnel in rail </w:t>
            </w:r>
            <w:r w:rsidRPr="00E72760">
              <w:rPr>
                <w:rFonts w:asciiTheme="majorHAnsi" w:hAnsiTheme="majorHAnsi" w:cstheme="majorHAnsi"/>
              </w:rPr>
              <w:lastRenderedPageBreak/>
              <w:t>operations. This includes rules and regulations, qualifications, and practices.</w:t>
            </w:r>
          </w:p>
        </w:tc>
        <w:tc>
          <w:tcPr>
            <w:tcW w:w="1543" w:type="pct"/>
            <w:shd w:val="clear" w:color="auto" w:fill="auto"/>
          </w:tcPr>
          <w:p w14:paraId="2C231C82" w14:textId="77777777" w:rsidR="00F76736" w:rsidRPr="00E72760" w:rsidRDefault="00F76736" w:rsidP="00C650A1">
            <w:pPr>
              <w:pStyle w:val="TableBody"/>
              <w:rPr>
                <w:rFonts w:asciiTheme="majorHAnsi" w:hAnsiTheme="majorHAnsi" w:cstheme="majorHAnsi"/>
                <w:color w:val="000000"/>
              </w:rPr>
            </w:pPr>
            <w:r w:rsidRPr="00E72760">
              <w:rPr>
                <w:rFonts w:asciiTheme="majorHAnsi" w:eastAsia="Times New Roman" w:hAnsiTheme="majorHAnsi" w:cstheme="majorHAnsi"/>
              </w:rPr>
              <w:lastRenderedPageBreak/>
              <w:t xml:space="preserve">While the legislation and regulations may contribute to suitable risk management, it does not amount to an all-hazards approach to risk management. </w:t>
            </w:r>
            <w:r>
              <w:rPr>
                <w:rFonts w:asciiTheme="majorHAnsi" w:eastAsia="Times New Roman" w:hAnsiTheme="majorHAnsi" w:cstheme="majorHAnsi"/>
              </w:rPr>
              <w:t>They do</w:t>
            </w:r>
            <w:r w:rsidRPr="00E72760">
              <w:rPr>
                <w:rFonts w:asciiTheme="majorHAnsi" w:eastAsia="Times New Roman" w:hAnsiTheme="majorHAnsi" w:cstheme="majorHAnsi"/>
              </w:rPr>
              <w:t xml:space="preserve"> not address a cyber or supply chain risk management approaches.</w:t>
            </w:r>
          </w:p>
        </w:tc>
      </w:tr>
      <w:tr w:rsidR="00F76736" w:rsidRPr="004A65E4" w14:paraId="4F33B414" w14:textId="77777777" w:rsidTr="00C650A1">
        <w:tc>
          <w:tcPr>
            <w:tcW w:w="294" w:type="pct"/>
            <w:shd w:val="clear" w:color="auto" w:fill="F2F2F2" w:themeFill="background1" w:themeFillShade="F2"/>
            <w:textDirection w:val="btLr"/>
          </w:tcPr>
          <w:p w14:paraId="3775D432" w14:textId="77777777" w:rsidR="00F76736" w:rsidRPr="00F8437F" w:rsidRDefault="00F76736" w:rsidP="00C650A1">
            <w:pPr>
              <w:pStyle w:val="TableBody"/>
              <w:jc w:val="center"/>
              <w:rPr>
                <w:rStyle w:val="superscript"/>
              </w:rPr>
            </w:pPr>
            <w:r w:rsidRPr="00F8437F">
              <w:rPr>
                <w:rStyle w:val="superscript"/>
              </w:rPr>
              <w:t>Road</w:t>
            </w:r>
          </w:p>
        </w:tc>
        <w:tc>
          <w:tcPr>
            <w:tcW w:w="1030" w:type="pct"/>
            <w:shd w:val="clear" w:color="auto" w:fill="auto"/>
          </w:tcPr>
          <w:p w14:paraId="3E5A5DA7" w14:textId="77777777" w:rsidR="00F76736" w:rsidRPr="00E72760" w:rsidRDefault="00F76736" w:rsidP="00C650A1">
            <w:pPr>
              <w:pStyle w:val="TableBody"/>
              <w:rPr>
                <w:rFonts w:asciiTheme="majorHAnsi" w:hAnsiTheme="majorHAnsi" w:cstheme="majorHAnsi"/>
                <w:i/>
              </w:rPr>
            </w:pPr>
            <w:r w:rsidRPr="00E72760">
              <w:rPr>
                <w:rFonts w:asciiTheme="majorHAnsi" w:hAnsiTheme="majorHAnsi" w:cstheme="majorHAnsi"/>
                <w:i/>
              </w:rPr>
              <w:t xml:space="preserve">Heavy Vehicle National Law </w:t>
            </w:r>
          </w:p>
        </w:tc>
        <w:tc>
          <w:tcPr>
            <w:tcW w:w="2133" w:type="pct"/>
            <w:shd w:val="clear" w:color="auto" w:fill="auto"/>
          </w:tcPr>
          <w:p w14:paraId="2BC7A131" w14:textId="77777777" w:rsidR="00F76736" w:rsidRPr="00E72760" w:rsidRDefault="00F76736" w:rsidP="00C650A1">
            <w:pPr>
              <w:pStyle w:val="TableBody"/>
              <w:rPr>
                <w:rFonts w:asciiTheme="majorHAnsi" w:hAnsiTheme="majorHAnsi" w:cstheme="majorHAnsi"/>
              </w:rPr>
            </w:pPr>
            <w:r w:rsidRPr="00E72760">
              <w:rPr>
                <w:rFonts w:asciiTheme="majorHAnsi" w:hAnsiTheme="majorHAnsi" w:cstheme="majorHAnsi"/>
              </w:rPr>
              <w:t>The object of this Law is to establish a national scheme for facilitating and regulating the use of heavy vehicles on roads in a way that—</w:t>
            </w:r>
            <w:r w:rsidRPr="00E72760">
              <w:rPr>
                <w:rFonts w:asciiTheme="majorHAnsi" w:hAnsiTheme="majorHAnsi" w:cstheme="majorHAnsi"/>
              </w:rPr>
              <w:br/>
              <w:t>(a) promotes public safety; and</w:t>
            </w:r>
            <w:r w:rsidRPr="00E72760">
              <w:rPr>
                <w:rFonts w:asciiTheme="majorHAnsi" w:hAnsiTheme="majorHAnsi" w:cstheme="majorHAnsi"/>
              </w:rPr>
              <w:br/>
              <w:t>(b) manages the impact of heavy vehicles on the environment, road infrastructure and public amenity; and</w:t>
            </w:r>
            <w:r w:rsidRPr="00E72760">
              <w:rPr>
                <w:rFonts w:asciiTheme="majorHAnsi" w:hAnsiTheme="majorHAnsi" w:cstheme="majorHAnsi"/>
              </w:rPr>
              <w:br/>
              <w:t>(c) promotes industry productivity and efficiency in the road transport of goods and passengers by heavy vehicles; and</w:t>
            </w:r>
            <w:r w:rsidRPr="00E72760">
              <w:rPr>
                <w:rFonts w:asciiTheme="majorHAnsi" w:hAnsiTheme="majorHAnsi" w:cstheme="majorHAnsi"/>
              </w:rPr>
              <w:br/>
              <w:t>(d) encourages and promotes productive, efficient, innovative, and safe business practices.</w:t>
            </w:r>
          </w:p>
        </w:tc>
        <w:tc>
          <w:tcPr>
            <w:tcW w:w="1543" w:type="pct"/>
            <w:shd w:val="clear" w:color="auto" w:fill="auto"/>
          </w:tcPr>
          <w:p w14:paraId="247FA041" w14:textId="77777777" w:rsidR="00F76736" w:rsidRPr="00E72760" w:rsidRDefault="00F76736" w:rsidP="00C650A1">
            <w:pPr>
              <w:pStyle w:val="TableBody"/>
              <w:rPr>
                <w:rFonts w:asciiTheme="majorHAnsi" w:hAnsiTheme="majorHAnsi" w:cstheme="majorHAnsi"/>
                <w:color w:val="000000"/>
              </w:rPr>
            </w:pPr>
            <w:r w:rsidRPr="00E72760">
              <w:rPr>
                <w:rFonts w:asciiTheme="majorHAnsi" w:hAnsiTheme="majorHAnsi" w:cstheme="majorHAnsi"/>
                <w:color w:val="000000"/>
              </w:rPr>
              <w:t>While the law contributes to suitable risk management, it does not amount to an all-hazards risk management approach. Specifically, it lacks a focus on cyber and supply chain risk management nor does it have a holistic approach across physical and personnel risk management.</w:t>
            </w:r>
          </w:p>
        </w:tc>
      </w:tr>
    </w:tbl>
    <w:p w14:paraId="7233BD24" w14:textId="77777777" w:rsidR="00D4147F" w:rsidRDefault="00D4147F" w:rsidP="00D4147F">
      <w:pPr>
        <w:pStyle w:val="AppendixH2"/>
      </w:pPr>
      <w:r>
        <w:t>Existing standards, guidelines and regulators for critical freight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552"/>
        <w:gridCol w:w="7086"/>
      </w:tblGrid>
      <w:tr w:rsidR="00D4147F" w:rsidRPr="00AF2815" w14:paraId="227FD7AB" w14:textId="77777777" w:rsidTr="00C650A1">
        <w:trPr>
          <w:tblHeader/>
        </w:trPr>
        <w:tc>
          <w:tcPr>
            <w:tcW w:w="1324" w:type="pct"/>
            <w:shd w:val="clear" w:color="auto" w:fill="034EA2" w:themeFill="accent1"/>
          </w:tcPr>
          <w:p w14:paraId="45EC01C4" w14:textId="77777777" w:rsidR="00D4147F" w:rsidRPr="00AF2815" w:rsidRDefault="00D4147F" w:rsidP="00C650A1">
            <w:pPr>
              <w:pStyle w:val="TableHeading"/>
            </w:pPr>
          </w:p>
        </w:tc>
        <w:tc>
          <w:tcPr>
            <w:tcW w:w="3676" w:type="pct"/>
            <w:shd w:val="clear" w:color="auto" w:fill="034EA2" w:themeFill="accent1"/>
          </w:tcPr>
          <w:p w14:paraId="0A0CA76E" w14:textId="77777777" w:rsidR="00D4147F" w:rsidRPr="00AF2815" w:rsidRDefault="00D4147F" w:rsidP="00C650A1">
            <w:pPr>
              <w:pStyle w:val="TableHeading"/>
            </w:pPr>
            <w:r w:rsidRPr="00AF2815">
              <w:t>Regulator/s</w:t>
            </w:r>
          </w:p>
        </w:tc>
      </w:tr>
      <w:tr w:rsidR="00D4147F" w:rsidRPr="00AF2815" w14:paraId="43A727D2" w14:textId="77777777" w:rsidTr="00C650A1">
        <w:tc>
          <w:tcPr>
            <w:tcW w:w="1324" w:type="pct"/>
            <w:shd w:val="clear" w:color="auto" w:fill="F2F2F2" w:themeFill="background1" w:themeFillShade="F2"/>
          </w:tcPr>
          <w:p w14:paraId="1D817126" w14:textId="77777777" w:rsidR="00D4147F" w:rsidRPr="00E72760" w:rsidRDefault="00D4147F" w:rsidP="00C650A1">
            <w:pPr>
              <w:pStyle w:val="TableBody"/>
            </w:pPr>
            <w:r w:rsidRPr="00E72760">
              <w:t>Commonwealth</w:t>
            </w:r>
          </w:p>
        </w:tc>
        <w:tc>
          <w:tcPr>
            <w:tcW w:w="3676" w:type="pct"/>
            <w:shd w:val="clear" w:color="auto" w:fill="auto"/>
          </w:tcPr>
          <w:p w14:paraId="09DE70DC" w14:textId="77777777" w:rsidR="00D4147F" w:rsidRPr="00E72760" w:rsidRDefault="00D4147F" w:rsidP="00C650A1">
            <w:pPr>
              <w:pStyle w:val="TableBody"/>
              <w:spacing w:before="40" w:after="40"/>
            </w:pPr>
            <w:r>
              <w:t>ACCC</w:t>
            </w:r>
          </w:p>
          <w:p w14:paraId="359C6849" w14:textId="77777777" w:rsidR="00D4147F" w:rsidRPr="00E72760" w:rsidRDefault="00D4147F" w:rsidP="00C650A1">
            <w:pPr>
              <w:pStyle w:val="TableBody"/>
              <w:spacing w:before="40" w:after="40"/>
            </w:pPr>
            <w:r>
              <w:t>ALC</w:t>
            </w:r>
          </w:p>
          <w:p w14:paraId="4C59937B" w14:textId="77777777" w:rsidR="00D4147F" w:rsidRPr="00E72760" w:rsidRDefault="00D4147F" w:rsidP="00C650A1">
            <w:pPr>
              <w:pStyle w:val="TableBody"/>
              <w:spacing w:before="40" w:after="40"/>
            </w:pPr>
            <w:r>
              <w:t>AMSA</w:t>
            </w:r>
          </w:p>
          <w:p w14:paraId="237BC328" w14:textId="77777777" w:rsidR="00D4147F" w:rsidRPr="00E72760" w:rsidRDefault="00D4147F" w:rsidP="00C650A1">
            <w:pPr>
              <w:pStyle w:val="TableBody"/>
              <w:spacing w:before="40" w:after="40"/>
            </w:pPr>
            <w:r>
              <w:t>ARTC</w:t>
            </w:r>
          </w:p>
          <w:p w14:paraId="5DFA9777" w14:textId="77777777" w:rsidR="00D4147F" w:rsidRPr="00E72760" w:rsidRDefault="00D4147F" w:rsidP="00C650A1">
            <w:pPr>
              <w:pStyle w:val="TableBody"/>
              <w:spacing w:before="40" w:after="40"/>
            </w:pPr>
            <w:r>
              <w:t>ATSB</w:t>
            </w:r>
          </w:p>
          <w:p w14:paraId="7191AA70" w14:textId="77777777" w:rsidR="00D4147F" w:rsidRPr="00E72760" w:rsidRDefault="00D4147F" w:rsidP="00C650A1">
            <w:pPr>
              <w:pStyle w:val="TableBody"/>
              <w:spacing w:before="40" w:after="40"/>
            </w:pPr>
            <w:r w:rsidRPr="00E72760">
              <w:t>Austroads</w:t>
            </w:r>
          </w:p>
          <w:p w14:paraId="7C446E57" w14:textId="77777777" w:rsidR="00D4147F" w:rsidRPr="00E72760" w:rsidRDefault="00D4147F" w:rsidP="00C650A1">
            <w:pPr>
              <w:pStyle w:val="TableBody"/>
              <w:spacing w:before="40" w:after="40"/>
            </w:pPr>
            <w:r w:rsidRPr="00E72760">
              <w:t>Comcare</w:t>
            </w:r>
          </w:p>
          <w:p w14:paraId="6849EFEC" w14:textId="77777777" w:rsidR="00D4147F" w:rsidRPr="00E72760" w:rsidRDefault="00D4147F" w:rsidP="00C650A1">
            <w:pPr>
              <w:pStyle w:val="TableBody"/>
              <w:spacing w:before="40" w:after="40"/>
            </w:pPr>
            <w:r w:rsidRPr="00E72760">
              <w:t>Department of Home Affairs</w:t>
            </w:r>
          </w:p>
          <w:p w14:paraId="7786155C" w14:textId="431906C4" w:rsidR="00D4147F" w:rsidRPr="00E72760" w:rsidRDefault="00D4147F" w:rsidP="00C650A1">
            <w:pPr>
              <w:pStyle w:val="TableBody"/>
              <w:spacing w:before="40" w:after="40"/>
            </w:pPr>
            <w:r w:rsidRPr="00E72760">
              <w:t>Department of Infrastructure, Transport, Regional Development</w:t>
            </w:r>
            <w:r w:rsidR="00FE1C5D">
              <w:t>, Communications</w:t>
            </w:r>
            <w:r w:rsidRPr="00E72760">
              <w:t xml:space="preserve"> and</w:t>
            </w:r>
            <w:r w:rsidR="00FE1C5D">
              <w:t xml:space="preserve"> the Arts</w:t>
            </w:r>
          </w:p>
          <w:p w14:paraId="6DEE6873" w14:textId="77777777" w:rsidR="00D4147F" w:rsidRPr="00E72760" w:rsidRDefault="00D4147F" w:rsidP="00C650A1">
            <w:pPr>
              <w:pStyle w:val="TableBody"/>
              <w:spacing w:before="40" w:after="40"/>
            </w:pPr>
            <w:r w:rsidRPr="00E72760">
              <w:t>Fair Work Ombudsman</w:t>
            </w:r>
          </w:p>
          <w:p w14:paraId="6E29F1B2" w14:textId="77777777" w:rsidR="00D4147F" w:rsidRPr="00E72760" w:rsidRDefault="00D4147F" w:rsidP="00C650A1">
            <w:pPr>
              <w:pStyle w:val="TableBody"/>
              <w:spacing w:before="40" w:after="40"/>
            </w:pPr>
            <w:r>
              <w:t>IMO</w:t>
            </w:r>
          </w:p>
          <w:p w14:paraId="5A2A257C" w14:textId="77777777" w:rsidR="00D4147F" w:rsidRPr="00D1622F" w:rsidRDefault="00D4147F" w:rsidP="00C650A1">
            <w:pPr>
              <w:pStyle w:val="TableBody"/>
              <w:spacing w:before="40" w:after="40"/>
            </w:pPr>
            <w:r>
              <w:t>ISO</w:t>
            </w:r>
          </w:p>
          <w:p w14:paraId="1DECEE93" w14:textId="77777777" w:rsidR="00D4147F" w:rsidRPr="00E72760" w:rsidRDefault="00D4147F" w:rsidP="00C650A1">
            <w:pPr>
              <w:pStyle w:val="TableBody"/>
              <w:spacing w:before="40" w:after="40"/>
            </w:pPr>
            <w:r w:rsidRPr="00E72760">
              <w:t>National Freight and Supply Chain Strategy</w:t>
            </w:r>
          </w:p>
          <w:p w14:paraId="25893FCA" w14:textId="77777777" w:rsidR="00D4147F" w:rsidRPr="00E72760" w:rsidRDefault="00D4147F" w:rsidP="00C650A1">
            <w:pPr>
              <w:pStyle w:val="TableBody"/>
              <w:spacing w:before="40" w:after="40"/>
            </w:pPr>
            <w:r>
              <w:t>NHVR</w:t>
            </w:r>
          </w:p>
          <w:p w14:paraId="1D60FFAD" w14:textId="77777777" w:rsidR="00D4147F" w:rsidRPr="00E72760" w:rsidRDefault="00D4147F" w:rsidP="00C650A1">
            <w:pPr>
              <w:pStyle w:val="TableBody"/>
              <w:spacing w:before="40" w:after="40"/>
            </w:pPr>
            <w:r>
              <w:t>ONRSR</w:t>
            </w:r>
          </w:p>
          <w:p w14:paraId="2D3D5AC7" w14:textId="77777777" w:rsidR="00D4147F" w:rsidRPr="00E72760" w:rsidRDefault="00D4147F" w:rsidP="00C650A1">
            <w:pPr>
              <w:pStyle w:val="TableBody"/>
              <w:spacing w:before="40" w:after="40"/>
            </w:pPr>
            <w:r w:rsidRPr="00E72760">
              <w:t>Ports Australia</w:t>
            </w:r>
          </w:p>
          <w:p w14:paraId="25D05059" w14:textId="77777777" w:rsidR="00D4147F" w:rsidRPr="00E72760" w:rsidRDefault="00D4147F" w:rsidP="00C650A1">
            <w:pPr>
              <w:pStyle w:val="TableBody"/>
              <w:spacing w:before="40" w:after="40"/>
            </w:pPr>
            <w:r>
              <w:t>RISSB</w:t>
            </w:r>
          </w:p>
        </w:tc>
      </w:tr>
      <w:tr w:rsidR="00D4147F" w:rsidRPr="00AF2815" w14:paraId="16F60A90" w14:textId="77777777" w:rsidTr="00C650A1">
        <w:tc>
          <w:tcPr>
            <w:tcW w:w="1324" w:type="pct"/>
            <w:shd w:val="clear" w:color="auto" w:fill="F2F2F2" w:themeFill="background1" w:themeFillShade="F2"/>
          </w:tcPr>
          <w:p w14:paraId="7EAF73AF" w14:textId="77777777" w:rsidR="00D4147F" w:rsidRPr="00E72760" w:rsidRDefault="00D4147F" w:rsidP="00C650A1">
            <w:pPr>
              <w:pStyle w:val="TableBody"/>
            </w:pPr>
            <w:r w:rsidRPr="00E72760">
              <w:t>Australian Capital Territory</w:t>
            </w:r>
          </w:p>
        </w:tc>
        <w:tc>
          <w:tcPr>
            <w:tcW w:w="3676" w:type="pct"/>
            <w:shd w:val="clear" w:color="auto" w:fill="auto"/>
          </w:tcPr>
          <w:p w14:paraId="2BF5FCF5" w14:textId="77777777" w:rsidR="00D4147F" w:rsidRPr="00E72760" w:rsidRDefault="00D4147F" w:rsidP="00C650A1">
            <w:pPr>
              <w:pStyle w:val="TableBody"/>
              <w:spacing w:before="40" w:after="40"/>
            </w:pPr>
            <w:r w:rsidRPr="00E72760">
              <w:t>WorkSafe ACT</w:t>
            </w:r>
          </w:p>
        </w:tc>
      </w:tr>
      <w:tr w:rsidR="00D4147F" w:rsidRPr="00AF2815" w14:paraId="50D01A6B" w14:textId="77777777" w:rsidTr="00C650A1">
        <w:tc>
          <w:tcPr>
            <w:tcW w:w="1324" w:type="pct"/>
            <w:shd w:val="clear" w:color="auto" w:fill="F2F2F2" w:themeFill="background1" w:themeFillShade="F2"/>
          </w:tcPr>
          <w:p w14:paraId="77FFFBB1" w14:textId="77777777" w:rsidR="00D4147F" w:rsidRPr="00E72760" w:rsidRDefault="00D4147F" w:rsidP="00C650A1">
            <w:pPr>
              <w:pStyle w:val="TableBody"/>
            </w:pPr>
            <w:r w:rsidRPr="00E72760">
              <w:t>New South Wales</w:t>
            </w:r>
          </w:p>
        </w:tc>
        <w:tc>
          <w:tcPr>
            <w:tcW w:w="3676" w:type="pct"/>
            <w:shd w:val="clear" w:color="auto" w:fill="auto"/>
          </w:tcPr>
          <w:p w14:paraId="3267BD26" w14:textId="77777777" w:rsidR="00D4147F" w:rsidRPr="00E72760" w:rsidRDefault="00D4147F" w:rsidP="00C650A1">
            <w:pPr>
              <w:pStyle w:val="TableBody"/>
              <w:spacing w:before="40" w:after="40"/>
            </w:pPr>
            <w:r w:rsidRPr="00E72760">
              <w:t>SafeWork NSW</w:t>
            </w:r>
          </w:p>
        </w:tc>
      </w:tr>
      <w:tr w:rsidR="00D4147F" w:rsidRPr="00AF2815" w14:paraId="2EB73942" w14:textId="77777777" w:rsidTr="00C650A1">
        <w:tc>
          <w:tcPr>
            <w:tcW w:w="1324" w:type="pct"/>
            <w:shd w:val="clear" w:color="auto" w:fill="F2F2F2" w:themeFill="background1" w:themeFillShade="F2"/>
          </w:tcPr>
          <w:p w14:paraId="5A925CE0" w14:textId="77777777" w:rsidR="00D4147F" w:rsidRPr="00E72760" w:rsidRDefault="00D4147F" w:rsidP="00C650A1">
            <w:pPr>
              <w:pStyle w:val="TableBody"/>
            </w:pPr>
            <w:r w:rsidRPr="00E72760">
              <w:t>Northern Territory</w:t>
            </w:r>
          </w:p>
        </w:tc>
        <w:tc>
          <w:tcPr>
            <w:tcW w:w="3676" w:type="pct"/>
            <w:shd w:val="clear" w:color="auto" w:fill="auto"/>
          </w:tcPr>
          <w:p w14:paraId="3C01EDB1" w14:textId="77777777" w:rsidR="00D4147F" w:rsidRPr="00E72760" w:rsidRDefault="00D4147F" w:rsidP="00C650A1">
            <w:pPr>
              <w:pStyle w:val="TableBody"/>
              <w:spacing w:before="40" w:after="40"/>
            </w:pPr>
            <w:r w:rsidRPr="00E72760">
              <w:t>NT WorkSafe</w:t>
            </w:r>
          </w:p>
          <w:p w14:paraId="310883DB" w14:textId="77777777" w:rsidR="00D4147F" w:rsidRPr="00E72760" w:rsidRDefault="00D4147F" w:rsidP="00C650A1">
            <w:pPr>
              <w:pStyle w:val="TableBody"/>
              <w:spacing w:before="40" w:after="40"/>
            </w:pPr>
            <w:r w:rsidRPr="00E72760">
              <w:t>Department of Infrastructure, Planning and Logistics</w:t>
            </w:r>
          </w:p>
        </w:tc>
      </w:tr>
      <w:tr w:rsidR="00D4147F" w:rsidRPr="00AF2815" w14:paraId="66C1EAF4" w14:textId="77777777" w:rsidTr="00C650A1">
        <w:tc>
          <w:tcPr>
            <w:tcW w:w="1324" w:type="pct"/>
            <w:shd w:val="clear" w:color="auto" w:fill="F2F2F2" w:themeFill="background1" w:themeFillShade="F2"/>
          </w:tcPr>
          <w:p w14:paraId="461C6481" w14:textId="77777777" w:rsidR="00D4147F" w:rsidRPr="00E72760" w:rsidRDefault="00D4147F" w:rsidP="00C650A1">
            <w:pPr>
              <w:pStyle w:val="TableBody"/>
            </w:pPr>
            <w:r w:rsidRPr="00E72760">
              <w:t>Queensland</w:t>
            </w:r>
          </w:p>
        </w:tc>
        <w:tc>
          <w:tcPr>
            <w:tcW w:w="3676" w:type="pct"/>
            <w:shd w:val="clear" w:color="auto" w:fill="auto"/>
          </w:tcPr>
          <w:p w14:paraId="4A48864C" w14:textId="77777777" w:rsidR="00D4147F" w:rsidRPr="00E72760" w:rsidRDefault="00D4147F" w:rsidP="00C650A1">
            <w:pPr>
              <w:pStyle w:val="TableBody"/>
              <w:spacing w:before="40" w:after="40"/>
            </w:pPr>
            <w:r w:rsidRPr="00E72760">
              <w:t>Department of Transport and Main Roads</w:t>
            </w:r>
          </w:p>
          <w:p w14:paraId="5B54FEDA" w14:textId="77777777" w:rsidR="00D4147F" w:rsidRPr="00E72760" w:rsidRDefault="00D4147F" w:rsidP="00C650A1">
            <w:pPr>
              <w:pStyle w:val="TableBody"/>
              <w:spacing w:before="40" w:after="40"/>
            </w:pPr>
            <w:r w:rsidRPr="00E72760">
              <w:t>WorkCover Queensland</w:t>
            </w:r>
          </w:p>
        </w:tc>
      </w:tr>
      <w:tr w:rsidR="00D4147F" w:rsidRPr="00AF2815" w14:paraId="4282133D" w14:textId="77777777" w:rsidTr="00C650A1">
        <w:tc>
          <w:tcPr>
            <w:tcW w:w="1324" w:type="pct"/>
            <w:shd w:val="clear" w:color="auto" w:fill="F2F2F2" w:themeFill="background1" w:themeFillShade="F2"/>
          </w:tcPr>
          <w:p w14:paraId="385F72D9" w14:textId="77777777" w:rsidR="00D4147F" w:rsidRPr="00E72760" w:rsidRDefault="00D4147F" w:rsidP="00C650A1">
            <w:pPr>
              <w:pStyle w:val="TableBody"/>
            </w:pPr>
            <w:r w:rsidRPr="00E72760">
              <w:t>South Australia</w:t>
            </w:r>
          </w:p>
        </w:tc>
        <w:tc>
          <w:tcPr>
            <w:tcW w:w="3676" w:type="pct"/>
            <w:shd w:val="clear" w:color="auto" w:fill="auto"/>
          </w:tcPr>
          <w:p w14:paraId="40C5D15D" w14:textId="77777777" w:rsidR="00D4147F" w:rsidRPr="00E72760" w:rsidRDefault="00D4147F" w:rsidP="00C650A1">
            <w:pPr>
              <w:pStyle w:val="TableBody"/>
              <w:spacing w:before="40" w:after="40"/>
            </w:pPr>
            <w:r w:rsidRPr="00E72760">
              <w:t>SafeWork SA</w:t>
            </w:r>
          </w:p>
          <w:p w14:paraId="7FFDB127" w14:textId="77777777" w:rsidR="00D4147F" w:rsidRPr="00E72760" w:rsidRDefault="00D4147F" w:rsidP="00C650A1">
            <w:pPr>
              <w:pStyle w:val="TableBody"/>
              <w:spacing w:before="40" w:after="40"/>
            </w:pPr>
            <w:r w:rsidRPr="00E72760">
              <w:t>Department for Infrastructure and Transport</w:t>
            </w:r>
          </w:p>
        </w:tc>
      </w:tr>
      <w:tr w:rsidR="00D4147F" w:rsidRPr="00AF2815" w14:paraId="4C3EC329" w14:textId="77777777" w:rsidTr="00C650A1">
        <w:tc>
          <w:tcPr>
            <w:tcW w:w="1324" w:type="pct"/>
            <w:shd w:val="clear" w:color="auto" w:fill="F2F2F2" w:themeFill="background1" w:themeFillShade="F2"/>
          </w:tcPr>
          <w:p w14:paraId="1328DE8F" w14:textId="77777777" w:rsidR="00D4147F" w:rsidRPr="00E72760" w:rsidRDefault="00D4147F" w:rsidP="00C650A1">
            <w:pPr>
              <w:pStyle w:val="TableBody"/>
            </w:pPr>
            <w:r w:rsidRPr="00E72760">
              <w:t>Tasmania</w:t>
            </w:r>
          </w:p>
        </w:tc>
        <w:tc>
          <w:tcPr>
            <w:tcW w:w="3676" w:type="pct"/>
            <w:shd w:val="clear" w:color="auto" w:fill="auto"/>
          </w:tcPr>
          <w:p w14:paraId="21EECDCC" w14:textId="77777777" w:rsidR="00D4147F" w:rsidRPr="00E72760" w:rsidRDefault="00D4147F" w:rsidP="00C650A1">
            <w:pPr>
              <w:pStyle w:val="TableBody"/>
              <w:spacing w:before="40" w:after="40"/>
            </w:pPr>
            <w:r w:rsidRPr="00E72760">
              <w:t>Department of State Growth</w:t>
            </w:r>
          </w:p>
          <w:p w14:paraId="6159C746" w14:textId="77777777" w:rsidR="00D4147F" w:rsidRPr="00E72760" w:rsidRDefault="00D4147F" w:rsidP="00C650A1">
            <w:pPr>
              <w:pStyle w:val="TableBody"/>
              <w:spacing w:before="40" w:after="40"/>
            </w:pPr>
            <w:r w:rsidRPr="00E72760">
              <w:t>WorkSafe Tasmania</w:t>
            </w:r>
          </w:p>
        </w:tc>
      </w:tr>
      <w:tr w:rsidR="00D4147F" w:rsidRPr="00AF2815" w14:paraId="69C876AE" w14:textId="77777777" w:rsidTr="00C650A1">
        <w:tc>
          <w:tcPr>
            <w:tcW w:w="1324" w:type="pct"/>
            <w:shd w:val="clear" w:color="auto" w:fill="F2F2F2" w:themeFill="background1" w:themeFillShade="F2"/>
          </w:tcPr>
          <w:p w14:paraId="1ED1E9F7" w14:textId="77777777" w:rsidR="00D4147F" w:rsidRPr="00E72760" w:rsidRDefault="00D4147F" w:rsidP="00C650A1">
            <w:pPr>
              <w:pStyle w:val="TableBody"/>
            </w:pPr>
            <w:r w:rsidRPr="00E72760">
              <w:t>Victoria</w:t>
            </w:r>
          </w:p>
        </w:tc>
        <w:tc>
          <w:tcPr>
            <w:tcW w:w="3676" w:type="pct"/>
            <w:shd w:val="clear" w:color="auto" w:fill="auto"/>
          </w:tcPr>
          <w:p w14:paraId="76097C0C" w14:textId="77777777" w:rsidR="00D4147F" w:rsidRPr="00E72760" w:rsidRDefault="00D4147F" w:rsidP="00C650A1">
            <w:pPr>
              <w:pStyle w:val="TableBody"/>
              <w:spacing w:before="40" w:after="40"/>
            </w:pPr>
            <w:r w:rsidRPr="00E72760">
              <w:t>Department of Transport</w:t>
            </w:r>
          </w:p>
          <w:p w14:paraId="64E8D7F6" w14:textId="77777777" w:rsidR="00D4147F" w:rsidRPr="00E72760" w:rsidRDefault="00D4147F" w:rsidP="00C650A1">
            <w:pPr>
              <w:pStyle w:val="TableBody"/>
              <w:spacing w:before="40" w:after="40"/>
            </w:pPr>
            <w:r w:rsidRPr="00E72760">
              <w:lastRenderedPageBreak/>
              <w:t>Freight Victoria</w:t>
            </w:r>
          </w:p>
          <w:p w14:paraId="53B1DF18" w14:textId="77777777" w:rsidR="00D4147F" w:rsidRPr="00E72760" w:rsidRDefault="00D4147F" w:rsidP="00C650A1">
            <w:pPr>
              <w:pStyle w:val="TableBody"/>
              <w:spacing w:before="40" w:after="40"/>
            </w:pPr>
            <w:r w:rsidRPr="00E72760">
              <w:t>WorkSafe Victoria</w:t>
            </w:r>
          </w:p>
        </w:tc>
      </w:tr>
      <w:tr w:rsidR="00D4147F" w:rsidRPr="00AF2815" w14:paraId="69156FFA" w14:textId="77777777" w:rsidTr="00C650A1">
        <w:tc>
          <w:tcPr>
            <w:tcW w:w="1324" w:type="pct"/>
            <w:shd w:val="clear" w:color="auto" w:fill="F2F2F2" w:themeFill="background1" w:themeFillShade="F2"/>
          </w:tcPr>
          <w:p w14:paraId="4A7DDEAE" w14:textId="77777777" w:rsidR="00D4147F" w:rsidRPr="00E72760" w:rsidRDefault="00D4147F" w:rsidP="00C650A1">
            <w:pPr>
              <w:pStyle w:val="TableBody"/>
            </w:pPr>
            <w:r w:rsidRPr="00E72760">
              <w:lastRenderedPageBreak/>
              <w:t>Western Australia</w:t>
            </w:r>
          </w:p>
        </w:tc>
        <w:tc>
          <w:tcPr>
            <w:tcW w:w="3676" w:type="pct"/>
            <w:shd w:val="clear" w:color="auto" w:fill="auto"/>
          </w:tcPr>
          <w:p w14:paraId="59D4A183" w14:textId="77777777" w:rsidR="00D4147F" w:rsidRPr="00E72760" w:rsidRDefault="00D4147F" w:rsidP="00C650A1">
            <w:pPr>
              <w:pStyle w:val="TableBody"/>
              <w:spacing w:before="40" w:after="40"/>
            </w:pPr>
            <w:r w:rsidRPr="00E72760">
              <w:t>WorkSafe WA</w:t>
            </w:r>
          </w:p>
          <w:p w14:paraId="4D44F26F" w14:textId="77777777" w:rsidR="00D4147F" w:rsidRPr="00E72760" w:rsidRDefault="00D4147F" w:rsidP="00C650A1">
            <w:pPr>
              <w:pStyle w:val="TableBody"/>
              <w:spacing w:before="40" w:after="40"/>
            </w:pPr>
            <w:r w:rsidRPr="00E72760">
              <w:t>Arc Infrastructure</w:t>
            </w:r>
          </w:p>
        </w:tc>
      </w:tr>
    </w:tbl>
    <w:p w14:paraId="7C8787FC" w14:textId="77777777" w:rsidR="00DF0A79" w:rsidRDefault="00DF0A79" w:rsidP="00DF0A79">
      <w:pPr>
        <w:pStyle w:val="AppendixH2"/>
      </w:pPr>
      <w:r>
        <w:t>Additional information on consultation</w:t>
      </w:r>
    </w:p>
    <w:p w14:paraId="7678B977" w14:textId="77777777" w:rsidR="00DF0A79" w:rsidRPr="003645A2" w:rsidRDefault="00DF0A79" w:rsidP="00DF0A79">
      <w:pPr>
        <w:pStyle w:val="Caption"/>
      </w:pPr>
      <w:r w:rsidRPr="003645A2">
        <w:t>Overview of stakeholders consulted</w:t>
      </w:r>
    </w:p>
    <w:tbl>
      <w:tblPr>
        <w:tblStyle w:val="TableGrid5"/>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600" w:firstRow="0" w:lastRow="0" w:firstColumn="0" w:lastColumn="0" w:noHBand="1" w:noVBand="1"/>
      </w:tblPr>
      <w:tblGrid>
        <w:gridCol w:w="4699"/>
        <w:gridCol w:w="4939"/>
      </w:tblGrid>
      <w:tr w:rsidR="00DF0A79" w:rsidRPr="003645A2" w14:paraId="3678089F" w14:textId="77777777" w:rsidTr="00C650A1">
        <w:tc>
          <w:tcPr>
            <w:tcW w:w="5000" w:type="pct"/>
            <w:gridSpan w:val="2"/>
            <w:shd w:val="clear" w:color="auto" w:fill="034EA2" w:themeFill="accent1"/>
          </w:tcPr>
          <w:p w14:paraId="1070123B" w14:textId="77777777" w:rsidR="00DF0A79" w:rsidRPr="003645A2" w:rsidRDefault="00DF0A79" w:rsidP="00C650A1">
            <w:pPr>
              <w:pStyle w:val="TableHeading"/>
            </w:pPr>
            <w:r w:rsidRPr="003645A2">
              <w:t xml:space="preserve">Stakeholders Consulted </w:t>
            </w:r>
          </w:p>
        </w:tc>
      </w:tr>
      <w:tr w:rsidR="00DF0A79" w:rsidRPr="003645A2" w14:paraId="257D2CDD" w14:textId="77777777" w:rsidTr="00C650A1">
        <w:tc>
          <w:tcPr>
            <w:tcW w:w="2438" w:type="pct"/>
            <w:vAlign w:val="center"/>
          </w:tcPr>
          <w:p w14:paraId="35EF9587" w14:textId="77777777" w:rsidR="00DF0A79" w:rsidRDefault="00DF0A79" w:rsidP="00C650A1">
            <w:pPr>
              <w:pStyle w:val="TableBullet"/>
              <w:rPr>
                <w:rFonts w:eastAsia="Calibri"/>
              </w:rPr>
            </w:pPr>
            <w:r>
              <w:rPr>
                <w:rFonts w:eastAsia="Calibri"/>
              </w:rPr>
              <w:t>Australia Post</w:t>
            </w:r>
          </w:p>
          <w:p w14:paraId="434826BF" w14:textId="77777777" w:rsidR="00DF0A79" w:rsidRDefault="00DF0A79" w:rsidP="00C650A1">
            <w:pPr>
              <w:pStyle w:val="TableBullet"/>
              <w:rPr>
                <w:rFonts w:eastAsia="Calibri"/>
              </w:rPr>
            </w:pPr>
            <w:r>
              <w:rPr>
                <w:rFonts w:eastAsia="Calibri"/>
              </w:rPr>
              <w:t>TasRail</w:t>
            </w:r>
          </w:p>
          <w:p w14:paraId="42034AE6" w14:textId="77777777" w:rsidR="00DF0A79" w:rsidRDefault="00DF0A79" w:rsidP="00C650A1">
            <w:pPr>
              <w:pStyle w:val="TableBullet"/>
              <w:rPr>
                <w:rFonts w:eastAsia="Calibri"/>
              </w:rPr>
            </w:pPr>
            <w:r>
              <w:rPr>
                <w:rFonts w:eastAsia="Calibri"/>
              </w:rPr>
              <w:t xml:space="preserve">Australian Logistics </w:t>
            </w:r>
          </w:p>
          <w:p w14:paraId="135D2769" w14:textId="77777777" w:rsidR="00DF0A79" w:rsidRDefault="00DF0A79" w:rsidP="00C650A1">
            <w:pPr>
              <w:pStyle w:val="TableBullet"/>
              <w:rPr>
                <w:rFonts w:eastAsia="Calibri"/>
              </w:rPr>
            </w:pPr>
            <w:r>
              <w:rPr>
                <w:rFonts w:eastAsia="Calibri"/>
              </w:rPr>
              <w:t>VicTrack</w:t>
            </w:r>
          </w:p>
          <w:p w14:paraId="77BD900D" w14:textId="77777777" w:rsidR="00DF0A79" w:rsidRDefault="00DF0A79" w:rsidP="00C650A1">
            <w:pPr>
              <w:pStyle w:val="TableBullet"/>
              <w:rPr>
                <w:rFonts w:eastAsia="Calibri"/>
              </w:rPr>
            </w:pPr>
            <w:r>
              <w:rPr>
                <w:rFonts w:eastAsia="Calibri"/>
              </w:rPr>
              <w:t>Toll Group</w:t>
            </w:r>
          </w:p>
          <w:p w14:paraId="3E4C49AB" w14:textId="77777777" w:rsidR="00DF0A79" w:rsidRPr="00A8055D" w:rsidRDefault="00DF0A79" w:rsidP="00C650A1">
            <w:pPr>
              <w:pStyle w:val="TableBullet"/>
              <w:rPr>
                <w:rFonts w:eastAsia="Calibri"/>
              </w:rPr>
            </w:pPr>
            <w:r>
              <w:rPr>
                <w:rFonts w:eastAsia="Calibri"/>
              </w:rPr>
              <w:t>Linfox</w:t>
            </w:r>
          </w:p>
        </w:tc>
        <w:tc>
          <w:tcPr>
            <w:tcW w:w="2562" w:type="pct"/>
            <w:vAlign w:val="center"/>
          </w:tcPr>
          <w:p w14:paraId="0FB30435" w14:textId="77777777" w:rsidR="00DF0A79" w:rsidRDefault="00DF0A79" w:rsidP="00C650A1">
            <w:pPr>
              <w:pStyle w:val="TableBullet"/>
              <w:rPr>
                <w:rFonts w:eastAsia="Calibri"/>
              </w:rPr>
            </w:pPr>
            <w:r>
              <w:rPr>
                <w:rFonts w:eastAsia="Calibri"/>
              </w:rPr>
              <w:t>Aurizon</w:t>
            </w:r>
          </w:p>
          <w:p w14:paraId="61B52BFC" w14:textId="77777777" w:rsidR="00DF0A79" w:rsidRDefault="00DF0A79" w:rsidP="00C650A1">
            <w:pPr>
              <w:pStyle w:val="TableBullet"/>
              <w:rPr>
                <w:rFonts w:eastAsia="Calibri"/>
              </w:rPr>
            </w:pPr>
            <w:r>
              <w:rPr>
                <w:rFonts w:eastAsia="Calibri"/>
              </w:rPr>
              <w:t>NSW Ports</w:t>
            </w:r>
          </w:p>
          <w:p w14:paraId="7E654E5D" w14:textId="77777777" w:rsidR="00DF0A79" w:rsidRDefault="00DF0A79" w:rsidP="00C650A1">
            <w:pPr>
              <w:pStyle w:val="TableBullet"/>
              <w:rPr>
                <w:rFonts w:eastAsia="Calibri"/>
              </w:rPr>
            </w:pPr>
            <w:r>
              <w:rPr>
                <w:rFonts w:eastAsia="Calibri"/>
              </w:rPr>
              <w:t xml:space="preserve">Pacific National </w:t>
            </w:r>
          </w:p>
          <w:p w14:paraId="0F7C549A" w14:textId="77777777" w:rsidR="00DF0A79" w:rsidRDefault="00DF0A79" w:rsidP="00C650A1">
            <w:pPr>
              <w:pStyle w:val="TableBullet"/>
              <w:rPr>
                <w:rFonts w:eastAsia="Calibri"/>
              </w:rPr>
            </w:pPr>
            <w:r w:rsidRPr="00A8055D">
              <w:rPr>
                <w:rFonts w:eastAsia="Calibri"/>
              </w:rPr>
              <w:t>Victoria International Container Terminal</w:t>
            </w:r>
          </w:p>
          <w:p w14:paraId="2FC65384" w14:textId="77777777" w:rsidR="00DF0A79" w:rsidRDefault="00DF0A79" w:rsidP="00C650A1">
            <w:pPr>
              <w:pStyle w:val="TableBullet"/>
              <w:rPr>
                <w:rFonts w:eastAsia="Calibri"/>
              </w:rPr>
            </w:pPr>
            <w:r>
              <w:rPr>
                <w:rFonts w:eastAsia="Calibri"/>
              </w:rPr>
              <w:t>Australian Rail Track Corporation</w:t>
            </w:r>
          </w:p>
          <w:p w14:paraId="667EB1F0" w14:textId="77777777" w:rsidR="00DF0A79" w:rsidRPr="00A8055D" w:rsidRDefault="00DF0A79" w:rsidP="00C650A1">
            <w:pPr>
              <w:pStyle w:val="TableBullet"/>
              <w:rPr>
                <w:rFonts w:eastAsia="Calibri"/>
              </w:rPr>
            </w:pPr>
            <w:r>
              <w:rPr>
                <w:rFonts w:eastAsia="Calibri"/>
              </w:rPr>
              <w:t>SCT Logistics</w:t>
            </w:r>
          </w:p>
        </w:tc>
      </w:tr>
    </w:tbl>
    <w:p w14:paraId="4E2EEA9C" w14:textId="77777777" w:rsidR="00DF0A79" w:rsidRPr="003645A2" w:rsidRDefault="00DF0A79" w:rsidP="00DF0A79">
      <w:pPr>
        <w:pStyle w:val="Caption"/>
      </w:pPr>
      <w:r w:rsidRPr="003645A2">
        <w:t>Consultation timeline</w:t>
      </w:r>
    </w:p>
    <w:p w14:paraId="78EB31B8" w14:textId="77777777" w:rsidR="00DF0A79" w:rsidRDefault="00DF0A79" w:rsidP="00DF0A79">
      <w:pPr>
        <w:pStyle w:val="BodyText"/>
      </w:pPr>
      <w:r w:rsidRPr="00226303">
        <w:rPr>
          <w:noProof/>
          <w:lang w:eastAsia="en-AU"/>
        </w:rPr>
        <w:drawing>
          <wp:inline distT="0" distB="0" distL="0" distR="0" wp14:anchorId="231D64C7" wp14:editId="000DFF30">
            <wp:extent cx="5998501" cy="4652645"/>
            <wp:effectExtent l="0" t="0" r="254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noChangeArrowheads="1"/>
                    </pic:cNvPicPr>
                  </pic:nvPicPr>
                  <pic:blipFill>
                    <a:blip r:embed="rId60"/>
                    <a:stretch>
                      <a:fillRect/>
                    </a:stretch>
                  </pic:blipFill>
                  <pic:spPr bwMode="auto">
                    <a:xfrm>
                      <a:off x="0" y="0"/>
                      <a:ext cx="5998501" cy="4652645"/>
                    </a:xfrm>
                    <a:prstGeom prst="rect">
                      <a:avLst/>
                    </a:prstGeom>
                    <a:noFill/>
                    <a:ln>
                      <a:noFill/>
                    </a:ln>
                  </pic:spPr>
                </pic:pic>
              </a:graphicData>
            </a:graphic>
          </wp:inline>
        </w:drawing>
      </w:r>
    </w:p>
    <w:p w14:paraId="2141A422" w14:textId="77777777" w:rsidR="00DF5B48" w:rsidRPr="00DF5B48" w:rsidRDefault="00DF5B48" w:rsidP="00DF5B48">
      <w:pPr>
        <w:keepNext/>
        <w:keepLines/>
        <w:tabs>
          <w:tab w:val="left" w:pos="851"/>
        </w:tabs>
        <w:spacing w:before="360" w:after="240"/>
        <w:outlineLvl w:val="1"/>
        <w:rPr>
          <w:rFonts w:asciiTheme="majorHAnsi" w:eastAsia="Times New Roman" w:hAnsiTheme="majorHAnsi" w:cs="Arial"/>
          <w:b/>
          <w:bCs/>
          <w:color w:val="007BC3" w:themeColor="accent2"/>
          <w:sz w:val="28"/>
          <w:szCs w:val="28"/>
          <w:lang w:eastAsia="en-AU"/>
        </w:rPr>
      </w:pPr>
      <w:bookmarkStart w:id="617" w:name="_Toc91065476"/>
      <w:r w:rsidRPr="00DF5B48">
        <w:rPr>
          <w:rFonts w:asciiTheme="majorHAnsi" w:eastAsia="Times New Roman" w:hAnsiTheme="majorHAnsi" w:cs="Arial"/>
          <w:b/>
          <w:bCs/>
          <w:color w:val="007BC3" w:themeColor="accent2"/>
          <w:sz w:val="28"/>
          <w:szCs w:val="28"/>
          <w:lang w:eastAsia="en-AU"/>
        </w:rPr>
        <w:lastRenderedPageBreak/>
        <w:t xml:space="preserve">RMP Rules consultation </w:t>
      </w:r>
    </w:p>
    <w:bookmarkEnd w:id="617"/>
    <w:p w14:paraId="6E42740E" w14:textId="77777777" w:rsidR="00DF5B48" w:rsidRPr="00DF5B48" w:rsidRDefault="00DF5B48" w:rsidP="00DF5B48">
      <w:pPr>
        <w:rPr>
          <w:rFonts w:cstheme="majorHAnsi"/>
          <w:sz w:val="22"/>
          <w:szCs w:val="28"/>
        </w:rPr>
      </w:pPr>
      <w:r w:rsidRPr="00DF5B48">
        <w:rPr>
          <w:rFonts w:cstheme="majorHAnsi"/>
          <w:sz w:val="22"/>
          <w:szCs w:val="28"/>
        </w:rPr>
        <w:t xml:space="preserve">The Department undertook extensive consultation with industry, including the freight infrastructure and services sector for the design of RMP rules, with the objectives of:  </w:t>
      </w:r>
    </w:p>
    <w:p w14:paraId="066B36C6" w14:textId="77777777" w:rsidR="00DF5B48" w:rsidRPr="00DF5B48" w:rsidRDefault="00DF5B48" w:rsidP="00DF5B48">
      <w:pPr>
        <w:numPr>
          <w:ilvl w:val="0"/>
          <w:numId w:val="57"/>
        </w:numPr>
        <w:rPr>
          <w:rFonts w:cstheme="majorBidi"/>
          <w:sz w:val="22"/>
        </w:rPr>
      </w:pPr>
      <w:r w:rsidRPr="7EBB1CEE">
        <w:rPr>
          <w:rFonts w:cstheme="majorBidi"/>
          <w:sz w:val="22"/>
        </w:rPr>
        <w:t xml:space="preserve">Assessing whether there are existing regulations that meet the Bill’s RMP objectives, to ensure the regulatory burden is reduced where possible; and </w:t>
      </w:r>
    </w:p>
    <w:p w14:paraId="5A20FCCE" w14:textId="77777777" w:rsidR="00DF5B48" w:rsidRPr="00DF5B48" w:rsidRDefault="00DF5B48" w:rsidP="00DF5B48">
      <w:pPr>
        <w:numPr>
          <w:ilvl w:val="0"/>
          <w:numId w:val="57"/>
        </w:numPr>
        <w:rPr>
          <w:rFonts w:cstheme="majorBidi"/>
          <w:sz w:val="22"/>
        </w:rPr>
      </w:pPr>
      <w:r w:rsidRPr="7EBB1CEE">
        <w:rPr>
          <w:rFonts w:cstheme="majorBidi"/>
          <w:sz w:val="22"/>
        </w:rPr>
        <w:t>Ensuring there are rules in place that will drive an uplift in the security and resilience of critical freight infrastructure and services assets.</w:t>
      </w:r>
      <w:r w:rsidRPr="7EBB1CEE">
        <w:rPr>
          <w:rFonts w:cstheme="majorBidi"/>
          <w:sz w:val="22"/>
          <w:vertAlign w:val="superscript"/>
        </w:rPr>
        <w:footnoteReference w:id="289"/>
      </w:r>
    </w:p>
    <w:p w14:paraId="3E8F517D" w14:textId="32256A1E" w:rsidR="00DF5B48" w:rsidRPr="00DF5B48" w:rsidRDefault="00DF5B48" w:rsidP="00CE4B35">
      <w:pPr>
        <w:rPr>
          <w:rFonts w:cstheme="majorBidi"/>
          <w:sz w:val="22"/>
        </w:rPr>
      </w:pPr>
      <w:r w:rsidRPr="7EBB1CEE">
        <w:rPr>
          <w:rFonts w:cstheme="majorBidi"/>
          <w:sz w:val="22"/>
        </w:rPr>
        <w:t xml:space="preserve">Consultation with industry stakeholders occurred </w:t>
      </w:r>
      <w:r w:rsidR="002B1BFD">
        <w:rPr>
          <w:rFonts w:cstheme="majorBidi"/>
          <w:sz w:val="22"/>
        </w:rPr>
        <w:t>across the following</w:t>
      </w:r>
      <w:r w:rsidRPr="7EBB1CEE">
        <w:rPr>
          <w:rFonts w:cstheme="majorBidi"/>
          <w:sz w:val="22"/>
        </w:rPr>
        <w:t xml:space="preserve"> key stages: </w:t>
      </w:r>
    </w:p>
    <w:p w14:paraId="1B35FC68" w14:textId="77777777" w:rsidR="00DF5B48" w:rsidRPr="00DF5B48" w:rsidRDefault="00DF5B48" w:rsidP="00DF5B48">
      <w:pPr>
        <w:numPr>
          <w:ilvl w:val="0"/>
          <w:numId w:val="166"/>
        </w:numPr>
        <w:spacing w:after="160" w:line="259" w:lineRule="auto"/>
        <w:ind w:hanging="357"/>
        <w:rPr>
          <w:rFonts w:ascii="Arial" w:eastAsia="Calibri" w:hAnsi="Arial" w:cs="Arial"/>
          <w:sz w:val="22"/>
        </w:rPr>
      </w:pPr>
      <w:r w:rsidRPr="00DF5B48">
        <w:rPr>
          <w:rFonts w:ascii="Arial" w:eastAsia="Calibri" w:hAnsi="Arial" w:cs="Arial"/>
          <w:b/>
          <w:bCs/>
          <w:sz w:val="22"/>
        </w:rPr>
        <w:t>A virtual Town Hall</w:t>
      </w:r>
      <w:r w:rsidRPr="00DF5B48">
        <w:rPr>
          <w:rFonts w:ascii="Arial" w:eastAsia="Calibri" w:hAnsi="Arial" w:cs="Arial"/>
          <w:sz w:val="22"/>
        </w:rPr>
        <w:t>, held on 19 October 2021, attended by 360 approximately industry and Government stakeholders, including from the freight infrastructure and services sector. The purposes of the session were to:</w:t>
      </w:r>
    </w:p>
    <w:p w14:paraId="0120ED03" w14:textId="68FD60F1" w:rsidR="00DF5B48" w:rsidRPr="00DF5B48" w:rsidRDefault="00DF5B48" w:rsidP="00DF5B48">
      <w:pPr>
        <w:numPr>
          <w:ilvl w:val="0"/>
          <w:numId w:val="156"/>
        </w:numPr>
        <w:spacing w:after="0" w:line="259" w:lineRule="auto"/>
        <w:ind w:left="851" w:hanging="284"/>
        <w:rPr>
          <w:rFonts w:ascii="Arial" w:eastAsia="Calibri" w:hAnsi="Arial" w:cs="Arial"/>
          <w:sz w:val="22"/>
          <w:szCs w:val="24"/>
          <w:lang w:eastAsia="en-AU"/>
        </w:rPr>
      </w:pPr>
      <w:r w:rsidRPr="00DF5B48">
        <w:rPr>
          <w:rFonts w:ascii="Arial" w:eastAsia="Calibri" w:hAnsi="Arial" w:cs="Arial"/>
          <w:sz w:val="22"/>
          <w:szCs w:val="24"/>
          <w:lang w:eastAsia="en-AU"/>
        </w:rPr>
        <w:t>Outline the CI/SONS reforms and provide an update on the SLACI Bill (now SLACIP Act) and SLACIP Bill</w:t>
      </w:r>
      <w:r w:rsidR="00D721DC">
        <w:rPr>
          <w:rFonts w:ascii="Arial" w:eastAsia="Calibri" w:hAnsi="Arial" w:cs="Arial"/>
          <w:sz w:val="22"/>
          <w:szCs w:val="24"/>
          <w:lang w:eastAsia="en-AU"/>
        </w:rPr>
        <w:t xml:space="preserve"> (now SLACIP Act)</w:t>
      </w:r>
      <w:r w:rsidRPr="00DF5B48">
        <w:rPr>
          <w:rFonts w:ascii="Arial" w:eastAsia="Calibri" w:hAnsi="Arial" w:cs="Arial"/>
          <w:sz w:val="22"/>
          <w:szCs w:val="24"/>
          <w:lang w:eastAsia="en-AU"/>
        </w:rPr>
        <w:t>;</w:t>
      </w:r>
    </w:p>
    <w:p w14:paraId="67314DA6" w14:textId="77777777" w:rsidR="00DF5B48" w:rsidRPr="00DF5B48" w:rsidRDefault="00DF5B48" w:rsidP="00DF5B48">
      <w:pPr>
        <w:numPr>
          <w:ilvl w:val="0"/>
          <w:numId w:val="156"/>
        </w:numPr>
        <w:spacing w:after="0" w:line="259" w:lineRule="auto"/>
        <w:ind w:left="851" w:hanging="284"/>
        <w:rPr>
          <w:rFonts w:ascii="Arial" w:eastAsia="Calibri" w:hAnsi="Arial" w:cs="Arial"/>
          <w:sz w:val="22"/>
          <w:szCs w:val="24"/>
          <w:lang w:eastAsia="en-AU"/>
        </w:rPr>
      </w:pPr>
      <w:r w:rsidRPr="00DF5B48">
        <w:rPr>
          <w:rFonts w:ascii="Arial" w:eastAsia="Calibri" w:hAnsi="Arial" w:cs="Arial"/>
          <w:sz w:val="22"/>
          <w:szCs w:val="24"/>
          <w:lang w:eastAsia="en-AU"/>
        </w:rPr>
        <w:t xml:space="preserve">Provide </w:t>
      </w:r>
      <w:r w:rsidRPr="00DF5B48">
        <w:rPr>
          <w:rFonts w:ascii="Arial" w:eastAsia="Calibri" w:hAnsi="Arial" w:cs="Arial"/>
          <w:sz w:val="22"/>
        </w:rPr>
        <w:t xml:space="preserve">an update </w:t>
      </w:r>
      <w:r w:rsidRPr="00DF5B48">
        <w:rPr>
          <w:rFonts w:ascii="Arial" w:eastAsia="Calibri" w:hAnsi="Arial" w:cs="Arial"/>
          <w:sz w:val="22"/>
          <w:szCs w:val="24"/>
          <w:lang w:eastAsia="en-AU"/>
        </w:rPr>
        <w:t>for industry on the decision to consult on sector-agnostic RMP rules (as opposed to sector-specific rules), and outline how this would affect the consultation process going forward; and</w:t>
      </w:r>
    </w:p>
    <w:p w14:paraId="697CD709" w14:textId="77777777" w:rsidR="00DF5B48" w:rsidRPr="00DF5B48" w:rsidRDefault="00DF5B48" w:rsidP="00DF5B48">
      <w:pPr>
        <w:numPr>
          <w:ilvl w:val="0"/>
          <w:numId w:val="156"/>
        </w:numPr>
        <w:spacing w:after="0" w:line="259" w:lineRule="auto"/>
        <w:ind w:left="851" w:hanging="284"/>
        <w:rPr>
          <w:rFonts w:ascii="Arial" w:eastAsia="Calibri" w:hAnsi="Arial" w:cs="Arial"/>
          <w:sz w:val="22"/>
          <w:szCs w:val="24"/>
          <w:lang w:eastAsia="en-AU"/>
        </w:rPr>
      </w:pPr>
      <w:r w:rsidRPr="00DF5B48">
        <w:rPr>
          <w:rFonts w:ascii="Arial" w:eastAsia="Calibri" w:hAnsi="Arial" w:cs="Arial"/>
          <w:sz w:val="22"/>
          <w:szCs w:val="24"/>
          <w:lang w:eastAsia="en-AU"/>
        </w:rPr>
        <w:t xml:space="preserve">Answer any questions about the Bills or RMP rules consultation process. </w:t>
      </w:r>
    </w:p>
    <w:p w14:paraId="755251A1" w14:textId="77777777" w:rsidR="00DF5B48" w:rsidRPr="00DF5B48" w:rsidRDefault="00DF5B48" w:rsidP="00DF5B48">
      <w:pPr>
        <w:numPr>
          <w:ilvl w:val="0"/>
          <w:numId w:val="166"/>
        </w:numPr>
        <w:spacing w:after="160" w:line="259" w:lineRule="auto"/>
        <w:ind w:hanging="357"/>
        <w:rPr>
          <w:rFonts w:ascii="Arial" w:eastAsia="Calibri" w:hAnsi="Arial" w:cs="Arial"/>
          <w:sz w:val="22"/>
        </w:rPr>
      </w:pPr>
      <w:r w:rsidRPr="00DF5B48">
        <w:rPr>
          <w:rFonts w:ascii="Arial" w:eastAsia="Calibri" w:hAnsi="Arial" w:cs="Arial"/>
          <w:b/>
          <w:bCs/>
          <w:sz w:val="22"/>
        </w:rPr>
        <w:t xml:space="preserve">Two freight-specific Information Sessions, </w:t>
      </w:r>
      <w:r w:rsidRPr="00DF5B48">
        <w:rPr>
          <w:rFonts w:ascii="Arial" w:eastAsia="Calibri" w:hAnsi="Arial" w:cs="Arial"/>
          <w:sz w:val="22"/>
        </w:rPr>
        <w:t xml:space="preserve">held on 4 and 24 November 2021, attended by approximately 40 industry and Government stakeholders. The purpose of the information sessions was to reiterate the update for industry on the move from sector-specific to sector-agnostic RMP rules and to gain sector-specific feedback on the RMP rules. </w:t>
      </w:r>
    </w:p>
    <w:p w14:paraId="721273C3" w14:textId="77777777" w:rsidR="00DF5B48" w:rsidRPr="00DF5B48" w:rsidRDefault="00DF5B48" w:rsidP="00DF5B48">
      <w:pPr>
        <w:numPr>
          <w:ilvl w:val="0"/>
          <w:numId w:val="166"/>
        </w:numPr>
        <w:spacing w:after="160" w:line="259" w:lineRule="auto"/>
        <w:ind w:hanging="357"/>
        <w:rPr>
          <w:rFonts w:ascii="Arial" w:eastAsia="Calibri" w:hAnsi="Arial" w:cs="Arial"/>
          <w:sz w:val="22"/>
        </w:rPr>
      </w:pPr>
      <w:r w:rsidRPr="00DF5B48">
        <w:rPr>
          <w:rFonts w:ascii="Arial" w:eastAsia="Calibri" w:hAnsi="Arial" w:cs="Arial"/>
          <w:b/>
          <w:bCs/>
          <w:sz w:val="22"/>
        </w:rPr>
        <w:t>A wrap-up virtual</w:t>
      </w:r>
      <w:r w:rsidRPr="00DF5B48">
        <w:rPr>
          <w:rFonts w:ascii="Arial" w:eastAsia="Calibri" w:hAnsi="Arial" w:cs="Arial"/>
          <w:b/>
          <w:sz w:val="22"/>
        </w:rPr>
        <w:t xml:space="preserve"> Town Hall</w:t>
      </w:r>
      <w:r w:rsidRPr="00DF5B48">
        <w:rPr>
          <w:rFonts w:ascii="Arial" w:eastAsia="Calibri" w:hAnsi="Arial" w:cs="Arial"/>
          <w:b/>
          <w:bCs/>
          <w:sz w:val="22"/>
        </w:rPr>
        <w:t xml:space="preserve"> </w:t>
      </w:r>
      <w:r w:rsidRPr="00DF5B48">
        <w:rPr>
          <w:rFonts w:ascii="Arial" w:eastAsia="Calibri" w:hAnsi="Arial" w:cs="Arial"/>
          <w:sz w:val="22"/>
        </w:rPr>
        <w:t xml:space="preserve">held on 25 November 2021. The purpose of the Town Hall was to present the updated RMP rules and provide information on the further consultation period. The Town Hall was attended by approximately 800 industry and Government stakeholders across the 11 critical infrastructure sectors, including by stakeholders from the freight infrastructure and services asset classes. </w:t>
      </w:r>
    </w:p>
    <w:p w14:paraId="48EFFDCB" w14:textId="77777777" w:rsidR="00DF5B48" w:rsidRPr="00DF5B48" w:rsidRDefault="00DF5B48" w:rsidP="00DF5B48">
      <w:pPr>
        <w:numPr>
          <w:ilvl w:val="0"/>
          <w:numId w:val="166"/>
        </w:numPr>
        <w:spacing w:line="259" w:lineRule="auto"/>
        <w:ind w:left="351" w:hanging="357"/>
        <w:rPr>
          <w:rFonts w:ascii="Arial" w:eastAsia="Calibri" w:hAnsi="Arial" w:cs="Arial"/>
          <w:sz w:val="22"/>
        </w:rPr>
      </w:pPr>
      <w:r w:rsidRPr="00DF5B48">
        <w:rPr>
          <w:rFonts w:ascii="Arial" w:eastAsia="Calibri" w:hAnsi="Arial" w:cs="Arial"/>
          <w:b/>
          <w:bCs/>
          <w:sz w:val="22"/>
        </w:rPr>
        <w:t>Out of session consultation:</w:t>
      </w:r>
    </w:p>
    <w:p w14:paraId="39E83BA0" w14:textId="77777777" w:rsidR="00DF5B48" w:rsidRPr="00DF5B48" w:rsidRDefault="00DF5B48" w:rsidP="00CE4B35">
      <w:pPr>
        <w:pStyle w:val="Bullet2ndlevel"/>
      </w:pPr>
      <w:r w:rsidRPr="00DF5B48">
        <w:t xml:space="preserve">Stakeholders were encouraged to contact the Department out of session. The Department availed itself to stakeholders to discuss their concerns, working to ensure stakeholders’ understanding of the rules, and the rules’ proportionality. </w:t>
      </w:r>
    </w:p>
    <w:p w14:paraId="1D442BAA" w14:textId="77777777" w:rsidR="00DF5B48" w:rsidRPr="00DF5B48" w:rsidRDefault="00DF5B48" w:rsidP="00CE4B35">
      <w:pPr>
        <w:pStyle w:val="Bullet2ndlevel"/>
      </w:pPr>
      <w:r w:rsidRPr="00DF5B48">
        <w:t xml:space="preserve">Out of session engagement also assisted in the iterative development of rules between workshops, through addressing concerns raised by individual stakeholders and proposing a solution. </w:t>
      </w:r>
    </w:p>
    <w:p w14:paraId="5B4BD79F" w14:textId="77777777" w:rsidR="00DF5B48" w:rsidRPr="00DF5B48" w:rsidRDefault="00DF5B48" w:rsidP="00CE4B35">
      <w:pPr>
        <w:pStyle w:val="Bullet2ndlevel"/>
      </w:pPr>
      <w:r w:rsidRPr="00DF5B48">
        <w:t>This engagement strengthened the relationship between the Department and industry, while providing insights on implementation costs, entities’ operating environments and the overall impacts of the proposed regulatory changes.</w:t>
      </w:r>
    </w:p>
    <w:p w14:paraId="1859E5B6" w14:textId="6064BD5D" w:rsidR="00D61248" w:rsidRPr="00D309FE" w:rsidRDefault="00D61248" w:rsidP="00CE4B35">
      <w:pPr>
        <w:pStyle w:val="Bullet2ndlevel"/>
        <w:numPr>
          <w:ilvl w:val="0"/>
          <w:numId w:val="166"/>
        </w:numPr>
        <w:tabs>
          <w:tab w:val="clear" w:pos="2038"/>
        </w:tabs>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 xml:space="preserve">held on 10 October and 12 October 2022, attended by approximately 550 industry and Government stakeholders (across both sessions). The sessions provided information on the proposed RMP Rules as well as the broader obligation. These Town Halls, </w:t>
      </w:r>
      <w:r>
        <w:lastRenderedPageBreak/>
        <w:t>as well as four subsequent question and answer sessions, provided an opportunity for industry to ask questions about the proposed RMP Rules and process.</w:t>
      </w:r>
    </w:p>
    <w:p w14:paraId="7BB35FA1" w14:textId="77777777" w:rsidR="004F1F57" w:rsidRPr="004F1F57" w:rsidRDefault="004F1F57" w:rsidP="004F1F57">
      <w:pPr>
        <w:keepNext/>
        <w:keepLines/>
        <w:tabs>
          <w:tab w:val="left" w:pos="851"/>
        </w:tabs>
        <w:spacing w:before="360" w:after="240"/>
        <w:outlineLvl w:val="1"/>
        <w:rPr>
          <w:rFonts w:asciiTheme="majorHAnsi" w:eastAsia="Times New Roman" w:hAnsiTheme="majorHAnsi" w:cs="Arial"/>
          <w:b/>
          <w:bCs/>
          <w:color w:val="007BC3" w:themeColor="accent2"/>
          <w:sz w:val="28"/>
          <w:szCs w:val="28"/>
          <w:lang w:eastAsia="en-AU"/>
        </w:rPr>
      </w:pPr>
      <w:r w:rsidRPr="004F1F57">
        <w:rPr>
          <w:rFonts w:asciiTheme="majorHAnsi" w:eastAsia="Times New Roman" w:hAnsiTheme="majorHAnsi" w:cs="Arial"/>
          <w:b/>
          <w:bCs/>
          <w:color w:val="007BC3" w:themeColor="accent2"/>
          <w:sz w:val="28"/>
          <w:szCs w:val="28"/>
          <w:lang w:eastAsia="en-AU"/>
        </w:rPr>
        <w:t>Outcomes and themes from consultation on RMP rules</w:t>
      </w:r>
    </w:p>
    <w:p w14:paraId="2B68A2DE" w14:textId="77777777" w:rsidR="004F1F57" w:rsidRPr="004F1F57" w:rsidRDefault="004F1F57" w:rsidP="004F1F57">
      <w:pPr>
        <w:keepNext/>
        <w:tabs>
          <w:tab w:val="left" w:pos="1134"/>
        </w:tabs>
        <w:spacing w:before="240"/>
        <w:rPr>
          <w:i/>
          <w:color w:val="034EA2" w:themeColor="accent1"/>
          <w:sz w:val="22"/>
          <w:szCs w:val="18"/>
          <w:lang w:eastAsia="en-AU"/>
        </w:rPr>
      </w:pPr>
      <w:r w:rsidRPr="004F1F57">
        <w:rPr>
          <w:i/>
          <w:color w:val="034EA2" w:themeColor="accent1"/>
          <w:sz w:val="18"/>
          <w:szCs w:val="18"/>
          <w:lang w:eastAsia="en-AU"/>
        </w:rPr>
        <w:t>Key themes from consultation</w:t>
      </w:r>
    </w:p>
    <w:tbl>
      <w:tblPr>
        <w:tblStyle w:val="TableGrid52"/>
        <w:tblW w:w="5000" w:type="pct"/>
        <w:jc w:val="center"/>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110"/>
        <w:gridCol w:w="702"/>
        <w:gridCol w:w="2955"/>
        <w:gridCol w:w="4871"/>
      </w:tblGrid>
      <w:tr w:rsidR="004F1F57" w:rsidRPr="004F1F57" w14:paraId="4854E825" w14:textId="77777777" w:rsidTr="00AD4F33">
        <w:trPr>
          <w:cantSplit/>
          <w:tblHeader/>
          <w:jc w:val="center"/>
        </w:trPr>
        <w:tc>
          <w:tcPr>
            <w:tcW w:w="576" w:type="pct"/>
            <w:shd w:val="clear" w:color="auto" w:fill="034EA2" w:themeFill="accent1"/>
          </w:tcPr>
          <w:p w14:paraId="683CF065" w14:textId="77777777" w:rsidR="004F1F57" w:rsidRPr="004F1F57" w:rsidRDefault="004F1F57" w:rsidP="004F1F57">
            <w:pPr>
              <w:keepNext/>
              <w:rPr>
                <w:b/>
                <w:color w:val="FFFFFF" w:themeColor="background1"/>
              </w:rPr>
            </w:pPr>
            <w:r w:rsidRPr="004F1F57">
              <w:rPr>
                <w:b/>
                <w:color w:val="FFFFFF" w:themeColor="background1"/>
              </w:rPr>
              <w:t>Rule category</w:t>
            </w:r>
          </w:p>
        </w:tc>
        <w:tc>
          <w:tcPr>
            <w:tcW w:w="1897" w:type="pct"/>
            <w:gridSpan w:val="2"/>
            <w:shd w:val="clear" w:color="auto" w:fill="034EA2" w:themeFill="accent1"/>
            <w:vAlign w:val="center"/>
          </w:tcPr>
          <w:p w14:paraId="04DF330E" w14:textId="77777777" w:rsidR="004F1F57" w:rsidRPr="004F1F57" w:rsidRDefault="004F1F57" w:rsidP="004F1F57">
            <w:pPr>
              <w:keepNext/>
              <w:rPr>
                <w:b/>
                <w:color w:val="FFFFFF" w:themeColor="background1"/>
              </w:rPr>
            </w:pPr>
            <w:r w:rsidRPr="004F1F57">
              <w:rPr>
                <w:b/>
                <w:color w:val="FFFFFF" w:themeColor="background1"/>
              </w:rPr>
              <w:t>Identified themes</w:t>
            </w:r>
          </w:p>
        </w:tc>
        <w:tc>
          <w:tcPr>
            <w:tcW w:w="2527" w:type="pct"/>
            <w:shd w:val="clear" w:color="auto" w:fill="034EA2" w:themeFill="accent1"/>
            <w:vAlign w:val="center"/>
          </w:tcPr>
          <w:p w14:paraId="01B643D5" w14:textId="77777777" w:rsidR="004F1F57" w:rsidRPr="004F1F57" w:rsidRDefault="004F1F57" w:rsidP="004F1F57">
            <w:pPr>
              <w:keepNext/>
              <w:rPr>
                <w:b/>
                <w:color w:val="FFFFFF" w:themeColor="background1"/>
              </w:rPr>
            </w:pPr>
            <w:r w:rsidRPr="004F1F57">
              <w:rPr>
                <w:b/>
                <w:color w:val="FFFFFF" w:themeColor="background1"/>
              </w:rPr>
              <w:t>Impact on development of rules</w:t>
            </w:r>
          </w:p>
        </w:tc>
      </w:tr>
      <w:tr w:rsidR="004F1F57" w:rsidRPr="004F1F57" w14:paraId="7D0134D9" w14:textId="77777777" w:rsidTr="00AD4F33">
        <w:trPr>
          <w:cantSplit/>
          <w:trHeight w:val="1134"/>
          <w:jc w:val="center"/>
        </w:trPr>
        <w:tc>
          <w:tcPr>
            <w:tcW w:w="576" w:type="pct"/>
            <w:shd w:val="clear" w:color="auto" w:fill="BBDAFD" w:themeFill="accent1" w:themeFillTint="33"/>
          </w:tcPr>
          <w:p w14:paraId="7C5A9BE5" w14:textId="77777777" w:rsidR="004F1F57" w:rsidRPr="004F1F57" w:rsidRDefault="004F1F57" w:rsidP="004F1F57">
            <w:pPr>
              <w:spacing w:before="60" w:after="60"/>
              <w:rPr>
                <w:rFonts w:eastAsia="MS Mincho" w:cs="Times New Roman"/>
                <w:b/>
                <w:bCs/>
                <w:color w:val="000000" w:themeColor="text1"/>
                <w:szCs w:val="20"/>
                <w:lang w:val="en-US"/>
              </w:rPr>
            </w:pPr>
            <w:r w:rsidRPr="004F1F57">
              <w:rPr>
                <w:rFonts w:eastAsia="MS Mincho" w:cs="Times New Roman"/>
                <w:b/>
                <w:bCs/>
                <w:color w:val="000000" w:themeColor="text1"/>
                <w:szCs w:val="20"/>
                <w:lang w:val="en-US"/>
              </w:rPr>
              <w:t>RMP Rules</w:t>
            </w:r>
          </w:p>
        </w:tc>
        <w:tc>
          <w:tcPr>
            <w:tcW w:w="364" w:type="pct"/>
            <w:shd w:val="clear" w:color="auto" w:fill="EDEDED"/>
            <w:textDirection w:val="btLr"/>
            <w:vAlign w:val="bottom"/>
          </w:tcPr>
          <w:p w14:paraId="3B1BA9D6" w14:textId="77777777" w:rsidR="004F1F57" w:rsidRPr="004F1F57" w:rsidRDefault="004F1F57" w:rsidP="004F1F57">
            <w:pPr>
              <w:spacing w:before="60" w:after="60"/>
              <w:rPr>
                <w:rFonts w:eastAsia="MS Mincho" w:cs="Times New Roman"/>
                <w:b/>
                <w:bCs/>
                <w:color w:val="000000" w:themeColor="text1"/>
                <w:szCs w:val="20"/>
                <w:lang w:val="en-US"/>
              </w:rPr>
            </w:pPr>
            <w:r w:rsidRPr="004F1F57">
              <w:rPr>
                <w:rFonts w:eastAsia="MS Mincho" w:cs="Times New Roman"/>
                <w:b/>
                <w:bCs/>
                <w:color w:val="000000" w:themeColor="text1"/>
                <w:szCs w:val="20"/>
                <w:lang w:val="en-US"/>
              </w:rPr>
              <w:t>Information sessions</w:t>
            </w:r>
          </w:p>
        </w:tc>
        <w:tc>
          <w:tcPr>
            <w:tcW w:w="1533" w:type="pct"/>
          </w:tcPr>
          <w:p w14:paraId="2F4F4425" w14:textId="77777777" w:rsidR="004F1F57" w:rsidRPr="004F1F57" w:rsidRDefault="004F1F57" w:rsidP="004F1F57">
            <w:pPr>
              <w:numPr>
                <w:ilvl w:val="0"/>
                <w:numId w:val="16"/>
              </w:numPr>
              <w:spacing w:before="60" w:after="60"/>
              <w:ind w:left="284" w:hanging="284"/>
              <w:rPr>
                <w:rFonts w:eastAsia="Calibri" w:cs="Times New Roman"/>
                <w:lang w:eastAsia="en-AU"/>
              </w:rPr>
            </w:pPr>
            <w:r w:rsidRPr="7EBB1CEE">
              <w:rPr>
                <w:rFonts w:eastAsia="Calibri" w:cs="Times New Roman"/>
                <w:lang w:eastAsia="en-AU"/>
              </w:rPr>
              <w:t xml:space="preserve">There is an </w:t>
            </w:r>
            <w:r w:rsidRPr="7EBB1CEE">
              <w:rPr>
                <w:rFonts w:eastAsia="Calibri" w:cs="Times New Roman"/>
                <w:b/>
                <w:lang w:eastAsia="en-AU"/>
              </w:rPr>
              <w:t>appetite for guidance material</w:t>
            </w:r>
            <w:r w:rsidRPr="7EBB1CEE">
              <w:rPr>
                <w:rFonts w:eastAsia="Calibri" w:cs="Times New Roman"/>
                <w:lang w:eastAsia="en-AU"/>
              </w:rPr>
              <w:t xml:space="preserve"> to support sector-specific uplift in security and resilience.  </w:t>
            </w:r>
          </w:p>
        </w:tc>
        <w:tc>
          <w:tcPr>
            <w:tcW w:w="2527" w:type="pct"/>
            <w:vAlign w:val="center"/>
          </w:tcPr>
          <w:p w14:paraId="0EF60B46" w14:textId="77777777" w:rsidR="004F1F57" w:rsidRPr="004F1F57" w:rsidRDefault="004F1F57" w:rsidP="004F1F57">
            <w:pPr>
              <w:spacing w:before="60" w:after="60"/>
              <w:rPr>
                <w:rFonts w:eastAsia="MS Mincho" w:cs="Times New Roman"/>
                <w:color w:val="000000" w:themeColor="text1"/>
                <w:szCs w:val="20"/>
                <w:lang w:val="en-US" w:eastAsia="en-AU"/>
              </w:rPr>
            </w:pPr>
            <w:r w:rsidRPr="004F1F57">
              <w:rPr>
                <w:rFonts w:eastAsia="MS Mincho" w:cs="Times New Roman"/>
                <w:color w:val="000000" w:themeColor="text1"/>
                <w:szCs w:val="20"/>
                <w:lang w:val="en-US" w:eastAsia="en-AU"/>
              </w:rPr>
              <w:t xml:space="preserve">In response to feedback received during the information sessions, the Department committed to: </w:t>
            </w:r>
          </w:p>
          <w:p w14:paraId="101B2904" w14:textId="77777777" w:rsidR="004F1F57" w:rsidRPr="004F1F57" w:rsidRDefault="004F1F57" w:rsidP="004F1F57">
            <w:pPr>
              <w:numPr>
                <w:ilvl w:val="0"/>
                <w:numId w:val="16"/>
              </w:numPr>
              <w:spacing w:before="60" w:after="60"/>
              <w:ind w:left="284" w:hanging="284"/>
              <w:rPr>
                <w:rFonts w:eastAsia="Calibri" w:cs="Times New Roman"/>
                <w:lang w:eastAsia="en-AU"/>
              </w:rPr>
            </w:pPr>
            <w:r w:rsidRPr="7EBB1CEE">
              <w:rPr>
                <w:rFonts w:eastAsia="Calibri" w:cs="Times New Roman"/>
                <w:lang w:eastAsia="en-AU"/>
              </w:rPr>
              <w:t xml:space="preserve">The development of guidance materials, which would highlight aspects of risk management that should be prioritised by responsible entities and assist industry in interpreting and implementing the rules to achieve an uplift in security and resilience.  </w:t>
            </w:r>
          </w:p>
        </w:tc>
      </w:tr>
    </w:tbl>
    <w:p w14:paraId="12385976" w14:textId="77777777" w:rsidR="00AD4F33" w:rsidRPr="00C768BC" w:rsidRDefault="00AD4F33" w:rsidP="00AD4F33">
      <w:pPr>
        <w:pStyle w:val="AppendixH2"/>
      </w:pPr>
      <w:r w:rsidRPr="00C768BC">
        <w:t xml:space="preserve">Consultation on costs </w:t>
      </w:r>
    </w:p>
    <w:p w14:paraId="16CCB2A0" w14:textId="77777777" w:rsidR="00AD4F33" w:rsidRPr="003645A2" w:rsidRDefault="00AD4F33" w:rsidP="00AD4F33">
      <w:pPr>
        <w:pStyle w:val="BodyText"/>
      </w:pPr>
      <w:r w:rsidRPr="003645A2">
        <w:t xml:space="preserve">During </w:t>
      </w:r>
      <w:r>
        <w:t>the second information session</w:t>
      </w:r>
      <w:r w:rsidRPr="003645A2">
        <w:t>,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 were asked to provide:</w:t>
      </w:r>
    </w:p>
    <w:p w14:paraId="45ED64CA" w14:textId="77777777" w:rsidR="00AD4F33" w:rsidRPr="003645A2" w:rsidRDefault="00AD4F33" w:rsidP="00AD4F33">
      <w:pPr>
        <w:pStyle w:val="Bullet1stlevel"/>
      </w:pPr>
      <w:r w:rsidRPr="003645A2">
        <w:t xml:space="preserve">Their demographic information; </w:t>
      </w:r>
    </w:p>
    <w:p w14:paraId="3F4069DB" w14:textId="77777777" w:rsidR="00AD4F33" w:rsidRPr="003645A2" w:rsidRDefault="00AD4F33" w:rsidP="00AD4F33">
      <w:pPr>
        <w:pStyle w:val="Bullet1stlevel"/>
      </w:pPr>
      <w:r w:rsidRPr="003645A2">
        <w:t xml:space="preserve">Effort and cost estimates split by one-off and ongoing costs, staff effort, capital and other operating costs, and an estimated range between expected costs and highest possible costs; and </w:t>
      </w:r>
    </w:p>
    <w:p w14:paraId="2529D38C" w14:textId="77777777" w:rsidR="00AD4F33" w:rsidRPr="003645A2" w:rsidRDefault="00AD4F33" w:rsidP="00AD4F33">
      <w:pPr>
        <w:pStyle w:val="Bullet1stlevel"/>
      </w:pPr>
      <w:r w:rsidRPr="003645A2">
        <w:t xml:space="preserve">Any comments on key boundaries, assumptions and cost drivers attached to the costing estimates provided. </w:t>
      </w:r>
    </w:p>
    <w:p w14:paraId="50A5654B" w14:textId="77777777" w:rsidR="00AD4F33" w:rsidRPr="003B38F9" w:rsidRDefault="00AD4F33" w:rsidP="00AD4F33">
      <w:pPr>
        <w:pStyle w:val="BodyText"/>
      </w:pPr>
      <w:r w:rsidRPr="003645A2">
        <w:t xml:space="preserve">Industry was provided with the template on </w:t>
      </w:r>
      <w:r>
        <w:t>24 November</w:t>
      </w:r>
      <w:r w:rsidRPr="003645A2">
        <w:rPr>
          <w:bCs/>
        </w:rPr>
        <w:t xml:space="preserve"> 2021</w:t>
      </w:r>
      <w:r w:rsidRPr="003645A2">
        <w:t xml:space="preserve">, with submissions open for a period of four weeks and closing on </w:t>
      </w:r>
      <w:r>
        <w:t>22</w:t>
      </w:r>
      <w:r w:rsidRPr="003645A2">
        <w:rPr>
          <w:bCs/>
        </w:rPr>
        <w:t xml:space="preserve"> </w:t>
      </w:r>
      <w:r>
        <w:rPr>
          <w:bCs/>
        </w:rPr>
        <w:t>December</w:t>
      </w:r>
      <w:r w:rsidRPr="003645A2">
        <w:rPr>
          <w:bCs/>
        </w:rPr>
        <w:t xml:space="preserve"> 2021</w:t>
      </w:r>
      <w:r w:rsidRPr="003645A2">
        <w:t>.</w:t>
      </w:r>
    </w:p>
    <w:p w14:paraId="44E7BE44" w14:textId="77777777" w:rsidR="00A62FE9" w:rsidRDefault="00AD4F33" w:rsidP="2E9F4728">
      <w:pPr>
        <w:pStyle w:val="BodyText"/>
        <w:rPr>
          <w:sz w:val="32"/>
          <w:szCs w:val="32"/>
        </w:rPr>
      </w:pPr>
      <w:r w:rsidRPr="003B38F9">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sidRPr="003B38F9">
        <w:rPr>
          <w:vertAlign w:val="superscript"/>
        </w:rPr>
        <w:footnoteReference w:id="290"/>
      </w:r>
      <w:r w:rsidRPr="003B38F9">
        <w:t xml:space="preserve"> </w:t>
      </w:r>
      <w:r w:rsidRPr="2E9F4728">
        <w:rPr>
          <w:sz w:val="32"/>
          <w:szCs w:val="32"/>
        </w:rPr>
        <w:br w:type="page"/>
      </w:r>
    </w:p>
    <w:p w14:paraId="63BE5D63" w14:textId="7459F3F5" w:rsidR="003D145E" w:rsidRDefault="002B1C5A" w:rsidP="00A62FE9">
      <w:pPr>
        <w:pStyle w:val="AppendixH1"/>
      </w:pPr>
      <w:bookmarkStart w:id="618" w:name="_Toc121397424"/>
      <w:r w:rsidRPr="004576AF">
        <w:lastRenderedPageBreak/>
        <w:t xml:space="preserve">Supplementary </w:t>
      </w:r>
      <w:r w:rsidR="00232037" w:rsidRPr="004576AF">
        <w:t>information for critical food and grocery assets</w:t>
      </w:r>
      <w:bookmarkEnd w:id="618"/>
    </w:p>
    <w:p w14:paraId="215A3944" w14:textId="76347C47" w:rsidR="000A228A" w:rsidRDefault="009C0F5C" w:rsidP="009C0F5C">
      <w:pPr>
        <w:pStyle w:val="AppendixH2"/>
      </w:pPr>
      <w:r>
        <w:t xml:space="preserve">Overview of the role </w:t>
      </w:r>
      <w:r w:rsidR="00797A6B">
        <w:t>of</w:t>
      </w:r>
      <w:r>
        <w:t xml:space="preserve"> food and grocery assets in Australia</w:t>
      </w:r>
    </w:p>
    <w:p w14:paraId="2D3483A3" w14:textId="7715B0F6" w:rsidR="009C0F5C" w:rsidRDefault="000841BE">
      <w:pPr>
        <w:pStyle w:val="BodyText"/>
        <w:rPr>
          <w:lang w:eastAsia="en-AU"/>
        </w:rPr>
      </w:pPr>
      <w:r w:rsidRPr="000841BE">
        <w:rPr>
          <w:lang w:eastAsia="en-AU"/>
        </w:rPr>
        <w:t>The food and grocery sector in Australia is large and complex, comprised of a range of businesses up and down the supply chain. The sector includes food manufacturing, processing, packaging, distributing, and supplier businesses – ranging in scale from small family-owned operations to large multi-national corporations across Australia. These businesses produce and distribute a wide range of goods from food and beverage to non-food grocery products such as personal care products (over-the-counter medicines, toothpaste, skin lotions, cosmetics, toilet tissues), house care products (cleaning products, insecticides), pet care products,</w:t>
      </w:r>
      <w:r w:rsidR="00E72A87">
        <w:rPr>
          <w:lang w:eastAsia="en-AU"/>
        </w:rPr>
        <w:t xml:space="preserve"> </w:t>
      </w:r>
      <w:r w:rsidR="00E72A87" w:rsidRPr="00E72A87">
        <w:rPr>
          <w:lang w:eastAsia="en-AU"/>
        </w:rPr>
        <w:t>and numerous other miscellaneous</w:t>
      </w:r>
      <w:r w:rsidR="00E72A87">
        <w:rPr>
          <w:lang w:eastAsia="en-AU"/>
        </w:rPr>
        <w:t xml:space="preserve"> items</w:t>
      </w:r>
      <w:r w:rsidR="00926663">
        <w:rPr>
          <w:lang w:eastAsia="en-AU"/>
        </w:rPr>
        <w:t>.</w:t>
      </w:r>
      <w:r w:rsidR="00545C5F">
        <w:rPr>
          <w:rStyle w:val="FootnoteReference"/>
          <w:lang w:eastAsia="en-AU"/>
        </w:rPr>
        <w:footnoteReference w:id="291"/>
      </w:r>
    </w:p>
    <w:p w14:paraId="5FA56F26" w14:textId="651C506A" w:rsidR="00D11460" w:rsidRDefault="00D11460">
      <w:pPr>
        <w:pStyle w:val="BodyText"/>
        <w:rPr>
          <w:lang w:eastAsia="en-AU"/>
        </w:rPr>
      </w:pPr>
      <w:r w:rsidRPr="00D11460">
        <w:rPr>
          <w:lang w:eastAsia="en-AU"/>
        </w:rPr>
        <w:t xml:space="preserve">This sector plays an important role in ensuring the wellbeing of Australian citizens by facilitating access to essential food and groceries. In Australia, the grocery retail sector is dominated by </w:t>
      </w:r>
      <w:r>
        <w:rPr>
          <w:lang w:eastAsia="en-AU"/>
        </w:rPr>
        <w:t>four</w:t>
      </w:r>
      <w:r w:rsidRPr="00D11460">
        <w:rPr>
          <w:lang w:eastAsia="en-AU"/>
        </w:rPr>
        <w:t xml:space="preserve"> main retailers who account for 80% of the market: Woolworths (37.1%), Coles (29%), Aldi (9.5%) and Metcash (6.9%</w:t>
      </w:r>
      <w:r w:rsidR="00D4534F">
        <w:rPr>
          <w:lang w:eastAsia="en-AU"/>
        </w:rPr>
        <w:t>).</w:t>
      </w:r>
      <w:r w:rsidR="00613EB8">
        <w:rPr>
          <w:rStyle w:val="FootnoteReference"/>
          <w:lang w:eastAsia="en-AU"/>
        </w:rPr>
        <w:footnoteReference w:id="292"/>
      </w:r>
      <w:r w:rsidR="0076325C">
        <w:rPr>
          <w:lang w:eastAsia="en-AU"/>
        </w:rPr>
        <w:t xml:space="preserve"> </w:t>
      </w:r>
      <w:r w:rsidR="0076325C" w:rsidRPr="0076325C">
        <w:rPr>
          <w:lang w:eastAsia="en-AU"/>
        </w:rPr>
        <w:t>Metcash’s retail brands include IGA, Supa IGA (supermarkets) IGA X-press (convenience stores), IGA Fresh, Foodland and Friendly Grocer</w:t>
      </w:r>
      <w:r w:rsidR="0084602A">
        <w:rPr>
          <w:lang w:eastAsia="en-AU"/>
        </w:rPr>
        <w:t>. T</w:t>
      </w:r>
      <w:r w:rsidR="0084602A" w:rsidRPr="0084602A">
        <w:rPr>
          <w:lang w:eastAsia="en-AU"/>
        </w:rPr>
        <w:t>he remaining supermarket sector is made up of providers with small retail footprints such as Costco and Amazon</w:t>
      </w:r>
      <w:r w:rsidR="0084602A">
        <w:rPr>
          <w:lang w:eastAsia="en-AU"/>
        </w:rPr>
        <w:t>.</w:t>
      </w:r>
      <w:r w:rsidR="00613EB8">
        <w:rPr>
          <w:rStyle w:val="FootnoteReference"/>
          <w:lang w:eastAsia="en-AU"/>
        </w:rPr>
        <w:footnoteReference w:id="293"/>
      </w:r>
      <w:r w:rsidR="008343BB">
        <w:rPr>
          <w:lang w:eastAsia="en-AU"/>
        </w:rPr>
        <w:t xml:space="preserve"> </w:t>
      </w:r>
    </w:p>
    <w:p w14:paraId="18052CBB" w14:textId="0B56B6BE" w:rsidR="00D506A6" w:rsidRDefault="00D506A6">
      <w:pPr>
        <w:pStyle w:val="BodyText"/>
        <w:rPr>
          <w:lang w:eastAsia="en-AU"/>
        </w:rPr>
      </w:pPr>
      <w:r w:rsidRPr="00D506A6">
        <w:rPr>
          <w:lang w:eastAsia="en-AU"/>
        </w:rPr>
        <w:t>The food and grocery wholesaling industry is generally divided into two group</w:t>
      </w:r>
      <w:r w:rsidR="00106357">
        <w:rPr>
          <w:lang w:eastAsia="en-AU"/>
        </w:rPr>
        <w:t>s</w:t>
      </w:r>
      <w:r w:rsidR="00B07774">
        <w:rPr>
          <w:lang w:eastAsia="en-AU"/>
        </w:rPr>
        <w:t xml:space="preserve"> – whole</w:t>
      </w:r>
      <w:r w:rsidRPr="00D506A6">
        <w:rPr>
          <w:lang w:eastAsia="en-AU"/>
        </w:rPr>
        <w:t>salers who supply food retailers and wholesalers who supply food services. Food retailers are predominantly grocery stores, which require staple dry goods, toiletries, and fresh produce, whereas food services also require food items that are partly prepared, allowing businesses to reduce preparation time. The major players, which account for over 50% of the market</w:t>
      </w:r>
      <w:r w:rsidR="00EA607A">
        <w:rPr>
          <w:lang w:eastAsia="en-AU"/>
        </w:rPr>
        <w:t>,</w:t>
      </w:r>
      <w:r w:rsidRPr="00D506A6">
        <w:rPr>
          <w:lang w:eastAsia="en-AU"/>
        </w:rPr>
        <w:t xml:space="preserve"> cater to both groups</w:t>
      </w:r>
      <w:r w:rsidR="00B07774">
        <w:rPr>
          <w:lang w:eastAsia="en-AU"/>
        </w:rPr>
        <w:t xml:space="preserve"> – see </w:t>
      </w:r>
      <w:r w:rsidR="00B07774" w:rsidRPr="00B07774">
        <w:rPr>
          <w:lang w:eastAsia="en-AU"/>
        </w:rPr>
        <w:t>Metcash (41.1%), PFD Foods (9%) and Bidfoods (8.6%).</w:t>
      </w:r>
      <w:r w:rsidR="00FD2C61">
        <w:rPr>
          <w:rStyle w:val="FootnoteReference"/>
          <w:lang w:eastAsia="en-AU"/>
        </w:rPr>
        <w:footnoteReference w:id="294"/>
      </w:r>
    </w:p>
    <w:p w14:paraId="74C046BD" w14:textId="780E93DA" w:rsidR="002117A4" w:rsidRDefault="002117A4">
      <w:pPr>
        <w:pStyle w:val="BodyText"/>
        <w:rPr>
          <w:lang w:eastAsia="en-AU"/>
        </w:rPr>
      </w:pPr>
      <w:r w:rsidRPr="002117A4">
        <w:rPr>
          <w:lang w:eastAsia="en-AU"/>
        </w:rPr>
        <w:t xml:space="preserve">However, for the purposes of the SOCI Act, the critical food and grocery assets have been defined to </w:t>
      </w:r>
      <w:r w:rsidR="0035363C">
        <w:rPr>
          <w:lang w:eastAsia="en-AU"/>
        </w:rPr>
        <w:t xml:space="preserve">only </w:t>
      </w:r>
      <w:r w:rsidRPr="002117A4">
        <w:rPr>
          <w:lang w:eastAsia="en-AU"/>
        </w:rPr>
        <w:t>include essential food and grocery services.</w:t>
      </w:r>
      <w:r w:rsidR="00120137">
        <w:rPr>
          <w:lang w:eastAsia="en-AU"/>
        </w:rPr>
        <w:t xml:space="preserve"> </w:t>
      </w:r>
      <w:r w:rsidRPr="002117A4">
        <w:rPr>
          <w:lang w:eastAsia="en-AU"/>
        </w:rPr>
        <w:t>Section 12K of the SOCI Act prov</w:t>
      </w:r>
      <w:r w:rsidR="003512AF">
        <w:rPr>
          <w:lang w:eastAsia="en-AU"/>
        </w:rPr>
        <w:t>id</w:t>
      </w:r>
      <w:r w:rsidRPr="002117A4">
        <w:rPr>
          <w:lang w:eastAsia="en-AU"/>
        </w:rPr>
        <w:t>es the following in relation to ‘critical food and grocery asset’.</w:t>
      </w:r>
    </w:p>
    <w:p w14:paraId="3636475F" w14:textId="5D8435B4" w:rsidR="00031D4A" w:rsidRPr="004576AF" w:rsidRDefault="00031D4A" w:rsidP="004576AF">
      <w:pPr>
        <w:spacing w:before="0"/>
        <w:rPr>
          <w:i/>
        </w:rPr>
      </w:pPr>
      <w:r w:rsidRPr="004576AF">
        <w:rPr>
          <w:rStyle w:val="normaltextrun"/>
          <w:rFonts w:cstheme="minorHAnsi"/>
          <w:i/>
          <w:color w:val="000000"/>
          <w:sz w:val="22"/>
        </w:rPr>
        <w:t>(1)  An asset is a </w:t>
      </w:r>
      <w:r w:rsidRPr="00CB4E10">
        <w:rPr>
          <w:rStyle w:val="normaltextrun"/>
          <w:rFonts w:cstheme="minorHAnsi"/>
          <w:b/>
          <w:bCs/>
          <w:i/>
          <w:iCs/>
          <w:color w:val="000000"/>
          <w:sz w:val="22"/>
        </w:rPr>
        <w:t>critical food and grocery asset</w:t>
      </w:r>
      <w:r w:rsidRPr="004576AF">
        <w:rPr>
          <w:rStyle w:val="normaltextrun"/>
          <w:rFonts w:cstheme="minorHAnsi"/>
          <w:i/>
          <w:color w:val="000000"/>
          <w:sz w:val="22"/>
        </w:rPr>
        <w:t> if it is a network that:</w:t>
      </w:r>
      <w:r w:rsidRPr="004576AF">
        <w:rPr>
          <w:rStyle w:val="eop"/>
          <w:rFonts w:cstheme="minorHAnsi"/>
          <w:i/>
          <w:color w:val="000000"/>
          <w:sz w:val="22"/>
        </w:rPr>
        <w:t> </w:t>
      </w:r>
    </w:p>
    <w:p w14:paraId="5B5CD523" w14:textId="237B744B" w:rsidR="00031D4A" w:rsidRPr="004576AF" w:rsidRDefault="00031D4A" w:rsidP="004576AF">
      <w:pPr>
        <w:spacing w:before="0"/>
        <w:ind w:firstLine="720"/>
        <w:rPr>
          <w:i/>
        </w:rPr>
      </w:pPr>
      <w:r w:rsidRPr="004576AF">
        <w:rPr>
          <w:rStyle w:val="normaltextrun"/>
          <w:rFonts w:cstheme="minorHAnsi"/>
          <w:i/>
          <w:color w:val="000000"/>
          <w:sz w:val="22"/>
        </w:rPr>
        <w:t>(a)  is used for the distribution or supply of:</w:t>
      </w:r>
      <w:r w:rsidRPr="004576AF">
        <w:rPr>
          <w:rStyle w:val="eop"/>
          <w:rFonts w:cstheme="minorHAnsi"/>
          <w:i/>
          <w:color w:val="000000"/>
          <w:sz w:val="22"/>
        </w:rPr>
        <w:t> </w:t>
      </w:r>
    </w:p>
    <w:p w14:paraId="13698073" w14:textId="3F8F7A60" w:rsidR="00031D4A" w:rsidRPr="004576AF" w:rsidRDefault="00031D4A" w:rsidP="004576AF">
      <w:pPr>
        <w:spacing w:before="0"/>
        <w:ind w:left="720" w:firstLine="720"/>
        <w:rPr>
          <w:i/>
        </w:rPr>
      </w:pPr>
      <w:r w:rsidRPr="004576AF">
        <w:rPr>
          <w:rStyle w:val="normaltextrun"/>
          <w:rFonts w:cstheme="minorHAnsi"/>
          <w:i/>
          <w:color w:val="000000"/>
          <w:sz w:val="22"/>
        </w:rPr>
        <w:t>(i)  essential food; or</w:t>
      </w:r>
      <w:r w:rsidRPr="004576AF">
        <w:rPr>
          <w:rStyle w:val="eop"/>
          <w:rFonts w:cstheme="minorHAnsi"/>
          <w:i/>
          <w:color w:val="000000"/>
          <w:sz w:val="22"/>
        </w:rPr>
        <w:t> </w:t>
      </w:r>
    </w:p>
    <w:p w14:paraId="5171825C" w14:textId="597456BD" w:rsidR="00031D4A" w:rsidRPr="004576AF" w:rsidRDefault="00031D4A" w:rsidP="004576AF">
      <w:pPr>
        <w:spacing w:before="0"/>
        <w:ind w:left="720" w:firstLine="720"/>
        <w:rPr>
          <w:i/>
        </w:rPr>
      </w:pPr>
      <w:r w:rsidRPr="004576AF">
        <w:rPr>
          <w:rStyle w:val="normaltextrun"/>
          <w:rFonts w:cstheme="minorHAnsi"/>
          <w:i/>
          <w:color w:val="000000"/>
          <w:sz w:val="22"/>
        </w:rPr>
        <w:t>(ii)  essential groceries; and</w:t>
      </w:r>
      <w:r w:rsidRPr="004576AF">
        <w:rPr>
          <w:rStyle w:val="eop"/>
          <w:rFonts w:cstheme="minorHAnsi"/>
          <w:i/>
          <w:color w:val="000000"/>
          <w:sz w:val="22"/>
        </w:rPr>
        <w:t> </w:t>
      </w:r>
    </w:p>
    <w:p w14:paraId="0AA2E150" w14:textId="34A9033A" w:rsidR="00031D4A" w:rsidRPr="004576AF" w:rsidRDefault="00031D4A" w:rsidP="004576AF">
      <w:pPr>
        <w:spacing w:before="0"/>
        <w:ind w:firstLine="720"/>
        <w:rPr>
          <w:i/>
        </w:rPr>
      </w:pPr>
      <w:r w:rsidRPr="004576AF">
        <w:rPr>
          <w:rStyle w:val="normaltextrun"/>
          <w:rFonts w:cstheme="minorHAnsi"/>
          <w:i/>
          <w:color w:val="000000"/>
          <w:sz w:val="22"/>
        </w:rPr>
        <w:t>(b)  is owned or operated by an entity that is:</w:t>
      </w:r>
      <w:r w:rsidRPr="004576AF">
        <w:rPr>
          <w:rStyle w:val="eop"/>
          <w:rFonts w:cstheme="minorHAnsi"/>
          <w:i/>
          <w:color w:val="000000"/>
          <w:sz w:val="22"/>
        </w:rPr>
        <w:t> </w:t>
      </w:r>
    </w:p>
    <w:p w14:paraId="25AA5E08" w14:textId="1F83F0FD" w:rsidR="00031D4A" w:rsidRPr="004576AF" w:rsidRDefault="00031D4A" w:rsidP="004576AF">
      <w:pPr>
        <w:spacing w:before="0"/>
        <w:ind w:left="720" w:firstLine="720"/>
        <w:rPr>
          <w:i/>
        </w:rPr>
      </w:pPr>
      <w:r w:rsidRPr="004576AF">
        <w:rPr>
          <w:rStyle w:val="normaltextrun"/>
          <w:rFonts w:cstheme="minorHAnsi"/>
          <w:i/>
          <w:color w:val="000000"/>
          <w:sz w:val="22"/>
        </w:rPr>
        <w:t>(i)  a critical supermarket retailer, in accordance with subsection (2); or</w:t>
      </w:r>
      <w:r w:rsidRPr="004576AF">
        <w:rPr>
          <w:rStyle w:val="eop"/>
          <w:rFonts w:cstheme="minorHAnsi"/>
          <w:i/>
          <w:color w:val="000000"/>
          <w:sz w:val="22"/>
        </w:rPr>
        <w:t> </w:t>
      </w:r>
    </w:p>
    <w:p w14:paraId="13E61394" w14:textId="68EED53B" w:rsidR="00031D4A" w:rsidRPr="004576AF" w:rsidRDefault="00031D4A" w:rsidP="004576AF">
      <w:pPr>
        <w:spacing w:before="0"/>
        <w:ind w:left="720" w:firstLine="720"/>
        <w:rPr>
          <w:i/>
        </w:rPr>
      </w:pPr>
      <w:r w:rsidRPr="004576AF">
        <w:rPr>
          <w:rStyle w:val="normaltextrun"/>
          <w:rFonts w:cstheme="minorHAnsi"/>
          <w:i/>
          <w:color w:val="000000"/>
          <w:sz w:val="22"/>
        </w:rPr>
        <w:t>(ii)  a critical food wholesaler, in accordance with subsection (3); or</w:t>
      </w:r>
      <w:r w:rsidRPr="004576AF">
        <w:rPr>
          <w:rStyle w:val="eop"/>
          <w:rFonts w:cstheme="minorHAnsi"/>
          <w:i/>
          <w:color w:val="000000"/>
          <w:sz w:val="22"/>
        </w:rPr>
        <w:t> </w:t>
      </w:r>
    </w:p>
    <w:p w14:paraId="7C89D0DB" w14:textId="4EBF59AD" w:rsidR="00031D4A" w:rsidRPr="004576AF" w:rsidRDefault="00031D4A" w:rsidP="004576AF">
      <w:pPr>
        <w:spacing w:before="0" w:after="0"/>
        <w:ind w:left="720" w:firstLine="720"/>
        <w:rPr>
          <w:i/>
        </w:rPr>
      </w:pPr>
      <w:r w:rsidRPr="004576AF">
        <w:rPr>
          <w:rStyle w:val="normaltextrun"/>
          <w:rFonts w:cstheme="minorHAnsi"/>
          <w:i/>
          <w:color w:val="000000"/>
          <w:sz w:val="22"/>
        </w:rPr>
        <w:t>(iii)  a critical grocery wholesaler, in accordance with subsection (4).</w:t>
      </w:r>
      <w:r w:rsidRPr="004576AF">
        <w:rPr>
          <w:rStyle w:val="eop"/>
          <w:rFonts w:cstheme="minorHAnsi"/>
          <w:i/>
          <w:color w:val="000000"/>
          <w:sz w:val="22"/>
        </w:rPr>
        <w:t> </w:t>
      </w:r>
    </w:p>
    <w:p w14:paraId="4E1E5553" w14:textId="6C877B67" w:rsidR="00031D4A" w:rsidRPr="002D7663" w:rsidRDefault="00031D4A" w:rsidP="004576AF">
      <w:pPr>
        <w:rPr>
          <w:i/>
        </w:rPr>
      </w:pPr>
      <w:r w:rsidRPr="002D7663">
        <w:rPr>
          <w:rStyle w:val="normaltextrun"/>
          <w:rFonts w:cstheme="minorHAnsi"/>
          <w:i/>
          <w:color w:val="000000"/>
          <w:sz w:val="22"/>
        </w:rPr>
        <w:t>Note:</w:t>
      </w:r>
      <w:r w:rsidR="005F4EFF">
        <w:rPr>
          <w:rStyle w:val="normaltextrun"/>
          <w:rFonts w:cstheme="minorHAnsi"/>
          <w:i/>
          <w:iCs/>
          <w:color w:val="000000"/>
          <w:sz w:val="22"/>
        </w:rPr>
        <w:tab/>
      </w:r>
      <w:r w:rsidR="00031955">
        <w:rPr>
          <w:rStyle w:val="normaltextrun"/>
          <w:rFonts w:cstheme="minorHAnsi"/>
          <w:i/>
          <w:iCs/>
          <w:color w:val="000000"/>
          <w:sz w:val="22"/>
        </w:rPr>
        <w:tab/>
      </w:r>
      <w:r w:rsidRPr="002D7663">
        <w:rPr>
          <w:rStyle w:val="normaltextrun"/>
          <w:rFonts w:cstheme="minorHAnsi"/>
          <w:i/>
          <w:color w:val="000000"/>
          <w:sz w:val="22"/>
        </w:rPr>
        <w:t>The rules may prescribe that a specified critical food and grocery asset is not a critical infrastructure asset (see section 9).</w:t>
      </w:r>
      <w:r w:rsidRPr="002D7663">
        <w:rPr>
          <w:rStyle w:val="eop"/>
          <w:rFonts w:cstheme="minorHAnsi"/>
          <w:i/>
          <w:color w:val="000000"/>
          <w:sz w:val="22"/>
        </w:rPr>
        <w:t> </w:t>
      </w:r>
      <w:r w:rsidR="0066387B">
        <w:rPr>
          <w:rStyle w:val="eop"/>
          <w:rFonts w:cstheme="minorHAnsi"/>
          <w:i/>
          <w:iCs/>
          <w:color w:val="000000"/>
          <w:sz w:val="22"/>
        </w:rPr>
        <w:br/>
      </w:r>
    </w:p>
    <w:p w14:paraId="7CBC1D0D" w14:textId="348D38A9" w:rsidR="00031D4A" w:rsidRPr="002D7663" w:rsidRDefault="00031D4A" w:rsidP="002D7663">
      <w:pPr>
        <w:spacing w:before="0"/>
        <w:rPr>
          <w:i/>
        </w:rPr>
      </w:pPr>
      <w:r w:rsidRPr="002D7663">
        <w:rPr>
          <w:rStyle w:val="normaltextrun"/>
          <w:rFonts w:cstheme="minorHAnsi"/>
          <w:i/>
          <w:color w:val="000000"/>
          <w:sz w:val="22"/>
        </w:rPr>
        <w:t>(2)  For the purposes of subparagraph (1)(b)(i), the rules may prescribe:</w:t>
      </w:r>
      <w:r w:rsidRPr="002D7663">
        <w:rPr>
          <w:rStyle w:val="eop"/>
          <w:rFonts w:cstheme="minorHAnsi"/>
          <w:i/>
          <w:color w:val="000000"/>
          <w:sz w:val="22"/>
        </w:rPr>
        <w:t> </w:t>
      </w:r>
    </w:p>
    <w:p w14:paraId="57B37C00" w14:textId="5926B4DB" w:rsidR="00031D4A" w:rsidRPr="002D7663" w:rsidRDefault="00031D4A" w:rsidP="002D7663">
      <w:pPr>
        <w:spacing w:before="0"/>
        <w:ind w:firstLine="720"/>
        <w:rPr>
          <w:i/>
        </w:rPr>
      </w:pPr>
      <w:r w:rsidRPr="002D7663">
        <w:rPr>
          <w:rStyle w:val="normaltextrun"/>
          <w:rFonts w:cstheme="minorHAnsi"/>
          <w:i/>
          <w:color w:val="000000"/>
          <w:sz w:val="22"/>
        </w:rPr>
        <w:lastRenderedPageBreak/>
        <w:t>(a)  specified entities that are critical supermarket retailers; or</w:t>
      </w:r>
      <w:r w:rsidRPr="002D7663">
        <w:rPr>
          <w:rStyle w:val="eop"/>
          <w:rFonts w:cstheme="minorHAnsi"/>
          <w:i/>
          <w:color w:val="000000"/>
          <w:sz w:val="22"/>
        </w:rPr>
        <w:t> </w:t>
      </w:r>
    </w:p>
    <w:p w14:paraId="1BA8E4A5" w14:textId="24B4FBAE" w:rsidR="00031D4A" w:rsidRPr="002D7663" w:rsidRDefault="00031D4A" w:rsidP="002D7663">
      <w:pPr>
        <w:spacing w:before="0" w:after="0"/>
        <w:ind w:firstLine="720"/>
        <w:rPr>
          <w:i/>
        </w:rPr>
      </w:pPr>
      <w:r w:rsidRPr="002D7663">
        <w:rPr>
          <w:rStyle w:val="normaltextrun"/>
          <w:rFonts w:cstheme="minorHAnsi"/>
          <w:i/>
          <w:color w:val="000000"/>
          <w:sz w:val="22"/>
        </w:rPr>
        <w:t>(b)  requirements for an entity to be a critical supermarket retailer.</w:t>
      </w:r>
      <w:r w:rsidRPr="002D7663">
        <w:rPr>
          <w:rStyle w:val="eop"/>
          <w:rFonts w:cstheme="minorHAnsi"/>
          <w:i/>
          <w:color w:val="000000"/>
          <w:sz w:val="22"/>
        </w:rPr>
        <w:t> </w:t>
      </w:r>
    </w:p>
    <w:p w14:paraId="316BA999" w14:textId="77777777" w:rsidR="00031955" w:rsidRDefault="00031955" w:rsidP="00031955">
      <w:pPr>
        <w:spacing w:before="0" w:after="0"/>
        <w:rPr>
          <w:rStyle w:val="normaltextrun"/>
          <w:rFonts w:cstheme="minorHAnsi"/>
          <w:i/>
          <w:iCs/>
          <w:color w:val="000000"/>
          <w:sz w:val="22"/>
        </w:rPr>
      </w:pPr>
    </w:p>
    <w:p w14:paraId="39583CD9" w14:textId="1BE8149E" w:rsidR="00031D4A" w:rsidRPr="002D7663" w:rsidRDefault="00031D4A" w:rsidP="002D7663">
      <w:pPr>
        <w:spacing w:before="0"/>
        <w:rPr>
          <w:i/>
        </w:rPr>
      </w:pPr>
      <w:r w:rsidRPr="002D7663">
        <w:rPr>
          <w:rStyle w:val="normaltextrun"/>
          <w:rFonts w:cstheme="minorHAnsi"/>
          <w:i/>
          <w:color w:val="000000"/>
          <w:sz w:val="22"/>
        </w:rPr>
        <w:t>(3)  For the purposes of subparagraph (1)(b)(ii), the rules may prescribe:</w:t>
      </w:r>
      <w:r w:rsidRPr="002D7663">
        <w:rPr>
          <w:rStyle w:val="eop"/>
          <w:rFonts w:cstheme="minorHAnsi"/>
          <w:i/>
          <w:color w:val="000000"/>
          <w:sz w:val="22"/>
        </w:rPr>
        <w:t> </w:t>
      </w:r>
    </w:p>
    <w:p w14:paraId="09231F6F" w14:textId="22866FDD" w:rsidR="00031D4A" w:rsidRPr="002D7663" w:rsidRDefault="00031D4A" w:rsidP="002D7663">
      <w:pPr>
        <w:spacing w:before="0"/>
        <w:ind w:firstLine="720"/>
        <w:rPr>
          <w:i/>
        </w:rPr>
      </w:pPr>
      <w:r w:rsidRPr="002D7663">
        <w:rPr>
          <w:rStyle w:val="normaltextrun"/>
          <w:rFonts w:cstheme="minorHAnsi"/>
          <w:i/>
          <w:color w:val="000000"/>
          <w:sz w:val="22"/>
        </w:rPr>
        <w:t>(a)  specified entities that are critical food wholesalers; or</w:t>
      </w:r>
      <w:r w:rsidRPr="002D7663">
        <w:rPr>
          <w:rStyle w:val="eop"/>
          <w:rFonts w:cstheme="minorHAnsi"/>
          <w:i/>
          <w:color w:val="000000"/>
          <w:sz w:val="22"/>
        </w:rPr>
        <w:t> </w:t>
      </w:r>
    </w:p>
    <w:p w14:paraId="2379AD8F" w14:textId="249609CB" w:rsidR="00031D4A" w:rsidRPr="002D7663" w:rsidRDefault="00031D4A" w:rsidP="002D7663">
      <w:pPr>
        <w:spacing w:before="0" w:after="0"/>
        <w:ind w:firstLine="720"/>
        <w:rPr>
          <w:i/>
        </w:rPr>
      </w:pPr>
      <w:r w:rsidRPr="002D7663">
        <w:rPr>
          <w:rStyle w:val="normaltextrun"/>
          <w:rFonts w:cstheme="minorHAnsi"/>
          <w:i/>
          <w:color w:val="000000"/>
          <w:sz w:val="22"/>
        </w:rPr>
        <w:t>(b)  requirements for an entity to be a critical food wholesaler.</w:t>
      </w:r>
      <w:r w:rsidRPr="002D7663">
        <w:rPr>
          <w:rStyle w:val="eop"/>
          <w:rFonts w:cstheme="minorHAnsi"/>
          <w:i/>
          <w:color w:val="000000"/>
          <w:sz w:val="22"/>
        </w:rPr>
        <w:t> </w:t>
      </w:r>
      <w:r w:rsidR="0066387B">
        <w:rPr>
          <w:rStyle w:val="eop"/>
          <w:rFonts w:cstheme="minorHAnsi"/>
          <w:i/>
          <w:iCs/>
          <w:color w:val="000000"/>
          <w:sz w:val="22"/>
        </w:rPr>
        <w:br/>
      </w:r>
    </w:p>
    <w:p w14:paraId="0E03FE53" w14:textId="75C107BD" w:rsidR="00031D4A" w:rsidRPr="002D7663" w:rsidRDefault="00031D4A" w:rsidP="002D7663">
      <w:pPr>
        <w:rPr>
          <w:i/>
        </w:rPr>
      </w:pPr>
      <w:r w:rsidRPr="002D7663">
        <w:rPr>
          <w:rStyle w:val="normaltextrun"/>
          <w:rFonts w:cstheme="minorHAnsi"/>
          <w:i/>
          <w:color w:val="000000"/>
          <w:sz w:val="22"/>
        </w:rPr>
        <w:t>(4)  For the purposes of subparagraph (1)(b)(iii), the rules may prescribe:</w:t>
      </w:r>
      <w:r w:rsidRPr="002D7663">
        <w:rPr>
          <w:rStyle w:val="eop"/>
          <w:rFonts w:cstheme="minorHAnsi"/>
          <w:i/>
          <w:color w:val="000000"/>
          <w:sz w:val="22"/>
        </w:rPr>
        <w:t> </w:t>
      </w:r>
    </w:p>
    <w:p w14:paraId="4A40728B" w14:textId="7AE76F3E" w:rsidR="00031D4A" w:rsidRPr="002D7663" w:rsidRDefault="00031D4A" w:rsidP="002D7663">
      <w:pPr>
        <w:ind w:firstLine="720"/>
        <w:rPr>
          <w:i/>
        </w:rPr>
      </w:pPr>
      <w:r w:rsidRPr="002D7663">
        <w:rPr>
          <w:rStyle w:val="normaltextrun"/>
          <w:rFonts w:cstheme="minorHAnsi"/>
          <w:i/>
          <w:color w:val="000000"/>
          <w:sz w:val="22"/>
        </w:rPr>
        <w:t>(a)  specified entities that are critical grocery wholesalers; or</w:t>
      </w:r>
      <w:r w:rsidRPr="002D7663">
        <w:rPr>
          <w:rStyle w:val="eop"/>
          <w:rFonts w:cstheme="minorHAnsi"/>
          <w:i/>
          <w:color w:val="000000"/>
          <w:sz w:val="22"/>
        </w:rPr>
        <w:t> </w:t>
      </w:r>
    </w:p>
    <w:p w14:paraId="257727C6" w14:textId="6C5757CD" w:rsidR="00031D4A" w:rsidRPr="002D7663" w:rsidRDefault="00031D4A" w:rsidP="002D7663">
      <w:pPr>
        <w:ind w:firstLine="720"/>
        <w:rPr>
          <w:i/>
        </w:rPr>
      </w:pPr>
      <w:r w:rsidRPr="002D7663">
        <w:rPr>
          <w:rStyle w:val="normaltextrun"/>
          <w:rFonts w:cstheme="minorHAnsi"/>
          <w:i/>
          <w:color w:val="000000"/>
          <w:sz w:val="22"/>
        </w:rPr>
        <w:t>(b)  requirements for an entity to be a critical grocery wholesaler.</w:t>
      </w:r>
      <w:r w:rsidRPr="002D7663">
        <w:rPr>
          <w:rStyle w:val="eop"/>
          <w:rFonts w:cstheme="minorHAnsi"/>
          <w:i/>
          <w:color w:val="000000"/>
          <w:sz w:val="22"/>
        </w:rPr>
        <w:t> </w:t>
      </w:r>
    </w:p>
    <w:p w14:paraId="344D8B12" w14:textId="77777777" w:rsidR="00E1799B" w:rsidRDefault="00E1799B">
      <w:pPr>
        <w:pStyle w:val="BodyText"/>
        <w:rPr>
          <w:lang w:eastAsia="en-AU"/>
        </w:rPr>
      </w:pPr>
    </w:p>
    <w:p w14:paraId="25C322AB" w14:textId="42E0A623" w:rsidR="0076325C" w:rsidRDefault="00E1799B">
      <w:pPr>
        <w:pStyle w:val="BodyText"/>
        <w:rPr>
          <w:lang w:eastAsia="en-AU"/>
        </w:rPr>
      </w:pPr>
      <w:r w:rsidRPr="00E1799B">
        <w:rPr>
          <w:lang w:eastAsia="en-AU"/>
        </w:rPr>
        <w:t>Under the SOCI Act, the Government may create rules that prescribe an asset to be a critical infrastructure asset. Under the Security of Critical Infrastructure (Definitions) Rules (LIN 21/039) 2021</w:t>
      </w:r>
      <w:r w:rsidR="006775F2">
        <w:rPr>
          <w:lang w:eastAsia="en-AU"/>
        </w:rPr>
        <w:t xml:space="preserve"> </w:t>
      </w:r>
      <w:r w:rsidR="00160B37">
        <w:rPr>
          <w:lang w:eastAsia="en-AU"/>
        </w:rPr>
        <w:t>–</w:t>
      </w:r>
      <w:r w:rsidRPr="00E1799B">
        <w:rPr>
          <w:lang w:eastAsia="en-AU"/>
        </w:rPr>
        <w:t xml:space="preserve"> which came into effect in March 20</w:t>
      </w:r>
      <w:r w:rsidR="007A0A5D">
        <w:rPr>
          <w:lang w:eastAsia="en-AU"/>
        </w:rPr>
        <w:t>2</w:t>
      </w:r>
      <w:r w:rsidRPr="00E1799B">
        <w:rPr>
          <w:lang w:eastAsia="en-AU"/>
        </w:rPr>
        <w:t>2</w:t>
      </w:r>
      <w:r w:rsidR="00160B37">
        <w:rPr>
          <w:lang w:eastAsia="en-AU"/>
        </w:rPr>
        <w:t xml:space="preserve"> –</w:t>
      </w:r>
      <w:r w:rsidRPr="00E1799B">
        <w:rPr>
          <w:lang w:eastAsia="en-AU"/>
        </w:rPr>
        <w:t xml:space="preserve">Aldi Pty Limited, Coles Group Limited, </w:t>
      </w:r>
      <w:r w:rsidR="00551313">
        <w:rPr>
          <w:lang w:eastAsia="en-AU"/>
        </w:rPr>
        <w:t xml:space="preserve">and </w:t>
      </w:r>
      <w:r w:rsidRPr="00E1799B">
        <w:rPr>
          <w:lang w:eastAsia="en-AU"/>
        </w:rPr>
        <w:t xml:space="preserve">Woolworths Group Limited </w:t>
      </w:r>
      <w:r w:rsidR="0069437A">
        <w:rPr>
          <w:lang w:eastAsia="en-AU"/>
        </w:rPr>
        <w:t xml:space="preserve">were prescribed </w:t>
      </w:r>
      <w:r w:rsidRPr="00E1799B">
        <w:rPr>
          <w:lang w:eastAsia="en-AU"/>
        </w:rPr>
        <w:t>as</w:t>
      </w:r>
      <w:r w:rsidR="00551313">
        <w:rPr>
          <w:lang w:eastAsia="en-AU"/>
        </w:rPr>
        <w:t xml:space="preserve"> a</w:t>
      </w:r>
      <w:r w:rsidRPr="00E1799B">
        <w:rPr>
          <w:lang w:eastAsia="en-AU"/>
        </w:rPr>
        <w:t xml:space="preserve"> </w:t>
      </w:r>
      <w:r w:rsidR="00551313" w:rsidRPr="002D7663">
        <w:rPr>
          <w:i/>
          <w:lang w:eastAsia="en-AU"/>
        </w:rPr>
        <w:t>c</w:t>
      </w:r>
      <w:r w:rsidRPr="002D7663">
        <w:rPr>
          <w:i/>
          <w:lang w:eastAsia="en-AU"/>
        </w:rPr>
        <w:t>ritical supermarket retailer</w:t>
      </w:r>
      <w:r w:rsidRPr="00E1799B">
        <w:rPr>
          <w:lang w:eastAsia="en-AU"/>
        </w:rPr>
        <w:t xml:space="preserve"> and MetCash Trading Limited </w:t>
      </w:r>
      <w:r w:rsidR="00FA04D5">
        <w:rPr>
          <w:lang w:eastAsia="en-AU"/>
        </w:rPr>
        <w:t xml:space="preserve">prescribed </w:t>
      </w:r>
      <w:r w:rsidRPr="00E1799B">
        <w:rPr>
          <w:lang w:eastAsia="en-AU"/>
        </w:rPr>
        <w:t xml:space="preserve">as a </w:t>
      </w:r>
      <w:r w:rsidRPr="002D7663">
        <w:rPr>
          <w:i/>
          <w:lang w:eastAsia="en-AU"/>
        </w:rPr>
        <w:t>critical grocery wholesaler</w:t>
      </w:r>
      <w:r w:rsidRPr="00E1799B">
        <w:rPr>
          <w:lang w:eastAsia="en-AU"/>
        </w:rPr>
        <w:t xml:space="preserve">.   </w:t>
      </w:r>
    </w:p>
    <w:p w14:paraId="17CD42A2" w14:textId="17D32DDF" w:rsidR="008F54AC" w:rsidRDefault="000A7579" w:rsidP="002D7663">
      <w:pPr>
        <w:pStyle w:val="AppendixH2"/>
      </w:pPr>
      <w:r w:rsidRPr="000A7579">
        <w:t>Impacts of a disruption to critical food and grocery assets</w:t>
      </w:r>
    </w:p>
    <w:p w14:paraId="6660A80E" w14:textId="77777777" w:rsidR="008F54AC" w:rsidRPr="008F54AC" w:rsidRDefault="008F54AC" w:rsidP="002D7663">
      <w:pPr>
        <w:pStyle w:val="BodyText"/>
        <w:rPr>
          <w:rFonts w:ascii="Segoe UI" w:hAnsi="Segoe UI" w:cs="Segoe UI"/>
          <w:sz w:val="18"/>
          <w:szCs w:val="18"/>
          <w:lang w:eastAsia="en-AU"/>
        </w:rPr>
      </w:pPr>
      <w:r w:rsidRPr="008F54AC">
        <w:rPr>
          <w:lang w:eastAsia="en-AU"/>
        </w:rPr>
        <w:t>The consequences of a prolonged and widespread disruption to a critical food and grocery asset may include: </w:t>
      </w:r>
    </w:p>
    <w:p w14:paraId="251C1082" w14:textId="77777777" w:rsidR="008F54AC" w:rsidRPr="008F54AC" w:rsidRDefault="008F54AC" w:rsidP="002D7663">
      <w:pPr>
        <w:pStyle w:val="Bullet1stlevel"/>
        <w:rPr>
          <w:lang w:eastAsia="en-AU"/>
        </w:rPr>
      </w:pPr>
      <w:r w:rsidRPr="008F54AC">
        <w:rPr>
          <w:lang w:eastAsia="en-AU"/>
        </w:rPr>
        <w:t>Disruption to access to essential food stuffs for households. </w:t>
      </w:r>
    </w:p>
    <w:p w14:paraId="40B20286" w14:textId="77777777" w:rsidR="008F54AC" w:rsidRPr="008F54AC" w:rsidRDefault="008F54AC" w:rsidP="002D7663">
      <w:pPr>
        <w:pStyle w:val="Bullet1stlevel"/>
        <w:rPr>
          <w:lang w:eastAsia="en-AU"/>
        </w:rPr>
      </w:pPr>
      <w:r w:rsidRPr="008F54AC">
        <w:rPr>
          <w:lang w:eastAsia="en-AU"/>
        </w:rPr>
        <w:t>Disruption to access to essential food products and over the counter health products for vulnerable people and communities. </w:t>
      </w:r>
    </w:p>
    <w:p w14:paraId="0817AA78" w14:textId="77777777" w:rsidR="008F54AC" w:rsidRPr="008F54AC" w:rsidRDefault="008F54AC" w:rsidP="002D7663">
      <w:pPr>
        <w:pStyle w:val="Bullet1stlevel"/>
        <w:rPr>
          <w:lang w:eastAsia="en-AU"/>
        </w:rPr>
      </w:pPr>
      <w:r w:rsidRPr="008F54AC">
        <w:rPr>
          <w:lang w:eastAsia="en-AU"/>
        </w:rPr>
        <w:t>Reduced choice or increased cost of food products for consumers. </w:t>
      </w:r>
    </w:p>
    <w:p w14:paraId="0EF384A1" w14:textId="77777777" w:rsidR="008F54AC" w:rsidRPr="008F54AC" w:rsidRDefault="008F54AC" w:rsidP="002D7663">
      <w:pPr>
        <w:pStyle w:val="Bullet1stlevel"/>
        <w:rPr>
          <w:lang w:eastAsia="en-AU"/>
        </w:rPr>
      </w:pPr>
      <w:r w:rsidRPr="008F54AC">
        <w:rPr>
          <w:lang w:eastAsia="en-AU"/>
        </w:rPr>
        <w:t>Disruption to commercial food services. </w:t>
      </w:r>
    </w:p>
    <w:p w14:paraId="2F33CF75" w14:textId="77777777" w:rsidR="008F54AC" w:rsidRPr="008F54AC" w:rsidRDefault="008F54AC" w:rsidP="002D7663">
      <w:pPr>
        <w:pStyle w:val="Bullet1stlevel"/>
        <w:rPr>
          <w:lang w:eastAsia="en-AU"/>
        </w:rPr>
      </w:pPr>
      <w:r w:rsidRPr="008F54AC">
        <w:rPr>
          <w:lang w:eastAsia="en-AU"/>
        </w:rPr>
        <w:t>Disruption to the centralised distribution and food processing model. </w:t>
      </w:r>
    </w:p>
    <w:p w14:paraId="71AA9378" w14:textId="17F542E0" w:rsidR="008F54AC" w:rsidRPr="008F54AC" w:rsidRDefault="008F54AC" w:rsidP="002D7663">
      <w:pPr>
        <w:pStyle w:val="Bullet1stlevel"/>
        <w:rPr>
          <w:lang w:eastAsia="en-AU"/>
        </w:rPr>
      </w:pPr>
      <w:r w:rsidRPr="008F54AC">
        <w:rPr>
          <w:lang w:eastAsia="en-AU"/>
        </w:rPr>
        <w:t>Breach of privacy and customer data</w:t>
      </w:r>
      <w:r w:rsidR="000A7579">
        <w:rPr>
          <w:lang w:eastAsia="en-AU"/>
        </w:rPr>
        <w:t>.</w:t>
      </w:r>
    </w:p>
    <w:p w14:paraId="37E845E0" w14:textId="77777777" w:rsidR="008F54AC" w:rsidRPr="008F54AC" w:rsidRDefault="008F54AC" w:rsidP="002D7663">
      <w:pPr>
        <w:pStyle w:val="Bullet1stlevel"/>
        <w:rPr>
          <w:lang w:eastAsia="en-AU"/>
        </w:rPr>
      </w:pPr>
      <w:r w:rsidRPr="008F54AC">
        <w:rPr>
          <w:lang w:eastAsia="en-AU"/>
        </w:rPr>
        <w:t>Inability for businesses to function as normal. </w:t>
      </w:r>
    </w:p>
    <w:p w14:paraId="18C38430" w14:textId="2DEDC9E2" w:rsidR="00B85482" w:rsidRDefault="00B85482" w:rsidP="380F5A71">
      <w:pPr>
        <w:pStyle w:val="AppendixH2"/>
      </w:pPr>
      <w:r>
        <w:t xml:space="preserve">Examples of disruptions to food and grocery assets – domestic and international </w:t>
      </w:r>
    </w:p>
    <w:p w14:paraId="33134D6B" w14:textId="0C3662F3" w:rsidR="0096268D" w:rsidRDefault="0096268D" w:rsidP="00B85482">
      <w:pPr>
        <w:pStyle w:val="BodyText"/>
        <w:rPr>
          <w:lang w:eastAsia="en-AU"/>
        </w:rPr>
      </w:pPr>
      <w:r w:rsidRPr="0096268D">
        <w:rPr>
          <w:lang w:eastAsia="en-AU"/>
        </w:rPr>
        <w:t xml:space="preserve"> </w:t>
      </w:r>
      <w:r w:rsidR="00501951">
        <w:rPr>
          <w:lang w:eastAsia="en-AU"/>
        </w:rPr>
        <w:t>P</w:t>
      </w:r>
      <w:r w:rsidRPr="0096268D">
        <w:rPr>
          <w:lang w:eastAsia="en-AU"/>
        </w:rPr>
        <w:t>ast incidents, both in Australia and overseas, demonstrate the potentially severe, cascading consequences of prolonged disruption in any critical infrastructure sector – for that sector itself, for other critical infrastructure sectors, and for the affected national economy. The following series of case studies, each categorised by its relevant hazard domain or domains, demonstrate these consequences, in the context of critical food and grocery assets. While some are drawn from overseas, these case studies highlight a clear imperative for decisive action, in order to prevent the occurrence of similar, or further, incidents for Australia’s critical food and grocery assets.</w:t>
      </w: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AB15BE" w14:paraId="35AF2FA2" w14:textId="77777777" w:rsidTr="00996C6D">
        <w:tc>
          <w:tcPr>
            <w:tcW w:w="6663" w:type="dxa"/>
            <w:shd w:val="clear" w:color="auto" w:fill="034EA2" w:themeFill="accent1"/>
          </w:tcPr>
          <w:p w14:paraId="1B86DDED" w14:textId="0DB8EF78" w:rsidR="00AB15BE" w:rsidRDefault="003161F5" w:rsidP="00996C6D">
            <w:pPr>
              <w:pStyle w:val="TableHeading"/>
            </w:pPr>
            <w:r>
              <w:t>Coop Supermarket closures (2021)</w:t>
            </w:r>
          </w:p>
        </w:tc>
        <w:tc>
          <w:tcPr>
            <w:tcW w:w="2965" w:type="dxa"/>
            <w:shd w:val="clear" w:color="auto" w:fill="007BC3" w:themeFill="accent2"/>
          </w:tcPr>
          <w:p w14:paraId="1FFC860C" w14:textId="1921FD3D" w:rsidR="00AB15BE" w:rsidRDefault="00AB15BE" w:rsidP="00996C6D">
            <w:pPr>
              <w:pStyle w:val="Tableriskcategory"/>
            </w:pPr>
            <w:r w:rsidRPr="00F5205F">
              <w:t xml:space="preserve">Cyber </w:t>
            </w:r>
            <w:r w:rsidR="00B60D66">
              <w:t>security</w:t>
            </w:r>
          </w:p>
        </w:tc>
      </w:tr>
      <w:tr w:rsidR="00AB15BE" w14:paraId="087A7547" w14:textId="77777777" w:rsidTr="00996C6D">
        <w:tc>
          <w:tcPr>
            <w:tcW w:w="9628" w:type="dxa"/>
            <w:gridSpan w:val="2"/>
          </w:tcPr>
          <w:p w14:paraId="1CC33950" w14:textId="14A13D00" w:rsidR="00AB15BE" w:rsidRDefault="00AB15BE" w:rsidP="00996C6D">
            <w:pPr>
              <w:pStyle w:val="TableBody"/>
            </w:pPr>
            <w:r w:rsidRPr="00F5205F">
              <w:rPr>
                <w:b/>
              </w:rPr>
              <w:t>Situation:</w:t>
            </w:r>
            <w:r w:rsidRPr="000C29EB">
              <w:t xml:space="preserve"> </w:t>
            </w:r>
            <w:r w:rsidR="00FA3841" w:rsidRPr="00FA3841">
              <w:t xml:space="preserve">In 2021, more than half of all Coop Supermarkets in Sweden were forced to close for nearly a week as the result of a cyber-attack. Point of sales tills and self-service checkouts stopped working as a </w:t>
            </w:r>
            <w:r w:rsidR="00FA3841" w:rsidRPr="00FA3841">
              <w:lastRenderedPageBreak/>
              <w:t>result of an attack on a third-party software provide, Kaseya. Media reports suggest that a $92 million ransom request was made to the third-party software provider Kaseya</w:t>
            </w:r>
            <w:r w:rsidR="00EF507E">
              <w:t xml:space="preserve"> for the </w:t>
            </w:r>
            <w:r w:rsidR="00A0072C">
              <w:t>release of stolen data.</w:t>
            </w:r>
            <w:r w:rsidR="00A0072C">
              <w:rPr>
                <w:rStyle w:val="FootnoteReference"/>
              </w:rPr>
              <w:footnoteReference w:id="295"/>
            </w:r>
          </w:p>
        </w:tc>
      </w:tr>
      <w:tr w:rsidR="00AB15BE" w14:paraId="449E0544" w14:textId="77777777" w:rsidTr="00996C6D">
        <w:tc>
          <w:tcPr>
            <w:tcW w:w="9628" w:type="dxa"/>
            <w:gridSpan w:val="2"/>
            <w:shd w:val="clear" w:color="auto" w:fill="F2F2F2" w:themeFill="background1" w:themeFillShade="F2"/>
          </w:tcPr>
          <w:p w14:paraId="5CF1D5A5" w14:textId="66C671C9" w:rsidR="00AB15BE" w:rsidRDefault="00AB15BE" w:rsidP="00996C6D">
            <w:pPr>
              <w:pStyle w:val="TableBody"/>
            </w:pPr>
            <w:r w:rsidRPr="00F5205F">
              <w:rPr>
                <w:b/>
              </w:rPr>
              <w:lastRenderedPageBreak/>
              <w:t>Outcome:</w:t>
            </w:r>
            <w:r>
              <w:t xml:space="preserve"> </w:t>
            </w:r>
            <w:r w:rsidR="005B7684">
              <w:t>Around 500</w:t>
            </w:r>
            <w:r w:rsidR="008436D1" w:rsidRPr="008436D1">
              <w:t xml:space="preserve"> supermarkets were closed for nearly a week, reducing consumer access and choice for fresh food and grocery produce. Kaseya announced it had received a universal decryptor tool for the REvil-encrypted files from an unnamed "trusted third party" and was helping victims restore their files. It is suggested that the cost of this</w:t>
            </w:r>
            <w:r w:rsidR="006142FC">
              <w:t xml:space="preserve"> breach</w:t>
            </w:r>
            <w:r w:rsidR="000E6062">
              <w:t xml:space="preserve"> and consequent closure of stores cost Coop</w:t>
            </w:r>
            <w:r w:rsidR="008436D1" w:rsidRPr="008436D1">
              <w:t xml:space="preserve"> AUD$28 million.</w:t>
            </w:r>
            <w:r w:rsidR="00B45E03">
              <w:rPr>
                <w:rStyle w:val="FootnoteReference"/>
              </w:rPr>
              <w:footnoteReference w:id="296"/>
            </w:r>
          </w:p>
        </w:tc>
      </w:tr>
      <w:tr w:rsidR="00AB15BE" w14:paraId="214C65DA" w14:textId="77777777" w:rsidTr="00996C6D">
        <w:trPr>
          <w:trHeight w:val="459"/>
        </w:trPr>
        <w:tc>
          <w:tcPr>
            <w:tcW w:w="9628" w:type="dxa"/>
            <w:gridSpan w:val="2"/>
          </w:tcPr>
          <w:p w14:paraId="7D3CD1DF" w14:textId="1D7EBAAD" w:rsidR="00AB15BE" w:rsidRDefault="00AB15BE" w:rsidP="00501951">
            <w:pPr>
              <w:pStyle w:val="TableBody"/>
            </w:pPr>
            <w:r w:rsidRPr="00F5205F">
              <w:rPr>
                <w:b/>
              </w:rPr>
              <w:t>Identified Gap:</w:t>
            </w:r>
            <w:r>
              <w:t xml:space="preserve"> </w:t>
            </w:r>
            <w:r w:rsidR="008436D1" w:rsidRPr="008436D1">
              <w:t xml:space="preserve">This attack highlights the underlying vulnerability within the </w:t>
            </w:r>
            <w:r w:rsidR="00DA77B2">
              <w:t>c</w:t>
            </w:r>
            <w:r w:rsidR="008436D1" w:rsidRPr="008436D1">
              <w:t>yber security</w:t>
            </w:r>
            <w:r w:rsidR="004A5D5A">
              <w:t xml:space="preserve"> domain</w:t>
            </w:r>
            <w:r w:rsidR="008436D1" w:rsidRPr="008436D1">
              <w:t>.</w:t>
            </w:r>
          </w:p>
        </w:tc>
      </w:tr>
    </w:tbl>
    <w:p w14:paraId="0FF4EA2D" w14:textId="77777777" w:rsidR="002A50B9" w:rsidRDefault="002A50B9" w:rsidP="002A50B9">
      <w:pPr>
        <w:pStyle w:val="BodyText"/>
        <w:rPr>
          <w:lang w:eastAsia="en-AU"/>
        </w:rPr>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C27774" w14:paraId="3CD95351" w14:textId="77777777" w:rsidTr="00996C6D">
        <w:tc>
          <w:tcPr>
            <w:tcW w:w="6663" w:type="dxa"/>
            <w:shd w:val="clear" w:color="auto" w:fill="034EA2" w:themeFill="accent1"/>
          </w:tcPr>
          <w:p w14:paraId="41BA0B0A" w14:textId="7AC51D1D" w:rsidR="00C27774" w:rsidRDefault="00C27774" w:rsidP="00996C6D">
            <w:pPr>
              <w:pStyle w:val="TableHeading"/>
            </w:pPr>
            <w:r>
              <w:t>JBS</w:t>
            </w:r>
            <w:r w:rsidR="00AA4120">
              <w:t xml:space="preserve"> meat processing ransomware</w:t>
            </w:r>
            <w:r w:rsidR="001F4570">
              <w:t xml:space="preserve"> attack</w:t>
            </w:r>
            <w:r>
              <w:t xml:space="preserve">  (202</w:t>
            </w:r>
            <w:r w:rsidR="00B15BC8">
              <w:t>1</w:t>
            </w:r>
            <w:r>
              <w:t>)</w:t>
            </w:r>
          </w:p>
        </w:tc>
        <w:tc>
          <w:tcPr>
            <w:tcW w:w="2965" w:type="dxa"/>
            <w:shd w:val="clear" w:color="auto" w:fill="007BC3" w:themeFill="accent2"/>
          </w:tcPr>
          <w:p w14:paraId="19466690" w14:textId="6FBD9E7E" w:rsidR="00C27774" w:rsidRDefault="00B15BC8" w:rsidP="00996C6D">
            <w:pPr>
              <w:pStyle w:val="Tableriskcategory"/>
            </w:pPr>
            <w:r w:rsidRPr="00F5205F">
              <w:t xml:space="preserve">Cyber </w:t>
            </w:r>
            <w:r>
              <w:t>security</w:t>
            </w:r>
          </w:p>
        </w:tc>
      </w:tr>
      <w:tr w:rsidR="00C27774" w14:paraId="4D716415" w14:textId="77777777" w:rsidTr="00996C6D">
        <w:tc>
          <w:tcPr>
            <w:tcW w:w="9628" w:type="dxa"/>
            <w:gridSpan w:val="2"/>
          </w:tcPr>
          <w:p w14:paraId="785E1C52" w14:textId="21CC53BE" w:rsidR="00C27774" w:rsidRDefault="00C27774" w:rsidP="00501951">
            <w:pPr>
              <w:pStyle w:val="TableBody"/>
            </w:pPr>
            <w:r w:rsidRPr="00F5205F">
              <w:rPr>
                <w:b/>
              </w:rPr>
              <w:t>Situation:</w:t>
            </w:r>
            <w:r w:rsidRPr="000C29EB">
              <w:t xml:space="preserve"> </w:t>
            </w:r>
            <w:r w:rsidR="00287CAE" w:rsidRPr="00287CAE">
              <w:t>JBS Foods Group, is the world’s largest meat processing company, supplying one-fifth of meat globally, with a global footprint including Australia. JBS US Headquarters was the target of an organised cybersecurity attack, affecting some of the servers supporting its North American and Australian IT systems. The company took immediate action, suspending all affected systems, notifying authorities and activating the company's global network of IT professionals and third-party experts to resolve the situation.</w:t>
            </w:r>
            <w:r w:rsidR="0009030F">
              <w:rPr>
                <w:rStyle w:val="FootnoteReference"/>
              </w:rPr>
              <w:footnoteReference w:id="297"/>
            </w:r>
            <w:r w:rsidR="00287CAE" w:rsidRPr="00287CAE">
              <w:t xml:space="preserve">  </w:t>
            </w:r>
          </w:p>
        </w:tc>
      </w:tr>
      <w:tr w:rsidR="00C27774" w14:paraId="72CBDB6F" w14:textId="77777777" w:rsidTr="00996C6D">
        <w:tc>
          <w:tcPr>
            <w:tcW w:w="9628" w:type="dxa"/>
            <w:gridSpan w:val="2"/>
            <w:shd w:val="clear" w:color="auto" w:fill="F2F2F2" w:themeFill="background1" w:themeFillShade="F2"/>
          </w:tcPr>
          <w:p w14:paraId="121961DB" w14:textId="434A8FA0" w:rsidR="00C27774" w:rsidRDefault="00C27774" w:rsidP="00996C6D">
            <w:pPr>
              <w:pStyle w:val="TableBody"/>
            </w:pPr>
            <w:r w:rsidRPr="00F5205F">
              <w:rPr>
                <w:b/>
              </w:rPr>
              <w:t>Outcome:</w:t>
            </w:r>
            <w:r>
              <w:t xml:space="preserve"> </w:t>
            </w:r>
            <w:r w:rsidR="00276EF4">
              <w:t xml:space="preserve">JBS Foods Group </w:t>
            </w:r>
            <w:r w:rsidR="00276EF4" w:rsidRPr="00287CAE">
              <w:t>closed all of its beef processing plants in the US</w:t>
            </w:r>
            <w:r w:rsidR="00276EF4">
              <w:t xml:space="preserve">, </w:t>
            </w:r>
            <w:r w:rsidR="00276EF4" w:rsidRPr="00287CAE">
              <w:t>Canada and Australia, resulting in over 7000 employees being</w:t>
            </w:r>
            <w:r w:rsidR="005F2E44">
              <w:t xml:space="preserve"> temporarily </w:t>
            </w:r>
            <w:r w:rsidR="00276EF4" w:rsidRPr="00287CAE">
              <w:t>stood down in Australia</w:t>
            </w:r>
            <w:r w:rsidR="005F2E44">
              <w:t xml:space="preserve"> alone</w:t>
            </w:r>
            <w:r w:rsidR="00276EF4" w:rsidRPr="00287CAE">
              <w:t>. JBS Food Groups paid the equivalent of $US11 million ($14.2 million) to a criminal gang to end a five-day cyber attack.</w:t>
            </w:r>
            <w:r w:rsidR="00276EF4">
              <w:rPr>
                <w:rStyle w:val="FootnoteReference"/>
              </w:rPr>
              <w:footnoteReference w:id="298"/>
            </w:r>
          </w:p>
        </w:tc>
      </w:tr>
      <w:tr w:rsidR="00C27774" w14:paraId="5F05C3F3" w14:textId="77777777" w:rsidTr="00996C6D">
        <w:trPr>
          <w:trHeight w:val="459"/>
        </w:trPr>
        <w:tc>
          <w:tcPr>
            <w:tcW w:w="9628" w:type="dxa"/>
            <w:gridSpan w:val="2"/>
          </w:tcPr>
          <w:p w14:paraId="11AE191A" w14:textId="36B57225" w:rsidR="00C27774" w:rsidRDefault="00C27774" w:rsidP="00501951">
            <w:pPr>
              <w:pStyle w:val="TableBody"/>
            </w:pPr>
            <w:r w:rsidRPr="00F5205F">
              <w:rPr>
                <w:b/>
              </w:rPr>
              <w:t>Identified Gap:</w:t>
            </w:r>
            <w:r>
              <w:t xml:space="preserve"> </w:t>
            </w:r>
            <w:r w:rsidR="00FF598C" w:rsidRPr="008436D1">
              <w:t xml:space="preserve">This attack highlights the underlying vulnerability within the </w:t>
            </w:r>
            <w:r w:rsidR="00FF598C">
              <w:t>c</w:t>
            </w:r>
            <w:r w:rsidR="00FF598C" w:rsidRPr="008436D1">
              <w:t>yber security</w:t>
            </w:r>
            <w:r w:rsidR="004A5D5A">
              <w:t xml:space="preserve"> domain</w:t>
            </w:r>
            <w:r w:rsidR="00FF598C" w:rsidRPr="008436D1">
              <w:t>.</w:t>
            </w:r>
          </w:p>
        </w:tc>
      </w:tr>
    </w:tbl>
    <w:p w14:paraId="30BD3415" w14:textId="77777777" w:rsidR="00D67727" w:rsidRDefault="00D67727" w:rsidP="002A50B9">
      <w:pPr>
        <w:pStyle w:val="BodyText"/>
        <w:rPr>
          <w:lang w:eastAsia="en-AU"/>
        </w:rPr>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5A1FFB" w14:paraId="5F24BE0E" w14:textId="77777777" w:rsidTr="00B90092">
        <w:tc>
          <w:tcPr>
            <w:tcW w:w="6663" w:type="dxa"/>
            <w:shd w:val="clear" w:color="auto" w:fill="034EA2" w:themeFill="accent1"/>
          </w:tcPr>
          <w:p w14:paraId="76E9B1CB" w14:textId="2711DE59" w:rsidR="005A1FFB" w:rsidRDefault="009E6D2E" w:rsidP="00996C6D">
            <w:pPr>
              <w:pStyle w:val="TableHeading"/>
            </w:pPr>
            <w:r w:rsidRPr="009E6D2E">
              <w:t>Food shortages in the Northern Territory</w:t>
            </w:r>
            <w:r w:rsidR="009A32D4">
              <w:t xml:space="preserve"> &amp; </w:t>
            </w:r>
            <w:r w:rsidR="00572C1B">
              <w:t>W</w:t>
            </w:r>
            <w:r w:rsidR="009A32D4">
              <w:t xml:space="preserve">estern Australia due to flooding in </w:t>
            </w:r>
            <w:r w:rsidR="00863786">
              <w:t xml:space="preserve">South </w:t>
            </w:r>
            <w:r w:rsidR="00E716FD">
              <w:t>A</w:t>
            </w:r>
            <w:r w:rsidR="00863786">
              <w:t>ustralia</w:t>
            </w:r>
            <w:r w:rsidRPr="009E6D2E">
              <w:t xml:space="preserve"> </w:t>
            </w:r>
            <w:r w:rsidR="005A1FFB">
              <w:t>(202</w:t>
            </w:r>
            <w:r>
              <w:t>2</w:t>
            </w:r>
            <w:r w:rsidR="005A1FFB">
              <w:t>)</w:t>
            </w:r>
          </w:p>
        </w:tc>
        <w:tc>
          <w:tcPr>
            <w:tcW w:w="2965" w:type="dxa"/>
            <w:shd w:val="clear" w:color="auto" w:fill="007BC3" w:themeFill="accent2"/>
            <w:vAlign w:val="center"/>
          </w:tcPr>
          <w:p w14:paraId="7E56B32D" w14:textId="36ADD834" w:rsidR="005A1FFB" w:rsidRDefault="00B60D66" w:rsidP="00996C6D">
            <w:pPr>
              <w:pStyle w:val="Tableriskcategory"/>
            </w:pPr>
            <w:r w:rsidRPr="00B60D66">
              <w:t xml:space="preserve">Physical </w:t>
            </w:r>
            <w:r w:rsidR="0086223B">
              <w:t>&amp;</w:t>
            </w:r>
            <w:r w:rsidRPr="00B60D66">
              <w:t xml:space="preserve"> natural hazard</w:t>
            </w:r>
          </w:p>
        </w:tc>
      </w:tr>
      <w:tr w:rsidR="005A1FFB" w14:paraId="41414463" w14:textId="77777777" w:rsidTr="00996C6D">
        <w:tc>
          <w:tcPr>
            <w:tcW w:w="9628" w:type="dxa"/>
            <w:gridSpan w:val="2"/>
          </w:tcPr>
          <w:p w14:paraId="1F9C10E8" w14:textId="4C4DA79B" w:rsidR="00F35E71" w:rsidRDefault="005A1FFB">
            <w:pPr>
              <w:pStyle w:val="TableBody"/>
            </w:pPr>
            <w:r w:rsidRPr="00F5205F">
              <w:rPr>
                <w:b/>
              </w:rPr>
              <w:t>Situation:</w:t>
            </w:r>
            <w:r w:rsidRPr="000C29EB">
              <w:t xml:space="preserve"> </w:t>
            </w:r>
            <w:r w:rsidR="00AA263E" w:rsidRPr="00AA263E">
              <w:t>In January 2022, significant rains occurred resulting in rail and road links connecting Adelaide to Darwin becoming flooded resulting in freight vehicles not being able to bring in fresh food and groceries into the N</w:t>
            </w:r>
            <w:r w:rsidR="003B3CAF">
              <w:t>orthern Territo</w:t>
            </w:r>
            <w:r w:rsidR="00D66DA8">
              <w:t>ry</w:t>
            </w:r>
            <w:r w:rsidR="00AA263E" w:rsidRPr="00AA263E">
              <w:t>.</w:t>
            </w:r>
            <w:r w:rsidR="00B81D01">
              <w:rPr>
                <w:rStyle w:val="FootnoteReference"/>
              </w:rPr>
              <w:footnoteReference w:id="299"/>
            </w:r>
            <w:r w:rsidR="00E716FD">
              <w:t xml:space="preserve"> </w:t>
            </w:r>
            <w:r w:rsidR="00AF06C1">
              <w:t xml:space="preserve">The flooding event also </w:t>
            </w:r>
            <w:r w:rsidR="0094532D">
              <w:t xml:space="preserve">washed out </w:t>
            </w:r>
            <w:r w:rsidR="009149AA">
              <w:t>300km</w:t>
            </w:r>
            <w:r w:rsidR="001A5F04">
              <w:t xml:space="preserve"> of the only rail line </w:t>
            </w:r>
            <w:r w:rsidR="00C2607E">
              <w:t xml:space="preserve">that supplies </w:t>
            </w:r>
            <w:r w:rsidR="00211F01">
              <w:t>W</w:t>
            </w:r>
            <w:r w:rsidR="0069460F">
              <w:t xml:space="preserve">A </w:t>
            </w:r>
            <w:r w:rsidR="00857810">
              <w:t xml:space="preserve">with </w:t>
            </w:r>
            <w:r w:rsidR="00093291">
              <w:t xml:space="preserve">food and </w:t>
            </w:r>
            <w:r w:rsidR="00DA4615">
              <w:t xml:space="preserve">essential </w:t>
            </w:r>
            <w:r w:rsidR="00CC7186">
              <w:t>goods</w:t>
            </w:r>
            <w:r w:rsidR="0025058B">
              <w:t xml:space="preserve"> </w:t>
            </w:r>
            <w:r w:rsidR="003A2688">
              <w:t xml:space="preserve">from </w:t>
            </w:r>
            <w:r w:rsidR="006C678B">
              <w:t xml:space="preserve">Australia’s </w:t>
            </w:r>
            <w:r w:rsidR="002B0C9C">
              <w:t>eastern states</w:t>
            </w:r>
            <w:r w:rsidR="00866D45">
              <w:t xml:space="preserve"> creating</w:t>
            </w:r>
            <w:r w:rsidR="00890B0E">
              <w:t xml:space="preserve"> </w:t>
            </w:r>
            <w:r w:rsidR="00C43792">
              <w:t>acute shortages</w:t>
            </w:r>
            <w:r w:rsidR="001C7044">
              <w:t xml:space="preserve"> of essential items.</w:t>
            </w:r>
            <w:r w:rsidR="00B55D0D">
              <w:rPr>
                <w:rStyle w:val="FootnoteReference"/>
              </w:rPr>
              <w:footnoteReference w:id="300"/>
            </w:r>
            <w:r w:rsidR="00B55D0D">
              <w:t xml:space="preserve"> </w:t>
            </w:r>
            <w:r w:rsidR="00752484">
              <w:t>Rail freight accounts</w:t>
            </w:r>
            <w:r w:rsidR="00521565">
              <w:t xml:space="preserve"> for 80% of land transport into WA</w:t>
            </w:r>
            <w:r w:rsidR="0052625B">
              <w:t xml:space="preserve"> and took 25 days to reopen.</w:t>
            </w:r>
            <w:r w:rsidR="00DB1998">
              <w:rPr>
                <w:rStyle w:val="FootnoteReference"/>
              </w:rPr>
              <w:footnoteReference w:id="301"/>
            </w:r>
          </w:p>
        </w:tc>
      </w:tr>
      <w:tr w:rsidR="005A1FFB" w14:paraId="356D811E" w14:textId="77777777" w:rsidTr="00996C6D">
        <w:tc>
          <w:tcPr>
            <w:tcW w:w="9628" w:type="dxa"/>
            <w:gridSpan w:val="2"/>
            <w:shd w:val="clear" w:color="auto" w:fill="F2F2F2" w:themeFill="background1" w:themeFillShade="F2"/>
          </w:tcPr>
          <w:p w14:paraId="7FE954F7" w14:textId="380B54D7" w:rsidR="005A1FFB" w:rsidRDefault="005A1FFB" w:rsidP="00996C6D">
            <w:pPr>
              <w:pStyle w:val="TableBody"/>
            </w:pPr>
            <w:r w:rsidRPr="00F5205F">
              <w:rPr>
                <w:b/>
              </w:rPr>
              <w:t>Outcome:</w:t>
            </w:r>
            <w:r>
              <w:t xml:space="preserve"> </w:t>
            </w:r>
            <w:r w:rsidR="0079565F" w:rsidRPr="0079565F">
              <w:t xml:space="preserve">Many supermarkets introduced purchase limits and re-routed freight from their </w:t>
            </w:r>
            <w:r w:rsidR="007338E2">
              <w:t>e</w:t>
            </w:r>
            <w:r w:rsidR="0079565F" w:rsidRPr="0079565F">
              <w:t>ast coast distribution hubs through much longer routes to try and bring in basic supplies.</w:t>
            </w:r>
            <w:r w:rsidR="003F19FB">
              <w:t xml:space="preserve"> </w:t>
            </w:r>
            <w:r w:rsidR="00D84CAC" w:rsidRPr="00C6217E">
              <w:rPr>
                <w:lang w:eastAsia="en-AU"/>
              </w:rPr>
              <w:t>Food distributors in WA were forced to dump thousands of tonnes of perishable items (</w:t>
            </w:r>
            <w:r w:rsidR="00D84CAC">
              <w:rPr>
                <w:lang w:eastAsia="en-AU"/>
              </w:rPr>
              <w:t>e.g.</w:t>
            </w:r>
            <w:r w:rsidR="00D84CAC" w:rsidRPr="00C6217E">
              <w:rPr>
                <w:lang w:eastAsia="en-AU"/>
              </w:rPr>
              <w:t xml:space="preserve"> dairy, meat) </w:t>
            </w:r>
            <w:r w:rsidR="008442D3">
              <w:rPr>
                <w:lang w:eastAsia="en-AU"/>
              </w:rPr>
              <w:t>and a</w:t>
            </w:r>
            <w:r w:rsidR="00904523">
              <w:rPr>
                <w:lang w:eastAsia="en-AU"/>
              </w:rPr>
              <w:t>lternative transport costs r</w:t>
            </w:r>
            <w:r w:rsidR="00F760AD">
              <w:rPr>
                <w:lang w:eastAsia="en-AU"/>
              </w:rPr>
              <w:t>o</w:t>
            </w:r>
            <w:r w:rsidR="00904523">
              <w:rPr>
                <w:lang w:eastAsia="en-AU"/>
              </w:rPr>
              <w:t>se steeply with the</w:t>
            </w:r>
            <w:r w:rsidR="00F760AD">
              <w:rPr>
                <w:lang w:eastAsia="en-AU"/>
              </w:rPr>
              <w:t>se</w:t>
            </w:r>
            <w:r w:rsidR="00904523">
              <w:rPr>
                <w:lang w:eastAsia="en-AU"/>
              </w:rPr>
              <w:t xml:space="preserve"> costs passed onto the consumer. For example, the cost to hire one-way flatbed semi-trailer doubled from $6,000 to $12,000 during this period</w:t>
            </w:r>
            <w:r w:rsidR="00F760AD">
              <w:rPr>
                <w:lang w:eastAsia="en-AU"/>
              </w:rPr>
              <w:t>.</w:t>
            </w:r>
            <w:r w:rsidR="00904523">
              <w:rPr>
                <w:lang w:eastAsia="en-AU"/>
              </w:rPr>
              <w:t xml:space="preserve"> </w:t>
            </w:r>
            <w:r w:rsidR="003F19FB">
              <w:t>Rural</w:t>
            </w:r>
            <w:r w:rsidR="0079565F" w:rsidRPr="0079565F">
              <w:t xml:space="preserve"> and remote communities </w:t>
            </w:r>
            <w:r w:rsidR="003F19FB">
              <w:t>faced</w:t>
            </w:r>
            <w:r w:rsidR="0079565F" w:rsidRPr="0079565F">
              <w:t xml:space="preserve"> food shortages and food distress.</w:t>
            </w:r>
            <w:r w:rsidR="00B5407B">
              <w:rPr>
                <w:rStyle w:val="FootnoteReference"/>
              </w:rPr>
              <w:footnoteReference w:id="302"/>
            </w:r>
            <w:r w:rsidR="00B81D01">
              <w:t xml:space="preserve"> </w:t>
            </w:r>
            <w:r w:rsidR="00DE1F8A">
              <w:rPr>
                <w:lang w:eastAsia="en-AU"/>
              </w:rPr>
              <w:t>Road transport of goods</w:t>
            </w:r>
            <w:r w:rsidR="00314DC5">
              <w:rPr>
                <w:lang w:eastAsia="en-AU"/>
              </w:rPr>
              <w:t xml:space="preserve"> </w:t>
            </w:r>
            <w:r w:rsidR="00314DC5" w:rsidRPr="0096268D">
              <w:rPr>
                <w:lang w:eastAsia="en-AU"/>
              </w:rPr>
              <w:t>–</w:t>
            </w:r>
            <w:r w:rsidR="00314DC5">
              <w:rPr>
                <w:lang w:eastAsia="en-AU"/>
              </w:rPr>
              <w:t xml:space="preserve"> </w:t>
            </w:r>
            <w:r w:rsidR="00CA04BE">
              <w:rPr>
                <w:lang w:eastAsia="en-AU"/>
              </w:rPr>
              <w:t xml:space="preserve">the </w:t>
            </w:r>
            <w:r w:rsidR="00314DC5">
              <w:rPr>
                <w:lang w:eastAsia="en-AU"/>
              </w:rPr>
              <w:t xml:space="preserve">primary mode </w:t>
            </w:r>
            <w:r w:rsidR="002D5C5B">
              <w:rPr>
                <w:lang w:eastAsia="en-AU"/>
              </w:rPr>
              <w:t xml:space="preserve">of fresh produce supply into NT </w:t>
            </w:r>
            <w:r w:rsidR="002D5C5B" w:rsidRPr="0096268D">
              <w:rPr>
                <w:lang w:eastAsia="en-AU"/>
              </w:rPr>
              <w:t>–</w:t>
            </w:r>
            <w:r w:rsidR="00DE1F8A">
              <w:rPr>
                <w:lang w:eastAsia="en-AU"/>
              </w:rPr>
              <w:t xml:space="preserve"> from Adelaide distribution centres completed a 3000km detour via Queensland to reach</w:t>
            </w:r>
            <w:r w:rsidR="004C3D2E">
              <w:rPr>
                <w:lang w:eastAsia="en-AU"/>
              </w:rPr>
              <w:t xml:space="preserve"> NT retailers.</w:t>
            </w:r>
            <w:r w:rsidR="00CA04BE">
              <w:rPr>
                <w:rStyle w:val="FootnoteReference"/>
                <w:lang w:eastAsia="en-AU"/>
              </w:rPr>
              <w:footnoteReference w:id="303"/>
            </w:r>
          </w:p>
        </w:tc>
      </w:tr>
      <w:tr w:rsidR="005A1FFB" w14:paraId="0979167B" w14:textId="77777777" w:rsidTr="00996C6D">
        <w:trPr>
          <w:trHeight w:val="459"/>
        </w:trPr>
        <w:tc>
          <w:tcPr>
            <w:tcW w:w="9628" w:type="dxa"/>
            <w:gridSpan w:val="2"/>
          </w:tcPr>
          <w:p w14:paraId="44FF1944" w14:textId="72CFDBC1" w:rsidR="005A1FFB" w:rsidRDefault="005A1FFB" w:rsidP="00996C6D">
            <w:pPr>
              <w:pStyle w:val="TableBody"/>
            </w:pPr>
            <w:r w:rsidRPr="00F5205F">
              <w:rPr>
                <w:b/>
              </w:rPr>
              <w:lastRenderedPageBreak/>
              <w:t>Identified Gap:</w:t>
            </w:r>
            <w:r>
              <w:t xml:space="preserve"> </w:t>
            </w:r>
            <w:r w:rsidR="00BB490A" w:rsidRPr="00BB490A">
              <w:t>Limitations in local food supply chains mean that populations are reliant on interstate and international supply chains for access to food and groceries.</w:t>
            </w:r>
          </w:p>
        </w:tc>
      </w:tr>
    </w:tbl>
    <w:p w14:paraId="335C4C59" w14:textId="77777777" w:rsidR="005A1FFB" w:rsidRDefault="005A1FFB" w:rsidP="002A50B9">
      <w:pPr>
        <w:pStyle w:val="BodyText"/>
        <w:rPr>
          <w:lang w:eastAsia="en-AU"/>
        </w:rPr>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F479C2" w14:paraId="005AACF8" w14:textId="77777777" w:rsidTr="00AC6CD7">
        <w:tc>
          <w:tcPr>
            <w:tcW w:w="6663" w:type="dxa"/>
            <w:shd w:val="clear" w:color="auto" w:fill="034EA2" w:themeFill="accent1"/>
          </w:tcPr>
          <w:p w14:paraId="42F64EF7" w14:textId="66466E23" w:rsidR="00F479C2" w:rsidRDefault="000B7942" w:rsidP="00996C6D">
            <w:pPr>
              <w:pStyle w:val="TableHeading"/>
            </w:pPr>
            <w:r>
              <w:t>Food shortages in North</w:t>
            </w:r>
            <w:r w:rsidR="006566D1">
              <w:t xml:space="preserve"> &amp; West</w:t>
            </w:r>
            <w:r>
              <w:t xml:space="preserve"> Queensland due to floods in South East Queensland </w:t>
            </w:r>
            <w:r w:rsidR="009A32D4">
              <w:t>&amp;</w:t>
            </w:r>
            <w:r>
              <w:t xml:space="preserve"> Northern NSW</w:t>
            </w:r>
            <w:r w:rsidR="00F479C2" w:rsidRPr="000F0C73">
              <w:t xml:space="preserve"> </w:t>
            </w:r>
            <w:r w:rsidR="00F479C2">
              <w:t>(202</w:t>
            </w:r>
            <w:r w:rsidR="00C60FE1">
              <w:t>2</w:t>
            </w:r>
            <w:r w:rsidR="00F479C2">
              <w:t>)</w:t>
            </w:r>
          </w:p>
        </w:tc>
        <w:tc>
          <w:tcPr>
            <w:tcW w:w="2965" w:type="dxa"/>
            <w:shd w:val="clear" w:color="auto" w:fill="007BC3" w:themeFill="accent2"/>
            <w:vAlign w:val="center"/>
          </w:tcPr>
          <w:p w14:paraId="7E4035BE" w14:textId="242A8104" w:rsidR="00F479C2" w:rsidRDefault="008F57A9">
            <w:pPr>
              <w:pStyle w:val="Tableriskcategory"/>
            </w:pPr>
            <w:r>
              <w:t>P</w:t>
            </w:r>
            <w:r w:rsidR="00F479C2" w:rsidRPr="006E26F2">
              <w:t>hysical &amp; natural hazard</w:t>
            </w:r>
          </w:p>
        </w:tc>
      </w:tr>
      <w:tr w:rsidR="00F479C2" w14:paraId="6D2A1F82" w14:textId="77777777" w:rsidTr="00996C6D">
        <w:tc>
          <w:tcPr>
            <w:tcW w:w="9628" w:type="dxa"/>
            <w:gridSpan w:val="2"/>
          </w:tcPr>
          <w:p w14:paraId="31AA4BC9" w14:textId="152C3060" w:rsidR="00F479C2" w:rsidRDefault="00F479C2" w:rsidP="00996C6D">
            <w:pPr>
              <w:pStyle w:val="TableBody"/>
            </w:pPr>
            <w:r w:rsidRPr="00F5205F">
              <w:rPr>
                <w:b/>
              </w:rPr>
              <w:t>Situation:</w:t>
            </w:r>
            <w:r w:rsidRPr="000C29EB">
              <w:t xml:space="preserve"> </w:t>
            </w:r>
            <w:r w:rsidR="00C60FE1">
              <w:t>A</w:t>
            </w:r>
            <w:r w:rsidR="00223167">
              <w:t xml:space="preserve"> low pressure system </w:t>
            </w:r>
            <w:r w:rsidR="00CB45A2">
              <w:t xml:space="preserve">caused </w:t>
            </w:r>
            <w:r w:rsidR="00F91F67">
              <w:t xml:space="preserve">a rain event </w:t>
            </w:r>
            <w:r w:rsidR="006A31D6">
              <w:t xml:space="preserve">that </w:t>
            </w:r>
            <w:r w:rsidR="00412041">
              <w:t xml:space="preserve">inundated </w:t>
            </w:r>
            <w:r w:rsidR="00F40116">
              <w:t>S</w:t>
            </w:r>
            <w:r w:rsidR="00501951">
              <w:t xml:space="preserve">outh </w:t>
            </w:r>
            <w:r w:rsidR="00F40116">
              <w:t>E</w:t>
            </w:r>
            <w:r w:rsidR="00501951">
              <w:t xml:space="preserve">ast </w:t>
            </w:r>
            <w:r w:rsidR="00F40116">
              <w:t>Q</w:t>
            </w:r>
            <w:r w:rsidR="00501951">
              <w:t>ueensland</w:t>
            </w:r>
            <w:r w:rsidR="00F40116">
              <w:t xml:space="preserve"> and Northern NSW cutting off freight</w:t>
            </w:r>
            <w:r w:rsidR="00557F77">
              <w:t xml:space="preserve"> and rail access to regions north of Gympie</w:t>
            </w:r>
            <w:r w:rsidR="00522677">
              <w:t xml:space="preserve"> </w:t>
            </w:r>
            <w:r w:rsidR="004150C9">
              <w:t>(</w:t>
            </w:r>
            <w:r w:rsidR="00522677">
              <w:t>QLD</w:t>
            </w:r>
            <w:r w:rsidR="004150C9">
              <w:t>)</w:t>
            </w:r>
            <w:r w:rsidR="00E775FD">
              <w:t xml:space="preserve"> and south of </w:t>
            </w:r>
            <w:r w:rsidR="00DF0130">
              <w:t>Grafton</w:t>
            </w:r>
            <w:r w:rsidR="004150C9">
              <w:t xml:space="preserve"> (</w:t>
            </w:r>
            <w:r w:rsidR="00522677">
              <w:t>NSW</w:t>
            </w:r>
            <w:r w:rsidR="004150C9">
              <w:t>)</w:t>
            </w:r>
            <w:r w:rsidR="00BA1D32">
              <w:t xml:space="preserve">. </w:t>
            </w:r>
            <w:r w:rsidR="002C5F59">
              <w:t>Major distribution centres and warehouses were inundated by flood waters and highways connecting the east coast were impacted, leaving trucks carrying fresh produce stranded</w:t>
            </w:r>
            <w:r w:rsidR="00CB5523">
              <w:t>.</w:t>
            </w:r>
            <w:r w:rsidR="00CB5523">
              <w:rPr>
                <w:rStyle w:val="FootnoteReference"/>
              </w:rPr>
              <w:footnoteReference w:id="304"/>
            </w:r>
            <w:r w:rsidR="002C5F59">
              <w:t xml:space="preserve"> </w:t>
            </w:r>
            <w:r w:rsidR="00F84D71">
              <w:t xml:space="preserve">Shortages and product limits </w:t>
            </w:r>
            <w:r w:rsidR="00096A53">
              <w:t xml:space="preserve">were imposed </w:t>
            </w:r>
            <w:r w:rsidR="00F84D71">
              <w:t>due to a combination of transport corridor interruptions, loss of primary production for certain goods concentrated in the flood affected areas, and major distribution centres unable to operate.</w:t>
            </w:r>
            <w:r w:rsidR="0091212F">
              <w:rPr>
                <w:rStyle w:val="FootnoteReference"/>
              </w:rPr>
              <w:footnoteReference w:id="305"/>
            </w:r>
            <w:r w:rsidR="006F0B39">
              <w:t xml:space="preserve"> Additionally, a freight train derailment near Gympie (QLD) cut rail freight access to regions isolated due to road closures (also highlighting the interconnected nature of critical infrastructure).</w:t>
            </w:r>
          </w:p>
        </w:tc>
      </w:tr>
      <w:tr w:rsidR="00F479C2" w14:paraId="331F4D63" w14:textId="77777777" w:rsidTr="00996C6D">
        <w:tc>
          <w:tcPr>
            <w:tcW w:w="9628" w:type="dxa"/>
            <w:gridSpan w:val="2"/>
            <w:shd w:val="clear" w:color="auto" w:fill="F2F2F2" w:themeFill="background1" w:themeFillShade="F2"/>
          </w:tcPr>
          <w:p w14:paraId="04079D04" w14:textId="68294295" w:rsidR="00F479C2" w:rsidRDefault="00F479C2" w:rsidP="00996C6D">
            <w:pPr>
              <w:pStyle w:val="TableBody"/>
            </w:pPr>
            <w:r w:rsidRPr="00F5205F">
              <w:rPr>
                <w:b/>
              </w:rPr>
              <w:t>Outcome:</w:t>
            </w:r>
            <w:r>
              <w:t xml:space="preserve"> </w:t>
            </w:r>
            <w:r w:rsidR="0043569C">
              <w:t xml:space="preserve">Hundreds of major supermarket stores were closed as a direct result of flooding. </w:t>
            </w:r>
            <w:r w:rsidR="00BD22A6">
              <w:t>Regional areas (</w:t>
            </w:r>
            <w:r w:rsidR="005217AE">
              <w:t>outside the</w:t>
            </w:r>
            <w:r w:rsidR="009A6C5C">
              <w:t xml:space="preserve"> </w:t>
            </w:r>
            <w:r w:rsidR="00EA6160">
              <w:t xml:space="preserve">flood-affected </w:t>
            </w:r>
            <w:r w:rsidR="00934F3E">
              <w:t>zones</w:t>
            </w:r>
            <w:r w:rsidR="009A6C5C">
              <w:t>)</w:t>
            </w:r>
            <w:r w:rsidRPr="00D16DC6">
              <w:t xml:space="preserve"> were unable to </w:t>
            </w:r>
            <w:r w:rsidR="008F300F">
              <w:t>access</w:t>
            </w:r>
            <w:r w:rsidRPr="00D16DC6">
              <w:t xml:space="preserve"> fresh food and groceries for a number of days.</w:t>
            </w:r>
            <w:r w:rsidR="00100E42">
              <w:t xml:space="preserve"> Retailers were unable to source goods and were forced to close </w:t>
            </w:r>
            <w:r w:rsidR="001B68F8">
              <w:t xml:space="preserve">or operate </w:t>
            </w:r>
            <w:r w:rsidR="00E13F4F">
              <w:t xml:space="preserve">with minimal </w:t>
            </w:r>
            <w:r w:rsidR="00CE30C4">
              <w:t>stock of essential items</w:t>
            </w:r>
            <w:r w:rsidR="00725C60">
              <w:t xml:space="preserve"> which had knock-on effects to other local businesses who source fresh produce from these local centres.</w:t>
            </w:r>
            <w:r w:rsidR="00881804">
              <w:rPr>
                <w:rStyle w:val="FootnoteReference"/>
              </w:rPr>
              <w:footnoteReference w:id="306"/>
            </w:r>
            <w:r w:rsidR="00ED35DF">
              <w:t xml:space="preserve"> Major supermarkets introduced state-wide purchase limits to manage a critical shortage of products, including fresh milk, still water, toilet paper and meat.</w:t>
            </w:r>
            <w:r w:rsidR="007B1B99">
              <w:rPr>
                <w:rStyle w:val="FootnoteReference"/>
              </w:rPr>
              <w:footnoteReference w:id="307"/>
            </w:r>
          </w:p>
        </w:tc>
      </w:tr>
      <w:tr w:rsidR="00F479C2" w14:paraId="43169335" w14:textId="77777777" w:rsidTr="00996C6D">
        <w:trPr>
          <w:trHeight w:val="459"/>
        </w:trPr>
        <w:tc>
          <w:tcPr>
            <w:tcW w:w="9628" w:type="dxa"/>
            <w:gridSpan w:val="2"/>
          </w:tcPr>
          <w:p w14:paraId="52E8ABE0" w14:textId="68753FB8" w:rsidR="00F479C2" w:rsidRDefault="00F479C2" w:rsidP="00996C6D">
            <w:pPr>
              <w:pStyle w:val="TableBody"/>
            </w:pPr>
            <w:r w:rsidRPr="00F5205F">
              <w:rPr>
                <w:b/>
              </w:rPr>
              <w:t>Identified Gap:</w:t>
            </w:r>
            <w:r>
              <w:t xml:space="preserve"> </w:t>
            </w:r>
            <w:r w:rsidRPr="00D16DC6">
              <w:t xml:space="preserve">Limitations in local food supply chains mean that populations are reliant on interstate and international supply chains for access to food and groceries. </w:t>
            </w:r>
            <w:r w:rsidR="00861424">
              <w:t xml:space="preserve">Concentration of </w:t>
            </w:r>
            <w:r w:rsidR="00A005F4">
              <w:t>food production</w:t>
            </w:r>
            <w:r w:rsidR="007659A6">
              <w:t xml:space="preserve"> in central</w:t>
            </w:r>
            <w:r w:rsidR="00123824">
              <w:t xml:space="preserve"> </w:t>
            </w:r>
            <w:r w:rsidR="006501F7">
              <w:t>areas</w:t>
            </w:r>
            <w:r w:rsidR="00861424">
              <w:t xml:space="preserve"> and </w:t>
            </w:r>
            <w:r w:rsidR="009B0479">
              <w:t xml:space="preserve">major </w:t>
            </w:r>
            <w:r w:rsidR="00861424">
              <w:t>distribution hub</w:t>
            </w:r>
            <w:r w:rsidR="00DE213C">
              <w:t>s</w:t>
            </w:r>
            <w:r w:rsidR="009E379F">
              <w:t xml:space="preserve"> </w:t>
            </w:r>
            <w:r w:rsidR="00D95616">
              <w:t xml:space="preserve">creates reliance </w:t>
            </w:r>
            <w:r w:rsidR="003B4C9C">
              <w:t>on</w:t>
            </w:r>
            <w:r w:rsidR="002337E7">
              <w:t xml:space="preserve"> supply </w:t>
            </w:r>
            <w:r w:rsidR="00C82065">
              <w:t xml:space="preserve">flows </w:t>
            </w:r>
            <w:r w:rsidR="00E37508">
              <w:t xml:space="preserve">through </w:t>
            </w:r>
            <w:r w:rsidR="00E076B5">
              <w:t xml:space="preserve">critical </w:t>
            </w:r>
            <w:r w:rsidR="00DD2C25">
              <w:t>nodes</w:t>
            </w:r>
            <w:r w:rsidR="00F337F9">
              <w:t xml:space="preserve"> </w:t>
            </w:r>
            <w:r w:rsidR="00436F4D">
              <w:t xml:space="preserve">for </w:t>
            </w:r>
            <w:r w:rsidR="00885415">
              <w:t>dispersed populations across regional areas</w:t>
            </w:r>
            <w:r w:rsidR="00BE6371">
              <w:t xml:space="preserve">. </w:t>
            </w:r>
          </w:p>
        </w:tc>
      </w:tr>
    </w:tbl>
    <w:p w14:paraId="254E9562" w14:textId="77777777" w:rsidR="00F479C2" w:rsidRDefault="00F479C2" w:rsidP="002A50B9">
      <w:pPr>
        <w:pStyle w:val="BodyText"/>
        <w:rPr>
          <w:lang w:eastAsia="en-AU"/>
        </w:rPr>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B63BE7" w14:paraId="252EE31F" w14:textId="77777777" w:rsidTr="00F32511">
        <w:tc>
          <w:tcPr>
            <w:tcW w:w="6663" w:type="dxa"/>
            <w:shd w:val="clear" w:color="auto" w:fill="034EA2" w:themeFill="accent1"/>
          </w:tcPr>
          <w:p w14:paraId="4E1AB58F" w14:textId="3C70A226" w:rsidR="00B63BE7" w:rsidRDefault="00C71633" w:rsidP="00996C6D">
            <w:pPr>
              <w:pStyle w:val="TableHeading"/>
            </w:pPr>
            <w:r>
              <w:t>Labour shortages due to COVID</w:t>
            </w:r>
            <w:r w:rsidR="00B25912">
              <w:t xml:space="preserve"> in</w:t>
            </w:r>
            <w:r w:rsidR="00C26B47">
              <w:t xml:space="preserve"> food</w:t>
            </w:r>
            <w:r w:rsidR="00B25912">
              <w:t xml:space="preserve"> </w:t>
            </w:r>
            <w:r w:rsidR="00020C93">
              <w:t>processing, distribution and retail</w:t>
            </w:r>
            <w:r w:rsidR="000B7942">
              <w:t xml:space="preserve"> </w:t>
            </w:r>
            <w:r w:rsidR="00B63BE7">
              <w:t>(2022)</w:t>
            </w:r>
          </w:p>
        </w:tc>
        <w:tc>
          <w:tcPr>
            <w:tcW w:w="2965" w:type="dxa"/>
            <w:shd w:val="clear" w:color="auto" w:fill="007BC3" w:themeFill="accent2"/>
            <w:vAlign w:val="center"/>
          </w:tcPr>
          <w:p w14:paraId="71B418F8" w14:textId="223895D7" w:rsidR="00B63BE7" w:rsidRDefault="00B63BE7" w:rsidP="00996C6D">
            <w:pPr>
              <w:pStyle w:val="Tableriskcategory"/>
            </w:pPr>
            <w:r>
              <w:t>Personnel</w:t>
            </w:r>
            <w:r w:rsidR="00F32511">
              <w:t xml:space="preserve"> &amp; supply chain hazard</w:t>
            </w:r>
          </w:p>
        </w:tc>
      </w:tr>
      <w:tr w:rsidR="00B63BE7" w14:paraId="3476A316" w14:textId="77777777" w:rsidTr="00996C6D">
        <w:tc>
          <w:tcPr>
            <w:tcW w:w="9628" w:type="dxa"/>
            <w:gridSpan w:val="2"/>
          </w:tcPr>
          <w:p w14:paraId="12CBEE03" w14:textId="0BD9D30B" w:rsidR="00B63BE7" w:rsidRDefault="00B63BE7" w:rsidP="00996C6D">
            <w:pPr>
              <w:pStyle w:val="TableBody"/>
            </w:pPr>
            <w:r w:rsidRPr="00F5205F">
              <w:rPr>
                <w:b/>
              </w:rPr>
              <w:t>Situation:</w:t>
            </w:r>
            <w:r w:rsidRPr="000C29EB">
              <w:t xml:space="preserve"> </w:t>
            </w:r>
            <w:r w:rsidR="00C26B47">
              <w:t>L</w:t>
            </w:r>
            <w:r w:rsidR="00C26B47">
              <w:rPr>
                <w:lang w:eastAsia="en-AU"/>
              </w:rPr>
              <w:t>abour shortages due to high COVID infection rates and mandated isolation periods across Australia</w:t>
            </w:r>
            <w:r w:rsidR="00D81F5E">
              <w:rPr>
                <w:lang w:eastAsia="en-AU"/>
              </w:rPr>
              <w:t xml:space="preserve"> </w:t>
            </w:r>
            <w:r w:rsidR="0038648D">
              <w:rPr>
                <w:lang w:eastAsia="en-AU"/>
              </w:rPr>
              <w:t>reduced</w:t>
            </w:r>
            <w:r w:rsidR="00D81F5E">
              <w:rPr>
                <w:lang w:eastAsia="en-AU"/>
              </w:rPr>
              <w:t xml:space="preserve"> </w:t>
            </w:r>
            <w:r w:rsidR="00070C01">
              <w:rPr>
                <w:lang w:eastAsia="en-AU"/>
              </w:rPr>
              <w:t>supply capacity</w:t>
            </w:r>
            <w:r w:rsidR="0038648D">
              <w:rPr>
                <w:lang w:eastAsia="en-AU"/>
              </w:rPr>
              <w:t xml:space="preserve"> for </w:t>
            </w:r>
            <w:r w:rsidR="00BF4297">
              <w:rPr>
                <w:lang w:eastAsia="en-AU"/>
              </w:rPr>
              <w:t>food processing</w:t>
            </w:r>
            <w:r w:rsidR="005E5A94">
              <w:rPr>
                <w:lang w:eastAsia="en-AU"/>
              </w:rPr>
              <w:t>, distribution and retailers.</w:t>
            </w:r>
            <w:r w:rsidR="00223C34">
              <w:rPr>
                <w:lang w:eastAsia="en-AU"/>
              </w:rPr>
              <w:t xml:space="preserve"> Similar </w:t>
            </w:r>
            <w:r w:rsidR="00601A60">
              <w:rPr>
                <w:lang w:eastAsia="en-AU"/>
              </w:rPr>
              <w:t xml:space="preserve">trends were seen around the world at the peak of the crisis. Supply capacity </w:t>
            </w:r>
            <w:r w:rsidR="00354CE0">
              <w:rPr>
                <w:lang w:eastAsia="en-AU"/>
              </w:rPr>
              <w:t xml:space="preserve">sharply declined </w:t>
            </w:r>
            <w:r w:rsidR="00323E92">
              <w:rPr>
                <w:lang w:eastAsia="en-AU"/>
              </w:rPr>
              <w:t xml:space="preserve">and caused major shortages and price increases. </w:t>
            </w:r>
            <w:r w:rsidR="00F65AD6" w:rsidRPr="00F65AD6">
              <w:rPr>
                <w:lang w:eastAsia="en-AU"/>
              </w:rPr>
              <w:t>During the period some meat processing companies were operating with half their required staff.</w:t>
            </w:r>
            <w:r w:rsidR="00930D68">
              <w:rPr>
                <w:rStyle w:val="FootnoteReference"/>
                <w:lang w:eastAsia="en-AU"/>
              </w:rPr>
              <w:footnoteReference w:id="308"/>
            </w:r>
            <w:r w:rsidR="00F65AD6" w:rsidRPr="00F65AD6">
              <w:rPr>
                <w:lang w:eastAsia="en-AU"/>
              </w:rPr>
              <w:t xml:space="preserve"> The Australian Meat Industry Council indicated some meat production businesses had less than 30% of workers available for regular shifts.</w:t>
            </w:r>
            <w:r w:rsidR="00DE7155">
              <w:rPr>
                <w:rStyle w:val="FootnoteReference"/>
                <w:lang w:eastAsia="en-AU"/>
              </w:rPr>
              <w:footnoteReference w:id="309"/>
            </w:r>
            <w:r w:rsidR="00F65AD6" w:rsidRPr="00F65AD6">
              <w:rPr>
                <w:lang w:eastAsia="en-AU"/>
              </w:rPr>
              <w:t xml:space="preserve"> Supply disruptions due to labour shortages were also noticeable for food distributors and retailers. Absenteeism at Woolworths distribution centres ranged from 20-40%, while Coles estimated 10% of retail staff were affected – figures echoed across the sector.  </w:t>
            </w:r>
          </w:p>
        </w:tc>
      </w:tr>
      <w:tr w:rsidR="00B63BE7" w14:paraId="37A98436" w14:textId="77777777" w:rsidTr="00996C6D">
        <w:tc>
          <w:tcPr>
            <w:tcW w:w="9628" w:type="dxa"/>
            <w:gridSpan w:val="2"/>
            <w:shd w:val="clear" w:color="auto" w:fill="F2F2F2" w:themeFill="background1" w:themeFillShade="F2"/>
          </w:tcPr>
          <w:p w14:paraId="465B4D19" w14:textId="69E8D246" w:rsidR="00B63BE7" w:rsidRDefault="00B63BE7" w:rsidP="00996C6D">
            <w:pPr>
              <w:pStyle w:val="TableBody"/>
            </w:pPr>
            <w:r w:rsidRPr="00F5205F">
              <w:rPr>
                <w:b/>
              </w:rPr>
              <w:t>Outcome:</w:t>
            </w:r>
            <w:r>
              <w:t xml:space="preserve"> </w:t>
            </w:r>
            <w:r w:rsidR="00CD0997">
              <w:t>Shortage of</w:t>
            </w:r>
            <w:r w:rsidRPr="00D16DC6">
              <w:t xml:space="preserve"> </w:t>
            </w:r>
            <w:r w:rsidR="00E3775F">
              <w:t>meat</w:t>
            </w:r>
            <w:r w:rsidR="00CD0997">
              <w:t xml:space="preserve"> products</w:t>
            </w:r>
            <w:r w:rsidR="00E3775F">
              <w:t xml:space="preserve"> </w:t>
            </w:r>
            <w:r w:rsidR="0028595B">
              <w:t xml:space="preserve">and backlog of </w:t>
            </w:r>
            <w:r w:rsidR="00357BA3">
              <w:t>agricultural inputs</w:t>
            </w:r>
            <w:r w:rsidR="00561633">
              <w:t xml:space="preserve">. Increased prices due to scarcity </w:t>
            </w:r>
            <w:r w:rsidR="007E41D9">
              <w:t xml:space="preserve">of certain </w:t>
            </w:r>
            <w:r w:rsidR="006311DF">
              <w:t xml:space="preserve">types of processed goods </w:t>
            </w:r>
            <w:r w:rsidR="00ED43DF">
              <w:t>and additional transport costs</w:t>
            </w:r>
            <w:r w:rsidR="00F97A87">
              <w:t xml:space="preserve">. </w:t>
            </w:r>
            <w:r w:rsidR="00FC371F">
              <w:t>The</w:t>
            </w:r>
            <w:r w:rsidR="00E3775F">
              <w:t xml:space="preserve"> </w:t>
            </w:r>
            <w:r w:rsidR="00FC371F">
              <w:t>sharp decrease in</w:t>
            </w:r>
            <w:r w:rsidR="00FC371F" w:rsidRPr="00FC371F">
              <w:t xml:space="preserve"> processing capacity ha</w:t>
            </w:r>
            <w:r w:rsidR="002E6EDD">
              <w:t>d</w:t>
            </w:r>
            <w:r w:rsidR="00FC371F" w:rsidRPr="00FC371F">
              <w:t xml:space="preserve"> flow</w:t>
            </w:r>
            <w:r w:rsidR="001F4E73">
              <w:t>-</w:t>
            </w:r>
            <w:r w:rsidR="00FC371F" w:rsidRPr="00FC371F">
              <w:t xml:space="preserve">on effects to downstream suppliers of agricultural inputs in managing excess stock. The compounding effect of livestock backlog imposes additional costs such as a decline in animal welfare due </w:t>
            </w:r>
            <w:r w:rsidR="00FC371F" w:rsidRPr="00FC371F">
              <w:lastRenderedPageBreak/>
              <w:t>to overcrowding, extended shelter and feed costs, animal destruction, and psychological trauma on producers</w:t>
            </w:r>
            <w:r w:rsidR="00D0135C">
              <w:t xml:space="preserve">. </w:t>
            </w:r>
            <w:r w:rsidR="00D0135C">
              <w:rPr>
                <w:rStyle w:val="FootnoteReference"/>
              </w:rPr>
              <w:footnoteReference w:id="310"/>
            </w:r>
            <w:r w:rsidR="00534461">
              <w:t xml:space="preserve"> </w:t>
            </w:r>
            <w:r w:rsidR="00D0135C">
              <w:rPr>
                <w:rStyle w:val="FootnoteReference"/>
              </w:rPr>
              <w:footnoteReference w:id="311"/>
            </w:r>
            <w:r w:rsidR="000020F8">
              <w:t xml:space="preserve"> </w:t>
            </w:r>
            <w:r w:rsidR="000020F8">
              <w:rPr>
                <w:rStyle w:val="FootnoteReference"/>
              </w:rPr>
              <w:footnoteReference w:id="312"/>
            </w:r>
          </w:p>
        </w:tc>
      </w:tr>
      <w:tr w:rsidR="00B63BE7" w14:paraId="6171A92D" w14:textId="77777777" w:rsidTr="00996C6D">
        <w:trPr>
          <w:trHeight w:val="459"/>
        </w:trPr>
        <w:tc>
          <w:tcPr>
            <w:tcW w:w="9628" w:type="dxa"/>
            <w:gridSpan w:val="2"/>
          </w:tcPr>
          <w:p w14:paraId="7D41D412" w14:textId="77777777" w:rsidR="00B63BE7" w:rsidRDefault="00B63BE7" w:rsidP="00996C6D">
            <w:pPr>
              <w:pStyle w:val="TableBody"/>
            </w:pPr>
            <w:r w:rsidRPr="00F5205F">
              <w:rPr>
                <w:b/>
              </w:rPr>
              <w:lastRenderedPageBreak/>
              <w:t>Identified Gap:</w:t>
            </w:r>
            <w:r>
              <w:t xml:space="preserve"> </w:t>
            </w:r>
            <w:r w:rsidRPr="00D16DC6">
              <w:t xml:space="preserve">Limitations in local food supply chains mean that populations are reliant on interstate and international supply chains for access to food and groceries. </w:t>
            </w:r>
          </w:p>
        </w:tc>
      </w:tr>
    </w:tbl>
    <w:p w14:paraId="02459874" w14:textId="77777777" w:rsidR="00F479C2" w:rsidRDefault="00F479C2" w:rsidP="002A50B9">
      <w:pPr>
        <w:pStyle w:val="BodyText"/>
        <w:rPr>
          <w:lang w:eastAsia="en-AU"/>
        </w:rPr>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5A1FFB" w14:paraId="4A716935" w14:textId="77777777" w:rsidTr="00996C6D">
        <w:tc>
          <w:tcPr>
            <w:tcW w:w="6663" w:type="dxa"/>
            <w:shd w:val="clear" w:color="auto" w:fill="034EA2" w:themeFill="accent1"/>
          </w:tcPr>
          <w:p w14:paraId="6A47E493" w14:textId="0306A6D4" w:rsidR="005A1FFB" w:rsidRDefault="000F0C73" w:rsidP="00996C6D">
            <w:pPr>
              <w:pStyle w:val="TableHeading"/>
            </w:pPr>
            <w:r w:rsidRPr="000F0C73">
              <w:t xml:space="preserve">Closure of Supermarkets in South Coast NSW due to bushfires </w:t>
            </w:r>
            <w:r w:rsidR="005A1FFB">
              <w:t>(202</w:t>
            </w:r>
            <w:r w:rsidR="006E26F2">
              <w:t>0</w:t>
            </w:r>
            <w:r w:rsidR="005A1FFB">
              <w:t>)</w:t>
            </w:r>
          </w:p>
        </w:tc>
        <w:tc>
          <w:tcPr>
            <w:tcW w:w="2965" w:type="dxa"/>
            <w:shd w:val="clear" w:color="auto" w:fill="007BC3" w:themeFill="accent2"/>
          </w:tcPr>
          <w:p w14:paraId="6318D35C" w14:textId="581F640F" w:rsidR="005A1FFB" w:rsidRDefault="006E26F2" w:rsidP="00996C6D">
            <w:pPr>
              <w:pStyle w:val="Tableriskcategory"/>
            </w:pPr>
            <w:r>
              <w:t>Personnel, p</w:t>
            </w:r>
            <w:r w:rsidRPr="006E26F2">
              <w:t>hysical &amp; natural hazard</w:t>
            </w:r>
            <w:r w:rsidR="005A1FFB" w:rsidRPr="00F5205F">
              <w:t xml:space="preserve"> </w:t>
            </w:r>
          </w:p>
        </w:tc>
      </w:tr>
      <w:tr w:rsidR="005A1FFB" w14:paraId="0B312754" w14:textId="77777777" w:rsidTr="00996C6D">
        <w:tc>
          <w:tcPr>
            <w:tcW w:w="9628" w:type="dxa"/>
            <w:gridSpan w:val="2"/>
          </w:tcPr>
          <w:p w14:paraId="7BDDE899" w14:textId="56FCD69A" w:rsidR="005A1FFB" w:rsidRDefault="005A1FFB" w:rsidP="00996C6D">
            <w:pPr>
              <w:pStyle w:val="TableBody"/>
            </w:pPr>
            <w:r w:rsidRPr="00F5205F">
              <w:rPr>
                <w:b/>
              </w:rPr>
              <w:t>Situation:</w:t>
            </w:r>
            <w:r w:rsidRPr="000C29EB">
              <w:t xml:space="preserve"> </w:t>
            </w:r>
            <w:r w:rsidR="007135A0">
              <w:t>B</w:t>
            </w:r>
            <w:r w:rsidR="00D43E5B" w:rsidRPr="00D43E5B">
              <w:t>ushfires devastated the South Coast of New South Wales (NSW) in the summer of 2020 and caused widespread d</w:t>
            </w:r>
            <w:r w:rsidR="004A38A1">
              <w:t>isruption</w:t>
            </w:r>
            <w:r w:rsidR="008E3A19">
              <w:t xml:space="preserve"> due to the dangerous conditions. </w:t>
            </w:r>
            <w:r w:rsidR="00D43E5B" w:rsidRPr="00D43E5B">
              <w:t xml:space="preserve">Woolworths chose to close some of its stores for short periods </w:t>
            </w:r>
            <w:r w:rsidR="00DE7300">
              <w:t xml:space="preserve">to deal with </w:t>
            </w:r>
            <w:r w:rsidR="00676609">
              <w:t>loss of electricity infrastructure, personnel shortages</w:t>
            </w:r>
            <w:r w:rsidR="00A01272">
              <w:t xml:space="preserve"> and </w:t>
            </w:r>
            <w:r w:rsidR="005C2DFB">
              <w:t xml:space="preserve">inability of </w:t>
            </w:r>
            <w:r w:rsidR="00F34BC4">
              <w:t xml:space="preserve">supply to reach </w:t>
            </w:r>
            <w:r w:rsidR="00B62073">
              <w:t>retailers</w:t>
            </w:r>
            <w:r w:rsidR="00D43E5B">
              <w:t>.</w:t>
            </w:r>
            <w:r w:rsidR="008871C2">
              <w:rPr>
                <w:rStyle w:val="FootnoteReference"/>
              </w:rPr>
              <w:footnoteReference w:id="313"/>
            </w:r>
            <w:r w:rsidR="00081DFB">
              <w:t xml:space="preserve"> Fire and smoke hazards clo</w:t>
            </w:r>
            <w:r w:rsidR="00D45A17">
              <w:t xml:space="preserve">sed roads, </w:t>
            </w:r>
            <w:r w:rsidR="00AD5DF1">
              <w:t xml:space="preserve">damaged food stocks </w:t>
            </w:r>
            <w:r w:rsidR="00450AB7">
              <w:t>and</w:t>
            </w:r>
            <w:r w:rsidR="00A6752E">
              <w:t xml:space="preserve"> prevented movement of </w:t>
            </w:r>
            <w:r w:rsidR="002A085D">
              <w:t>essential items.</w:t>
            </w:r>
            <w:r w:rsidR="002A085D">
              <w:rPr>
                <w:rStyle w:val="FootnoteReference"/>
              </w:rPr>
              <w:footnoteReference w:id="314"/>
            </w:r>
          </w:p>
        </w:tc>
      </w:tr>
      <w:tr w:rsidR="005A1FFB" w14:paraId="5F141788" w14:textId="77777777" w:rsidTr="00996C6D">
        <w:tc>
          <w:tcPr>
            <w:tcW w:w="9628" w:type="dxa"/>
            <w:gridSpan w:val="2"/>
            <w:shd w:val="clear" w:color="auto" w:fill="F2F2F2" w:themeFill="background1" w:themeFillShade="F2"/>
          </w:tcPr>
          <w:p w14:paraId="77BE6ACC" w14:textId="762DADDE" w:rsidR="005A1FFB" w:rsidRDefault="005A1FFB" w:rsidP="00996C6D">
            <w:pPr>
              <w:pStyle w:val="TableBody"/>
            </w:pPr>
            <w:r w:rsidRPr="00F5205F">
              <w:rPr>
                <w:b/>
              </w:rPr>
              <w:t>Outcome:</w:t>
            </w:r>
            <w:r>
              <w:t xml:space="preserve"> </w:t>
            </w:r>
            <w:r w:rsidR="00D16DC6" w:rsidRPr="00D16DC6">
              <w:t>Local residents were unable to purchase fresh food and groceries for a number of days.</w:t>
            </w:r>
            <w:r w:rsidR="00965917">
              <w:rPr>
                <w:rStyle w:val="FootnoteReference"/>
              </w:rPr>
              <w:footnoteReference w:id="315"/>
            </w:r>
            <w:r w:rsidR="00F03DD2">
              <w:t xml:space="preserve"> </w:t>
            </w:r>
            <w:r w:rsidR="005D64AF">
              <w:t>Medium-term effect on price and availability</w:t>
            </w:r>
            <w:r w:rsidR="00401000">
              <w:t xml:space="preserve"> on perishable goods.</w:t>
            </w:r>
          </w:p>
        </w:tc>
      </w:tr>
      <w:tr w:rsidR="005A1FFB" w14:paraId="0D2118BB" w14:textId="77777777" w:rsidTr="00996C6D">
        <w:trPr>
          <w:trHeight w:val="459"/>
        </w:trPr>
        <w:tc>
          <w:tcPr>
            <w:tcW w:w="9628" w:type="dxa"/>
            <w:gridSpan w:val="2"/>
          </w:tcPr>
          <w:p w14:paraId="20D7AD53" w14:textId="1D67897D" w:rsidR="005A1FFB" w:rsidRDefault="005A1FFB" w:rsidP="00996C6D">
            <w:pPr>
              <w:pStyle w:val="TableBody"/>
            </w:pPr>
            <w:r w:rsidRPr="00F5205F">
              <w:rPr>
                <w:b/>
              </w:rPr>
              <w:t>Identified Gap:</w:t>
            </w:r>
            <w:r>
              <w:t xml:space="preserve"> </w:t>
            </w:r>
            <w:r w:rsidR="00D16DC6" w:rsidRPr="00D16DC6">
              <w:t xml:space="preserve">Limitations in local food supply chains mean that populations are reliant on interstate and international supply chains for access to food and groceries. </w:t>
            </w:r>
          </w:p>
        </w:tc>
      </w:tr>
    </w:tbl>
    <w:p w14:paraId="2981E149" w14:textId="77777777" w:rsidR="005A1FFB" w:rsidRDefault="005A1FFB" w:rsidP="002A50B9">
      <w:pPr>
        <w:pStyle w:val="BodyText"/>
        <w:rPr>
          <w:lang w:eastAsia="en-AU"/>
        </w:rPr>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6663"/>
        <w:gridCol w:w="2965"/>
      </w:tblGrid>
      <w:tr w:rsidR="005A1FFB" w14:paraId="14E0980F" w14:textId="77777777" w:rsidTr="00996C6D">
        <w:tc>
          <w:tcPr>
            <w:tcW w:w="6663" w:type="dxa"/>
            <w:shd w:val="clear" w:color="auto" w:fill="034EA2" w:themeFill="accent1"/>
          </w:tcPr>
          <w:p w14:paraId="6E1E7C4E" w14:textId="23B60313" w:rsidR="005A1FFB" w:rsidRDefault="006D4155" w:rsidP="00996C6D">
            <w:pPr>
              <w:pStyle w:val="TableHeading"/>
            </w:pPr>
            <w:r w:rsidRPr="006D4155">
              <w:t>Baby formula shortage in the US</w:t>
            </w:r>
            <w:r w:rsidR="005A1FFB">
              <w:t xml:space="preserve"> (202</w:t>
            </w:r>
            <w:r>
              <w:t>2</w:t>
            </w:r>
            <w:r w:rsidR="005A1FFB">
              <w:t>)</w:t>
            </w:r>
          </w:p>
        </w:tc>
        <w:tc>
          <w:tcPr>
            <w:tcW w:w="2965" w:type="dxa"/>
            <w:shd w:val="clear" w:color="auto" w:fill="007BC3" w:themeFill="accent2"/>
          </w:tcPr>
          <w:p w14:paraId="2293A2FD" w14:textId="0E36AC5C" w:rsidR="005A1FFB" w:rsidRDefault="00E56A9B" w:rsidP="00996C6D">
            <w:pPr>
              <w:pStyle w:val="Tableriskcategory"/>
            </w:pPr>
            <w:r w:rsidRPr="00E56A9B">
              <w:t>Personnel</w:t>
            </w:r>
            <w:r>
              <w:t xml:space="preserve"> &amp;</w:t>
            </w:r>
            <w:r w:rsidRPr="00E56A9B">
              <w:t xml:space="preserve"> supply chain</w:t>
            </w:r>
            <w:r w:rsidR="005C6CC2">
              <w:t xml:space="preserve"> hazard</w:t>
            </w:r>
          </w:p>
        </w:tc>
      </w:tr>
      <w:tr w:rsidR="005A1FFB" w14:paraId="43FFB8EF" w14:textId="77777777" w:rsidTr="00996C6D">
        <w:tc>
          <w:tcPr>
            <w:tcW w:w="9628" w:type="dxa"/>
            <w:gridSpan w:val="2"/>
          </w:tcPr>
          <w:p w14:paraId="07362A41" w14:textId="7439FEE6" w:rsidR="005A1FFB" w:rsidRDefault="005A1FFB" w:rsidP="00996C6D">
            <w:pPr>
              <w:pStyle w:val="TableBody"/>
            </w:pPr>
            <w:r w:rsidRPr="00F5205F">
              <w:rPr>
                <w:b/>
              </w:rPr>
              <w:t>Situation:</w:t>
            </w:r>
            <w:r w:rsidRPr="000C29EB">
              <w:t xml:space="preserve"> </w:t>
            </w:r>
            <w:r w:rsidR="00E56A9B" w:rsidRPr="00E56A9B">
              <w:t xml:space="preserve">In early 2022, many supermarkets and other point of sale outlets in the US were unable to stock sufficient levels of baby formula to meet consumer demands. This shortage was a result of the closure of one domestic manufacturing facility, strict importing regulations, highly concentrated domestic industry and </w:t>
            </w:r>
            <w:r w:rsidR="009F2B32">
              <w:t>COVID</w:t>
            </w:r>
            <w:r w:rsidR="00E56A9B" w:rsidRPr="00E56A9B">
              <w:t xml:space="preserve"> related supply chain challenges.</w:t>
            </w:r>
            <w:r w:rsidR="0094702A">
              <w:rPr>
                <w:rStyle w:val="FootnoteReference"/>
              </w:rPr>
              <w:footnoteReference w:id="316"/>
            </w:r>
          </w:p>
        </w:tc>
      </w:tr>
      <w:tr w:rsidR="005A1FFB" w14:paraId="2B6D6868" w14:textId="77777777" w:rsidTr="00996C6D">
        <w:tc>
          <w:tcPr>
            <w:tcW w:w="9628" w:type="dxa"/>
            <w:gridSpan w:val="2"/>
            <w:shd w:val="clear" w:color="auto" w:fill="F2F2F2" w:themeFill="background1" w:themeFillShade="F2"/>
          </w:tcPr>
          <w:p w14:paraId="446680F1" w14:textId="112E2A23" w:rsidR="005A1FFB" w:rsidRDefault="005A1FFB" w:rsidP="00996C6D">
            <w:pPr>
              <w:pStyle w:val="TableBody"/>
            </w:pPr>
            <w:r w:rsidRPr="00F5205F">
              <w:rPr>
                <w:b/>
              </w:rPr>
              <w:t>Outcome:</w:t>
            </w:r>
            <w:r>
              <w:t xml:space="preserve"> </w:t>
            </w:r>
            <w:r w:rsidR="00941E3B" w:rsidRPr="00941E3B">
              <w:t>There was a shortage of 40% of baby formula in the US market</w:t>
            </w:r>
            <w:r w:rsidR="00A90C3B">
              <w:t xml:space="preserve"> with certain states and regions</w:t>
            </w:r>
            <w:r w:rsidR="00862EF3">
              <w:t xml:space="preserve"> more affected</w:t>
            </w:r>
            <w:r w:rsidR="00FC76CD">
              <w:t xml:space="preserve"> (some </w:t>
            </w:r>
            <w:r w:rsidR="007135A0">
              <w:t>greater than</w:t>
            </w:r>
            <w:r w:rsidR="0022536D">
              <w:t xml:space="preserve"> 90%</w:t>
            </w:r>
            <w:r w:rsidR="007135A0">
              <w:t>)</w:t>
            </w:r>
            <w:r w:rsidR="00862EF3">
              <w:t>.</w:t>
            </w:r>
            <w:r w:rsidR="00FE7D1E">
              <w:rPr>
                <w:rStyle w:val="FootnoteReference"/>
              </w:rPr>
              <w:footnoteReference w:id="317"/>
            </w:r>
            <w:r w:rsidR="00862EF3">
              <w:t xml:space="preserve"> </w:t>
            </w:r>
            <w:r w:rsidR="00880F3F" w:rsidRPr="00880F3F">
              <w:t xml:space="preserve">To resolve the issue, President Biden invoked the Defense Production Act to increase </w:t>
            </w:r>
            <w:r w:rsidR="00F02694">
              <w:t xml:space="preserve">domestic </w:t>
            </w:r>
            <w:r w:rsidR="00880F3F" w:rsidRPr="00880F3F">
              <w:t>production</w:t>
            </w:r>
            <w:r w:rsidR="000E09CE">
              <w:t>.</w:t>
            </w:r>
            <w:r w:rsidR="00880F3F" w:rsidRPr="00880F3F">
              <w:t xml:space="preserve"> President Biden also launched ‘Operation Fly Formula’ to fly in formula from overseas</w:t>
            </w:r>
            <w:r w:rsidR="00C04C02">
              <w:t xml:space="preserve"> and C</w:t>
            </w:r>
            <w:r w:rsidR="00205722">
              <w:t>ongress passed legislation to temporarily suspend import tariffs</w:t>
            </w:r>
            <w:r w:rsidR="00F02694">
              <w:t>.</w:t>
            </w:r>
            <w:r w:rsidR="00F02694">
              <w:rPr>
                <w:rStyle w:val="FootnoteReference"/>
              </w:rPr>
              <w:footnoteReference w:id="318"/>
            </w:r>
            <w:r w:rsidR="00880F3F" w:rsidRPr="00880F3F">
              <w:t xml:space="preserve"> However, gaps in supply </w:t>
            </w:r>
            <w:r w:rsidR="008E0840">
              <w:t>will persist</w:t>
            </w:r>
            <w:r w:rsidR="00880F3F" w:rsidRPr="00880F3F">
              <w:t xml:space="preserve"> until strategic changes </w:t>
            </w:r>
            <w:r w:rsidR="00782F07">
              <w:t>are adopted</w:t>
            </w:r>
            <w:r w:rsidR="00880F3F" w:rsidRPr="00880F3F">
              <w:t xml:space="preserve"> in the policy settings and domestic production systems.</w:t>
            </w:r>
          </w:p>
        </w:tc>
      </w:tr>
      <w:tr w:rsidR="005A1FFB" w14:paraId="20856442" w14:textId="77777777" w:rsidTr="00996C6D">
        <w:trPr>
          <w:trHeight w:val="459"/>
        </w:trPr>
        <w:tc>
          <w:tcPr>
            <w:tcW w:w="9628" w:type="dxa"/>
            <w:gridSpan w:val="2"/>
          </w:tcPr>
          <w:p w14:paraId="1F4B22DE" w14:textId="23D7C9A8" w:rsidR="005A1FFB" w:rsidRDefault="005A1FFB" w:rsidP="00996C6D">
            <w:pPr>
              <w:pStyle w:val="TableBody"/>
            </w:pPr>
            <w:r w:rsidRPr="00F5205F">
              <w:rPr>
                <w:b/>
              </w:rPr>
              <w:t>Identified Gap:</w:t>
            </w:r>
            <w:r>
              <w:t xml:space="preserve"> </w:t>
            </w:r>
            <w:r w:rsidR="00880F3F" w:rsidRPr="00880F3F">
              <w:t>Domestic standards are inconsistent with some international standards making importing supply on need harder. Market concentration can impact when key facilities are not operational.</w:t>
            </w:r>
          </w:p>
        </w:tc>
      </w:tr>
    </w:tbl>
    <w:p w14:paraId="185EBDA2" w14:textId="77777777" w:rsidR="005A1FFB" w:rsidRDefault="005A1FFB" w:rsidP="002A50B9">
      <w:pPr>
        <w:pStyle w:val="BodyText"/>
        <w:rPr>
          <w:lang w:eastAsia="en-AU"/>
        </w:rPr>
      </w:pPr>
    </w:p>
    <w:p w14:paraId="323DA928" w14:textId="578D9B2B" w:rsidR="004D721E" w:rsidRDefault="004D721E" w:rsidP="00AC6CD7">
      <w:pPr>
        <w:pStyle w:val="AppendixH2"/>
      </w:pPr>
      <w:r w:rsidRPr="004D721E">
        <w:lastRenderedPageBreak/>
        <w:t>Key risks to critical food and grocery assets</w:t>
      </w:r>
    </w:p>
    <w:tbl>
      <w:tblPr>
        <w:tblStyle w:val="DHATable2"/>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163"/>
        <w:gridCol w:w="4117"/>
        <w:gridCol w:w="4358"/>
      </w:tblGrid>
      <w:tr w:rsidR="00A55DDD" w:rsidRPr="00957658" w14:paraId="231F35E3" w14:textId="77777777" w:rsidTr="00A55DDD">
        <w:trPr>
          <w:tblHeader/>
        </w:trPr>
        <w:tc>
          <w:tcPr>
            <w:tcW w:w="603" w:type="pct"/>
            <w:shd w:val="clear" w:color="auto" w:fill="034EA2" w:themeFill="accent1"/>
          </w:tcPr>
          <w:p w14:paraId="59895C1D" w14:textId="77777777" w:rsidR="00A55DDD" w:rsidRPr="00957658" w:rsidRDefault="00A55DDD" w:rsidP="00996C6D">
            <w:pPr>
              <w:keepNext/>
              <w:rPr>
                <w:b/>
                <w:color w:val="FFFFFF" w:themeColor="background1"/>
              </w:rPr>
            </w:pPr>
            <w:r w:rsidRPr="00957658">
              <w:rPr>
                <w:b/>
                <w:color w:val="FFFFFF" w:themeColor="background1"/>
              </w:rPr>
              <w:t>Hazard domain</w:t>
            </w:r>
          </w:p>
        </w:tc>
        <w:tc>
          <w:tcPr>
            <w:tcW w:w="2136" w:type="pct"/>
            <w:shd w:val="clear" w:color="auto" w:fill="034EA2" w:themeFill="accent1"/>
          </w:tcPr>
          <w:p w14:paraId="059FB48F" w14:textId="77777777" w:rsidR="00A55DDD" w:rsidRPr="00957658" w:rsidRDefault="00A55DDD" w:rsidP="00996C6D">
            <w:pPr>
              <w:keepNext/>
              <w:rPr>
                <w:b/>
                <w:color w:val="FFFFFF" w:themeColor="background1"/>
              </w:rPr>
            </w:pPr>
            <w:r w:rsidRPr="00957658">
              <w:rPr>
                <w:b/>
                <w:color w:val="FFFFFF" w:themeColor="background1"/>
              </w:rPr>
              <w:t>Identified risk</w:t>
            </w:r>
          </w:p>
        </w:tc>
        <w:tc>
          <w:tcPr>
            <w:tcW w:w="2261" w:type="pct"/>
            <w:shd w:val="clear" w:color="auto" w:fill="034EA2" w:themeFill="accent1"/>
          </w:tcPr>
          <w:p w14:paraId="5ADE7444" w14:textId="77777777" w:rsidR="00A55DDD" w:rsidRPr="00957658" w:rsidRDefault="00A55DDD" w:rsidP="00996C6D">
            <w:pPr>
              <w:keepNext/>
              <w:rPr>
                <w:b/>
                <w:color w:val="FFFFFF" w:themeColor="background1"/>
              </w:rPr>
            </w:pPr>
            <w:r w:rsidRPr="00957658">
              <w:rPr>
                <w:b/>
                <w:color w:val="FFFFFF" w:themeColor="background1"/>
              </w:rPr>
              <w:t>Example</w:t>
            </w:r>
          </w:p>
        </w:tc>
      </w:tr>
      <w:tr w:rsidR="00A55DDD" w:rsidRPr="00957658" w14:paraId="00F88D37" w14:textId="77777777" w:rsidTr="00A55DDD">
        <w:trPr>
          <w:trHeight w:val="450"/>
        </w:trPr>
        <w:tc>
          <w:tcPr>
            <w:tcW w:w="603" w:type="pct"/>
            <w:shd w:val="clear" w:color="auto" w:fill="F2F2F2" w:themeFill="background1" w:themeFillShade="F2"/>
          </w:tcPr>
          <w:p w14:paraId="7F630F7E" w14:textId="77777777" w:rsidR="00A55DDD" w:rsidRPr="00957658" w:rsidRDefault="00A55DDD" w:rsidP="00996C6D">
            <w:pPr>
              <w:spacing w:before="60" w:after="60"/>
              <w:rPr>
                <w:rFonts w:eastAsia="MS Mincho" w:cs="Times New Roman"/>
                <w:color w:val="FF9933"/>
                <w:lang w:val="en-US"/>
              </w:rPr>
            </w:pPr>
            <w:r w:rsidRPr="00957658">
              <w:rPr>
                <w:rFonts w:eastAsia="MS Mincho" w:cs="Times New Roman"/>
                <w:lang w:val="en-US"/>
              </w:rPr>
              <w:t>Physical &amp; Natural Hazard</w:t>
            </w:r>
          </w:p>
        </w:tc>
        <w:tc>
          <w:tcPr>
            <w:tcW w:w="2136" w:type="pct"/>
            <w:shd w:val="clear" w:color="auto" w:fill="auto"/>
          </w:tcPr>
          <w:p w14:paraId="1656404C" w14:textId="6AFE8575" w:rsidR="00A55DDD" w:rsidRPr="00957658" w:rsidRDefault="006808E8" w:rsidP="00AC6CD7">
            <w:pPr>
              <w:pStyle w:val="TableBody"/>
            </w:pPr>
            <w:r w:rsidRPr="006808E8">
              <w:t>Despite the rise of online delivery, shop storefronts and distribution centres remain key for access to food and groceries.</w:t>
            </w:r>
          </w:p>
        </w:tc>
        <w:tc>
          <w:tcPr>
            <w:tcW w:w="2261" w:type="pct"/>
            <w:shd w:val="clear" w:color="auto" w:fill="auto"/>
          </w:tcPr>
          <w:p w14:paraId="05ED7044" w14:textId="3B4F0219" w:rsidR="00A55DDD" w:rsidRPr="00957658" w:rsidRDefault="00F17C6F" w:rsidP="00AC6CD7">
            <w:pPr>
              <w:pStyle w:val="TableBody"/>
            </w:pPr>
            <w:r>
              <w:t>I</w:t>
            </w:r>
            <w:r w:rsidRPr="00F17C6F">
              <w:t xml:space="preserve">n early 2020, bushfires on the South Coast of NSW meant that supermarkets were closed as a result of lack of power, lack of staff and lack of capacity to receive groceries. This resulted in local communities not to have access to fresh foods.  </w:t>
            </w:r>
          </w:p>
        </w:tc>
      </w:tr>
      <w:tr w:rsidR="00A55DDD" w:rsidRPr="00957658" w14:paraId="2B8DDEFC" w14:textId="77777777" w:rsidTr="00A55DDD">
        <w:tc>
          <w:tcPr>
            <w:tcW w:w="603" w:type="pct"/>
            <w:shd w:val="clear" w:color="auto" w:fill="F2F2F2" w:themeFill="background1" w:themeFillShade="F2"/>
          </w:tcPr>
          <w:p w14:paraId="5081FD91" w14:textId="77777777" w:rsidR="00A55DDD" w:rsidRPr="00957658" w:rsidRDefault="00A55DDD" w:rsidP="00996C6D">
            <w:pPr>
              <w:spacing w:before="60" w:after="60"/>
              <w:rPr>
                <w:rFonts w:ascii="Calibri" w:eastAsia="MS Mincho" w:hAnsi="Calibri" w:cs="Times New Roman"/>
                <w:lang w:val="en-US"/>
              </w:rPr>
            </w:pPr>
            <w:r w:rsidRPr="00957658">
              <w:rPr>
                <w:rFonts w:eastAsia="MS Mincho" w:cs="Times New Roman"/>
                <w:lang w:val="en-US"/>
              </w:rPr>
              <w:t>Cyber</w:t>
            </w:r>
          </w:p>
        </w:tc>
        <w:tc>
          <w:tcPr>
            <w:tcW w:w="2136" w:type="pct"/>
            <w:shd w:val="clear" w:color="auto" w:fill="auto"/>
          </w:tcPr>
          <w:p w14:paraId="25E979C5" w14:textId="0D05B387" w:rsidR="00A55DDD" w:rsidRPr="00957658" w:rsidRDefault="00D90130" w:rsidP="00AC6CD7">
            <w:pPr>
              <w:pStyle w:val="TableBody"/>
            </w:pPr>
            <w:r w:rsidRPr="00D90130">
              <w:t>Supermarkets and wholesalers are increasingly utili</w:t>
            </w:r>
            <w:r>
              <w:t>s</w:t>
            </w:r>
            <w:r w:rsidRPr="00D90130">
              <w:t>ing technology across all areas of service including point of sale, stock management, merchandising, staffing and finance, data and sales increasing the points of vulnerability.</w:t>
            </w:r>
          </w:p>
        </w:tc>
        <w:tc>
          <w:tcPr>
            <w:tcW w:w="2261" w:type="pct"/>
            <w:shd w:val="clear" w:color="auto" w:fill="auto"/>
          </w:tcPr>
          <w:p w14:paraId="08F14918" w14:textId="7938B5B9" w:rsidR="00A55DDD" w:rsidRPr="00AC6CD7" w:rsidRDefault="00B620AD" w:rsidP="00AC6CD7">
            <w:pPr>
              <w:pStyle w:val="TableBody"/>
            </w:pPr>
            <w:r w:rsidRPr="00AC6CD7">
              <w:t>In 2020, Coles, was hit by an IT outage for a little over four hours and forced to shut its outlets, with shoppers unable to complete purchases due to an inability to process payments.</w:t>
            </w:r>
          </w:p>
        </w:tc>
      </w:tr>
      <w:tr w:rsidR="00A55DDD" w:rsidRPr="00957658" w14:paraId="7124E248" w14:textId="77777777" w:rsidTr="00A55DDD">
        <w:trPr>
          <w:trHeight w:val="522"/>
        </w:trPr>
        <w:tc>
          <w:tcPr>
            <w:tcW w:w="603" w:type="pct"/>
            <w:shd w:val="clear" w:color="auto" w:fill="F2F2F2" w:themeFill="background1" w:themeFillShade="F2"/>
          </w:tcPr>
          <w:p w14:paraId="7CB02509" w14:textId="77777777" w:rsidR="00A55DDD" w:rsidRPr="00957658" w:rsidRDefault="00A55DDD" w:rsidP="00996C6D">
            <w:pPr>
              <w:spacing w:before="60" w:after="60"/>
              <w:rPr>
                <w:rFonts w:ascii="Calibri" w:eastAsia="MS Mincho" w:hAnsi="Calibri" w:cs="Times New Roman"/>
                <w:lang w:val="en-US"/>
              </w:rPr>
            </w:pPr>
            <w:r w:rsidRPr="00957658">
              <w:rPr>
                <w:rFonts w:eastAsia="MS Mincho" w:cs="Times New Roman"/>
                <w:lang w:val="en-US"/>
              </w:rPr>
              <w:t>Supply Chain</w:t>
            </w:r>
          </w:p>
        </w:tc>
        <w:tc>
          <w:tcPr>
            <w:tcW w:w="2136" w:type="pct"/>
            <w:shd w:val="clear" w:color="auto" w:fill="auto"/>
          </w:tcPr>
          <w:p w14:paraId="35D63B05" w14:textId="76A2F505" w:rsidR="00F26537" w:rsidRDefault="00C77D59">
            <w:pPr>
              <w:pStyle w:val="TableBody"/>
            </w:pPr>
            <w:r w:rsidRPr="00AC6CD7">
              <w:t>The physical supply chain has presented difficulties, in particular during the COVID-19 pandemic. This is because of its unique market conditions in which local supply chains are highly concentrated between the two main supermarket players and one large wholesaler, limited local manufacturing and production and distribution centres a significant distance from supermarkets.</w:t>
            </w:r>
            <w:r w:rsidR="00F26537">
              <w:rPr>
                <w:rStyle w:val="FootnoteReference"/>
              </w:rPr>
              <w:footnoteReference w:id="319"/>
            </w:r>
            <w:r w:rsidR="00B604FA">
              <w:t xml:space="preserve"> </w:t>
            </w:r>
          </w:p>
          <w:p w14:paraId="0C89D304" w14:textId="4AFBB832" w:rsidR="00A55DDD" w:rsidRPr="00AC6CD7" w:rsidRDefault="00B604FA" w:rsidP="00AC6CD7">
            <w:pPr>
              <w:pStyle w:val="TableBody"/>
            </w:pPr>
            <w:r w:rsidRPr="00B604FA">
              <w:t>In addition, Australia relies on international supply chains to fill gaps in domestic production which is subject to a range of externalities.</w:t>
            </w:r>
          </w:p>
        </w:tc>
        <w:tc>
          <w:tcPr>
            <w:tcW w:w="2261" w:type="pct"/>
            <w:shd w:val="clear" w:color="auto" w:fill="auto"/>
          </w:tcPr>
          <w:p w14:paraId="1E7106F7" w14:textId="55BFD54F" w:rsidR="00A55DDD" w:rsidRPr="00957658" w:rsidRDefault="00B604FA" w:rsidP="00AC6CD7">
            <w:pPr>
              <w:pStyle w:val="TableBody"/>
            </w:pPr>
            <w:r w:rsidRPr="00B604FA">
              <w:t>The COVID-19 pandemic and natural disasters have highlighted concerns regarding the vulnerability of Australia’s food supply chain exposing many people to short term food and grocery shortages.</w:t>
            </w:r>
          </w:p>
        </w:tc>
      </w:tr>
      <w:tr w:rsidR="00A55DDD" w:rsidRPr="00957658" w14:paraId="7C915C77" w14:textId="77777777" w:rsidTr="00A55DDD">
        <w:tc>
          <w:tcPr>
            <w:tcW w:w="603" w:type="pct"/>
            <w:shd w:val="clear" w:color="auto" w:fill="F2F2F2" w:themeFill="background1" w:themeFillShade="F2"/>
          </w:tcPr>
          <w:p w14:paraId="2F09D8F9" w14:textId="77777777" w:rsidR="00A55DDD" w:rsidRPr="00957658" w:rsidRDefault="00A55DDD" w:rsidP="00996C6D">
            <w:pPr>
              <w:spacing w:before="60" w:after="60"/>
              <w:rPr>
                <w:rFonts w:ascii="Calibri" w:eastAsia="MS Mincho" w:hAnsi="Calibri" w:cs="Times New Roman"/>
                <w:lang w:val="en-US"/>
              </w:rPr>
            </w:pPr>
            <w:r w:rsidRPr="00957658">
              <w:rPr>
                <w:rFonts w:eastAsia="MS Mincho" w:cs="Times New Roman"/>
                <w:lang w:val="en-US"/>
              </w:rPr>
              <w:t>Personnel</w:t>
            </w:r>
          </w:p>
        </w:tc>
        <w:tc>
          <w:tcPr>
            <w:tcW w:w="2136" w:type="pct"/>
            <w:shd w:val="clear" w:color="auto" w:fill="auto"/>
          </w:tcPr>
          <w:p w14:paraId="27D582D4" w14:textId="28600009" w:rsidR="00A55DDD" w:rsidRPr="00AC6CD7" w:rsidRDefault="009B5A40" w:rsidP="00501951">
            <w:pPr>
              <w:pStyle w:val="TableBody"/>
            </w:pPr>
            <w:r w:rsidRPr="00AC6CD7">
              <w:t>When personnel are unable to operate due to events beyond their control, to personnel shortages within the supply chain. Additionally, employees having access to systems, data, or premises may offer insider threat concerns such as fraud, theft, intelligence, infrastructure sabotage, and data misuse.</w:t>
            </w:r>
          </w:p>
        </w:tc>
        <w:tc>
          <w:tcPr>
            <w:tcW w:w="2261" w:type="pct"/>
            <w:shd w:val="clear" w:color="auto" w:fill="auto"/>
          </w:tcPr>
          <w:p w14:paraId="4508C599" w14:textId="6B8816A5" w:rsidR="00A55DDD" w:rsidRPr="00AC6CD7" w:rsidRDefault="009B5A40" w:rsidP="00AC6CD7">
            <w:pPr>
              <w:pStyle w:val="TableBody"/>
            </w:pPr>
            <w:r w:rsidRPr="00AC6CD7">
              <w:t>An employee</w:t>
            </w:r>
            <w:r>
              <w:t xml:space="preserve"> </w:t>
            </w:r>
            <w:r w:rsidRPr="00AC6CD7">
              <w:t xml:space="preserve">stole the personal data of employees of </w:t>
            </w:r>
            <w:r w:rsidR="006B7BEE">
              <w:t>Morrison supermarket (UK)</w:t>
            </w:r>
            <w:r w:rsidRPr="00AC6CD7">
              <w:t xml:space="preserve"> and posted the data online causing distress to its sta</w:t>
            </w:r>
            <w:r w:rsidR="00F42E88">
              <w:t>ff.</w:t>
            </w:r>
            <w:r w:rsidR="00886ABE">
              <w:rPr>
                <w:rStyle w:val="FootnoteReference"/>
              </w:rPr>
              <w:footnoteReference w:id="320"/>
            </w:r>
            <w:r w:rsidR="00F42E88">
              <w:t xml:space="preserve"> </w:t>
            </w:r>
          </w:p>
        </w:tc>
      </w:tr>
    </w:tbl>
    <w:p w14:paraId="7093C189" w14:textId="77777777" w:rsidR="005A1FFB" w:rsidRDefault="005A1FFB" w:rsidP="002A50B9">
      <w:pPr>
        <w:pStyle w:val="BodyText"/>
        <w:rPr>
          <w:lang w:eastAsia="en-AU"/>
        </w:rPr>
      </w:pPr>
    </w:p>
    <w:p w14:paraId="30883968" w14:textId="3CF979B6" w:rsidR="00F42E88" w:rsidRDefault="00F541BD" w:rsidP="00AC6CD7">
      <w:pPr>
        <w:pStyle w:val="AppendixH2"/>
      </w:pPr>
      <w:r w:rsidRPr="00F541BD">
        <w:t>Existing legislation related to critical food and groceries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552"/>
        <w:gridCol w:w="4119"/>
        <w:gridCol w:w="3955"/>
        <w:gridCol w:w="12"/>
      </w:tblGrid>
      <w:tr w:rsidR="000F20E8" w:rsidRPr="00374A1D" w14:paraId="077DB5B8" w14:textId="77777777" w:rsidTr="00AC6CD7">
        <w:trPr>
          <w:tblHeader/>
        </w:trPr>
        <w:tc>
          <w:tcPr>
            <w:tcW w:w="2942" w:type="pct"/>
            <w:gridSpan w:val="2"/>
            <w:shd w:val="clear" w:color="auto" w:fill="034EA2" w:themeFill="accent1"/>
          </w:tcPr>
          <w:p w14:paraId="2852E8D3" w14:textId="77777777" w:rsidR="000F20E8" w:rsidRPr="00374A1D" w:rsidRDefault="000F20E8" w:rsidP="00996C6D">
            <w:pPr>
              <w:pStyle w:val="TableHeading"/>
            </w:pPr>
            <w:r w:rsidRPr="00EE7E2C">
              <w:t>Overview of regulation</w:t>
            </w:r>
          </w:p>
        </w:tc>
        <w:tc>
          <w:tcPr>
            <w:tcW w:w="2058" w:type="pct"/>
            <w:gridSpan w:val="2"/>
            <w:shd w:val="clear" w:color="auto" w:fill="034EA2" w:themeFill="accent1"/>
          </w:tcPr>
          <w:p w14:paraId="0FBAACA3" w14:textId="77777777" w:rsidR="000F20E8" w:rsidRPr="00374A1D" w:rsidRDefault="000F20E8" w:rsidP="00996C6D">
            <w:pPr>
              <w:pStyle w:val="TableHeading"/>
            </w:pPr>
            <w:r w:rsidRPr="00EE7E2C">
              <w:t>Identified gaps</w:t>
            </w:r>
          </w:p>
        </w:tc>
      </w:tr>
      <w:tr w:rsidR="000F20E8" w:rsidRPr="00374A1D" w14:paraId="74684F50" w14:textId="77777777" w:rsidTr="00996C6D">
        <w:trPr>
          <w:gridAfter w:val="1"/>
          <w:wAfter w:w="6" w:type="pct"/>
        </w:trPr>
        <w:tc>
          <w:tcPr>
            <w:tcW w:w="805" w:type="pct"/>
            <w:vMerge w:val="restart"/>
            <w:shd w:val="clear" w:color="auto" w:fill="F2F2F2" w:themeFill="background2" w:themeFillShade="F2"/>
          </w:tcPr>
          <w:p w14:paraId="7CB118C6" w14:textId="09242E65" w:rsidR="000F20E8" w:rsidRPr="00AC6CD7" w:rsidRDefault="00823D41" w:rsidP="00996C6D">
            <w:pPr>
              <w:pStyle w:val="TableBody"/>
            </w:pPr>
            <w:r w:rsidRPr="00823D41">
              <w:t>Australian Competition &amp; Consumer Commission (ACCC)</w:t>
            </w:r>
          </w:p>
        </w:tc>
        <w:tc>
          <w:tcPr>
            <w:tcW w:w="2137" w:type="pct"/>
            <w:shd w:val="clear" w:color="auto" w:fill="auto"/>
          </w:tcPr>
          <w:p w14:paraId="3560F1B7" w14:textId="18ED273E" w:rsidR="0071231F" w:rsidRDefault="00823D41" w:rsidP="00996C6D">
            <w:pPr>
              <w:pStyle w:val="TableBody"/>
              <w:rPr>
                <w:rFonts w:eastAsia="Calibri"/>
              </w:rPr>
            </w:pPr>
            <w:r w:rsidRPr="00823D41">
              <w:rPr>
                <w:rFonts w:eastAsia="Calibri"/>
              </w:rPr>
              <w:t>The </w:t>
            </w:r>
            <w:r w:rsidRPr="00AC6CD7">
              <w:rPr>
                <w:rFonts w:eastAsia="Calibri"/>
                <w:i/>
              </w:rPr>
              <w:t>Competition and Consumer Act 2010 </w:t>
            </w:r>
            <w:r w:rsidRPr="00823D41">
              <w:rPr>
                <w:rFonts w:eastAsia="Calibri"/>
              </w:rPr>
              <w:t xml:space="preserve">(CCA) covers most areas of the market: the relationships between suppliers, wholesalers, retailers, and consumers. Its purpose is to enhance the welfare of Australians by promoting fair trading and </w:t>
            </w:r>
            <w:r w:rsidRPr="00823D41">
              <w:rPr>
                <w:rFonts w:eastAsia="Calibri"/>
              </w:rPr>
              <w:lastRenderedPageBreak/>
              <w:t>competition, and through the provision of consumer protections</w:t>
            </w:r>
            <w:r w:rsidR="00DB3488">
              <w:rPr>
                <w:rFonts w:eastAsia="Calibri"/>
              </w:rPr>
              <w:t>.</w:t>
            </w:r>
          </w:p>
          <w:p w14:paraId="5D77899A" w14:textId="5D072EEB" w:rsidR="0071231F" w:rsidRDefault="0071231F" w:rsidP="00996C6D">
            <w:pPr>
              <w:pStyle w:val="TableBody"/>
              <w:rPr>
                <w:rFonts w:eastAsia="Calibri"/>
              </w:rPr>
            </w:pPr>
            <w:r>
              <w:rPr>
                <w:rFonts w:eastAsia="Calibri"/>
              </w:rPr>
              <w:t xml:space="preserve">Broadly, </w:t>
            </w:r>
            <w:r w:rsidR="00DB3488">
              <w:rPr>
                <w:rFonts w:eastAsia="Calibri"/>
              </w:rPr>
              <w:t>the CCA</w:t>
            </w:r>
            <w:r>
              <w:rPr>
                <w:rFonts w:eastAsia="Calibri"/>
              </w:rPr>
              <w:t xml:space="preserve"> covers:</w:t>
            </w:r>
          </w:p>
          <w:p w14:paraId="265A1DCE" w14:textId="77777777" w:rsidR="0071231F" w:rsidRPr="0071231F" w:rsidRDefault="0071231F" w:rsidP="00AC6CD7">
            <w:pPr>
              <w:pStyle w:val="TableBullet"/>
              <w:rPr>
                <w:rFonts w:eastAsia="Calibri"/>
              </w:rPr>
            </w:pPr>
            <w:r w:rsidRPr="0071231F">
              <w:rPr>
                <w:rFonts w:eastAsia="Calibri"/>
              </w:rPr>
              <w:t xml:space="preserve">product safety and labelling </w:t>
            </w:r>
          </w:p>
          <w:p w14:paraId="39EAB06A" w14:textId="77777777" w:rsidR="0071231F" w:rsidRPr="0071231F" w:rsidRDefault="0071231F" w:rsidP="00AC6CD7">
            <w:pPr>
              <w:pStyle w:val="TableBullet"/>
              <w:rPr>
                <w:rFonts w:eastAsia="Calibri"/>
              </w:rPr>
            </w:pPr>
            <w:r w:rsidRPr="0071231F">
              <w:rPr>
                <w:rFonts w:eastAsia="Calibri"/>
              </w:rPr>
              <w:t xml:space="preserve">unfair market practices </w:t>
            </w:r>
          </w:p>
          <w:p w14:paraId="4536890C" w14:textId="77777777" w:rsidR="0071231F" w:rsidRPr="0071231F" w:rsidRDefault="0071231F" w:rsidP="00AC6CD7">
            <w:pPr>
              <w:pStyle w:val="TableBullet"/>
              <w:rPr>
                <w:rFonts w:eastAsia="Calibri"/>
              </w:rPr>
            </w:pPr>
            <w:r w:rsidRPr="0071231F">
              <w:rPr>
                <w:rFonts w:eastAsia="Calibri"/>
              </w:rPr>
              <w:t xml:space="preserve">price monitoring </w:t>
            </w:r>
          </w:p>
          <w:p w14:paraId="6F09C94C" w14:textId="77777777" w:rsidR="0071231F" w:rsidRPr="0071231F" w:rsidRDefault="0071231F" w:rsidP="00AC6CD7">
            <w:pPr>
              <w:pStyle w:val="TableBullet"/>
              <w:rPr>
                <w:rFonts w:eastAsia="Calibri"/>
              </w:rPr>
            </w:pPr>
            <w:r w:rsidRPr="0071231F">
              <w:rPr>
                <w:rFonts w:eastAsia="Calibri"/>
              </w:rPr>
              <w:t xml:space="preserve">industry codes </w:t>
            </w:r>
          </w:p>
          <w:p w14:paraId="7168FE53" w14:textId="77777777" w:rsidR="0071231F" w:rsidRPr="0071231F" w:rsidRDefault="0071231F" w:rsidP="00AC6CD7">
            <w:pPr>
              <w:pStyle w:val="TableBullet"/>
              <w:rPr>
                <w:rFonts w:eastAsia="Calibri"/>
              </w:rPr>
            </w:pPr>
            <w:r w:rsidRPr="0071231F">
              <w:rPr>
                <w:rFonts w:eastAsia="Calibri"/>
              </w:rPr>
              <w:t xml:space="preserve">industry regulation – airports, electricity, gas, telecommunications </w:t>
            </w:r>
          </w:p>
          <w:p w14:paraId="31106854" w14:textId="779FCC74" w:rsidR="0071231F" w:rsidRPr="00AC6CD7" w:rsidRDefault="0071231F" w:rsidP="004A5D5A">
            <w:pPr>
              <w:pStyle w:val="TableBullet"/>
              <w:numPr>
                <w:ilvl w:val="0"/>
                <w:numId w:val="0"/>
              </w:numPr>
              <w:ind w:left="284"/>
            </w:pPr>
            <w:r w:rsidRPr="0071231F">
              <w:rPr>
                <w:rFonts w:eastAsia="Calibri"/>
              </w:rPr>
              <w:t>mergers and acquisitions</w:t>
            </w:r>
          </w:p>
        </w:tc>
        <w:tc>
          <w:tcPr>
            <w:tcW w:w="2052" w:type="pct"/>
            <w:shd w:val="clear" w:color="auto" w:fill="auto"/>
          </w:tcPr>
          <w:p w14:paraId="5D7F36DB" w14:textId="460B477A" w:rsidR="000F20E8" w:rsidRPr="00374A1D" w:rsidRDefault="005F43BF" w:rsidP="00996C6D">
            <w:pPr>
              <w:pStyle w:val="TableBody"/>
              <w:rPr>
                <w:rFonts w:eastAsia="Calibri"/>
              </w:rPr>
            </w:pPr>
            <w:r w:rsidRPr="005F43BF">
              <w:rPr>
                <w:rFonts w:eastAsia="Calibri"/>
              </w:rPr>
              <w:lastRenderedPageBreak/>
              <w:t>The ACCC</w:t>
            </w:r>
            <w:r w:rsidR="00DB3488">
              <w:rPr>
                <w:rFonts w:eastAsia="Calibri"/>
              </w:rPr>
              <w:t>, through the CCA and related Regulations,</w:t>
            </w:r>
            <w:r w:rsidRPr="005F43BF">
              <w:rPr>
                <w:rFonts w:eastAsia="Calibri"/>
              </w:rPr>
              <w:t xml:space="preserve"> provides a framework for </w:t>
            </w:r>
            <w:r w:rsidR="00DB3488">
              <w:rPr>
                <w:rFonts w:eastAsia="Calibri"/>
              </w:rPr>
              <w:t>the regulation of</w:t>
            </w:r>
            <w:r w:rsidRPr="005F43BF">
              <w:rPr>
                <w:rFonts w:eastAsia="Calibri"/>
              </w:rPr>
              <w:t xml:space="preserve"> relationships </w:t>
            </w:r>
            <w:r w:rsidR="00DB3488">
              <w:rPr>
                <w:rFonts w:eastAsia="Calibri"/>
              </w:rPr>
              <w:t>and commercial dealings between retailers, wholesalers and suppliers. However,</w:t>
            </w:r>
            <w:r w:rsidR="00DB3488" w:rsidRPr="005F43BF">
              <w:rPr>
                <w:rFonts w:eastAsia="Calibri"/>
              </w:rPr>
              <w:t xml:space="preserve"> </w:t>
            </w:r>
            <w:r w:rsidR="00DB3488">
              <w:rPr>
                <w:rFonts w:eastAsia="Calibri"/>
              </w:rPr>
              <w:t xml:space="preserve">this framework does not regulate </w:t>
            </w:r>
            <w:r w:rsidRPr="005F43BF">
              <w:rPr>
                <w:rFonts w:eastAsia="Calibri"/>
              </w:rPr>
              <w:t xml:space="preserve">risk management </w:t>
            </w:r>
            <w:r w:rsidR="00DB3488">
              <w:rPr>
                <w:rFonts w:eastAsia="Calibri"/>
              </w:rPr>
              <w:t>for</w:t>
            </w:r>
            <w:r w:rsidRPr="005F43BF">
              <w:rPr>
                <w:rFonts w:eastAsia="Calibri"/>
              </w:rPr>
              <w:t xml:space="preserve"> cyber security incidents and reporting</w:t>
            </w:r>
            <w:r w:rsidR="00DB3488">
              <w:rPr>
                <w:rFonts w:eastAsia="Calibri"/>
              </w:rPr>
              <w:t>,</w:t>
            </w:r>
            <w:r w:rsidRPr="005F43BF">
              <w:rPr>
                <w:rFonts w:eastAsia="Calibri"/>
              </w:rPr>
              <w:t xml:space="preserve"> to avoid disruptions to food and grocery </w:t>
            </w:r>
            <w:r w:rsidRPr="005F43BF">
              <w:rPr>
                <w:rFonts w:eastAsia="Calibri"/>
              </w:rPr>
              <w:lastRenderedPageBreak/>
              <w:t xml:space="preserve">services and supply chain, and wider supply chain issues.  </w:t>
            </w:r>
          </w:p>
        </w:tc>
      </w:tr>
      <w:tr w:rsidR="00DB3488" w:rsidRPr="00374A1D" w14:paraId="2B483335" w14:textId="77777777" w:rsidTr="00996C6D">
        <w:tc>
          <w:tcPr>
            <w:tcW w:w="805" w:type="pct"/>
            <w:vMerge/>
            <w:shd w:val="clear" w:color="auto" w:fill="F2F2F2" w:themeFill="background2" w:themeFillShade="F2"/>
          </w:tcPr>
          <w:p w14:paraId="0C78D842" w14:textId="77777777" w:rsidR="00DB3488" w:rsidRPr="00823D41" w:rsidRDefault="00DB3488" w:rsidP="00996C6D">
            <w:pPr>
              <w:pStyle w:val="TableBody"/>
            </w:pPr>
          </w:p>
        </w:tc>
        <w:tc>
          <w:tcPr>
            <w:tcW w:w="2137" w:type="pct"/>
            <w:shd w:val="clear" w:color="auto" w:fill="auto"/>
          </w:tcPr>
          <w:p w14:paraId="38F169B3" w14:textId="77777777" w:rsidR="00DB3488" w:rsidRDefault="00DB3488" w:rsidP="00996C6D">
            <w:pPr>
              <w:pStyle w:val="TableBody"/>
              <w:rPr>
                <w:rFonts w:eastAsia="Calibri"/>
              </w:rPr>
            </w:pPr>
            <w:r>
              <w:rPr>
                <w:rFonts w:eastAsia="Calibri"/>
              </w:rPr>
              <w:t xml:space="preserve">The </w:t>
            </w:r>
            <w:r w:rsidRPr="00CE4B35">
              <w:rPr>
                <w:rFonts w:eastAsia="Calibri"/>
                <w:i/>
                <w:iCs/>
              </w:rPr>
              <w:t>Competition and Consumer (Industry Codes – Food and Grocery) Regulation 2015</w:t>
            </w:r>
            <w:r>
              <w:rPr>
                <w:rFonts w:eastAsia="Calibri"/>
              </w:rPr>
              <w:t xml:space="preserve"> is made under s 51AE of the CCA. The Regulation prescribes the voluntary </w:t>
            </w:r>
            <w:r w:rsidRPr="00CE4B35">
              <w:rPr>
                <w:rFonts w:eastAsia="Calibri"/>
                <w:i/>
                <w:iCs/>
              </w:rPr>
              <w:t>Food and Grocery Code of Conduct</w:t>
            </w:r>
            <w:r>
              <w:rPr>
                <w:rFonts w:eastAsia="Calibri"/>
                <w:i/>
                <w:iCs/>
              </w:rPr>
              <w:t xml:space="preserve">, </w:t>
            </w:r>
            <w:r w:rsidRPr="00CE4B35">
              <w:rPr>
                <w:rFonts w:eastAsia="Calibri"/>
              </w:rPr>
              <w:t>which</w:t>
            </w:r>
            <w:r>
              <w:rPr>
                <w:rFonts w:eastAsia="Calibri"/>
              </w:rPr>
              <w:t xml:space="preserve"> aims to: </w:t>
            </w:r>
          </w:p>
          <w:p w14:paraId="01897EB8" w14:textId="740C3823" w:rsidR="00DB3488" w:rsidRDefault="00DB3488" w:rsidP="00593AF2">
            <w:pPr>
              <w:pStyle w:val="TableBody"/>
              <w:numPr>
                <w:ilvl w:val="0"/>
                <w:numId w:val="36"/>
              </w:numPr>
              <w:rPr>
                <w:rFonts w:eastAsia="Calibri"/>
              </w:rPr>
            </w:pPr>
            <w:r>
              <w:rPr>
                <w:rFonts w:eastAsia="Calibri"/>
              </w:rPr>
              <w:t xml:space="preserve">regulate standards of business conduct to sustain cooperation and trust; </w:t>
            </w:r>
          </w:p>
          <w:p w14:paraId="0EE39EEB" w14:textId="0577D3F7" w:rsidR="00DB3488" w:rsidRDefault="00DB3488" w:rsidP="00593AF2">
            <w:pPr>
              <w:pStyle w:val="TableBody"/>
              <w:numPr>
                <w:ilvl w:val="0"/>
                <w:numId w:val="36"/>
              </w:numPr>
              <w:rPr>
                <w:rFonts w:eastAsia="Calibri"/>
              </w:rPr>
            </w:pPr>
            <w:r>
              <w:rPr>
                <w:rFonts w:eastAsia="Calibri"/>
              </w:rPr>
              <w:t xml:space="preserve">ensure transparency and certainty in commercial transactions; </w:t>
            </w:r>
          </w:p>
          <w:p w14:paraId="1CBBD622" w14:textId="3E9FCF0D" w:rsidR="00DB3488" w:rsidRDefault="00DB3488" w:rsidP="00232050">
            <w:pPr>
              <w:pStyle w:val="TableBody"/>
              <w:numPr>
                <w:ilvl w:val="0"/>
                <w:numId w:val="36"/>
              </w:numPr>
              <w:rPr>
                <w:rFonts w:eastAsia="Calibri"/>
              </w:rPr>
            </w:pPr>
            <w:r>
              <w:rPr>
                <w:rFonts w:eastAsia="Calibri"/>
              </w:rPr>
              <w:t xml:space="preserve">provide equitable dispute resolution processes arising between retailers, wholesalers and suppliers; and </w:t>
            </w:r>
          </w:p>
          <w:p w14:paraId="130D05CA" w14:textId="404F712B" w:rsidR="00DB3488" w:rsidRPr="00CE4B35" w:rsidRDefault="00DB3488" w:rsidP="00CE4B35">
            <w:pPr>
              <w:pStyle w:val="TableBody"/>
              <w:numPr>
                <w:ilvl w:val="0"/>
                <w:numId w:val="36"/>
              </w:numPr>
              <w:rPr>
                <w:rFonts w:eastAsia="Calibri"/>
              </w:rPr>
            </w:pPr>
            <w:r>
              <w:rPr>
                <w:rFonts w:eastAsia="Calibri"/>
              </w:rPr>
              <w:t xml:space="preserve">promote and support good faith commercial dealings. </w:t>
            </w:r>
          </w:p>
        </w:tc>
        <w:tc>
          <w:tcPr>
            <w:tcW w:w="2052" w:type="pct"/>
            <w:gridSpan w:val="2"/>
            <w:shd w:val="clear" w:color="auto" w:fill="auto"/>
          </w:tcPr>
          <w:p w14:paraId="75A3E2FE" w14:textId="77777777" w:rsidR="00DB3488" w:rsidRPr="005F43BF" w:rsidRDefault="00DB3488" w:rsidP="00996C6D">
            <w:pPr>
              <w:pStyle w:val="TableBody"/>
              <w:rPr>
                <w:rFonts w:eastAsia="Calibri"/>
              </w:rPr>
            </w:pPr>
          </w:p>
        </w:tc>
      </w:tr>
      <w:tr w:rsidR="000F20E8" w:rsidRPr="00374A1D" w14:paraId="1B3E0192" w14:textId="77777777" w:rsidTr="00D87F78">
        <w:tc>
          <w:tcPr>
            <w:tcW w:w="805" w:type="pct"/>
            <w:shd w:val="clear" w:color="auto" w:fill="F2F2F2" w:themeFill="background2" w:themeFillShade="F2"/>
          </w:tcPr>
          <w:p w14:paraId="60B7B582" w14:textId="16C8BE0A" w:rsidR="000F20E8" w:rsidRPr="00AC6CD7" w:rsidRDefault="00CB510F" w:rsidP="00996C6D">
            <w:pPr>
              <w:pStyle w:val="TableBody"/>
            </w:pPr>
            <w:r>
              <w:t>Food Standards</w:t>
            </w:r>
          </w:p>
        </w:tc>
        <w:tc>
          <w:tcPr>
            <w:tcW w:w="2137" w:type="pct"/>
            <w:shd w:val="clear" w:color="auto" w:fill="auto"/>
          </w:tcPr>
          <w:p w14:paraId="0F06597C" w14:textId="77777777" w:rsidR="000F20E8" w:rsidRDefault="0090619B" w:rsidP="00996C6D">
            <w:pPr>
              <w:pStyle w:val="TableBody"/>
            </w:pPr>
            <w:r w:rsidRPr="0090619B">
              <w:t>Food Standards Australia and New Zealand</w:t>
            </w:r>
            <w:r w:rsidR="00E1458B">
              <w:t xml:space="preserve"> (FSANZ)</w:t>
            </w:r>
            <w:r w:rsidR="005B1F5B">
              <w:t xml:space="preserve"> is a statutory authority</w:t>
            </w:r>
            <w:r w:rsidR="00691B39">
              <w:t xml:space="preserve"> established under </w:t>
            </w:r>
            <w:r w:rsidR="00226967" w:rsidRPr="00AC5A61">
              <w:rPr>
                <w:i/>
              </w:rPr>
              <w:t>Food Standards Australia New Zealand Act 1991</w:t>
            </w:r>
            <w:r w:rsidR="00032D33">
              <w:t>, which:</w:t>
            </w:r>
          </w:p>
          <w:p w14:paraId="19CEA8EA" w14:textId="4B53BD56" w:rsidR="00032D33" w:rsidRDefault="006963CA" w:rsidP="00032D33">
            <w:pPr>
              <w:pStyle w:val="TableBullet"/>
            </w:pPr>
            <w:r w:rsidRPr="006963CA">
              <w:t>develops and manages standards for food, called the Food Standards Code</w:t>
            </w:r>
          </w:p>
          <w:p w14:paraId="0C0FA3A4" w14:textId="66936B53" w:rsidR="000B232C" w:rsidRDefault="000B232C" w:rsidP="00032D33">
            <w:pPr>
              <w:pStyle w:val="TableBullet"/>
            </w:pPr>
            <w:r>
              <w:t>r</w:t>
            </w:r>
            <w:r w:rsidRPr="000B232C">
              <w:t>egulates labelling that goes on packaged and unpackaged food, including warnings and advisory labels</w:t>
            </w:r>
          </w:p>
          <w:p w14:paraId="1B7CD14F" w14:textId="5FBA28FC" w:rsidR="00444B8B" w:rsidRPr="00CB4E10" w:rsidRDefault="00444B8B" w:rsidP="00AC5A61">
            <w:pPr>
              <w:pStyle w:val="TableBullet"/>
            </w:pPr>
            <w:r w:rsidRPr="00444B8B">
              <w:t>manages food recalls</w:t>
            </w:r>
          </w:p>
        </w:tc>
        <w:tc>
          <w:tcPr>
            <w:tcW w:w="2058" w:type="pct"/>
            <w:gridSpan w:val="2"/>
            <w:shd w:val="clear" w:color="auto" w:fill="auto"/>
          </w:tcPr>
          <w:p w14:paraId="0BC838F7" w14:textId="48736B3C" w:rsidR="000F20E8" w:rsidRPr="00374A1D" w:rsidRDefault="009F044F" w:rsidP="004A5D5A">
            <w:pPr>
              <w:pStyle w:val="TableBody"/>
            </w:pPr>
            <w:r>
              <w:t>Whilst providing standards for food, including labelling, these do not specifically include requirements to r</w:t>
            </w:r>
            <w:r w:rsidRPr="004D42DD">
              <w:rPr>
                <w:rFonts w:eastAsia="Times New Roman"/>
              </w:rPr>
              <w:t>educe cyber security, supply</w:t>
            </w:r>
            <w:r>
              <w:rPr>
                <w:rFonts w:eastAsia="Times New Roman"/>
              </w:rPr>
              <w:t xml:space="preserve"> </w:t>
            </w:r>
            <w:r w:rsidRPr="004D42DD">
              <w:rPr>
                <w:rFonts w:eastAsia="Times New Roman"/>
              </w:rPr>
              <w:t>chain and personnel hazards.</w:t>
            </w:r>
          </w:p>
        </w:tc>
      </w:tr>
      <w:tr w:rsidR="000F20E8" w:rsidRPr="00374A1D" w14:paraId="7B4D6418" w14:textId="77777777" w:rsidTr="00996C6D">
        <w:trPr>
          <w:gridAfter w:val="1"/>
          <w:wAfter w:w="6" w:type="pct"/>
        </w:trPr>
        <w:tc>
          <w:tcPr>
            <w:tcW w:w="805" w:type="pct"/>
            <w:shd w:val="clear" w:color="auto" w:fill="F2F2F2" w:themeFill="background2" w:themeFillShade="F2"/>
          </w:tcPr>
          <w:p w14:paraId="34CF0D77" w14:textId="3BD8BE9F" w:rsidR="000F20E8" w:rsidRPr="00AC5A61" w:rsidRDefault="00CB510F" w:rsidP="00996C6D">
            <w:pPr>
              <w:pStyle w:val="TableBody"/>
            </w:pPr>
            <w:r>
              <w:t>Import requirements</w:t>
            </w:r>
          </w:p>
        </w:tc>
        <w:tc>
          <w:tcPr>
            <w:tcW w:w="2137" w:type="pct"/>
            <w:shd w:val="clear" w:color="auto" w:fill="auto"/>
          </w:tcPr>
          <w:p w14:paraId="06B2EABC" w14:textId="774AFE41" w:rsidR="000F20E8" w:rsidRPr="00374A1D" w:rsidRDefault="0009760A" w:rsidP="00996C6D">
            <w:pPr>
              <w:pStyle w:val="TableBody"/>
            </w:pPr>
            <w:r>
              <w:t>T</w:t>
            </w:r>
            <w:r w:rsidRPr="0009760A">
              <w:t>he </w:t>
            </w:r>
            <w:r w:rsidRPr="00AC5A61">
              <w:rPr>
                <w:i/>
              </w:rPr>
              <w:t>Commerce (Trade Descriptions) Act 1905 </w:t>
            </w:r>
            <w:r w:rsidRPr="0009760A">
              <w:t>(the Act) and the Commerce (Trade Descriptions) Regulation 2016 (the Regulation) set out which goods or classes of goods require labelling when being imported into Australia, what label is required and where the label must be applied.</w:t>
            </w:r>
          </w:p>
        </w:tc>
        <w:tc>
          <w:tcPr>
            <w:tcW w:w="2052" w:type="pct"/>
            <w:shd w:val="clear" w:color="auto" w:fill="auto"/>
          </w:tcPr>
          <w:p w14:paraId="18E3EED0" w14:textId="0EE5C89F" w:rsidR="000F20E8" w:rsidRPr="00374A1D" w:rsidRDefault="00CB510F" w:rsidP="00654B4D">
            <w:pPr>
              <w:pStyle w:val="TableBody"/>
            </w:pPr>
            <w:r w:rsidRPr="00CB510F">
              <w:t>Creates requirements for imported good to meet standards, including for labelling for goods being imported to Australia.</w:t>
            </w:r>
            <w:r w:rsidR="005E49DD">
              <w:t xml:space="preserve"> These do no</w:t>
            </w:r>
            <w:r w:rsidR="009F044F">
              <w:t>t</w:t>
            </w:r>
            <w:r w:rsidR="005E49DD">
              <w:t xml:space="preserve"> specifically include requirements </w:t>
            </w:r>
            <w:r w:rsidR="009F044F">
              <w:t>to r</w:t>
            </w:r>
            <w:r w:rsidR="009F044F" w:rsidRPr="004D42DD">
              <w:rPr>
                <w:rFonts w:eastAsia="Times New Roman"/>
              </w:rPr>
              <w:t>educe cyber security, supply</w:t>
            </w:r>
            <w:r w:rsidR="009F044F">
              <w:rPr>
                <w:rFonts w:eastAsia="Times New Roman"/>
              </w:rPr>
              <w:t xml:space="preserve"> </w:t>
            </w:r>
            <w:r w:rsidR="009F044F" w:rsidRPr="004D42DD">
              <w:rPr>
                <w:rFonts w:eastAsia="Times New Roman"/>
              </w:rPr>
              <w:t>chain and personnel hazards.</w:t>
            </w:r>
          </w:p>
        </w:tc>
      </w:tr>
      <w:tr w:rsidR="000F20E8" w:rsidRPr="00F36CDF" w14:paraId="4696A396" w14:textId="77777777" w:rsidTr="00996C6D">
        <w:trPr>
          <w:gridAfter w:val="1"/>
          <w:wAfter w:w="6" w:type="pct"/>
          <w:tblHeader/>
        </w:trPr>
        <w:tc>
          <w:tcPr>
            <w:tcW w:w="805" w:type="pct"/>
            <w:shd w:val="clear" w:color="auto" w:fill="F2F2F2" w:themeFill="background2" w:themeFillShade="F2"/>
          </w:tcPr>
          <w:p w14:paraId="6305F84F" w14:textId="49CEF705" w:rsidR="000F20E8" w:rsidRPr="00AC5A61" w:rsidRDefault="00066F22" w:rsidP="00996C6D">
            <w:pPr>
              <w:pStyle w:val="TableBody"/>
              <w:rPr>
                <w:szCs w:val="24"/>
              </w:rPr>
            </w:pPr>
            <w:r w:rsidRPr="00066F22">
              <w:rPr>
                <w:szCs w:val="24"/>
              </w:rPr>
              <w:t>Food Safety and Regulations</w:t>
            </w:r>
          </w:p>
        </w:tc>
        <w:tc>
          <w:tcPr>
            <w:tcW w:w="2137" w:type="pct"/>
            <w:shd w:val="clear" w:color="auto" w:fill="auto"/>
          </w:tcPr>
          <w:p w14:paraId="38F03B8D" w14:textId="5F6D9D87" w:rsidR="000F20E8" w:rsidRPr="00F36CDF" w:rsidRDefault="0070436E" w:rsidP="00996C6D">
            <w:pPr>
              <w:pStyle w:val="TableBody"/>
              <w:rPr>
                <w:rFonts w:eastAsia="Times New Roman"/>
              </w:rPr>
            </w:pPr>
            <w:r w:rsidRPr="0070436E">
              <w:rPr>
                <w:rFonts w:eastAsia="Times New Roman"/>
              </w:rPr>
              <w:t>The Australian Government and state and territory governments enforce the standards, in line with their food legislation.</w:t>
            </w:r>
          </w:p>
        </w:tc>
        <w:tc>
          <w:tcPr>
            <w:tcW w:w="2052" w:type="pct"/>
            <w:shd w:val="clear" w:color="auto" w:fill="auto"/>
          </w:tcPr>
          <w:p w14:paraId="16D6B97D" w14:textId="204E3DDA" w:rsidR="000F20E8" w:rsidRPr="00F36CDF" w:rsidRDefault="004D42DD" w:rsidP="00654B4D">
            <w:pPr>
              <w:pStyle w:val="TableBody"/>
              <w:rPr>
                <w:rFonts w:eastAsia="Times New Roman"/>
              </w:rPr>
            </w:pPr>
            <w:r w:rsidRPr="004D42DD">
              <w:rPr>
                <w:rFonts w:eastAsia="Times New Roman"/>
              </w:rPr>
              <w:t>While these regulatory frameworks have some risk management features relating to food safety and quality, they do not include requirements to reduce cyber security, supply</w:t>
            </w:r>
            <w:r w:rsidR="005174D9">
              <w:rPr>
                <w:rFonts w:eastAsia="Times New Roman"/>
              </w:rPr>
              <w:t xml:space="preserve"> </w:t>
            </w:r>
            <w:r w:rsidRPr="004D42DD">
              <w:rPr>
                <w:rFonts w:eastAsia="Times New Roman"/>
              </w:rPr>
              <w:t>chain and personnel hazards.</w:t>
            </w:r>
          </w:p>
        </w:tc>
      </w:tr>
    </w:tbl>
    <w:p w14:paraId="5CBE2A51" w14:textId="77777777" w:rsidR="00F42E88" w:rsidRDefault="00F42E88" w:rsidP="002A50B9">
      <w:pPr>
        <w:pStyle w:val="BodyText"/>
        <w:rPr>
          <w:lang w:eastAsia="en-AU"/>
        </w:rPr>
      </w:pPr>
    </w:p>
    <w:p w14:paraId="6C2DB781" w14:textId="6C1E38FD" w:rsidR="006C2E75" w:rsidRDefault="006C2E75" w:rsidP="00AC5A61">
      <w:pPr>
        <w:pStyle w:val="AppendixH2"/>
      </w:pPr>
      <w:r w:rsidRPr="006C2E75">
        <w:lastRenderedPageBreak/>
        <w:t>Existing standards, guidelines and regulators for critical food and grocery assets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122"/>
        <w:gridCol w:w="3412"/>
        <w:gridCol w:w="5104"/>
      </w:tblGrid>
      <w:tr w:rsidR="00AE3542" w:rsidRPr="002C399D" w14:paraId="214208E4" w14:textId="77777777" w:rsidTr="000D6B71">
        <w:tc>
          <w:tcPr>
            <w:tcW w:w="582" w:type="pct"/>
            <w:shd w:val="clear" w:color="auto" w:fill="034EA2" w:themeFill="accent1"/>
          </w:tcPr>
          <w:p w14:paraId="5D217879" w14:textId="77777777" w:rsidR="00AE3542" w:rsidRPr="006E7F2A" w:rsidRDefault="00AE3542" w:rsidP="00996C6D">
            <w:pPr>
              <w:pStyle w:val="TableHeading"/>
            </w:pPr>
            <w:r>
              <w:t>Hazard domain</w:t>
            </w:r>
          </w:p>
        </w:tc>
        <w:tc>
          <w:tcPr>
            <w:tcW w:w="1770" w:type="pct"/>
            <w:shd w:val="clear" w:color="auto" w:fill="034EA2" w:themeFill="accent1"/>
          </w:tcPr>
          <w:p w14:paraId="6817B2BD" w14:textId="77777777" w:rsidR="00AE3542" w:rsidRPr="006E7F2A" w:rsidRDefault="00AE3542" w:rsidP="00996C6D">
            <w:pPr>
              <w:pStyle w:val="TableHeading"/>
            </w:pPr>
            <w:r w:rsidRPr="006E7F2A">
              <w:t>Organisation</w:t>
            </w:r>
          </w:p>
        </w:tc>
        <w:tc>
          <w:tcPr>
            <w:tcW w:w="2648" w:type="pct"/>
            <w:shd w:val="clear" w:color="auto" w:fill="034EA2" w:themeFill="accent1"/>
          </w:tcPr>
          <w:p w14:paraId="7030F55E" w14:textId="77777777" w:rsidR="00AE3542" w:rsidRPr="006E7F2A" w:rsidRDefault="00AE3542" w:rsidP="00996C6D">
            <w:pPr>
              <w:pStyle w:val="TableHeading"/>
            </w:pPr>
            <w:r w:rsidRPr="006E7F2A">
              <w:t>Standards &amp; guidelines</w:t>
            </w:r>
          </w:p>
        </w:tc>
      </w:tr>
      <w:tr w:rsidR="000D6B71" w:rsidRPr="002C399D" w14:paraId="01D68EA5" w14:textId="77777777" w:rsidTr="000D6B71">
        <w:tc>
          <w:tcPr>
            <w:tcW w:w="582" w:type="pct"/>
            <w:vMerge w:val="restart"/>
            <w:shd w:val="clear" w:color="auto" w:fill="F2F2F2" w:themeFill="background1" w:themeFillShade="F2"/>
          </w:tcPr>
          <w:p w14:paraId="0E2E710C" w14:textId="5AFEC451" w:rsidR="000D6B71" w:rsidRPr="002C399D" w:rsidRDefault="000D6B71" w:rsidP="00996C6D">
            <w:pPr>
              <w:pStyle w:val="TableBody"/>
            </w:pPr>
            <w:r w:rsidRPr="002C399D">
              <w:t>Cyber</w:t>
            </w:r>
          </w:p>
        </w:tc>
        <w:tc>
          <w:tcPr>
            <w:tcW w:w="1770" w:type="pct"/>
            <w:shd w:val="clear" w:color="auto" w:fill="auto"/>
          </w:tcPr>
          <w:p w14:paraId="26B3820C" w14:textId="7BA99F46" w:rsidR="000D6B71" w:rsidRPr="00AC32B9" w:rsidRDefault="000D6B71" w:rsidP="00996C6D">
            <w:pPr>
              <w:pStyle w:val="TableBody"/>
            </w:pPr>
            <w:r w:rsidRPr="00AC32B9">
              <w:t>National Institutes of Standards and Technology (NIST)</w:t>
            </w:r>
          </w:p>
        </w:tc>
        <w:tc>
          <w:tcPr>
            <w:tcW w:w="2648" w:type="pct"/>
            <w:shd w:val="clear" w:color="auto" w:fill="auto"/>
          </w:tcPr>
          <w:p w14:paraId="4F90D209" w14:textId="523313E4" w:rsidR="000D6B71" w:rsidRPr="00AC32B9" w:rsidRDefault="000D6B71" w:rsidP="00996C6D">
            <w:pPr>
              <w:pStyle w:val="TableBody"/>
            </w:pPr>
            <w:r w:rsidRPr="00DB2BA2">
              <w:rPr>
                <w:b/>
                <w:bCs/>
              </w:rPr>
              <w:t>Cybersecurity Programs</w:t>
            </w:r>
          </w:p>
        </w:tc>
      </w:tr>
      <w:tr w:rsidR="000D6B71" w:rsidRPr="002C399D" w14:paraId="50BE0B33" w14:textId="77777777" w:rsidTr="000D6B71">
        <w:tc>
          <w:tcPr>
            <w:tcW w:w="582" w:type="pct"/>
            <w:vMerge/>
            <w:shd w:val="clear" w:color="auto" w:fill="F2F2F2" w:themeFill="background1" w:themeFillShade="F2"/>
          </w:tcPr>
          <w:p w14:paraId="1F2B0E95" w14:textId="77777777" w:rsidR="000D6B71" w:rsidRPr="002C399D" w:rsidRDefault="000D6B71" w:rsidP="00996C6D">
            <w:pPr>
              <w:pStyle w:val="TableBody"/>
            </w:pPr>
          </w:p>
        </w:tc>
        <w:tc>
          <w:tcPr>
            <w:tcW w:w="1770" w:type="pct"/>
            <w:shd w:val="clear" w:color="auto" w:fill="auto"/>
          </w:tcPr>
          <w:p w14:paraId="51DB3E46" w14:textId="52100C96" w:rsidR="000D6B71" w:rsidRPr="00AC32B9" w:rsidRDefault="000D6B71" w:rsidP="004A5D5A">
            <w:pPr>
              <w:pStyle w:val="TableBody"/>
            </w:pPr>
            <w:r w:rsidRPr="00AC32B9">
              <w:t>International Organi</w:t>
            </w:r>
            <w:r w:rsidR="004A5D5A">
              <w:t>z</w:t>
            </w:r>
            <w:r w:rsidRPr="00AC32B9">
              <w:t>ation for Standardi</w:t>
            </w:r>
            <w:r w:rsidR="004A5D5A">
              <w:t>z</w:t>
            </w:r>
            <w:r w:rsidRPr="00AC32B9">
              <w:t>ation (ISO)</w:t>
            </w:r>
          </w:p>
        </w:tc>
        <w:tc>
          <w:tcPr>
            <w:tcW w:w="2648" w:type="pct"/>
            <w:shd w:val="clear" w:color="auto" w:fill="auto"/>
          </w:tcPr>
          <w:p w14:paraId="62F0F398" w14:textId="57C2C10A" w:rsidR="000D6B71" w:rsidRPr="00AC32B9" w:rsidRDefault="000D6B71" w:rsidP="00996C6D">
            <w:pPr>
              <w:pStyle w:val="TableBody"/>
            </w:pPr>
            <w:r w:rsidRPr="00DB2BA2">
              <w:rPr>
                <w:b/>
                <w:bCs/>
              </w:rPr>
              <w:t>ISO 27001</w:t>
            </w:r>
            <w:r w:rsidRPr="00AC32B9">
              <w:t xml:space="preserve"> provides requirements for information security management systems.</w:t>
            </w:r>
          </w:p>
        </w:tc>
      </w:tr>
      <w:tr w:rsidR="00364A6D" w:rsidRPr="002C399D" w14:paraId="09C75C02" w14:textId="77777777" w:rsidTr="000D6B71">
        <w:tc>
          <w:tcPr>
            <w:tcW w:w="582" w:type="pct"/>
            <w:vMerge w:val="restart"/>
            <w:shd w:val="clear" w:color="auto" w:fill="F2F2F2" w:themeFill="background1" w:themeFillShade="F2"/>
          </w:tcPr>
          <w:p w14:paraId="25C07C78" w14:textId="499CEDB0" w:rsidR="00364A6D" w:rsidRPr="002C399D" w:rsidRDefault="00364A6D" w:rsidP="00996C6D">
            <w:pPr>
              <w:pStyle w:val="TableBody"/>
            </w:pPr>
            <w:r>
              <w:t>Physical</w:t>
            </w:r>
          </w:p>
        </w:tc>
        <w:tc>
          <w:tcPr>
            <w:tcW w:w="1770" w:type="pct"/>
            <w:shd w:val="clear" w:color="auto" w:fill="auto"/>
          </w:tcPr>
          <w:p w14:paraId="6473D25F" w14:textId="7CBF5087" w:rsidR="00364A6D" w:rsidRPr="00AC32B9" w:rsidRDefault="00364A6D" w:rsidP="00996C6D">
            <w:pPr>
              <w:pStyle w:val="TableBody"/>
            </w:pPr>
            <w:r w:rsidRPr="00572A28">
              <w:t>Standards and codes for Supermarkets</w:t>
            </w:r>
          </w:p>
        </w:tc>
        <w:tc>
          <w:tcPr>
            <w:tcW w:w="2648" w:type="pct"/>
            <w:shd w:val="clear" w:color="auto" w:fill="auto"/>
          </w:tcPr>
          <w:p w14:paraId="6E3432BF" w14:textId="77777777" w:rsidR="00364A6D" w:rsidRDefault="00364A6D" w:rsidP="00996C6D">
            <w:pPr>
              <w:pStyle w:val="TableBody"/>
            </w:pPr>
            <w:r w:rsidRPr="00572A28">
              <w:t>Food and Grocery Code</w:t>
            </w:r>
            <w:r>
              <w:t xml:space="preserve"> – a </w:t>
            </w:r>
            <w:r w:rsidRPr="00572A28">
              <w:t>voluntary code prescribed under the Competition and Consumer Act 2010 (CCA). It was introduced to improve standards of business conduct in the food and grocery sector.</w:t>
            </w:r>
          </w:p>
          <w:p w14:paraId="022F354C" w14:textId="77777777" w:rsidR="00364A6D" w:rsidRDefault="00364A6D" w:rsidP="00996C6D">
            <w:pPr>
              <w:pStyle w:val="TableBody"/>
            </w:pPr>
          </w:p>
          <w:p w14:paraId="4A5A6AFE" w14:textId="328C8A69" w:rsidR="00364A6D" w:rsidRPr="00AC32B9" w:rsidRDefault="00364A6D" w:rsidP="00996C6D">
            <w:pPr>
              <w:pStyle w:val="TableBody"/>
            </w:pPr>
            <w:r w:rsidRPr="00977AEE">
              <w:t>The Australian Government and state and territory governments enforce the standards, in line with their food legislation.</w:t>
            </w:r>
          </w:p>
        </w:tc>
      </w:tr>
      <w:tr w:rsidR="00364A6D" w:rsidRPr="002C399D" w14:paraId="11AE5D0B" w14:textId="77777777" w:rsidTr="000D6B71">
        <w:tc>
          <w:tcPr>
            <w:tcW w:w="582" w:type="pct"/>
            <w:vMerge/>
            <w:shd w:val="clear" w:color="auto" w:fill="F2F2F2" w:themeFill="background1" w:themeFillShade="F2"/>
          </w:tcPr>
          <w:p w14:paraId="40216203" w14:textId="77777777" w:rsidR="00364A6D" w:rsidRPr="002C399D" w:rsidRDefault="00364A6D" w:rsidP="00996C6D">
            <w:pPr>
              <w:pStyle w:val="TableBody"/>
            </w:pPr>
          </w:p>
        </w:tc>
        <w:tc>
          <w:tcPr>
            <w:tcW w:w="1770" w:type="pct"/>
            <w:shd w:val="clear" w:color="auto" w:fill="auto"/>
          </w:tcPr>
          <w:p w14:paraId="5BB9EA26" w14:textId="2CADF448" w:rsidR="00364A6D" w:rsidRPr="00AC32B9" w:rsidRDefault="00364A6D" w:rsidP="00996C6D">
            <w:pPr>
              <w:pStyle w:val="TableBody"/>
            </w:pPr>
            <w:r w:rsidRPr="0004328F">
              <w:t>Standards and codes for essential food items</w:t>
            </w:r>
          </w:p>
        </w:tc>
        <w:tc>
          <w:tcPr>
            <w:tcW w:w="2648" w:type="pct"/>
            <w:shd w:val="clear" w:color="auto" w:fill="auto"/>
          </w:tcPr>
          <w:p w14:paraId="0658A493" w14:textId="72FCDACA" w:rsidR="00364A6D" w:rsidRPr="00AC32B9" w:rsidRDefault="00364A6D" w:rsidP="00996C6D">
            <w:pPr>
              <w:pStyle w:val="TableBody"/>
            </w:pPr>
            <w:r w:rsidRPr="00364A6D">
              <w:t>Primary Production and Processing Standards which includes seafood, dairy, poultry meat, meat and meat products, eggs and egg products and seed sprouts.</w:t>
            </w:r>
          </w:p>
        </w:tc>
      </w:tr>
    </w:tbl>
    <w:p w14:paraId="3873BE10" w14:textId="77777777" w:rsidR="00F42E88" w:rsidRDefault="00F42E88" w:rsidP="002A50B9">
      <w:pPr>
        <w:pStyle w:val="BodyText"/>
        <w:rPr>
          <w:lang w:eastAsia="en-AU"/>
        </w:rPr>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3329"/>
        <w:gridCol w:w="6309"/>
      </w:tblGrid>
      <w:tr w:rsidR="00D222B9" w14:paraId="0F2FB361" w14:textId="77777777" w:rsidTr="00996C6D">
        <w:tc>
          <w:tcPr>
            <w:tcW w:w="1727" w:type="pct"/>
            <w:shd w:val="clear" w:color="auto" w:fill="034EA2" w:themeFill="accent1"/>
            <w:hideMark/>
          </w:tcPr>
          <w:p w14:paraId="3776AB6F" w14:textId="77777777" w:rsidR="00D222B9" w:rsidRDefault="00D222B9" w:rsidP="00996C6D">
            <w:pPr>
              <w:pStyle w:val="TableHeading"/>
            </w:pPr>
            <w:r>
              <w:t>Jurisdiction</w:t>
            </w:r>
          </w:p>
        </w:tc>
        <w:tc>
          <w:tcPr>
            <w:tcW w:w="3273" w:type="pct"/>
            <w:shd w:val="clear" w:color="auto" w:fill="034EA2" w:themeFill="accent1"/>
            <w:hideMark/>
          </w:tcPr>
          <w:p w14:paraId="5E9B844F" w14:textId="77777777" w:rsidR="00D222B9" w:rsidRDefault="00D222B9" w:rsidP="00996C6D">
            <w:pPr>
              <w:pStyle w:val="TableHeading"/>
            </w:pPr>
            <w:r>
              <w:t>Regulator/s</w:t>
            </w:r>
          </w:p>
        </w:tc>
      </w:tr>
      <w:tr w:rsidR="00D222B9" w14:paraId="48306050" w14:textId="77777777" w:rsidTr="003979C9">
        <w:tc>
          <w:tcPr>
            <w:tcW w:w="1727" w:type="pct"/>
            <w:tcBorders>
              <w:bottom w:val="single" w:sz="4" w:space="0" w:color="BFBFBF" w:themeColor="background1" w:themeShade="BF"/>
            </w:tcBorders>
            <w:hideMark/>
          </w:tcPr>
          <w:p w14:paraId="34013A33" w14:textId="77777777" w:rsidR="00D222B9" w:rsidRDefault="00D222B9" w:rsidP="00996C6D">
            <w:pPr>
              <w:pStyle w:val="TableBody"/>
            </w:pPr>
            <w:r>
              <w:t>Commonwealth</w:t>
            </w:r>
          </w:p>
        </w:tc>
        <w:tc>
          <w:tcPr>
            <w:tcW w:w="3273" w:type="pct"/>
            <w:tcBorders>
              <w:bottom w:val="single" w:sz="4" w:space="0" w:color="BFBFBF" w:themeColor="background1" w:themeShade="BF"/>
            </w:tcBorders>
            <w:shd w:val="clear" w:color="auto" w:fill="auto"/>
            <w:hideMark/>
          </w:tcPr>
          <w:p w14:paraId="5E99E863" w14:textId="7443E3CF" w:rsidR="00F369A9" w:rsidRPr="00F369A9" w:rsidRDefault="00F369A9" w:rsidP="00F369A9">
            <w:pPr>
              <w:pStyle w:val="TableBody"/>
              <w:rPr>
                <w:szCs w:val="18"/>
              </w:rPr>
            </w:pPr>
            <w:r w:rsidRPr="00F369A9">
              <w:rPr>
                <w:szCs w:val="18"/>
              </w:rPr>
              <w:t>Australian Competition and Consumer Commission (ACCC)</w:t>
            </w:r>
            <w:r w:rsidR="00220FCC">
              <w:rPr>
                <w:szCs w:val="18"/>
              </w:rPr>
              <w:t xml:space="preserve">, which regulates </w:t>
            </w:r>
            <w:r w:rsidR="00220FCC" w:rsidRPr="00823D41">
              <w:rPr>
                <w:rFonts w:eastAsia="Calibri"/>
              </w:rPr>
              <w:t>relationships between suppliers, wholesalers, retailers, and consumers</w:t>
            </w:r>
            <w:r w:rsidR="00C10A47">
              <w:rPr>
                <w:rFonts w:eastAsia="Calibri"/>
              </w:rPr>
              <w:t>.</w:t>
            </w:r>
            <w:r w:rsidRPr="00F369A9">
              <w:rPr>
                <w:szCs w:val="18"/>
              </w:rPr>
              <w:t xml:space="preserve"> </w:t>
            </w:r>
          </w:p>
          <w:p w14:paraId="51751360" w14:textId="77777777" w:rsidR="00F369A9" w:rsidRPr="00F369A9" w:rsidRDefault="00F369A9" w:rsidP="00F369A9">
            <w:pPr>
              <w:pStyle w:val="TableBody"/>
              <w:rPr>
                <w:szCs w:val="18"/>
              </w:rPr>
            </w:pPr>
          </w:p>
          <w:p w14:paraId="13753BEB" w14:textId="74A78F9C" w:rsidR="00F369A9" w:rsidRPr="00F369A9" w:rsidRDefault="006309DD" w:rsidP="00F369A9">
            <w:pPr>
              <w:pStyle w:val="TableBody"/>
              <w:rPr>
                <w:szCs w:val="18"/>
              </w:rPr>
            </w:pPr>
            <w:r w:rsidRPr="006309DD">
              <w:rPr>
                <w:szCs w:val="18"/>
              </w:rPr>
              <w:t>Department of Agriculture, Fisheries and Forestry</w:t>
            </w:r>
            <w:r w:rsidR="00F369A9" w:rsidRPr="00F369A9">
              <w:rPr>
                <w:szCs w:val="18"/>
              </w:rPr>
              <w:t>, which enforces the Food Standards Code on imported foods</w:t>
            </w:r>
            <w:r w:rsidR="00C10A47">
              <w:rPr>
                <w:szCs w:val="18"/>
              </w:rPr>
              <w:t>.</w:t>
            </w:r>
            <w:r w:rsidR="00F369A9" w:rsidRPr="00F369A9">
              <w:rPr>
                <w:szCs w:val="18"/>
              </w:rPr>
              <w:t xml:space="preserve">  </w:t>
            </w:r>
          </w:p>
          <w:p w14:paraId="67A217F4" w14:textId="77777777" w:rsidR="009F10DF" w:rsidRPr="00F369A9" w:rsidRDefault="009F10DF" w:rsidP="00F369A9">
            <w:pPr>
              <w:pStyle w:val="TableBody"/>
              <w:rPr>
                <w:szCs w:val="18"/>
              </w:rPr>
            </w:pPr>
          </w:p>
          <w:p w14:paraId="1813BC6D" w14:textId="0A5A01E2" w:rsidR="00D222B9" w:rsidRPr="00F960B4" w:rsidRDefault="00F369A9" w:rsidP="00F369A9">
            <w:pPr>
              <w:pStyle w:val="TableBody"/>
              <w:rPr>
                <w:szCs w:val="18"/>
              </w:rPr>
            </w:pPr>
            <w:r w:rsidRPr="00F369A9">
              <w:rPr>
                <w:szCs w:val="18"/>
              </w:rPr>
              <w:t>The Australian Pesticides and Veterinary Medicines Authority (APVMA), which is responsible for approving agricultural and veterinary chemicals for use</w:t>
            </w:r>
            <w:r w:rsidR="00C10A47">
              <w:rPr>
                <w:szCs w:val="18"/>
              </w:rPr>
              <w:t>.</w:t>
            </w:r>
          </w:p>
        </w:tc>
      </w:tr>
      <w:tr w:rsidR="00895F1D" w14:paraId="6F67203E" w14:textId="77777777" w:rsidTr="003979C9">
        <w:tc>
          <w:tcPr>
            <w:tcW w:w="1727" w:type="pct"/>
            <w:tcBorders>
              <w:top w:val="single" w:sz="4" w:space="0" w:color="BFBFBF" w:themeColor="background1" w:themeShade="BF"/>
            </w:tcBorders>
          </w:tcPr>
          <w:p w14:paraId="11110F99" w14:textId="0366B161" w:rsidR="00895F1D" w:rsidRDefault="001B0C10" w:rsidP="00996C6D">
            <w:pPr>
              <w:pStyle w:val="TableBody"/>
            </w:pPr>
            <w:r w:rsidRPr="001B0C10">
              <w:t>State and Territory Jurisdictions</w:t>
            </w:r>
          </w:p>
        </w:tc>
        <w:tc>
          <w:tcPr>
            <w:tcW w:w="3273" w:type="pct"/>
            <w:tcBorders>
              <w:top w:val="single" w:sz="4" w:space="0" w:color="BFBFBF" w:themeColor="background1" w:themeShade="BF"/>
            </w:tcBorders>
            <w:shd w:val="clear" w:color="auto" w:fill="auto"/>
          </w:tcPr>
          <w:p w14:paraId="56900D9D" w14:textId="5B03E754" w:rsidR="00895F1D" w:rsidRPr="000F20CF" w:rsidRDefault="001B0C10" w:rsidP="00996C6D">
            <w:pPr>
              <w:pStyle w:val="TableBody"/>
              <w:rPr>
                <w:szCs w:val="18"/>
              </w:rPr>
            </w:pPr>
            <w:r w:rsidRPr="001B0C10">
              <w:rPr>
                <w:szCs w:val="18"/>
              </w:rPr>
              <w:t xml:space="preserve">Each </w:t>
            </w:r>
            <w:r w:rsidR="003C4423">
              <w:rPr>
                <w:szCs w:val="18"/>
              </w:rPr>
              <w:t>s</w:t>
            </w:r>
            <w:r w:rsidRPr="001B0C10">
              <w:rPr>
                <w:szCs w:val="18"/>
              </w:rPr>
              <w:t xml:space="preserve">tate and </w:t>
            </w:r>
            <w:r w:rsidR="003C4423">
              <w:rPr>
                <w:szCs w:val="18"/>
              </w:rPr>
              <w:t>t</w:t>
            </w:r>
            <w:r w:rsidRPr="001B0C10">
              <w:rPr>
                <w:szCs w:val="18"/>
              </w:rPr>
              <w:t xml:space="preserve">erritory has a legislative framework which </w:t>
            </w:r>
            <w:r w:rsidR="00AC3198">
              <w:rPr>
                <w:szCs w:val="18"/>
              </w:rPr>
              <w:t xml:space="preserve">prescribes </w:t>
            </w:r>
            <w:r w:rsidRPr="001B0C10">
              <w:rPr>
                <w:szCs w:val="18"/>
              </w:rPr>
              <w:t>food and grocery standards, regulate</w:t>
            </w:r>
            <w:r w:rsidR="00CC3404">
              <w:rPr>
                <w:szCs w:val="18"/>
              </w:rPr>
              <w:t>s</w:t>
            </w:r>
            <w:r w:rsidRPr="001B0C10">
              <w:rPr>
                <w:szCs w:val="18"/>
              </w:rPr>
              <w:t xml:space="preserve"> licens</w:t>
            </w:r>
            <w:r w:rsidR="00501482">
              <w:rPr>
                <w:szCs w:val="18"/>
              </w:rPr>
              <w:t>ing</w:t>
            </w:r>
            <w:r w:rsidRPr="001B0C10">
              <w:rPr>
                <w:szCs w:val="18"/>
              </w:rPr>
              <w:t xml:space="preserve"> arrangements and </w:t>
            </w:r>
            <w:r w:rsidR="00AC3198">
              <w:rPr>
                <w:szCs w:val="18"/>
              </w:rPr>
              <w:t>prescribes</w:t>
            </w:r>
            <w:r w:rsidRPr="001B0C10">
              <w:rPr>
                <w:szCs w:val="18"/>
              </w:rPr>
              <w:t xml:space="preserve"> compliance activities</w:t>
            </w:r>
            <w:r w:rsidR="009D62EF">
              <w:rPr>
                <w:szCs w:val="18"/>
              </w:rPr>
              <w:t xml:space="preserve"> regarding food quality and safety.</w:t>
            </w:r>
          </w:p>
        </w:tc>
      </w:tr>
      <w:tr w:rsidR="00D222B9" w14:paraId="72F5BB63" w14:textId="77777777" w:rsidTr="00996C6D">
        <w:tc>
          <w:tcPr>
            <w:tcW w:w="1727" w:type="pct"/>
            <w:hideMark/>
          </w:tcPr>
          <w:p w14:paraId="02EBB82E" w14:textId="77777777" w:rsidR="00D222B9" w:rsidRDefault="00D222B9" w:rsidP="00996C6D">
            <w:pPr>
              <w:pStyle w:val="TableBody"/>
            </w:pPr>
            <w:r>
              <w:t>Australian Capital Territory</w:t>
            </w:r>
          </w:p>
        </w:tc>
        <w:tc>
          <w:tcPr>
            <w:tcW w:w="3273" w:type="pct"/>
            <w:shd w:val="clear" w:color="auto" w:fill="auto"/>
            <w:hideMark/>
          </w:tcPr>
          <w:p w14:paraId="28056B65" w14:textId="4D79E5C7" w:rsidR="00D222B9" w:rsidRPr="00F960B4" w:rsidRDefault="007F4865" w:rsidP="00996C6D">
            <w:pPr>
              <w:pStyle w:val="TableBody"/>
              <w:rPr>
                <w:szCs w:val="18"/>
              </w:rPr>
            </w:pPr>
            <w:r w:rsidRPr="007F4865">
              <w:rPr>
                <w:szCs w:val="18"/>
              </w:rPr>
              <w:t>Health Protection Service</w:t>
            </w:r>
          </w:p>
        </w:tc>
      </w:tr>
      <w:tr w:rsidR="00D222B9" w14:paraId="31235AB4" w14:textId="77777777" w:rsidTr="00996C6D">
        <w:tc>
          <w:tcPr>
            <w:tcW w:w="1727" w:type="pct"/>
            <w:hideMark/>
          </w:tcPr>
          <w:p w14:paraId="5822B090" w14:textId="77777777" w:rsidR="00D222B9" w:rsidRDefault="00D222B9" w:rsidP="00996C6D">
            <w:pPr>
              <w:pStyle w:val="TableBody"/>
            </w:pPr>
            <w:r>
              <w:t>New South Wales</w:t>
            </w:r>
          </w:p>
        </w:tc>
        <w:tc>
          <w:tcPr>
            <w:tcW w:w="3273" w:type="pct"/>
            <w:shd w:val="clear" w:color="auto" w:fill="auto"/>
            <w:hideMark/>
          </w:tcPr>
          <w:p w14:paraId="45DC57DC" w14:textId="4E461BAD" w:rsidR="00D222B9" w:rsidRPr="00F960B4" w:rsidRDefault="00D222B9" w:rsidP="00996C6D">
            <w:pPr>
              <w:pStyle w:val="TableBody"/>
              <w:rPr>
                <w:szCs w:val="18"/>
              </w:rPr>
            </w:pPr>
            <w:r w:rsidRPr="000F20CF">
              <w:rPr>
                <w:szCs w:val="18"/>
              </w:rPr>
              <w:t xml:space="preserve">NSW </w:t>
            </w:r>
            <w:r w:rsidR="007F4865">
              <w:rPr>
                <w:szCs w:val="18"/>
              </w:rPr>
              <w:t>Food Authority</w:t>
            </w:r>
          </w:p>
        </w:tc>
      </w:tr>
      <w:tr w:rsidR="00D222B9" w14:paraId="26B8328B" w14:textId="77777777" w:rsidTr="00996C6D">
        <w:tc>
          <w:tcPr>
            <w:tcW w:w="1727" w:type="pct"/>
            <w:hideMark/>
          </w:tcPr>
          <w:p w14:paraId="345B85AE" w14:textId="77777777" w:rsidR="00D222B9" w:rsidRDefault="00D222B9" w:rsidP="00996C6D">
            <w:pPr>
              <w:pStyle w:val="TableBody"/>
            </w:pPr>
            <w:r>
              <w:t>Northern Territory</w:t>
            </w:r>
          </w:p>
        </w:tc>
        <w:tc>
          <w:tcPr>
            <w:tcW w:w="3273" w:type="pct"/>
            <w:shd w:val="clear" w:color="auto" w:fill="auto"/>
            <w:hideMark/>
          </w:tcPr>
          <w:p w14:paraId="36243955" w14:textId="549715A3" w:rsidR="00D222B9" w:rsidRPr="00F960B4" w:rsidRDefault="00134344" w:rsidP="00996C6D">
            <w:pPr>
              <w:pStyle w:val="TableBody"/>
              <w:rPr>
                <w:szCs w:val="18"/>
              </w:rPr>
            </w:pPr>
            <w:r>
              <w:rPr>
                <w:szCs w:val="18"/>
              </w:rPr>
              <w:t xml:space="preserve">Department of </w:t>
            </w:r>
            <w:r w:rsidR="00D222B9" w:rsidRPr="000F20CF">
              <w:rPr>
                <w:szCs w:val="18"/>
              </w:rPr>
              <w:t>Health</w:t>
            </w:r>
          </w:p>
        </w:tc>
      </w:tr>
      <w:tr w:rsidR="00D222B9" w14:paraId="476D3210" w14:textId="77777777" w:rsidTr="00996C6D">
        <w:tc>
          <w:tcPr>
            <w:tcW w:w="1727" w:type="pct"/>
            <w:hideMark/>
          </w:tcPr>
          <w:p w14:paraId="0377CEF9" w14:textId="77777777" w:rsidR="00D222B9" w:rsidRDefault="00D222B9" w:rsidP="00996C6D">
            <w:pPr>
              <w:pStyle w:val="TableBody"/>
            </w:pPr>
            <w:r>
              <w:t>Queensland</w:t>
            </w:r>
          </w:p>
        </w:tc>
        <w:tc>
          <w:tcPr>
            <w:tcW w:w="3273" w:type="pct"/>
            <w:shd w:val="clear" w:color="auto" w:fill="auto"/>
            <w:hideMark/>
          </w:tcPr>
          <w:p w14:paraId="55BA1BF0" w14:textId="7FCA3D03" w:rsidR="00D222B9" w:rsidRDefault="00D222B9" w:rsidP="00996C6D">
            <w:pPr>
              <w:pStyle w:val="TableBody"/>
              <w:rPr>
                <w:szCs w:val="18"/>
              </w:rPr>
            </w:pPr>
            <w:r w:rsidRPr="000F20CF">
              <w:rPr>
                <w:szCs w:val="18"/>
              </w:rPr>
              <w:t>Q</w:t>
            </w:r>
            <w:r w:rsidR="00CB4E10">
              <w:rPr>
                <w:szCs w:val="18"/>
              </w:rPr>
              <w:t>ueensland</w:t>
            </w:r>
            <w:r w:rsidRPr="000F20CF">
              <w:rPr>
                <w:szCs w:val="18"/>
              </w:rPr>
              <w:t xml:space="preserve"> Health</w:t>
            </w:r>
            <w:r w:rsidR="001226F1">
              <w:rPr>
                <w:szCs w:val="18"/>
              </w:rPr>
              <w:t xml:space="preserve"> – Food Safety Standards and Regulation</w:t>
            </w:r>
          </w:p>
          <w:p w14:paraId="264BDD15" w14:textId="06C059D4" w:rsidR="001226F1" w:rsidRPr="00F960B4" w:rsidRDefault="00D464AD" w:rsidP="00996C6D">
            <w:pPr>
              <w:pStyle w:val="TableBody"/>
              <w:rPr>
                <w:szCs w:val="18"/>
              </w:rPr>
            </w:pPr>
            <w:r>
              <w:rPr>
                <w:szCs w:val="18"/>
              </w:rPr>
              <w:t>Safe Food Queensland (</w:t>
            </w:r>
            <w:r w:rsidR="008A0162">
              <w:rPr>
                <w:szCs w:val="18"/>
              </w:rPr>
              <w:t>primary production and processing)</w:t>
            </w:r>
          </w:p>
        </w:tc>
      </w:tr>
      <w:tr w:rsidR="00D222B9" w14:paraId="1CB3B952" w14:textId="77777777" w:rsidTr="00996C6D">
        <w:tc>
          <w:tcPr>
            <w:tcW w:w="1727" w:type="pct"/>
            <w:hideMark/>
          </w:tcPr>
          <w:p w14:paraId="43267BEF" w14:textId="77777777" w:rsidR="00D222B9" w:rsidRDefault="00D222B9" w:rsidP="00996C6D">
            <w:pPr>
              <w:pStyle w:val="TableBody"/>
            </w:pPr>
            <w:r>
              <w:t>South Australia</w:t>
            </w:r>
          </w:p>
        </w:tc>
        <w:tc>
          <w:tcPr>
            <w:tcW w:w="3273" w:type="pct"/>
            <w:shd w:val="clear" w:color="auto" w:fill="auto"/>
            <w:hideMark/>
          </w:tcPr>
          <w:p w14:paraId="41BF7568" w14:textId="77777777" w:rsidR="00D222B9" w:rsidRDefault="00D222B9" w:rsidP="00996C6D">
            <w:pPr>
              <w:pStyle w:val="TableBody"/>
              <w:rPr>
                <w:szCs w:val="18"/>
              </w:rPr>
            </w:pPr>
            <w:r w:rsidRPr="000F20CF">
              <w:rPr>
                <w:szCs w:val="18"/>
              </w:rPr>
              <w:t>SA Health</w:t>
            </w:r>
          </w:p>
          <w:p w14:paraId="1803AEF1" w14:textId="77777777" w:rsidR="00C90C34" w:rsidRPr="00C90C34" w:rsidRDefault="00C90C34" w:rsidP="00C90C34">
            <w:pPr>
              <w:pStyle w:val="TableBody"/>
              <w:rPr>
                <w:szCs w:val="18"/>
              </w:rPr>
            </w:pPr>
            <w:r w:rsidRPr="00C90C34">
              <w:rPr>
                <w:szCs w:val="18"/>
              </w:rPr>
              <w:t xml:space="preserve">Department of Primary Industries and Regions SA </w:t>
            </w:r>
          </w:p>
          <w:p w14:paraId="366D5DC9" w14:textId="233FBA24" w:rsidR="00C90C34" w:rsidRPr="00F960B4" w:rsidRDefault="00C90C34" w:rsidP="00C90C34">
            <w:pPr>
              <w:pStyle w:val="TableBody"/>
              <w:rPr>
                <w:szCs w:val="18"/>
              </w:rPr>
            </w:pPr>
            <w:r w:rsidRPr="00C90C34">
              <w:rPr>
                <w:szCs w:val="18"/>
              </w:rPr>
              <w:t>Dairy Authority of South Australia</w:t>
            </w:r>
          </w:p>
        </w:tc>
      </w:tr>
      <w:tr w:rsidR="00D222B9" w14:paraId="757C2DC7" w14:textId="77777777" w:rsidTr="00996C6D">
        <w:tc>
          <w:tcPr>
            <w:tcW w:w="1727" w:type="pct"/>
            <w:hideMark/>
          </w:tcPr>
          <w:p w14:paraId="35D93556" w14:textId="77777777" w:rsidR="00D222B9" w:rsidRDefault="00D222B9" w:rsidP="00996C6D">
            <w:pPr>
              <w:pStyle w:val="TableBody"/>
            </w:pPr>
            <w:r>
              <w:t>Tasmania</w:t>
            </w:r>
          </w:p>
        </w:tc>
        <w:tc>
          <w:tcPr>
            <w:tcW w:w="3273" w:type="pct"/>
            <w:shd w:val="clear" w:color="auto" w:fill="auto"/>
            <w:hideMark/>
          </w:tcPr>
          <w:p w14:paraId="6F26A7B5" w14:textId="77777777" w:rsidR="001C282E" w:rsidRPr="001C282E" w:rsidRDefault="001C282E" w:rsidP="001C282E">
            <w:pPr>
              <w:pStyle w:val="TableBody"/>
              <w:rPr>
                <w:szCs w:val="18"/>
              </w:rPr>
            </w:pPr>
            <w:r w:rsidRPr="001C282E">
              <w:rPr>
                <w:szCs w:val="18"/>
              </w:rPr>
              <w:t xml:space="preserve">Department of Health and Human Services – Food Safety </w:t>
            </w:r>
          </w:p>
          <w:p w14:paraId="525C8945" w14:textId="77777777" w:rsidR="001C282E" w:rsidRPr="001C282E" w:rsidRDefault="001C282E" w:rsidP="001C282E">
            <w:pPr>
              <w:pStyle w:val="TableBody"/>
              <w:rPr>
                <w:szCs w:val="18"/>
              </w:rPr>
            </w:pPr>
            <w:r w:rsidRPr="001C282E">
              <w:rPr>
                <w:szCs w:val="18"/>
              </w:rPr>
              <w:t xml:space="preserve">Department of Primary Industries, Parks, Water and Environment </w:t>
            </w:r>
          </w:p>
          <w:p w14:paraId="68E00712" w14:textId="1988146D" w:rsidR="00D222B9" w:rsidRPr="00F960B4" w:rsidRDefault="001C282E" w:rsidP="001C282E">
            <w:pPr>
              <w:pStyle w:val="TableBody"/>
              <w:rPr>
                <w:szCs w:val="18"/>
              </w:rPr>
            </w:pPr>
            <w:r w:rsidRPr="001C282E">
              <w:rPr>
                <w:szCs w:val="18"/>
              </w:rPr>
              <w:t>Tasmanian Dairy Industry Authority</w:t>
            </w:r>
          </w:p>
        </w:tc>
      </w:tr>
      <w:tr w:rsidR="00D222B9" w14:paraId="3EF504FE" w14:textId="77777777" w:rsidTr="00996C6D">
        <w:tc>
          <w:tcPr>
            <w:tcW w:w="1727" w:type="pct"/>
            <w:hideMark/>
          </w:tcPr>
          <w:p w14:paraId="37F52F3E" w14:textId="77777777" w:rsidR="00D222B9" w:rsidRDefault="00D222B9" w:rsidP="00996C6D">
            <w:pPr>
              <w:pStyle w:val="TableBody"/>
            </w:pPr>
            <w:r>
              <w:t>Victoria</w:t>
            </w:r>
          </w:p>
        </w:tc>
        <w:tc>
          <w:tcPr>
            <w:tcW w:w="3273" w:type="pct"/>
            <w:shd w:val="clear" w:color="auto" w:fill="auto"/>
            <w:hideMark/>
          </w:tcPr>
          <w:p w14:paraId="5422326B" w14:textId="37C2879A" w:rsidR="00D222B9" w:rsidRPr="00F960B4" w:rsidRDefault="00144046" w:rsidP="00996C6D">
            <w:pPr>
              <w:pStyle w:val="TableBody"/>
              <w:rPr>
                <w:szCs w:val="18"/>
              </w:rPr>
            </w:pPr>
            <w:r w:rsidRPr="00144046">
              <w:rPr>
                <w:szCs w:val="18"/>
              </w:rPr>
              <w:t xml:space="preserve">Department of Health </w:t>
            </w:r>
            <w:r w:rsidR="00691787">
              <w:rPr>
                <w:szCs w:val="18"/>
              </w:rPr>
              <w:t>and</w:t>
            </w:r>
            <w:r w:rsidRPr="00144046">
              <w:rPr>
                <w:szCs w:val="18"/>
              </w:rPr>
              <w:t xml:space="preserve"> Human Services</w:t>
            </w:r>
          </w:p>
        </w:tc>
      </w:tr>
      <w:tr w:rsidR="00D222B9" w14:paraId="31326645" w14:textId="77777777" w:rsidTr="00996C6D">
        <w:tc>
          <w:tcPr>
            <w:tcW w:w="1727" w:type="pct"/>
            <w:hideMark/>
          </w:tcPr>
          <w:p w14:paraId="58CD611C" w14:textId="77777777" w:rsidR="00D222B9" w:rsidRDefault="00D222B9" w:rsidP="00996C6D">
            <w:pPr>
              <w:pStyle w:val="TableBody"/>
            </w:pPr>
            <w:r>
              <w:lastRenderedPageBreak/>
              <w:t>Western Australia</w:t>
            </w:r>
          </w:p>
        </w:tc>
        <w:tc>
          <w:tcPr>
            <w:tcW w:w="3273" w:type="pct"/>
            <w:shd w:val="clear" w:color="auto" w:fill="auto"/>
            <w:hideMark/>
          </w:tcPr>
          <w:p w14:paraId="5A134B08" w14:textId="16D3643C" w:rsidR="00D222B9" w:rsidRPr="00F960B4" w:rsidRDefault="001C282E" w:rsidP="00996C6D">
            <w:pPr>
              <w:pStyle w:val="TableBody"/>
              <w:rPr>
                <w:szCs w:val="18"/>
              </w:rPr>
            </w:pPr>
            <w:r w:rsidRPr="001C282E">
              <w:rPr>
                <w:szCs w:val="18"/>
              </w:rPr>
              <w:t>Department of Health – Environmental Health Directorate</w:t>
            </w:r>
          </w:p>
        </w:tc>
      </w:tr>
    </w:tbl>
    <w:p w14:paraId="04CA3BA2" w14:textId="77777777" w:rsidR="00236625" w:rsidRDefault="00236625" w:rsidP="002A50B9">
      <w:pPr>
        <w:pStyle w:val="BodyText"/>
        <w:rPr>
          <w:lang w:eastAsia="en-AU"/>
        </w:rPr>
      </w:pPr>
    </w:p>
    <w:p w14:paraId="3758D592" w14:textId="6954AE95" w:rsidR="00F42E88" w:rsidRDefault="001911BE" w:rsidP="00180D15">
      <w:pPr>
        <w:pStyle w:val="AppendixH2"/>
      </w:pPr>
      <w:r>
        <w:t>Additional information on consultation</w:t>
      </w:r>
    </w:p>
    <w:p w14:paraId="725666D1" w14:textId="77777777" w:rsidR="00B14B40" w:rsidRPr="003645A2" w:rsidRDefault="00B14B40" w:rsidP="00B14B40">
      <w:pPr>
        <w:pStyle w:val="Caption"/>
      </w:pPr>
      <w:r w:rsidRPr="003645A2">
        <w:t>Overview of stakeholders consulted</w:t>
      </w:r>
    </w:p>
    <w:tbl>
      <w:tblPr>
        <w:tblStyle w:val="TableGrid5"/>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600" w:firstRow="0" w:lastRow="0" w:firstColumn="0" w:lastColumn="0" w:noHBand="1" w:noVBand="1"/>
      </w:tblPr>
      <w:tblGrid>
        <w:gridCol w:w="4699"/>
        <w:gridCol w:w="4939"/>
      </w:tblGrid>
      <w:tr w:rsidR="00B14B40" w:rsidRPr="003645A2" w14:paraId="384A9A6D" w14:textId="77777777" w:rsidTr="00D1176E">
        <w:tc>
          <w:tcPr>
            <w:tcW w:w="5000" w:type="pct"/>
            <w:gridSpan w:val="2"/>
            <w:shd w:val="clear" w:color="auto" w:fill="034EA2" w:themeFill="accent1"/>
          </w:tcPr>
          <w:p w14:paraId="77B36585" w14:textId="77777777" w:rsidR="00B14B40" w:rsidRPr="003645A2" w:rsidRDefault="00B14B40" w:rsidP="00D1176E">
            <w:pPr>
              <w:pStyle w:val="TableHeading"/>
            </w:pPr>
            <w:r w:rsidRPr="003645A2">
              <w:t xml:space="preserve">Stakeholders Consulted </w:t>
            </w:r>
          </w:p>
        </w:tc>
      </w:tr>
      <w:tr w:rsidR="00B14B40" w:rsidRPr="003645A2" w14:paraId="2CFE0971" w14:textId="77777777" w:rsidTr="00D1176E">
        <w:tc>
          <w:tcPr>
            <w:tcW w:w="2438" w:type="pct"/>
            <w:vAlign w:val="center"/>
          </w:tcPr>
          <w:p w14:paraId="5F330C10" w14:textId="77777777" w:rsidR="00B14B40" w:rsidRDefault="00B14B40" w:rsidP="00D1176E">
            <w:pPr>
              <w:pStyle w:val="TableBullet"/>
              <w:rPr>
                <w:rFonts w:eastAsia="Calibri"/>
              </w:rPr>
            </w:pPr>
            <w:r>
              <w:rPr>
                <w:rFonts w:eastAsia="Calibri"/>
              </w:rPr>
              <w:t>Woolworths</w:t>
            </w:r>
          </w:p>
          <w:p w14:paraId="2DFB5A08" w14:textId="4B204AFD" w:rsidR="00B14B40" w:rsidRPr="00A8055D" w:rsidRDefault="00B14B40" w:rsidP="00D1176E">
            <w:pPr>
              <w:pStyle w:val="TableBullet"/>
              <w:rPr>
                <w:rFonts w:eastAsia="Calibri"/>
              </w:rPr>
            </w:pPr>
            <w:r>
              <w:rPr>
                <w:rFonts w:eastAsia="Calibri"/>
              </w:rPr>
              <w:t>Coles</w:t>
            </w:r>
          </w:p>
        </w:tc>
        <w:tc>
          <w:tcPr>
            <w:tcW w:w="2562" w:type="pct"/>
            <w:vAlign w:val="center"/>
          </w:tcPr>
          <w:p w14:paraId="502E0E94" w14:textId="77777777" w:rsidR="00B14B40" w:rsidRDefault="00B14B40" w:rsidP="00D1176E">
            <w:pPr>
              <w:pStyle w:val="TableBullet"/>
              <w:rPr>
                <w:rFonts w:eastAsia="Calibri"/>
              </w:rPr>
            </w:pPr>
            <w:r>
              <w:rPr>
                <w:rFonts w:eastAsia="Calibri"/>
              </w:rPr>
              <w:t>ALDI</w:t>
            </w:r>
          </w:p>
          <w:p w14:paraId="70C0BC20" w14:textId="24B80528" w:rsidR="00B14B40" w:rsidRPr="00A8055D" w:rsidRDefault="00B14B40" w:rsidP="00D1176E">
            <w:pPr>
              <w:pStyle w:val="TableBullet"/>
              <w:rPr>
                <w:rFonts w:eastAsia="Calibri"/>
              </w:rPr>
            </w:pPr>
            <w:r>
              <w:rPr>
                <w:rFonts w:eastAsia="Calibri"/>
              </w:rPr>
              <w:t>Metcash</w:t>
            </w:r>
          </w:p>
        </w:tc>
      </w:tr>
    </w:tbl>
    <w:p w14:paraId="1E3AE63A" w14:textId="366A9545" w:rsidR="00B14B40" w:rsidRPr="003645A2" w:rsidRDefault="00B14B40" w:rsidP="00B14B40">
      <w:pPr>
        <w:pStyle w:val="Caption"/>
      </w:pPr>
      <w:r w:rsidRPr="003645A2">
        <w:t>Consultation timeline</w:t>
      </w:r>
    </w:p>
    <w:p w14:paraId="33403182" w14:textId="6377FF52" w:rsidR="008C65BE" w:rsidRDefault="007D0216" w:rsidP="002A50B9">
      <w:pPr>
        <w:pStyle w:val="BodyText"/>
        <w:rPr>
          <w:lang w:eastAsia="en-AU"/>
        </w:rPr>
      </w:pPr>
      <w:r w:rsidRPr="007D0216">
        <w:rPr>
          <w:noProof/>
          <w:lang w:eastAsia="en-AU"/>
        </w:rPr>
        <w:drawing>
          <wp:inline distT="0" distB="0" distL="0" distR="0" wp14:anchorId="24BBFF95" wp14:editId="486846FC">
            <wp:extent cx="6007100" cy="46462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07100" cy="4646295"/>
                    </a:xfrm>
                    <a:prstGeom prst="rect">
                      <a:avLst/>
                    </a:prstGeom>
                    <a:noFill/>
                    <a:ln>
                      <a:noFill/>
                    </a:ln>
                  </pic:spPr>
                </pic:pic>
              </a:graphicData>
            </a:graphic>
          </wp:inline>
        </w:drawing>
      </w:r>
    </w:p>
    <w:p w14:paraId="2A95ECE7" w14:textId="77777777" w:rsidR="00D01BDC" w:rsidRDefault="00D01BDC" w:rsidP="002A50B9">
      <w:pPr>
        <w:pStyle w:val="BodyText"/>
        <w:rPr>
          <w:lang w:eastAsia="en-AU"/>
        </w:rPr>
      </w:pPr>
    </w:p>
    <w:p w14:paraId="353BE23E" w14:textId="03C09496" w:rsidR="00D01BDC" w:rsidRDefault="00C4760F" w:rsidP="00180D15">
      <w:pPr>
        <w:pStyle w:val="AppendixH2"/>
      </w:pPr>
      <w:r>
        <w:t>RMP Rules consultation</w:t>
      </w:r>
    </w:p>
    <w:p w14:paraId="3A4DB235" w14:textId="2B83FB32" w:rsidR="00C4760F" w:rsidRDefault="003A3D5C" w:rsidP="002A50B9">
      <w:pPr>
        <w:pStyle w:val="BodyText"/>
        <w:rPr>
          <w:lang w:eastAsia="en-AU"/>
        </w:rPr>
      </w:pPr>
      <w:r w:rsidRPr="003A3D5C">
        <w:rPr>
          <w:lang w:eastAsia="en-AU"/>
        </w:rPr>
        <w:t>The Department undertook extensive consultation with industry, including the food and grocery sector for the design of RMP rules, with the objectives of</w:t>
      </w:r>
      <w:r>
        <w:rPr>
          <w:lang w:eastAsia="en-AU"/>
        </w:rPr>
        <w:t>:</w:t>
      </w:r>
    </w:p>
    <w:p w14:paraId="6B9E4D3D" w14:textId="0426DE12" w:rsidR="00BE6949" w:rsidRDefault="00BE6949" w:rsidP="00180D15">
      <w:pPr>
        <w:pStyle w:val="Bullet1stlevel"/>
        <w:rPr>
          <w:lang w:eastAsia="en-AU"/>
        </w:rPr>
      </w:pPr>
      <w:r>
        <w:rPr>
          <w:lang w:eastAsia="en-AU"/>
        </w:rPr>
        <w:t xml:space="preserve">Assessing whether there are existing regulations that meet the risk management program objectives, to ensure the regulatory burden is reduced where possible; and  </w:t>
      </w:r>
    </w:p>
    <w:p w14:paraId="55592F94" w14:textId="0C13525B" w:rsidR="003A3D5C" w:rsidRDefault="00BE6949" w:rsidP="00180D15">
      <w:pPr>
        <w:pStyle w:val="Bullet1stlevel"/>
        <w:rPr>
          <w:lang w:eastAsia="en-AU"/>
        </w:rPr>
      </w:pPr>
      <w:r>
        <w:rPr>
          <w:lang w:eastAsia="en-AU"/>
        </w:rPr>
        <w:t>Ensuring there are rules in place that will drive an uplift in the security and resilience of critical food and grocery assets.</w:t>
      </w:r>
    </w:p>
    <w:p w14:paraId="0DCCE68D" w14:textId="708B9146" w:rsidR="00411EFD" w:rsidRDefault="00E53D46" w:rsidP="002A50B9">
      <w:pPr>
        <w:pStyle w:val="BodyText"/>
        <w:rPr>
          <w:lang w:eastAsia="en-AU"/>
        </w:rPr>
      </w:pPr>
      <w:r w:rsidRPr="00E53D46">
        <w:rPr>
          <w:lang w:eastAsia="en-AU"/>
        </w:rPr>
        <w:lastRenderedPageBreak/>
        <w:t xml:space="preserve">Consultation with industry stakeholders occurred </w:t>
      </w:r>
      <w:r w:rsidR="00A174EC">
        <w:rPr>
          <w:lang w:eastAsia="en-AU"/>
        </w:rPr>
        <w:t>across</w:t>
      </w:r>
      <w:r w:rsidRPr="00E53D46">
        <w:rPr>
          <w:lang w:eastAsia="en-AU"/>
        </w:rPr>
        <w:t xml:space="preserve"> </w:t>
      </w:r>
      <w:r w:rsidR="00104C26">
        <w:rPr>
          <w:lang w:eastAsia="en-AU"/>
        </w:rPr>
        <w:t xml:space="preserve">the </w:t>
      </w:r>
      <w:r w:rsidR="00BA1764">
        <w:rPr>
          <w:lang w:eastAsia="en-AU"/>
        </w:rPr>
        <w:t>following</w:t>
      </w:r>
      <w:r w:rsidRPr="00E53D46">
        <w:rPr>
          <w:lang w:eastAsia="en-AU"/>
        </w:rPr>
        <w:t xml:space="preserve"> key stages:</w:t>
      </w:r>
    </w:p>
    <w:p w14:paraId="2F082587" w14:textId="5BC67ED5" w:rsidR="009804B4" w:rsidRDefault="009804B4" w:rsidP="00180D15">
      <w:pPr>
        <w:pStyle w:val="ListParagraph"/>
        <w:numPr>
          <w:ilvl w:val="0"/>
          <w:numId w:val="163"/>
        </w:numPr>
        <w:spacing w:line="259" w:lineRule="auto"/>
        <w:rPr>
          <w:rFonts w:eastAsia="Calibri"/>
        </w:rPr>
      </w:pPr>
      <w:r w:rsidRPr="003D6352">
        <w:rPr>
          <w:rFonts w:eastAsia="Calibri"/>
          <w:b/>
        </w:rPr>
        <w:t>A virtual Town Hall</w:t>
      </w:r>
      <w:r w:rsidRPr="003645A2">
        <w:rPr>
          <w:rFonts w:eastAsia="Calibri"/>
        </w:rPr>
        <w:t xml:space="preserve">, held </w:t>
      </w:r>
      <w:r>
        <w:rPr>
          <w:rFonts w:eastAsia="Calibri"/>
        </w:rPr>
        <w:t xml:space="preserve">on 19 October </w:t>
      </w:r>
      <w:r w:rsidRPr="009278DF">
        <w:rPr>
          <w:rFonts w:eastAsia="Calibri"/>
        </w:rPr>
        <w:t>2021</w:t>
      </w:r>
      <w:r>
        <w:rPr>
          <w:rFonts w:eastAsia="Calibri"/>
        </w:rPr>
        <w:t xml:space="preserve">, </w:t>
      </w:r>
      <w:r w:rsidRPr="003645A2">
        <w:rPr>
          <w:rFonts w:eastAsia="Calibri"/>
        </w:rPr>
        <w:t xml:space="preserve">attended by </w:t>
      </w:r>
      <w:r>
        <w:rPr>
          <w:rFonts w:eastAsia="Calibri"/>
        </w:rPr>
        <w:t xml:space="preserve">360 </w:t>
      </w:r>
      <w:r w:rsidRPr="003645A2">
        <w:rPr>
          <w:rFonts w:eastAsia="Calibri"/>
        </w:rPr>
        <w:t>approximately industry and Government stakeholders</w:t>
      </w:r>
      <w:r>
        <w:rPr>
          <w:rFonts w:eastAsia="Calibri"/>
        </w:rPr>
        <w:t xml:space="preserve">, including from </w:t>
      </w:r>
      <w:r w:rsidR="00C5391C">
        <w:rPr>
          <w:rFonts w:eastAsia="Calibri"/>
        </w:rPr>
        <w:t xml:space="preserve">the </w:t>
      </w:r>
      <w:r w:rsidR="00C5391C" w:rsidRPr="00C5391C">
        <w:rPr>
          <w:rFonts w:eastAsia="Calibri"/>
        </w:rPr>
        <w:t>food and grocery sector</w:t>
      </w:r>
      <w:r>
        <w:rPr>
          <w:rFonts w:eastAsia="Calibri"/>
        </w:rPr>
        <w:t>. The purposes of the session were to:</w:t>
      </w:r>
    </w:p>
    <w:p w14:paraId="6694709A" w14:textId="77777777" w:rsidR="009804B4" w:rsidRPr="008B41DA" w:rsidRDefault="009804B4" w:rsidP="00CE4B35">
      <w:pPr>
        <w:pStyle w:val="Bullet2ndlevel"/>
        <w:numPr>
          <w:ilvl w:val="0"/>
          <w:numId w:val="174"/>
        </w:numPr>
        <w:tabs>
          <w:tab w:val="clear" w:pos="2038"/>
        </w:tabs>
      </w:pPr>
      <w:r>
        <w:t xml:space="preserve">Outline the CI/SONS </w:t>
      </w:r>
      <w:r w:rsidRPr="008B41DA">
        <w:t>reforms and provide an update on the SLACI Bill (now SLACI Act) and SLACIP Bill</w:t>
      </w:r>
      <w:r>
        <w:t xml:space="preserve"> (now SLACIP Act)</w:t>
      </w:r>
      <w:r w:rsidRPr="008B41DA">
        <w:t>;</w:t>
      </w:r>
    </w:p>
    <w:p w14:paraId="67B0A580" w14:textId="77777777" w:rsidR="009804B4" w:rsidRPr="008B41DA" w:rsidRDefault="009804B4" w:rsidP="00CE4B35">
      <w:pPr>
        <w:pStyle w:val="Bullet2ndlevel"/>
        <w:numPr>
          <w:ilvl w:val="0"/>
          <w:numId w:val="174"/>
        </w:numPr>
        <w:tabs>
          <w:tab w:val="clear" w:pos="2038"/>
        </w:tabs>
      </w:pPr>
      <w:r w:rsidRPr="008B41DA">
        <w:t>Provide an update for industry on the decision to consult on sector-agnostic RMP rules (as opposed to sector-specific rules), and outline how this would affect the consultation process going forward; and</w:t>
      </w:r>
    </w:p>
    <w:p w14:paraId="7ECA0C5E" w14:textId="77777777" w:rsidR="009804B4" w:rsidRDefault="009804B4" w:rsidP="00CE4B35">
      <w:pPr>
        <w:pStyle w:val="Bullet2ndlevel"/>
        <w:numPr>
          <w:ilvl w:val="0"/>
          <w:numId w:val="174"/>
        </w:numPr>
        <w:tabs>
          <w:tab w:val="clear" w:pos="2038"/>
        </w:tabs>
      </w:pPr>
      <w:r w:rsidRPr="008B41DA">
        <w:t>Answer any questions about</w:t>
      </w:r>
      <w:r>
        <w:t xml:space="preserve"> the Bills or RMP rules consultation process. </w:t>
      </w:r>
    </w:p>
    <w:p w14:paraId="24449D6A" w14:textId="23AB34B5" w:rsidR="009804B4" w:rsidRDefault="009804B4" w:rsidP="009804B4">
      <w:pPr>
        <w:pStyle w:val="ListParagraph"/>
        <w:numPr>
          <w:ilvl w:val="0"/>
          <w:numId w:val="163"/>
        </w:numPr>
        <w:spacing w:line="259" w:lineRule="auto"/>
        <w:rPr>
          <w:rFonts w:eastAsia="Calibri"/>
        </w:rPr>
      </w:pPr>
      <w:r w:rsidRPr="003D6352">
        <w:rPr>
          <w:rFonts w:eastAsia="Calibri"/>
          <w:b/>
        </w:rPr>
        <w:t xml:space="preserve">A </w:t>
      </w:r>
      <w:r w:rsidR="00696F73">
        <w:rPr>
          <w:rFonts w:eastAsia="Calibri"/>
          <w:b/>
        </w:rPr>
        <w:t>wrap-up</w:t>
      </w:r>
      <w:r w:rsidRPr="003D6352">
        <w:rPr>
          <w:rFonts w:eastAsia="Calibri"/>
          <w:b/>
        </w:rPr>
        <w:t xml:space="preserve"> virtual Town Hall</w:t>
      </w:r>
      <w:r>
        <w:rPr>
          <w:rFonts w:eastAsia="Calibri"/>
          <w:b/>
          <w:bCs/>
        </w:rPr>
        <w:t xml:space="preserve"> </w:t>
      </w:r>
      <w:r>
        <w:rPr>
          <w:rFonts w:eastAsia="Calibri"/>
        </w:rPr>
        <w:t>held on 25 November 2021. The purpose of the Town Hall was</w:t>
      </w:r>
      <w:r w:rsidRPr="009278DF">
        <w:rPr>
          <w:rFonts w:eastAsia="Calibri"/>
        </w:rPr>
        <w:t xml:space="preserve"> to present the updated </w:t>
      </w:r>
      <w:r>
        <w:rPr>
          <w:rFonts w:eastAsia="Calibri"/>
        </w:rPr>
        <w:t>RMP rules</w:t>
      </w:r>
      <w:r w:rsidRPr="009278DF">
        <w:rPr>
          <w:rFonts w:eastAsia="Calibri"/>
        </w:rPr>
        <w:t xml:space="preserve"> and provide information on the further consultation period. The Town Hall was attended by approximately 800 industry and Government stakeholders across the </w:t>
      </w:r>
      <w:r>
        <w:rPr>
          <w:rFonts w:eastAsia="Calibri"/>
        </w:rPr>
        <w:t>10</w:t>
      </w:r>
      <w:r w:rsidRPr="009278DF">
        <w:rPr>
          <w:rFonts w:eastAsia="Calibri"/>
        </w:rPr>
        <w:t xml:space="preserve"> critical infrastructure sectors, including by</w:t>
      </w:r>
      <w:r>
        <w:rPr>
          <w:rFonts w:eastAsia="Calibri"/>
        </w:rPr>
        <w:t xml:space="preserve"> </w:t>
      </w:r>
      <w:r w:rsidRPr="009278DF">
        <w:rPr>
          <w:rFonts w:eastAsia="Calibri"/>
        </w:rPr>
        <w:t xml:space="preserve">stakeholders from the </w:t>
      </w:r>
      <w:r w:rsidR="00145D0F" w:rsidRPr="00145D0F">
        <w:rPr>
          <w:rFonts w:eastAsia="Calibri"/>
        </w:rPr>
        <w:t>food and grocery</w:t>
      </w:r>
      <w:r w:rsidR="00145D0F">
        <w:rPr>
          <w:rFonts w:eastAsia="Calibri"/>
        </w:rPr>
        <w:t xml:space="preserve"> </w:t>
      </w:r>
      <w:r>
        <w:rPr>
          <w:rFonts w:eastAsia="Calibri"/>
        </w:rPr>
        <w:t>sector.</w:t>
      </w:r>
    </w:p>
    <w:p w14:paraId="14F42101" w14:textId="77777777" w:rsidR="00145D0F" w:rsidRPr="009278DF" w:rsidRDefault="00145D0F" w:rsidP="00180D15">
      <w:pPr>
        <w:pStyle w:val="ListParagraph"/>
        <w:numPr>
          <w:ilvl w:val="0"/>
          <w:numId w:val="0"/>
        </w:numPr>
        <w:spacing w:line="259" w:lineRule="auto"/>
        <w:ind w:left="357"/>
        <w:rPr>
          <w:rFonts w:eastAsia="Calibri"/>
        </w:rPr>
      </w:pPr>
    </w:p>
    <w:p w14:paraId="7757A5CD" w14:textId="77777777" w:rsidR="009804B4" w:rsidRPr="003645A2" w:rsidRDefault="009804B4" w:rsidP="00180D15">
      <w:pPr>
        <w:pStyle w:val="ListParagraph"/>
        <w:numPr>
          <w:ilvl w:val="0"/>
          <w:numId w:val="163"/>
        </w:numPr>
        <w:spacing w:line="259" w:lineRule="auto"/>
        <w:rPr>
          <w:rFonts w:eastAsia="Calibri"/>
        </w:rPr>
      </w:pPr>
      <w:r w:rsidRPr="003D6352">
        <w:rPr>
          <w:rFonts w:eastAsia="Calibri"/>
          <w:b/>
        </w:rPr>
        <w:t>O</w:t>
      </w:r>
      <w:r w:rsidRPr="003645A2">
        <w:rPr>
          <w:rFonts w:eastAsia="Calibri"/>
          <w:b/>
          <w:bCs/>
        </w:rPr>
        <w:t>ut of session consultation</w:t>
      </w:r>
      <w:r>
        <w:rPr>
          <w:rFonts w:eastAsia="Calibri"/>
        </w:rPr>
        <w:t>:</w:t>
      </w:r>
    </w:p>
    <w:p w14:paraId="78808F72" w14:textId="77777777" w:rsidR="009804B4" w:rsidRPr="008B41DA" w:rsidRDefault="009804B4" w:rsidP="00CE4B35">
      <w:pPr>
        <w:pStyle w:val="Bullet2ndlevel"/>
        <w:numPr>
          <w:ilvl w:val="0"/>
          <w:numId w:val="175"/>
        </w:numPr>
        <w:tabs>
          <w:tab w:val="clear" w:pos="2038"/>
        </w:tabs>
      </w:pPr>
      <w:r w:rsidRPr="00FD357E">
        <w:t>Stakeholders were encouraged to contact the Department out of session. The Departm</w:t>
      </w:r>
      <w:r w:rsidRPr="003645A2">
        <w:t xml:space="preserve">ent availed itself to </w:t>
      </w:r>
      <w:r w:rsidRPr="008B41DA">
        <w:t xml:space="preserve">stakeholders to discuss their concerns, working to ensure stakeholders’ understanding of the rules, and the rules’ proportionality. </w:t>
      </w:r>
    </w:p>
    <w:p w14:paraId="770C10DB" w14:textId="77777777" w:rsidR="009804B4" w:rsidRPr="008B41DA" w:rsidRDefault="009804B4" w:rsidP="00CE4B35">
      <w:pPr>
        <w:pStyle w:val="Bullet2ndlevel"/>
        <w:numPr>
          <w:ilvl w:val="0"/>
          <w:numId w:val="175"/>
        </w:numPr>
        <w:tabs>
          <w:tab w:val="clear" w:pos="2038"/>
        </w:tabs>
      </w:pPr>
      <w:r w:rsidRPr="008B41DA">
        <w:t xml:space="preserve">Out of session engagement also assisted in the iterative development of rules between workshops, through addressing concerns raised by individual stakeholders and proposing a solution. </w:t>
      </w:r>
    </w:p>
    <w:p w14:paraId="24EF98EC" w14:textId="77777777" w:rsidR="009804B4" w:rsidRDefault="009804B4" w:rsidP="00CE4B35">
      <w:pPr>
        <w:pStyle w:val="Bullet2ndlevel"/>
        <w:numPr>
          <w:ilvl w:val="0"/>
          <w:numId w:val="175"/>
        </w:numPr>
        <w:tabs>
          <w:tab w:val="clear" w:pos="2038"/>
        </w:tabs>
        <w:rPr>
          <w:b/>
          <w:i/>
          <w:color w:val="034EA2" w:themeColor="accent1"/>
        </w:rPr>
      </w:pPr>
      <w:r w:rsidRPr="008B41DA">
        <w:t>This engagement strengthened</w:t>
      </w:r>
      <w:r w:rsidRPr="00FD357E">
        <w:t xml:space="preserve"> the relationship between the Department and industry, while </w:t>
      </w:r>
      <w:r w:rsidRPr="003645A2">
        <w:t>providing insights on implementation costs, entities’ operating environments and the overall impacts of the proposed regulatory changes.</w:t>
      </w:r>
    </w:p>
    <w:p w14:paraId="7CCC929D" w14:textId="09135187" w:rsidR="00A174EC" w:rsidRPr="00D309FE" w:rsidRDefault="00A174EC" w:rsidP="00A174EC">
      <w:pPr>
        <w:pStyle w:val="Bullet2ndlevel"/>
        <w:numPr>
          <w:ilvl w:val="0"/>
          <w:numId w:val="163"/>
        </w:numPr>
        <w:tabs>
          <w:tab w:val="clear" w:pos="2038"/>
        </w:tabs>
        <w:rPr>
          <w:b/>
        </w:rPr>
      </w:pPr>
      <w:r>
        <w:rPr>
          <w:b/>
          <w:bCs/>
        </w:rPr>
        <w:t>Mandatory Public Consultation</w:t>
      </w:r>
      <w:r w:rsidRPr="0065403A">
        <w:t>,</w:t>
      </w:r>
      <w:r>
        <w:rPr>
          <w:b/>
          <w:bCs/>
        </w:rPr>
        <w:t xml:space="preserve"> </w:t>
      </w:r>
      <w:r>
        <w:t xml:space="preserve">following the Minister commencing a 45-day consultation period on </w:t>
      </w:r>
      <w:r w:rsidR="0098495B">
        <w:t>5</w:t>
      </w:r>
      <w:r>
        <w:t xml:space="preserve"> October 2022 (the mandatory period is 28 days). Consultation included two </w:t>
      </w:r>
      <w:r w:rsidRPr="00504126">
        <w:t xml:space="preserve">Town </w:t>
      </w:r>
      <w:r w:rsidRPr="00504126">
        <w:rPr>
          <w:rFonts w:eastAsia="Calibri"/>
        </w:rPr>
        <w:t>Hall</w:t>
      </w:r>
      <w:r w:rsidRPr="00504126">
        <w:t xml:space="preserve"> Sessions</w:t>
      </w:r>
      <w:r>
        <w:rPr>
          <w:b/>
          <w:bCs/>
        </w:rPr>
        <w:t xml:space="preserve"> </w:t>
      </w:r>
      <w:r>
        <w:t>held on 10 October and 12 October 2022, attended by approximately 550 industry and Government stakeholders (across both sessions). The sessions provided information on the proposed RMP Rules as well as the broader obligation. These Town Halls, as well as four subsequent question and answer sessions, provided an opportunity for industry to ask questions about the proposed RMP Rules and process.</w:t>
      </w:r>
    </w:p>
    <w:p w14:paraId="031FFA28" w14:textId="77777777" w:rsidR="00A174EC" w:rsidRPr="00CE4B35" w:rsidRDefault="00A174EC" w:rsidP="00CE4B35">
      <w:pPr>
        <w:spacing w:line="259" w:lineRule="auto"/>
        <w:rPr>
          <w:b/>
        </w:rPr>
      </w:pPr>
    </w:p>
    <w:p w14:paraId="1AA57176" w14:textId="4CA47478" w:rsidR="00743FDA" w:rsidRDefault="00743FDA" w:rsidP="00180D15">
      <w:pPr>
        <w:pStyle w:val="AppendixH2"/>
      </w:pPr>
      <w:r w:rsidRPr="00743FDA">
        <w:lastRenderedPageBreak/>
        <w:t>Outcomes and themes from consultation on RMP rules</w:t>
      </w:r>
    </w:p>
    <w:p w14:paraId="3C7CF66D" w14:textId="77777777" w:rsidR="00C223ED" w:rsidRPr="004F1F57" w:rsidRDefault="00C223ED" w:rsidP="00C223ED">
      <w:pPr>
        <w:keepNext/>
        <w:tabs>
          <w:tab w:val="left" w:pos="1134"/>
        </w:tabs>
        <w:spacing w:before="240"/>
        <w:rPr>
          <w:i/>
          <w:color w:val="034EA2" w:themeColor="accent1"/>
          <w:sz w:val="22"/>
          <w:szCs w:val="18"/>
          <w:lang w:eastAsia="en-AU"/>
        </w:rPr>
      </w:pPr>
      <w:r w:rsidRPr="004F1F57">
        <w:rPr>
          <w:i/>
          <w:color w:val="034EA2" w:themeColor="accent1"/>
          <w:sz w:val="18"/>
          <w:szCs w:val="18"/>
          <w:lang w:eastAsia="en-AU"/>
        </w:rPr>
        <w:t>Key themes from consultation</w:t>
      </w:r>
    </w:p>
    <w:tbl>
      <w:tblPr>
        <w:tblStyle w:val="TableGrid52"/>
        <w:tblW w:w="5000" w:type="pct"/>
        <w:jc w:val="center"/>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110"/>
        <w:gridCol w:w="702"/>
        <w:gridCol w:w="2955"/>
        <w:gridCol w:w="4871"/>
      </w:tblGrid>
      <w:tr w:rsidR="00C223ED" w:rsidRPr="004F1F57" w14:paraId="1CE0C2C5" w14:textId="77777777" w:rsidTr="00996C6D">
        <w:trPr>
          <w:cantSplit/>
          <w:tblHeader/>
          <w:jc w:val="center"/>
        </w:trPr>
        <w:tc>
          <w:tcPr>
            <w:tcW w:w="576" w:type="pct"/>
            <w:shd w:val="clear" w:color="auto" w:fill="034EA2" w:themeFill="accent1"/>
          </w:tcPr>
          <w:p w14:paraId="21067743" w14:textId="77777777" w:rsidR="00C223ED" w:rsidRPr="004F1F57" w:rsidRDefault="00C223ED" w:rsidP="00996C6D">
            <w:pPr>
              <w:keepNext/>
              <w:rPr>
                <w:b/>
                <w:color w:val="FFFFFF" w:themeColor="background1"/>
              </w:rPr>
            </w:pPr>
            <w:r w:rsidRPr="004F1F57">
              <w:rPr>
                <w:b/>
                <w:color w:val="FFFFFF" w:themeColor="background1"/>
              </w:rPr>
              <w:t>Rule category</w:t>
            </w:r>
          </w:p>
        </w:tc>
        <w:tc>
          <w:tcPr>
            <w:tcW w:w="1897" w:type="pct"/>
            <w:gridSpan w:val="2"/>
            <w:shd w:val="clear" w:color="auto" w:fill="034EA2" w:themeFill="accent1"/>
            <w:vAlign w:val="center"/>
          </w:tcPr>
          <w:p w14:paraId="1019F9A5" w14:textId="77777777" w:rsidR="00C223ED" w:rsidRPr="004F1F57" w:rsidRDefault="00C223ED" w:rsidP="00996C6D">
            <w:pPr>
              <w:keepNext/>
              <w:rPr>
                <w:b/>
                <w:color w:val="FFFFFF" w:themeColor="background1"/>
              </w:rPr>
            </w:pPr>
            <w:r w:rsidRPr="004F1F57">
              <w:rPr>
                <w:b/>
                <w:color w:val="FFFFFF" w:themeColor="background1"/>
              </w:rPr>
              <w:t>Identified themes</w:t>
            </w:r>
          </w:p>
        </w:tc>
        <w:tc>
          <w:tcPr>
            <w:tcW w:w="2527" w:type="pct"/>
            <w:shd w:val="clear" w:color="auto" w:fill="034EA2" w:themeFill="accent1"/>
            <w:vAlign w:val="center"/>
          </w:tcPr>
          <w:p w14:paraId="4F8ADA2D" w14:textId="77777777" w:rsidR="00C223ED" w:rsidRPr="004F1F57" w:rsidRDefault="00C223ED" w:rsidP="00996C6D">
            <w:pPr>
              <w:keepNext/>
              <w:rPr>
                <w:b/>
                <w:color w:val="FFFFFF" w:themeColor="background1"/>
              </w:rPr>
            </w:pPr>
            <w:r w:rsidRPr="004F1F57">
              <w:rPr>
                <w:b/>
                <w:color w:val="FFFFFF" w:themeColor="background1"/>
              </w:rPr>
              <w:t>Impact on development of rules</w:t>
            </w:r>
          </w:p>
        </w:tc>
      </w:tr>
      <w:tr w:rsidR="00C223ED" w:rsidRPr="004F1F57" w14:paraId="5A90181F" w14:textId="77777777" w:rsidTr="00996C6D">
        <w:trPr>
          <w:cantSplit/>
          <w:trHeight w:val="1134"/>
          <w:jc w:val="center"/>
        </w:trPr>
        <w:tc>
          <w:tcPr>
            <w:tcW w:w="576" w:type="pct"/>
            <w:shd w:val="clear" w:color="auto" w:fill="BBDAFD" w:themeFill="accent1" w:themeFillTint="33"/>
          </w:tcPr>
          <w:p w14:paraId="759CD1E9" w14:textId="77777777" w:rsidR="00C223ED" w:rsidRPr="004F1F57" w:rsidRDefault="00C223ED" w:rsidP="00996C6D">
            <w:pPr>
              <w:spacing w:before="60" w:after="60"/>
              <w:rPr>
                <w:rFonts w:eastAsia="MS Mincho" w:cs="Times New Roman"/>
                <w:b/>
                <w:bCs/>
                <w:color w:val="000000" w:themeColor="text1"/>
                <w:szCs w:val="20"/>
                <w:lang w:val="en-US"/>
              </w:rPr>
            </w:pPr>
            <w:r w:rsidRPr="004F1F57">
              <w:rPr>
                <w:rFonts w:eastAsia="MS Mincho" w:cs="Times New Roman"/>
                <w:b/>
                <w:bCs/>
                <w:color w:val="000000" w:themeColor="text1"/>
                <w:szCs w:val="20"/>
                <w:lang w:val="en-US"/>
              </w:rPr>
              <w:t>RMP Rules</w:t>
            </w:r>
          </w:p>
        </w:tc>
        <w:tc>
          <w:tcPr>
            <w:tcW w:w="364" w:type="pct"/>
            <w:shd w:val="clear" w:color="auto" w:fill="EDEDED"/>
            <w:textDirection w:val="btLr"/>
            <w:vAlign w:val="bottom"/>
          </w:tcPr>
          <w:p w14:paraId="1C2DC963" w14:textId="77777777" w:rsidR="00C223ED" w:rsidRPr="004F1F57" w:rsidRDefault="00C223ED" w:rsidP="00CE4B35">
            <w:pPr>
              <w:spacing w:before="60" w:after="60"/>
              <w:jc w:val="center"/>
              <w:rPr>
                <w:rFonts w:eastAsia="MS Mincho" w:cs="Times New Roman"/>
                <w:b/>
                <w:bCs/>
                <w:color w:val="000000" w:themeColor="text1"/>
                <w:szCs w:val="20"/>
                <w:lang w:val="en-US"/>
              </w:rPr>
            </w:pPr>
            <w:r w:rsidRPr="004F1F57">
              <w:rPr>
                <w:rFonts w:eastAsia="MS Mincho" w:cs="Times New Roman"/>
                <w:b/>
                <w:bCs/>
                <w:color w:val="000000" w:themeColor="text1"/>
                <w:szCs w:val="20"/>
                <w:lang w:val="en-US"/>
              </w:rPr>
              <w:t>Information sessions</w:t>
            </w:r>
          </w:p>
        </w:tc>
        <w:tc>
          <w:tcPr>
            <w:tcW w:w="1533" w:type="pct"/>
          </w:tcPr>
          <w:p w14:paraId="03D8D19A" w14:textId="2A0A8D05" w:rsidR="00A0164D" w:rsidRPr="00A0164D" w:rsidRDefault="00A0164D">
            <w:pPr>
              <w:pStyle w:val="TableBullet"/>
              <w:ind w:left="170" w:hanging="170"/>
              <w:rPr>
                <w:rFonts w:eastAsia="Calibri"/>
                <w:szCs w:val="22"/>
              </w:rPr>
            </w:pPr>
            <w:r w:rsidRPr="00A0164D">
              <w:rPr>
                <w:rFonts w:eastAsia="Calibri"/>
                <w:szCs w:val="22"/>
              </w:rPr>
              <w:t xml:space="preserve">The food and grocery sector </w:t>
            </w:r>
            <w:r w:rsidRPr="00180D15">
              <w:rPr>
                <w:rFonts w:eastAsia="Calibri"/>
                <w:b/>
                <w:szCs w:val="22"/>
              </w:rPr>
              <w:t>broadly agrees</w:t>
            </w:r>
            <w:r w:rsidRPr="00A0164D">
              <w:rPr>
                <w:rFonts w:eastAsia="Calibri"/>
                <w:szCs w:val="22"/>
              </w:rPr>
              <w:t xml:space="preserve"> with the RMP rules as drafted. </w:t>
            </w:r>
          </w:p>
          <w:p w14:paraId="4F5A42F0" w14:textId="15562ED5" w:rsidR="00A0164D" w:rsidRPr="00A0164D" w:rsidRDefault="00A0164D">
            <w:pPr>
              <w:pStyle w:val="TableBullet"/>
              <w:ind w:left="170" w:hanging="170"/>
              <w:rPr>
                <w:rFonts w:eastAsia="Calibri"/>
                <w:szCs w:val="22"/>
              </w:rPr>
            </w:pPr>
            <w:r w:rsidRPr="00A0164D">
              <w:rPr>
                <w:rFonts w:eastAsia="Calibri"/>
                <w:szCs w:val="22"/>
              </w:rPr>
              <w:t xml:space="preserve">The food and grocery sector </w:t>
            </w:r>
            <w:r w:rsidR="00342B4E">
              <w:rPr>
                <w:rFonts w:eastAsia="Calibri"/>
                <w:szCs w:val="22"/>
              </w:rPr>
              <w:t>currently</w:t>
            </w:r>
            <w:r w:rsidRPr="00A0164D">
              <w:rPr>
                <w:rFonts w:eastAsia="Calibri"/>
                <w:szCs w:val="22"/>
              </w:rPr>
              <w:t xml:space="preserve"> has various levels of risk maturity. </w:t>
            </w:r>
          </w:p>
          <w:p w14:paraId="2393AA9E" w14:textId="54C6E2E4" w:rsidR="00C223ED" w:rsidRPr="004F1F57" w:rsidRDefault="00A0164D" w:rsidP="00A0164D">
            <w:pPr>
              <w:pStyle w:val="TableBullet"/>
              <w:ind w:left="170" w:hanging="170"/>
              <w:rPr>
                <w:rFonts w:eastAsia="Calibri"/>
              </w:rPr>
            </w:pPr>
            <w:r w:rsidRPr="00A0164D">
              <w:rPr>
                <w:rFonts w:eastAsia="Calibri"/>
                <w:szCs w:val="22"/>
              </w:rPr>
              <w:t xml:space="preserve">There is an </w:t>
            </w:r>
            <w:r w:rsidRPr="00180D15">
              <w:rPr>
                <w:rFonts w:eastAsia="Calibri"/>
                <w:b/>
                <w:szCs w:val="22"/>
              </w:rPr>
              <w:t>appetite for guidance material</w:t>
            </w:r>
            <w:r w:rsidRPr="00A0164D">
              <w:rPr>
                <w:rFonts w:eastAsia="Calibri"/>
                <w:szCs w:val="22"/>
              </w:rPr>
              <w:t xml:space="preserve"> to support sector-specific uplift in security and resilience, especially with regards to meeting the supply chain rules.  </w:t>
            </w:r>
          </w:p>
        </w:tc>
        <w:tc>
          <w:tcPr>
            <w:tcW w:w="2527" w:type="pct"/>
            <w:vAlign w:val="center"/>
          </w:tcPr>
          <w:p w14:paraId="73052618" w14:textId="50F46A59" w:rsidR="00C223ED" w:rsidRPr="004F1F57" w:rsidRDefault="00C223ED" w:rsidP="00996C6D">
            <w:pPr>
              <w:spacing w:before="60" w:after="60"/>
              <w:rPr>
                <w:rFonts w:eastAsia="MS Mincho" w:cs="Times New Roman"/>
                <w:color w:val="000000" w:themeColor="text1"/>
                <w:szCs w:val="20"/>
                <w:lang w:val="en-US" w:eastAsia="en-AU"/>
              </w:rPr>
            </w:pPr>
            <w:r w:rsidRPr="004F1F57">
              <w:rPr>
                <w:rFonts w:eastAsia="MS Mincho" w:cs="Times New Roman"/>
                <w:color w:val="000000" w:themeColor="text1"/>
                <w:szCs w:val="20"/>
                <w:lang w:val="en-US" w:eastAsia="en-AU"/>
              </w:rPr>
              <w:t xml:space="preserve">In </w:t>
            </w:r>
            <w:r w:rsidR="007248F8" w:rsidRPr="007248F8">
              <w:rPr>
                <w:rFonts w:eastAsia="MS Mincho" w:cs="Times New Roman"/>
                <w:color w:val="000000" w:themeColor="text1"/>
                <w:szCs w:val="20"/>
                <w:lang w:val="en-US" w:eastAsia="en-AU"/>
              </w:rPr>
              <w:t>response to feedback received during the information sessions, the Department committed to:</w:t>
            </w:r>
            <w:r w:rsidRPr="004F1F57">
              <w:rPr>
                <w:rFonts w:eastAsia="MS Mincho" w:cs="Times New Roman"/>
                <w:color w:val="000000" w:themeColor="text1"/>
                <w:szCs w:val="20"/>
                <w:lang w:val="en-US" w:eastAsia="en-AU"/>
              </w:rPr>
              <w:t xml:space="preserve"> </w:t>
            </w:r>
          </w:p>
          <w:p w14:paraId="2793577D" w14:textId="214E0A82" w:rsidR="00C223ED" w:rsidRPr="004F1F57" w:rsidRDefault="00C223ED" w:rsidP="00996C6D">
            <w:pPr>
              <w:numPr>
                <w:ilvl w:val="0"/>
                <w:numId w:val="16"/>
              </w:numPr>
              <w:spacing w:before="60" w:after="60"/>
              <w:ind w:left="284" w:hanging="284"/>
              <w:rPr>
                <w:rFonts w:eastAsia="Calibri" w:cs="Times New Roman"/>
                <w:lang w:eastAsia="en-AU"/>
              </w:rPr>
            </w:pPr>
            <w:r w:rsidRPr="7EBB1CEE">
              <w:rPr>
                <w:rFonts w:eastAsia="Calibri" w:cs="Times New Roman"/>
                <w:lang w:eastAsia="en-AU"/>
              </w:rPr>
              <w:t xml:space="preserve">The </w:t>
            </w:r>
            <w:r w:rsidR="007248F8" w:rsidRPr="007248F8">
              <w:rPr>
                <w:rFonts w:eastAsia="Calibri" w:cs="Times New Roman"/>
                <w:lang w:eastAsia="en-AU"/>
              </w:rPr>
              <w:t>development of guidance materials, which would highlight aspects of risk management that should be prioritised by responsible entities and assist industry in interpreting and implementing the rules to achieve an uplift in security and resilience.</w:t>
            </w:r>
          </w:p>
        </w:tc>
      </w:tr>
    </w:tbl>
    <w:p w14:paraId="2D137917" w14:textId="77777777" w:rsidR="00743FDA" w:rsidRDefault="00743FDA" w:rsidP="002A50B9">
      <w:pPr>
        <w:pStyle w:val="BodyText"/>
        <w:rPr>
          <w:lang w:eastAsia="en-AU"/>
        </w:rPr>
      </w:pPr>
    </w:p>
    <w:p w14:paraId="659C5BB5" w14:textId="1ED8FCDF" w:rsidR="00743FDA" w:rsidRDefault="00DA35F6" w:rsidP="00180D15">
      <w:pPr>
        <w:pStyle w:val="AppendixH2"/>
      </w:pPr>
      <w:r>
        <w:t>Consultation on costs</w:t>
      </w:r>
    </w:p>
    <w:p w14:paraId="446A704D" w14:textId="5986DF28" w:rsidR="00DA35F6" w:rsidRDefault="00A643C5" w:rsidP="002A50B9">
      <w:pPr>
        <w:pStyle w:val="BodyText"/>
        <w:rPr>
          <w:lang w:eastAsia="en-AU"/>
        </w:rPr>
      </w:pPr>
      <w:r>
        <w:rPr>
          <w:lang w:eastAsia="en-AU"/>
        </w:rPr>
        <w:t>S</w:t>
      </w:r>
      <w:r w:rsidR="007C3A5F">
        <w:rPr>
          <w:lang w:eastAsia="en-AU"/>
        </w:rPr>
        <w:t>pecific session</w:t>
      </w:r>
      <w:r>
        <w:rPr>
          <w:lang w:eastAsia="en-AU"/>
        </w:rPr>
        <w:t>s</w:t>
      </w:r>
      <w:r w:rsidR="007C3A5F">
        <w:rPr>
          <w:lang w:eastAsia="en-AU"/>
        </w:rPr>
        <w:t xml:space="preserve"> w</w:t>
      </w:r>
      <w:r>
        <w:rPr>
          <w:lang w:eastAsia="en-AU"/>
        </w:rPr>
        <w:t>ere</w:t>
      </w:r>
      <w:r w:rsidR="007C3A5F">
        <w:rPr>
          <w:lang w:eastAsia="en-AU"/>
        </w:rPr>
        <w:t xml:space="preserve"> held with</w:t>
      </w:r>
      <w:r w:rsidR="00793214" w:rsidRPr="00793214">
        <w:rPr>
          <w:lang w:eastAsia="en-AU"/>
        </w:rPr>
        <w:t xml:space="preserve"> the </w:t>
      </w:r>
      <w:r w:rsidR="007C3A5F">
        <w:rPr>
          <w:lang w:eastAsia="en-AU"/>
        </w:rPr>
        <w:t xml:space="preserve">food &amp; grocery sector </w:t>
      </w:r>
      <w:r>
        <w:rPr>
          <w:lang w:eastAsia="en-AU"/>
        </w:rPr>
        <w:t xml:space="preserve">(on 12 and 13 October 2022) </w:t>
      </w:r>
      <w:r w:rsidR="007C3A5F">
        <w:rPr>
          <w:lang w:eastAsia="en-AU"/>
        </w:rPr>
        <w:t xml:space="preserve">where </w:t>
      </w:r>
      <w:r w:rsidR="006C1560">
        <w:rPr>
          <w:lang w:eastAsia="en-AU"/>
        </w:rPr>
        <w:t>parti</w:t>
      </w:r>
      <w:r w:rsidR="00D80F0F">
        <w:rPr>
          <w:lang w:eastAsia="en-AU"/>
        </w:rPr>
        <w:t>ci</w:t>
      </w:r>
      <w:r w:rsidR="006C1560">
        <w:rPr>
          <w:lang w:eastAsia="en-AU"/>
        </w:rPr>
        <w:t>pants were provided with an overview of the Rules and</w:t>
      </w:r>
      <w:r w:rsidR="00793214" w:rsidRPr="00793214">
        <w:rPr>
          <w:lang w:eastAsia="en-AU"/>
        </w:rPr>
        <w:t xml:space="preserve"> attendees were invited to participate in cost impact data collection through the completion of a cost impact template. This template was designed to collect substantive costing data to supplement the anecdotal costing discussions which had occurred throughout the workshop series. Industry</w:t>
      </w:r>
      <w:r w:rsidR="00D33612">
        <w:rPr>
          <w:lang w:eastAsia="en-AU"/>
        </w:rPr>
        <w:t xml:space="preserve"> attendees</w:t>
      </w:r>
      <w:r w:rsidR="00793214" w:rsidRPr="00793214">
        <w:rPr>
          <w:lang w:eastAsia="en-AU"/>
        </w:rPr>
        <w:t xml:space="preserve"> were asked to provide</w:t>
      </w:r>
      <w:r w:rsidR="00D33612">
        <w:rPr>
          <w:lang w:eastAsia="en-AU"/>
        </w:rPr>
        <w:t>:</w:t>
      </w:r>
    </w:p>
    <w:p w14:paraId="22455319" w14:textId="77777777" w:rsidR="00707B51" w:rsidRDefault="00707B51" w:rsidP="00180D15">
      <w:pPr>
        <w:pStyle w:val="Bullet1stlevel"/>
        <w:rPr>
          <w:lang w:eastAsia="en-AU"/>
        </w:rPr>
      </w:pPr>
      <w:r>
        <w:rPr>
          <w:lang w:eastAsia="en-AU"/>
        </w:rPr>
        <w:t xml:space="preserve">Their demographic information;  </w:t>
      </w:r>
    </w:p>
    <w:p w14:paraId="69969CC0" w14:textId="77777777" w:rsidR="00707B51" w:rsidRDefault="00707B51" w:rsidP="00180D15">
      <w:pPr>
        <w:pStyle w:val="Bullet1stlevel"/>
        <w:rPr>
          <w:lang w:eastAsia="en-AU"/>
        </w:rPr>
      </w:pPr>
      <w:r>
        <w:rPr>
          <w:lang w:eastAsia="en-AU"/>
        </w:rPr>
        <w:t xml:space="preserve">Effort and cost estimates split by one-off and ongoing costs, staff effort, capital and other operating costs, and an estimated range between expected costs and highest possible costs; and  </w:t>
      </w:r>
    </w:p>
    <w:p w14:paraId="6C087525" w14:textId="26A14AFD" w:rsidR="00D33612" w:rsidRDefault="00707B51" w:rsidP="00180D15">
      <w:pPr>
        <w:pStyle w:val="Bullet1stlevel"/>
        <w:rPr>
          <w:lang w:eastAsia="en-AU"/>
        </w:rPr>
      </w:pPr>
      <w:r>
        <w:rPr>
          <w:lang w:eastAsia="en-AU"/>
        </w:rPr>
        <w:t xml:space="preserve">Any comments on key boundaries, assumptions and cost drivers attached to the costing estimates provided.  </w:t>
      </w:r>
    </w:p>
    <w:p w14:paraId="48CCB75A" w14:textId="309BCB1B" w:rsidR="00025753" w:rsidRPr="00A643C5" w:rsidRDefault="00025753" w:rsidP="00025753">
      <w:pPr>
        <w:pStyle w:val="BodyText"/>
        <w:rPr>
          <w:lang w:eastAsia="en-AU"/>
        </w:rPr>
      </w:pPr>
      <w:r w:rsidRPr="00A643C5">
        <w:rPr>
          <w:lang w:eastAsia="en-AU"/>
        </w:rPr>
        <w:t>Industry was provided with the template on 1</w:t>
      </w:r>
      <w:r w:rsidR="008F192D" w:rsidRPr="00A643C5">
        <w:rPr>
          <w:lang w:eastAsia="en-AU"/>
        </w:rPr>
        <w:t>3</w:t>
      </w:r>
      <w:r w:rsidRPr="00A643C5">
        <w:rPr>
          <w:lang w:eastAsia="en-AU"/>
        </w:rPr>
        <w:t xml:space="preserve"> </w:t>
      </w:r>
      <w:r w:rsidR="008F192D" w:rsidRPr="00A643C5">
        <w:rPr>
          <w:lang w:eastAsia="en-AU"/>
        </w:rPr>
        <w:t>October</w:t>
      </w:r>
      <w:r w:rsidRPr="00A643C5">
        <w:rPr>
          <w:lang w:eastAsia="en-AU"/>
        </w:rPr>
        <w:t xml:space="preserve"> 202</w:t>
      </w:r>
      <w:r w:rsidR="008F192D" w:rsidRPr="00A643C5">
        <w:rPr>
          <w:lang w:eastAsia="en-AU"/>
        </w:rPr>
        <w:t>2</w:t>
      </w:r>
      <w:r w:rsidRPr="00A643C5">
        <w:rPr>
          <w:lang w:eastAsia="en-AU"/>
        </w:rPr>
        <w:t>, with submissions open for a period of four weeks and closing on 1</w:t>
      </w:r>
      <w:r w:rsidR="004A5D5A">
        <w:rPr>
          <w:lang w:eastAsia="en-AU"/>
        </w:rPr>
        <w:t>0</w:t>
      </w:r>
      <w:r w:rsidRPr="00A643C5">
        <w:rPr>
          <w:lang w:eastAsia="en-AU"/>
        </w:rPr>
        <w:t xml:space="preserve"> </w:t>
      </w:r>
      <w:r w:rsidR="008F192D" w:rsidRPr="00A643C5">
        <w:rPr>
          <w:lang w:eastAsia="en-AU"/>
        </w:rPr>
        <w:t>November</w:t>
      </w:r>
      <w:r w:rsidRPr="00A643C5">
        <w:rPr>
          <w:lang w:eastAsia="en-AU"/>
        </w:rPr>
        <w:t xml:space="preserve"> 202</w:t>
      </w:r>
      <w:r w:rsidR="008F192D" w:rsidRPr="00A643C5">
        <w:rPr>
          <w:lang w:eastAsia="en-AU"/>
        </w:rPr>
        <w:t>2</w:t>
      </w:r>
      <w:r w:rsidRPr="00A643C5">
        <w:rPr>
          <w:lang w:eastAsia="en-AU"/>
        </w:rPr>
        <w:t xml:space="preserve">. </w:t>
      </w:r>
    </w:p>
    <w:p w14:paraId="34C2F78F" w14:textId="6521AC30" w:rsidR="00707B51" w:rsidRDefault="00025753" w:rsidP="00025753">
      <w:pPr>
        <w:pStyle w:val="BodyText"/>
        <w:rPr>
          <w:lang w:eastAsia="en-AU"/>
        </w:rPr>
      </w:pPr>
      <w:r w:rsidRPr="00A643C5">
        <w:rPr>
          <w:lang w:eastAsia="en-AU"/>
        </w:rPr>
        <w:t>The absence of entities within the sector that meet the definition of a small business indicated that consultation with the Australian Small Business and Family Enterprise Ombudsman was not required to identify expected costs to small businesses in preparing this RIS.</w:t>
      </w:r>
      <w:r w:rsidR="00B24828" w:rsidRPr="00A643C5">
        <w:rPr>
          <w:rStyle w:val="FootnoteReference"/>
          <w:lang w:eastAsia="en-AU"/>
        </w:rPr>
        <w:footnoteReference w:id="321"/>
      </w:r>
    </w:p>
    <w:p w14:paraId="21AA7A75" w14:textId="77777777" w:rsidR="005A1FFB" w:rsidRDefault="005A1FFB" w:rsidP="002A50B9">
      <w:pPr>
        <w:pStyle w:val="BodyText"/>
        <w:rPr>
          <w:lang w:eastAsia="en-AU"/>
        </w:rPr>
      </w:pPr>
    </w:p>
    <w:p w14:paraId="5889DDE8" w14:textId="77777777" w:rsidR="005A1FFB" w:rsidRPr="00A643C5" w:rsidRDefault="005A1FFB" w:rsidP="00CB4E10">
      <w:pPr>
        <w:pStyle w:val="BodyText"/>
        <w:rPr>
          <w:lang w:eastAsia="en-AU"/>
        </w:rPr>
      </w:pPr>
    </w:p>
    <w:p w14:paraId="7364D1DB" w14:textId="333E5B69" w:rsidR="0044774C" w:rsidRPr="00397217" w:rsidRDefault="0044774C" w:rsidP="00104C26">
      <w:pPr>
        <w:pStyle w:val="AppendixH1"/>
        <w:rPr>
          <w:szCs w:val="32"/>
        </w:rPr>
      </w:pPr>
      <w:bookmarkStart w:id="619" w:name="_Toc121397425"/>
      <w:r w:rsidRPr="006C669A">
        <w:lastRenderedPageBreak/>
        <w:t xml:space="preserve">Detailed costing information for critical </w:t>
      </w:r>
      <w:r w:rsidR="00C110D2" w:rsidRPr="006241F4">
        <w:t>electricity</w:t>
      </w:r>
      <w:r w:rsidRPr="0020598D">
        <w:t xml:space="preserve"> assets</w:t>
      </w:r>
      <w:bookmarkEnd w:id="619"/>
    </w:p>
    <w:p w14:paraId="7DD3C43A" w14:textId="77777777" w:rsidR="0044774C" w:rsidRPr="00C57E68" w:rsidRDefault="0044774C" w:rsidP="00C678B5">
      <w:pPr>
        <w:pStyle w:val="AppendixH2"/>
        <w:rPr>
          <w:sz w:val="25"/>
          <w:szCs w:val="25"/>
        </w:rPr>
      </w:pPr>
      <w:r w:rsidRPr="00C57E68">
        <w:rPr>
          <w:sz w:val="25"/>
          <w:szCs w:val="25"/>
        </w:rPr>
        <w:t xml:space="preserve">Costing process completed by responsible entities for critical </w:t>
      </w:r>
      <w:r w:rsidR="00107992" w:rsidRPr="00C57E68">
        <w:rPr>
          <w:sz w:val="25"/>
          <w:szCs w:val="25"/>
        </w:rPr>
        <w:t>electricity</w:t>
      </w:r>
      <w:r w:rsidRPr="00C57E68">
        <w:rPr>
          <w:sz w:val="25"/>
          <w:szCs w:val="25"/>
        </w:rPr>
        <w:t xml:space="preserve"> assets</w:t>
      </w:r>
    </w:p>
    <w:p w14:paraId="401BE712" w14:textId="77777777" w:rsidR="0044774C" w:rsidRDefault="00B6410E" w:rsidP="00C678B5">
      <w:pPr>
        <w:pStyle w:val="BodyText"/>
      </w:pPr>
      <w:r>
        <w:t xml:space="preserve">Cost submissions </w:t>
      </w:r>
      <w:r w:rsidR="00E55972">
        <w:t xml:space="preserve">were received </w:t>
      </w:r>
      <w:r>
        <w:t xml:space="preserve">from </w:t>
      </w:r>
      <w:r w:rsidR="00C110D2">
        <w:t>27</w:t>
      </w:r>
      <w:r w:rsidR="0044774C">
        <w:t xml:space="preserve"> responsible entities for critical </w:t>
      </w:r>
      <w:r w:rsidR="00C110D2">
        <w:t>electricity</w:t>
      </w:r>
      <w:r w:rsidR="0044774C">
        <w:t xml:space="preserve"> assets. This represented approximately </w:t>
      </w:r>
      <w:r w:rsidR="00C110D2">
        <w:t>49</w:t>
      </w:r>
      <w:r w:rsidR="0044774C">
        <w:t xml:space="preserve">% of the </w:t>
      </w:r>
      <w:r w:rsidR="002E28B4">
        <w:t>market share</w:t>
      </w:r>
      <w:r w:rsidR="0044774C">
        <w:t xml:space="preserve"> within this critical infrastructure asset</w:t>
      </w:r>
      <w:r w:rsidR="00C110D2">
        <w:t xml:space="preserve"> class</w:t>
      </w:r>
      <w:r w:rsidR="0044774C">
        <w:t xml:space="preserve">. </w:t>
      </w:r>
    </w:p>
    <w:p w14:paraId="097C7D14" w14:textId="77777777" w:rsidR="00276A1C" w:rsidRPr="00276A1C" w:rsidRDefault="00276A1C" w:rsidP="00C678B5">
      <w:pPr>
        <w:pStyle w:val="BodyText"/>
        <w:rPr>
          <w:rFonts w:ascii="Arial" w:hAnsi="Arial" w:cs="Arial"/>
        </w:rPr>
      </w:pPr>
      <w:r w:rsidRPr="00495E79">
        <w:rPr>
          <w:rFonts w:ascii="Arial" w:hAnsi="Arial" w:cs="Arial"/>
        </w:rPr>
        <w:t>The market share percentage of responsible entities who made a submission was calculated using entity and electricity business type (that is, transmitter, generator or distributor) data sourced from IBISWorld. The market share of submissions was first determined at an electricity business type level by summing the business type market share percentage. The market share of submissions at each individual business type level was then used to extrapolate the total critical electricity assets market share represented by submissions.</w:t>
      </w:r>
    </w:p>
    <w:p w14:paraId="07D70C16" w14:textId="77777777" w:rsidR="00EE40B8" w:rsidRPr="00EE40B8" w:rsidRDefault="00EE40B8" w:rsidP="00C678B5">
      <w:pPr>
        <w:pStyle w:val="BodyText"/>
      </w:pPr>
      <w:r w:rsidRPr="00EE40B8">
        <w:t>To extrapolate the costs of compliance to all critical electricity assets, organisations were categorised firstly by size into ‘large’ and ‘small’ entities and then by business type (transmitter, generator or distributor)</w:t>
      </w:r>
      <w:r w:rsidRPr="00EE40B8">
        <w:rPr>
          <w:vertAlign w:val="superscript"/>
        </w:rPr>
        <w:t xml:space="preserve"> </w:t>
      </w:r>
      <w:r w:rsidRPr="00EE40B8">
        <w:rPr>
          <w:vertAlign w:val="superscript"/>
        </w:rPr>
        <w:footnoteReference w:id="322"/>
      </w:r>
      <w:r w:rsidRPr="00EE40B8">
        <w:t xml:space="preserve"> based on the following definitions:</w:t>
      </w:r>
    </w:p>
    <w:p w14:paraId="5FF754B9" w14:textId="77777777" w:rsidR="00EE40B8" w:rsidRPr="00EE40B8" w:rsidRDefault="00EE40B8" w:rsidP="00C678B5">
      <w:pPr>
        <w:pStyle w:val="Bullet1stlevel"/>
      </w:pPr>
      <w:r w:rsidRPr="00EE40B8">
        <w:t>‘Large’ entity - any entity with greater than 5% of critical electricity assets’ revenue in each business type (transmitter, generator or distributor).</w:t>
      </w:r>
    </w:p>
    <w:p w14:paraId="2E7A27E8" w14:textId="77777777" w:rsidR="00EE40B8" w:rsidRDefault="00EE40B8" w:rsidP="00C678B5">
      <w:pPr>
        <w:pStyle w:val="Bullet1stlevel"/>
      </w:pPr>
      <w:r w:rsidRPr="00EE40B8">
        <w:t>‘Small’ entity - any entity with less than 5% of critical electricity assets’ revenue in each business type (transmitter, generator or distributor).</w:t>
      </w:r>
    </w:p>
    <w:p w14:paraId="1F59BBEF" w14:textId="77777777" w:rsidR="00673AC3" w:rsidRDefault="00673AC3" w:rsidP="00C678B5">
      <w:pPr>
        <w:pStyle w:val="Caption"/>
      </w:pPr>
      <w:r w:rsidRPr="00E9705C">
        <w:t xml:space="preserve">Critical electricity </w:t>
      </w:r>
      <w:r>
        <w:t xml:space="preserve">asset </w:t>
      </w:r>
      <w:r w:rsidRPr="00E9705C">
        <w:t>cost impact submissions</w:t>
      </w:r>
      <w:r w:rsidR="00CD30B0">
        <w:t xml:space="preserve"> broken down by size and business type</w:t>
      </w:r>
    </w:p>
    <w:tbl>
      <w:tblPr>
        <w:tblStyle w:val="TableGrid3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118"/>
        <w:gridCol w:w="4459"/>
        <w:gridCol w:w="3061"/>
      </w:tblGrid>
      <w:tr w:rsidR="009054DF" w:rsidRPr="00386A14" w14:paraId="6558E910" w14:textId="77777777" w:rsidTr="00C57E68">
        <w:trPr>
          <w:trHeight w:val="588"/>
        </w:trPr>
        <w:tc>
          <w:tcPr>
            <w:tcW w:w="1099" w:type="pct"/>
            <w:shd w:val="clear" w:color="auto" w:fill="034EA2" w:themeFill="accent1"/>
            <w:hideMark/>
          </w:tcPr>
          <w:p w14:paraId="508B92B2" w14:textId="77777777" w:rsidR="009054DF" w:rsidRPr="006623AD" w:rsidRDefault="009054DF" w:rsidP="00C57E68">
            <w:pPr>
              <w:pStyle w:val="TableHeading"/>
              <w:rPr>
                <w:lang w:eastAsia="en-AU"/>
              </w:rPr>
            </w:pPr>
            <w:r w:rsidRPr="006623AD">
              <w:rPr>
                <w:lang w:val="en-GB" w:eastAsia="en-AU"/>
              </w:rPr>
              <w:t>Business type</w:t>
            </w:r>
          </w:p>
        </w:tc>
        <w:tc>
          <w:tcPr>
            <w:tcW w:w="2313" w:type="pct"/>
            <w:shd w:val="clear" w:color="auto" w:fill="034EA2" w:themeFill="accent1"/>
            <w:hideMark/>
          </w:tcPr>
          <w:p w14:paraId="15878C76" w14:textId="77777777" w:rsidR="009054DF" w:rsidRPr="006623AD" w:rsidRDefault="009054DF" w:rsidP="00C57E68">
            <w:pPr>
              <w:pStyle w:val="TableHeading"/>
              <w:rPr>
                <w:lang w:val="en-GB" w:eastAsia="en-AU"/>
              </w:rPr>
            </w:pPr>
            <w:r w:rsidRPr="006623AD">
              <w:rPr>
                <w:lang w:val="en-GB" w:eastAsia="en-AU"/>
              </w:rPr>
              <w:t>Organisation size</w:t>
            </w:r>
          </w:p>
        </w:tc>
        <w:tc>
          <w:tcPr>
            <w:tcW w:w="1588" w:type="pct"/>
            <w:shd w:val="clear" w:color="auto" w:fill="034EA2" w:themeFill="accent1"/>
            <w:hideMark/>
          </w:tcPr>
          <w:p w14:paraId="0C243D86" w14:textId="77777777" w:rsidR="009054DF" w:rsidRPr="006623AD" w:rsidRDefault="009054DF" w:rsidP="00C57E68">
            <w:pPr>
              <w:pStyle w:val="TableHeading"/>
              <w:jc w:val="center"/>
              <w:rPr>
                <w:lang w:val="en-GB" w:eastAsia="en-AU"/>
              </w:rPr>
            </w:pPr>
            <w:r w:rsidRPr="006623AD">
              <w:rPr>
                <w:lang w:val="en-GB" w:eastAsia="en-AU"/>
              </w:rPr>
              <w:t>Number of submissions</w:t>
            </w:r>
          </w:p>
        </w:tc>
      </w:tr>
      <w:tr w:rsidR="009054DF" w:rsidRPr="00386A14" w14:paraId="07D85D25" w14:textId="77777777" w:rsidTr="00C57E68">
        <w:trPr>
          <w:trHeight w:val="288"/>
        </w:trPr>
        <w:tc>
          <w:tcPr>
            <w:tcW w:w="1099" w:type="pct"/>
            <w:vMerge w:val="restart"/>
            <w:shd w:val="clear" w:color="auto" w:fill="F2F2F2" w:themeFill="background1" w:themeFillShade="F2"/>
            <w:hideMark/>
          </w:tcPr>
          <w:p w14:paraId="1EF1EB2C" w14:textId="77777777" w:rsidR="009054DF" w:rsidRPr="00386A14" w:rsidRDefault="009054DF" w:rsidP="00C57E68">
            <w:pPr>
              <w:pStyle w:val="TableBody"/>
              <w:rPr>
                <w:lang w:eastAsia="en-AU"/>
              </w:rPr>
            </w:pPr>
            <w:r w:rsidRPr="00386A14">
              <w:rPr>
                <w:lang w:eastAsia="en-AU"/>
              </w:rPr>
              <w:t>Transmitters</w:t>
            </w:r>
            <w:r w:rsidRPr="00386A14">
              <w:rPr>
                <w:vertAlign w:val="superscript"/>
                <w:lang w:eastAsia="en-AU"/>
              </w:rPr>
              <w:footnoteReference w:id="323"/>
            </w:r>
          </w:p>
        </w:tc>
        <w:tc>
          <w:tcPr>
            <w:tcW w:w="2313" w:type="pct"/>
            <w:shd w:val="clear" w:color="auto" w:fill="auto"/>
          </w:tcPr>
          <w:p w14:paraId="0D175B7C" w14:textId="6D458EFD" w:rsidR="009054DF" w:rsidRPr="00386A14" w:rsidRDefault="009054DF" w:rsidP="00C57E68">
            <w:pPr>
              <w:pStyle w:val="TableBody"/>
              <w:rPr>
                <w:lang w:eastAsia="en-AU"/>
              </w:rPr>
            </w:pPr>
            <w:r w:rsidRPr="00386A14">
              <w:rPr>
                <w:lang w:eastAsia="en-AU"/>
              </w:rPr>
              <w:t>Large</w:t>
            </w:r>
            <w:r w:rsidR="00C57E68">
              <w:rPr>
                <w:lang w:eastAsia="en-AU"/>
              </w:rPr>
              <w:t xml:space="preserve"> </w:t>
            </w:r>
            <w:r w:rsidRPr="00386A14">
              <w:rPr>
                <w:lang w:eastAsia="en-AU"/>
              </w:rPr>
              <w:t>(&gt;5% market share)</w:t>
            </w:r>
          </w:p>
        </w:tc>
        <w:tc>
          <w:tcPr>
            <w:tcW w:w="1588" w:type="pct"/>
            <w:shd w:val="clear" w:color="auto" w:fill="FFFFFF" w:themeFill="background1"/>
            <w:noWrap/>
          </w:tcPr>
          <w:p w14:paraId="541D6C80" w14:textId="77777777" w:rsidR="009054DF" w:rsidRPr="009B296E" w:rsidRDefault="009054DF" w:rsidP="00C57E68">
            <w:pPr>
              <w:pStyle w:val="TableBody"/>
              <w:jc w:val="center"/>
              <w:rPr>
                <w:lang w:eastAsia="en-AU"/>
              </w:rPr>
            </w:pPr>
            <w:r w:rsidRPr="009B296E">
              <w:rPr>
                <w:lang w:eastAsia="en-AU"/>
              </w:rPr>
              <w:t>5</w:t>
            </w:r>
          </w:p>
        </w:tc>
      </w:tr>
      <w:tr w:rsidR="009054DF" w:rsidRPr="00386A14" w14:paraId="19207F74" w14:textId="77777777" w:rsidTr="00C57E68">
        <w:trPr>
          <w:trHeight w:val="314"/>
        </w:trPr>
        <w:tc>
          <w:tcPr>
            <w:tcW w:w="1099" w:type="pct"/>
            <w:vMerge/>
            <w:shd w:val="clear" w:color="auto" w:fill="F2F2F2" w:themeFill="background1" w:themeFillShade="F2"/>
            <w:hideMark/>
          </w:tcPr>
          <w:p w14:paraId="127A0479" w14:textId="77777777" w:rsidR="009054DF" w:rsidRPr="00386A14" w:rsidRDefault="009054DF" w:rsidP="00C57E68">
            <w:pPr>
              <w:pStyle w:val="BodyText0"/>
              <w:spacing w:after="0"/>
              <w:rPr>
                <w:rFonts w:asciiTheme="majorHAnsi" w:hAnsiTheme="majorHAnsi" w:cstheme="majorHAnsi"/>
                <w:b/>
                <w:bCs/>
                <w:lang w:eastAsia="en-AU"/>
              </w:rPr>
            </w:pPr>
          </w:p>
        </w:tc>
        <w:tc>
          <w:tcPr>
            <w:tcW w:w="2313" w:type="pct"/>
            <w:shd w:val="clear" w:color="auto" w:fill="auto"/>
            <w:hideMark/>
          </w:tcPr>
          <w:p w14:paraId="1E2B3C6B" w14:textId="1F3DD2A2" w:rsidR="009054DF" w:rsidRPr="00386A14" w:rsidRDefault="009054DF" w:rsidP="00C57E68">
            <w:pPr>
              <w:pStyle w:val="TableBody"/>
              <w:rPr>
                <w:lang w:eastAsia="en-AU"/>
              </w:rPr>
            </w:pPr>
            <w:r w:rsidRPr="00386A14">
              <w:rPr>
                <w:lang w:eastAsia="en-AU"/>
              </w:rPr>
              <w:t>Small</w:t>
            </w:r>
            <w:r w:rsidR="00C57E68">
              <w:rPr>
                <w:lang w:eastAsia="en-AU"/>
              </w:rPr>
              <w:t xml:space="preserve"> </w:t>
            </w:r>
            <w:r w:rsidRPr="00386A14">
              <w:rPr>
                <w:lang w:eastAsia="en-AU"/>
              </w:rPr>
              <w:t>(&lt;5% market share)</w:t>
            </w:r>
          </w:p>
        </w:tc>
        <w:tc>
          <w:tcPr>
            <w:tcW w:w="1588" w:type="pct"/>
            <w:shd w:val="clear" w:color="auto" w:fill="FFFFFF" w:themeFill="background1"/>
            <w:noWrap/>
            <w:hideMark/>
          </w:tcPr>
          <w:p w14:paraId="7BB991EF" w14:textId="77777777" w:rsidR="009054DF" w:rsidRPr="009B296E" w:rsidRDefault="009054DF" w:rsidP="00C57E68">
            <w:pPr>
              <w:pStyle w:val="TableBody"/>
              <w:jc w:val="center"/>
              <w:rPr>
                <w:lang w:eastAsia="en-AU"/>
              </w:rPr>
            </w:pPr>
            <w:r w:rsidRPr="009B296E">
              <w:rPr>
                <w:rFonts w:eastAsia="Calibri"/>
              </w:rPr>
              <w:t>n/a*</w:t>
            </w:r>
          </w:p>
        </w:tc>
      </w:tr>
      <w:tr w:rsidR="009054DF" w:rsidRPr="00386A14" w14:paraId="59986B72" w14:textId="77777777" w:rsidTr="00C57E68">
        <w:trPr>
          <w:trHeight w:val="300"/>
        </w:trPr>
        <w:tc>
          <w:tcPr>
            <w:tcW w:w="1099" w:type="pct"/>
            <w:vMerge w:val="restart"/>
            <w:shd w:val="clear" w:color="auto" w:fill="F2F2F2" w:themeFill="background1" w:themeFillShade="F2"/>
          </w:tcPr>
          <w:p w14:paraId="0EC641E9" w14:textId="77777777" w:rsidR="009054DF" w:rsidRPr="00386A14" w:rsidRDefault="009054DF" w:rsidP="00C57E68">
            <w:pPr>
              <w:pStyle w:val="TableBody"/>
              <w:rPr>
                <w:lang w:eastAsia="en-AU"/>
              </w:rPr>
            </w:pPr>
            <w:r w:rsidRPr="00386A14">
              <w:rPr>
                <w:lang w:eastAsia="en-AU"/>
              </w:rPr>
              <w:t>Distributors</w:t>
            </w:r>
            <w:r w:rsidRPr="00386A14">
              <w:rPr>
                <w:vertAlign w:val="superscript"/>
                <w:lang w:eastAsia="en-AU"/>
              </w:rPr>
              <w:footnoteReference w:id="324"/>
            </w:r>
          </w:p>
        </w:tc>
        <w:tc>
          <w:tcPr>
            <w:tcW w:w="2313" w:type="pct"/>
            <w:shd w:val="clear" w:color="auto" w:fill="auto"/>
          </w:tcPr>
          <w:p w14:paraId="0540F160" w14:textId="52290ECB" w:rsidR="009054DF" w:rsidRPr="00386A14" w:rsidRDefault="009054DF" w:rsidP="00C57E68">
            <w:pPr>
              <w:pStyle w:val="TableBody"/>
              <w:rPr>
                <w:lang w:eastAsia="en-AU"/>
              </w:rPr>
            </w:pPr>
            <w:r w:rsidRPr="00386A14">
              <w:rPr>
                <w:lang w:eastAsia="en-AU"/>
              </w:rPr>
              <w:t>Large</w:t>
            </w:r>
            <w:r w:rsidR="00C57E68">
              <w:rPr>
                <w:lang w:eastAsia="en-AU"/>
              </w:rPr>
              <w:t xml:space="preserve"> </w:t>
            </w:r>
            <w:r w:rsidRPr="00386A14">
              <w:rPr>
                <w:lang w:eastAsia="en-AU"/>
              </w:rPr>
              <w:t>(&gt;5% market share)</w:t>
            </w:r>
          </w:p>
        </w:tc>
        <w:tc>
          <w:tcPr>
            <w:tcW w:w="1588" w:type="pct"/>
            <w:shd w:val="clear" w:color="auto" w:fill="FFFFFF" w:themeFill="background1"/>
            <w:noWrap/>
          </w:tcPr>
          <w:p w14:paraId="27789FD5" w14:textId="77777777" w:rsidR="009054DF" w:rsidRPr="009B296E" w:rsidRDefault="009054DF" w:rsidP="00C57E68">
            <w:pPr>
              <w:pStyle w:val="TableBody"/>
              <w:jc w:val="center"/>
              <w:rPr>
                <w:lang w:eastAsia="en-AU"/>
              </w:rPr>
            </w:pPr>
            <w:r w:rsidRPr="009B296E">
              <w:rPr>
                <w:lang w:eastAsia="en-AU"/>
              </w:rPr>
              <w:t>3</w:t>
            </w:r>
          </w:p>
        </w:tc>
      </w:tr>
      <w:tr w:rsidR="009054DF" w:rsidRPr="00386A14" w14:paraId="0846D4C7" w14:textId="77777777" w:rsidTr="00C57E68">
        <w:trPr>
          <w:trHeight w:val="58"/>
        </w:trPr>
        <w:tc>
          <w:tcPr>
            <w:tcW w:w="1099" w:type="pct"/>
            <w:vMerge/>
            <w:shd w:val="clear" w:color="auto" w:fill="F2F2F2" w:themeFill="background1" w:themeFillShade="F2"/>
          </w:tcPr>
          <w:p w14:paraId="475ECFAD" w14:textId="77777777" w:rsidR="009054DF" w:rsidRPr="00386A14" w:rsidRDefault="009054DF" w:rsidP="00C57E68">
            <w:pPr>
              <w:pStyle w:val="BodyText0"/>
              <w:spacing w:after="0"/>
              <w:rPr>
                <w:rFonts w:asciiTheme="majorHAnsi" w:hAnsiTheme="majorHAnsi" w:cstheme="majorHAnsi"/>
                <w:b/>
                <w:bCs/>
                <w:lang w:eastAsia="en-AU"/>
              </w:rPr>
            </w:pPr>
          </w:p>
        </w:tc>
        <w:tc>
          <w:tcPr>
            <w:tcW w:w="2313" w:type="pct"/>
            <w:shd w:val="clear" w:color="auto" w:fill="auto"/>
          </w:tcPr>
          <w:p w14:paraId="344356D5" w14:textId="2B4C286A" w:rsidR="009054DF" w:rsidRPr="00386A14" w:rsidDel="005A229B" w:rsidRDefault="009054DF" w:rsidP="00C57E68">
            <w:pPr>
              <w:pStyle w:val="TableBody"/>
              <w:rPr>
                <w:lang w:eastAsia="en-AU"/>
              </w:rPr>
            </w:pPr>
            <w:r w:rsidRPr="00386A14">
              <w:rPr>
                <w:lang w:eastAsia="en-AU"/>
              </w:rPr>
              <w:t>Small</w:t>
            </w:r>
            <w:r w:rsidR="00C57E68">
              <w:rPr>
                <w:lang w:eastAsia="en-AU"/>
              </w:rPr>
              <w:t xml:space="preserve"> </w:t>
            </w:r>
            <w:r w:rsidRPr="00386A14">
              <w:rPr>
                <w:lang w:eastAsia="en-AU"/>
              </w:rPr>
              <w:t>(&lt;5% market share)</w:t>
            </w:r>
          </w:p>
        </w:tc>
        <w:tc>
          <w:tcPr>
            <w:tcW w:w="1588" w:type="pct"/>
            <w:shd w:val="clear" w:color="auto" w:fill="FFFFFF" w:themeFill="background1"/>
          </w:tcPr>
          <w:p w14:paraId="1666FEBA" w14:textId="77777777" w:rsidR="009054DF" w:rsidRPr="009B296E" w:rsidRDefault="009054DF" w:rsidP="00C57E68">
            <w:pPr>
              <w:pStyle w:val="TableBody"/>
              <w:jc w:val="center"/>
              <w:rPr>
                <w:lang w:eastAsia="en-AU"/>
              </w:rPr>
            </w:pPr>
            <w:r w:rsidRPr="009B296E">
              <w:rPr>
                <w:lang w:eastAsia="en-AU"/>
              </w:rPr>
              <w:t>4</w:t>
            </w:r>
          </w:p>
        </w:tc>
      </w:tr>
      <w:tr w:rsidR="009054DF" w:rsidRPr="00386A14" w14:paraId="01BACF73" w14:textId="77777777" w:rsidTr="00C57E68">
        <w:trPr>
          <w:trHeight w:val="274"/>
        </w:trPr>
        <w:tc>
          <w:tcPr>
            <w:tcW w:w="1099" w:type="pct"/>
            <w:vMerge w:val="restart"/>
            <w:shd w:val="clear" w:color="auto" w:fill="F2F2F2" w:themeFill="background1" w:themeFillShade="F2"/>
          </w:tcPr>
          <w:p w14:paraId="205D9A68" w14:textId="77777777" w:rsidR="009054DF" w:rsidRPr="00386A14" w:rsidRDefault="009054DF" w:rsidP="00C57E68">
            <w:pPr>
              <w:pStyle w:val="TableBody"/>
              <w:rPr>
                <w:lang w:eastAsia="en-AU"/>
              </w:rPr>
            </w:pPr>
            <w:r w:rsidRPr="00386A14">
              <w:rPr>
                <w:lang w:eastAsia="en-AU"/>
              </w:rPr>
              <w:t>Generators</w:t>
            </w:r>
            <w:r w:rsidRPr="00386A14">
              <w:rPr>
                <w:vertAlign w:val="superscript"/>
                <w:lang w:eastAsia="en-AU"/>
              </w:rPr>
              <w:footnoteReference w:id="325"/>
            </w:r>
          </w:p>
        </w:tc>
        <w:tc>
          <w:tcPr>
            <w:tcW w:w="2313" w:type="pct"/>
            <w:shd w:val="clear" w:color="auto" w:fill="auto"/>
          </w:tcPr>
          <w:p w14:paraId="1206FD48" w14:textId="4564A2EE" w:rsidR="009054DF" w:rsidRPr="00386A14" w:rsidRDefault="009054DF" w:rsidP="00C57E68">
            <w:pPr>
              <w:pStyle w:val="TableBody"/>
              <w:rPr>
                <w:lang w:eastAsia="en-AU"/>
              </w:rPr>
            </w:pPr>
            <w:r w:rsidRPr="00386A14">
              <w:rPr>
                <w:lang w:eastAsia="en-AU"/>
              </w:rPr>
              <w:t>Large</w:t>
            </w:r>
            <w:r w:rsidR="00C57E68">
              <w:rPr>
                <w:lang w:eastAsia="en-AU"/>
              </w:rPr>
              <w:t xml:space="preserve"> </w:t>
            </w:r>
            <w:r w:rsidRPr="00386A14">
              <w:rPr>
                <w:lang w:eastAsia="en-AU"/>
              </w:rPr>
              <w:t>(&gt;5% market share)</w:t>
            </w:r>
          </w:p>
        </w:tc>
        <w:tc>
          <w:tcPr>
            <w:tcW w:w="1588" w:type="pct"/>
            <w:shd w:val="clear" w:color="auto" w:fill="FFFFFF" w:themeFill="background1"/>
            <w:noWrap/>
          </w:tcPr>
          <w:p w14:paraId="312F6177" w14:textId="77777777" w:rsidR="009054DF" w:rsidRPr="009B296E" w:rsidRDefault="009054DF" w:rsidP="00C57E68">
            <w:pPr>
              <w:pStyle w:val="TableBody"/>
              <w:jc w:val="center"/>
              <w:rPr>
                <w:lang w:eastAsia="en-AU"/>
              </w:rPr>
            </w:pPr>
            <w:r w:rsidRPr="009B296E">
              <w:rPr>
                <w:rFonts w:eastAsia="Calibri"/>
              </w:rPr>
              <w:t>3</w:t>
            </w:r>
          </w:p>
        </w:tc>
      </w:tr>
      <w:tr w:rsidR="009054DF" w:rsidRPr="00386A14" w14:paraId="78DADFD7" w14:textId="77777777" w:rsidTr="00C57E68">
        <w:trPr>
          <w:trHeight w:val="300"/>
        </w:trPr>
        <w:tc>
          <w:tcPr>
            <w:tcW w:w="1099" w:type="pct"/>
            <w:vMerge/>
            <w:shd w:val="clear" w:color="auto" w:fill="F2F2F2" w:themeFill="background1" w:themeFillShade="F2"/>
          </w:tcPr>
          <w:p w14:paraId="76B5319C" w14:textId="77777777" w:rsidR="009054DF" w:rsidRPr="00386A14" w:rsidRDefault="009054DF" w:rsidP="00C57E68">
            <w:pPr>
              <w:pStyle w:val="BodyText0"/>
              <w:spacing w:after="0"/>
              <w:rPr>
                <w:rFonts w:asciiTheme="majorHAnsi" w:hAnsiTheme="majorHAnsi" w:cstheme="majorHAnsi"/>
                <w:bCs/>
                <w:color w:val="005EB8"/>
                <w:lang w:eastAsia="en-AU"/>
              </w:rPr>
            </w:pPr>
          </w:p>
        </w:tc>
        <w:tc>
          <w:tcPr>
            <w:tcW w:w="2313" w:type="pct"/>
            <w:shd w:val="clear" w:color="auto" w:fill="auto"/>
          </w:tcPr>
          <w:p w14:paraId="6638517F" w14:textId="56C7CC4E" w:rsidR="009054DF" w:rsidRPr="00386A14" w:rsidRDefault="009054DF" w:rsidP="00C57E68">
            <w:pPr>
              <w:pStyle w:val="TableBody"/>
              <w:rPr>
                <w:lang w:eastAsia="en-AU"/>
              </w:rPr>
            </w:pPr>
            <w:r w:rsidRPr="00386A14">
              <w:rPr>
                <w:lang w:eastAsia="en-AU"/>
              </w:rPr>
              <w:t>Small</w:t>
            </w:r>
            <w:r w:rsidR="00C57E68">
              <w:rPr>
                <w:lang w:eastAsia="en-AU"/>
              </w:rPr>
              <w:t xml:space="preserve"> </w:t>
            </w:r>
            <w:r w:rsidRPr="00386A14">
              <w:rPr>
                <w:lang w:eastAsia="en-AU"/>
              </w:rPr>
              <w:t>(&lt;5% market share)</w:t>
            </w:r>
          </w:p>
        </w:tc>
        <w:tc>
          <w:tcPr>
            <w:tcW w:w="1588" w:type="pct"/>
            <w:shd w:val="clear" w:color="auto" w:fill="FFFFFF" w:themeFill="background1"/>
            <w:noWrap/>
          </w:tcPr>
          <w:p w14:paraId="199B60BD" w14:textId="77777777" w:rsidR="009054DF" w:rsidRPr="009B296E" w:rsidRDefault="009054DF" w:rsidP="00C57E68">
            <w:pPr>
              <w:pStyle w:val="TableBody"/>
              <w:jc w:val="center"/>
              <w:rPr>
                <w:lang w:eastAsia="en-AU"/>
              </w:rPr>
            </w:pPr>
            <w:r w:rsidRPr="009B296E">
              <w:rPr>
                <w:rFonts w:eastAsia="Calibri"/>
              </w:rPr>
              <w:t>12</w:t>
            </w:r>
          </w:p>
        </w:tc>
      </w:tr>
      <w:tr w:rsidR="009054DF" w:rsidRPr="00386A14" w14:paraId="2B4B4EEE" w14:textId="77777777" w:rsidTr="00C57E68">
        <w:trPr>
          <w:trHeight w:val="300"/>
        </w:trPr>
        <w:tc>
          <w:tcPr>
            <w:tcW w:w="1099" w:type="pct"/>
            <w:shd w:val="clear" w:color="auto" w:fill="034EA2" w:themeFill="accent1"/>
          </w:tcPr>
          <w:p w14:paraId="7FCA293F" w14:textId="77777777" w:rsidR="009054DF" w:rsidRPr="00386A14" w:rsidRDefault="009054DF" w:rsidP="00C57E68">
            <w:pPr>
              <w:pStyle w:val="TableHeading"/>
              <w:keepNext w:val="0"/>
              <w:rPr>
                <w:lang w:eastAsia="en-AU"/>
              </w:rPr>
            </w:pPr>
            <w:r w:rsidRPr="00386A14">
              <w:rPr>
                <w:lang w:eastAsia="en-AU"/>
              </w:rPr>
              <w:t>Total</w:t>
            </w:r>
          </w:p>
        </w:tc>
        <w:tc>
          <w:tcPr>
            <w:tcW w:w="2313" w:type="pct"/>
            <w:shd w:val="clear" w:color="auto" w:fill="034EA2" w:themeFill="accent1"/>
          </w:tcPr>
          <w:p w14:paraId="099D56B1" w14:textId="77777777" w:rsidR="009054DF" w:rsidRPr="00386A14" w:rsidRDefault="009054DF" w:rsidP="00C57E68">
            <w:pPr>
              <w:pStyle w:val="TableHeading"/>
              <w:keepNext w:val="0"/>
              <w:rPr>
                <w:lang w:val="en-GB" w:eastAsia="en-AU"/>
              </w:rPr>
            </w:pPr>
          </w:p>
        </w:tc>
        <w:tc>
          <w:tcPr>
            <w:tcW w:w="1588" w:type="pct"/>
            <w:shd w:val="clear" w:color="auto" w:fill="034EA2" w:themeFill="accent1"/>
            <w:noWrap/>
          </w:tcPr>
          <w:p w14:paraId="74138111" w14:textId="77777777" w:rsidR="009054DF" w:rsidRPr="009B296E" w:rsidDel="009579FA" w:rsidRDefault="009054DF" w:rsidP="00C57E68">
            <w:pPr>
              <w:pStyle w:val="TableHeading"/>
              <w:keepNext w:val="0"/>
              <w:jc w:val="center"/>
              <w:rPr>
                <w:rFonts w:eastAsia="Calibri"/>
              </w:rPr>
            </w:pPr>
            <w:r w:rsidRPr="00AA731E">
              <w:rPr>
                <w:rFonts w:eastAsia="Calibri"/>
              </w:rPr>
              <w:t>27</w:t>
            </w:r>
          </w:p>
        </w:tc>
      </w:tr>
    </w:tbl>
    <w:p w14:paraId="031FCDB7" w14:textId="77777777" w:rsidR="0005232B" w:rsidRPr="0005232B" w:rsidRDefault="0005232B" w:rsidP="00C678B5">
      <w:pPr>
        <w:pStyle w:val="Note"/>
      </w:pPr>
      <w:r w:rsidRPr="0005232B">
        <w:rPr>
          <w:b/>
        </w:rPr>
        <w:t>*Note:</w:t>
      </w:r>
      <w:r w:rsidRPr="0005232B">
        <w:t xml:space="preserve"> No cost submissions were received from transmitters with &lt;5% market share. </w:t>
      </w:r>
    </w:p>
    <w:p w14:paraId="503F4EB3" w14:textId="77777777" w:rsidR="0069237B" w:rsidRDefault="0069237B" w:rsidP="004B3400">
      <w:pPr>
        <w:pStyle w:val="AppendixH2"/>
      </w:pPr>
      <w:r>
        <w:t>Likely net benefit – option 2</w:t>
      </w:r>
    </w:p>
    <w:p w14:paraId="27BB1C0B" w14:textId="77777777" w:rsidR="0069237B" w:rsidRPr="0069237B" w:rsidRDefault="0069237B" w:rsidP="0069237B">
      <w:pPr>
        <w:pStyle w:val="BodyText"/>
        <w:rPr>
          <w:rFonts w:eastAsia="Calibri"/>
        </w:rPr>
      </w:pPr>
      <w:r w:rsidRPr="00E9705C">
        <w:t xml:space="preserve">The following section details the costs and benefits associated with option 2 (the regulatory option), before assessing the overall likely net benefit presented by this option. </w:t>
      </w:r>
    </w:p>
    <w:p w14:paraId="502FA4DE" w14:textId="77777777" w:rsidR="0044774C" w:rsidRDefault="009027AC" w:rsidP="004B3400">
      <w:pPr>
        <w:pStyle w:val="AppendixH3"/>
      </w:pPr>
      <w:r>
        <w:lastRenderedPageBreak/>
        <w:t>Costs of option 2</w:t>
      </w:r>
    </w:p>
    <w:p w14:paraId="4ED4AE71" w14:textId="77777777" w:rsidR="00BD2DD3" w:rsidRPr="00E9705C" w:rsidRDefault="00BD2DD3" w:rsidP="004B3400">
      <w:pPr>
        <w:pStyle w:val="BodyText"/>
      </w:pPr>
      <w:r w:rsidRPr="00E9705C">
        <w:t>There are multiple factors affecting the regulatory burden for each entity, including their existing risk management practices and capabilities, the nature of the critical electricity assets they operate and the size of their operations. In collecting cost information from entities across critical electricity assets, this variance in cost impact has been captured and reflected in the estimates of total cost across critical electricity assets included in this RIS.</w:t>
      </w:r>
    </w:p>
    <w:p w14:paraId="5034FE11" w14:textId="77777777" w:rsidR="00E31954" w:rsidRPr="00E31954" w:rsidRDefault="00E31954" w:rsidP="004B3400">
      <w:pPr>
        <w:pStyle w:val="BodyText"/>
      </w:pPr>
      <w:r w:rsidRPr="00E31954">
        <w:t xml:space="preserve">When estimating the cost of compliance with option 2, critical </w:t>
      </w:r>
      <w:r>
        <w:t>electricity</w:t>
      </w:r>
      <w:r w:rsidRPr="00E31954">
        <w:t xml:space="preserve"> asset entities provided both an expected and a high</w:t>
      </w:r>
      <w:r w:rsidR="00CC0B81" w:rsidRPr="00E31954">
        <w:t>-</w:t>
      </w:r>
      <w:r w:rsidRPr="00E31954">
        <w:t>cost estimate. The high</w:t>
      </w:r>
      <w:r w:rsidR="00CC0B81" w:rsidRPr="00E31954">
        <w:t>-</w:t>
      </w:r>
      <w:r w:rsidRPr="00E31954">
        <w:t xml:space="preserve">cost estimate was provided as a way to measure the uncertainty associated with their estimates and the highest feasible cost of option 2. The expected estimate was used as the basis for determining the net benefit of option 2 in section 4. </w:t>
      </w:r>
    </w:p>
    <w:p w14:paraId="1C03A3ED" w14:textId="77777777" w:rsidR="00E31954" w:rsidRPr="00E31954" w:rsidRDefault="00E31954" w:rsidP="004B3400">
      <w:pPr>
        <w:pStyle w:val="BodyText"/>
      </w:pPr>
      <w:r w:rsidRPr="00E31954">
        <w:t xml:space="preserve">Using the expected and the high estimate as a range, the cost of compliance is as follows: </w:t>
      </w:r>
    </w:p>
    <w:p w14:paraId="52B47517" w14:textId="622208A4" w:rsidR="009478F8" w:rsidRPr="009478F8" w:rsidRDefault="00E31954" w:rsidP="004B3400">
      <w:pPr>
        <w:pStyle w:val="Bullet1stlevel"/>
      </w:pPr>
      <w:r w:rsidRPr="00E31954">
        <w:t xml:space="preserve">A one-off regulatory cost of between </w:t>
      </w:r>
      <w:r w:rsidR="009478F8" w:rsidRPr="009478F8">
        <w:t>$46</w:t>
      </w:r>
      <w:r w:rsidR="001D36AE">
        <w:t>3.3</w:t>
      </w:r>
      <w:r w:rsidR="009478F8" w:rsidRPr="009478F8">
        <w:t xml:space="preserve"> (expected) and $75</w:t>
      </w:r>
      <w:r w:rsidR="001D36AE">
        <w:t>8.2</w:t>
      </w:r>
      <w:r w:rsidR="009478F8" w:rsidRPr="009478F8">
        <w:t xml:space="preserve"> million (high estimate), across critical electricity assets nationally; and </w:t>
      </w:r>
    </w:p>
    <w:p w14:paraId="6FFCE3D2" w14:textId="2A2ACD29" w:rsidR="009478F8" w:rsidRDefault="009478F8" w:rsidP="004B3400">
      <w:pPr>
        <w:pStyle w:val="Bullet1stlevel"/>
      </w:pPr>
      <w:r w:rsidRPr="009478F8">
        <w:t>An ongoing cost of between $22</w:t>
      </w:r>
      <w:r w:rsidR="001D36AE">
        <w:t>8.0</w:t>
      </w:r>
      <w:r w:rsidRPr="009478F8">
        <w:t xml:space="preserve"> (expected) and $36</w:t>
      </w:r>
      <w:r w:rsidR="001D36AE">
        <w:t>6.4</w:t>
      </w:r>
      <w:r w:rsidRPr="009478F8">
        <w:t xml:space="preserve"> million (high estimate) per year, across critical electricity assets nationally.</w:t>
      </w:r>
      <w:r>
        <w:t xml:space="preserve"> </w:t>
      </w:r>
    </w:p>
    <w:p w14:paraId="102E7E1D" w14:textId="77777777" w:rsidR="00C1322C" w:rsidRDefault="00C1322C" w:rsidP="004B3400">
      <w:pPr>
        <w:pStyle w:val="BodyText"/>
        <w:rPr>
          <w:rFonts w:eastAsia="Times New Roman"/>
        </w:rPr>
      </w:pPr>
      <w:r w:rsidRPr="00C11852">
        <w:t>The cost of regulation will be borne by entities responsible for critical</w:t>
      </w:r>
      <w:r>
        <w:t xml:space="preserve"> electricity</w:t>
      </w:r>
      <w:r w:rsidRPr="00C11852">
        <w:t xml:space="preserve"> assets who meet the relevant thresholds. Community organisations and individuals will not be directly affected but there will likely be indirect costs passed onto consumers. For the purposes of this RIS, the cost of regulation in </w:t>
      </w:r>
      <w:r w:rsidR="009478F8">
        <w:t>the table below</w:t>
      </w:r>
      <w:r w:rsidRPr="00C11852">
        <w:t xml:space="preserve"> will only include the initial costs associated with regulation</w:t>
      </w:r>
      <w:r w:rsidR="002E28B4">
        <w:t>.</w:t>
      </w:r>
      <w:r w:rsidRPr="00827F58">
        <w:rPr>
          <w:rStyle w:val="FootnoteReference"/>
          <w:rFonts w:ascii="Arial" w:eastAsia="Calibri" w:hAnsi="Arial" w:cs="Arial"/>
        </w:rPr>
        <w:footnoteReference w:id="326"/>
      </w:r>
      <w:r w:rsidRPr="00C11852">
        <w:t xml:space="preserve"> </w:t>
      </w:r>
      <w:r w:rsidRPr="00C11852">
        <w:rPr>
          <w:rFonts w:eastAsia="Times New Roman"/>
        </w:rPr>
        <w:t xml:space="preserve">The indirect cost to consumers and communities has been addressed in the economic analysis through consideration of indirect cost to the wider </w:t>
      </w:r>
      <w:r w:rsidRPr="00D0595B">
        <w:rPr>
          <w:rFonts w:eastAsia="Times New Roman"/>
        </w:rPr>
        <w:t>economy as a result of the proposed risk management program framework.</w:t>
      </w:r>
    </w:p>
    <w:p w14:paraId="054503F5" w14:textId="4EB26CF2" w:rsidR="00C1322C" w:rsidRPr="00E9705C" w:rsidRDefault="00C1322C" w:rsidP="004B3400">
      <w:pPr>
        <w:pStyle w:val="BodyText"/>
      </w:pPr>
      <w:r w:rsidRPr="00D0595B">
        <w:t xml:space="preserve">The average cost of compliance for each entity is estimated at </w:t>
      </w:r>
      <w:r w:rsidRPr="00D0595B">
        <w:rPr>
          <w:bCs/>
        </w:rPr>
        <w:t>$</w:t>
      </w:r>
      <w:r w:rsidR="00695F5E">
        <w:rPr>
          <w:bCs/>
        </w:rPr>
        <w:t>8.1</w:t>
      </w:r>
      <w:r w:rsidRPr="00D0595B">
        <w:rPr>
          <w:bCs/>
        </w:rPr>
        <w:t xml:space="preserve"> million in one-off costs and $</w:t>
      </w:r>
      <w:r w:rsidR="00695F5E">
        <w:rPr>
          <w:bCs/>
        </w:rPr>
        <w:t>3.</w:t>
      </w:r>
      <w:r w:rsidR="005B0A65">
        <w:rPr>
          <w:bCs/>
        </w:rPr>
        <w:t>8</w:t>
      </w:r>
      <w:r w:rsidRPr="00D0595B">
        <w:rPr>
          <w:bCs/>
        </w:rPr>
        <w:t xml:space="preserve"> million per year in ongoing costs</w:t>
      </w:r>
      <w:r w:rsidRPr="00D0595B">
        <w:t>, noting that there is a wide range provided in submissions from industry. Entity costs range between $0.</w:t>
      </w:r>
      <w:r w:rsidR="008165E4">
        <w:t>8</w:t>
      </w:r>
      <w:r w:rsidRPr="00D0595B">
        <w:t xml:space="preserve"> million and $75.5 million in one-off costs and $0.</w:t>
      </w:r>
      <w:r w:rsidR="008165E4">
        <w:t>4</w:t>
      </w:r>
      <w:r w:rsidRPr="00D0595B">
        <w:t xml:space="preserve"> million and $61.5 million in on-going costs per year. There are a number of reasons for this range in cost including the size of the entity and the maturity of existing RMPs.</w:t>
      </w:r>
    </w:p>
    <w:p w14:paraId="43B5920A" w14:textId="77777777" w:rsidR="00C1322C" w:rsidRPr="00E9705C" w:rsidRDefault="00C1322C" w:rsidP="004B3400">
      <w:pPr>
        <w:pStyle w:val="Caption"/>
      </w:pPr>
      <w:bookmarkStart w:id="620" w:name="_Toc79157113"/>
      <w:r w:rsidRPr="00E9705C">
        <w:t>Regulatory cost estimate</w:t>
      </w:r>
      <w:bookmarkEnd w:id="620"/>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2127"/>
        <w:gridCol w:w="1960"/>
        <w:gridCol w:w="1696"/>
        <w:gridCol w:w="1638"/>
        <w:gridCol w:w="2217"/>
      </w:tblGrid>
      <w:tr w:rsidR="00C1322C" w:rsidRPr="004B3400" w14:paraId="4B2317D0" w14:textId="77777777" w:rsidTr="000C6AEA">
        <w:tc>
          <w:tcPr>
            <w:tcW w:w="1103" w:type="pct"/>
            <w:vMerge w:val="restart"/>
            <w:shd w:val="clear" w:color="auto" w:fill="034EA2" w:themeFill="accent1"/>
            <w:hideMark/>
          </w:tcPr>
          <w:p w14:paraId="27B060C7" w14:textId="77777777" w:rsidR="00C1322C" w:rsidRPr="004B3400" w:rsidRDefault="00C1322C" w:rsidP="000C6AEA">
            <w:pPr>
              <w:pStyle w:val="TableHeading"/>
              <w:rPr>
                <w:rFonts w:asciiTheme="minorHAnsi" w:hAnsiTheme="minorHAnsi" w:cstheme="minorHAnsi"/>
                <w:lang w:eastAsia="en-AU"/>
              </w:rPr>
            </w:pPr>
            <w:r w:rsidRPr="004B3400">
              <w:rPr>
                <w:rFonts w:asciiTheme="minorHAnsi" w:hAnsiTheme="minorHAnsi" w:cstheme="minorHAnsi"/>
                <w:lang w:eastAsia="en-AU"/>
              </w:rPr>
              <w:t>Cost Type</w:t>
            </w:r>
          </w:p>
        </w:tc>
        <w:tc>
          <w:tcPr>
            <w:tcW w:w="3897" w:type="pct"/>
            <w:gridSpan w:val="4"/>
            <w:shd w:val="clear" w:color="auto" w:fill="034EA2" w:themeFill="accent1"/>
            <w:vAlign w:val="center"/>
            <w:hideMark/>
          </w:tcPr>
          <w:p w14:paraId="347D6F49" w14:textId="77777777" w:rsidR="00C1322C" w:rsidRPr="004B3400" w:rsidRDefault="00C1322C" w:rsidP="004B3400">
            <w:pPr>
              <w:pStyle w:val="TableHeading"/>
              <w:rPr>
                <w:rFonts w:asciiTheme="minorHAnsi" w:hAnsiTheme="minorHAnsi" w:cstheme="minorHAnsi"/>
                <w:lang w:eastAsia="en-AU"/>
              </w:rPr>
            </w:pPr>
            <w:r w:rsidRPr="004B3400">
              <w:rPr>
                <w:rFonts w:asciiTheme="minorHAnsi" w:hAnsiTheme="minorHAnsi" w:cstheme="minorHAnsi"/>
                <w:lang w:eastAsia="en-AU"/>
              </w:rPr>
              <w:t>Costs ($ million)</w:t>
            </w:r>
          </w:p>
        </w:tc>
      </w:tr>
      <w:tr w:rsidR="00C1322C" w:rsidRPr="004B3400" w14:paraId="06E81ACE" w14:textId="77777777" w:rsidTr="000C6AEA">
        <w:tc>
          <w:tcPr>
            <w:tcW w:w="1103" w:type="pct"/>
            <w:vMerge/>
            <w:vAlign w:val="center"/>
            <w:hideMark/>
          </w:tcPr>
          <w:p w14:paraId="1C556DAB" w14:textId="77777777" w:rsidR="00C1322C" w:rsidRPr="004B3400" w:rsidRDefault="00C1322C" w:rsidP="00972D9C">
            <w:pPr>
              <w:keepNext/>
              <w:rPr>
                <w:rFonts w:asciiTheme="minorHAnsi" w:hAnsiTheme="minorHAnsi" w:cstheme="minorHAnsi"/>
                <w:sz w:val="22"/>
                <w:lang w:eastAsia="en-AU"/>
              </w:rPr>
            </w:pPr>
          </w:p>
        </w:tc>
        <w:tc>
          <w:tcPr>
            <w:tcW w:w="1017" w:type="pct"/>
            <w:shd w:val="clear" w:color="auto" w:fill="DEEAF6"/>
            <w:vAlign w:val="center"/>
            <w:hideMark/>
          </w:tcPr>
          <w:p w14:paraId="145CEA34" w14:textId="77777777" w:rsidR="00C1322C" w:rsidRPr="004B3400" w:rsidRDefault="00C1322C" w:rsidP="004B3400">
            <w:pPr>
              <w:pStyle w:val="TableBody"/>
              <w:rPr>
                <w:rFonts w:asciiTheme="minorHAnsi" w:hAnsiTheme="minorHAnsi" w:cstheme="minorHAnsi"/>
                <w:lang w:eastAsia="en-AU"/>
              </w:rPr>
            </w:pPr>
            <w:r w:rsidRPr="004B3400">
              <w:rPr>
                <w:rFonts w:asciiTheme="minorHAnsi" w:hAnsiTheme="minorHAnsi" w:cstheme="minorHAnsi"/>
                <w:lang w:eastAsia="en-AU"/>
              </w:rPr>
              <w:t>Business</w:t>
            </w:r>
          </w:p>
        </w:tc>
        <w:tc>
          <w:tcPr>
            <w:tcW w:w="880" w:type="pct"/>
            <w:shd w:val="clear" w:color="auto" w:fill="DEEAF6"/>
            <w:vAlign w:val="center"/>
            <w:hideMark/>
          </w:tcPr>
          <w:p w14:paraId="4B917F64" w14:textId="77777777" w:rsidR="00C1322C" w:rsidRPr="004B3400" w:rsidRDefault="00C1322C" w:rsidP="004B3400">
            <w:pPr>
              <w:pStyle w:val="TableBody"/>
              <w:rPr>
                <w:rFonts w:asciiTheme="minorHAnsi" w:hAnsiTheme="minorHAnsi" w:cstheme="minorHAnsi"/>
                <w:lang w:eastAsia="en-AU"/>
              </w:rPr>
            </w:pPr>
            <w:r w:rsidRPr="004B3400">
              <w:rPr>
                <w:rFonts w:asciiTheme="minorHAnsi" w:hAnsiTheme="minorHAnsi" w:cstheme="minorHAnsi"/>
                <w:lang w:eastAsia="en-AU"/>
              </w:rPr>
              <w:t>Community</w:t>
            </w:r>
          </w:p>
        </w:tc>
        <w:tc>
          <w:tcPr>
            <w:tcW w:w="850" w:type="pct"/>
            <w:shd w:val="clear" w:color="auto" w:fill="DEEAF6"/>
            <w:vAlign w:val="center"/>
            <w:hideMark/>
          </w:tcPr>
          <w:p w14:paraId="27D10981" w14:textId="77777777" w:rsidR="00C1322C" w:rsidRPr="004B3400" w:rsidRDefault="00C1322C" w:rsidP="004B3400">
            <w:pPr>
              <w:pStyle w:val="TableBody"/>
              <w:rPr>
                <w:rFonts w:asciiTheme="minorHAnsi" w:hAnsiTheme="minorHAnsi" w:cstheme="minorHAnsi"/>
                <w:lang w:eastAsia="en-AU"/>
              </w:rPr>
            </w:pPr>
            <w:r w:rsidRPr="004B3400">
              <w:rPr>
                <w:rFonts w:asciiTheme="minorHAnsi" w:hAnsiTheme="minorHAnsi" w:cstheme="minorHAnsi"/>
                <w:lang w:eastAsia="en-AU"/>
              </w:rPr>
              <w:t>Individuals</w:t>
            </w:r>
          </w:p>
        </w:tc>
        <w:tc>
          <w:tcPr>
            <w:tcW w:w="1150" w:type="pct"/>
            <w:shd w:val="clear" w:color="auto" w:fill="DEEAF6"/>
            <w:vAlign w:val="center"/>
            <w:hideMark/>
          </w:tcPr>
          <w:p w14:paraId="19665C1A" w14:textId="77777777" w:rsidR="00C1322C" w:rsidRPr="004B3400" w:rsidRDefault="00C1322C" w:rsidP="004B3400">
            <w:pPr>
              <w:pStyle w:val="TableBody"/>
              <w:rPr>
                <w:rFonts w:asciiTheme="minorHAnsi" w:hAnsiTheme="minorHAnsi" w:cstheme="minorHAnsi"/>
                <w:lang w:eastAsia="en-AU"/>
              </w:rPr>
            </w:pPr>
            <w:r w:rsidRPr="004B3400">
              <w:rPr>
                <w:rFonts w:asciiTheme="minorHAnsi" w:hAnsiTheme="minorHAnsi" w:cstheme="minorHAnsi"/>
                <w:lang w:eastAsia="en-AU"/>
              </w:rPr>
              <w:t>Total cost ($ million)</w:t>
            </w:r>
          </w:p>
        </w:tc>
      </w:tr>
      <w:tr w:rsidR="009478F8" w:rsidRPr="004B3400" w14:paraId="5EC27064" w14:textId="77777777" w:rsidTr="000C6AEA">
        <w:tc>
          <w:tcPr>
            <w:tcW w:w="1103" w:type="pct"/>
            <w:shd w:val="clear" w:color="auto" w:fill="F2F2F2" w:themeFill="background1" w:themeFillShade="F2"/>
            <w:vAlign w:val="center"/>
            <w:hideMark/>
          </w:tcPr>
          <w:p w14:paraId="1158FDA5" w14:textId="77777777" w:rsidR="009478F8" w:rsidRPr="000C6AEA" w:rsidRDefault="009478F8" w:rsidP="000C6AEA">
            <w:pPr>
              <w:pStyle w:val="TableBody"/>
              <w:rPr>
                <w:rFonts w:asciiTheme="majorHAnsi" w:hAnsiTheme="majorHAnsi" w:cstheme="majorHAnsi"/>
              </w:rPr>
            </w:pPr>
            <w:r w:rsidRPr="000C6AEA">
              <w:rPr>
                <w:rFonts w:asciiTheme="majorHAnsi" w:hAnsiTheme="majorHAnsi" w:cstheme="majorHAnsi"/>
              </w:rPr>
              <w:t>One-off</w:t>
            </w:r>
          </w:p>
        </w:tc>
        <w:tc>
          <w:tcPr>
            <w:tcW w:w="1017" w:type="pct"/>
            <w:shd w:val="clear" w:color="auto" w:fill="FFFFFF" w:themeFill="background1"/>
            <w:vAlign w:val="center"/>
            <w:hideMark/>
          </w:tcPr>
          <w:p w14:paraId="1E076E3F" w14:textId="65D467B0" w:rsidR="009478F8" w:rsidRPr="004B3400" w:rsidRDefault="009478F8" w:rsidP="004B3400">
            <w:pPr>
              <w:pStyle w:val="TableBody"/>
              <w:rPr>
                <w:rFonts w:asciiTheme="minorHAnsi" w:hAnsiTheme="minorHAnsi" w:cstheme="minorHAnsi"/>
                <w:lang w:eastAsia="en-AU"/>
              </w:rPr>
            </w:pPr>
            <w:r w:rsidRPr="004B3400">
              <w:rPr>
                <w:rFonts w:asciiTheme="minorHAnsi" w:hAnsiTheme="minorHAnsi" w:cstheme="minorHAnsi"/>
              </w:rPr>
              <w:t>46</w:t>
            </w:r>
            <w:r w:rsidR="008165E4">
              <w:rPr>
                <w:rFonts w:asciiTheme="minorHAnsi" w:hAnsiTheme="minorHAnsi" w:cstheme="minorHAnsi"/>
              </w:rPr>
              <w:t>3.3</w:t>
            </w:r>
            <w:r w:rsidRPr="004B3400">
              <w:rPr>
                <w:rFonts w:asciiTheme="minorHAnsi" w:hAnsiTheme="minorHAnsi" w:cstheme="minorHAnsi"/>
              </w:rPr>
              <w:t xml:space="preserve"> to 75</w:t>
            </w:r>
            <w:r w:rsidR="008165E4">
              <w:rPr>
                <w:rFonts w:asciiTheme="minorHAnsi" w:hAnsiTheme="minorHAnsi" w:cstheme="minorHAnsi"/>
              </w:rPr>
              <w:t>8.2</w:t>
            </w:r>
          </w:p>
        </w:tc>
        <w:tc>
          <w:tcPr>
            <w:tcW w:w="880" w:type="pct"/>
            <w:shd w:val="clear" w:color="auto" w:fill="FFFFFF" w:themeFill="background1"/>
            <w:vAlign w:val="center"/>
            <w:hideMark/>
          </w:tcPr>
          <w:p w14:paraId="1E1D2F6B" w14:textId="77777777" w:rsidR="009478F8" w:rsidRPr="004B3400" w:rsidRDefault="009478F8" w:rsidP="004B3400">
            <w:pPr>
              <w:pStyle w:val="TableBody"/>
              <w:rPr>
                <w:rFonts w:asciiTheme="minorHAnsi" w:hAnsiTheme="minorHAnsi" w:cstheme="minorHAnsi"/>
                <w:lang w:eastAsia="en-AU"/>
              </w:rPr>
            </w:pPr>
            <w:r w:rsidRPr="004B3400">
              <w:rPr>
                <w:rFonts w:asciiTheme="minorHAnsi" w:hAnsiTheme="minorHAnsi" w:cstheme="minorHAnsi"/>
                <w:lang w:eastAsia="en-AU"/>
              </w:rPr>
              <w:t>nil</w:t>
            </w:r>
          </w:p>
        </w:tc>
        <w:tc>
          <w:tcPr>
            <w:tcW w:w="850" w:type="pct"/>
            <w:shd w:val="clear" w:color="auto" w:fill="FFFFFF" w:themeFill="background1"/>
            <w:vAlign w:val="center"/>
            <w:hideMark/>
          </w:tcPr>
          <w:p w14:paraId="60B0EF1D" w14:textId="77777777" w:rsidR="009478F8" w:rsidRPr="004B3400" w:rsidRDefault="009478F8" w:rsidP="004B3400">
            <w:pPr>
              <w:pStyle w:val="TableBody"/>
              <w:rPr>
                <w:rFonts w:asciiTheme="minorHAnsi" w:hAnsiTheme="minorHAnsi" w:cstheme="minorHAnsi"/>
                <w:lang w:eastAsia="en-AU"/>
              </w:rPr>
            </w:pPr>
            <w:r w:rsidRPr="004B3400">
              <w:rPr>
                <w:rFonts w:asciiTheme="minorHAnsi" w:hAnsiTheme="minorHAnsi" w:cstheme="minorHAnsi"/>
                <w:lang w:eastAsia="en-AU"/>
              </w:rPr>
              <w:t>nil</w:t>
            </w:r>
          </w:p>
        </w:tc>
        <w:tc>
          <w:tcPr>
            <w:tcW w:w="1150" w:type="pct"/>
            <w:shd w:val="clear" w:color="auto" w:fill="FFFFFF" w:themeFill="background1"/>
            <w:vAlign w:val="center"/>
            <w:hideMark/>
          </w:tcPr>
          <w:p w14:paraId="7ED2242B" w14:textId="38C60F41" w:rsidR="009478F8" w:rsidRPr="004B3400" w:rsidRDefault="008165E4" w:rsidP="004B3400">
            <w:pPr>
              <w:pStyle w:val="TableBody"/>
              <w:rPr>
                <w:rFonts w:asciiTheme="minorHAnsi" w:hAnsiTheme="minorHAnsi" w:cstheme="minorHAnsi"/>
              </w:rPr>
            </w:pPr>
            <w:r w:rsidRPr="004B3400">
              <w:rPr>
                <w:rFonts w:asciiTheme="minorHAnsi" w:hAnsiTheme="minorHAnsi" w:cstheme="minorHAnsi"/>
              </w:rPr>
              <w:t>46</w:t>
            </w:r>
            <w:r>
              <w:rPr>
                <w:rFonts w:asciiTheme="minorHAnsi" w:hAnsiTheme="minorHAnsi" w:cstheme="minorHAnsi"/>
              </w:rPr>
              <w:t>3.3</w:t>
            </w:r>
            <w:r w:rsidRPr="004B3400">
              <w:rPr>
                <w:rFonts w:asciiTheme="minorHAnsi" w:hAnsiTheme="minorHAnsi" w:cstheme="minorHAnsi"/>
              </w:rPr>
              <w:t xml:space="preserve"> to 75</w:t>
            </w:r>
            <w:r>
              <w:rPr>
                <w:rFonts w:asciiTheme="minorHAnsi" w:hAnsiTheme="minorHAnsi" w:cstheme="minorHAnsi"/>
              </w:rPr>
              <w:t>8.2</w:t>
            </w:r>
          </w:p>
        </w:tc>
      </w:tr>
      <w:tr w:rsidR="009478F8" w:rsidRPr="004B3400" w14:paraId="7B42D4DC" w14:textId="77777777" w:rsidTr="000C6AEA">
        <w:tc>
          <w:tcPr>
            <w:tcW w:w="1103" w:type="pct"/>
            <w:shd w:val="clear" w:color="auto" w:fill="F2F2F2" w:themeFill="background1" w:themeFillShade="F2"/>
            <w:vAlign w:val="center"/>
            <w:hideMark/>
          </w:tcPr>
          <w:p w14:paraId="1E21F9AF" w14:textId="697A79CE" w:rsidR="009478F8" w:rsidRPr="000C6AEA" w:rsidRDefault="009478F8" w:rsidP="000C6AEA">
            <w:pPr>
              <w:pStyle w:val="TableBody"/>
              <w:rPr>
                <w:rFonts w:asciiTheme="majorHAnsi" w:hAnsiTheme="majorHAnsi" w:cstheme="majorHAnsi"/>
              </w:rPr>
            </w:pPr>
            <w:r w:rsidRPr="000C6AEA">
              <w:rPr>
                <w:rFonts w:asciiTheme="majorHAnsi" w:hAnsiTheme="majorHAnsi" w:cstheme="majorHAnsi"/>
              </w:rPr>
              <w:t>Ongoing (per year)</w:t>
            </w:r>
          </w:p>
        </w:tc>
        <w:tc>
          <w:tcPr>
            <w:tcW w:w="1017" w:type="pct"/>
            <w:shd w:val="clear" w:color="auto" w:fill="FFFFFF" w:themeFill="background1"/>
            <w:vAlign w:val="center"/>
            <w:hideMark/>
          </w:tcPr>
          <w:p w14:paraId="187480A0" w14:textId="2FE15667" w:rsidR="009478F8" w:rsidRPr="004B3400" w:rsidRDefault="009478F8" w:rsidP="004B3400">
            <w:pPr>
              <w:pStyle w:val="TableBody"/>
              <w:rPr>
                <w:rFonts w:asciiTheme="minorHAnsi" w:hAnsiTheme="minorHAnsi" w:cstheme="minorHAnsi"/>
                <w:lang w:eastAsia="en-AU"/>
              </w:rPr>
            </w:pPr>
            <w:r w:rsidRPr="004B3400">
              <w:rPr>
                <w:rFonts w:asciiTheme="minorHAnsi" w:hAnsiTheme="minorHAnsi" w:cstheme="minorHAnsi"/>
              </w:rPr>
              <w:t>22</w:t>
            </w:r>
            <w:r w:rsidR="008165E4">
              <w:rPr>
                <w:rFonts w:asciiTheme="minorHAnsi" w:hAnsiTheme="minorHAnsi" w:cstheme="minorHAnsi"/>
              </w:rPr>
              <w:t>8.0</w:t>
            </w:r>
            <w:r w:rsidRPr="004B3400">
              <w:rPr>
                <w:rFonts w:asciiTheme="minorHAnsi" w:hAnsiTheme="minorHAnsi" w:cstheme="minorHAnsi"/>
              </w:rPr>
              <w:t xml:space="preserve"> to 36</w:t>
            </w:r>
            <w:r w:rsidR="008165E4">
              <w:rPr>
                <w:rFonts w:asciiTheme="minorHAnsi" w:hAnsiTheme="minorHAnsi" w:cstheme="minorHAnsi"/>
              </w:rPr>
              <w:t>6.4</w:t>
            </w:r>
          </w:p>
        </w:tc>
        <w:tc>
          <w:tcPr>
            <w:tcW w:w="880" w:type="pct"/>
            <w:shd w:val="clear" w:color="auto" w:fill="FFFFFF" w:themeFill="background1"/>
            <w:vAlign w:val="center"/>
            <w:hideMark/>
          </w:tcPr>
          <w:p w14:paraId="487729A1" w14:textId="77777777" w:rsidR="009478F8" w:rsidRPr="004B3400" w:rsidRDefault="009478F8" w:rsidP="004B3400">
            <w:pPr>
              <w:pStyle w:val="TableBody"/>
              <w:rPr>
                <w:rFonts w:asciiTheme="minorHAnsi" w:hAnsiTheme="minorHAnsi" w:cstheme="minorHAnsi"/>
                <w:lang w:eastAsia="en-AU"/>
              </w:rPr>
            </w:pPr>
            <w:r w:rsidRPr="004B3400">
              <w:rPr>
                <w:rFonts w:asciiTheme="minorHAnsi" w:hAnsiTheme="minorHAnsi" w:cstheme="minorHAnsi"/>
                <w:lang w:eastAsia="en-AU"/>
              </w:rPr>
              <w:t>nil</w:t>
            </w:r>
          </w:p>
        </w:tc>
        <w:tc>
          <w:tcPr>
            <w:tcW w:w="850" w:type="pct"/>
            <w:shd w:val="clear" w:color="auto" w:fill="FFFFFF" w:themeFill="background1"/>
            <w:vAlign w:val="center"/>
            <w:hideMark/>
          </w:tcPr>
          <w:p w14:paraId="1E84E579" w14:textId="77777777" w:rsidR="009478F8" w:rsidRPr="004B3400" w:rsidRDefault="009478F8" w:rsidP="004B3400">
            <w:pPr>
              <w:pStyle w:val="TableBody"/>
              <w:rPr>
                <w:rFonts w:asciiTheme="minorHAnsi" w:hAnsiTheme="minorHAnsi" w:cstheme="minorHAnsi"/>
                <w:lang w:eastAsia="en-AU"/>
              </w:rPr>
            </w:pPr>
            <w:r w:rsidRPr="004B3400">
              <w:rPr>
                <w:rFonts w:asciiTheme="minorHAnsi" w:hAnsiTheme="minorHAnsi" w:cstheme="minorHAnsi"/>
                <w:lang w:eastAsia="en-AU"/>
              </w:rPr>
              <w:t>nil</w:t>
            </w:r>
          </w:p>
        </w:tc>
        <w:tc>
          <w:tcPr>
            <w:tcW w:w="1150" w:type="pct"/>
            <w:shd w:val="clear" w:color="auto" w:fill="FFFFFF" w:themeFill="background1"/>
            <w:vAlign w:val="center"/>
            <w:hideMark/>
          </w:tcPr>
          <w:p w14:paraId="6B642095" w14:textId="76B285C9" w:rsidR="009478F8" w:rsidRPr="004B3400" w:rsidRDefault="008165E4" w:rsidP="004B3400">
            <w:pPr>
              <w:pStyle w:val="TableBody"/>
              <w:rPr>
                <w:rFonts w:asciiTheme="minorHAnsi" w:hAnsiTheme="minorHAnsi" w:cstheme="minorHAnsi"/>
              </w:rPr>
            </w:pPr>
            <w:r w:rsidRPr="004B3400">
              <w:rPr>
                <w:rFonts w:asciiTheme="minorHAnsi" w:hAnsiTheme="minorHAnsi" w:cstheme="minorHAnsi"/>
              </w:rPr>
              <w:t>22</w:t>
            </w:r>
            <w:r>
              <w:rPr>
                <w:rFonts w:asciiTheme="minorHAnsi" w:hAnsiTheme="minorHAnsi" w:cstheme="minorHAnsi"/>
              </w:rPr>
              <w:t>8.0</w:t>
            </w:r>
            <w:r w:rsidRPr="004B3400">
              <w:rPr>
                <w:rFonts w:asciiTheme="minorHAnsi" w:hAnsiTheme="minorHAnsi" w:cstheme="minorHAnsi"/>
              </w:rPr>
              <w:t xml:space="preserve"> to 36</w:t>
            </w:r>
            <w:r>
              <w:rPr>
                <w:rFonts w:asciiTheme="minorHAnsi" w:hAnsiTheme="minorHAnsi" w:cstheme="minorHAnsi"/>
              </w:rPr>
              <w:t>6.4</w:t>
            </w:r>
          </w:p>
        </w:tc>
      </w:tr>
    </w:tbl>
    <w:p w14:paraId="4DECE8F1" w14:textId="77777777" w:rsidR="00C1322C" w:rsidRPr="004E60A8" w:rsidRDefault="00C1322C" w:rsidP="004B3400">
      <w:pPr>
        <w:pStyle w:val="Note"/>
      </w:pPr>
      <w:r w:rsidRPr="565D4D6C">
        <w:rPr>
          <w:b/>
        </w:rPr>
        <w:t>Note:</w:t>
      </w:r>
      <w:r w:rsidRPr="565D4D6C">
        <w:t xml:space="preserve"> There will be no direct costs to individuals and communities although price rises may reflect the increased cost of operations as a result of the proposed Risk Management Program framework. </w:t>
      </w:r>
    </w:p>
    <w:p w14:paraId="14B14A7B" w14:textId="2E0A52F0" w:rsidR="00C1322C" w:rsidRPr="00D0595B" w:rsidRDefault="00C1322C" w:rsidP="004B3400">
      <w:pPr>
        <w:pStyle w:val="BodyText"/>
      </w:pPr>
      <w:r w:rsidRPr="00D0595B">
        <w:t>Based on the industry submissions made during consultations,</w:t>
      </w:r>
      <w:r w:rsidR="009478F8">
        <w:t xml:space="preserve"> expected</w:t>
      </w:r>
      <w:r w:rsidRPr="00D0595B">
        <w:t xml:space="preserve"> total regulatory costs will be highest for rules and obligations associated with addressing supply chain hazards. These costs represent approximately 24.</w:t>
      </w:r>
      <w:r w:rsidR="008165E4">
        <w:t>8</w:t>
      </w:r>
      <w:r w:rsidRPr="00D0595B">
        <w:t>% of the total cost of implementing the risk management program framework. The cost associated with physical hazards (24.2% of total cost), material risk rules (14.</w:t>
      </w:r>
      <w:r w:rsidR="008165E4">
        <w:t>6</w:t>
      </w:r>
      <w:r w:rsidRPr="00D0595B">
        <w:t>% of total cost) and cyber-security hazards (13.</w:t>
      </w:r>
      <w:r w:rsidR="008165E4">
        <w:t>8</w:t>
      </w:r>
      <w:r w:rsidRPr="00D0595B">
        <w:t xml:space="preserve">% of total cost) are less significant but remain material. Compliance costs associated with legislative obligations, </w:t>
      </w:r>
      <w:r w:rsidR="00D90844">
        <w:t>general</w:t>
      </w:r>
      <w:r w:rsidR="00D90844" w:rsidRPr="00D0595B">
        <w:t xml:space="preserve"> </w:t>
      </w:r>
      <w:r w:rsidRPr="00D0595B">
        <w:t>rules, personnel hazard rules and natural hazard rules were the least costly aspects of the risk management program framework, representing in total approximately 22.</w:t>
      </w:r>
      <w:r w:rsidR="00C10089">
        <w:t>6</w:t>
      </w:r>
      <w:r w:rsidRPr="00D0595B">
        <w:t>% of costs in total. The total regulatory cost by rule/obligation is set out in</w:t>
      </w:r>
      <w:bookmarkStart w:id="621" w:name="_Ref78462671"/>
      <w:r w:rsidRPr="00D0595B">
        <w:t xml:space="preserve"> </w:t>
      </w:r>
      <w:r w:rsidR="009B296E">
        <w:t xml:space="preserve">the table </w:t>
      </w:r>
      <w:r w:rsidRPr="00D0595B">
        <w:t xml:space="preserve">below. </w:t>
      </w:r>
    </w:p>
    <w:p w14:paraId="70831DDB" w14:textId="77777777" w:rsidR="00C1322C" w:rsidRDefault="00C1322C" w:rsidP="004B3400">
      <w:pPr>
        <w:pStyle w:val="BodyText"/>
      </w:pPr>
      <w:r w:rsidRPr="00D0595B">
        <w:lastRenderedPageBreak/>
        <w:t>Following the original discussions with the sector from April 2021 culminating in the development of electricity sector rules and the submission of costs from Industry, it was determined that the sector agnostic RMP Rules would provide greater clarity and ensure greater consistency across all sectors.</w:t>
      </w:r>
      <w:r w:rsidRPr="00D0595B" w:rsidDel="00235358">
        <w:t xml:space="preserve"> </w:t>
      </w:r>
      <w:r w:rsidRPr="00D0595B">
        <w:t xml:space="preserve">The Department confirmed with industry that no additional costings would be requested on the updated RMP Rules, as they were either similar to the previously costed rules or </w:t>
      </w:r>
      <w:r w:rsidRPr="00D0595B" w:rsidDel="00235358">
        <w:t>a</w:t>
      </w:r>
      <w:r w:rsidRPr="00D0595B">
        <w:t xml:space="preserve"> specific rule had been removed. For the purpose of the above estimate of regulatory burden, the original cost submissions provided by industry were used with the removed rules excluded.</w:t>
      </w:r>
      <w:r>
        <w:t xml:space="preserve"> </w:t>
      </w:r>
    </w:p>
    <w:p w14:paraId="711D5E34" w14:textId="77777777" w:rsidR="00C1322C" w:rsidRPr="00E9705C" w:rsidRDefault="00C1322C" w:rsidP="004B3400">
      <w:pPr>
        <w:pStyle w:val="Caption"/>
      </w:pPr>
      <w:bookmarkStart w:id="622" w:name="_Toc79157114"/>
      <w:bookmarkEnd w:id="621"/>
      <w:r w:rsidRPr="00E9705C">
        <w:t>Regulatory burden estimate by rule and obligation for critical electricity assets nationally</w:t>
      </w:r>
      <w:bookmarkEnd w:id="622"/>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20" w:firstRow="1" w:lastRow="0" w:firstColumn="0" w:lastColumn="0" w:noHBand="0" w:noVBand="1"/>
      </w:tblPr>
      <w:tblGrid>
        <w:gridCol w:w="3113"/>
        <w:gridCol w:w="1708"/>
        <w:gridCol w:w="1563"/>
        <w:gridCol w:w="1926"/>
        <w:gridCol w:w="1328"/>
      </w:tblGrid>
      <w:tr w:rsidR="00C1322C" w:rsidRPr="00325964" w14:paraId="73610C7F" w14:textId="77777777" w:rsidTr="000C6AEA">
        <w:tc>
          <w:tcPr>
            <w:tcW w:w="1615" w:type="pct"/>
            <w:vMerge w:val="restart"/>
            <w:shd w:val="clear" w:color="auto" w:fill="034EA2" w:themeFill="accent1"/>
            <w:hideMark/>
          </w:tcPr>
          <w:p w14:paraId="0EB3F6A4" w14:textId="77777777" w:rsidR="00C1322C" w:rsidRPr="00325964" w:rsidRDefault="00C1322C" w:rsidP="000C6AEA">
            <w:pPr>
              <w:pStyle w:val="TableHeading"/>
              <w:rPr>
                <w:rFonts w:asciiTheme="minorHAnsi" w:hAnsiTheme="minorHAnsi" w:cstheme="minorHAnsi"/>
                <w:lang w:eastAsia="en-AU"/>
              </w:rPr>
            </w:pPr>
            <w:r w:rsidRPr="00325964">
              <w:rPr>
                <w:rFonts w:asciiTheme="minorHAnsi" w:hAnsiTheme="minorHAnsi" w:cstheme="minorHAnsi"/>
                <w:lang w:eastAsia="en-AU"/>
              </w:rPr>
              <w:t>Rule / obligation</w:t>
            </w:r>
          </w:p>
        </w:tc>
        <w:tc>
          <w:tcPr>
            <w:tcW w:w="3385" w:type="pct"/>
            <w:gridSpan w:val="4"/>
            <w:shd w:val="clear" w:color="auto" w:fill="034EA2" w:themeFill="accent1"/>
            <w:vAlign w:val="center"/>
            <w:hideMark/>
          </w:tcPr>
          <w:p w14:paraId="2909ADE6" w14:textId="77777777" w:rsidR="00C1322C" w:rsidRPr="00325964" w:rsidRDefault="00C1322C" w:rsidP="00325964">
            <w:pPr>
              <w:pStyle w:val="TableHeading"/>
              <w:rPr>
                <w:rFonts w:asciiTheme="minorHAnsi" w:hAnsiTheme="minorHAnsi" w:cstheme="minorHAnsi"/>
                <w:lang w:eastAsia="en-AU"/>
              </w:rPr>
            </w:pPr>
            <w:r w:rsidRPr="00325964">
              <w:rPr>
                <w:rFonts w:asciiTheme="minorHAnsi" w:hAnsiTheme="minorHAnsi" w:cstheme="minorHAnsi"/>
                <w:lang w:eastAsia="en-AU"/>
              </w:rPr>
              <w:t>Costs</w:t>
            </w:r>
            <w:r w:rsidR="00C13AAC" w:rsidRPr="00325964">
              <w:rPr>
                <w:rFonts w:asciiTheme="minorHAnsi" w:hAnsiTheme="minorHAnsi" w:cstheme="minorHAnsi"/>
                <w:lang w:eastAsia="en-AU"/>
              </w:rPr>
              <w:t xml:space="preserve"> (Expected to High)</w:t>
            </w:r>
          </w:p>
        </w:tc>
      </w:tr>
      <w:tr w:rsidR="00170FD0" w:rsidRPr="00325964" w14:paraId="19D0E621" w14:textId="77777777" w:rsidTr="000C6AEA">
        <w:tc>
          <w:tcPr>
            <w:tcW w:w="1615" w:type="pct"/>
            <w:vMerge/>
            <w:vAlign w:val="center"/>
            <w:hideMark/>
          </w:tcPr>
          <w:p w14:paraId="6D2949F6" w14:textId="77777777" w:rsidR="00C1322C" w:rsidRPr="00325964" w:rsidRDefault="00C1322C" w:rsidP="00325964">
            <w:pPr>
              <w:pStyle w:val="TableBody"/>
              <w:rPr>
                <w:rFonts w:asciiTheme="minorHAnsi" w:hAnsiTheme="minorHAnsi" w:cstheme="minorHAnsi"/>
                <w:lang w:eastAsia="en-AU"/>
              </w:rPr>
            </w:pPr>
          </w:p>
        </w:tc>
        <w:tc>
          <w:tcPr>
            <w:tcW w:w="886" w:type="pct"/>
            <w:shd w:val="clear" w:color="auto" w:fill="DEEAF6"/>
            <w:vAlign w:val="center"/>
            <w:hideMark/>
          </w:tcPr>
          <w:p w14:paraId="64075CE0" w14:textId="77777777" w:rsidR="00C1322C" w:rsidRPr="00325964" w:rsidRDefault="00C1322C" w:rsidP="00170FD0">
            <w:pPr>
              <w:pStyle w:val="TableBody"/>
              <w:jc w:val="center"/>
              <w:rPr>
                <w:rFonts w:asciiTheme="minorHAnsi" w:hAnsiTheme="minorHAnsi" w:cstheme="minorHAnsi"/>
                <w:color w:val="000000"/>
                <w:lang w:eastAsia="en-AU"/>
              </w:rPr>
            </w:pPr>
            <w:r w:rsidRPr="00325964">
              <w:rPr>
                <w:rFonts w:asciiTheme="minorHAnsi" w:hAnsiTheme="minorHAnsi" w:cstheme="minorHAnsi"/>
                <w:color w:val="000000"/>
                <w:lang w:eastAsia="en-AU"/>
              </w:rPr>
              <w:t>One-off ($ million)</w:t>
            </w:r>
          </w:p>
        </w:tc>
        <w:tc>
          <w:tcPr>
            <w:tcW w:w="811" w:type="pct"/>
            <w:shd w:val="clear" w:color="auto" w:fill="DEEAF6"/>
            <w:vAlign w:val="center"/>
            <w:hideMark/>
          </w:tcPr>
          <w:p w14:paraId="0982D69E" w14:textId="77777777" w:rsidR="00C1322C" w:rsidRPr="00325964" w:rsidRDefault="00C1322C" w:rsidP="00170FD0">
            <w:pPr>
              <w:pStyle w:val="TableBody"/>
              <w:jc w:val="center"/>
              <w:rPr>
                <w:rFonts w:asciiTheme="minorHAnsi" w:hAnsiTheme="minorHAnsi" w:cstheme="minorHAnsi"/>
                <w:color w:val="000000"/>
                <w:lang w:eastAsia="en-AU"/>
              </w:rPr>
            </w:pPr>
            <w:r w:rsidRPr="00325964">
              <w:rPr>
                <w:rFonts w:asciiTheme="minorHAnsi" w:hAnsiTheme="minorHAnsi" w:cstheme="minorHAnsi"/>
                <w:color w:val="000000"/>
                <w:lang w:eastAsia="en-AU"/>
              </w:rPr>
              <w:t>Ongoing</w:t>
            </w:r>
            <w:r w:rsidRPr="00325964">
              <w:rPr>
                <w:rFonts w:asciiTheme="minorHAnsi" w:hAnsiTheme="minorHAnsi" w:cstheme="minorHAnsi"/>
                <w:color w:val="000000"/>
                <w:lang w:eastAsia="en-AU"/>
              </w:rPr>
              <w:br/>
              <w:t>(per year, $ million)</w:t>
            </w:r>
          </w:p>
        </w:tc>
        <w:tc>
          <w:tcPr>
            <w:tcW w:w="999" w:type="pct"/>
            <w:shd w:val="clear" w:color="auto" w:fill="DEEAF6"/>
            <w:vAlign w:val="center"/>
            <w:hideMark/>
          </w:tcPr>
          <w:p w14:paraId="7B702BAF" w14:textId="77777777" w:rsidR="00C1322C" w:rsidRPr="00325964" w:rsidRDefault="00C1322C" w:rsidP="00170FD0">
            <w:pPr>
              <w:pStyle w:val="TableBody"/>
              <w:jc w:val="center"/>
              <w:rPr>
                <w:rFonts w:asciiTheme="minorHAnsi" w:hAnsiTheme="minorHAnsi" w:cstheme="minorHAnsi"/>
                <w:color w:val="000000"/>
                <w:lang w:eastAsia="en-AU"/>
              </w:rPr>
            </w:pPr>
            <w:r w:rsidRPr="00325964">
              <w:rPr>
                <w:rFonts w:asciiTheme="minorHAnsi" w:hAnsiTheme="minorHAnsi" w:cstheme="minorHAnsi"/>
                <w:color w:val="000000"/>
                <w:lang w:eastAsia="en-AU"/>
              </w:rPr>
              <w:t xml:space="preserve">Total cost </w:t>
            </w:r>
            <w:r w:rsidRPr="00325964">
              <w:rPr>
                <w:rFonts w:asciiTheme="minorHAnsi" w:hAnsiTheme="minorHAnsi" w:cstheme="minorHAnsi"/>
                <w:color w:val="000000"/>
                <w:lang w:eastAsia="en-AU"/>
              </w:rPr>
              <w:br/>
              <w:t xml:space="preserve">over 10 years ($ million) </w:t>
            </w:r>
            <w:r w:rsidRPr="00325964">
              <w:rPr>
                <w:rFonts w:asciiTheme="minorHAnsi" w:hAnsiTheme="minorHAnsi" w:cstheme="minorHAnsi"/>
                <w:color w:val="000000"/>
                <w:vertAlign w:val="superscript"/>
                <w:lang w:eastAsia="en-AU"/>
              </w:rPr>
              <w:footnoteReference w:id="327"/>
            </w:r>
          </w:p>
        </w:tc>
        <w:tc>
          <w:tcPr>
            <w:tcW w:w="689" w:type="pct"/>
            <w:shd w:val="clear" w:color="auto" w:fill="DEEAF6"/>
            <w:vAlign w:val="center"/>
            <w:hideMark/>
          </w:tcPr>
          <w:p w14:paraId="1948D2EF" w14:textId="77777777" w:rsidR="00C1322C" w:rsidRPr="00325964" w:rsidRDefault="008F4AB2" w:rsidP="00170FD0">
            <w:pPr>
              <w:pStyle w:val="TableBody"/>
              <w:jc w:val="center"/>
              <w:rPr>
                <w:rFonts w:asciiTheme="minorHAnsi" w:hAnsiTheme="minorHAnsi" w:cstheme="minorHAnsi"/>
                <w:color w:val="000000"/>
                <w:lang w:eastAsia="en-AU"/>
              </w:rPr>
            </w:pPr>
            <w:r w:rsidRPr="00325964">
              <w:rPr>
                <w:rFonts w:asciiTheme="minorHAnsi" w:hAnsiTheme="minorHAnsi" w:cstheme="minorHAnsi"/>
                <w:color w:val="000000"/>
                <w:lang w:eastAsia="en-AU"/>
              </w:rPr>
              <w:t>Ex</w:t>
            </w:r>
            <w:r w:rsidR="00BD01FE" w:rsidRPr="00325964">
              <w:rPr>
                <w:rFonts w:asciiTheme="minorHAnsi" w:hAnsiTheme="minorHAnsi" w:cstheme="minorHAnsi"/>
                <w:color w:val="000000"/>
                <w:lang w:eastAsia="en-AU"/>
              </w:rPr>
              <w:t>pected estimate as p</w:t>
            </w:r>
            <w:r w:rsidR="00C1322C" w:rsidRPr="00325964">
              <w:rPr>
                <w:rFonts w:asciiTheme="minorHAnsi" w:hAnsiTheme="minorHAnsi" w:cstheme="minorHAnsi"/>
                <w:color w:val="000000"/>
                <w:lang w:eastAsia="en-AU"/>
              </w:rPr>
              <w:t>ercentage of total (%)</w:t>
            </w:r>
          </w:p>
        </w:tc>
      </w:tr>
      <w:tr w:rsidR="00170FD0" w:rsidRPr="00325964" w14:paraId="49E9BF16" w14:textId="77777777" w:rsidTr="000C6AEA">
        <w:tc>
          <w:tcPr>
            <w:tcW w:w="1615" w:type="pct"/>
            <w:shd w:val="clear" w:color="auto" w:fill="F2F2F2" w:themeFill="background1" w:themeFillShade="F2"/>
            <w:vAlign w:val="center"/>
            <w:hideMark/>
          </w:tcPr>
          <w:p w14:paraId="7E194884" w14:textId="5D1C7E8D" w:rsidR="00837B84" w:rsidRPr="000C6AEA" w:rsidRDefault="00837B84" w:rsidP="000C6AEA">
            <w:pPr>
              <w:pStyle w:val="TableBody"/>
              <w:rPr>
                <w:rFonts w:asciiTheme="minorHAnsi" w:hAnsiTheme="minorHAnsi" w:cstheme="minorHAnsi"/>
              </w:rPr>
            </w:pPr>
            <w:r w:rsidRPr="000C6AEA">
              <w:rPr>
                <w:rFonts w:asciiTheme="minorHAnsi" w:hAnsiTheme="minorHAnsi" w:cstheme="minorHAnsi"/>
              </w:rPr>
              <w:t xml:space="preserve">Risk management program obligations in the </w:t>
            </w:r>
            <w:r w:rsidR="000E0A46">
              <w:rPr>
                <w:rFonts w:asciiTheme="minorHAnsi" w:hAnsiTheme="minorHAnsi" w:cstheme="minorHAnsi"/>
              </w:rPr>
              <w:t>Act</w:t>
            </w:r>
          </w:p>
        </w:tc>
        <w:tc>
          <w:tcPr>
            <w:tcW w:w="886" w:type="pct"/>
            <w:shd w:val="clear" w:color="auto" w:fill="auto"/>
            <w:vAlign w:val="center"/>
          </w:tcPr>
          <w:p w14:paraId="2AFFE990" w14:textId="3E8F559F"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26.</w:t>
            </w:r>
            <w:r w:rsidR="00721BB8">
              <w:rPr>
                <w:rFonts w:asciiTheme="minorHAnsi" w:hAnsiTheme="minorHAnsi" w:cstheme="minorHAnsi"/>
              </w:rPr>
              <w:t>5</w:t>
            </w:r>
            <w:r w:rsidRPr="00325964">
              <w:rPr>
                <w:rFonts w:asciiTheme="minorHAnsi" w:hAnsiTheme="minorHAnsi" w:cstheme="minorHAnsi"/>
              </w:rPr>
              <w:t xml:space="preserve"> to 4</w:t>
            </w:r>
            <w:r w:rsidR="00721BB8">
              <w:rPr>
                <w:rFonts w:asciiTheme="minorHAnsi" w:hAnsiTheme="minorHAnsi" w:cstheme="minorHAnsi"/>
              </w:rPr>
              <w:t>6.4</w:t>
            </w:r>
          </w:p>
        </w:tc>
        <w:tc>
          <w:tcPr>
            <w:tcW w:w="811" w:type="pct"/>
            <w:shd w:val="clear" w:color="auto" w:fill="auto"/>
            <w:vAlign w:val="center"/>
          </w:tcPr>
          <w:p w14:paraId="36B00BA9" w14:textId="6E990613"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2</w:t>
            </w:r>
            <w:r w:rsidR="00721BB8">
              <w:rPr>
                <w:rFonts w:asciiTheme="minorHAnsi" w:hAnsiTheme="minorHAnsi" w:cstheme="minorHAnsi"/>
              </w:rPr>
              <w:t>5.0</w:t>
            </w:r>
            <w:r w:rsidRPr="00325964">
              <w:rPr>
                <w:rFonts w:asciiTheme="minorHAnsi" w:hAnsiTheme="minorHAnsi" w:cstheme="minorHAnsi"/>
              </w:rPr>
              <w:t xml:space="preserve"> to 4</w:t>
            </w:r>
            <w:r w:rsidR="00721BB8">
              <w:rPr>
                <w:rFonts w:asciiTheme="minorHAnsi" w:hAnsiTheme="minorHAnsi" w:cstheme="minorHAnsi"/>
              </w:rPr>
              <w:t>1.0</w:t>
            </w:r>
          </w:p>
        </w:tc>
        <w:tc>
          <w:tcPr>
            <w:tcW w:w="999" w:type="pct"/>
            <w:shd w:val="clear" w:color="auto" w:fill="auto"/>
            <w:vAlign w:val="center"/>
          </w:tcPr>
          <w:p w14:paraId="1ABC1DC6" w14:textId="182FAB6D"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2</w:t>
            </w:r>
            <w:r w:rsidR="00737621">
              <w:rPr>
                <w:rFonts w:asciiTheme="minorHAnsi" w:hAnsiTheme="minorHAnsi" w:cstheme="minorHAnsi"/>
              </w:rPr>
              <w:t>51.9</w:t>
            </w:r>
            <w:r w:rsidRPr="00325964">
              <w:rPr>
                <w:rFonts w:asciiTheme="minorHAnsi" w:hAnsiTheme="minorHAnsi" w:cstheme="minorHAnsi"/>
              </w:rPr>
              <w:t xml:space="preserve"> to 4</w:t>
            </w:r>
            <w:r w:rsidR="00737621">
              <w:rPr>
                <w:rFonts w:asciiTheme="minorHAnsi" w:hAnsiTheme="minorHAnsi" w:cstheme="minorHAnsi"/>
              </w:rPr>
              <w:t>15.4</w:t>
            </w:r>
          </w:p>
        </w:tc>
        <w:tc>
          <w:tcPr>
            <w:tcW w:w="689" w:type="pct"/>
            <w:shd w:val="clear" w:color="auto" w:fill="auto"/>
            <w:vAlign w:val="center"/>
          </w:tcPr>
          <w:p w14:paraId="3DCF046E" w14:textId="10D3F85E"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9.</w:t>
            </w:r>
            <w:r w:rsidR="00E85F8E">
              <w:rPr>
                <w:rFonts w:asciiTheme="minorHAnsi" w:hAnsiTheme="minorHAnsi" w:cstheme="minorHAnsi"/>
              </w:rPr>
              <w:t>8</w:t>
            </w:r>
          </w:p>
        </w:tc>
      </w:tr>
      <w:tr w:rsidR="00170FD0" w:rsidRPr="00325964" w14:paraId="38CE6112" w14:textId="77777777" w:rsidTr="000C6AEA">
        <w:tc>
          <w:tcPr>
            <w:tcW w:w="1615" w:type="pct"/>
            <w:shd w:val="clear" w:color="auto" w:fill="F2F2F2" w:themeFill="background1" w:themeFillShade="F2"/>
            <w:vAlign w:val="center"/>
            <w:hideMark/>
          </w:tcPr>
          <w:p w14:paraId="275481A4" w14:textId="3657ADB0" w:rsidR="00837B84" w:rsidRPr="000C6AEA" w:rsidRDefault="001C5BD0" w:rsidP="000C6AEA">
            <w:pPr>
              <w:pStyle w:val="TableBody"/>
              <w:rPr>
                <w:rFonts w:asciiTheme="minorHAnsi" w:hAnsiTheme="minorHAnsi" w:cstheme="minorHAnsi"/>
              </w:rPr>
            </w:pPr>
            <w:r>
              <w:rPr>
                <w:rFonts w:asciiTheme="minorHAnsi" w:hAnsiTheme="minorHAnsi" w:cstheme="minorHAnsi"/>
              </w:rPr>
              <w:t>General</w:t>
            </w:r>
            <w:r w:rsidRPr="000C6AEA">
              <w:rPr>
                <w:rFonts w:asciiTheme="minorHAnsi" w:hAnsiTheme="minorHAnsi" w:cstheme="minorHAnsi"/>
              </w:rPr>
              <w:t xml:space="preserve"> </w:t>
            </w:r>
            <w:r w:rsidR="00863BD6">
              <w:rPr>
                <w:rFonts w:asciiTheme="minorHAnsi" w:hAnsiTheme="minorHAnsi" w:cstheme="minorHAnsi"/>
              </w:rPr>
              <w:t>r</w:t>
            </w:r>
            <w:r w:rsidR="008B2659">
              <w:rPr>
                <w:rFonts w:asciiTheme="minorHAnsi" w:hAnsiTheme="minorHAnsi" w:cstheme="minorHAnsi"/>
              </w:rPr>
              <w:t>ules</w:t>
            </w:r>
          </w:p>
        </w:tc>
        <w:tc>
          <w:tcPr>
            <w:tcW w:w="886" w:type="pct"/>
            <w:shd w:val="clear" w:color="auto" w:fill="auto"/>
            <w:vAlign w:val="center"/>
          </w:tcPr>
          <w:p w14:paraId="6FFE3177" w14:textId="19FD453C"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14.</w:t>
            </w:r>
            <w:r w:rsidR="00721BB8">
              <w:rPr>
                <w:rFonts w:asciiTheme="minorHAnsi" w:hAnsiTheme="minorHAnsi" w:cstheme="minorHAnsi"/>
              </w:rPr>
              <w:t>2</w:t>
            </w:r>
            <w:r w:rsidRPr="00325964">
              <w:rPr>
                <w:rFonts w:asciiTheme="minorHAnsi" w:hAnsiTheme="minorHAnsi" w:cstheme="minorHAnsi"/>
              </w:rPr>
              <w:t xml:space="preserve"> to 22.</w:t>
            </w:r>
            <w:r w:rsidR="00721BB8">
              <w:rPr>
                <w:rFonts w:asciiTheme="minorHAnsi" w:hAnsiTheme="minorHAnsi" w:cstheme="minorHAnsi"/>
              </w:rPr>
              <w:t>5</w:t>
            </w:r>
          </w:p>
        </w:tc>
        <w:tc>
          <w:tcPr>
            <w:tcW w:w="811" w:type="pct"/>
            <w:shd w:val="clear" w:color="auto" w:fill="auto"/>
            <w:vAlign w:val="center"/>
          </w:tcPr>
          <w:p w14:paraId="05BC879D" w14:textId="118C2FD9"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4.</w:t>
            </w:r>
            <w:r w:rsidR="00721BB8">
              <w:rPr>
                <w:rFonts w:asciiTheme="minorHAnsi" w:hAnsiTheme="minorHAnsi" w:cstheme="minorHAnsi"/>
              </w:rPr>
              <w:t>3</w:t>
            </w:r>
            <w:r w:rsidRPr="00325964">
              <w:rPr>
                <w:rFonts w:asciiTheme="minorHAnsi" w:hAnsiTheme="minorHAnsi" w:cstheme="minorHAnsi"/>
              </w:rPr>
              <w:t xml:space="preserve"> to </w:t>
            </w:r>
            <w:r w:rsidR="00721BB8">
              <w:rPr>
                <w:rFonts w:asciiTheme="minorHAnsi" w:hAnsiTheme="minorHAnsi" w:cstheme="minorHAnsi"/>
              </w:rPr>
              <w:t>9.1</w:t>
            </w:r>
          </w:p>
        </w:tc>
        <w:tc>
          <w:tcPr>
            <w:tcW w:w="999" w:type="pct"/>
            <w:shd w:val="clear" w:color="auto" w:fill="auto"/>
            <w:vAlign w:val="center"/>
          </w:tcPr>
          <w:p w14:paraId="2CAB3C5F" w14:textId="28D3A50F"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5</w:t>
            </w:r>
            <w:r w:rsidR="00737621">
              <w:rPr>
                <w:rFonts w:asciiTheme="minorHAnsi" w:hAnsiTheme="minorHAnsi" w:cstheme="minorHAnsi"/>
              </w:rPr>
              <w:t>3.0</w:t>
            </w:r>
            <w:r w:rsidRPr="00325964">
              <w:rPr>
                <w:rFonts w:asciiTheme="minorHAnsi" w:hAnsiTheme="minorHAnsi" w:cstheme="minorHAnsi"/>
              </w:rPr>
              <w:t xml:space="preserve"> to 10</w:t>
            </w:r>
            <w:r w:rsidR="00737621">
              <w:rPr>
                <w:rFonts w:asciiTheme="minorHAnsi" w:hAnsiTheme="minorHAnsi" w:cstheme="minorHAnsi"/>
              </w:rPr>
              <w:t>4.8</w:t>
            </w:r>
          </w:p>
        </w:tc>
        <w:tc>
          <w:tcPr>
            <w:tcW w:w="689" w:type="pct"/>
            <w:shd w:val="clear" w:color="auto" w:fill="auto"/>
            <w:vAlign w:val="center"/>
          </w:tcPr>
          <w:p w14:paraId="4037D40A" w14:textId="5CFAA01F"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2.</w:t>
            </w:r>
            <w:r w:rsidR="00E85F8E">
              <w:rPr>
                <w:rFonts w:asciiTheme="minorHAnsi" w:hAnsiTheme="minorHAnsi" w:cstheme="minorHAnsi"/>
              </w:rPr>
              <w:t>1</w:t>
            </w:r>
          </w:p>
        </w:tc>
      </w:tr>
      <w:tr w:rsidR="00C1322C" w:rsidRPr="00325964" w14:paraId="125920A2" w14:textId="77777777" w:rsidTr="000C6AEA">
        <w:tc>
          <w:tcPr>
            <w:tcW w:w="5000" w:type="pct"/>
            <w:gridSpan w:val="5"/>
            <w:shd w:val="clear" w:color="auto" w:fill="F2F2F2" w:themeFill="background1" w:themeFillShade="F2"/>
            <w:vAlign w:val="center"/>
          </w:tcPr>
          <w:p w14:paraId="606EB66B" w14:textId="77777777" w:rsidR="00C1322C" w:rsidRPr="000C6AEA" w:rsidRDefault="00C1322C" w:rsidP="000C6AEA">
            <w:pPr>
              <w:pStyle w:val="TableBody"/>
              <w:rPr>
                <w:rFonts w:asciiTheme="minorHAnsi" w:hAnsiTheme="minorHAnsi" w:cstheme="minorHAnsi"/>
              </w:rPr>
            </w:pPr>
            <w:r w:rsidRPr="000C6AEA">
              <w:rPr>
                <w:rFonts w:asciiTheme="minorHAnsi" w:hAnsiTheme="minorHAnsi" w:cstheme="minorHAnsi"/>
              </w:rPr>
              <w:t>RMP Rules</w:t>
            </w:r>
          </w:p>
        </w:tc>
      </w:tr>
      <w:tr w:rsidR="00325964" w:rsidRPr="00325964" w14:paraId="253345A4" w14:textId="77777777" w:rsidTr="000C6AEA">
        <w:tc>
          <w:tcPr>
            <w:tcW w:w="1615" w:type="pct"/>
            <w:shd w:val="clear" w:color="auto" w:fill="F2F2F2" w:themeFill="background1" w:themeFillShade="F2"/>
            <w:vAlign w:val="center"/>
            <w:hideMark/>
          </w:tcPr>
          <w:p w14:paraId="0045A0B3" w14:textId="77777777" w:rsidR="00837B84" w:rsidRPr="000C6AEA" w:rsidRDefault="00837B84" w:rsidP="000C6AEA">
            <w:pPr>
              <w:pStyle w:val="TableBody"/>
              <w:rPr>
                <w:rFonts w:asciiTheme="minorHAnsi" w:hAnsiTheme="minorHAnsi" w:cstheme="minorHAnsi"/>
              </w:rPr>
            </w:pPr>
            <w:r w:rsidRPr="000C6AEA">
              <w:rPr>
                <w:rFonts w:asciiTheme="minorHAnsi" w:hAnsiTheme="minorHAnsi" w:cstheme="minorHAnsi"/>
              </w:rPr>
              <w:t xml:space="preserve">Cyber </w:t>
            </w:r>
            <w:r w:rsidR="00824B94" w:rsidRPr="000C6AEA">
              <w:rPr>
                <w:rFonts w:asciiTheme="minorHAnsi" w:hAnsiTheme="minorHAnsi" w:cstheme="minorHAnsi"/>
              </w:rPr>
              <w:t xml:space="preserve">and information </w:t>
            </w:r>
            <w:r w:rsidRPr="000C6AEA">
              <w:rPr>
                <w:rFonts w:asciiTheme="minorHAnsi" w:hAnsiTheme="minorHAnsi" w:cstheme="minorHAnsi"/>
              </w:rPr>
              <w:t xml:space="preserve">security hazard </w:t>
            </w:r>
          </w:p>
        </w:tc>
        <w:tc>
          <w:tcPr>
            <w:tcW w:w="886" w:type="pct"/>
            <w:shd w:val="clear" w:color="auto" w:fill="FFFFFF" w:themeFill="background1"/>
            <w:vAlign w:val="center"/>
          </w:tcPr>
          <w:p w14:paraId="0A32AF33" w14:textId="3061FEEB" w:rsidR="00837B84" w:rsidRPr="00325964" w:rsidRDefault="00050A07" w:rsidP="00170FD0">
            <w:pPr>
              <w:pStyle w:val="TableBody"/>
              <w:jc w:val="center"/>
              <w:rPr>
                <w:rFonts w:asciiTheme="minorHAnsi" w:hAnsiTheme="minorHAnsi" w:cstheme="minorHAnsi"/>
              </w:rPr>
            </w:pPr>
            <w:r w:rsidRPr="00721BB8">
              <w:rPr>
                <w:rFonts w:asciiTheme="minorHAnsi" w:hAnsiTheme="minorHAnsi" w:cstheme="minorHAnsi"/>
              </w:rPr>
              <w:t>53.3</w:t>
            </w:r>
            <w:r w:rsidR="00837B84" w:rsidRPr="00325964">
              <w:rPr>
                <w:rFonts w:asciiTheme="minorHAnsi" w:hAnsiTheme="minorHAnsi" w:cstheme="minorHAnsi"/>
              </w:rPr>
              <w:t xml:space="preserve"> to </w:t>
            </w:r>
            <w:r w:rsidRPr="00721BB8">
              <w:rPr>
                <w:rFonts w:asciiTheme="minorHAnsi" w:hAnsiTheme="minorHAnsi" w:cstheme="minorHAnsi"/>
              </w:rPr>
              <w:t>98</w:t>
            </w:r>
            <w:r w:rsidR="00837B84" w:rsidRPr="00325964">
              <w:rPr>
                <w:rFonts w:asciiTheme="minorHAnsi" w:hAnsiTheme="minorHAnsi" w:cstheme="minorHAnsi"/>
              </w:rPr>
              <w:t>.5</w:t>
            </w:r>
          </w:p>
        </w:tc>
        <w:tc>
          <w:tcPr>
            <w:tcW w:w="811" w:type="pct"/>
            <w:shd w:val="clear" w:color="auto" w:fill="FFFFFF" w:themeFill="background1"/>
            <w:vAlign w:val="center"/>
          </w:tcPr>
          <w:p w14:paraId="5577E589" w14:textId="2142D7C2" w:rsidR="00837B84" w:rsidRPr="00325964" w:rsidRDefault="00837B84" w:rsidP="00170FD0">
            <w:pPr>
              <w:pStyle w:val="TableBody"/>
              <w:jc w:val="center"/>
              <w:rPr>
                <w:rFonts w:asciiTheme="minorHAnsi" w:hAnsiTheme="minorHAnsi" w:cstheme="minorHAnsi"/>
              </w:rPr>
            </w:pPr>
            <w:r w:rsidRPr="00325964">
              <w:rPr>
                <w:rFonts w:asciiTheme="minorHAnsi" w:hAnsiTheme="minorHAnsi" w:cstheme="minorHAnsi"/>
              </w:rPr>
              <w:t>35.</w:t>
            </w:r>
            <w:r w:rsidR="00050A07" w:rsidRPr="00487A9D">
              <w:rPr>
                <w:rFonts w:asciiTheme="minorHAnsi" w:hAnsiTheme="minorHAnsi" w:cstheme="minorHAnsi"/>
              </w:rPr>
              <w:t>7</w:t>
            </w:r>
            <w:r w:rsidRPr="00325964">
              <w:rPr>
                <w:rFonts w:asciiTheme="minorHAnsi" w:hAnsiTheme="minorHAnsi" w:cstheme="minorHAnsi"/>
              </w:rPr>
              <w:t xml:space="preserve"> to </w:t>
            </w:r>
            <w:r w:rsidR="00050A07" w:rsidRPr="00487A9D">
              <w:rPr>
                <w:rFonts w:asciiTheme="minorHAnsi" w:hAnsiTheme="minorHAnsi" w:cstheme="minorHAnsi"/>
              </w:rPr>
              <w:t>61</w:t>
            </w:r>
            <w:r w:rsidRPr="00325964">
              <w:rPr>
                <w:rFonts w:asciiTheme="minorHAnsi" w:hAnsiTheme="minorHAnsi" w:cstheme="minorHAnsi"/>
              </w:rPr>
              <w:t>.8</w:t>
            </w:r>
          </w:p>
        </w:tc>
        <w:tc>
          <w:tcPr>
            <w:tcW w:w="999" w:type="pct"/>
            <w:shd w:val="clear" w:color="auto" w:fill="FFFFFF" w:themeFill="background1"/>
            <w:vAlign w:val="center"/>
          </w:tcPr>
          <w:p w14:paraId="73AD8EDA" w14:textId="2A8C853D" w:rsidR="00837B84" w:rsidRPr="00325964" w:rsidRDefault="00050A07" w:rsidP="00170FD0">
            <w:pPr>
              <w:pStyle w:val="TableBody"/>
              <w:jc w:val="center"/>
              <w:rPr>
                <w:rFonts w:asciiTheme="minorHAnsi" w:hAnsiTheme="minorHAnsi" w:cstheme="minorHAnsi"/>
                <w:lang w:eastAsia="en-AU"/>
              </w:rPr>
            </w:pPr>
            <w:r w:rsidRPr="00325964">
              <w:rPr>
                <w:rFonts w:asciiTheme="minorHAnsi" w:hAnsiTheme="minorHAnsi" w:cstheme="minorHAnsi"/>
              </w:rPr>
              <w:t>35</w:t>
            </w:r>
            <w:r w:rsidR="00737621">
              <w:rPr>
                <w:rFonts w:asciiTheme="minorHAnsi" w:hAnsiTheme="minorHAnsi" w:cstheme="minorHAnsi"/>
              </w:rPr>
              <w:t>6.7</w:t>
            </w:r>
            <w:r w:rsidRPr="00325964">
              <w:rPr>
                <w:rFonts w:asciiTheme="minorHAnsi" w:hAnsiTheme="minorHAnsi" w:cstheme="minorHAnsi"/>
              </w:rPr>
              <w:t xml:space="preserve"> to 6</w:t>
            </w:r>
            <w:r w:rsidR="00737621">
              <w:rPr>
                <w:rFonts w:asciiTheme="minorHAnsi" w:hAnsiTheme="minorHAnsi" w:cstheme="minorHAnsi"/>
              </w:rPr>
              <w:t>54.8</w:t>
            </w:r>
          </w:p>
        </w:tc>
        <w:tc>
          <w:tcPr>
            <w:tcW w:w="689" w:type="pct"/>
            <w:shd w:val="clear" w:color="auto" w:fill="FFFFFF" w:themeFill="background1"/>
            <w:vAlign w:val="center"/>
          </w:tcPr>
          <w:p w14:paraId="644E26CC" w14:textId="00977D1F"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13.</w:t>
            </w:r>
            <w:r w:rsidR="00E85F8E">
              <w:rPr>
                <w:rFonts w:asciiTheme="minorHAnsi" w:hAnsiTheme="minorHAnsi" w:cstheme="minorHAnsi"/>
              </w:rPr>
              <w:t>8</w:t>
            </w:r>
          </w:p>
        </w:tc>
      </w:tr>
      <w:tr w:rsidR="00325964" w:rsidRPr="00325964" w14:paraId="2CCD3913" w14:textId="77777777" w:rsidTr="000C6AEA">
        <w:tc>
          <w:tcPr>
            <w:tcW w:w="1615" w:type="pct"/>
            <w:shd w:val="clear" w:color="auto" w:fill="F2F2F2" w:themeFill="background1" w:themeFillShade="F2"/>
            <w:vAlign w:val="center"/>
            <w:hideMark/>
          </w:tcPr>
          <w:p w14:paraId="3B035CC6" w14:textId="77777777" w:rsidR="00837B84" w:rsidRPr="000C6AEA" w:rsidRDefault="00837B84" w:rsidP="000C6AEA">
            <w:pPr>
              <w:pStyle w:val="TableBody"/>
              <w:rPr>
                <w:rFonts w:asciiTheme="minorHAnsi" w:hAnsiTheme="minorHAnsi" w:cstheme="minorHAnsi"/>
              </w:rPr>
            </w:pPr>
            <w:r w:rsidRPr="000C6AEA">
              <w:rPr>
                <w:rFonts w:asciiTheme="minorHAnsi" w:hAnsiTheme="minorHAnsi" w:cstheme="minorHAnsi"/>
              </w:rPr>
              <w:t>Personnel hazard</w:t>
            </w:r>
          </w:p>
        </w:tc>
        <w:tc>
          <w:tcPr>
            <w:tcW w:w="886" w:type="pct"/>
            <w:shd w:val="clear" w:color="auto" w:fill="FFFFFF" w:themeFill="background1"/>
            <w:vAlign w:val="center"/>
          </w:tcPr>
          <w:p w14:paraId="0B0AFA9D" w14:textId="734B7E06" w:rsidR="00837B84" w:rsidRPr="00325964" w:rsidRDefault="00837B84" w:rsidP="00170FD0">
            <w:pPr>
              <w:pStyle w:val="TableBody"/>
              <w:jc w:val="center"/>
              <w:rPr>
                <w:rFonts w:asciiTheme="minorHAnsi" w:hAnsiTheme="minorHAnsi" w:cstheme="minorHAnsi"/>
              </w:rPr>
            </w:pPr>
            <w:r w:rsidRPr="00325964">
              <w:rPr>
                <w:rFonts w:asciiTheme="minorHAnsi" w:hAnsiTheme="minorHAnsi" w:cstheme="minorHAnsi"/>
              </w:rPr>
              <w:t>20.</w:t>
            </w:r>
            <w:r w:rsidR="00050A07" w:rsidRPr="00721BB8">
              <w:rPr>
                <w:rFonts w:asciiTheme="minorHAnsi" w:hAnsiTheme="minorHAnsi" w:cstheme="minorHAnsi"/>
              </w:rPr>
              <w:t>8</w:t>
            </w:r>
            <w:r w:rsidRPr="00325964">
              <w:rPr>
                <w:rFonts w:asciiTheme="minorHAnsi" w:hAnsiTheme="minorHAnsi" w:cstheme="minorHAnsi"/>
              </w:rPr>
              <w:t xml:space="preserve"> to </w:t>
            </w:r>
            <w:r w:rsidR="00050A07" w:rsidRPr="00721BB8">
              <w:rPr>
                <w:rFonts w:asciiTheme="minorHAnsi" w:hAnsiTheme="minorHAnsi" w:cstheme="minorHAnsi"/>
              </w:rPr>
              <w:t>37.0</w:t>
            </w:r>
          </w:p>
        </w:tc>
        <w:tc>
          <w:tcPr>
            <w:tcW w:w="811" w:type="pct"/>
            <w:shd w:val="clear" w:color="auto" w:fill="FFFFFF" w:themeFill="background1"/>
            <w:vAlign w:val="center"/>
          </w:tcPr>
          <w:p w14:paraId="3F3D14FA" w14:textId="0F8C1761" w:rsidR="00837B84" w:rsidRPr="00325964" w:rsidRDefault="00837B84" w:rsidP="00170FD0">
            <w:pPr>
              <w:pStyle w:val="TableBody"/>
              <w:jc w:val="center"/>
              <w:rPr>
                <w:rFonts w:asciiTheme="minorHAnsi" w:hAnsiTheme="minorHAnsi" w:cstheme="minorHAnsi"/>
              </w:rPr>
            </w:pPr>
            <w:r w:rsidRPr="00325964">
              <w:rPr>
                <w:rFonts w:asciiTheme="minorHAnsi" w:hAnsiTheme="minorHAnsi" w:cstheme="minorHAnsi"/>
              </w:rPr>
              <w:t>21.</w:t>
            </w:r>
            <w:r w:rsidR="00050A07" w:rsidRPr="00487A9D">
              <w:rPr>
                <w:rFonts w:asciiTheme="minorHAnsi" w:hAnsiTheme="minorHAnsi" w:cstheme="minorHAnsi"/>
              </w:rPr>
              <w:t>5</w:t>
            </w:r>
            <w:r w:rsidRPr="00325964">
              <w:rPr>
                <w:rFonts w:asciiTheme="minorHAnsi" w:hAnsiTheme="minorHAnsi" w:cstheme="minorHAnsi"/>
              </w:rPr>
              <w:t xml:space="preserve"> to </w:t>
            </w:r>
            <w:r w:rsidR="00050A07" w:rsidRPr="00487A9D">
              <w:rPr>
                <w:rFonts w:asciiTheme="minorHAnsi" w:hAnsiTheme="minorHAnsi" w:cstheme="minorHAnsi"/>
              </w:rPr>
              <w:t>30.4</w:t>
            </w:r>
          </w:p>
        </w:tc>
        <w:tc>
          <w:tcPr>
            <w:tcW w:w="999" w:type="pct"/>
            <w:shd w:val="clear" w:color="auto" w:fill="FFFFFF" w:themeFill="background1"/>
            <w:vAlign w:val="center"/>
          </w:tcPr>
          <w:p w14:paraId="255AA0A6" w14:textId="00B7314F" w:rsidR="00837B84" w:rsidRPr="00325964" w:rsidRDefault="00050A07" w:rsidP="00170FD0">
            <w:pPr>
              <w:pStyle w:val="TableBody"/>
              <w:jc w:val="center"/>
              <w:rPr>
                <w:rFonts w:asciiTheme="minorHAnsi" w:hAnsiTheme="minorHAnsi" w:cstheme="minorHAnsi"/>
                <w:lang w:eastAsia="en-AU"/>
              </w:rPr>
            </w:pPr>
            <w:r w:rsidRPr="00325964">
              <w:rPr>
                <w:rFonts w:asciiTheme="minorHAnsi" w:hAnsiTheme="minorHAnsi" w:cstheme="minorHAnsi"/>
              </w:rPr>
              <w:t>22</w:t>
            </w:r>
            <w:r w:rsidR="00737621">
              <w:rPr>
                <w:rFonts w:asciiTheme="minorHAnsi" w:hAnsiTheme="minorHAnsi" w:cstheme="minorHAnsi"/>
              </w:rPr>
              <w:t>5.1</w:t>
            </w:r>
            <w:r w:rsidRPr="00325964">
              <w:rPr>
                <w:rFonts w:asciiTheme="minorHAnsi" w:hAnsiTheme="minorHAnsi" w:cstheme="minorHAnsi"/>
              </w:rPr>
              <w:t xml:space="preserve"> to 3</w:t>
            </w:r>
            <w:r w:rsidR="00737621">
              <w:rPr>
                <w:rFonts w:asciiTheme="minorHAnsi" w:hAnsiTheme="minorHAnsi" w:cstheme="minorHAnsi"/>
              </w:rPr>
              <w:t>10.4</w:t>
            </w:r>
          </w:p>
        </w:tc>
        <w:tc>
          <w:tcPr>
            <w:tcW w:w="689" w:type="pct"/>
            <w:shd w:val="clear" w:color="auto" w:fill="FFFFFF" w:themeFill="background1"/>
            <w:vAlign w:val="center"/>
          </w:tcPr>
          <w:p w14:paraId="20D1D460" w14:textId="77777777"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8.7</w:t>
            </w:r>
          </w:p>
        </w:tc>
      </w:tr>
      <w:tr w:rsidR="00325964" w:rsidRPr="00325964" w14:paraId="15CE4E25" w14:textId="77777777" w:rsidTr="000C6AEA">
        <w:tc>
          <w:tcPr>
            <w:tcW w:w="1615" w:type="pct"/>
            <w:shd w:val="clear" w:color="auto" w:fill="F2F2F2" w:themeFill="background1" w:themeFillShade="F2"/>
            <w:vAlign w:val="center"/>
            <w:hideMark/>
          </w:tcPr>
          <w:p w14:paraId="58134B58" w14:textId="77777777" w:rsidR="00837B84" w:rsidRPr="000C6AEA" w:rsidRDefault="00837B84" w:rsidP="000C6AEA">
            <w:pPr>
              <w:pStyle w:val="TableBody"/>
              <w:rPr>
                <w:rFonts w:asciiTheme="minorHAnsi" w:hAnsiTheme="minorHAnsi" w:cstheme="minorHAnsi"/>
              </w:rPr>
            </w:pPr>
            <w:r w:rsidRPr="000C6AEA">
              <w:rPr>
                <w:rFonts w:asciiTheme="minorHAnsi" w:hAnsiTheme="minorHAnsi" w:cstheme="minorHAnsi"/>
              </w:rPr>
              <w:t xml:space="preserve">Supply chain hazard </w:t>
            </w:r>
          </w:p>
        </w:tc>
        <w:tc>
          <w:tcPr>
            <w:tcW w:w="886" w:type="pct"/>
            <w:shd w:val="clear" w:color="auto" w:fill="FFFFFF" w:themeFill="background1"/>
            <w:vAlign w:val="center"/>
          </w:tcPr>
          <w:p w14:paraId="773E46B5" w14:textId="3FF1C774" w:rsidR="00837B84" w:rsidRPr="00325964" w:rsidRDefault="00050A07" w:rsidP="00170FD0">
            <w:pPr>
              <w:pStyle w:val="TableBody"/>
              <w:jc w:val="center"/>
              <w:rPr>
                <w:rFonts w:asciiTheme="minorHAnsi" w:hAnsiTheme="minorHAnsi" w:cstheme="minorHAnsi"/>
              </w:rPr>
            </w:pPr>
            <w:r w:rsidRPr="00721BB8">
              <w:rPr>
                <w:rFonts w:asciiTheme="minorHAnsi" w:hAnsiTheme="minorHAnsi" w:cstheme="minorHAnsi"/>
              </w:rPr>
              <w:t>136.6 to 169.8</w:t>
            </w:r>
          </w:p>
        </w:tc>
        <w:tc>
          <w:tcPr>
            <w:tcW w:w="811" w:type="pct"/>
            <w:shd w:val="clear" w:color="auto" w:fill="FFFFFF" w:themeFill="background1"/>
            <w:vAlign w:val="center"/>
          </w:tcPr>
          <w:p w14:paraId="2B2B827E" w14:textId="4BCB43AF" w:rsidR="00837B84" w:rsidRPr="00325964" w:rsidRDefault="00050A07" w:rsidP="00170FD0">
            <w:pPr>
              <w:pStyle w:val="TableBody"/>
              <w:jc w:val="center"/>
              <w:rPr>
                <w:rFonts w:asciiTheme="minorHAnsi" w:hAnsiTheme="minorHAnsi" w:cstheme="minorHAnsi"/>
              </w:rPr>
            </w:pPr>
            <w:r w:rsidRPr="00487A9D">
              <w:rPr>
                <w:rFonts w:asciiTheme="minorHAnsi" w:hAnsiTheme="minorHAnsi" w:cstheme="minorHAnsi"/>
              </w:rPr>
              <w:t>53.0</w:t>
            </w:r>
            <w:r w:rsidR="00837B84" w:rsidRPr="00325964">
              <w:rPr>
                <w:rFonts w:asciiTheme="minorHAnsi" w:hAnsiTheme="minorHAnsi" w:cstheme="minorHAnsi"/>
              </w:rPr>
              <w:t xml:space="preserve"> to </w:t>
            </w:r>
            <w:r w:rsidRPr="00487A9D">
              <w:rPr>
                <w:rFonts w:asciiTheme="minorHAnsi" w:hAnsiTheme="minorHAnsi" w:cstheme="minorHAnsi"/>
              </w:rPr>
              <w:t>77.5</w:t>
            </w:r>
          </w:p>
        </w:tc>
        <w:tc>
          <w:tcPr>
            <w:tcW w:w="999" w:type="pct"/>
            <w:shd w:val="clear" w:color="auto" w:fill="FFFFFF" w:themeFill="background1"/>
            <w:vAlign w:val="center"/>
          </w:tcPr>
          <w:p w14:paraId="3F39F59D" w14:textId="137852D4" w:rsidR="00837B84" w:rsidRPr="00325964" w:rsidRDefault="00050A07" w:rsidP="00170FD0">
            <w:pPr>
              <w:pStyle w:val="TableBody"/>
              <w:jc w:val="center"/>
              <w:rPr>
                <w:rFonts w:asciiTheme="minorHAnsi" w:hAnsiTheme="minorHAnsi" w:cstheme="minorHAnsi"/>
                <w:lang w:eastAsia="en-AU"/>
              </w:rPr>
            </w:pPr>
            <w:r w:rsidRPr="00325964">
              <w:rPr>
                <w:rFonts w:asciiTheme="minorHAnsi" w:hAnsiTheme="minorHAnsi" w:cstheme="minorHAnsi"/>
              </w:rPr>
              <w:t>6</w:t>
            </w:r>
            <w:r w:rsidR="00737621">
              <w:rPr>
                <w:rFonts w:asciiTheme="minorHAnsi" w:hAnsiTheme="minorHAnsi" w:cstheme="minorHAnsi"/>
              </w:rPr>
              <w:t>39</w:t>
            </w:r>
            <w:r w:rsidR="00837B84" w:rsidRPr="00325964">
              <w:rPr>
                <w:rFonts w:asciiTheme="minorHAnsi" w:hAnsiTheme="minorHAnsi" w:cstheme="minorHAnsi"/>
              </w:rPr>
              <w:t xml:space="preserve">.9 to </w:t>
            </w:r>
            <w:r w:rsidRPr="00325964">
              <w:rPr>
                <w:rFonts w:asciiTheme="minorHAnsi" w:hAnsiTheme="minorHAnsi" w:cstheme="minorHAnsi"/>
              </w:rPr>
              <w:t>86</w:t>
            </w:r>
            <w:r w:rsidR="00737621">
              <w:rPr>
                <w:rFonts w:asciiTheme="minorHAnsi" w:hAnsiTheme="minorHAnsi" w:cstheme="minorHAnsi"/>
              </w:rPr>
              <w:t>7.6</w:t>
            </w:r>
          </w:p>
        </w:tc>
        <w:tc>
          <w:tcPr>
            <w:tcW w:w="689" w:type="pct"/>
            <w:shd w:val="clear" w:color="auto" w:fill="FFFFFF" w:themeFill="background1"/>
            <w:vAlign w:val="center"/>
          </w:tcPr>
          <w:p w14:paraId="2D9059B5" w14:textId="38ED869A"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24.</w:t>
            </w:r>
            <w:r w:rsidR="00E85F8E">
              <w:rPr>
                <w:rFonts w:asciiTheme="minorHAnsi" w:hAnsiTheme="minorHAnsi" w:cstheme="minorHAnsi"/>
              </w:rPr>
              <w:t>8</w:t>
            </w:r>
          </w:p>
        </w:tc>
      </w:tr>
      <w:tr w:rsidR="00325964" w:rsidRPr="00325964" w14:paraId="7F4FB429" w14:textId="77777777" w:rsidTr="000C6AEA">
        <w:tc>
          <w:tcPr>
            <w:tcW w:w="1615" w:type="pct"/>
            <w:shd w:val="clear" w:color="auto" w:fill="F2F2F2" w:themeFill="background1" w:themeFillShade="F2"/>
            <w:vAlign w:val="center"/>
            <w:hideMark/>
          </w:tcPr>
          <w:p w14:paraId="2698AFAB" w14:textId="77777777" w:rsidR="00837B84" w:rsidRPr="000C6AEA" w:rsidRDefault="00837B84" w:rsidP="000C6AEA">
            <w:pPr>
              <w:pStyle w:val="TableBody"/>
              <w:rPr>
                <w:rFonts w:asciiTheme="minorHAnsi" w:hAnsiTheme="minorHAnsi" w:cstheme="minorHAnsi"/>
              </w:rPr>
            </w:pPr>
            <w:r w:rsidRPr="000C6AEA">
              <w:rPr>
                <w:rFonts w:asciiTheme="minorHAnsi" w:hAnsiTheme="minorHAnsi" w:cstheme="minorHAnsi"/>
              </w:rPr>
              <w:t>Physical hazard</w:t>
            </w:r>
          </w:p>
        </w:tc>
        <w:tc>
          <w:tcPr>
            <w:tcW w:w="886" w:type="pct"/>
            <w:shd w:val="clear" w:color="auto" w:fill="FFFFFF" w:themeFill="background1"/>
            <w:vAlign w:val="center"/>
          </w:tcPr>
          <w:p w14:paraId="4A97FEE0" w14:textId="21342B66" w:rsidR="00837B84" w:rsidRPr="00325964" w:rsidRDefault="00050A07" w:rsidP="00170FD0">
            <w:pPr>
              <w:pStyle w:val="TableBody"/>
              <w:jc w:val="center"/>
              <w:rPr>
                <w:rFonts w:asciiTheme="minorHAnsi" w:hAnsiTheme="minorHAnsi" w:cstheme="minorHAnsi"/>
              </w:rPr>
            </w:pPr>
            <w:r w:rsidRPr="00721BB8">
              <w:rPr>
                <w:rFonts w:asciiTheme="minorHAnsi" w:hAnsiTheme="minorHAnsi" w:cstheme="minorHAnsi"/>
              </w:rPr>
              <w:t>129.3 to 240.0</w:t>
            </w:r>
          </w:p>
        </w:tc>
        <w:tc>
          <w:tcPr>
            <w:tcW w:w="811" w:type="pct"/>
            <w:shd w:val="clear" w:color="auto" w:fill="FFFFFF" w:themeFill="background1"/>
            <w:vAlign w:val="center"/>
          </w:tcPr>
          <w:p w14:paraId="4419A35A" w14:textId="56152BD5" w:rsidR="00837B84" w:rsidRPr="00325964" w:rsidRDefault="00050A07" w:rsidP="00170FD0">
            <w:pPr>
              <w:pStyle w:val="TableBody"/>
              <w:jc w:val="center"/>
              <w:rPr>
                <w:rFonts w:asciiTheme="minorHAnsi" w:hAnsiTheme="minorHAnsi" w:cstheme="minorHAnsi"/>
              </w:rPr>
            </w:pPr>
            <w:r w:rsidRPr="00487A9D">
              <w:rPr>
                <w:rFonts w:asciiTheme="minorHAnsi" w:hAnsiTheme="minorHAnsi" w:cstheme="minorHAnsi"/>
              </w:rPr>
              <w:t>52.0</w:t>
            </w:r>
            <w:r w:rsidR="00837B84" w:rsidRPr="00325964">
              <w:rPr>
                <w:rFonts w:asciiTheme="minorHAnsi" w:hAnsiTheme="minorHAnsi" w:cstheme="minorHAnsi"/>
              </w:rPr>
              <w:t xml:space="preserve"> to </w:t>
            </w:r>
            <w:r w:rsidRPr="00487A9D">
              <w:rPr>
                <w:rFonts w:asciiTheme="minorHAnsi" w:hAnsiTheme="minorHAnsi" w:cstheme="minorHAnsi"/>
              </w:rPr>
              <w:t>81.4</w:t>
            </w:r>
          </w:p>
        </w:tc>
        <w:tc>
          <w:tcPr>
            <w:tcW w:w="999" w:type="pct"/>
            <w:shd w:val="clear" w:color="auto" w:fill="FFFFFF" w:themeFill="background1"/>
            <w:vAlign w:val="center"/>
          </w:tcPr>
          <w:p w14:paraId="269C9494" w14:textId="38605CB3" w:rsidR="00837B84" w:rsidRPr="00325964" w:rsidRDefault="00050A07" w:rsidP="00170FD0">
            <w:pPr>
              <w:pStyle w:val="TableBody"/>
              <w:jc w:val="center"/>
              <w:rPr>
                <w:rFonts w:asciiTheme="minorHAnsi" w:hAnsiTheme="minorHAnsi" w:cstheme="minorHAnsi"/>
                <w:lang w:eastAsia="en-AU"/>
              </w:rPr>
            </w:pPr>
            <w:r w:rsidRPr="00325964">
              <w:rPr>
                <w:rFonts w:asciiTheme="minorHAnsi" w:hAnsiTheme="minorHAnsi" w:cstheme="minorHAnsi"/>
              </w:rPr>
              <w:t>6</w:t>
            </w:r>
            <w:r w:rsidR="00737621">
              <w:rPr>
                <w:rFonts w:asciiTheme="minorHAnsi" w:hAnsiTheme="minorHAnsi" w:cstheme="minorHAnsi"/>
              </w:rPr>
              <w:t>23.2</w:t>
            </w:r>
            <w:r w:rsidRPr="00325964">
              <w:rPr>
                <w:rFonts w:asciiTheme="minorHAnsi" w:hAnsiTheme="minorHAnsi" w:cstheme="minorHAnsi"/>
              </w:rPr>
              <w:t xml:space="preserve"> to 9</w:t>
            </w:r>
            <w:r w:rsidR="00737621">
              <w:rPr>
                <w:rFonts w:asciiTheme="minorHAnsi" w:hAnsiTheme="minorHAnsi" w:cstheme="minorHAnsi"/>
              </w:rPr>
              <w:t>72.7</w:t>
            </w:r>
          </w:p>
        </w:tc>
        <w:tc>
          <w:tcPr>
            <w:tcW w:w="689" w:type="pct"/>
            <w:shd w:val="clear" w:color="auto" w:fill="FFFFFF" w:themeFill="background1"/>
            <w:vAlign w:val="center"/>
          </w:tcPr>
          <w:p w14:paraId="5FFCC648" w14:textId="77777777"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24.2</w:t>
            </w:r>
          </w:p>
        </w:tc>
      </w:tr>
      <w:tr w:rsidR="00325964" w:rsidRPr="00325964" w14:paraId="18EA6F52" w14:textId="77777777" w:rsidTr="000C6AEA">
        <w:tc>
          <w:tcPr>
            <w:tcW w:w="1615" w:type="pct"/>
            <w:shd w:val="clear" w:color="auto" w:fill="F2F2F2" w:themeFill="background1" w:themeFillShade="F2"/>
            <w:vAlign w:val="center"/>
            <w:hideMark/>
          </w:tcPr>
          <w:p w14:paraId="2FBF7A56" w14:textId="77777777" w:rsidR="00837B84" w:rsidRPr="000C6AEA" w:rsidRDefault="00837B84" w:rsidP="000C6AEA">
            <w:pPr>
              <w:pStyle w:val="TableBody"/>
              <w:rPr>
                <w:rFonts w:asciiTheme="minorHAnsi" w:hAnsiTheme="minorHAnsi" w:cstheme="minorHAnsi"/>
              </w:rPr>
            </w:pPr>
            <w:r w:rsidRPr="000C6AEA">
              <w:rPr>
                <w:rFonts w:asciiTheme="minorHAnsi" w:hAnsiTheme="minorHAnsi" w:cstheme="minorHAnsi"/>
              </w:rPr>
              <w:t>Natural hazard</w:t>
            </w:r>
          </w:p>
        </w:tc>
        <w:tc>
          <w:tcPr>
            <w:tcW w:w="886" w:type="pct"/>
            <w:shd w:val="clear" w:color="auto" w:fill="FFFFFF" w:themeFill="background1"/>
            <w:vAlign w:val="center"/>
          </w:tcPr>
          <w:p w14:paraId="5FC50F61" w14:textId="493441E0" w:rsidR="00837B84" w:rsidRPr="00325964" w:rsidRDefault="00837B84" w:rsidP="00170FD0">
            <w:pPr>
              <w:pStyle w:val="TableBody"/>
              <w:jc w:val="center"/>
              <w:rPr>
                <w:rFonts w:asciiTheme="minorHAnsi" w:hAnsiTheme="minorHAnsi" w:cstheme="minorHAnsi"/>
              </w:rPr>
            </w:pPr>
            <w:r w:rsidRPr="00325964">
              <w:rPr>
                <w:rFonts w:asciiTheme="minorHAnsi" w:hAnsiTheme="minorHAnsi" w:cstheme="minorHAnsi"/>
              </w:rPr>
              <w:t>6.9 to 12.</w:t>
            </w:r>
            <w:r w:rsidR="00050A07" w:rsidRPr="00721BB8">
              <w:rPr>
                <w:rFonts w:asciiTheme="minorHAnsi" w:hAnsiTheme="minorHAnsi" w:cstheme="minorHAnsi"/>
              </w:rPr>
              <w:t>1</w:t>
            </w:r>
          </w:p>
        </w:tc>
        <w:tc>
          <w:tcPr>
            <w:tcW w:w="811" w:type="pct"/>
            <w:shd w:val="clear" w:color="auto" w:fill="FFFFFF" w:themeFill="background1"/>
            <w:vAlign w:val="center"/>
          </w:tcPr>
          <w:p w14:paraId="25EBE9C9" w14:textId="6E392FE4" w:rsidR="00837B84" w:rsidRPr="00325964" w:rsidRDefault="00837B84" w:rsidP="00170FD0">
            <w:pPr>
              <w:pStyle w:val="TableBody"/>
              <w:jc w:val="center"/>
              <w:rPr>
                <w:rFonts w:asciiTheme="minorHAnsi" w:hAnsiTheme="minorHAnsi" w:cstheme="minorHAnsi"/>
              </w:rPr>
            </w:pPr>
            <w:r w:rsidRPr="00325964">
              <w:rPr>
                <w:rFonts w:asciiTheme="minorHAnsi" w:hAnsiTheme="minorHAnsi" w:cstheme="minorHAnsi"/>
              </w:rPr>
              <w:t>4.</w:t>
            </w:r>
            <w:r w:rsidR="00050A07" w:rsidRPr="00487A9D">
              <w:rPr>
                <w:rFonts w:asciiTheme="minorHAnsi" w:hAnsiTheme="minorHAnsi" w:cstheme="minorHAnsi"/>
              </w:rPr>
              <w:t>8</w:t>
            </w:r>
            <w:r w:rsidRPr="00325964">
              <w:rPr>
                <w:rFonts w:asciiTheme="minorHAnsi" w:hAnsiTheme="minorHAnsi" w:cstheme="minorHAnsi"/>
              </w:rPr>
              <w:t xml:space="preserve"> to 13.</w:t>
            </w:r>
            <w:r w:rsidR="00050A07" w:rsidRPr="00487A9D">
              <w:rPr>
                <w:rFonts w:asciiTheme="minorHAnsi" w:hAnsiTheme="minorHAnsi" w:cstheme="minorHAnsi"/>
              </w:rPr>
              <w:t>1</w:t>
            </w:r>
          </w:p>
        </w:tc>
        <w:tc>
          <w:tcPr>
            <w:tcW w:w="999" w:type="pct"/>
            <w:shd w:val="clear" w:color="auto" w:fill="FFFFFF" w:themeFill="background1"/>
            <w:vAlign w:val="center"/>
          </w:tcPr>
          <w:p w14:paraId="66748CEC" w14:textId="658F368D" w:rsidR="00837B84" w:rsidRPr="00325964" w:rsidRDefault="00050A07" w:rsidP="00170FD0">
            <w:pPr>
              <w:pStyle w:val="TableBody"/>
              <w:jc w:val="center"/>
              <w:rPr>
                <w:rFonts w:asciiTheme="minorHAnsi" w:hAnsiTheme="minorHAnsi" w:cstheme="minorHAnsi"/>
                <w:lang w:eastAsia="en-AU"/>
              </w:rPr>
            </w:pPr>
            <w:r w:rsidRPr="00325964">
              <w:rPr>
                <w:rFonts w:asciiTheme="minorHAnsi" w:hAnsiTheme="minorHAnsi" w:cstheme="minorHAnsi"/>
              </w:rPr>
              <w:t>5</w:t>
            </w:r>
            <w:r w:rsidR="00737621">
              <w:rPr>
                <w:rFonts w:asciiTheme="minorHAnsi" w:hAnsiTheme="minorHAnsi" w:cstheme="minorHAnsi"/>
              </w:rPr>
              <w:t xml:space="preserve">2.4 </w:t>
            </w:r>
            <w:r w:rsidRPr="00325964">
              <w:rPr>
                <w:rFonts w:asciiTheme="minorHAnsi" w:hAnsiTheme="minorHAnsi" w:cstheme="minorHAnsi"/>
              </w:rPr>
              <w:t>to 1</w:t>
            </w:r>
            <w:r w:rsidR="00737621">
              <w:rPr>
                <w:rFonts w:asciiTheme="minorHAnsi" w:hAnsiTheme="minorHAnsi" w:cstheme="minorHAnsi"/>
              </w:rPr>
              <w:t>30.1</w:t>
            </w:r>
          </w:p>
        </w:tc>
        <w:tc>
          <w:tcPr>
            <w:tcW w:w="689" w:type="pct"/>
            <w:shd w:val="clear" w:color="auto" w:fill="FFFFFF" w:themeFill="background1"/>
            <w:vAlign w:val="center"/>
          </w:tcPr>
          <w:p w14:paraId="204F2FD3" w14:textId="77777777"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2.0</w:t>
            </w:r>
          </w:p>
        </w:tc>
      </w:tr>
      <w:tr w:rsidR="00325964" w:rsidRPr="00325964" w14:paraId="49591DAD" w14:textId="77777777" w:rsidTr="000C6AEA">
        <w:tc>
          <w:tcPr>
            <w:tcW w:w="1615" w:type="pct"/>
            <w:shd w:val="clear" w:color="auto" w:fill="F2F2F2" w:themeFill="background1" w:themeFillShade="F2"/>
            <w:vAlign w:val="center"/>
            <w:hideMark/>
          </w:tcPr>
          <w:p w14:paraId="74BD6312" w14:textId="77777777" w:rsidR="00837B84" w:rsidRPr="000C6AEA" w:rsidRDefault="00837B84" w:rsidP="000C6AEA">
            <w:pPr>
              <w:pStyle w:val="TableBody"/>
              <w:rPr>
                <w:rFonts w:asciiTheme="minorHAnsi" w:hAnsiTheme="minorHAnsi" w:cstheme="minorHAnsi"/>
              </w:rPr>
            </w:pPr>
            <w:r w:rsidRPr="000C6AEA">
              <w:rPr>
                <w:rFonts w:asciiTheme="minorHAnsi" w:hAnsiTheme="minorHAnsi" w:cstheme="minorHAnsi"/>
              </w:rPr>
              <w:t>Material risk</w:t>
            </w:r>
          </w:p>
        </w:tc>
        <w:tc>
          <w:tcPr>
            <w:tcW w:w="886" w:type="pct"/>
            <w:shd w:val="clear" w:color="auto" w:fill="FFFFFF" w:themeFill="background1"/>
            <w:vAlign w:val="center"/>
          </w:tcPr>
          <w:p w14:paraId="208E91EB" w14:textId="6D3987BE" w:rsidR="00837B84" w:rsidRPr="00325964" w:rsidRDefault="00837B84" w:rsidP="00170FD0">
            <w:pPr>
              <w:pStyle w:val="TableBody"/>
              <w:jc w:val="center"/>
              <w:rPr>
                <w:rFonts w:asciiTheme="minorHAnsi" w:hAnsiTheme="minorHAnsi" w:cstheme="minorHAnsi"/>
              </w:rPr>
            </w:pPr>
            <w:r w:rsidRPr="00325964">
              <w:rPr>
                <w:rFonts w:asciiTheme="minorHAnsi" w:hAnsiTheme="minorHAnsi" w:cstheme="minorHAnsi"/>
              </w:rPr>
              <w:t>75.</w:t>
            </w:r>
            <w:r w:rsidR="00050A07" w:rsidRPr="00721BB8">
              <w:rPr>
                <w:rFonts w:asciiTheme="minorHAnsi" w:hAnsiTheme="minorHAnsi" w:cstheme="minorHAnsi"/>
              </w:rPr>
              <w:t>6</w:t>
            </w:r>
            <w:r w:rsidRPr="00325964">
              <w:rPr>
                <w:rFonts w:asciiTheme="minorHAnsi" w:hAnsiTheme="minorHAnsi" w:cstheme="minorHAnsi"/>
              </w:rPr>
              <w:t xml:space="preserve"> to 131.</w:t>
            </w:r>
            <w:r w:rsidR="00050A07" w:rsidRPr="00721BB8">
              <w:rPr>
                <w:rFonts w:asciiTheme="minorHAnsi" w:hAnsiTheme="minorHAnsi" w:cstheme="minorHAnsi"/>
              </w:rPr>
              <w:t>9</w:t>
            </w:r>
          </w:p>
        </w:tc>
        <w:tc>
          <w:tcPr>
            <w:tcW w:w="811" w:type="pct"/>
            <w:shd w:val="clear" w:color="auto" w:fill="FFFFFF" w:themeFill="background1"/>
            <w:vAlign w:val="center"/>
          </w:tcPr>
          <w:p w14:paraId="188098E6" w14:textId="4B1539BA" w:rsidR="00837B84" w:rsidRPr="00325964" w:rsidRDefault="00837B84" w:rsidP="00170FD0">
            <w:pPr>
              <w:pStyle w:val="TableBody"/>
              <w:jc w:val="center"/>
              <w:rPr>
                <w:rFonts w:asciiTheme="minorHAnsi" w:hAnsiTheme="minorHAnsi" w:cstheme="minorHAnsi"/>
              </w:rPr>
            </w:pPr>
            <w:r w:rsidRPr="00325964">
              <w:rPr>
                <w:rFonts w:asciiTheme="minorHAnsi" w:hAnsiTheme="minorHAnsi" w:cstheme="minorHAnsi"/>
              </w:rPr>
              <w:t>31.</w:t>
            </w:r>
            <w:r w:rsidR="00050A07" w:rsidRPr="00487A9D">
              <w:rPr>
                <w:rFonts w:asciiTheme="minorHAnsi" w:hAnsiTheme="minorHAnsi" w:cstheme="minorHAnsi"/>
              </w:rPr>
              <w:t>7</w:t>
            </w:r>
            <w:r w:rsidRPr="00325964">
              <w:rPr>
                <w:rFonts w:asciiTheme="minorHAnsi" w:hAnsiTheme="minorHAnsi" w:cstheme="minorHAnsi"/>
              </w:rPr>
              <w:t xml:space="preserve"> to </w:t>
            </w:r>
            <w:r w:rsidR="00050A07" w:rsidRPr="00487A9D">
              <w:rPr>
                <w:rFonts w:asciiTheme="minorHAnsi" w:hAnsiTheme="minorHAnsi" w:cstheme="minorHAnsi"/>
              </w:rPr>
              <w:t>52.0</w:t>
            </w:r>
          </w:p>
        </w:tc>
        <w:tc>
          <w:tcPr>
            <w:tcW w:w="999" w:type="pct"/>
            <w:shd w:val="clear" w:color="auto" w:fill="FFFFFF" w:themeFill="background1"/>
            <w:vAlign w:val="center"/>
          </w:tcPr>
          <w:p w14:paraId="18766FB2" w14:textId="005DDAA2" w:rsidR="00837B84" w:rsidRPr="00325964" w:rsidRDefault="00050A07" w:rsidP="00170FD0">
            <w:pPr>
              <w:pStyle w:val="TableBody"/>
              <w:jc w:val="center"/>
              <w:rPr>
                <w:rFonts w:asciiTheme="minorHAnsi" w:hAnsiTheme="minorHAnsi" w:cstheme="minorHAnsi"/>
                <w:lang w:eastAsia="en-AU"/>
              </w:rPr>
            </w:pPr>
            <w:r w:rsidRPr="00325964">
              <w:rPr>
                <w:rFonts w:asciiTheme="minorHAnsi" w:hAnsiTheme="minorHAnsi" w:cstheme="minorHAnsi"/>
              </w:rPr>
              <w:t>37</w:t>
            </w:r>
            <w:r w:rsidR="00737621">
              <w:rPr>
                <w:rFonts w:asciiTheme="minorHAnsi" w:hAnsiTheme="minorHAnsi" w:cstheme="minorHAnsi"/>
              </w:rPr>
              <w:t>6.7</w:t>
            </w:r>
            <w:r w:rsidRPr="00325964">
              <w:rPr>
                <w:rFonts w:asciiTheme="minorHAnsi" w:hAnsiTheme="minorHAnsi" w:cstheme="minorHAnsi"/>
              </w:rPr>
              <w:t xml:space="preserve"> to </w:t>
            </w:r>
            <w:r w:rsidR="00737621">
              <w:rPr>
                <w:rFonts w:asciiTheme="minorHAnsi" w:hAnsiTheme="minorHAnsi" w:cstheme="minorHAnsi"/>
              </w:rPr>
              <w:t>600.2</w:t>
            </w:r>
          </w:p>
        </w:tc>
        <w:tc>
          <w:tcPr>
            <w:tcW w:w="689" w:type="pct"/>
            <w:shd w:val="clear" w:color="auto" w:fill="FFFFFF" w:themeFill="background1"/>
            <w:vAlign w:val="center"/>
          </w:tcPr>
          <w:p w14:paraId="12A7C5BA" w14:textId="4545538C" w:rsidR="00837B84" w:rsidRPr="00325964" w:rsidRDefault="00837B84" w:rsidP="00170FD0">
            <w:pPr>
              <w:pStyle w:val="TableBody"/>
              <w:jc w:val="center"/>
              <w:rPr>
                <w:rFonts w:asciiTheme="minorHAnsi" w:hAnsiTheme="minorHAnsi" w:cstheme="minorHAnsi"/>
                <w:lang w:eastAsia="en-AU"/>
              </w:rPr>
            </w:pPr>
            <w:r w:rsidRPr="00325964">
              <w:rPr>
                <w:rFonts w:asciiTheme="minorHAnsi" w:hAnsiTheme="minorHAnsi" w:cstheme="minorHAnsi"/>
              </w:rPr>
              <w:t>14.</w:t>
            </w:r>
            <w:r w:rsidR="00E85F8E">
              <w:rPr>
                <w:rFonts w:asciiTheme="minorHAnsi" w:hAnsiTheme="minorHAnsi" w:cstheme="minorHAnsi"/>
              </w:rPr>
              <w:t>6</w:t>
            </w:r>
          </w:p>
        </w:tc>
      </w:tr>
      <w:tr w:rsidR="00325964" w:rsidRPr="00325964" w14:paraId="2F29804A" w14:textId="77777777" w:rsidTr="002928FA">
        <w:tc>
          <w:tcPr>
            <w:tcW w:w="1615" w:type="pct"/>
            <w:shd w:val="clear" w:color="auto" w:fill="034EA2" w:themeFill="accent1"/>
            <w:vAlign w:val="center"/>
            <w:hideMark/>
          </w:tcPr>
          <w:p w14:paraId="7AD45D05" w14:textId="77777777" w:rsidR="00837B84" w:rsidRPr="00325964" w:rsidRDefault="00837B84" w:rsidP="00325964">
            <w:pPr>
              <w:pStyle w:val="TableHeading"/>
              <w:rPr>
                <w:rFonts w:asciiTheme="minorHAnsi" w:hAnsiTheme="minorHAnsi" w:cstheme="minorHAnsi"/>
                <w:lang w:eastAsia="en-AU"/>
              </w:rPr>
            </w:pPr>
            <w:r w:rsidRPr="00325964">
              <w:rPr>
                <w:rFonts w:asciiTheme="minorHAnsi" w:hAnsiTheme="minorHAnsi" w:cstheme="minorHAnsi"/>
                <w:lang w:eastAsia="en-AU"/>
              </w:rPr>
              <w:t>Total critical electricity assets</w:t>
            </w:r>
          </w:p>
        </w:tc>
        <w:tc>
          <w:tcPr>
            <w:tcW w:w="886" w:type="pct"/>
            <w:shd w:val="clear" w:color="auto" w:fill="034EA2" w:themeFill="accent1"/>
            <w:vAlign w:val="center"/>
          </w:tcPr>
          <w:p w14:paraId="40018D97" w14:textId="200B6BC3" w:rsidR="00837B84" w:rsidRPr="00325964" w:rsidRDefault="00050A07" w:rsidP="00170FD0">
            <w:pPr>
              <w:pStyle w:val="TableHeading"/>
              <w:jc w:val="center"/>
              <w:rPr>
                <w:rFonts w:asciiTheme="minorHAnsi" w:hAnsiTheme="minorHAnsi" w:cstheme="minorHAnsi"/>
                <w:lang w:eastAsia="en-AU"/>
              </w:rPr>
            </w:pPr>
            <w:r w:rsidRPr="00325964">
              <w:rPr>
                <w:rFonts w:asciiTheme="minorHAnsi" w:hAnsiTheme="minorHAnsi" w:cstheme="minorHAnsi"/>
              </w:rPr>
              <w:t>46</w:t>
            </w:r>
            <w:r>
              <w:rPr>
                <w:rFonts w:asciiTheme="minorHAnsi" w:hAnsiTheme="minorHAnsi" w:cstheme="minorHAnsi"/>
              </w:rPr>
              <w:t>3.3</w:t>
            </w:r>
            <w:r w:rsidRPr="00325964">
              <w:rPr>
                <w:rFonts w:asciiTheme="minorHAnsi" w:hAnsiTheme="minorHAnsi" w:cstheme="minorHAnsi"/>
              </w:rPr>
              <w:t xml:space="preserve"> to 75</w:t>
            </w:r>
            <w:r>
              <w:rPr>
                <w:rFonts w:asciiTheme="minorHAnsi" w:hAnsiTheme="minorHAnsi" w:cstheme="minorHAnsi"/>
              </w:rPr>
              <w:t>8.2</w:t>
            </w:r>
          </w:p>
        </w:tc>
        <w:tc>
          <w:tcPr>
            <w:tcW w:w="811" w:type="pct"/>
            <w:shd w:val="clear" w:color="auto" w:fill="034EA2" w:themeFill="accent1"/>
          </w:tcPr>
          <w:p w14:paraId="16A1AE9A" w14:textId="05795AF3" w:rsidR="00837B84" w:rsidRPr="00325964" w:rsidRDefault="00050A07" w:rsidP="00170FD0">
            <w:pPr>
              <w:pStyle w:val="TableHeading"/>
              <w:jc w:val="center"/>
              <w:rPr>
                <w:rFonts w:asciiTheme="minorHAnsi" w:hAnsiTheme="minorHAnsi" w:cstheme="minorHAnsi"/>
              </w:rPr>
            </w:pPr>
            <w:r w:rsidRPr="00487A9D">
              <w:rPr>
                <w:rFonts w:asciiTheme="minorHAnsi" w:hAnsiTheme="minorHAnsi" w:cstheme="minorHAnsi"/>
              </w:rPr>
              <w:t>228.0 to 366.4</w:t>
            </w:r>
          </w:p>
        </w:tc>
        <w:tc>
          <w:tcPr>
            <w:tcW w:w="999" w:type="pct"/>
            <w:shd w:val="clear" w:color="auto" w:fill="034EA2" w:themeFill="accent1"/>
            <w:vAlign w:val="center"/>
          </w:tcPr>
          <w:p w14:paraId="53B40E21" w14:textId="337C71E2" w:rsidR="00837B84" w:rsidRPr="00325964" w:rsidRDefault="00837B84" w:rsidP="00170FD0">
            <w:pPr>
              <w:pStyle w:val="TableHeading"/>
              <w:jc w:val="center"/>
              <w:rPr>
                <w:rFonts w:asciiTheme="minorHAnsi" w:hAnsiTheme="minorHAnsi" w:cstheme="minorHAnsi"/>
              </w:rPr>
            </w:pPr>
            <w:r w:rsidRPr="00325964">
              <w:rPr>
                <w:rFonts w:asciiTheme="minorHAnsi" w:hAnsiTheme="minorHAnsi" w:cstheme="minorHAnsi"/>
              </w:rPr>
              <w:t>2,</w:t>
            </w:r>
            <w:r w:rsidR="00050A07" w:rsidRPr="00325964">
              <w:rPr>
                <w:rFonts w:asciiTheme="minorHAnsi" w:hAnsiTheme="minorHAnsi" w:cstheme="minorHAnsi"/>
              </w:rPr>
              <w:t>5</w:t>
            </w:r>
            <w:r w:rsidR="00737621">
              <w:rPr>
                <w:rFonts w:asciiTheme="minorHAnsi" w:hAnsiTheme="minorHAnsi" w:cstheme="minorHAnsi"/>
              </w:rPr>
              <w:t>78.9</w:t>
            </w:r>
            <w:r w:rsidRPr="00325964">
              <w:rPr>
                <w:rFonts w:asciiTheme="minorHAnsi" w:hAnsiTheme="minorHAnsi" w:cstheme="minorHAnsi"/>
              </w:rPr>
              <w:t xml:space="preserve"> to 4,</w:t>
            </w:r>
            <w:r w:rsidR="00050A07" w:rsidRPr="00325964">
              <w:rPr>
                <w:rFonts w:asciiTheme="minorHAnsi" w:hAnsiTheme="minorHAnsi" w:cstheme="minorHAnsi"/>
              </w:rPr>
              <w:t>0</w:t>
            </w:r>
            <w:r w:rsidR="00737621">
              <w:rPr>
                <w:rFonts w:asciiTheme="minorHAnsi" w:hAnsiTheme="minorHAnsi" w:cstheme="minorHAnsi"/>
              </w:rPr>
              <w:t>55</w:t>
            </w:r>
            <w:r w:rsidRPr="00325964">
              <w:rPr>
                <w:rFonts w:asciiTheme="minorHAnsi" w:hAnsiTheme="minorHAnsi" w:cstheme="minorHAnsi"/>
              </w:rPr>
              <w:t>.8</w:t>
            </w:r>
          </w:p>
        </w:tc>
        <w:tc>
          <w:tcPr>
            <w:tcW w:w="689" w:type="pct"/>
            <w:shd w:val="clear" w:color="auto" w:fill="034EA2" w:themeFill="accent1"/>
            <w:vAlign w:val="center"/>
            <w:hideMark/>
          </w:tcPr>
          <w:p w14:paraId="3D8EED11" w14:textId="77777777" w:rsidR="00837B84" w:rsidRPr="00325964" w:rsidRDefault="00837B84" w:rsidP="00170FD0">
            <w:pPr>
              <w:pStyle w:val="TableHeading"/>
              <w:jc w:val="center"/>
              <w:rPr>
                <w:rFonts w:asciiTheme="minorHAnsi" w:hAnsiTheme="minorHAnsi" w:cstheme="minorHAnsi"/>
                <w:lang w:eastAsia="en-AU"/>
              </w:rPr>
            </w:pPr>
            <w:r w:rsidRPr="00325964">
              <w:rPr>
                <w:rFonts w:asciiTheme="minorHAnsi" w:hAnsiTheme="minorHAnsi" w:cstheme="minorHAnsi"/>
              </w:rPr>
              <w:t>100.0</w:t>
            </w:r>
          </w:p>
        </w:tc>
      </w:tr>
    </w:tbl>
    <w:p w14:paraId="662B6BED" w14:textId="6C6A05A7" w:rsidR="00C1322C" w:rsidRPr="00D0595B" w:rsidRDefault="00C1322C" w:rsidP="00325964">
      <w:pPr>
        <w:pStyle w:val="BodyText"/>
        <w:spacing w:before="240"/>
        <w:rPr>
          <w:b/>
          <w:bCs/>
          <w:i/>
          <w:iCs/>
          <w:strike/>
          <w:noProof/>
          <w:color w:val="44546A"/>
          <w:sz w:val="18"/>
          <w:szCs w:val="18"/>
        </w:rPr>
      </w:pPr>
      <w:r w:rsidRPr="00D0595B">
        <w:t>Analysis of industry submissions on cost impacts indicate that the</w:t>
      </w:r>
      <w:r w:rsidR="00837B84">
        <w:t xml:space="preserve"> expected</w:t>
      </w:r>
      <w:r w:rsidRPr="00D0595B">
        <w:t xml:space="preserve"> burden of regulation will be shared across the three business types.</w:t>
      </w:r>
      <w:r w:rsidR="009B296E">
        <w:t xml:space="preserve"> The table below </w:t>
      </w:r>
      <w:r w:rsidRPr="00D0595B">
        <w:t>shows that transmitters will incur 3</w:t>
      </w:r>
      <w:r w:rsidR="00220219">
        <w:t>6.0</w:t>
      </w:r>
      <w:r w:rsidRPr="00D0595B">
        <w:t xml:space="preserve">% of total critical electricity assets compliance costs, generators </w:t>
      </w:r>
      <w:r w:rsidR="00220219">
        <w:t>30.8</w:t>
      </w:r>
      <w:r w:rsidRPr="00D0595B">
        <w:t xml:space="preserve">% of total costs, distributors </w:t>
      </w:r>
      <w:r w:rsidR="00220219">
        <w:t>33.</w:t>
      </w:r>
      <w:r w:rsidR="006B4B45">
        <w:t>2</w:t>
      </w:r>
      <w:r w:rsidRPr="00D0595B">
        <w:t xml:space="preserve">% of total costs. </w:t>
      </w:r>
    </w:p>
    <w:p w14:paraId="2AD84328" w14:textId="57C62178" w:rsidR="00C1322C" w:rsidRPr="00E9705C" w:rsidRDefault="00C1322C" w:rsidP="004B3400">
      <w:pPr>
        <w:pStyle w:val="BodyText"/>
      </w:pPr>
      <w:r w:rsidRPr="00D0595B">
        <w:t>Large industry participants (being businesses comprising more than 5% total market share) will incur approximately 69.</w:t>
      </w:r>
      <w:r w:rsidR="006B4B45">
        <w:t>6</w:t>
      </w:r>
      <w:r w:rsidRPr="00D0595B">
        <w:t>% of the total regulatory burden compared to 30.</w:t>
      </w:r>
      <w:r w:rsidR="006B4B45">
        <w:t>4</w:t>
      </w:r>
      <w:r w:rsidRPr="00D0595B">
        <w:t>% for small participants (being businesses comprising less than 5% total market share).</w:t>
      </w:r>
      <w:r w:rsidRPr="00E9705C">
        <w:t xml:space="preserve"> </w:t>
      </w:r>
    </w:p>
    <w:p w14:paraId="45952A20" w14:textId="77777777" w:rsidR="00C1322C" w:rsidRPr="00E9705C" w:rsidRDefault="00C1322C" w:rsidP="004B3400">
      <w:pPr>
        <w:pStyle w:val="Caption"/>
      </w:pPr>
      <w:bookmarkStart w:id="623" w:name="_Toc78878018"/>
      <w:bookmarkStart w:id="624" w:name="_Toc79156694"/>
      <w:bookmarkStart w:id="625" w:name="_Toc79157116"/>
      <w:r w:rsidRPr="00E9705C">
        <w:t xml:space="preserve">Total </w:t>
      </w:r>
      <w:r w:rsidR="003C3E7E">
        <w:t>r</w:t>
      </w:r>
      <w:r w:rsidRPr="565D4D6C">
        <w:t>egulatory</w:t>
      </w:r>
      <w:r w:rsidRPr="00E9705C">
        <w:t xml:space="preserve"> burden over 10 years by size and business type for critical electricity assets nationally</w:t>
      </w:r>
      <w:bookmarkEnd w:id="623"/>
      <w:bookmarkEnd w:id="624"/>
      <w:bookmarkEnd w:id="625"/>
    </w:p>
    <w:tbl>
      <w:tblPr>
        <w:tblStyle w:val="TableGrid111"/>
        <w:tblW w:w="5000" w:type="pct"/>
        <w:jc w:val="center"/>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932"/>
        <w:gridCol w:w="1797"/>
        <w:gridCol w:w="1937"/>
        <w:gridCol w:w="1825"/>
        <w:gridCol w:w="2147"/>
      </w:tblGrid>
      <w:tr w:rsidR="00C1322C" w:rsidRPr="00170FD0" w14:paraId="57887243" w14:textId="77777777" w:rsidTr="000C6AEA">
        <w:trPr>
          <w:jc w:val="center"/>
        </w:trPr>
        <w:tc>
          <w:tcPr>
            <w:tcW w:w="1002" w:type="pct"/>
            <w:vMerge w:val="restart"/>
            <w:shd w:val="clear" w:color="auto" w:fill="034EA2" w:themeFill="accent1"/>
            <w:hideMark/>
          </w:tcPr>
          <w:p w14:paraId="067DEA3D" w14:textId="77777777" w:rsidR="00C1322C" w:rsidRPr="00170FD0" w:rsidRDefault="00C1322C" w:rsidP="000C6AEA">
            <w:pPr>
              <w:pStyle w:val="TableHeading"/>
              <w:rPr>
                <w:rFonts w:asciiTheme="minorHAnsi" w:hAnsiTheme="minorHAnsi" w:cstheme="minorHAnsi"/>
                <w:lang w:eastAsia="en-AU"/>
              </w:rPr>
            </w:pPr>
            <w:r w:rsidRPr="00170FD0">
              <w:rPr>
                <w:rFonts w:asciiTheme="minorHAnsi" w:hAnsiTheme="minorHAnsi" w:cstheme="minorHAnsi"/>
                <w:lang w:eastAsia="en-AU"/>
              </w:rPr>
              <w:t>Business Type</w:t>
            </w:r>
          </w:p>
        </w:tc>
        <w:tc>
          <w:tcPr>
            <w:tcW w:w="3998" w:type="pct"/>
            <w:gridSpan w:val="4"/>
            <w:shd w:val="clear" w:color="auto" w:fill="034EA2" w:themeFill="accent1"/>
            <w:vAlign w:val="center"/>
            <w:hideMark/>
          </w:tcPr>
          <w:p w14:paraId="278FED1E" w14:textId="77777777" w:rsidR="00C1322C" w:rsidRPr="00170FD0" w:rsidRDefault="00C1322C" w:rsidP="00170FD0">
            <w:pPr>
              <w:pStyle w:val="TableHeading"/>
              <w:rPr>
                <w:rFonts w:asciiTheme="minorHAnsi" w:hAnsiTheme="minorHAnsi" w:cstheme="minorHAnsi"/>
                <w:lang w:eastAsia="en-AU"/>
              </w:rPr>
            </w:pPr>
            <w:r w:rsidRPr="00170FD0">
              <w:rPr>
                <w:rFonts w:asciiTheme="minorHAnsi" w:hAnsiTheme="minorHAnsi" w:cstheme="minorHAnsi"/>
                <w:lang w:eastAsia="en-AU"/>
              </w:rPr>
              <w:t>10- year costs</w:t>
            </w:r>
            <w:r w:rsidR="00C13AAC" w:rsidRPr="00170FD0">
              <w:rPr>
                <w:rFonts w:asciiTheme="minorHAnsi" w:hAnsiTheme="minorHAnsi" w:cstheme="minorHAnsi"/>
                <w:lang w:eastAsia="en-AU"/>
              </w:rPr>
              <w:t xml:space="preserve"> (Expected to High)</w:t>
            </w:r>
          </w:p>
        </w:tc>
      </w:tr>
      <w:tr w:rsidR="00C1322C" w:rsidRPr="00170FD0" w14:paraId="2551F4DC" w14:textId="77777777" w:rsidTr="00170FD0">
        <w:trPr>
          <w:jc w:val="center"/>
        </w:trPr>
        <w:tc>
          <w:tcPr>
            <w:tcW w:w="1002" w:type="pct"/>
            <w:vMerge/>
            <w:vAlign w:val="center"/>
            <w:hideMark/>
          </w:tcPr>
          <w:p w14:paraId="2894506E" w14:textId="77777777" w:rsidR="00C1322C" w:rsidRPr="00170FD0" w:rsidRDefault="00C1322C" w:rsidP="00170FD0">
            <w:pPr>
              <w:pStyle w:val="TableBody"/>
              <w:rPr>
                <w:rFonts w:asciiTheme="minorHAnsi" w:hAnsiTheme="minorHAnsi" w:cstheme="minorHAnsi"/>
                <w:lang w:eastAsia="en-AU"/>
              </w:rPr>
            </w:pPr>
          </w:p>
        </w:tc>
        <w:tc>
          <w:tcPr>
            <w:tcW w:w="932" w:type="pct"/>
            <w:shd w:val="clear" w:color="auto" w:fill="DEEAF6"/>
            <w:hideMark/>
          </w:tcPr>
          <w:p w14:paraId="5CDE4880"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Large entities by market share ($ million)</w:t>
            </w:r>
          </w:p>
        </w:tc>
        <w:tc>
          <w:tcPr>
            <w:tcW w:w="1005" w:type="pct"/>
            <w:shd w:val="clear" w:color="auto" w:fill="DEEAF6"/>
            <w:hideMark/>
          </w:tcPr>
          <w:p w14:paraId="56904DB6"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Small entities by market share ($ million)</w:t>
            </w:r>
          </w:p>
        </w:tc>
        <w:tc>
          <w:tcPr>
            <w:tcW w:w="947" w:type="pct"/>
            <w:shd w:val="clear" w:color="auto" w:fill="DEEAF6"/>
            <w:hideMark/>
          </w:tcPr>
          <w:p w14:paraId="79021894"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Total ($ million)</w:t>
            </w:r>
          </w:p>
        </w:tc>
        <w:tc>
          <w:tcPr>
            <w:tcW w:w="1114" w:type="pct"/>
            <w:shd w:val="clear" w:color="auto" w:fill="DEEAF6"/>
            <w:hideMark/>
          </w:tcPr>
          <w:p w14:paraId="6075E152" w14:textId="77777777" w:rsidR="00C1322C" w:rsidRPr="00170FD0" w:rsidRDefault="00D16B82"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Expected estimate as p</w:t>
            </w:r>
            <w:r w:rsidR="00C1322C" w:rsidRPr="00170FD0">
              <w:rPr>
                <w:rFonts w:asciiTheme="minorHAnsi" w:hAnsiTheme="minorHAnsi" w:cstheme="minorHAnsi"/>
                <w:lang w:eastAsia="en-AU"/>
              </w:rPr>
              <w:t>ercentage of total costs (%)</w:t>
            </w:r>
          </w:p>
        </w:tc>
      </w:tr>
      <w:tr w:rsidR="00954496" w:rsidRPr="00170FD0" w14:paraId="26DC71AC" w14:textId="77777777" w:rsidTr="000C6AEA">
        <w:trPr>
          <w:jc w:val="center"/>
        </w:trPr>
        <w:tc>
          <w:tcPr>
            <w:tcW w:w="1002" w:type="pct"/>
            <w:shd w:val="clear" w:color="auto" w:fill="F2F2F2" w:themeFill="background1" w:themeFillShade="F2"/>
            <w:vAlign w:val="center"/>
            <w:hideMark/>
          </w:tcPr>
          <w:p w14:paraId="542B6F3E" w14:textId="77777777" w:rsidR="00954496" w:rsidRPr="00170FD0" w:rsidRDefault="00954496" w:rsidP="00170FD0">
            <w:pPr>
              <w:pStyle w:val="TableBody"/>
              <w:rPr>
                <w:rFonts w:asciiTheme="minorHAnsi" w:hAnsiTheme="minorHAnsi" w:cstheme="minorHAnsi"/>
                <w:lang w:eastAsia="en-AU"/>
              </w:rPr>
            </w:pPr>
            <w:r w:rsidRPr="00170FD0">
              <w:rPr>
                <w:rFonts w:asciiTheme="minorHAnsi" w:hAnsiTheme="minorHAnsi" w:cstheme="minorHAnsi"/>
                <w:lang w:eastAsia="en-AU"/>
              </w:rPr>
              <w:t>Transmitters</w:t>
            </w:r>
          </w:p>
        </w:tc>
        <w:tc>
          <w:tcPr>
            <w:tcW w:w="932" w:type="pct"/>
            <w:shd w:val="clear" w:color="auto" w:fill="FFFFFF" w:themeFill="background1"/>
            <w:hideMark/>
          </w:tcPr>
          <w:p w14:paraId="215776C4" w14:textId="31A012A1"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92</w:t>
            </w:r>
            <w:r w:rsidR="004C3187">
              <w:rPr>
                <w:rFonts w:asciiTheme="minorHAnsi" w:hAnsiTheme="minorHAnsi" w:cstheme="minorHAnsi"/>
              </w:rPr>
              <w:t>8.1</w:t>
            </w:r>
            <w:r w:rsidRPr="00170FD0">
              <w:rPr>
                <w:rFonts w:asciiTheme="minorHAnsi" w:hAnsiTheme="minorHAnsi" w:cstheme="minorHAnsi"/>
              </w:rPr>
              <w:t xml:space="preserve"> to 1</w:t>
            </w:r>
            <w:r w:rsidR="004C3187">
              <w:rPr>
                <w:rFonts w:asciiTheme="minorHAnsi" w:hAnsiTheme="minorHAnsi" w:cstheme="minorHAnsi"/>
              </w:rPr>
              <w:t>,105.1</w:t>
            </w:r>
          </w:p>
        </w:tc>
        <w:tc>
          <w:tcPr>
            <w:tcW w:w="1005" w:type="pct"/>
            <w:shd w:val="clear" w:color="auto" w:fill="FFFFFF" w:themeFill="background1"/>
            <w:hideMark/>
          </w:tcPr>
          <w:p w14:paraId="3373FD7E" w14:textId="77777777"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N/A</w:t>
            </w:r>
          </w:p>
        </w:tc>
        <w:tc>
          <w:tcPr>
            <w:tcW w:w="947" w:type="pct"/>
            <w:shd w:val="clear" w:color="auto" w:fill="FFFFFF" w:themeFill="background1"/>
            <w:hideMark/>
          </w:tcPr>
          <w:p w14:paraId="03D09EC6" w14:textId="2288FF8E"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9</w:t>
            </w:r>
            <w:r w:rsidR="00F24429">
              <w:rPr>
                <w:rFonts w:asciiTheme="minorHAnsi" w:hAnsiTheme="minorHAnsi" w:cstheme="minorHAnsi"/>
              </w:rPr>
              <w:t>28.1</w:t>
            </w:r>
            <w:r w:rsidRPr="00170FD0">
              <w:rPr>
                <w:rFonts w:asciiTheme="minorHAnsi" w:hAnsiTheme="minorHAnsi" w:cstheme="minorHAnsi"/>
              </w:rPr>
              <w:t xml:space="preserve"> to 1,</w:t>
            </w:r>
            <w:r w:rsidR="00F24429">
              <w:rPr>
                <w:rFonts w:asciiTheme="minorHAnsi" w:hAnsiTheme="minorHAnsi" w:cstheme="minorHAnsi"/>
              </w:rPr>
              <w:t>105.1</w:t>
            </w:r>
          </w:p>
        </w:tc>
        <w:tc>
          <w:tcPr>
            <w:tcW w:w="1114" w:type="pct"/>
            <w:shd w:val="clear" w:color="auto" w:fill="FFFFFF" w:themeFill="background1"/>
            <w:hideMark/>
          </w:tcPr>
          <w:p w14:paraId="7567B6CB" w14:textId="59E60870"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3</w:t>
            </w:r>
            <w:r w:rsidR="00220219">
              <w:rPr>
                <w:rFonts w:asciiTheme="minorHAnsi" w:hAnsiTheme="minorHAnsi" w:cstheme="minorHAnsi"/>
              </w:rPr>
              <w:t>6.0</w:t>
            </w:r>
          </w:p>
        </w:tc>
      </w:tr>
      <w:tr w:rsidR="00954496" w:rsidRPr="00170FD0" w14:paraId="7F6CA23E" w14:textId="77777777" w:rsidTr="000C6AEA">
        <w:trPr>
          <w:jc w:val="center"/>
        </w:trPr>
        <w:tc>
          <w:tcPr>
            <w:tcW w:w="1002" w:type="pct"/>
            <w:shd w:val="clear" w:color="auto" w:fill="F2F2F2" w:themeFill="background1" w:themeFillShade="F2"/>
            <w:vAlign w:val="center"/>
            <w:hideMark/>
          </w:tcPr>
          <w:p w14:paraId="7201AAEC" w14:textId="77777777" w:rsidR="00954496" w:rsidRPr="00170FD0" w:rsidRDefault="00954496" w:rsidP="00170FD0">
            <w:pPr>
              <w:pStyle w:val="TableBody"/>
              <w:rPr>
                <w:rFonts w:asciiTheme="minorHAnsi" w:hAnsiTheme="minorHAnsi" w:cstheme="minorHAnsi"/>
                <w:lang w:eastAsia="en-AU"/>
              </w:rPr>
            </w:pPr>
            <w:r w:rsidRPr="00170FD0">
              <w:rPr>
                <w:rFonts w:asciiTheme="minorHAnsi" w:hAnsiTheme="minorHAnsi" w:cstheme="minorHAnsi"/>
                <w:lang w:eastAsia="en-AU"/>
              </w:rPr>
              <w:t>Generators</w:t>
            </w:r>
          </w:p>
        </w:tc>
        <w:tc>
          <w:tcPr>
            <w:tcW w:w="932" w:type="pct"/>
            <w:shd w:val="clear" w:color="auto" w:fill="FFFFFF" w:themeFill="background1"/>
            <w:hideMark/>
          </w:tcPr>
          <w:p w14:paraId="45071EF6" w14:textId="7CDE1035"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33</w:t>
            </w:r>
            <w:r w:rsidR="004C3187">
              <w:rPr>
                <w:rFonts w:asciiTheme="minorHAnsi" w:hAnsiTheme="minorHAnsi" w:cstheme="minorHAnsi"/>
              </w:rPr>
              <w:t>9.6</w:t>
            </w:r>
            <w:r w:rsidRPr="00170FD0">
              <w:rPr>
                <w:rFonts w:asciiTheme="minorHAnsi" w:hAnsiTheme="minorHAnsi" w:cstheme="minorHAnsi"/>
              </w:rPr>
              <w:t xml:space="preserve"> to 5</w:t>
            </w:r>
            <w:r w:rsidR="004C3187">
              <w:rPr>
                <w:rFonts w:asciiTheme="minorHAnsi" w:hAnsiTheme="minorHAnsi" w:cstheme="minorHAnsi"/>
              </w:rPr>
              <w:t>71.8</w:t>
            </w:r>
          </w:p>
        </w:tc>
        <w:tc>
          <w:tcPr>
            <w:tcW w:w="1005" w:type="pct"/>
            <w:shd w:val="clear" w:color="auto" w:fill="FFFFFF" w:themeFill="background1"/>
            <w:hideMark/>
          </w:tcPr>
          <w:p w14:paraId="3D3BADB1" w14:textId="15E12672"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4</w:t>
            </w:r>
            <w:r w:rsidR="00F24429">
              <w:rPr>
                <w:rFonts w:asciiTheme="minorHAnsi" w:hAnsiTheme="minorHAnsi" w:cstheme="minorHAnsi"/>
                <w:lang w:eastAsia="en-AU"/>
              </w:rPr>
              <w:t>54.5</w:t>
            </w:r>
            <w:r w:rsidRPr="00170FD0">
              <w:rPr>
                <w:rFonts w:asciiTheme="minorHAnsi" w:hAnsiTheme="minorHAnsi" w:cstheme="minorHAnsi"/>
              </w:rPr>
              <w:t xml:space="preserve"> to </w:t>
            </w:r>
            <w:r w:rsidR="00F24429">
              <w:rPr>
                <w:rFonts w:asciiTheme="minorHAnsi" w:hAnsiTheme="minorHAnsi" w:cstheme="minorHAnsi"/>
              </w:rPr>
              <w:t>805.6</w:t>
            </w:r>
          </w:p>
        </w:tc>
        <w:tc>
          <w:tcPr>
            <w:tcW w:w="947" w:type="pct"/>
            <w:shd w:val="clear" w:color="auto" w:fill="FFFFFF" w:themeFill="background1"/>
            <w:hideMark/>
          </w:tcPr>
          <w:p w14:paraId="35832F7A" w14:textId="73A8AD91"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7</w:t>
            </w:r>
            <w:r w:rsidR="00F24429">
              <w:rPr>
                <w:rFonts w:asciiTheme="minorHAnsi" w:hAnsiTheme="minorHAnsi" w:cstheme="minorHAnsi"/>
              </w:rPr>
              <w:t>94.0</w:t>
            </w:r>
            <w:r w:rsidRPr="00170FD0">
              <w:rPr>
                <w:rFonts w:asciiTheme="minorHAnsi" w:hAnsiTheme="minorHAnsi" w:cstheme="minorHAnsi"/>
              </w:rPr>
              <w:t xml:space="preserve"> to 1,3</w:t>
            </w:r>
            <w:r w:rsidR="00F24429">
              <w:rPr>
                <w:rFonts w:asciiTheme="minorHAnsi" w:hAnsiTheme="minorHAnsi" w:cstheme="minorHAnsi"/>
              </w:rPr>
              <w:t>77.4</w:t>
            </w:r>
          </w:p>
        </w:tc>
        <w:tc>
          <w:tcPr>
            <w:tcW w:w="1114" w:type="pct"/>
            <w:shd w:val="clear" w:color="auto" w:fill="FFFFFF" w:themeFill="background1"/>
            <w:hideMark/>
          </w:tcPr>
          <w:p w14:paraId="04C11C70" w14:textId="42EACB0D" w:rsidR="00954496" w:rsidRPr="00170FD0" w:rsidRDefault="00220219" w:rsidP="00170FD0">
            <w:pPr>
              <w:pStyle w:val="TableBody"/>
              <w:jc w:val="center"/>
              <w:rPr>
                <w:rFonts w:asciiTheme="minorHAnsi" w:hAnsiTheme="minorHAnsi" w:cstheme="minorHAnsi"/>
                <w:lang w:eastAsia="en-AU"/>
              </w:rPr>
            </w:pPr>
            <w:r>
              <w:rPr>
                <w:rFonts w:asciiTheme="minorHAnsi" w:hAnsiTheme="minorHAnsi" w:cstheme="minorHAnsi"/>
              </w:rPr>
              <w:t>30.8</w:t>
            </w:r>
          </w:p>
        </w:tc>
      </w:tr>
      <w:tr w:rsidR="00954496" w:rsidRPr="00170FD0" w14:paraId="471D1F84" w14:textId="77777777" w:rsidTr="000C6AEA">
        <w:trPr>
          <w:jc w:val="center"/>
        </w:trPr>
        <w:tc>
          <w:tcPr>
            <w:tcW w:w="1002" w:type="pct"/>
            <w:shd w:val="clear" w:color="auto" w:fill="F2F2F2" w:themeFill="background1" w:themeFillShade="F2"/>
            <w:vAlign w:val="center"/>
            <w:hideMark/>
          </w:tcPr>
          <w:p w14:paraId="05990F26" w14:textId="77777777" w:rsidR="00954496" w:rsidRPr="00170FD0" w:rsidRDefault="00954496" w:rsidP="00170FD0">
            <w:pPr>
              <w:pStyle w:val="TableBody"/>
              <w:rPr>
                <w:rFonts w:asciiTheme="minorHAnsi" w:hAnsiTheme="minorHAnsi" w:cstheme="minorHAnsi"/>
                <w:lang w:eastAsia="en-AU"/>
              </w:rPr>
            </w:pPr>
            <w:r w:rsidRPr="00170FD0">
              <w:rPr>
                <w:rFonts w:asciiTheme="minorHAnsi" w:hAnsiTheme="minorHAnsi" w:cstheme="minorHAnsi"/>
                <w:lang w:eastAsia="en-AU"/>
              </w:rPr>
              <w:lastRenderedPageBreak/>
              <w:t>Distributors</w:t>
            </w:r>
          </w:p>
        </w:tc>
        <w:tc>
          <w:tcPr>
            <w:tcW w:w="932" w:type="pct"/>
            <w:shd w:val="clear" w:color="auto" w:fill="FFFFFF" w:themeFill="background1"/>
            <w:hideMark/>
          </w:tcPr>
          <w:p w14:paraId="5BE6EA90" w14:textId="75F7B959"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52</w:t>
            </w:r>
            <w:r w:rsidR="004C3187">
              <w:rPr>
                <w:rFonts w:asciiTheme="minorHAnsi" w:hAnsiTheme="minorHAnsi" w:cstheme="minorHAnsi"/>
              </w:rPr>
              <w:t>7.9</w:t>
            </w:r>
            <w:r w:rsidRPr="00170FD0">
              <w:rPr>
                <w:rFonts w:asciiTheme="minorHAnsi" w:hAnsiTheme="minorHAnsi" w:cstheme="minorHAnsi"/>
              </w:rPr>
              <w:t xml:space="preserve"> to 1,</w:t>
            </w:r>
            <w:r w:rsidR="004C3187">
              <w:rPr>
                <w:rFonts w:asciiTheme="minorHAnsi" w:hAnsiTheme="minorHAnsi" w:cstheme="minorHAnsi"/>
              </w:rPr>
              <w:t>107</w:t>
            </w:r>
            <w:r w:rsidRPr="00170FD0">
              <w:rPr>
                <w:rFonts w:asciiTheme="minorHAnsi" w:hAnsiTheme="minorHAnsi" w:cstheme="minorHAnsi"/>
              </w:rPr>
              <w:t>.6</w:t>
            </w:r>
          </w:p>
        </w:tc>
        <w:tc>
          <w:tcPr>
            <w:tcW w:w="1005" w:type="pct"/>
            <w:shd w:val="clear" w:color="auto" w:fill="FFFFFF" w:themeFill="background1"/>
            <w:hideMark/>
          </w:tcPr>
          <w:p w14:paraId="44C17446" w14:textId="038FC6E3"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32</w:t>
            </w:r>
            <w:r w:rsidR="00F24429">
              <w:rPr>
                <w:rFonts w:asciiTheme="minorHAnsi" w:hAnsiTheme="minorHAnsi" w:cstheme="minorHAnsi"/>
              </w:rPr>
              <w:t>8.9</w:t>
            </w:r>
            <w:r w:rsidRPr="00170FD0">
              <w:rPr>
                <w:rFonts w:asciiTheme="minorHAnsi" w:hAnsiTheme="minorHAnsi" w:cstheme="minorHAnsi"/>
              </w:rPr>
              <w:t xml:space="preserve"> to 46</w:t>
            </w:r>
            <w:r w:rsidR="00F24429">
              <w:rPr>
                <w:rFonts w:asciiTheme="minorHAnsi" w:hAnsiTheme="minorHAnsi" w:cstheme="minorHAnsi"/>
              </w:rPr>
              <w:t>5.8</w:t>
            </w:r>
          </w:p>
        </w:tc>
        <w:tc>
          <w:tcPr>
            <w:tcW w:w="947" w:type="pct"/>
            <w:shd w:val="clear" w:color="auto" w:fill="FFFFFF" w:themeFill="background1"/>
            <w:hideMark/>
          </w:tcPr>
          <w:p w14:paraId="4C9672BA" w14:textId="63E7A370" w:rsidR="00954496" w:rsidRPr="00170FD0" w:rsidRDefault="00954496" w:rsidP="00170FD0">
            <w:pPr>
              <w:pStyle w:val="TableBody"/>
              <w:jc w:val="center"/>
              <w:rPr>
                <w:rFonts w:asciiTheme="minorHAnsi" w:hAnsiTheme="minorHAnsi" w:cstheme="minorHAnsi"/>
                <w:lang w:eastAsia="en-AU"/>
              </w:rPr>
            </w:pPr>
            <w:r w:rsidRPr="00170FD0">
              <w:rPr>
                <w:rFonts w:asciiTheme="minorHAnsi" w:hAnsiTheme="minorHAnsi" w:cstheme="minorHAnsi"/>
              </w:rPr>
              <w:t>8</w:t>
            </w:r>
            <w:r w:rsidR="00F24429">
              <w:rPr>
                <w:rFonts w:asciiTheme="minorHAnsi" w:hAnsiTheme="minorHAnsi" w:cstheme="minorHAnsi"/>
              </w:rPr>
              <w:t>56.8</w:t>
            </w:r>
            <w:r w:rsidRPr="00170FD0">
              <w:rPr>
                <w:rFonts w:asciiTheme="minorHAnsi" w:hAnsiTheme="minorHAnsi" w:cstheme="minorHAnsi"/>
              </w:rPr>
              <w:t xml:space="preserve"> to 1,5</w:t>
            </w:r>
            <w:r w:rsidR="00F24429">
              <w:rPr>
                <w:rFonts w:asciiTheme="minorHAnsi" w:hAnsiTheme="minorHAnsi" w:cstheme="minorHAnsi"/>
              </w:rPr>
              <w:t>73.3</w:t>
            </w:r>
          </w:p>
        </w:tc>
        <w:tc>
          <w:tcPr>
            <w:tcW w:w="1114" w:type="pct"/>
            <w:shd w:val="clear" w:color="auto" w:fill="FFFFFF" w:themeFill="background1"/>
            <w:hideMark/>
          </w:tcPr>
          <w:p w14:paraId="42BC267B" w14:textId="188DD318" w:rsidR="00954496" w:rsidRPr="00170FD0" w:rsidRDefault="00220219" w:rsidP="00170FD0">
            <w:pPr>
              <w:pStyle w:val="TableBody"/>
              <w:jc w:val="center"/>
              <w:rPr>
                <w:rFonts w:asciiTheme="minorHAnsi" w:hAnsiTheme="minorHAnsi" w:cstheme="minorHAnsi"/>
                <w:lang w:eastAsia="en-AU"/>
              </w:rPr>
            </w:pPr>
            <w:r>
              <w:rPr>
                <w:rFonts w:asciiTheme="minorHAnsi" w:hAnsiTheme="minorHAnsi" w:cstheme="minorHAnsi"/>
              </w:rPr>
              <w:t>33.2</w:t>
            </w:r>
          </w:p>
        </w:tc>
      </w:tr>
      <w:tr w:rsidR="00954496" w:rsidRPr="00170FD0" w14:paraId="6D4F2DDD" w14:textId="77777777" w:rsidTr="00170FD0">
        <w:trPr>
          <w:jc w:val="center"/>
        </w:trPr>
        <w:tc>
          <w:tcPr>
            <w:tcW w:w="1002" w:type="pct"/>
            <w:shd w:val="clear" w:color="auto" w:fill="034EA2" w:themeFill="accent1"/>
            <w:vAlign w:val="center"/>
            <w:hideMark/>
          </w:tcPr>
          <w:p w14:paraId="434ED4D5" w14:textId="77777777" w:rsidR="00954496" w:rsidRPr="00170FD0" w:rsidRDefault="00954496" w:rsidP="00170FD0">
            <w:pPr>
              <w:pStyle w:val="TableHeading"/>
              <w:rPr>
                <w:rFonts w:asciiTheme="minorHAnsi" w:hAnsiTheme="minorHAnsi" w:cstheme="minorHAnsi"/>
                <w:lang w:eastAsia="en-AU"/>
              </w:rPr>
            </w:pPr>
            <w:r w:rsidRPr="00170FD0">
              <w:rPr>
                <w:rFonts w:asciiTheme="minorHAnsi" w:hAnsiTheme="minorHAnsi" w:cstheme="minorHAnsi"/>
                <w:lang w:eastAsia="en-AU"/>
              </w:rPr>
              <w:t xml:space="preserve">Total critical electricity assets </w:t>
            </w:r>
          </w:p>
        </w:tc>
        <w:tc>
          <w:tcPr>
            <w:tcW w:w="932" w:type="pct"/>
            <w:shd w:val="clear" w:color="auto" w:fill="034EA2" w:themeFill="accent1"/>
          </w:tcPr>
          <w:p w14:paraId="4247CCF7" w14:textId="6E36D70C" w:rsidR="00954496" w:rsidRPr="00170FD0" w:rsidRDefault="00954496" w:rsidP="00170FD0">
            <w:pPr>
              <w:pStyle w:val="TableHeading"/>
              <w:jc w:val="center"/>
              <w:rPr>
                <w:rFonts w:asciiTheme="minorHAnsi" w:hAnsiTheme="minorHAnsi" w:cstheme="minorHAnsi"/>
                <w:lang w:eastAsia="en-AU"/>
              </w:rPr>
            </w:pPr>
            <w:r w:rsidRPr="00170FD0">
              <w:rPr>
                <w:rFonts w:asciiTheme="minorHAnsi" w:hAnsiTheme="minorHAnsi" w:cstheme="minorHAnsi"/>
                <w:lang w:eastAsia="en-AU"/>
              </w:rPr>
              <w:t>1,7</w:t>
            </w:r>
            <w:r w:rsidR="004C3187">
              <w:rPr>
                <w:rFonts w:asciiTheme="minorHAnsi" w:hAnsiTheme="minorHAnsi" w:cstheme="minorHAnsi"/>
                <w:lang w:eastAsia="en-AU"/>
              </w:rPr>
              <w:t>95.6</w:t>
            </w:r>
            <w:r w:rsidRPr="00170FD0">
              <w:rPr>
                <w:rFonts w:asciiTheme="minorHAnsi" w:hAnsiTheme="minorHAnsi" w:cstheme="minorHAnsi"/>
              </w:rPr>
              <w:t xml:space="preserve"> to 2,7</w:t>
            </w:r>
            <w:r w:rsidR="004C3187">
              <w:rPr>
                <w:rFonts w:asciiTheme="minorHAnsi" w:hAnsiTheme="minorHAnsi" w:cstheme="minorHAnsi"/>
              </w:rPr>
              <w:t>84.4</w:t>
            </w:r>
          </w:p>
        </w:tc>
        <w:tc>
          <w:tcPr>
            <w:tcW w:w="1005" w:type="pct"/>
            <w:shd w:val="clear" w:color="auto" w:fill="034EA2" w:themeFill="accent1"/>
          </w:tcPr>
          <w:p w14:paraId="578EF48C" w14:textId="08FF6E3C" w:rsidR="00954496" w:rsidRPr="00170FD0" w:rsidRDefault="00954496" w:rsidP="00170FD0">
            <w:pPr>
              <w:pStyle w:val="TableHeading"/>
              <w:jc w:val="center"/>
              <w:rPr>
                <w:rFonts w:asciiTheme="minorHAnsi" w:hAnsiTheme="minorHAnsi" w:cstheme="minorHAnsi"/>
                <w:lang w:eastAsia="en-AU"/>
              </w:rPr>
            </w:pPr>
            <w:r w:rsidRPr="00170FD0">
              <w:rPr>
                <w:rFonts w:asciiTheme="minorHAnsi" w:hAnsiTheme="minorHAnsi" w:cstheme="minorHAnsi"/>
              </w:rPr>
              <w:t>7</w:t>
            </w:r>
            <w:r w:rsidR="00F24429">
              <w:rPr>
                <w:rFonts w:asciiTheme="minorHAnsi" w:hAnsiTheme="minorHAnsi" w:cstheme="minorHAnsi"/>
              </w:rPr>
              <w:t>83.3</w:t>
            </w:r>
            <w:r w:rsidRPr="00170FD0">
              <w:rPr>
                <w:rFonts w:asciiTheme="minorHAnsi" w:hAnsiTheme="minorHAnsi" w:cstheme="minorHAnsi"/>
              </w:rPr>
              <w:t xml:space="preserve"> to 1,2</w:t>
            </w:r>
            <w:r w:rsidR="00F24429">
              <w:rPr>
                <w:rFonts w:asciiTheme="minorHAnsi" w:hAnsiTheme="minorHAnsi" w:cstheme="minorHAnsi"/>
              </w:rPr>
              <w:t>71.4</w:t>
            </w:r>
          </w:p>
        </w:tc>
        <w:tc>
          <w:tcPr>
            <w:tcW w:w="947" w:type="pct"/>
            <w:shd w:val="clear" w:color="auto" w:fill="034EA2" w:themeFill="accent1"/>
          </w:tcPr>
          <w:p w14:paraId="22489061" w14:textId="4E7EF779" w:rsidR="00954496" w:rsidRPr="00170FD0" w:rsidRDefault="00954496" w:rsidP="00170FD0">
            <w:pPr>
              <w:pStyle w:val="TableHeading"/>
              <w:jc w:val="center"/>
              <w:rPr>
                <w:rFonts w:asciiTheme="minorHAnsi" w:hAnsiTheme="minorHAnsi" w:cstheme="minorHAnsi"/>
                <w:lang w:eastAsia="en-AU"/>
              </w:rPr>
            </w:pPr>
            <w:r w:rsidRPr="00170FD0">
              <w:rPr>
                <w:rFonts w:asciiTheme="minorHAnsi" w:hAnsiTheme="minorHAnsi" w:cstheme="minorHAnsi"/>
                <w:lang w:eastAsia="en-AU"/>
              </w:rPr>
              <w:t>2,5</w:t>
            </w:r>
            <w:r w:rsidR="00F24429">
              <w:rPr>
                <w:rFonts w:asciiTheme="minorHAnsi" w:hAnsiTheme="minorHAnsi" w:cstheme="minorHAnsi"/>
                <w:lang w:eastAsia="en-AU"/>
              </w:rPr>
              <w:t>78</w:t>
            </w:r>
            <w:r w:rsidR="00220219">
              <w:rPr>
                <w:rFonts w:asciiTheme="minorHAnsi" w:hAnsiTheme="minorHAnsi" w:cstheme="minorHAnsi"/>
                <w:lang w:eastAsia="en-AU"/>
              </w:rPr>
              <w:t>.9</w:t>
            </w:r>
            <w:r w:rsidRPr="00170FD0">
              <w:rPr>
                <w:rFonts w:asciiTheme="minorHAnsi" w:hAnsiTheme="minorHAnsi" w:cstheme="minorHAnsi"/>
              </w:rPr>
              <w:t xml:space="preserve"> to 4,0</w:t>
            </w:r>
            <w:r w:rsidR="00220219">
              <w:rPr>
                <w:rFonts w:asciiTheme="minorHAnsi" w:hAnsiTheme="minorHAnsi" w:cstheme="minorHAnsi"/>
              </w:rPr>
              <w:t>55</w:t>
            </w:r>
            <w:r w:rsidRPr="00170FD0">
              <w:rPr>
                <w:rFonts w:asciiTheme="minorHAnsi" w:hAnsiTheme="minorHAnsi" w:cstheme="minorHAnsi"/>
              </w:rPr>
              <w:t>.8</w:t>
            </w:r>
          </w:p>
        </w:tc>
        <w:tc>
          <w:tcPr>
            <w:tcW w:w="1114" w:type="pct"/>
            <w:shd w:val="clear" w:color="auto" w:fill="034EA2" w:themeFill="accent1"/>
            <w:hideMark/>
          </w:tcPr>
          <w:p w14:paraId="54D793D5" w14:textId="77777777" w:rsidR="00954496" w:rsidRPr="00170FD0" w:rsidRDefault="00954496" w:rsidP="00170FD0">
            <w:pPr>
              <w:pStyle w:val="TableHeading"/>
              <w:jc w:val="center"/>
              <w:rPr>
                <w:rFonts w:asciiTheme="minorHAnsi" w:hAnsiTheme="minorHAnsi" w:cstheme="minorHAnsi"/>
                <w:lang w:eastAsia="en-AU"/>
              </w:rPr>
            </w:pPr>
            <w:r w:rsidRPr="00170FD0">
              <w:rPr>
                <w:rFonts w:asciiTheme="minorHAnsi" w:hAnsiTheme="minorHAnsi" w:cstheme="minorHAnsi"/>
              </w:rPr>
              <w:t>100.0</w:t>
            </w:r>
          </w:p>
        </w:tc>
      </w:tr>
    </w:tbl>
    <w:p w14:paraId="119F6F2C" w14:textId="77777777" w:rsidR="00C1322C" w:rsidRPr="0085628B" w:rsidRDefault="00C1322C" w:rsidP="004B3400">
      <w:pPr>
        <w:pStyle w:val="Note"/>
      </w:pPr>
      <w:r w:rsidRPr="565D4D6C">
        <w:rPr>
          <w:b/>
        </w:rPr>
        <w:t>*Note:</w:t>
      </w:r>
      <w:r w:rsidRPr="565D4D6C">
        <w:t xml:space="preserve"> No cost submissions were received from transmitters with &lt;5% market share. </w:t>
      </w:r>
    </w:p>
    <w:p w14:paraId="2C78B670" w14:textId="77777777" w:rsidR="00C1322C" w:rsidRPr="00E9705C" w:rsidRDefault="009B296E" w:rsidP="004B3400">
      <w:pPr>
        <w:pStyle w:val="BodyText"/>
      </w:pPr>
      <w:r w:rsidRPr="009B296E">
        <w:t xml:space="preserve">The table below </w:t>
      </w:r>
      <w:r w:rsidR="00C1322C" w:rsidRPr="00E9705C">
        <w:t>compares the share of regulatory cost to market share by entity size and by business type. Large generators and large distributors incur a slightly smaller proportion of cost than their market share.</w:t>
      </w:r>
    </w:p>
    <w:p w14:paraId="2DFBBD28" w14:textId="77777777" w:rsidR="00C1322C" w:rsidRPr="00E9705C" w:rsidRDefault="00C1322C" w:rsidP="004B3400">
      <w:pPr>
        <w:pStyle w:val="Caption"/>
      </w:pPr>
      <w:bookmarkStart w:id="626" w:name="_Toc78878019"/>
      <w:bookmarkStart w:id="627" w:name="_Toc79156695"/>
      <w:bookmarkStart w:id="628" w:name="_Toc79157117"/>
      <w:r w:rsidRPr="00E9705C">
        <w:t xml:space="preserve">Distribution of </w:t>
      </w:r>
      <w:r w:rsidR="00D16B82">
        <w:t xml:space="preserve">expected </w:t>
      </w:r>
      <w:r w:rsidRPr="00E9705C">
        <w:t>regulatory cost compared to market share by entity size and business type</w:t>
      </w:r>
      <w:bookmarkEnd w:id="626"/>
      <w:bookmarkEnd w:id="627"/>
      <w:bookmarkEnd w:id="628"/>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248"/>
        <w:gridCol w:w="1980"/>
        <w:gridCol w:w="1717"/>
        <w:gridCol w:w="1976"/>
        <w:gridCol w:w="1717"/>
      </w:tblGrid>
      <w:tr w:rsidR="00C1322C" w:rsidRPr="00170FD0" w14:paraId="595C5D1C" w14:textId="77777777" w:rsidTr="000C6AEA">
        <w:trPr>
          <w:trHeight w:val="375"/>
        </w:trPr>
        <w:tc>
          <w:tcPr>
            <w:tcW w:w="1166" w:type="pct"/>
            <w:vMerge w:val="restart"/>
            <w:shd w:val="clear" w:color="auto" w:fill="034EA2" w:themeFill="accent1"/>
            <w:hideMark/>
          </w:tcPr>
          <w:p w14:paraId="2D947289" w14:textId="77777777" w:rsidR="00C1322C" w:rsidRPr="00170FD0" w:rsidRDefault="00C1322C" w:rsidP="000C6AEA">
            <w:pPr>
              <w:pStyle w:val="TableHeading"/>
              <w:rPr>
                <w:rFonts w:asciiTheme="minorHAnsi" w:hAnsiTheme="minorHAnsi" w:cstheme="minorHAnsi"/>
                <w:lang w:eastAsia="en-AU"/>
              </w:rPr>
            </w:pPr>
            <w:r w:rsidRPr="00170FD0">
              <w:rPr>
                <w:rFonts w:asciiTheme="minorHAnsi" w:hAnsiTheme="minorHAnsi" w:cstheme="minorHAnsi"/>
                <w:lang w:eastAsia="en-AU"/>
              </w:rPr>
              <w:t>Business Type</w:t>
            </w:r>
          </w:p>
        </w:tc>
        <w:tc>
          <w:tcPr>
            <w:tcW w:w="3834" w:type="pct"/>
            <w:gridSpan w:val="4"/>
            <w:shd w:val="clear" w:color="auto" w:fill="034EA2" w:themeFill="accent1"/>
            <w:vAlign w:val="center"/>
            <w:hideMark/>
          </w:tcPr>
          <w:p w14:paraId="32FAC4CB" w14:textId="77777777" w:rsidR="00C1322C" w:rsidRPr="00170FD0" w:rsidRDefault="00C1322C" w:rsidP="00170FD0">
            <w:pPr>
              <w:pStyle w:val="TableHeading"/>
              <w:rPr>
                <w:rFonts w:asciiTheme="minorHAnsi" w:hAnsiTheme="minorHAnsi" w:cstheme="minorHAnsi"/>
                <w:lang w:eastAsia="en-AU"/>
              </w:rPr>
            </w:pPr>
            <w:r w:rsidRPr="00170FD0">
              <w:rPr>
                <w:rFonts w:asciiTheme="minorHAnsi" w:hAnsiTheme="minorHAnsi" w:cstheme="minorHAnsi"/>
                <w:lang w:eastAsia="en-AU"/>
              </w:rPr>
              <w:t>Costs and market share</w:t>
            </w:r>
          </w:p>
        </w:tc>
      </w:tr>
      <w:tr w:rsidR="00C1322C" w:rsidRPr="00170FD0" w14:paraId="00BF3BF2" w14:textId="77777777" w:rsidTr="00170FD0">
        <w:trPr>
          <w:trHeight w:val="601"/>
        </w:trPr>
        <w:tc>
          <w:tcPr>
            <w:tcW w:w="1166" w:type="pct"/>
            <w:vMerge/>
            <w:vAlign w:val="center"/>
            <w:hideMark/>
          </w:tcPr>
          <w:p w14:paraId="476CF24F" w14:textId="77777777" w:rsidR="00C1322C" w:rsidRPr="00170FD0" w:rsidRDefault="00C1322C" w:rsidP="00170FD0">
            <w:pPr>
              <w:pStyle w:val="TableBody"/>
              <w:rPr>
                <w:rFonts w:asciiTheme="minorHAnsi" w:hAnsiTheme="minorHAnsi" w:cstheme="minorHAnsi"/>
                <w:lang w:eastAsia="en-AU"/>
              </w:rPr>
            </w:pPr>
          </w:p>
        </w:tc>
        <w:tc>
          <w:tcPr>
            <w:tcW w:w="1918" w:type="pct"/>
            <w:gridSpan w:val="2"/>
            <w:shd w:val="clear" w:color="auto" w:fill="DEEAF6"/>
            <w:vAlign w:val="center"/>
            <w:hideMark/>
          </w:tcPr>
          <w:p w14:paraId="39989332"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Large entities by market share</w:t>
            </w:r>
          </w:p>
        </w:tc>
        <w:tc>
          <w:tcPr>
            <w:tcW w:w="1916" w:type="pct"/>
            <w:gridSpan w:val="2"/>
            <w:shd w:val="clear" w:color="auto" w:fill="DEEAF6"/>
            <w:vAlign w:val="center"/>
            <w:hideMark/>
          </w:tcPr>
          <w:p w14:paraId="2D53BE7B"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Small entities by market share</w:t>
            </w:r>
          </w:p>
        </w:tc>
      </w:tr>
      <w:tr w:rsidR="00C1322C" w:rsidRPr="00170FD0" w14:paraId="7E6E5C1F" w14:textId="77777777" w:rsidTr="00170FD0">
        <w:trPr>
          <w:trHeight w:val="339"/>
        </w:trPr>
        <w:tc>
          <w:tcPr>
            <w:tcW w:w="1166" w:type="pct"/>
            <w:vMerge/>
            <w:vAlign w:val="center"/>
            <w:hideMark/>
          </w:tcPr>
          <w:p w14:paraId="436B5C6D" w14:textId="77777777" w:rsidR="00C1322C" w:rsidRPr="00170FD0" w:rsidRDefault="00C1322C" w:rsidP="00170FD0">
            <w:pPr>
              <w:pStyle w:val="TableBody"/>
              <w:rPr>
                <w:rFonts w:asciiTheme="minorHAnsi" w:hAnsiTheme="minorHAnsi" w:cstheme="minorHAnsi"/>
                <w:lang w:eastAsia="en-AU"/>
              </w:rPr>
            </w:pPr>
          </w:p>
        </w:tc>
        <w:tc>
          <w:tcPr>
            <w:tcW w:w="1027" w:type="pct"/>
            <w:shd w:val="clear" w:color="auto" w:fill="DEEAF6"/>
            <w:vAlign w:val="center"/>
            <w:hideMark/>
          </w:tcPr>
          <w:p w14:paraId="08C58D35"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 of cost</w:t>
            </w:r>
          </w:p>
        </w:tc>
        <w:tc>
          <w:tcPr>
            <w:tcW w:w="891" w:type="pct"/>
            <w:shd w:val="clear" w:color="auto" w:fill="DEEAF6"/>
            <w:vAlign w:val="center"/>
            <w:hideMark/>
          </w:tcPr>
          <w:p w14:paraId="1DC6CD66"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Market share (%)</w:t>
            </w:r>
          </w:p>
        </w:tc>
        <w:tc>
          <w:tcPr>
            <w:tcW w:w="1025" w:type="pct"/>
            <w:shd w:val="clear" w:color="auto" w:fill="DEEAF6"/>
            <w:vAlign w:val="center"/>
            <w:hideMark/>
          </w:tcPr>
          <w:p w14:paraId="6EC27CCC"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 of cost</w:t>
            </w:r>
          </w:p>
        </w:tc>
        <w:tc>
          <w:tcPr>
            <w:tcW w:w="891" w:type="pct"/>
            <w:shd w:val="clear" w:color="auto" w:fill="DEEAF6"/>
            <w:vAlign w:val="center"/>
            <w:hideMark/>
          </w:tcPr>
          <w:p w14:paraId="363A8789"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Market share (%)</w:t>
            </w:r>
          </w:p>
        </w:tc>
      </w:tr>
      <w:tr w:rsidR="00C1322C" w:rsidRPr="00170FD0" w14:paraId="32E5AA7B" w14:textId="77777777" w:rsidTr="000C6AEA">
        <w:trPr>
          <w:trHeight w:val="447"/>
        </w:trPr>
        <w:tc>
          <w:tcPr>
            <w:tcW w:w="1166" w:type="pct"/>
            <w:shd w:val="clear" w:color="auto" w:fill="F2F2F2" w:themeFill="background1" w:themeFillShade="F2"/>
            <w:vAlign w:val="center"/>
            <w:hideMark/>
          </w:tcPr>
          <w:p w14:paraId="6AD10ACB"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Transmitters</w:t>
            </w:r>
          </w:p>
        </w:tc>
        <w:tc>
          <w:tcPr>
            <w:tcW w:w="1027" w:type="pct"/>
            <w:shd w:val="clear" w:color="auto" w:fill="FFFFFF" w:themeFill="background1"/>
            <w:vAlign w:val="center"/>
            <w:hideMark/>
          </w:tcPr>
          <w:p w14:paraId="7097FF8F"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rPr>
              <w:t>100.0*</w:t>
            </w:r>
          </w:p>
        </w:tc>
        <w:tc>
          <w:tcPr>
            <w:tcW w:w="891" w:type="pct"/>
            <w:shd w:val="clear" w:color="auto" w:fill="FFFFFF" w:themeFill="background1"/>
            <w:vAlign w:val="center"/>
            <w:hideMark/>
          </w:tcPr>
          <w:p w14:paraId="12340DDC"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99.9</w:t>
            </w:r>
          </w:p>
        </w:tc>
        <w:tc>
          <w:tcPr>
            <w:tcW w:w="1025" w:type="pct"/>
            <w:shd w:val="clear" w:color="auto" w:fill="FFFFFF" w:themeFill="background1"/>
            <w:vAlign w:val="center"/>
            <w:hideMark/>
          </w:tcPr>
          <w:p w14:paraId="72045C9A"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0*</w:t>
            </w:r>
          </w:p>
        </w:tc>
        <w:tc>
          <w:tcPr>
            <w:tcW w:w="891" w:type="pct"/>
            <w:shd w:val="clear" w:color="auto" w:fill="FFFFFF" w:themeFill="background1"/>
            <w:vAlign w:val="center"/>
            <w:hideMark/>
          </w:tcPr>
          <w:p w14:paraId="2C617C2E"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0.1</w:t>
            </w:r>
          </w:p>
        </w:tc>
      </w:tr>
      <w:tr w:rsidR="00C1322C" w:rsidRPr="00170FD0" w14:paraId="29661DE9" w14:textId="77777777" w:rsidTr="000C6AEA">
        <w:trPr>
          <w:trHeight w:val="393"/>
        </w:trPr>
        <w:tc>
          <w:tcPr>
            <w:tcW w:w="1166" w:type="pct"/>
            <w:shd w:val="clear" w:color="auto" w:fill="F2F2F2" w:themeFill="background1" w:themeFillShade="F2"/>
            <w:vAlign w:val="center"/>
            <w:hideMark/>
          </w:tcPr>
          <w:p w14:paraId="2FCA0C3F"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Generators</w:t>
            </w:r>
          </w:p>
        </w:tc>
        <w:tc>
          <w:tcPr>
            <w:tcW w:w="1027" w:type="pct"/>
            <w:shd w:val="clear" w:color="auto" w:fill="FFFFFF" w:themeFill="background1"/>
            <w:vAlign w:val="center"/>
            <w:hideMark/>
          </w:tcPr>
          <w:p w14:paraId="7544A560"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rPr>
              <w:t>42.8</w:t>
            </w:r>
          </w:p>
        </w:tc>
        <w:tc>
          <w:tcPr>
            <w:tcW w:w="891" w:type="pct"/>
            <w:shd w:val="clear" w:color="auto" w:fill="FFFFFF" w:themeFill="background1"/>
            <w:vAlign w:val="center"/>
            <w:hideMark/>
          </w:tcPr>
          <w:p w14:paraId="65894191"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47.1</w:t>
            </w:r>
          </w:p>
        </w:tc>
        <w:tc>
          <w:tcPr>
            <w:tcW w:w="1025" w:type="pct"/>
            <w:shd w:val="clear" w:color="auto" w:fill="FFFFFF" w:themeFill="background1"/>
            <w:vAlign w:val="center"/>
            <w:hideMark/>
          </w:tcPr>
          <w:p w14:paraId="5DA554E1"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rPr>
              <w:t>57.2</w:t>
            </w:r>
          </w:p>
        </w:tc>
        <w:tc>
          <w:tcPr>
            <w:tcW w:w="891" w:type="pct"/>
            <w:shd w:val="clear" w:color="auto" w:fill="FFFFFF" w:themeFill="background1"/>
            <w:vAlign w:val="center"/>
            <w:hideMark/>
          </w:tcPr>
          <w:p w14:paraId="2AB62996"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52.9</w:t>
            </w:r>
          </w:p>
        </w:tc>
      </w:tr>
      <w:tr w:rsidR="00C1322C" w:rsidRPr="00170FD0" w14:paraId="52E1F904" w14:textId="77777777" w:rsidTr="000C6AEA">
        <w:trPr>
          <w:trHeight w:val="413"/>
        </w:trPr>
        <w:tc>
          <w:tcPr>
            <w:tcW w:w="1166" w:type="pct"/>
            <w:shd w:val="clear" w:color="auto" w:fill="F2F2F2" w:themeFill="background1" w:themeFillShade="F2"/>
            <w:vAlign w:val="center"/>
            <w:hideMark/>
          </w:tcPr>
          <w:p w14:paraId="4D9632E2"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Distributors</w:t>
            </w:r>
          </w:p>
        </w:tc>
        <w:tc>
          <w:tcPr>
            <w:tcW w:w="1027" w:type="pct"/>
            <w:shd w:val="clear" w:color="auto" w:fill="FFFFFF" w:themeFill="background1"/>
            <w:vAlign w:val="center"/>
            <w:hideMark/>
          </w:tcPr>
          <w:p w14:paraId="162AEDA2"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rPr>
              <w:t>61.6</w:t>
            </w:r>
          </w:p>
        </w:tc>
        <w:tc>
          <w:tcPr>
            <w:tcW w:w="891" w:type="pct"/>
            <w:shd w:val="clear" w:color="auto" w:fill="FFFFFF" w:themeFill="background1"/>
            <w:vAlign w:val="center"/>
            <w:hideMark/>
          </w:tcPr>
          <w:p w14:paraId="07EB180D"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76.9</w:t>
            </w:r>
          </w:p>
        </w:tc>
        <w:tc>
          <w:tcPr>
            <w:tcW w:w="1025" w:type="pct"/>
            <w:shd w:val="clear" w:color="auto" w:fill="FFFFFF" w:themeFill="background1"/>
            <w:vAlign w:val="center"/>
            <w:hideMark/>
          </w:tcPr>
          <w:p w14:paraId="6106670A"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rPr>
              <w:t>38.4</w:t>
            </w:r>
          </w:p>
        </w:tc>
        <w:tc>
          <w:tcPr>
            <w:tcW w:w="891" w:type="pct"/>
            <w:shd w:val="clear" w:color="auto" w:fill="FFFFFF" w:themeFill="background1"/>
            <w:vAlign w:val="center"/>
            <w:hideMark/>
          </w:tcPr>
          <w:p w14:paraId="4DABCCF0"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23.1</w:t>
            </w:r>
          </w:p>
        </w:tc>
      </w:tr>
    </w:tbl>
    <w:p w14:paraId="421AE286" w14:textId="77777777" w:rsidR="00C1322C" w:rsidRPr="00E9705C" w:rsidRDefault="00C1322C" w:rsidP="004B3400">
      <w:pPr>
        <w:pStyle w:val="Note"/>
      </w:pPr>
      <w:r w:rsidRPr="00386A14">
        <w:rPr>
          <w:b/>
        </w:rPr>
        <w:t>*Note:</w:t>
      </w:r>
      <w:r w:rsidRPr="00E9705C">
        <w:t xml:space="preserve"> </w:t>
      </w:r>
      <w:r>
        <w:t>T</w:t>
      </w:r>
      <w:r w:rsidRPr="00E9705C">
        <w:t>here is no information on the cost to small transmitters, as no cost submissions were received from small transmitters. The total regulatory cost for transmitters has been allocated to the large transmitters that make up 99.9 per</w:t>
      </w:r>
      <w:r>
        <w:t> </w:t>
      </w:r>
      <w:r w:rsidRPr="00E9705C">
        <w:t xml:space="preserve">cent of the market share. </w:t>
      </w:r>
    </w:p>
    <w:p w14:paraId="1C7100E1" w14:textId="5C300696" w:rsidR="00C1322C" w:rsidRDefault="00C1322C" w:rsidP="004B3400">
      <w:pPr>
        <w:pStyle w:val="BodyText"/>
        <w:rPr>
          <w:b/>
          <w:bCs/>
          <w:i/>
          <w:iCs/>
          <w:color w:val="44546A"/>
          <w:sz w:val="18"/>
          <w:szCs w:val="18"/>
        </w:rPr>
      </w:pPr>
      <w:r w:rsidRPr="00E9705C">
        <w:t xml:space="preserve">The industry submissions also indicated the type of expenditure expected to be incurred. The allocation of </w:t>
      </w:r>
      <w:r w:rsidR="00D16B82">
        <w:t xml:space="preserve">expected </w:t>
      </w:r>
      <w:r w:rsidRPr="00E9705C">
        <w:t>cost between labour effort, capital and supplier costs is provided</w:t>
      </w:r>
      <w:r w:rsidR="009B296E">
        <w:t xml:space="preserve"> in the table</w:t>
      </w:r>
      <w:r w:rsidRPr="00E9705C">
        <w:t xml:space="preserve"> </w:t>
      </w:r>
      <w:r w:rsidR="009B296E">
        <w:t>below</w:t>
      </w:r>
      <w:r w:rsidRPr="00E9705C">
        <w:t xml:space="preserve">. The analysis shows that </w:t>
      </w:r>
      <w:r w:rsidRPr="00D0595B">
        <w:t>7</w:t>
      </w:r>
      <w:r w:rsidR="00273EDB">
        <w:t>2.6</w:t>
      </w:r>
      <w:r w:rsidRPr="00D0595B">
        <w:t>% of one-off costs and 19.</w:t>
      </w:r>
      <w:r w:rsidR="009F18FE">
        <w:t>4</w:t>
      </w:r>
      <w:r w:rsidRPr="00D0595B">
        <w:t>% of ongoing costs are expected to be invested in capital. A relatively small share of costs are associated with labour effort (</w:t>
      </w:r>
      <w:r w:rsidR="009F18FE">
        <w:t>7.5</w:t>
      </w:r>
      <w:r w:rsidRPr="00D0595B">
        <w:t>% of one-off costs and 1</w:t>
      </w:r>
      <w:r w:rsidR="009F18FE">
        <w:t>2.6</w:t>
      </w:r>
      <w:r w:rsidRPr="00D0595B">
        <w:t>% of ongoing costs) with operating costs being the largest component of ongoing costs (68.</w:t>
      </w:r>
      <w:r w:rsidR="00273EDB">
        <w:t>0</w:t>
      </w:r>
      <w:r w:rsidRPr="00D0595B">
        <w:t>% of total ongoing costs).</w:t>
      </w:r>
      <w:r w:rsidRPr="00E9705C">
        <w:t xml:space="preserve"> </w:t>
      </w:r>
      <w:bookmarkStart w:id="629" w:name="_Ref78465870"/>
      <w:bookmarkStart w:id="630" w:name="_Toc78878020"/>
      <w:bookmarkStart w:id="631" w:name="_Toc79156696"/>
      <w:bookmarkStart w:id="632" w:name="_Toc79157118"/>
      <w:r>
        <w:rPr>
          <w:b/>
          <w:bCs/>
          <w:i/>
          <w:iCs/>
          <w:color w:val="44546A"/>
          <w:sz w:val="18"/>
          <w:szCs w:val="18"/>
        </w:rPr>
        <w:br w:type="page"/>
      </w:r>
    </w:p>
    <w:bookmarkEnd w:id="629"/>
    <w:p w14:paraId="363B752E" w14:textId="77777777" w:rsidR="00C1322C" w:rsidRPr="00E9705C" w:rsidRDefault="00C1322C" w:rsidP="004B3400">
      <w:pPr>
        <w:pStyle w:val="Caption"/>
        <w:rPr>
          <w:sz w:val="22"/>
        </w:rPr>
      </w:pPr>
      <w:r w:rsidRPr="00E9705C">
        <w:lastRenderedPageBreak/>
        <w:t>Expected one-off and ongoing costs by cost type for critical electricity assets nationally</w:t>
      </w:r>
      <w:bookmarkEnd w:id="630"/>
      <w:bookmarkEnd w:id="631"/>
      <w:bookmarkEnd w:id="632"/>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221"/>
        <w:gridCol w:w="2159"/>
        <w:gridCol w:w="1675"/>
        <w:gridCol w:w="1833"/>
        <w:gridCol w:w="1750"/>
      </w:tblGrid>
      <w:tr w:rsidR="00C1322C" w:rsidRPr="00170FD0" w14:paraId="7A13F6A4" w14:textId="77777777" w:rsidTr="000C6AEA">
        <w:trPr>
          <w:trHeight w:val="601"/>
        </w:trPr>
        <w:tc>
          <w:tcPr>
            <w:tcW w:w="1152" w:type="pct"/>
            <w:vMerge w:val="restart"/>
            <w:shd w:val="clear" w:color="auto" w:fill="034EA2" w:themeFill="accent1"/>
            <w:hideMark/>
          </w:tcPr>
          <w:p w14:paraId="220B3D74" w14:textId="77777777" w:rsidR="00C1322C" w:rsidRPr="00170FD0" w:rsidRDefault="00C1322C" w:rsidP="000C6AEA">
            <w:pPr>
              <w:pStyle w:val="TableHeading"/>
              <w:rPr>
                <w:rFonts w:asciiTheme="minorHAnsi" w:hAnsiTheme="minorHAnsi" w:cstheme="minorHAnsi"/>
                <w:lang w:eastAsia="en-AU"/>
              </w:rPr>
            </w:pPr>
            <w:r w:rsidRPr="00170FD0">
              <w:rPr>
                <w:rFonts w:asciiTheme="minorHAnsi" w:hAnsiTheme="minorHAnsi" w:cstheme="minorHAnsi"/>
                <w:lang w:eastAsia="en-AU"/>
              </w:rPr>
              <w:t>Cost Type</w:t>
            </w:r>
          </w:p>
        </w:tc>
        <w:tc>
          <w:tcPr>
            <w:tcW w:w="3848" w:type="pct"/>
            <w:gridSpan w:val="4"/>
            <w:shd w:val="clear" w:color="auto" w:fill="034EA2" w:themeFill="accent1"/>
            <w:vAlign w:val="center"/>
            <w:hideMark/>
          </w:tcPr>
          <w:p w14:paraId="24415985" w14:textId="77777777" w:rsidR="00C1322C" w:rsidRPr="00170FD0" w:rsidRDefault="00C1322C" w:rsidP="00170FD0">
            <w:pPr>
              <w:pStyle w:val="TableHeading"/>
              <w:rPr>
                <w:rFonts w:asciiTheme="minorHAnsi" w:hAnsiTheme="minorHAnsi" w:cstheme="minorHAnsi"/>
                <w:lang w:eastAsia="en-AU"/>
              </w:rPr>
            </w:pPr>
            <w:r w:rsidRPr="00170FD0">
              <w:rPr>
                <w:rFonts w:asciiTheme="minorHAnsi" w:hAnsiTheme="minorHAnsi" w:cstheme="minorHAnsi"/>
                <w:lang w:eastAsia="en-AU"/>
              </w:rPr>
              <w:t xml:space="preserve">Costs </w:t>
            </w:r>
            <w:r w:rsidR="00222592" w:rsidRPr="00170FD0">
              <w:rPr>
                <w:rFonts w:asciiTheme="minorHAnsi" w:hAnsiTheme="minorHAnsi" w:cstheme="minorHAnsi"/>
                <w:lang w:eastAsia="en-AU"/>
              </w:rPr>
              <w:t>(Expected)</w:t>
            </w:r>
          </w:p>
        </w:tc>
      </w:tr>
      <w:tr w:rsidR="00C1322C" w:rsidRPr="00170FD0" w14:paraId="58E4E1F6" w14:textId="77777777" w:rsidTr="00170FD0">
        <w:trPr>
          <w:trHeight w:val="601"/>
        </w:trPr>
        <w:tc>
          <w:tcPr>
            <w:tcW w:w="1152" w:type="pct"/>
            <w:vMerge/>
            <w:vAlign w:val="center"/>
            <w:hideMark/>
          </w:tcPr>
          <w:p w14:paraId="6AE9DBAD" w14:textId="77777777" w:rsidR="00C1322C" w:rsidRPr="00170FD0" w:rsidRDefault="00C1322C" w:rsidP="00170FD0">
            <w:pPr>
              <w:pStyle w:val="TableBody"/>
              <w:rPr>
                <w:rFonts w:asciiTheme="minorHAnsi" w:hAnsiTheme="minorHAnsi" w:cstheme="minorHAnsi"/>
                <w:lang w:eastAsia="en-AU"/>
              </w:rPr>
            </w:pPr>
          </w:p>
        </w:tc>
        <w:tc>
          <w:tcPr>
            <w:tcW w:w="1120" w:type="pct"/>
            <w:shd w:val="clear" w:color="auto" w:fill="DEEAF6"/>
            <w:hideMark/>
          </w:tcPr>
          <w:p w14:paraId="289D5D7B"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 xml:space="preserve">One-off </w:t>
            </w:r>
            <w:r w:rsidRPr="00170FD0">
              <w:rPr>
                <w:rFonts w:asciiTheme="minorHAnsi" w:hAnsiTheme="minorHAnsi" w:cstheme="minorHAnsi"/>
                <w:color w:val="000000"/>
                <w:lang w:eastAsia="en-AU"/>
              </w:rPr>
              <w:t>($ million)</w:t>
            </w:r>
          </w:p>
        </w:tc>
        <w:tc>
          <w:tcPr>
            <w:tcW w:w="869" w:type="pct"/>
            <w:shd w:val="clear" w:color="auto" w:fill="DEEAF6"/>
            <w:hideMark/>
          </w:tcPr>
          <w:p w14:paraId="3818053C"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One-off</w:t>
            </w:r>
            <w:r w:rsidRPr="00170FD0">
              <w:rPr>
                <w:rFonts w:asciiTheme="minorHAnsi" w:hAnsiTheme="minorHAnsi" w:cstheme="minorHAnsi"/>
                <w:lang w:eastAsia="en-AU"/>
              </w:rPr>
              <w:br/>
              <w:t>(%)</w:t>
            </w:r>
          </w:p>
        </w:tc>
        <w:tc>
          <w:tcPr>
            <w:tcW w:w="951" w:type="pct"/>
            <w:shd w:val="clear" w:color="auto" w:fill="DEEAF6"/>
            <w:hideMark/>
          </w:tcPr>
          <w:p w14:paraId="0C8DA890"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Ongoing</w:t>
            </w:r>
            <w:r w:rsidRPr="00170FD0">
              <w:rPr>
                <w:rFonts w:asciiTheme="minorHAnsi" w:hAnsiTheme="minorHAnsi" w:cstheme="minorHAnsi"/>
                <w:lang w:eastAsia="en-AU"/>
              </w:rPr>
              <w:br/>
              <w:t>(per year)</w:t>
            </w:r>
          </w:p>
        </w:tc>
        <w:tc>
          <w:tcPr>
            <w:tcW w:w="907" w:type="pct"/>
            <w:shd w:val="clear" w:color="auto" w:fill="DEEAF6"/>
            <w:hideMark/>
          </w:tcPr>
          <w:p w14:paraId="31886704"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Ongoing</w:t>
            </w:r>
            <w:r w:rsidRPr="00170FD0">
              <w:rPr>
                <w:rFonts w:asciiTheme="minorHAnsi" w:hAnsiTheme="minorHAnsi" w:cstheme="minorHAnsi"/>
                <w:lang w:eastAsia="en-AU"/>
              </w:rPr>
              <w:br/>
              <w:t>(%)</w:t>
            </w:r>
          </w:p>
        </w:tc>
      </w:tr>
      <w:tr w:rsidR="00C1322C" w:rsidRPr="00170FD0" w14:paraId="1EB97524" w14:textId="77777777" w:rsidTr="000C6AEA">
        <w:trPr>
          <w:trHeight w:val="331"/>
        </w:trPr>
        <w:tc>
          <w:tcPr>
            <w:tcW w:w="1152" w:type="pct"/>
            <w:shd w:val="clear" w:color="auto" w:fill="F2F2F2" w:themeFill="background1" w:themeFillShade="F2"/>
            <w:vAlign w:val="center"/>
            <w:hideMark/>
          </w:tcPr>
          <w:p w14:paraId="5FBD8E94"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Labour effort</w:t>
            </w:r>
          </w:p>
        </w:tc>
        <w:tc>
          <w:tcPr>
            <w:tcW w:w="1120" w:type="pct"/>
          </w:tcPr>
          <w:p w14:paraId="0613B968" w14:textId="49CB1763" w:rsidR="00C1322C" w:rsidRPr="00170FD0" w:rsidRDefault="00E23BA2" w:rsidP="00170FD0">
            <w:pPr>
              <w:pStyle w:val="TableBody"/>
              <w:jc w:val="center"/>
              <w:rPr>
                <w:rFonts w:asciiTheme="minorHAnsi" w:hAnsiTheme="minorHAnsi" w:cstheme="minorHAnsi"/>
                <w:lang w:eastAsia="en-AU"/>
              </w:rPr>
            </w:pPr>
            <w:r>
              <w:rPr>
                <w:rFonts w:asciiTheme="minorHAnsi" w:hAnsiTheme="minorHAnsi" w:cstheme="minorHAnsi"/>
                <w:lang w:eastAsia="en-AU"/>
              </w:rPr>
              <w:t>34.7</w:t>
            </w:r>
          </w:p>
        </w:tc>
        <w:tc>
          <w:tcPr>
            <w:tcW w:w="869" w:type="pct"/>
          </w:tcPr>
          <w:p w14:paraId="3DBC8500" w14:textId="411277BC" w:rsidR="00C1322C" w:rsidRPr="00170FD0" w:rsidRDefault="006D3872" w:rsidP="00170FD0">
            <w:pPr>
              <w:pStyle w:val="TableBody"/>
              <w:jc w:val="center"/>
              <w:rPr>
                <w:rFonts w:asciiTheme="minorHAnsi" w:hAnsiTheme="minorHAnsi" w:cstheme="minorHAnsi"/>
                <w:lang w:eastAsia="en-AU"/>
              </w:rPr>
            </w:pPr>
            <w:r>
              <w:rPr>
                <w:rFonts w:asciiTheme="minorHAnsi" w:hAnsiTheme="minorHAnsi" w:cstheme="minorHAnsi"/>
                <w:lang w:eastAsia="en-AU"/>
              </w:rPr>
              <w:t>7.5</w:t>
            </w:r>
          </w:p>
        </w:tc>
        <w:tc>
          <w:tcPr>
            <w:tcW w:w="951" w:type="pct"/>
          </w:tcPr>
          <w:p w14:paraId="04473003" w14:textId="34ED40A4"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2</w:t>
            </w:r>
            <w:r w:rsidR="00273EDB">
              <w:rPr>
                <w:rFonts w:asciiTheme="minorHAnsi" w:hAnsiTheme="minorHAnsi" w:cstheme="minorHAnsi"/>
                <w:lang w:eastAsia="en-AU"/>
              </w:rPr>
              <w:t>8.8</w:t>
            </w:r>
          </w:p>
        </w:tc>
        <w:tc>
          <w:tcPr>
            <w:tcW w:w="907" w:type="pct"/>
          </w:tcPr>
          <w:p w14:paraId="3A09A2DB" w14:textId="780B5ED6" w:rsidR="00C1322C" w:rsidRPr="00170FD0" w:rsidRDefault="00273EDB" w:rsidP="00170FD0">
            <w:pPr>
              <w:pStyle w:val="TableBody"/>
              <w:jc w:val="center"/>
              <w:rPr>
                <w:rFonts w:asciiTheme="minorHAnsi" w:hAnsiTheme="minorHAnsi" w:cstheme="minorHAnsi"/>
                <w:lang w:eastAsia="en-AU"/>
              </w:rPr>
            </w:pPr>
            <w:r>
              <w:rPr>
                <w:rFonts w:asciiTheme="minorHAnsi" w:hAnsiTheme="minorHAnsi" w:cstheme="minorHAnsi"/>
                <w:lang w:eastAsia="en-AU"/>
              </w:rPr>
              <w:t>12.6</w:t>
            </w:r>
          </w:p>
        </w:tc>
      </w:tr>
      <w:tr w:rsidR="00C1322C" w:rsidRPr="00170FD0" w14:paraId="18017795" w14:textId="77777777" w:rsidTr="000C6AEA">
        <w:trPr>
          <w:trHeight w:val="265"/>
        </w:trPr>
        <w:tc>
          <w:tcPr>
            <w:tcW w:w="1152" w:type="pct"/>
            <w:shd w:val="clear" w:color="auto" w:fill="F2F2F2" w:themeFill="background1" w:themeFillShade="F2"/>
            <w:vAlign w:val="center"/>
            <w:hideMark/>
          </w:tcPr>
          <w:p w14:paraId="4BCFA7CA"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Capital</w:t>
            </w:r>
          </w:p>
        </w:tc>
        <w:tc>
          <w:tcPr>
            <w:tcW w:w="1120" w:type="pct"/>
          </w:tcPr>
          <w:p w14:paraId="7864D5AF"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336.2</w:t>
            </w:r>
          </w:p>
        </w:tc>
        <w:tc>
          <w:tcPr>
            <w:tcW w:w="869" w:type="pct"/>
          </w:tcPr>
          <w:p w14:paraId="4F668A97" w14:textId="7DAF4BB0"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7</w:t>
            </w:r>
            <w:r w:rsidR="006D3872">
              <w:rPr>
                <w:rFonts w:asciiTheme="minorHAnsi" w:hAnsiTheme="minorHAnsi" w:cstheme="minorHAnsi"/>
                <w:lang w:eastAsia="en-AU"/>
              </w:rPr>
              <w:t>2.6</w:t>
            </w:r>
          </w:p>
        </w:tc>
        <w:tc>
          <w:tcPr>
            <w:tcW w:w="951" w:type="pct"/>
          </w:tcPr>
          <w:p w14:paraId="2BDFB1FA"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44.2</w:t>
            </w:r>
          </w:p>
        </w:tc>
        <w:tc>
          <w:tcPr>
            <w:tcW w:w="907" w:type="pct"/>
          </w:tcPr>
          <w:p w14:paraId="3FBB859C" w14:textId="76A7A0FB"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19.</w:t>
            </w:r>
            <w:r w:rsidR="00273EDB">
              <w:rPr>
                <w:rFonts w:asciiTheme="minorHAnsi" w:hAnsiTheme="minorHAnsi" w:cstheme="minorHAnsi"/>
                <w:lang w:eastAsia="en-AU"/>
              </w:rPr>
              <w:t>4</w:t>
            </w:r>
          </w:p>
        </w:tc>
      </w:tr>
      <w:tr w:rsidR="00C1322C" w:rsidRPr="00170FD0" w14:paraId="40D36EF4" w14:textId="77777777" w:rsidTr="000C6AEA">
        <w:trPr>
          <w:trHeight w:val="283"/>
        </w:trPr>
        <w:tc>
          <w:tcPr>
            <w:tcW w:w="1152" w:type="pct"/>
            <w:shd w:val="clear" w:color="auto" w:fill="F2F2F2" w:themeFill="background1" w:themeFillShade="F2"/>
            <w:vAlign w:val="center"/>
            <w:hideMark/>
          </w:tcPr>
          <w:p w14:paraId="0B5554AA" w14:textId="77777777" w:rsidR="00C1322C" w:rsidRPr="00170FD0" w:rsidRDefault="00C1322C" w:rsidP="00170FD0">
            <w:pPr>
              <w:pStyle w:val="TableBody"/>
              <w:rPr>
                <w:rFonts w:asciiTheme="minorHAnsi" w:hAnsiTheme="minorHAnsi" w:cstheme="minorHAnsi"/>
                <w:lang w:eastAsia="en-AU"/>
              </w:rPr>
            </w:pPr>
            <w:r w:rsidRPr="00170FD0">
              <w:rPr>
                <w:rFonts w:asciiTheme="minorHAnsi" w:hAnsiTheme="minorHAnsi" w:cstheme="minorHAnsi"/>
                <w:lang w:eastAsia="en-AU"/>
              </w:rPr>
              <w:t>Operating</w:t>
            </w:r>
          </w:p>
        </w:tc>
        <w:tc>
          <w:tcPr>
            <w:tcW w:w="1120" w:type="pct"/>
          </w:tcPr>
          <w:p w14:paraId="639DC6D0" w14:textId="4AC13285"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92.</w:t>
            </w:r>
            <w:r w:rsidR="00E23BA2">
              <w:rPr>
                <w:rFonts w:asciiTheme="minorHAnsi" w:hAnsiTheme="minorHAnsi" w:cstheme="minorHAnsi"/>
                <w:lang w:eastAsia="en-AU"/>
              </w:rPr>
              <w:t>3</w:t>
            </w:r>
          </w:p>
        </w:tc>
        <w:tc>
          <w:tcPr>
            <w:tcW w:w="869" w:type="pct"/>
          </w:tcPr>
          <w:p w14:paraId="36E0F739" w14:textId="7F06002E" w:rsidR="00C1322C" w:rsidRPr="00170FD0" w:rsidRDefault="006D3872" w:rsidP="00170FD0">
            <w:pPr>
              <w:pStyle w:val="TableBody"/>
              <w:jc w:val="center"/>
              <w:rPr>
                <w:rFonts w:asciiTheme="minorHAnsi" w:hAnsiTheme="minorHAnsi" w:cstheme="minorHAnsi"/>
                <w:lang w:eastAsia="en-AU"/>
              </w:rPr>
            </w:pPr>
            <w:r>
              <w:rPr>
                <w:rFonts w:asciiTheme="minorHAnsi" w:hAnsiTheme="minorHAnsi" w:cstheme="minorHAnsi"/>
                <w:lang w:eastAsia="en-AU"/>
              </w:rPr>
              <w:t>19.9</w:t>
            </w:r>
          </w:p>
        </w:tc>
        <w:tc>
          <w:tcPr>
            <w:tcW w:w="951" w:type="pct"/>
          </w:tcPr>
          <w:p w14:paraId="6F79217E" w14:textId="77777777"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155.0</w:t>
            </w:r>
          </w:p>
        </w:tc>
        <w:tc>
          <w:tcPr>
            <w:tcW w:w="907" w:type="pct"/>
          </w:tcPr>
          <w:p w14:paraId="1506CC2C" w14:textId="2A8BAE93" w:rsidR="00C1322C" w:rsidRPr="00170FD0" w:rsidRDefault="00C1322C" w:rsidP="00170FD0">
            <w:pPr>
              <w:pStyle w:val="TableBody"/>
              <w:jc w:val="center"/>
              <w:rPr>
                <w:rFonts w:asciiTheme="minorHAnsi" w:hAnsiTheme="minorHAnsi" w:cstheme="minorHAnsi"/>
                <w:lang w:eastAsia="en-AU"/>
              </w:rPr>
            </w:pPr>
            <w:r w:rsidRPr="00170FD0">
              <w:rPr>
                <w:rFonts w:asciiTheme="minorHAnsi" w:hAnsiTheme="minorHAnsi" w:cstheme="minorHAnsi"/>
                <w:lang w:eastAsia="en-AU"/>
              </w:rPr>
              <w:t>68.</w:t>
            </w:r>
            <w:r w:rsidR="00273EDB">
              <w:rPr>
                <w:rFonts w:asciiTheme="minorHAnsi" w:hAnsiTheme="minorHAnsi" w:cstheme="minorHAnsi"/>
                <w:lang w:eastAsia="en-AU"/>
              </w:rPr>
              <w:t>0</w:t>
            </w:r>
          </w:p>
        </w:tc>
      </w:tr>
      <w:tr w:rsidR="00C1322C" w:rsidRPr="00170FD0" w14:paraId="20F1125E" w14:textId="77777777" w:rsidTr="00170FD0">
        <w:trPr>
          <w:trHeight w:val="297"/>
        </w:trPr>
        <w:tc>
          <w:tcPr>
            <w:tcW w:w="1152" w:type="pct"/>
            <w:shd w:val="clear" w:color="auto" w:fill="034EA2" w:themeFill="accent1"/>
            <w:vAlign w:val="center"/>
            <w:hideMark/>
          </w:tcPr>
          <w:p w14:paraId="0A545E9C" w14:textId="77777777" w:rsidR="00C1322C" w:rsidRPr="00170FD0" w:rsidRDefault="00C1322C" w:rsidP="00170FD0">
            <w:pPr>
              <w:pStyle w:val="TableHeading"/>
              <w:rPr>
                <w:rFonts w:asciiTheme="minorHAnsi" w:hAnsiTheme="minorHAnsi" w:cstheme="minorHAnsi"/>
                <w:lang w:eastAsia="en-AU"/>
              </w:rPr>
            </w:pPr>
            <w:r w:rsidRPr="00170FD0">
              <w:rPr>
                <w:rFonts w:asciiTheme="minorHAnsi" w:hAnsiTheme="minorHAnsi" w:cstheme="minorHAnsi"/>
                <w:lang w:eastAsia="en-AU"/>
              </w:rPr>
              <w:t>Total critical electricity assets</w:t>
            </w:r>
          </w:p>
        </w:tc>
        <w:tc>
          <w:tcPr>
            <w:tcW w:w="1120" w:type="pct"/>
            <w:shd w:val="clear" w:color="auto" w:fill="034EA2" w:themeFill="accent1"/>
            <w:hideMark/>
          </w:tcPr>
          <w:p w14:paraId="61BE4396" w14:textId="349BDEBB" w:rsidR="00C1322C" w:rsidRPr="00170FD0" w:rsidRDefault="00C1322C" w:rsidP="00170FD0">
            <w:pPr>
              <w:pStyle w:val="TableHeading"/>
              <w:jc w:val="center"/>
              <w:rPr>
                <w:rFonts w:asciiTheme="minorHAnsi" w:hAnsiTheme="minorHAnsi" w:cstheme="minorHAnsi"/>
                <w:lang w:eastAsia="en-AU"/>
              </w:rPr>
            </w:pPr>
            <w:r w:rsidRPr="00170FD0">
              <w:rPr>
                <w:rFonts w:asciiTheme="minorHAnsi" w:hAnsiTheme="minorHAnsi" w:cstheme="minorHAnsi"/>
                <w:lang w:eastAsia="en-AU"/>
              </w:rPr>
              <w:t>46</w:t>
            </w:r>
            <w:r w:rsidR="00E23BA2">
              <w:rPr>
                <w:rFonts w:asciiTheme="minorHAnsi" w:hAnsiTheme="minorHAnsi" w:cstheme="minorHAnsi"/>
                <w:lang w:eastAsia="en-AU"/>
              </w:rPr>
              <w:t>3.3</w:t>
            </w:r>
          </w:p>
        </w:tc>
        <w:tc>
          <w:tcPr>
            <w:tcW w:w="869" w:type="pct"/>
            <w:shd w:val="clear" w:color="auto" w:fill="034EA2" w:themeFill="accent1"/>
            <w:hideMark/>
          </w:tcPr>
          <w:p w14:paraId="5B33C52E" w14:textId="77777777" w:rsidR="00C1322C" w:rsidRPr="00170FD0" w:rsidRDefault="00C1322C" w:rsidP="00170FD0">
            <w:pPr>
              <w:pStyle w:val="TableHeading"/>
              <w:jc w:val="center"/>
              <w:rPr>
                <w:rFonts w:asciiTheme="minorHAnsi" w:hAnsiTheme="minorHAnsi" w:cstheme="minorHAnsi"/>
                <w:lang w:eastAsia="en-AU"/>
              </w:rPr>
            </w:pPr>
            <w:r w:rsidRPr="00170FD0">
              <w:rPr>
                <w:rFonts w:asciiTheme="minorHAnsi" w:hAnsiTheme="minorHAnsi" w:cstheme="minorHAnsi"/>
              </w:rPr>
              <w:t>100.0</w:t>
            </w:r>
          </w:p>
        </w:tc>
        <w:tc>
          <w:tcPr>
            <w:tcW w:w="951" w:type="pct"/>
            <w:shd w:val="clear" w:color="auto" w:fill="034EA2" w:themeFill="accent1"/>
            <w:hideMark/>
          </w:tcPr>
          <w:p w14:paraId="6C2060EE" w14:textId="0E5960C7" w:rsidR="00C1322C" w:rsidRPr="00170FD0" w:rsidRDefault="00C1322C" w:rsidP="00170FD0">
            <w:pPr>
              <w:pStyle w:val="TableHeading"/>
              <w:jc w:val="center"/>
              <w:rPr>
                <w:rFonts w:asciiTheme="minorHAnsi" w:hAnsiTheme="minorHAnsi" w:cstheme="minorHAnsi"/>
                <w:lang w:eastAsia="en-AU"/>
              </w:rPr>
            </w:pPr>
            <w:r w:rsidRPr="00170FD0">
              <w:rPr>
                <w:rFonts w:asciiTheme="minorHAnsi" w:hAnsiTheme="minorHAnsi" w:cstheme="minorHAnsi"/>
                <w:lang w:eastAsia="en-AU"/>
              </w:rPr>
              <w:t>22</w:t>
            </w:r>
            <w:r w:rsidR="00273EDB">
              <w:rPr>
                <w:rFonts w:asciiTheme="minorHAnsi" w:hAnsiTheme="minorHAnsi" w:cstheme="minorHAnsi"/>
                <w:lang w:eastAsia="en-AU"/>
              </w:rPr>
              <w:t>8.0</w:t>
            </w:r>
          </w:p>
        </w:tc>
        <w:tc>
          <w:tcPr>
            <w:tcW w:w="907" w:type="pct"/>
            <w:shd w:val="clear" w:color="auto" w:fill="034EA2" w:themeFill="accent1"/>
            <w:hideMark/>
          </w:tcPr>
          <w:p w14:paraId="313387E4" w14:textId="77777777" w:rsidR="00C1322C" w:rsidRPr="00170FD0" w:rsidRDefault="00C1322C" w:rsidP="00170FD0">
            <w:pPr>
              <w:pStyle w:val="TableHeading"/>
              <w:jc w:val="center"/>
              <w:rPr>
                <w:rFonts w:asciiTheme="minorHAnsi" w:hAnsiTheme="minorHAnsi" w:cstheme="minorHAnsi"/>
                <w:lang w:eastAsia="en-AU"/>
              </w:rPr>
            </w:pPr>
            <w:r w:rsidRPr="00170FD0">
              <w:rPr>
                <w:rFonts w:asciiTheme="minorHAnsi" w:hAnsiTheme="minorHAnsi" w:cstheme="minorHAnsi"/>
              </w:rPr>
              <w:t>100.0</w:t>
            </w:r>
          </w:p>
        </w:tc>
      </w:tr>
    </w:tbl>
    <w:p w14:paraId="5B5A6023" w14:textId="77777777" w:rsidR="00C1322C" w:rsidRPr="00EF3549" w:rsidRDefault="00C1322C" w:rsidP="004B3400">
      <w:pPr>
        <w:pStyle w:val="BodyText"/>
        <w:rPr>
          <w:b/>
          <w:bCs/>
          <w:color w:val="034EA2" w:themeColor="accent1"/>
        </w:rPr>
      </w:pPr>
      <w:r>
        <w:t>Several industry stakeholders advised that due to the broad nature of the reforms and the uncertainty associated with implementation of the proposed risk management program framework, cost estimates may have been inflated</w:t>
      </w:r>
      <w:r w:rsidRPr="004F6C32">
        <w:t xml:space="preserve"> to allow for a worst</w:t>
      </w:r>
      <w:r>
        <w:t>-</w:t>
      </w:r>
      <w:r w:rsidRPr="004F6C32">
        <w:t xml:space="preserve">case </w:t>
      </w:r>
      <w:r>
        <w:t>cost impact.</w:t>
      </w:r>
    </w:p>
    <w:p w14:paraId="3526FD33" w14:textId="77777777" w:rsidR="0044774C" w:rsidRPr="006507C0" w:rsidRDefault="0044774C" w:rsidP="004B3400">
      <w:pPr>
        <w:pStyle w:val="AppendixH3"/>
      </w:pPr>
      <w:r w:rsidRPr="006507C0">
        <w:t>Benefits of option 2</w:t>
      </w:r>
    </w:p>
    <w:p w14:paraId="33CC693E" w14:textId="77777777" w:rsidR="00A36BCF" w:rsidRPr="00E9705C" w:rsidRDefault="00A36BCF" w:rsidP="004B3400">
      <w:pPr>
        <w:pStyle w:val="BodyText"/>
      </w:pPr>
      <w:r w:rsidRPr="00E9705C">
        <w:t>A reliable continuous electricity supply is central to Australia’s prosperity. Further, disruption to supply can be a significant cost to the economy. The risk management program framework aims to reduce the frequency and impact of any disruption to supply and so its primary benefit is to avoid the incidents that may otherwise disrupt supply and cause economic loss.</w:t>
      </w:r>
    </w:p>
    <w:p w14:paraId="43EE2F96" w14:textId="77777777" w:rsidR="0044774C" w:rsidRPr="00E9705C" w:rsidRDefault="0044774C" w:rsidP="004B3400">
      <w:pPr>
        <w:pStyle w:val="AppendixH3"/>
        <w:rPr>
          <w:rFonts w:eastAsia="Calibri"/>
        </w:rPr>
      </w:pPr>
      <w:r w:rsidRPr="00E9705C">
        <w:rPr>
          <w:rFonts w:eastAsia="Calibri"/>
        </w:rPr>
        <w:t xml:space="preserve">Economic impacts of disruptions to </w:t>
      </w:r>
      <w:r w:rsidR="00BC3DB7">
        <w:rPr>
          <w:rFonts w:eastAsia="Calibri"/>
        </w:rPr>
        <w:t>electricity</w:t>
      </w:r>
      <w:r w:rsidRPr="000B3CC0">
        <w:rPr>
          <w:rFonts w:eastAsia="Calibri"/>
        </w:rPr>
        <w:t xml:space="preserve"> </w:t>
      </w:r>
      <w:r w:rsidRPr="00E9705C">
        <w:rPr>
          <w:rFonts w:eastAsia="Calibri"/>
        </w:rPr>
        <w:t xml:space="preserve">supply </w:t>
      </w:r>
    </w:p>
    <w:p w14:paraId="23A472F2" w14:textId="77777777" w:rsidR="00261A2C" w:rsidRPr="00261A2C" w:rsidRDefault="00261A2C" w:rsidP="00261A2C">
      <w:pPr>
        <w:pStyle w:val="BodyText"/>
      </w:pPr>
      <w:r w:rsidRPr="00261A2C">
        <w:t>Damage to critical electricity assets can subsequently disrupt the generation, transmission and/or distribution of electricity to businesses and households. These events can generate costly immediate and longer-term impacts on the Australian economy. The immediate</w:t>
      </w:r>
      <w:r w:rsidRPr="00261A2C">
        <w:rPr>
          <w:rFonts w:eastAsia="Arial"/>
        </w:rPr>
        <w:t xml:space="preserve"> impacts of an electricity outage are those associated with loss of access to </w:t>
      </w:r>
      <w:r w:rsidRPr="00261A2C">
        <w:t>electricity or increased electricity costs, such as:</w:t>
      </w:r>
    </w:p>
    <w:p w14:paraId="76DA8581" w14:textId="77777777" w:rsidR="0044774C" w:rsidRPr="00E9705C" w:rsidRDefault="0044774C" w:rsidP="007F265A">
      <w:pPr>
        <w:numPr>
          <w:ilvl w:val="0"/>
          <w:numId w:val="135"/>
        </w:numPr>
        <w:spacing w:after="160"/>
        <w:contextualSpacing/>
        <w:rPr>
          <w:rFonts w:ascii="Arial" w:eastAsia="Calibri" w:hAnsi="Arial" w:cs="Arial"/>
          <w:sz w:val="22"/>
        </w:rPr>
      </w:pPr>
      <w:r w:rsidRPr="00E9705C">
        <w:rPr>
          <w:rFonts w:ascii="Arial" w:eastAsia="Calibri" w:hAnsi="Arial" w:cs="Arial"/>
          <w:sz w:val="22"/>
        </w:rPr>
        <w:t>Lost production (e.g. production of goods and services may cease);</w:t>
      </w:r>
    </w:p>
    <w:p w14:paraId="38408CAA" w14:textId="77777777" w:rsidR="0044774C" w:rsidRPr="00E9705C" w:rsidRDefault="0044774C" w:rsidP="007F265A">
      <w:pPr>
        <w:numPr>
          <w:ilvl w:val="0"/>
          <w:numId w:val="135"/>
        </w:numPr>
        <w:spacing w:after="160"/>
        <w:contextualSpacing/>
        <w:rPr>
          <w:rFonts w:ascii="Arial" w:eastAsia="Calibri" w:hAnsi="Arial" w:cs="Arial"/>
          <w:sz w:val="22"/>
        </w:rPr>
      </w:pPr>
      <w:r w:rsidRPr="00E9705C">
        <w:rPr>
          <w:rFonts w:ascii="Arial" w:eastAsia="Calibri" w:hAnsi="Arial" w:cs="Arial"/>
          <w:sz w:val="22"/>
        </w:rPr>
        <w:t>Lost productivity (e.g. workers may be idle whilst continuing to receive wages);</w:t>
      </w:r>
    </w:p>
    <w:p w14:paraId="1F6137B1" w14:textId="77777777" w:rsidR="0044774C" w:rsidRPr="00E9705C" w:rsidRDefault="0044774C" w:rsidP="007F265A">
      <w:pPr>
        <w:numPr>
          <w:ilvl w:val="0"/>
          <w:numId w:val="135"/>
        </w:numPr>
        <w:spacing w:after="160"/>
        <w:contextualSpacing/>
        <w:rPr>
          <w:rFonts w:ascii="Arial" w:eastAsia="Calibri" w:hAnsi="Arial" w:cs="Arial"/>
          <w:sz w:val="22"/>
        </w:rPr>
      </w:pPr>
      <w:r w:rsidRPr="00E9705C">
        <w:rPr>
          <w:rFonts w:ascii="Arial" w:eastAsia="Calibri" w:hAnsi="Arial" w:cs="Arial"/>
          <w:sz w:val="22"/>
        </w:rPr>
        <w:t xml:space="preserve">Lost wages (e.g. workers may be sent home or unable to go to work); </w:t>
      </w:r>
    </w:p>
    <w:p w14:paraId="6FA24449" w14:textId="77777777" w:rsidR="00BC3DB7" w:rsidRPr="00E9705C" w:rsidRDefault="00BC3DB7" w:rsidP="007F265A">
      <w:pPr>
        <w:numPr>
          <w:ilvl w:val="0"/>
          <w:numId w:val="135"/>
        </w:numPr>
        <w:spacing w:after="160"/>
        <w:contextualSpacing/>
        <w:rPr>
          <w:rFonts w:ascii="Arial" w:eastAsia="Calibri" w:hAnsi="Arial" w:cs="Arial"/>
          <w:sz w:val="22"/>
        </w:rPr>
      </w:pPr>
      <w:r w:rsidRPr="00E9705C">
        <w:rPr>
          <w:rFonts w:ascii="Arial" w:eastAsia="Calibri" w:hAnsi="Arial" w:cs="Arial"/>
          <w:sz w:val="22"/>
        </w:rPr>
        <w:t>Spoiled goods (e.g. spoiled produce due to lack of refrigeration); and</w:t>
      </w:r>
    </w:p>
    <w:p w14:paraId="3F228D32" w14:textId="77777777" w:rsidR="00BC3DB7" w:rsidRPr="00E9705C" w:rsidRDefault="00BC3DB7" w:rsidP="007F265A">
      <w:pPr>
        <w:numPr>
          <w:ilvl w:val="0"/>
          <w:numId w:val="135"/>
        </w:numPr>
        <w:spacing w:after="160"/>
        <w:ind w:left="357" w:hanging="357"/>
        <w:rPr>
          <w:rFonts w:ascii="Arial" w:eastAsia="Calibri" w:hAnsi="Arial" w:cs="Arial"/>
          <w:sz w:val="22"/>
        </w:rPr>
      </w:pPr>
      <w:r w:rsidRPr="00E9705C">
        <w:rPr>
          <w:rFonts w:ascii="Arial" w:eastAsia="Calibri" w:hAnsi="Arial" w:cs="Arial"/>
          <w:sz w:val="22"/>
        </w:rPr>
        <w:t>Increased cost of production if switching to a substitute source of energy (e.g. backup generator).</w:t>
      </w:r>
    </w:p>
    <w:p w14:paraId="2B8F8790" w14:textId="77777777" w:rsidR="00BC3DB7" w:rsidRPr="00E9705C" w:rsidRDefault="00BC3DB7" w:rsidP="004B3400">
      <w:pPr>
        <w:pStyle w:val="BodyText"/>
      </w:pPr>
      <w:r w:rsidRPr="00E9705C">
        <w:t xml:space="preserve">Quantifying the economic impacts associated with power outages is complex. Data is relatively sparse, and the economic impacts vary as they are highly sensitive to factors including:  </w:t>
      </w:r>
    </w:p>
    <w:p w14:paraId="3C507555" w14:textId="77777777" w:rsidR="00BC3DB7" w:rsidRPr="00E9705C" w:rsidRDefault="00BC3DB7" w:rsidP="007F265A">
      <w:pPr>
        <w:numPr>
          <w:ilvl w:val="0"/>
          <w:numId w:val="138"/>
        </w:numPr>
        <w:spacing w:after="160"/>
        <w:contextualSpacing/>
        <w:rPr>
          <w:rFonts w:ascii="Arial" w:eastAsia="Calibri" w:hAnsi="Arial" w:cs="Arial"/>
          <w:sz w:val="22"/>
        </w:rPr>
      </w:pPr>
      <w:r w:rsidRPr="00E9705C">
        <w:rPr>
          <w:rFonts w:ascii="Arial" w:eastAsia="Calibri" w:hAnsi="Arial" w:cs="Arial"/>
          <w:sz w:val="22"/>
        </w:rPr>
        <w:t>Duration of the power outage, for example short power outages are relatively manageable;</w:t>
      </w:r>
    </w:p>
    <w:p w14:paraId="75B2056F" w14:textId="77777777" w:rsidR="00BC3DB7" w:rsidRPr="00E9705C" w:rsidRDefault="00BC3DB7" w:rsidP="007F265A">
      <w:pPr>
        <w:numPr>
          <w:ilvl w:val="0"/>
          <w:numId w:val="138"/>
        </w:numPr>
        <w:spacing w:after="160"/>
        <w:contextualSpacing/>
        <w:rPr>
          <w:rFonts w:ascii="Arial" w:eastAsia="Calibri" w:hAnsi="Arial" w:cs="Arial"/>
          <w:sz w:val="22"/>
        </w:rPr>
      </w:pPr>
      <w:r w:rsidRPr="00E9705C">
        <w:rPr>
          <w:rFonts w:ascii="Arial" w:eastAsia="Calibri" w:hAnsi="Arial" w:cs="Arial"/>
          <w:sz w:val="22"/>
        </w:rPr>
        <w:t>Geographic spread of the outage, for example a localised power outage means that less users are affected and that substitutable goods (such as takeaway food) may be within travelling distance;</w:t>
      </w:r>
    </w:p>
    <w:p w14:paraId="49875F12" w14:textId="77777777" w:rsidR="00BC3DB7" w:rsidRPr="00E9705C" w:rsidRDefault="00BC3DB7" w:rsidP="007F265A">
      <w:pPr>
        <w:numPr>
          <w:ilvl w:val="0"/>
          <w:numId w:val="138"/>
        </w:numPr>
        <w:spacing w:after="160"/>
        <w:contextualSpacing/>
        <w:rPr>
          <w:rFonts w:ascii="Arial" w:eastAsia="Calibri" w:hAnsi="Arial" w:cs="Arial"/>
          <w:sz w:val="22"/>
        </w:rPr>
      </w:pPr>
      <w:r w:rsidRPr="00E9705C">
        <w:rPr>
          <w:rFonts w:ascii="Arial" w:eastAsia="Calibri" w:hAnsi="Arial" w:cs="Arial"/>
          <w:sz w:val="22"/>
        </w:rPr>
        <w:t xml:space="preserve">Time of day/day of the week/time of the year that the outage occurs for example a power outage during business hours in the summer months will likely result in a larger economic impact than the same outage occurring in the middle of the night in winter; and </w:t>
      </w:r>
    </w:p>
    <w:p w14:paraId="6957172B" w14:textId="77777777" w:rsidR="00BC3DB7" w:rsidRPr="00E9705C" w:rsidRDefault="00BC3DB7" w:rsidP="007F265A">
      <w:pPr>
        <w:numPr>
          <w:ilvl w:val="0"/>
          <w:numId w:val="139"/>
        </w:numPr>
        <w:spacing w:after="160"/>
        <w:ind w:left="357" w:hanging="357"/>
        <w:rPr>
          <w:rFonts w:ascii="Arial" w:eastAsia="Calibri" w:hAnsi="Arial" w:cs="Arial"/>
          <w:sz w:val="22"/>
        </w:rPr>
      </w:pPr>
      <w:r w:rsidRPr="00E9705C">
        <w:rPr>
          <w:rFonts w:ascii="Arial" w:eastAsia="Calibri" w:hAnsi="Arial" w:cs="Arial"/>
          <w:sz w:val="22"/>
        </w:rPr>
        <w:t xml:space="preserve">The existence of any pre-established solutions to substitute electricity during the outage. </w:t>
      </w:r>
    </w:p>
    <w:p w14:paraId="4D20C076" w14:textId="77777777" w:rsidR="00BC3DB7" w:rsidRPr="00E9705C" w:rsidRDefault="00BC3DB7" w:rsidP="004B3400">
      <w:pPr>
        <w:pStyle w:val="BodyText"/>
      </w:pPr>
      <w:r w:rsidRPr="00E9705C">
        <w:t>Computable General Equilibrium (CGE) modelling was used to illustrate how costly the disruption could potentially be by examining a hypothetical supply shock (i.e. less electricity is available to users) and an associated increase in input costs (i.e. an increase in the cost of electricity). The advantage of using a CGE approach is that both the direct and indirect (i.e. flow-on) economic impacts of a power outage event can be quantified.</w:t>
      </w:r>
    </w:p>
    <w:p w14:paraId="7C8441A9" w14:textId="77777777" w:rsidR="00BC3DB7" w:rsidRDefault="00BC3DB7" w:rsidP="00170FD0">
      <w:pPr>
        <w:pStyle w:val="AppendixH3"/>
      </w:pPr>
      <w:r w:rsidRPr="00386A14">
        <w:lastRenderedPageBreak/>
        <w:t xml:space="preserve">CGE Modelling Approach </w:t>
      </w:r>
    </w:p>
    <w:p w14:paraId="78D7E594" w14:textId="77777777" w:rsidR="00A912D7" w:rsidRPr="00170FD0" w:rsidRDefault="00A912D7" w:rsidP="004B3400">
      <w:pPr>
        <w:pStyle w:val="BodyText"/>
      </w:pPr>
      <w:r w:rsidRPr="00386A14">
        <w:t xml:space="preserve">To analyse the direct and indirect economic contributions of power outages due 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w:t>
      </w:r>
      <w:r w:rsidRPr="00170FD0">
        <w:t xml:space="preserve">markets. </w:t>
      </w:r>
    </w:p>
    <w:p w14:paraId="0D8F6245" w14:textId="77777777" w:rsidR="00A912D7" w:rsidRPr="00386A14" w:rsidRDefault="00A912D7" w:rsidP="004B3400">
      <w:pPr>
        <w:pStyle w:val="BodyText"/>
      </w:pPr>
      <w:r w:rsidRPr="00386A14">
        <w:t xml:space="preserve">Defining features of the theoretical structure of the model are: </w:t>
      </w:r>
    </w:p>
    <w:p w14:paraId="50B99C26" w14:textId="77777777" w:rsidR="00A912D7" w:rsidRPr="00386A14" w:rsidRDefault="00A912D7" w:rsidP="00170FD0">
      <w:pPr>
        <w:pStyle w:val="Bullet1stlevel"/>
        <w:rPr>
          <w:rFonts w:eastAsia="Times New Roman"/>
        </w:rPr>
      </w:pPr>
      <w:r w:rsidRPr="00386A14">
        <w:t xml:space="preserve">Optimising behaviour by households and businesses in the context of competitive markets with explicit resource and budget constraints; </w:t>
      </w:r>
    </w:p>
    <w:p w14:paraId="7BA848A6" w14:textId="77777777" w:rsidR="00A912D7" w:rsidRPr="00386A14" w:rsidRDefault="00A912D7" w:rsidP="00170FD0">
      <w:pPr>
        <w:pStyle w:val="Bullet1stlevel"/>
        <w:rPr>
          <w:rFonts w:eastAsia="Times New Roman"/>
        </w:rPr>
      </w:pPr>
      <w:r w:rsidRPr="00386A14">
        <w:t xml:space="preserve">The price mechanism operates to clear markets for goods and factors such as labour and capital (i.e. prices adjust so that supply equals demand); and </w:t>
      </w:r>
    </w:p>
    <w:p w14:paraId="01F80943" w14:textId="77777777" w:rsidR="00A912D7" w:rsidRPr="00386A14" w:rsidRDefault="00A912D7" w:rsidP="00170FD0">
      <w:pPr>
        <w:pStyle w:val="Bullet1stlevel"/>
      </w:pPr>
      <w:r w:rsidRPr="00386A14">
        <w:t xml:space="preserve">At the margin, costs are equal to revenues in all economic activities. </w:t>
      </w:r>
    </w:p>
    <w:p w14:paraId="2387F3AF" w14:textId="77777777" w:rsidR="00A912D7" w:rsidRPr="00386A14" w:rsidRDefault="00A912D7" w:rsidP="004B3400">
      <w:pPr>
        <w:pStyle w:val="BodyText"/>
      </w:pPr>
      <w:r w:rsidRPr="00386A14">
        <w:t xml:space="preserve">The modelling framework is suited to analysing the economic impact of power outages as it explicitly captures supply-chain linkages as well as other flow-on effects and feedback responses by all economic agents. The strength of CGE models is that they capture the upstream and downstream linkages between the activities induced by the outages and the rest of the economy in a framework that combines detailed historical data with fundamental economic theory. </w:t>
      </w:r>
    </w:p>
    <w:p w14:paraId="319C37BA" w14:textId="77777777" w:rsidR="00A912D7" w:rsidRPr="00386A14" w:rsidRDefault="00A912D7" w:rsidP="00170FD0">
      <w:pPr>
        <w:pStyle w:val="AppendixH3"/>
      </w:pPr>
      <w:r w:rsidRPr="00386A14">
        <w:t>Power outage scenarios</w:t>
      </w:r>
    </w:p>
    <w:p w14:paraId="5112990F" w14:textId="77777777" w:rsidR="00A912D7" w:rsidRPr="00E9705C" w:rsidRDefault="00A912D7" w:rsidP="004B3400">
      <w:pPr>
        <w:pStyle w:val="BodyText"/>
      </w:pPr>
      <w:r w:rsidRPr="00E9705C">
        <w:t xml:space="preserve">The CGE modelling provided estimates regarding how sensitive the Australian economy is to a shock to the electricity system. This analysis was undertaken by defining a set of hypothetical scenarios with varying magnitudes of power outages and price impacts associated with the power outage. The scope of the hypothetical scenarios was based on studies of major events which are discussed below. </w:t>
      </w:r>
    </w:p>
    <w:p w14:paraId="5186C105" w14:textId="77777777" w:rsidR="0044774C" w:rsidRPr="00386A14" w:rsidRDefault="0044774C" w:rsidP="00170FD0">
      <w:pPr>
        <w:pStyle w:val="AppendixH3"/>
      </w:pPr>
      <w:r w:rsidRPr="00386A14">
        <w:t>Case studies</w:t>
      </w:r>
    </w:p>
    <w:p w14:paraId="39A7BE39" w14:textId="5473DC2C" w:rsidR="00836023" w:rsidRDefault="00FB0569" w:rsidP="004B3400">
      <w:pPr>
        <w:pStyle w:val="BodyText"/>
      </w:pPr>
      <w:r w:rsidRPr="00E9705C">
        <w:t xml:space="preserve">A series of case studies provides some context for how unplanned outages in the electricity network impact the economy. These case studies provide a basis for modelling hypothetical, but comparable outages, in an economy-wide (CGE) model and contextualising the results of that modelling. Case studies have been chosen to provide insights into the economy-wide costs to households and businesses of large-scale and severe power outages. The case studies include one domestic event, the 2016 South Australian blackout, and two international events, the 2003 US/Canada network failure and the 2003 Italian power outage. The table below provides a summary of the three case studies. </w:t>
      </w:r>
    </w:p>
    <w:p w14:paraId="7BD26503" w14:textId="517A2CE8" w:rsidR="00170FD0" w:rsidRDefault="00170FD0" w:rsidP="004B3400">
      <w:pPr>
        <w:pStyle w:val="BodyText"/>
      </w:pPr>
    </w:p>
    <w:p w14:paraId="5719B432" w14:textId="1022BBEE" w:rsidR="00170FD0" w:rsidRDefault="00170FD0" w:rsidP="004B3400">
      <w:pPr>
        <w:pStyle w:val="BodyText"/>
      </w:pPr>
    </w:p>
    <w:p w14:paraId="1F90642B" w14:textId="77777777" w:rsidR="00170FD0" w:rsidRDefault="00170FD0" w:rsidP="004B3400">
      <w:pPr>
        <w:pStyle w:val="BodyText"/>
      </w:pPr>
    </w:p>
    <w:p w14:paraId="73396FA3" w14:textId="77777777" w:rsidR="00836023" w:rsidRPr="00E9705C" w:rsidRDefault="00836023" w:rsidP="00170FD0">
      <w:pPr>
        <w:pStyle w:val="Caption"/>
      </w:pPr>
      <w:r w:rsidRPr="00E9705C">
        <w:t>Power outage case studies in Australia and globally</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457"/>
        <w:gridCol w:w="8181"/>
      </w:tblGrid>
      <w:tr w:rsidR="00836023" w:rsidRPr="00E9705C" w14:paraId="3338BDF1" w14:textId="77777777" w:rsidTr="000C6AEA">
        <w:trPr>
          <w:trHeight w:val="279"/>
        </w:trPr>
        <w:tc>
          <w:tcPr>
            <w:tcW w:w="756" w:type="pct"/>
            <w:shd w:val="clear" w:color="auto" w:fill="034EA2" w:themeFill="accent1"/>
          </w:tcPr>
          <w:p w14:paraId="7D7CC5BC" w14:textId="77777777" w:rsidR="00836023" w:rsidRPr="00E9705C" w:rsidRDefault="00836023" w:rsidP="00170FD0">
            <w:pPr>
              <w:pStyle w:val="TableHeading"/>
              <w:rPr>
                <w:b w:val="0"/>
              </w:rPr>
            </w:pPr>
            <w:r w:rsidRPr="00A84107">
              <w:t>Incident</w:t>
            </w:r>
          </w:p>
        </w:tc>
        <w:tc>
          <w:tcPr>
            <w:tcW w:w="4244" w:type="pct"/>
            <w:shd w:val="clear" w:color="auto" w:fill="034EA2" w:themeFill="accent1"/>
          </w:tcPr>
          <w:p w14:paraId="36BAB183" w14:textId="77777777" w:rsidR="00836023" w:rsidRPr="00E9705C" w:rsidRDefault="00836023" w:rsidP="00170FD0">
            <w:pPr>
              <w:pStyle w:val="TableHeading"/>
              <w:rPr>
                <w:b w:val="0"/>
              </w:rPr>
            </w:pPr>
            <w:r w:rsidRPr="00A84107">
              <w:t>Summary of incident</w:t>
            </w:r>
          </w:p>
        </w:tc>
      </w:tr>
      <w:tr w:rsidR="00836023" w:rsidRPr="00E9705C" w14:paraId="3FCD395D" w14:textId="77777777" w:rsidTr="000C6AEA">
        <w:tc>
          <w:tcPr>
            <w:tcW w:w="756" w:type="pct"/>
          </w:tcPr>
          <w:p w14:paraId="22DB87BE" w14:textId="77777777" w:rsidR="00836023" w:rsidRPr="00A84107" w:rsidRDefault="00836023" w:rsidP="00170FD0">
            <w:pPr>
              <w:pStyle w:val="TableBody"/>
            </w:pPr>
            <w:r w:rsidRPr="00A84107">
              <w:t>South Australian Blackout (2016)</w:t>
            </w:r>
          </w:p>
        </w:tc>
        <w:tc>
          <w:tcPr>
            <w:tcW w:w="4244" w:type="pct"/>
            <w:shd w:val="clear" w:color="auto" w:fill="auto"/>
          </w:tcPr>
          <w:p w14:paraId="5AF3388C" w14:textId="77777777" w:rsidR="00836023" w:rsidRPr="00A84107" w:rsidRDefault="00836023" w:rsidP="00170FD0">
            <w:pPr>
              <w:pStyle w:val="TableBody"/>
            </w:pPr>
            <w:r w:rsidRPr="00A84107">
              <w:t xml:space="preserve">On 28 September 2016, South Australia experienced a state-wide blackout. This was triggered by severe weather that damaged transmission and distribution assets, followed by reduced wind farm output and a loss of synchronism causing the loss of the Heywood Interconnector. The subsequent imbalance in supply and demand resulted in the remaining electricity generation in the state shutting down. While most supplies were </w:t>
            </w:r>
            <w:r w:rsidRPr="00A84107">
              <w:lastRenderedPageBreak/>
              <w:t>restored in 8 hours, the wholesale market in South Australia was suspended for 13 days.</w:t>
            </w:r>
            <w:r w:rsidRPr="00A84107">
              <w:rPr>
                <w:vertAlign w:val="superscript"/>
              </w:rPr>
              <w:footnoteReference w:id="328"/>
            </w:r>
          </w:p>
        </w:tc>
      </w:tr>
      <w:tr w:rsidR="00836023" w:rsidRPr="00E9705C" w14:paraId="4904E55D" w14:textId="77777777" w:rsidTr="000C6AEA">
        <w:tc>
          <w:tcPr>
            <w:tcW w:w="756" w:type="pct"/>
          </w:tcPr>
          <w:p w14:paraId="3F1E6AD8" w14:textId="77777777" w:rsidR="00836023" w:rsidRPr="00E9705C" w:rsidRDefault="00836023" w:rsidP="00170FD0">
            <w:pPr>
              <w:pStyle w:val="TableBody"/>
            </w:pPr>
            <w:r w:rsidRPr="00A84107">
              <w:lastRenderedPageBreak/>
              <w:t>US/Canada Network Failure (2003)</w:t>
            </w:r>
          </w:p>
        </w:tc>
        <w:tc>
          <w:tcPr>
            <w:tcW w:w="4244" w:type="pct"/>
            <w:shd w:val="clear" w:color="auto" w:fill="auto"/>
          </w:tcPr>
          <w:p w14:paraId="0CF5B3F1" w14:textId="77777777" w:rsidR="00836023" w:rsidRPr="00A84107" w:rsidRDefault="00836023" w:rsidP="00170FD0">
            <w:pPr>
              <w:pStyle w:val="TableBody"/>
            </w:pPr>
            <w:r w:rsidRPr="00A84107">
              <w:t>On 14 August 2003, large portions of the Midwest and Northeast US and Ontario, Canada, experienced an electric power blackout. The outage affected an area with an estimated 50 million people and 61,800 MW of electric load in Ohio, Michigan, Pennsylvania, New York, Vermont, Massachusetts, Connecticut, New Jersey and the Canadian province of Ontario. The power was not restored for 4 days in some parts of the US. Parts of Ontario suffered rolling blackouts for more than a week before full power was restored. Estimates of total costs in the US range between $4 billion and $10 billion (in US dollars). In Canada, gross domestic product was down 0.7% in August, there was a net loss of 18.9 million work hours, and manufacturing shipments in Ontario were down $2.3 billion (in Canadian dollars).</w:t>
            </w:r>
            <w:r w:rsidRPr="00A84107">
              <w:rPr>
                <w:vertAlign w:val="superscript"/>
              </w:rPr>
              <w:footnoteReference w:id="329"/>
            </w:r>
          </w:p>
        </w:tc>
      </w:tr>
      <w:tr w:rsidR="00836023" w:rsidRPr="00E9705C" w14:paraId="38DFAFD4" w14:textId="77777777" w:rsidTr="000C6AEA">
        <w:tc>
          <w:tcPr>
            <w:tcW w:w="756" w:type="pct"/>
          </w:tcPr>
          <w:p w14:paraId="5BDFFF32" w14:textId="77777777" w:rsidR="00836023" w:rsidRPr="00E9705C" w:rsidRDefault="00836023" w:rsidP="00170FD0">
            <w:pPr>
              <w:pStyle w:val="TableBody"/>
            </w:pPr>
            <w:r w:rsidRPr="00A84107">
              <w:t>Italian Power Outage (2003)</w:t>
            </w:r>
          </w:p>
        </w:tc>
        <w:tc>
          <w:tcPr>
            <w:tcW w:w="4244" w:type="pct"/>
            <w:shd w:val="clear" w:color="auto" w:fill="auto"/>
          </w:tcPr>
          <w:p w14:paraId="3B4DF5E9" w14:textId="77777777" w:rsidR="00836023" w:rsidRPr="00A84107" w:rsidRDefault="00836023" w:rsidP="00170FD0">
            <w:pPr>
              <w:pStyle w:val="TableBody"/>
            </w:pPr>
            <w:r w:rsidRPr="00A84107">
              <w:t>The 2003 Italy blackout, caused by a network failure, affected all of the Italian Peninsula for 12 hours and part of Switzerland near Geneva for 3 hours on 28 September 2003. It was the largest blackout in the series of blackouts in 2003, involving about 56 million people. Significant knock-on effects occurred across other critical infrastructures. Commercial and domestic users suffered disruption up to 48 hours. Cost to restaurants and bars in spoiled products and lost sales totalled up to about $139 million (in US dollars).</w:t>
            </w:r>
            <w:r w:rsidRPr="00A84107">
              <w:rPr>
                <w:vertAlign w:val="superscript"/>
              </w:rPr>
              <w:footnoteReference w:id="330"/>
            </w:r>
          </w:p>
        </w:tc>
      </w:tr>
    </w:tbl>
    <w:p w14:paraId="78599CD4" w14:textId="77777777" w:rsidR="002074D2" w:rsidRPr="00EF3549" w:rsidRDefault="002074D2" w:rsidP="004B3400">
      <w:pPr>
        <w:pStyle w:val="BodyText"/>
      </w:pPr>
      <w:r>
        <w:t xml:space="preserve">While this RIS seeks to leverage the examples outlined above, it does not mean that a single, equivalent event is needed for costs and benefits to break even. The chosen examples are intended to be demonstrative of potential costs only, rather than the specific events which may lead to disruption. It may be the case that a series of smaller, less significant disruptions occur over the course of a year and accumulate to result in disruption of a similar scale. </w:t>
      </w:r>
    </w:p>
    <w:p w14:paraId="20E26C6D" w14:textId="77777777" w:rsidR="002074D2" w:rsidRPr="00E9705C" w:rsidRDefault="002074D2" w:rsidP="004B3400">
      <w:pPr>
        <w:pStyle w:val="BodyText"/>
      </w:pPr>
      <w:r>
        <w:t>The above case studies</w:t>
      </w:r>
      <w:r w:rsidRPr="00E9705C">
        <w:t xml:space="preserve"> highlight that widespread power outages inflict substantial direct and indirect costs on firms and households alike. Businesses bore the brunt of the damage across all three case studies, mostly through lost income and productivity. It appears that manufacturing is hit particularly hard by blackouts; for instance, data from the Italian outage suggests that the manufacturing sector alone suffered 40% of total costs associated with the incident. Furthermore, the US/Canada network failure forced Daimler Chrysler to scrap around 10,000 cars moving through paint shops at time of outage. It also caused the solidification of molten metal inside a furnace at a Ford plant that took one week to repair. Severe industry-specific economic impacts, such as those experienced by Daimler Chrysler and Ford, are not identified by data-driven economic models – these impacts are revealed through observation of specific incidents. </w:t>
      </w:r>
    </w:p>
    <w:p w14:paraId="29664B5E" w14:textId="77777777" w:rsidR="002074D2" w:rsidRPr="00E9705C" w:rsidRDefault="002074D2" w:rsidP="004B3400">
      <w:pPr>
        <w:pStyle w:val="BodyText"/>
      </w:pPr>
      <w:r w:rsidRPr="00E9705C">
        <w:t>For the purposes of the modelling of the cost of avoided future incidents in Australia, the South Australian blackout of 2016 was used as the baseline (moderate) risk scenario. The use of an actual event as the baseline risk point of comparison is important because it ensures the benefits analysis is grounded in reality. The scale of the event is not theoretical and there is sufficient information about the event to support modelling. The 2016 South Australian blackout was estimated to have approximately 5-8 GWh of unserved energy (electricity that would otherwise have been used by customers but that was not available because of the supply interruption).</w:t>
      </w:r>
      <w:r w:rsidRPr="00E9705C">
        <w:rPr>
          <w:vertAlign w:val="superscript"/>
        </w:rPr>
        <w:footnoteReference w:id="331"/>
      </w:r>
      <w:r w:rsidRPr="00E9705C">
        <w:t xml:space="preserve"> Further, while an event of this magnitude has previously been considered to represent the worst-case power outage incident in Australia, the increasing severity and frequency of similar incidents detailed in section 1.1, particularly in the context of growing all hazards incidents, represents a risk to the whole economy. </w:t>
      </w:r>
    </w:p>
    <w:p w14:paraId="546630B6" w14:textId="77777777" w:rsidR="002074D2" w:rsidRPr="00E9705C" w:rsidRDefault="002074D2" w:rsidP="004B3400">
      <w:pPr>
        <w:pStyle w:val="BodyText"/>
      </w:pPr>
      <w:r w:rsidRPr="00E9705C">
        <w:t xml:space="preserve">A framework for considering the potential impacts of Australian power outages following failure of critical infrastructure is provided in </w:t>
      </w:r>
      <w:r w:rsidR="00136FAA">
        <w:t>the table</w:t>
      </w:r>
      <w:r w:rsidRPr="00E9705C">
        <w:t xml:space="preserve"> below.</w:t>
      </w:r>
    </w:p>
    <w:p w14:paraId="6F678E9B" w14:textId="77777777" w:rsidR="00136FAA" w:rsidRPr="00E9705C" w:rsidRDefault="00136FAA" w:rsidP="004B3400">
      <w:pPr>
        <w:pStyle w:val="Caption"/>
      </w:pPr>
      <w:r w:rsidRPr="00E9705C">
        <w:lastRenderedPageBreak/>
        <w:t>Framework for scenario development and sensitivity analysis</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00" w:firstRow="0" w:lastRow="0" w:firstColumn="0" w:lastColumn="0" w:noHBand="0" w:noVBand="1"/>
      </w:tblPr>
      <w:tblGrid>
        <w:gridCol w:w="2285"/>
        <w:gridCol w:w="2316"/>
        <w:gridCol w:w="2591"/>
        <w:gridCol w:w="2446"/>
      </w:tblGrid>
      <w:tr w:rsidR="00136FAA" w:rsidRPr="00E9705C" w14:paraId="728FDC65" w14:textId="77777777" w:rsidTr="000C6AEA">
        <w:trPr>
          <w:cnfStyle w:val="000000100000" w:firstRow="0" w:lastRow="0" w:firstColumn="0" w:lastColumn="0" w:oddVBand="0" w:evenVBand="0" w:oddHBand="1" w:evenHBand="0" w:firstRowFirstColumn="0" w:firstRowLastColumn="0" w:lastRowFirstColumn="0" w:lastRowLastColumn="0"/>
          <w:trHeight w:val="420"/>
        </w:trPr>
        <w:tc>
          <w:tcPr>
            <w:tcW w:w="1185" w:type="pct"/>
            <w:shd w:val="clear" w:color="auto" w:fill="034EA2" w:themeFill="accent1"/>
          </w:tcPr>
          <w:p w14:paraId="72D6BE00" w14:textId="77777777" w:rsidR="00136FAA" w:rsidRPr="00E9705C" w:rsidRDefault="00136FAA" w:rsidP="00170FD0">
            <w:pPr>
              <w:pStyle w:val="TableHeading"/>
            </w:pPr>
            <w:r w:rsidRPr="00E9705C">
              <w:t xml:space="preserve"> </w:t>
            </w:r>
          </w:p>
        </w:tc>
        <w:tc>
          <w:tcPr>
            <w:tcW w:w="1201" w:type="pct"/>
            <w:shd w:val="clear" w:color="auto" w:fill="034EA2" w:themeFill="accent1"/>
          </w:tcPr>
          <w:p w14:paraId="33440335" w14:textId="77777777" w:rsidR="00136FAA" w:rsidRPr="00E9705C" w:rsidRDefault="00136FAA" w:rsidP="00170FD0">
            <w:pPr>
              <w:pStyle w:val="TableHeading"/>
              <w:rPr>
                <w:color w:val="FFFFFF"/>
              </w:rPr>
            </w:pPr>
            <w:r w:rsidRPr="00E9705C">
              <w:rPr>
                <w:color w:val="FFFFFF"/>
              </w:rPr>
              <w:t>Severe scenario</w:t>
            </w:r>
          </w:p>
        </w:tc>
        <w:tc>
          <w:tcPr>
            <w:tcW w:w="1344" w:type="pct"/>
            <w:shd w:val="clear" w:color="auto" w:fill="034EA2" w:themeFill="accent1"/>
          </w:tcPr>
          <w:p w14:paraId="533BCFCF" w14:textId="77777777" w:rsidR="00136FAA" w:rsidRPr="00E9705C" w:rsidRDefault="00136FAA" w:rsidP="00170FD0">
            <w:pPr>
              <w:pStyle w:val="TableHeading"/>
              <w:rPr>
                <w:color w:val="FFFFFF"/>
              </w:rPr>
            </w:pPr>
            <w:r w:rsidRPr="00E9705C">
              <w:rPr>
                <w:color w:val="FFFFFF"/>
              </w:rPr>
              <w:t>Moderate scenario</w:t>
            </w:r>
          </w:p>
        </w:tc>
        <w:tc>
          <w:tcPr>
            <w:tcW w:w="1269" w:type="pct"/>
            <w:shd w:val="clear" w:color="auto" w:fill="034EA2" w:themeFill="accent1"/>
          </w:tcPr>
          <w:p w14:paraId="38A023F2" w14:textId="77777777" w:rsidR="00136FAA" w:rsidRPr="00E9705C" w:rsidRDefault="00136FAA" w:rsidP="00170FD0">
            <w:pPr>
              <w:pStyle w:val="TableHeading"/>
              <w:rPr>
                <w:color w:val="FFFFFF"/>
              </w:rPr>
            </w:pPr>
            <w:r w:rsidRPr="00E9705C">
              <w:rPr>
                <w:bCs/>
                <w:color w:val="FFFFFF"/>
              </w:rPr>
              <w:t>Low</w:t>
            </w:r>
            <w:r w:rsidRPr="00E9705C">
              <w:rPr>
                <w:color w:val="FFFFFF"/>
              </w:rPr>
              <w:t xml:space="preserve"> scenario</w:t>
            </w:r>
          </w:p>
        </w:tc>
      </w:tr>
      <w:tr w:rsidR="00136FAA" w:rsidRPr="00E9705C" w14:paraId="01AE5024" w14:textId="77777777" w:rsidTr="000C6AEA">
        <w:trPr>
          <w:cnfStyle w:val="000000010000" w:firstRow="0" w:lastRow="0" w:firstColumn="0" w:lastColumn="0" w:oddVBand="0" w:evenVBand="0" w:oddHBand="0" w:evenHBand="1" w:firstRowFirstColumn="0" w:firstRowLastColumn="0" w:lastRowFirstColumn="0" w:lastRowLastColumn="0"/>
          <w:trHeight w:val="570"/>
        </w:trPr>
        <w:tc>
          <w:tcPr>
            <w:tcW w:w="1185" w:type="pct"/>
          </w:tcPr>
          <w:p w14:paraId="1406F499" w14:textId="77777777" w:rsidR="00136FAA" w:rsidRPr="00E9705C" w:rsidRDefault="00136FAA" w:rsidP="00170FD0">
            <w:pPr>
              <w:pStyle w:val="TableBody"/>
              <w:rPr>
                <w:color w:val="FFFFFF"/>
              </w:rPr>
            </w:pPr>
            <w:r w:rsidRPr="00E9705C">
              <w:t>Intensity of event</w:t>
            </w:r>
          </w:p>
        </w:tc>
        <w:tc>
          <w:tcPr>
            <w:tcW w:w="1201" w:type="pct"/>
            <w:shd w:val="clear" w:color="auto" w:fill="auto"/>
          </w:tcPr>
          <w:p w14:paraId="69E24641" w14:textId="77777777" w:rsidR="00136FAA" w:rsidRPr="00E9705C" w:rsidRDefault="00136FAA" w:rsidP="00170FD0">
            <w:pPr>
              <w:pStyle w:val="TableBody"/>
            </w:pPr>
            <w:r w:rsidRPr="00E9705C">
              <w:t>150% of moderate scenario costs</w:t>
            </w:r>
          </w:p>
        </w:tc>
        <w:tc>
          <w:tcPr>
            <w:tcW w:w="1344" w:type="pct"/>
            <w:shd w:val="clear" w:color="auto" w:fill="auto"/>
          </w:tcPr>
          <w:p w14:paraId="28AE200E" w14:textId="77777777" w:rsidR="00136FAA" w:rsidRPr="00E9705C" w:rsidRDefault="00136FAA" w:rsidP="00170FD0">
            <w:pPr>
              <w:pStyle w:val="TableBody"/>
            </w:pPr>
            <w:r w:rsidRPr="00E9705C">
              <w:t>South Australian 2016 Blackout</w:t>
            </w:r>
          </w:p>
        </w:tc>
        <w:tc>
          <w:tcPr>
            <w:tcW w:w="1269" w:type="pct"/>
            <w:shd w:val="clear" w:color="auto" w:fill="auto"/>
          </w:tcPr>
          <w:p w14:paraId="3B1076E7" w14:textId="77777777" w:rsidR="00136FAA" w:rsidRPr="00E9705C" w:rsidRDefault="00136FAA" w:rsidP="00170FD0">
            <w:pPr>
              <w:pStyle w:val="TableBody"/>
            </w:pPr>
            <w:r w:rsidRPr="00E9705C">
              <w:t>50% of moderate scenario costs</w:t>
            </w:r>
          </w:p>
        </w:tc>
      </w:tr>
    </w:tbl>
    <w:p w14:paraId="17452EDA" w14:textId="77777777" w:rsidR="00136FAA" w:rsidRPr="00E9705C" w:rsidRDefault="00136FAA" w:rsidP="004B3400">
      <w:pPr>
        <w:pStyle w:val="BodyText"/>
      </w:pPr>
      <w:r w:rsidRPr="00E9705C">
        <w:t>The rationale for a more severe scenario than experienced in South Australia reflects the complexity of the scenarios that could occur. As noted above, the economic impact of an incident will vary due to a range of factors including the location of a disruption, the month and time of day at which the disruption occurs, the day of the week on which the disruption takes place and the duration of disruption. Accounting for an incident that has a greater economic impact than the South Australian blackout is necessary to reflect the possibility that a disruption of the same scale (in terms of unserved energy) could impact areas where there would be greater economic impact than in South Australia in September at 4 pm. While an incident with a much greater impact than the severe scenario is conceivable (for example, a cyber-caused outage could be highly disruptive, by impacting a number of critical electricity assets in the grid simultaneously), the defined scenarios and subsequent benefits analysis has taken a deliberately conservative approach to ensure the severe scenario remains demonstrably plausible.</w:t>
      </w:r>
    </w:p>
    <w:p w14:paraId="54231665" w14:textId="77777777" w:rsidR="0044774C" w:rsidRDefault="0044774C" w:rsidP="004B3400">
      <w:pPr>
        <w:pStyle w:val="BodyText"/>
      </w:pPr>
      <w:r w:rsidRPr="00E9705C">
        <w:t>A summary of the economic impact of each scenario is provided in</w:t>
      </w:r>
      <w:r>
        <w:t xml:space="preserve"> </w:t>
      </w:r>
      <w:r w:rsidR="00A41055" w:rsidRPr="00A41055">
        <w:t>the table below.</w:t>
      </w:r>
      <w:r w:rsidRPr="00E9705C">
        <w:t xml:space="preserve"> Direct avoided costs refer to the financial costs directly incurred as a result of an incident, while indirect costs refer to flow-on costs to the economy due to supply chain linkages and other feedback responses by all economic agents (e.g., households, businesses). A break-even analysis of these benefits compared to the total estimated cost of the </w:t>
      </w:r>
      <w:r w:rsidR="00136FAA" w:rsidRPr="00E9705C">
        <w:t xml:space="preserve">risk management program framework is also included in the table. </w:t>
      </w:r>
      <w:r w:rsidRPr="00E9705C">
        <w:t xml:space="preserve">This break-even analysis is expressed as the number of incidents that would need to be avoided in order for the benefits (that is, the avoided costs) of the </w:t>
      </w:r>
      <w:r w:rsidR="00136FAA" w:rsidRPr="00E9705C">
        <w:t>risk management program framework to equal the costs of implementation and compliance.</w:t>
      </w:r>
      <w:r w:rsidRPr="00E9705C">
        <w:t xml:space="preserve"> </w:t>
      </w:r>
    </w:p>
    <w:p w14:paraId="38869D9C" w14:textId="77777777" w:rsidR="00170FD0" w:rsidRDefault="00170FD0">
      <w:pPr>
        <w:spacing w:before="80" w:after="80"/>
        <w:rPr>
          <w:i/>
          <w:color w:val="034EA2" w:themeColor="accent1"/>
          <w:sz w:val="18"/>
          <w:szCs w:val="18"/>
          <w:lang w:eastAsia="en-AU"/>
        </w:rPr>
      </w:pPr>
      <w:r>
        <w:br w:type="page"/>
      </w:r>
    </w:p>
    <w:p w14:paraId="611F102F" w14:textId="6CCE119D" w:rsidR="0044774C" w:rsidRPr="00E9705C" w:rsidRDefault="0044774C" w:rsidP="004B3400">
      <w:pPr>
        <w:pStyle w:val="Caption"/>
      </w:pPr>
      <w:r w:rsidRPr="00E9705C">
        <w:lastRenderedPageBreak/>
        <w:t>Summary of benefits scenarios</w:t>
      </w:r>
    </w:p>
    <w:tbl>
      <w:tblPr>
        <w:tblStyle w:val="TableGrid1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969"/>
        <w:gridCol w:w="2223"/>
        <w:gridCol w:w="2223"/>
        <w:gridCol w:w="2223"/>
      </w:tblGrid>
      <w:tr w:rsidR="0044774C" w:rsidRPr="00E9705C" w14:paraId="6F7420A7" w14:textId="77777777" w:rsidTr="00A25131">
        <w:trPr>
          <w:cantSplit/>
          <w:trHeight w:val="409"/>
        </w:trPr>
        <w:tc>
          <w:tcPr>
            <w:tcW w:w="1541" w:type="pct"/>
            <w:shd w:val="clear" w:color="auto" w:fill="034EA2" w:themeFill="accent1"/>
          </w:tcPr>
          <w:p w14:paraId="7FBCBFB3" w14:textId="77777777" w:rsidR="0044774C" w:rsidRPr="00E9705C" w:rsidRDefault="0044774C" w:rsidP="00170FD0">
            <w:pPr>
              <w:pStyle w:val="TableHeading"/>
            </w:pPr>
          </w:p>
        </w:tc>
        <w:tc>
          <w:tcPr>
            <w:tcW w:w="1153" w:type="pct"/>
            <w:shd w:val="clear" w:color="auto" w:fill="034EA2" w:themeFill="accent1"/>
          </w:tcPr>
          <w:p w14:paraId="0713340F" w14:textId="77777777" w:rsidR="0044774C" w:rsidRPr="00E9705C" w:rsidRDefault="0044774C" w:rsidP="00A25131">
            <w:pPr>
              <w:pStyle w:val="TableHeading"/>
            </w:pPr>
            <w:r w:rsidRPr="00E9705C">
              <w:t>Scenario 1</w:t>
            </w:r>
            <w:r w:rsidRPr="00E9705C">
              <w:rPr>
                <w:rFonts w:ascii="Calibri" w:hAnsi="Calibri"/>
              </w:rPr>
              <w:br/>
            </w:r>
            <w:r w:rsidRPr="00E9705C">
              <w:t>(Severe), $ million</w:t>
            </w:r>
          </w:p>
        </w:tc>
        <w:tc>
          <w:tcPr>
            <w:tcW w:w="1153" w:type="pct"/>
            <w:shd w:val="clear" w:color="auto" w:fill="034EA2" w:themeFill="accent1"/>
          </w:tcPr>
          <w:p w14:paraId="06C0EB02" w14:textId="77777777" w:rsidR="0044774C" w:rsidRPr="00E9705C" w:rsidRDefault="0044774C" w:rsidP="00A25131">
            <w:pPr>
              <w:pStyle w:val="TableHeading"/>
            </w:pPr>
            <w:r w:rsidRPr="00E9705C">
              <w:t>Scenario 2</w:t>
            </w:r>
            <w:r w:rsidRPr="00E9705C">
              <w:br/>
              <w:t>(Moderate), $ million</w:t>
            </w:r>
          </w:p>
        </w:tc>
        <w:tc>
          <w:tcPr>
            <w:tcW w:w="1153" w:type="pct"/>
            <w:shd w:val="clear" w:color="auto" w:fill="034EA2" w:themeFill="accent1"/>
          </w:tcPr>
          <w:p w14:paraId="3204711D" w14:textId="77777777" w:rsidR="0044774C" w:rsidRPr="00E9705C" w:rsidRDefault="0044774C" w:rsidP="00A25131">
            <w:pPr>
              <w:pStyle w:val="TableHeading"/>
            </w:pPr>
            <w:r w:rsidRPr="00E9705C">
              <w:t>Scenario 3</w:t>
            </w:r>
            <w:r w:rsidRPr="00E9705C">
              <w:rPr>
                <w:rFonts w:ascii="Calibri" w:hAnsi="Calibri"/>
              </w:rPr>
              <w:br/>
            </w:r>
            <w:r w:rsidRPr="00E9705C">
              <w:t>(Low), $ million</w:t>
            </w:r>
          </w:p>
        </w:tc>
      </w:tr>
      <w:tr w:rsidR="00340241" w:rsidRPr="00E9705C" w14:paraId="69FDF93D" w14:textId="77777777" w:rsidTr="00A25131">
        <w:trPr>
          <w:cantSplit/>
        </w:trPr>
        <w:tc>
          <w:tcPr>
            <w:tcW w:w="1541" w:type="pct"/>
            <w:shd w:val="clear" w:color="auto" w:fill="FFFFFF" w:themeFill="background1"/>
            <w:vAlign w:val="center"/>
          </w:tcPr>
          <w:p w14:paraId="55158C92" w14:textId="77777777" w:rsidR="00FE49F1" w:rsidRPr="00E9705C" w:rsidRDefault="00FE49F1" w:rsidP="00170FD0">
            <w:pPr>
              <w:pStyle w:val="TableBody"/>
            </w:pPr>
            <w:r w:rsidRPr="00E9705C">
              <w:t>Direct avoided cost</w:t>
            </w:r>
          </w:p>
        </w:tc>
        <w:tc>
          <w:tcPr>
            <w:tcW w:w="1153" w:type="pct"/>
            <w:shd w:val="clear" w:color="auto" w:fill="FFFFFF" w:themeFill="background1"/>
          </w:tcPr>
          <w:p w14:paraId="36BE9814" w14:textId="5CAF0031" w:rsidR="00FE49F1" w:rsidRPr="00E9705C" w:rsidRDefault="00ED6848" w:rsidP="00A25131">
            <w:pPr>
              <w:pStyle w:val="TableBody"/>
            </w:pPr>
            <w:r>
              <w:t>585.0</w:t>
            </w:r>
          </w:p>
        </w:tc>
        <w:tc>
          <w:tcPr>
            <w:tcW w:w="1153" w:type="pct"/>
            <w:shd w:val="clear" w:color="auto" w:fill="FFFFFF" w:themeFill="background1"/>
          </w:tcPr>
          <w:p w14:paraId="48DD0557" w14:textId="6D69A13C" w:rsidR="00FE49F1" w:rsidRPr="00E9705C" w:rsidRDefault="00ED6848" w:rsidP="00A25131">
            <w:pPr>
              <w:pStyle w:val="TableBody"/>
            </w:pPr>
            <w:r>
              <w:t>390.0</w:t>
            </w:r>
          </w:p>
        </w:tc>
        <w:tc>
          <w:tcPr>
            <w:tcW w:w="1153" w:type="pct"/>
            <w:shd w:val="clear" w:color="auto" w:fill="FFFFFF" w:themeFill="background1"/>
          </w:tcPr>
          <w:p w14:paraId="6222BEC8" w14:textId="085B5F34" w:rsidR="00FE49F1" w:rsidRPr="00E9705C" w:rsidRDefault="00ED6848" w:rsidP="00A25131">
            <w:pPr>
              <w:pStyle w:val="TableBody"/>
            </w:pPr>
            <w:r>
              <w:t>195.0</w:t>
            </w:r>
          </w:p>
        </w:tc>
      </w:tr>
      <w:tr w:rsidR="00340241" w:rsidRPr="00E9705C" w14:paraId="643CDCB1" w14:textId="77777777" w:rsidTr="00A25131">
        <w:trPr>
          <w:cantSplit/>
        </w:trPr>
        <w:tc>
          <w:tcPr>
            <w:tcW w:w="1541" w:type="pct"/>
            <w:shd w:val="clear" w:color="auto" w:fill="FFFFFF" w:themeFill="background1"/>
            <w:vAlign w:val="center"/>
          </w:tcPr>
          <w:p w14:paraId="4F4F794B" w14:textId="77777777" w:rsidR="00FE49F1" w:rsidRPr="00E9705C" w:rsidRDefault="00FE49F1" w:rsidP="00170FD0">
            <w:pPr>
              <w:pStyle w:val="TableBody"/>
            </w:pPr>
            <w:r w:rsidRPr="00E9705C">
              <w:t>Indirect avoided costs</w:t>
            </w:r>
          </w:p>
        </w:tc>
        <w:tc>
          <w:tcPr>
            <w:tcW w:w="1153" w:type="pct"/>
            <w:shd w:val="clear" w:color="auto" w:fill="FFFFFF" w:themeFill="background1"/>
          </w:tcPr>
          <w:p w14:paraId="36ED0DCF" w14:textId="646BAA70" w:rsidR="00FE49F1" w:rsidRPr="00E9705C" w:rsidRDefault="00ED6848" w:rsidP="00A25131">
            <w:pPr>
              <w:pStyle w:val="TableBody"/>
            </w:pPr>
            <w:r>
              <w:t>695.0</w:t>
            </w:r>
          </w:p>
        </w:tc>
        <w:tc>
          <w:tcPr>
            <w:tcW w:w="1153" w:type="pct"/>
            <w:shd w:val="clear" w:color="auto" w:fill="FFFFFF" w:themeFill="background1"/>
          </w:tcPr>
          <w:p w14:paraId="3F3796B1" w14:textId="06689BCE" w:rsidR="00FE49F1" w:rsidRPr="00E9705C" w:rsidRDefault="00ED6848" w:rsidP="00A25131">
            <w:pPr>
              <w:pStyle w:val="TableBody"/>
            </w:pPr>
            <w:r>
              <w:t>460.0</w:t>
            </w:r>
          </w:p>
        </w:tc>
        <w:tc>
          <w:tcPr>
            <w:tcW w:w="1153" w:type="pct"/>
            <w:shd w:val="clear" w:color="auto" w:fill="FFFFFF" w:themeFill="background1"/>
          </w:tcPr>
          <w:p w14:paraId="529CCBA2" w14:textId="589F91F1" w:rsidR="00FE49F1" w:rsidRPr="00E9705C" w:rsidRDefault="00ED6848" w:rsidP="00A25131">
            <w:pPr>
              <w:pStyle w:val="TableBody"/>
            </w:pPr>
            <w:r>
              <w:t>295.0</w:t>
            </w:r>
          </w:p>
        </w:tc>
      </w:tr>
      <w:tr w:rsidR="00E51726" w:rsidRPr="00E9705C" w14:paraId="0950939D" w14:textId="77777777" w:rsidTr="00A25131">
        <w:trPr>
          <w:cantSplit/>
        </w:trPr>
        <w:tc>
          <w:tcPr>
            <w:tcW w:w="1541" w:type="pct"/>
            <w:shd w:val="clear" w:color="auto" w:fill="F2F2F2" w:themeFill="background1" w:themeFillShade="F2"/>
            <w:vAlign w:val="center"/>
          </w:tcPr>
          <w:p w14:paraId="0DEB6026" w14:textId="77777777" w:rsidR="00FE49F1" w:rsidRPr="00E9705C" w:rsidRDefault="00FE49F1" w:rsidP="00170FD0">
            <w:pPr>
              <w:pStyle w:val="TableBody"/>
              <w:rPr>
                <w:b/>
              </w:rPr>
            </w:pPr>
            <w:r w:rsidRPr="00E9705C">
              <w:rPr>
                <w:b/>
              </w:rPr>
              <w:t>Total avoided cost to the economy of the incident</w:t>
            </w:r>
          </w:p>
        </w:tc>
        <w:tc>
          <w:tcPr>
            <w:tcW w:w="1153" w:type="pct"/>
            <w:shd w:val="clear" w:color="auto" w:fill="F2F2F2" w:themeFill="background1" w:themeFillShade="F2"/>
          </w:tcPr>
          <w:p w14:paraId="19D45039" w14:textId="53BFD82C" w:rsidR="00FE49F1" w:rsidRPr="00E9705C" w:rsidRDefault="00ED6848" w:rsidP="00A25131">
            <w:pPr>
              <w:pStyle w:val="TableBody"/>
              <w:rPr>
                <w:b/>
              </w:rPr>
            </w:pPr>
            <w:r>
              <w:rPr>
                <w:b/>
              </w:rPr>
              <w:t>1,280.0</w:t>
            </w:r>
          </w:p>
        </w:tc>
        <w:tc>
          <w:tcPr>
            <w:tcW w:w="1153" w:type="pct"/>
            <w:shd w:val="clear" w:color="auto" w:fill="F2F2F2" w:themeFill="background1" w:themeFillShade="F2"/>
          </w:tcPr>
          <w:p w14:paraId="011659F3" w14:textId="5F1E20B4" w:rsidR="00FE49F1" w:rsidRPr="00E9705C" w:rsidRDefault="00ED6848" w:rsidP="00A25131">
            <w:pPr>
              <w:pStyle w:val="TableBody"/>
              <w:rPr>
                <w:b/>
              </w:rPr>
            </w:pPr>
            <w:r>
              <w:rPr>
                <w:b/>
              </w:rPr>
              <w:t>850.0</w:t>
            </w:r>
          </w:p>
        </w:tc>
        <w:tc>
          <w:tcPr>
            <w:tcW w:w="1153" w:type="pct"/>
            <w:shd w:val="clear" w:color="auto" w:fill="F2F2F2" w:themeFill="background1" w:themeFillShade="F2"/>
          </w:tcPr>
          <w:p w14:paraId="51857E71" w14:textId="21D9842B" w:rsidR="00FE49F1" w:rsidRPr="00E9705C" w:rsidRDefault="00ED6848" w:rsidP="00A25131">
            <w:pPr>
              <w:pStyle w:val="TableBody"/>
              <w:rPr>
                <w:b/>
              </w:rPr>
            </w:pPr>
            <w:r>
              <w:rPr>
                <w:b/>
              </w:rPr>
              <w:t>490.0</w:t>
            </w:r>
          </w:p>
        </w:tc>
      </w:tr>
      <w:tr w:rsidR="00340241" w:rsidRPr="00E9705C" w14:paraId="5E694689" w14:textId="77777777" w:rsidTr="00A25131">
        <w:trPr>
          <w:cantSplit/>
        </w:trPr>
        <w:tc>
          <w:tcPr>
            <w:tcW w:w="1541" w:type="pct"/>
            <w:shd w:val="clear" w:color="auto" w:fill="FFFFFF" w:themeFill="background1"/>
            <w:vAlign w:val="center"/>
          </w:tcPr>
          <w:p w14:paraId="733BB5D0" w14:textId="77777777" w:rsidR="00FE49F1" w:rsidRPr="00E9705C" w:rsidRDefault="00FE49F1" w:rsidP="00170FD0">
            <w:pPr>
              <w:pStyle w:val="TableBody"/>
            </w:pPr>
            <w:r w:rsidRPr="00E9705C">
              <w:t>Approximate number of avoided incidents per annum required for a net benefit</w:t>
            </w:r>
          </w:p>
        </w:tc>
        <w:tc>
          <w:tcPr>
            <w:tcW w:w="1153" w:type="pct"/>
            <w:shd w:val="clear" w:color="auto" w:fill="FFFFFF" w:themeFill="background1"/>
          </w:tcPr>
          <w:p w14:paraId="54BAED37" w14:textId="77777777" w:rsidR="00FE49F1" w:rsidRPr="00E9705C" w:rsidRDefault="00B67378" w:rsidP="00A25131">
            <w:pPr>
              <w:pStyle w:val="TableBody"/>
            </w:pPr>
            <w:r>
              <w:t>0.5</w:t>
            </w:r>
          </w:p>
        </w:tc>
        <w:tc>
          <w:tcPr>
            <w:tcW w:w="1153" w:type="pct"/>
            <w:shd w:val="clear" w:color="auto" w:fill="FFFFFF" w:themeFill="background1"/>
          </w:tcPr>
          <w:p w14:paraId="222B2C2D" w14:textId="2284232F" w:rsidR="00FE49F1" w:rsidRPr="00E9705C" w:rsidRDefault="00B67378" w:rsidP="00A25131">
            <w:pPr>
              <w:pStyle w:val="TableBody"/>
            </w:pPr>
            <w:r>
              <w:t>0.7</w:t>
            </w:r>
          </w:p>
        </w:tc>
        <w:tc>
          <w:tcPr>
            <w:tcW w:w="1153" w:type="pct"/>
            <w:shd w:val="clear" w:color="auto" w:fill="FFFFFF" w:themeFill="background1"/>
          </w:tcPr>
          <w:p w14:paraId="6D4A81FA" w14:textId="77777777" w:rsidR="00FE49F1" w:rsidRPr="00E9705C" w:rsidRDefault="00B67378" w:rsidP="00A25131">
            <w:pPr>
              <w:pStyle w:val="TableBody"/>
            </w:pPr>
            <w:r>
              <w:t>1.2</w:t>
            </w:r>
          </w:p>
        </w:tc>
      </w:tr>
    </w:tbl>
    <w:p w14:paraId="07C3D335" w14:textId="77777777" w:rsidR="00441B27" w:rsidRPr="00386A14" w:rsidRDefault="00441B27" w:rsidP="00441B27">
      <w:pPr>
        <w:keepNext/>
        <w:rPr>
          <w:rFonts w:ascii="Arial" w:eastAsia="Calibri" w:hAnsi="Arial" w:cs="Arial"/>
          <w:b/>
          <w:bCs/>
          <w:sz w:val="16"/>
          <w:szCs w:val="16"/>
        </w:rPr>
      </w:pPr>
      <w:r w:rsidRPr="00386A14">
        <w:rPr>
          <w:rFonts w:ascii="Arial" w:eastAsia="Calibri" w:hAnsi="Arial" w:cs="Arial"/>
          <w:b/>
          <w:bCs/>
          <w:sz w:val="16"/>
          <w:szCs w:val="16"/>
        </w:rPr>
        <w:t>Notes:</w:t>
      </w:r>
    </w:p>
    <w:p w14:paraId="7E8A5F22" w14:textId="77777777" w:rsidR="00441B27" w:rsidRPr="00E9705C" w:rsidRDefault="00441B27" w:rsidP="00170FD0">
      <w:pPr>
        <w:keepNext/>
        <w:numPr>
          <w:ilvl w:val="0"/>
          <w:numId w:val="136"/>
        </w:numPr>
        <w:spacing w:after="160" w:line="259" w:lineRule="auto"/>
        <w:ind w:left="378"/>
        <w:contextualSpacing/>
        <w:rPr>
          <w:rFonts w:ascii="Arial" w:eastAsia="Calibri" w:hAnsi="Arial" w:cs="Arial"/>
          <w:sz w:val="16"/>
          <w:szCs w:val="16"/>
        </w:rPr>
      </w:pPr>
      <w:r w:rsidRPr="00E9705C">
        <w:rPr>
          <w:rFonts w:ascii="Arial" w:eastAsia="Calibri" w:hAnsi="Arial" w:cs="Arial"/>
          <w:sz w:val="16"/>
          <w:szCs w:val="16"/>
        </w:rPr>
        <w:t>According to Blackout Survey Results by Business South Australia (2016), total costs to South Australian businesses reached $390 million (inflated into 2020 Australian dollars) as a result of the power outage.</w:t>
      </w:r>
    </w:p>
    <w:p w14:paraId="1D70951D" w14:textId="77777777" w:rsidR="00441B27" w:rsidRPr="00E9705C" w:rsidRDefault="00441B27" w:rsidP="00170FD0">
      <w:pPr>
        <w:keepNext/>
        <w:numPr>
          <w:ilvl w:val="0"/>
          <w:numId w:val="136"/>
        </w:numPr>
        <w:spacing w:after="160" w:line="259" w:lineRule="auto"/>
        <w:ind w:left="378"/>
        <w:contextualSpacing/>
        <w:rPr>
          <w:rFonts w:ascii="Arial" w:eastAsia="Calibri" w:hAnsi="Arial" w:cs="Arial"/>
          <w:sz w:val="16"/>
          <w:szCs w:val="16"/>
        </w:rPr>
      </w:pPr>
      <w:r w:rsidRPr="00E9705C">
        <w:rPr>
          <w:rFonts w:ascii="Arial" w:eastAsia="Calibri" w:hAnsi="Arial" w:cs="Arial"/>
          <w:sz w:val="16"/>
          <w:szCs w:val="16"/>
        </w:rPr>
        <w:t xml:space="preserve">In response to the 2016 blackout, the South Australian government installed a Tesla battery to improve their resilience to future events. As a result, indirect costs include the capital cost for installing the battery ($90 million) and costs for provision of network services ($4 million per year over 10 years). </w:t>
      </w:r>
    </w:p>
    <w:p w14:paraId="03153375" w14:textId="74460008" w:rsidR="000E080D" w:rsidRPr="000E080D" w:rsidRDefault="000E080D" w:rsidP="004B3400">
      <w:pPr>
        <w:pStyle w:val="BodyText"/>
      </w:pPr>
      <w:r w:rsidRPr="000E080D">
        <w:t xml:space="preserve">As noted above, the total direct ongoing cost for option 2 is expected to be </w:t>
      </w:r>
      <w:r w:rsidRPr="006507C0">
        <w:t>$22</w:t>
      </w:r>
      <w:r w:rsidR="009F18FE">
        <w:t>8.0</w:t>
      </w:r>
      <w:r w:rsidRPr="006507C0">
        <w:t xml:space="preserve"> million</w:t>
      </w:r>
      <w:r w:rsidRPr="000E080D">
        <w:t xml:space="preserve"> per annum plus direct one-off costs of $</w:t>
      </w:r>
      <w:r w:rsidRPr="006507C0">
        <w:t>46</w:t>
      </w:r>
      <w:r w:rsidR="009F18FE">
        <w:t>3.3</w:t>
      </w:r>
      <w:r w:rsidRPr="006507C0">
        <w:t xml:space="preserve"> million</w:t>
      </w:r>
      <w:r w:rsidRPr="000E080D">
        <w:t xml:space="preserve">. However, the cost of the risk management program framework would also have other indirect costs flowing from increased electricity prices passed onto consumers from the framework’s implementation. </w:t>
      </w:r>
    </w:p>
    <w:p w14:paraId="5F63D2A3" w14:textId="30B029E2" w:rsidR="006872D8" w:rsidRPr="00E9705C" w:rsidRDefault="000E080D" w:rsidP="004B3400">
      <w:pPr>
        <w:pStyle w:val="BodyText"/>
      </w:pPr>
      <w:r w:rsidRPr="006507C0">
        <w:t>After considering the economy-wide impact of this change to the cost of providing electricity, the total economic cost of the regulatory changes, including direct and indirect costs would be approximately $</w:t>
      </w:r>
      <w:r w:rsidR="00ED6848">
        <w:t>595.4</w:t>
      </w:r>
      <w:r w:rsidRPr="006507C0">
        <w:t xml:space="preserve"> million per year.</w:t>
      </w:r>
      <w:r w:rsidRPr="006507C0">
        <w:rPr>
          <w:vertAlign w:val="superscript"/>
        </w:rPr>
        <w:footnoteReference w:id="332"/>
      </w:r>
      <w:r w:rsidRPr="006507C0">
        <w:t xml:space="preserve"> In order for the regulatory changes to generate a net benefit, the proposed risk management program framework would need to contribute to the prevention of approximately 1 low scenario incidents every year, 0.5 moderate scenario incidents every year or less than 1 severe scenario every two years to generate a net benefit.</w:t>
      </w:r>
      <w:r w:rsidRPr="00E9705C">
        <w:t xml:space="preserve"> </w:t>
      </w:r>
    </w:p>
    <w:p w14:paraId="1394ADD5" w14:textId="77777777" w:rsidR="006872D8" w:rsidRPr="00E9705C" w:rsidRDefault="006872D8" w:rsidP="004B3400">
      <w:pPr>
        <w:pStyle w:val="BodyText"/>
        <w:rPr>
          <w:rFonts w:eastAsia="Arial"/>
        </w:rPr>
      </w:pPr>
      <w:r w:rsidRPr="00E9705C">
        <w:t xml:space="preserve">It is important to note that the economic analysis of the above scenarios does not incorporate all direct avoided costs incurred by all future incidents. The avoided costs included are only those which were directly and immediately incurred as a result of the South Australian incident. In the broader context of a potential future disruption, in addition to the above estimate of benefits would be the avoided costs of recovery (repair costs, costs of resulting mitigations) from high value, specific circumstances which were not experienced during the South Australian blackout.  For example, a disruption that shut down an Australian steel or aluminium manufacturer could cause significant repair costs or production loss for those entities in the same way that the </w:t>
      </w:r>
      <w:r w:rsidRPr="00E9705C">
        <w:rPr>
          <w:rFonts w:eastAsia="Arial"/>
        </w:rPr>
        <w:t>Daimler Chrysler example noted above forced the scraping of around 10,000 cars. Consequently, the moderate case of a repeat South Australian incident is not likely to be the worst-case incident and an incident of the same scale in terms of electricity disruption could have a greater impact if it occurred in other locations.</w:t>
      </w:r>
    </w:p>
    <w:p w14:paraId="49DD7D19" w14:textId="77777777" w:rsidR="006872D8" w:rsidRPr="00E9705C" w:rsidRDefault="006872D8" w:rsidP="004B3400">
      <w:pPr>
        <w:pStyle w:val="BodyText"/>
        <w:rPr>
          <w:rFonts w:eastAsia="Calibri"/>
        </w:rPr>
      </w:pPr>
      <w:r w:rsidRPr="00E9705C">
        <w:t xml:space="preserve">Further, the increasing frequency of incidents as described in section 1.1 makes the proposed risk management program framework more certain over time to exceed the anticipated costs. </w:t>
      </w:r>
      <w:r w:rsidRPr="00E9705C">
        <w:rPr>
          <w:rFonts w:eastAsia="Calibri"/>
        </w:rPr>
        <w:t xml:space="preserve">The examples referred to in that section demonstrate the increasing need for adequate protections </w:t>
      </w:r>
      <w:r w:rsidRPr="00E9705C">
        <w:rPr>
          <w:rFonts w:eastAsia="Calibri"/>
        </w:rPr>
        <w:lastRenderedPageBreak/>
        <w:t>against the security and resilience of critical electricity assets, and the increased likelihood that the benefits of the draft risk management program framework will exceed the costs outlined in this section.</w:t>
      </w:r>
    </w:p>
    <w:p w14:paraId="5115152D" w14:textId="77777777" w:rsidR="006872D8" w:rsidRPr="00180A8F" w:rsidRDefault="006872D8" w:rsidP="00170FD0">
      <w:pPr>
        <w:pStyle w:val="AppendixH2"/>
      </w:pPr>
      <w:r w:rsidRPr="00180A8F">
        <w:t>Assessment of likely net benefit</w:t>
      </w:r>
    </w:p>
    <w:p w14:paraId="30DA4B2C" w14:textId="77777777" w:rsidR="006872D8" w:rsidRPr="00E9705C" w:rsidRDefault="006872D8" w:rsidP="004B3400">
      <w:pPr>
        <w:pStyle w:val="BodyText"/>
      </w:pPr>
      <w:r w:rsidRPr="00E9705C">
        <w:t xml:space="preserve">The likely benefits of option 2 will be at least (and are expected to be more than) the costs of the regulation. This is primarily because, as described above and throughout this RIS, the frequency and severity of all hazard risks for critical electricity assets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 </w:t>
      </w:r>
    </w:p>
    <w:p w14:paraId="41829912" w14:textId="77777777" w:rsidR="006872D8" w:rsidRPr="00E9705C" w:rsidRDefault="006872D8" w:rsidP="004B3400">
      <w:pPr>
        <w:pStyle w:val="BodyText"/>
      </w:pPr>
      <w:r w:rsidRPr="00E9705C">
        <w:t>Further, through pursuit of option 2, the identification, mitigation and remediation of such hazards, should they occur, will be improved through:</w:t>
      </w:r>
    </w:p>
    <w:p w14:paraId="4A372952" w14:textId="77777777" w:rsidR="006872D8" w:rsidRPr="00E9705C" w:rsidRDefault="006872D8" w:rsidP="004B3400">
      <w:pPr>
        <w:pStyle w:val="Bullet1stlevel"/>
      </w:pPr>
      <w:r w:rsidRPr="00E9705C">
        <w:t xml:space="preserve">Lowering the material risk of hazards and subsequent impacts of those hazards, as they manifest for critical electricity assets; </w:t>
      </w:r>
    </w:p>
    <w:p w14:paraId="41390A34" w14:textId="77777777" w:rsidR="006872D8" w:rsidRPr="00E9705C" w:rsidRDefault="006872D8" w:rsidP="004B3400">
      <w:pPr>
        <w:pStyle w:val="Bullet1stlevel"/>
      </w:pPr>
      <w:r w:rsidRPr="00E9705C">
        <w:t xml:space="preserve">Ensuring that adoption of the risk management program framework for critical electricity assets is reasonable and proportionate to the purpose of the program; </w:t>
      </w:r>
    </w:p>
    <w:p w14:paraId="44493772" w14:textId="77777777" w:rsidR="006872D8" w:rsidRPr="00E9705C" w:rsidRDefault="006872D8" w:rsidP="004B3400">
      <w:pPr>
        <w:pStyle w:val="Bullet1stlevel"/>
      </w:pPr>
      <w:r w:rsidRPr="00E9705C">
        <w:t xml:space="preserve">Avoiding regulatory duplication and facilitating a coordinated uplift in responsible entities’ compliance with relevant standards; and </w:t>
      </w:r>
    </w:p>
    <w:p w14:paraId="47E0DFFD" w14:textId="77777777" w:rsidR="006872D8" w:rsidRPr="00E9705C" w:rsidRDefault="006872D8" w:rsidP="004B3400">
      <w:pPr>
        <w:pStyle w:val="Bullet1stlevel"/>
      </w:pPr>
      <w:r w:rsidRPr="00E9705C">
        <w:t xml:space="preserve">Improving Government’s visibility over the security and resilience of critical electricity assets. </w:t>
      </w:r>
    </w:p>
    <w:p w14:paraId="18FDC301" w14:textId="77777777" w:rsidR="00317B21" w:rsidRPr="000E080D" w:rsidRDefault="006872D8" w:rsidP="004B3400">
      <w:pPr>
        <w:pStyle w:val="BodyText"/>
      </w:pPr>
      <w:r w:rsidRPr="00E9705C">
        <w:t>Overall, these factors and the specific costs and benefits described above mean the likely net benefit associated with option 2 is high.</w:t>
      </w:r>
      <w:r w:rsidR="000E080D" w:rsidRPr="00E9705C">
        <w:t xml:space="preserve"> </w:t>
      </w:r>
      <w:r w:rsidR="00317B21">
        <w:rPr>
          <w:color w:val="034EA2" w:themeColor="accent1"/>
          <w:sz w:val="32"/>
        </w:rPr>
        <w:br w:type="page"/>
      </w:r>
    </w:p>
    <w:p w14:paraId="5A2ECBE3" w14:textId="06EA4556" w:rsidR="00EC1299" w:rsidRDefault="00EC1299" w:rsidP="00E51726">
      <w:pPr>
        <w:pStyle w:val="AppendixH1"/>
      </w:pPr>
      <w:bookmarkStart w:id="633" w:name="_Toc121397426"/>
      <w:r w:rsidRPr="65BD1ADF">
        <w:lastRenderedPageBreak/>
        <w:t>Detailed costing information for critical gas assets</w:t>
      </w:r>
      <w:bookmarkEnd w:id="633"/>
    </w:p>
    <w:p w14:paraId="5050AB17" w14:textId="77777777" w:rsidR="00EC1299" w:rsidRPr="00E51726" w:rsidRDefault="00EC1299" w:rsidP="00E51726">
      <w:pPr>
        <w:pStyle w:val="AppendixH2"/>
        <w:rPr>
          <w:spacing w:val="-4"/>
        </w:rPr>
      </w:pPr>
      <w:r w:rsidRPr="00E51726">
        <w:rPr>
          <w:spacing w:val="-4"/>
        </w:rPr>
        <w:t xml:space="preserve">Costing process completed by responsible entities for critical </w:t>
      </w:r>
      <w:r w:rsidR="00D450CF" w:rsidRPr="00E51726">
        <w:rPr>
          <w:spacing w:val="-4"/>
        </w:rPr>
        <w:t>gas</w:t>
      </w:r>
      <w:r w:rsidRPr="00E51726">
        <w:rPr>
          <w:spacing w:val="-4"/>
        </w:rPr>
        <w:t xml:space="preserve"> assets</w:t>
      </w:r>
    </w:p>
    <w:p w14:paraId="41C07336" w14:textId="77777777" w:rsidR="00EC1299" w:rsidRDefault="00C13AAC" w:rsidP="00E51726">
      <w:pPr>
        <w:pStyle w:val="BodyText"/>
      </w:pPr>
      <w:r>
        <w:t xml:space="preserve">Cost submissions were </w:t>
      </w:r>
      <w:r w:rsidRPr="00E51726">
        <w:t>submitted</w:t>
      </w:r>
      <w:r>
        <w:t xml:space="preserve"> by </w:t>
      </w:r>
      <w:r w:rsidR="00953AE9">
        <w:t>12</w:t>
      </w:r>
      <w:r w:rsidR="00EC1299">
        <w:t xml:space="preserve"> responsible entities for critical </w:t>
      </w:r>
      <w:r w:rsidR="00953AE9">
        <w:t>gas</w:t>
      </w:r>
      <w:r w:rsidR="00EC1299">
        <w:t xml:space="preserve"> assets. This represented approximately </w:t>
      </w:r>
      <w:r w:rsidR="00953AE9">
        <w:t>20</w:t>
      </w:r>
      <w:r w:rsidR="00AC26CA">
        <w:t>.0</w:t>
      </w:r>
      <w:r w:rsidR="00EC1299">
        <w:t xml:space="preserve">% of the total critical </w:t>
      </w:r>
      <w:r w:rsidR="00953AE9">
        <w:t>gas</w:t>
      </w:r>
      <w:r w:rsidR="00EC1299">
        <w:t xml:space="preserve"> asset</w:t>
      </w:r>
      <w:r w:rsidR="00953AE9">
        <w:t xml:space="preserve"> market</w:t>
      </w:r>
      <w:r w:rsidR="00EC1299">
        <w:t xml:space="preserve">. </w:t>
      </w:r>
    </w:p>
    <w:p w14:paraId="0F10C100" w14:textId="77777777" w:rsidR="00892997" w:rsidRDefault="001751F7" w:rsidP="00E51726">
      <w:pPr>
        <w:pStyle w:val="BodyText"/>
      </w:pPr>
      <w:r w:rsidRPr="00827F58">
        <w:t xml:space="preserve">The market share percentage of responsible entities who made a submission was calculated using entity and gas </w:t>
      </w:r>
      <w:r>
        <w:t>i</w:t>
      </w:r>
      <w:r w:rsidRPr="00827F58">
        <w:t>ndustry data sourced from IBISWorld</w:t>
      </w:r>
      <w:r>
        <w:t>.</w:t>
      </w:r>
      <w:r w:rsidRPr="00827F58">
        <w:rPr>
          <w:rStyle w:val="FootnoteReference"/>
          <w:rFonts w:ascii="Arial" w:eastAsia="Times New Roman" w:hAnsi="Arial" w:cs="Arial"/>
        </w:rPr>
        <w:footnoteReference w:id="333"/>
      </w:r>
      <w:r>
        <w:t xml:space="preserve"> </w:t>
      </w:r>
      <w:r w:rsidRPr="00827F58">
        <w:rPr>
          <w:rStyle w:val="FootnoteReference"/>
          <w:rFonts w:ascii="Arial" w:eastAsia="Times New Roman" w:hAnsi="Arial" w:cs="Arial"/>
        </w:rPr>
        <w:footnoteReference w:id="334"/>
      </w:r>
      <w:r w:rsidRPr="00827F58">
        <w:t xml:space="preserve"> The market share of submissions was first determined at a business type level (gas supply, pipeline transport and gas extraction) by summing the business type market share percentage for individual entities. The market share of submissions at each individual business type level was then used to extrapolate the total critical gas assets market share represented by submissions.</w:t>
      </w:r>
    </w:p>
    <w:p w14:paraId="10C8E370" w14:textId="77777777" w:rsidR="00E74556" w:rsidRPr="00EE40B8" w:rsidRDefault="00E74556" w:rsidP="00E74556">
      <w:pPr>
        <w:pStyle w:val="BodyText"/>
      </w:pPr>
      <w:r w:rsidRPr="00EE40B8">
        <w:t xml:space="preserve">To extrapolate the costs of compliance to all critical </w:t>
      </w:r>
      <w:r>
        <w:t>gas</w:t>
      </w:r>
      <w:r w:rsidRPr="00EE40B8">
        <w:t xml:space="preserve"> assets, organisations were categorised by size into ‘large’ and ‘small’ entities based on the following definitions:</w:t>
      </w:r>
    </w:p>
    <w:p w14:paraId="05C9E947" w14:textId="77777777" w:rsidR="00E74556" w:rsidRPr="00EE40B8" w:rsidRDefault="00E74556" w:rsidP="00E51726">
      <w:pPr>
        <w:pStyle w:val="Bullet1stlevel"/>
      </w:pPr>
      <w:r w:rsidRPr="00EE40B8">
        <w:t xml:space="preserve">‘Large’ entity - any entity with greater than 5% of critical </w:t>
      </w:r>
      <w:r>
        <w:t>gas</w:t>
      </w:r>
      <w:r w:rsidRPr="00EE40B8">
        <w:t xml:space="preserve"> assets’ revenue in each business type (</w:t>
      </w:r>
      <w:r w:rsidR="009644C5" w:rsidRPr="009644C5">
        <w:rPr>
          <w:rFonts w:asciiTheme="majorHAnsi" w:hAnsiTheme="majorHAnsi"/>
        </w:rPr>
        <w:t>gas supply, pipeline transport and gas extraction</w:t>
      </w:r>
      <w:r w:rsidRPr="00EE40B8">
        <w:t>).</w:t>
      </w:r>
    </w:p>
    <w:p w14:paraId="2E06F501" w14:textId="77777777" w:rsidR="00E74556" w:rsidRPr="003B0DD1" w:rsidRDefault="00E74556" w:rsidP="00E51726">
      <w:pPr>
        <w:pStyle w:val="Bullet1stlevel"/>
      </w:pPr>
      <w:r w:rsidRPr="00EE40B8">
        <w:t xml:space="preserve">‘Small’ entity - any entity with less than 5% of critical </w:t>
      </w:r>
      <w:r>
        <w:t>gas</w:t>
      </w:r>
      <w:r w:rsidRPr="00EE40B8">
        <w:t xml:space="preserve"> assets’ revenue in each business type (</w:t>
      </w:r>
      <w:r w:rsidR="009644C5" w:rsidRPr="009644C5">
        <w:rPr>
          <w:rFonts w:asciiTheme="majorHAnsi" w:hAnsiTheme="majorHAnsi"/>
        </w:rPr>
        <w:t>gas supply, pipeline transport and gas extraction</w:t>
      </w:r>
      <w:r w:rsidRPr="00EE40B8">
        <w:t>).</w:t>
      </w:r>
    </w:p>
    <w:p w14:paraId="5BF1E148" w14:textId="77777777" w:rsidR="0034717C" w:rsidRPr="0034717C" w:rsidRDefault="0034717C" w:rsidP="00E51726">
      <w:pPr>
        <w:pStyle w:val="Caption"/>
      </w:pPr>
      <w:r>
        <w:t>Critical gas asset cost impact submissions</w:t>
      </w:r>
    </w:p>
    <w:tbl>
      <w:tblPr>
        <w:tblStyle w:val="TableGrid3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3102"/>
        <w:gridCol w:w="3475"/>
        <w:gridCol w:w="3061"/>
      </w:tblGrid>
      <w:tr w:rsidR="00030768" w:rsidRPr="00827F58" w14:paraId="283CD2F6" w14:textId="77777777" w:rsidTr="00CC768C">
        <w:trPr>
          <w:trHeight w:val="487"/>
        </w:trPr>
        <w:tc>
          <w:tcPr>
            <w:tcW w:w="1609" w:type="pct"/>
            <w:shd w:val="clear" w:color="auto" w:fill="034EA2" w:themeFill="accent1"/>
            <w:vAlign w:val="center"/>
            <w:hideMark/>
          </w:tcPr>
          <w:p w14:paraId="695C70A7" w14:textId="77777777" w:rsidR="00030768" w:rsidRPr="00827F58" w:rsidRDefault="00030768" w:rsidP="00916F7F">
            <w:pPr>
              <w:pStyle w:val="TableHeading"/>
              <w:rPr>
                <w:lang w:val="en-GB" w:eastAsia="en-AU"/>
              </w:rPr>
            </w:pPr>
            <w:r w:rsidRPr="00827F58">
              <w:rPr>
                <w:lang w:val="en-GB" w:eastAsia="en-AU"/>
              </w:rPr>
              <w:t>Critical gas assets</w:t>
            </w:r>
          </w:p>
        </w:tc>
        <w:tc>
          <w:tcPr>
            <w:tcW w:w="1803" w:type="pct"/>
            <w:shd w:val="clear" w:color="auto" w:fill="034EA2" w:themeFill="accent1"/>
            <w:vAlign w:val="center"/>
            <w:hideMark/>
          </w:tcPr>
          <w:p w14:paraId="1A5AAD48" w14:textId="77777777" w:rsidR="00030768" w:rsidRPr="00827F58" w:rsidRDefault="00030768" w:rsidP="00916F7F">
            <w:pPr>
              <w:pStyle w:val="TableHeading"/>
              <w:rPr>
                <w:bCs/>
                <w:lang w:val="en-GB" w:eastAsia="en-AU"/>
              </w:rPr>
            </w:pPr>
            <w:r w:rsidRPr="00827F58">
              <w:rPr>
                <w:bCs/>
                <w:lang w:val="en-GB" w:eastAsia="en-AU"/>
              </w:rPr>
              <w:t>Organisation size</w:t>
            </w:r>
          </w:p>
        </w:tc>
        <w:tc>
          <w:tcPr>
            <w:tcW w:w="1588" w:type="pct"/>
            <w:shd w:val="clear" w:color="auto" w:fill="034EA2" w:themeFill="accent1"/>
            <w:vAlign w:val="center"/>
            <w:hideMark/>
          </w:tcPr>
          <w:p w14:paraId="23B66B3D" w14:textId="77777777" w:rsidR="00030768" w:rsidRPr="00827F58" w:rsidRDefault="00030768" w:rsidP="00916F7F">
            <w:pPr>
              <w:pStyle w:val="TableHeading"/>
              <w:rPr>
                <w:bCs/>
                <w:lang w:val="en-GB" w:eastAsia="en-AU"/>
              </w:rPr>
            </w:pPr>
            <w:r w:rsidRPr="00827F58">
              <w:rPr>
                <w:bCs/>
                <w:lang w:val="en-GB" w:eastAsia="en-AU"/>
              </w:rPr>
              <w:t>Number of submissions</w:t>
            </w:r>
          </w:p>
        </w:tc>
      </w:tr>
      <w:tr w:rsidR="00030768" w:rsidRPr="00827F58" w14:paraId="1EBF0041" w14:textId="77777777" w:rsidTr="00CC768C">
        <w:trPr>
          <w:trHeight w:val="238"/>
        </w:trPr>
        <w:tc>
          <w:tcPr>
            <w:tcW w:w="1609" w:type="pct"/>
            <w:vMerge w:val="restart"/>
            <w:shd w:val="clear" w:color="auto" w:fill="F2F2F2" w:themeFill="background1" w:themeFillShade="F2"/>
            <w:vAlign w:val="center"/>
          </w:tcPr>
          <w:p w14:paraId="4075EC00" w14:textId="77777777" w:rsidR="00030768" w:rsidRPr="00827F58" w:rsidRDefault="00030768" w:rsidP="00CC768C">
            <w:pPr>
              <w:pStyle w:val="TableBody"/>
              <w:rPr>
                <w:lang w:eastAsia="en-AU"/>
              </w:rPr>
            </w:pPr>
            <w:r w:rsidRPr="00827F58">
              <w:rPr>
                <w:lang w:eastAsia="en-AU"/>
              </w:rPr>
              <w:t>Critical gas asset entities</w:t>
            </w:r>
          </w:p>
        </w:tc>
        <w:tc>
          <w:tcPr>
            <w:tcW w:w="1803" w:type="pct"/>
            <w:shd w:val="clear" w:color="auto" w:fill="auto"/>
            <w:vAlign w:val="center"/>
          </w:tcPr>
          <w:p w14:paraId="06EBA487" w14:textId="77777777" w:rsidR="00030768" w:rsidRPr="00827F58" w:rsidRDefault="00030768" w:rsidP="00CC768C">
            <w:pPr>
              <w:pStyle w:val="TableBody"/>
              <w:rPr>
                <w:color w:val="FF9933"/>
                <w:lang w:eastAsia="en-AU"/>
              </w:rPr>
            </w:pPr>
            <w:r w:rsidRPr="00827F58">
              <w:rPr>
                <w:lang w:eastAsia="en-AU"/>
              </w:rPr>
              <w:t xml:space="preserve">Large </w:t>
            </w:r>
          </w:p>
        </w:tc>
        <w:tc>
          <w:tcPr>
            <w:tcW w:w="1588" w:type="pct"/>
            <w:shd w:val="clear" w:color="auto" w:fill="FFFFFF" w:themeFill="background1"/>
            <w:noWrap/>
            <w:vAlign w:val="center"/>
          </w:tcPr>
          <w:p w14:paraId="1913916F" w14:textId="77777777" w:rsidR="00030768" w:rsidRPr="00827F58" w:rsidRDefault="00030768" w:rsidP="00CC768C">
            <w:pPr>
              <w:pStyle w:val="TableBody"/>
              <w:rPr>
                <w:color w:val="FF9933"/>
                <w:lang w:val="en-GB" w:eastAsia="en-AU"/>
              </w:rPr>
            </w:pPr>
            <w:r w:rsidRPr="00827F58">
              <w:rPr>
                <w:lang w:val="en-GB" w:eastAsia="en-AU"/>
              </w:rPr>
              <w:t>6</w:t>
            </w:r>
          </w:p>
        </w:tc>
      </w:tr>
      <w:tr w:rsidR="00030768" w:rsidRPr="00827F58" w14:paraId="2B2978AB" w14:textId="77777777" w:rsidTr="00CC768C">
        <w:trPr>
          <w:trHeight w:val="260"/>
        </w:trPr>
        <w:tc>
          <w:tcPr>
            <w:tcW w:w="1609" w:type="pct"/>
            <w:vMerge/>
            <w:shd w:val="clear" w:color="auto" w:fill="F2F2F2" w:themeFill="background1" w:themeFillShade="F2"/>
            <w:vAlign w:val="center"/>
          </w:tcPr>
          <w:p w14:paraId="2079888B" w14:textId="77777777" w:rsidR="00030768" w:rsidRPr="00827F58" w:rsidRDefault="00030768" w:rsidP="00CC768C">
            <w:pPr>
              <w:pStyle w:val="TableBody"/>
              <w:rPr>
                <w:b/>
                <w:lang w:eastAsia="en-AU"/>
              </w:rPr>
            </w:pPr>
          </w:p>
        </w:tc>
        <w:tc>
          <w:tcPr>
            <w:tcW w:w="1803" w:type="pct"/>
            <w:shd w:val="clear" w:color="auto" w:fill="auto"/>
            <w:vAlign w:val="center"/>
          </w:tcPr>
          <w:p w14:paraId="7178088C" w14:textId="77777777" w:rsidR="00030768" w:rsidRPr="00827F58" w:rsidRDefault="00030768" w:rsidP="00CC768C">
            <w:pPr>
              <w:pStyle w:val="TableBody"/>
              <w:rPr>
                <w:lang w:val="en-GB" w:eastAsia="en-AU"/>
              </w:rPr>
            </w:pPr>
            <w:r w:rsidRPr="00827F58">
              <w:rPr>
                <w:lang w:val="en-GB" w:eastAsia="en-AU"/>
              </w:rPr>
              <w:t>Small</w:t>
            </w:r>
          </w:p>
        </w:tc>
        <w:tc>
          <w:tcPr>
            <w:tcW w:w="1588" w:type="pct"/>
            <w:shd w:val="clear" w:color="auto" w:fill="FFFFFF" w:themeFill="background1"/>
            <w:noWrap/>
            <w:vAlign w:val="center"/>
          </w:tcPr>
          <w:p w14:paraId="24ECCAB6" w14:textId="77777777" w:rsidR="00030768" w:rsidRPr="00827F58" w:rsidRDefault="00030768" w:rsidP="00CC768C">
            <w:pPr>
              <w:pStyle w:val="TableBody"/>
              <w:rPr>
                <w:lang w:val="en-GB" w:eastAsia="en-AU"/>
              </w:rPr>
            </w:pPr>
            <w:r w:rsidRPr="00827F58">
              <w:rPr>
                <w:lang w:val="en-GB" w:eastAsia="en-AU"/>
              </w:rPr>
              <w:t>6</w:t>
            </w:r>
          </w:p>
        </w:tc>
      </w:tr>
      <w:tr w:rsidR="00030768" w:rsidRPr="00827F58" w14:paraId="0BBB88D6" w14:textId="77777777" w:rsidTr="00CC768C">
        <w:trPr>
          <w:trHeight w:val="248"/>
        </w:trPr>
        <w:tc>
          <w:tcPr>
            <w:tcW w:w="1609" w:type="pct"/>
            <w:shd w:val="clear" w:color="auto" w:fill="034EA2" w:themeFill="accent1"/>
          </w:tcPr>
          <w:p w14:paraId="7106F5B6" w14:textId="77777777" w:rsidR="00030768" w:rsidRPr="00827F58" w:rsidRDefault="00030768" w:rsidP="00CC768C">
            <w:pPr>
              <w:pStyle w:val="TableHeading"/>
              <w:rPr>
                <w:lang w:eastAsia="en-AU"/>
              </w:rPr>
            </w:pPr>
            <w:r w:rsidRPr="00827F58">
              <w:rPr>
                <w:lang w:eastAsia="en-AU"/>
              </w:rPr>
              <w:t>Total</w:t>
            </w:r>
          </w:p>
        </w:tc>
        <w:tc>
          <w:tcPr>
            <w:tcW w:w="1803" w:type="pct"/>
            <w:shd w:val="clear" w:color="auto" w:fill="034EA2" w:themeFill="accent1"/>
            <w:vAlign w:val="center"/>
          </w:tcPr>
          <w:p w14:paraId="330D2CCC" w14:textId="77777777" w:rsidR="00030768" w:rsidRPr="00827F58" w:rsidRDefault="00030768" w:rsidP="00CC768C">
            <w:pPr>
              <w:pStyle w:val="TableHeading"/>
              <w:rPr>
                <w:lang w:val="en-GB" w:eastAsia="en-AU"/>
              </w:rPr>
            </w:pPr>
          </w:p>
        </w:tc>
        <w:tc>
          <w:tcPr>
            <w:tcW w:w="1588" w:type="pct"/>
            <w:shd w:val="clear" w:color="auto" w:fill="034EA2" w:themeFill="accent1"/>
            <w:noWrap/>
            <w:vAlign w:val="center"/>
          </w:tcPr>
          <w:p w14:paraId="1B7C5452" w14:textId="77777777" w:rsidR="00030768" w:rsidRPr="00827F58" w:rsidDel="009579FA" w:rsidRDefault="00030768" w:rsidP="00CC768C">
            <w:pPr>
              <w:pStyle w:val="TableHeading"/>
              <w:rPr>
                <w:rFonts w:eastAsia="Calibri"/>
              </w:rPr>
            </w:pPr>
            <w:r w:rsidRPr="00827F58">
              <w:rPr>
                <w:rFonts w:eastAsia="Calibri"/>
              </w:rPr>
              <w:t>12</w:t>
            </w:r>
          </w:p>
        </w:tc>
      </w:tr>
    </w:tbl>
    <w:p w14:paraId="42000639" w14:textId="77777777" w:rsidR="0069237B" w:rsidRDefault="0069237B" w:rsidP="00E51726">
      <w:pPr>
        <w:pStyle w:val="AppendixH2"/>
      </w:pPr>
      <w:r>
        <w:t>Likely net benefit – option 2</w:t>
      </w:r>
    </w:p>
    <w:p w14:paraId="15FB8669" w14:textId="77777777" w:rsidR="0069237B" w:rsidRPr="0069237B" w:rsidRDefault="0069237B" w:rsidP="00E51726">
      <w:pPr>
        <w:pStyle w:val="BodyText"/>
        <w:rPr>
          <w:rFonts w:eastAsia="Calibri"/>
        </w:rPr>
      </w:pPr>
      <w:r w:rsidRPr="00E9705C">
        <w:t xml:space="preserve">The following section details the costs and benefits associated with option 2 (the regulatory option), before assessing the overall likely net benefit presented by this option. </w:t>
      </w:r>
    </w:p>
    <w:p w14:paraId="6D602B7B" w14:textId="77777777" w:rsidR="00015690" w:rsidRPr="00015690" w:rsidRDefault="00015690" w:rsidP="00E51726">
      <w:pPr>
        <w:pStyle w:val="AppendixH3"/>
      </w:pPr>
      <w:r>
        <w:t>Costs of option 2</w:t>
      </w:r>
    </w:p>
    <w:p w14:paraId="1D70F683" w14:textId="77777777" w:rsidR="008C4F99" w:rsidRPr="00827F58" w:rsidRDefault="008C4F99" w:rsidP="00E51726">
      <w:pPr>
        <w:pStyle w:val="BodyText"/>
      </w:pPr>
      <w:r w:rsidRPr="00827F58">
        <w:t>There are multiple factors affecting the regulatory burden for each entity, including their existing risk management practices and capabilities, the nature of the critical gas assets they operate and the size of their operations. In collecting cost information from entities across critical gas assets, this variance in cost impact has been captured and reflected in the estimates of total cost across critical gas assets included in this RIS.</w:t>
      </w:r>
    </w:p>
    <w:p w14:paraId="11ADB790" w14:textId="77777777" w:rsidR="003A1F4B" w:rsidRPr="00E31954" w:rsidRDefault="003A1F4B" w:rsidP="00E51726">
      <w:pPr>
        <w:pStyle w:val="BodyText"/>
      </w:pPr>
      <w:r w:rsidRPr="00E31954">
        <w:t>When estimating the cost of compliance with option 2, critical gas asset entities provided both an expected and a high</w:t>
      </w:r>
      <w:r w:rsidR="005C7FBF" w:rsidRPr="00E31954">
        <w:t>-</w:t>
      </w:r>
      <w:r w:rsidRPr="00E31954">
        <w:t>cost estimate. The high</w:t>
      </w:r>
      <w:r w:rsidR="005C7FBF" w:rsidRPr="00E31954">
        <w:t>-</w:t>
      </w:r>
      <w:r w:rsidRPr="00E31954">
        <w:t xml:space="preserve">cost estimate was provided as a way to measure the uncertainty associated with their estimates and the highest feasible cost of option 2. The expected estimate was used as the basis for determining the net benefit of option 2 in section 4. </w:t>
      </w:r>
    </w:p>
    <w:p w14:paraId="5067DD16" w14:textId="77777777" w:rsidR="003A1F4B" w:rsidRPr="00E31954" w:rsidRDefault="003A1F4B" w:rsidP="00E51726">
      <w:pPr>
        <w:pStyle w:val="BodyText"/>
      </w:pPr>
      <w:r w:rsidRPr="00E31954">
        <w:t xml:space="preserve">Using the expected and the high estimate as a range, the cost of compliance is as follows: </w:t>
      </w:r>
    </w:p>
    <w:p w14:paraId="3B9983A9" w14:textId="2C009F53" w:rsidR="003A1F4B" w:rsidRPr="007D243C" w:rsidRDefault="003A1F4B" w:rsidP="00E51726">
      <w:pPr>
        <w:pStyle w:val="Bullet1stlevel"/>
      </w:pPr>
      <w:r w:rsidRPr="00E31954">
        <w:lastRenderedPageBreak/>
        <w:t xml:space="preserve">A </w:t>
      </w:r>
      <w:r w:rsidRPr="00A44322">
        <w:t xml:space="preserve">one-off regulatory cost of between </w:t>
      </w:r>
      <w:r w:rsidRPr="00CE4B35">
        <w:t>$</w:t>
      </w:r>
      <w:r w:rsidR="6826E690" w:rsidRPr="00CE4B35">
        <w:t>3</w:t>
      </w:r>
      <w:r w:rsidR="558EC2F6" w:rsidRPr="00CE4B35">
        <w:t>21.1</w:t>
      </w:r>
      <w:r w:rsidRPr="00CE4B35">
        <w:t xml:space="preserve"> </w:t>
      </w:r>
      <w:r w:rsidR="00C27FCA" w:rsidRPr="00CE4B35">
        <w:t xml:space="preserve">million </w:t>
      </w:r>
      <w:r w:rsidRPr="00CE4B35">
        <w:t>(expected) and $</w:t>
      </w:r>
      <w:r w:rsidR="6826E690" w:rsidRPr="00CE4B35">
        <w:t>9</w:t>
      </w:r>
      <w:r w:rsidR="3E994A22" w:rsidRPr="00CE4B35">
        <w:t>45.3</w:t>
      </w:r>
      <w:r w:rsidRPr="00CE4B35">
        <w:t xml:space="preserve"> million (high estimate)</w:t>
      </w:r>
      <w:r w:rsidRPr="00A44322">
        <w:t xml:space="preserve">, across critical gas assets nationally; and </w:t>
      </w:r>
    </w:p>
    <w:p w14:paraId="0B5CCF1A" w14:textId="5C977E4F" w:rsidR="003A1F4B" w:rsidRPr="006A649F" w:rsidRDefault="003A1F4B" w:rsidP="00E51726">
      <w:pPr>
        <w:pStyle w:val="Bullet1stlevel"/>
      </w:pPr>
      <w:r w:rsidRPr="00BC01DD">
        <w:t xml:space="preserve">An ongoing cost of between </w:t>
      </w:r>
      <w:r w:rsidRPr="00CE4B35">
        <w:t>$</w:t>
      </w:r>
      <w:r w:rsidR="6826E690" w:rsidRPr="00CE4B35">
        <w:t>9</w:t>
      </w:r>
      <w:r w:rsidR="4C5A5429" w:rsidRPr="00CE4B35">
        <w:t>4</w:t>
      </w:r>
      <w:r w:rsidRPr="00CE4B35">
        <w:t xml:space="preserve">.0 </w:t>
      </w:r>
      <w:r w:rsidR="00C27FCA" w:rsidRPr="00CE4B35">
        <w:t xml:space="preserve">million </w:t>
      </w:r>
      <w:r w:rsidRPr="00CE4B35">
        <w:t>(expected) and $</w:t>
      </w:r>
      <w:r w:rsidR="6826E690" w:rsidRPr="00CE4B35">
        <w:t>21</w:t>
      </w:r>
      <w:r w:rsidR="38B75239" w:rsidRPr="00CE4B35">
        <w:t>9</w:t>
      </w:r>
      <w:r w:rsidR="6826E690" w:rsidRPr="00CE4B35">
        <w:t>.</w:t>
      </w:r>
      <w:r w:rsidR="2EEEDE38" w:rsidRPr="00CE4B35">
        <w:t>2</w:t>
      </w:r>
      <w:r w:rsidRPr="00CE4B35">
        <w:t xml:space="preserve"> million (high estimate)</w:t>
      </w:r>
      <w:r w:rsidRPr="006A649F">
        <w:t xml:space="preserve"> per year, across critical gas assets nationally. </w:t>
      </w:r>
    </w:p>
    <w:p w14:paraId="0281D0B8" w14:textId="77777777" w:rsidR="00B7521D" w:rsidRPr="00B7521D" w:rsidRDefault="00B7521D" w:rsidP="00E51726">
      <w:pPr>
        <w:pStyle w:val="BodyText"/>
      </w:pPr>
      <w:r w:rsidRPr="00B7521D">
        <w:t xml:space="preserve">The cost of regulation will be borne by entities responsible for critical gas assets who meet the relevant thresholds. Community organisations and individuals will not be directly affected but there will likely be indirect costs </w:t>
      </w:r>
      <w:r w:rsidRPr="00E51726">
        <w:t>passed</w:t>
      </w:r>
      <w:r w:rsidRPr="00B7521D">
        <w:t xml:space="preserve"> onto consumers. For the purposes of this RIS, the cost of regulation </w:t>
      </w:r>
      <w:r w:rsidR="008B14B7">
        <w:t xml:space="preserve">in the table below </w:t>
      </w:r>
      <w:r w:rsidRPr="00B7521D">
        <w:t>will only include the initial costs associated with regulation</w:t>
      </w:r>
      <w:r w:rsidRPr="00827F58">
        <w:rPr>
          <w:rStyle w:val="FootnoteReference"/>
          <w:rFonts w:ascii="Arial" w:eastAsia="Calibri" w:hAnsi="Arial" w:cs="Arial"/>
        </w:rPr>
        <w:footnoteReference w:id="335"/>
      </w:r>
      <w:r w:rsidRPr="00B7521D">
        <w:t xml:space="preserve">. </w:t>
      </w:r>
      <w:r w:rsidRPr="00B7521D">
        <w:rPr>
          <w:rFonts w:eastAsia="Times New Roman"/>
        </w:rPr>
        <w:t>The indirect cost to consumers and communities has been addressed in the economic analysis through consideration of indirect cost to the wider economy as a result of the proposed risk management program framework.</w:t>
      </w:r>
    </w:p>
    <w:p w14:paraId="4930E621" w14:textId="77777777" w:rsidR="00585A62" w:rsidRPr="00585A62" w:rsidRDefault="00585A62" w:rsidP="00E51726">
      <w:pPr>
        <w:pStyle w:val="Caption"/>
      </w:pPr>
      <w:r w:rsidRPr="00585A62">
        <w:t>Regulatory cost estimate</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127"/>
        <w:gridCol w:w="1960"/>
        <w:gridCol w:w="1696"/>
        <w:gridCol w:w="1638"/>
        <w:gridCol w:w="2217"/>
      </w:tblGrid>
      <w:tr w:rsidR="00585A62" w:rsidRPr="000B7782" w14:paraId="24800E5C" w14:textId="77777777" w:rsidTr="00A25131">
        <w:tc>
          <w:tcPr>
            <w:tcW w:w="1103" w:type="pct"/>
            <w:vMerge w:val="restart"/>
            <w:shd w:val="clear" w:color="auto" w:fill="034EA2" w:themeFill="accent1"/>
            <w:hideMark/>
          </w:tcPr>
          <w:p w14:paraId="73F95E2C" w14:textId="77777777" w:rsidR="00585A62" w:rsidRPr="000B7782" w:rsidRDefault="00585A62" w:rsidP="00A25131">
            <w:pPr>
              <w:pStyle w:val="TableHeading"/>
              <w:rPr>
                <w:rFonts w:asciiTheme="minorHAnsi" w:hAnsiTheme="minorHAnsi" w:cstheme="minorHAnsi"/>
                <w:lang w:eastAsia="en-AU"/>
              </w:rPr>
            </w:pPr>
            <w:r w:rsidRPr="000B7782">
              <w:rPr>
                <w:rFonts w:asciiTheme="minorHAnsi" w:hAnsiTheme="minorHAnsi" w:cstheme="minorHAnsi"/>
                <w:lang w:eastAsia="en-AU"/>
              </w:rPr>
              <w:t>Cost Type</w:t>
            </w:r>
          </w:p>
        </w:tc>
        <w:tc>
          <w:tcPr>
            <w:tcW w:w="3897" w:type="pct"/>
            <w:gridSpan w:val="4"/>
            <w:shd w:val="clear" w:color="auto" w:fill="034EA2" w:themeFill="accent1"/>
            <w:vAlign w:val="center"/>
            <w:hideMark/>
          </w:tcPr>
          <w:p w14:paraId="409EBB31" w14:textId="77777777" w:rsidR="00585A62" w:rsidRPr="000B7782" w:rsidRDefault="00585A62" w:rsidP="00CC768C">
            <w:pPr>
              <w:pStyle w:val="TableHeading"/>
              <w:rPr>
                <w:rFonts w:asciiTheme="minorHAnsi" w:hAnsiTheme="minorHAnsi" w:cstheme="minorHAnsi"/>
                <w:lang w:eastAsia="en-AU"/>
              </w:rPr>
            </w:pPr>
            <w:r w:rsidRPr="000B7782">
              <w:rPr>
                <w:rFonts w:asciiTheme="minorHAnsi" w:hAnsiTheme="minorHAnsi" w:cstheme="minorHAnsi"/>
                <w:lang w:eastAsia="en-AU"/>
              </w:rPr>
              <w:t>Costs ($ million)</w:t>
            </w:r>
          </w:p>
        </w:tc>
      </w:tr>
      <w:tr w:rsidR="00585A62" w:rsidRPr="000B7782" w14:paraId="2C4852BA" w14:textId="77777777" w:rsidTr="6288A955">
        <w:tc>
          <w:tcPr>
            <w:tcW w:w="1103" w:type="pct"/>
            <w:vMerge/>
            <w:vAlign w:val="center"/>
            <w:hideMark/>
          </w:tcPr>
          <w:p w14:paraId="5FB3A4CE" w14:textId="77777777" w:rsidR="00585A62" w:rsidRPr="000B7782" w:rsidRDefault="00585A62" w:rsidP="00CC768C">
            <w:pPr>
              <w:pStyle w:val="TableBody"/>
              <w:rPr>
                <w:rFonts w:asciiTheme="minorHAnsi" w:hAnsiTheme="minorHAnsi" w:cstheme="minorHAnsi"/>
                <w:lang w:eastAsia="en-AU"/>
              </w:rPr>
            </w:pPr>
          </w:p>
        </w:tc>
        <w:tc>
          <w:tcPr>
            <w:tcW w:w="1017" w:type="pct"/>
            <w:shd w:val="clear" w:color="auto" w:fill="DEEAF6"/>
            <w:vAlign w:val="center"/>
            <w:hideMark/>
          </w:tcPr>
          <w:p w14:paraId="09C65452" w14:textId="77777777" w:rsidR="00585A62" w:rsidRPr="000B7782" w:rsidRDefault="00585A62" w:rsidP="00CC768C">
            <w:pPr>
              <w:pStyle w:val="TableBody"/>
              <w:rPr>
                <w:rFonts w:asciiTheme="minorHAnsi" w:hAnsiTheme="minorHAnsi" w:cstheme="minorHAnsi"/>
                <w:lang w:eastAsia="en-AU"/>
              </w:rPr>
            </w:pPr>
            <w:r w:rsidRPr="000B7782">
              <w:rPr>
                <w:rFonts w:asciiTheme="minorHAnsi" w:hAnsiTheme="minorHAnsi" w:cstheme="minorHAnsi"/>
                <w:lang w:eastAsia="en-AU"/>
              </w:rPr>
              <w:t>Business</w:t>
            </w:r>
          </w:p>
        </w:tc>
        <w:tc>
          <w:tcPr>
            <w:tcW w:w="880" w:type="pct"/>
            <w:shd w:val="clear" w:color="auto" w:fill="DEEAF6"/>
            <w:vAlign w:val="center"/>
            <w:hideMark/>
          </w:tcPr>
          <w:p w14:paraId="189D8D55" w14:textId="77777777" w:rsidR="00585A62" w:rsidRPr="000B7782" w:rsidRDefault="00585A62" w:rsidP="00CC768C">
            <w:pPr>
              <w:pStyle w:val="TableBody"/>
              <w:rPr>
                <w:rFonts w:asciiTheme="minorHAnsi" w:hAnsiTheme="minorHAnsi" w:cstheme="minorHAnsi"/>
                <w:lang w:eastAsia="en-AU"/>
              </w:rPr>
            </w:pPr>
            <w:r w:rsidRPr="000B7782">
              <w:rPr>
                <w:rFonts w:asciiTheme="minorHAnsi" w:hAnsiTheme="minorHAnsi" w:cstheme="minorHAnsi"/>
                <w:lang w:eastAsia="en-AU"/>
              </w:rPr>
              <w:t>Community</w:t>
            </w:r>
          </w:p>
        </w:tc>
        <w:tc>
          <w:tcPr>
            <w:tcW w:w="850" w:type="pct"/>
            <w:shd w:val="clear" w:color="auto" w:fill="DEEAF6"/>
            <w:vAlign w:val="center"/>
            <w:hideMark/>
          </w:tcPr>
          <w:p w14:paraId="6F43AA8D" w14:textId="77777777" w:rsidR="00585A62" w:rsidRPr="000B7782" w:rsidRDefault="00585A62" w:rsidP="00CC768C">
            <w:pPr>
              <w:pStyle w:val="TableBody"/>
              <w:rPr>
                <w:rFonts w:asciiTheme="minorHAnsi" w:hAnsiTheme="minorHAnsi" w:cstheme="minorHAnsi"/>
                <w:lang w:eastAsia="en-AU"/>
              </w:rPr>
            </w:pPr>
            <w:r w:rsidRPr="000B7782">
              <w:rPr>
                <w:rFonts w:asciiTheme="minorHAnsi" w:hAnsiTheme="minorHAnsi" w:cstheme="minorHAnsi"/>
                <w:lang w:eastAsia="en-AU"/>
              </w:rPr>
              <w:t>Individuals</w:t>
            </w:r>
          </w:p>
        </w:tc>
        <w:tc>
          <w:tcPr>
            <w:tcW w:w="1150" w:type="pct"/>
            <w:shd w:val="clear" w:color="auto" w:fill="DEEAF6"/>
            <w:vAlign w:val="center"/>
            <w:hideMark/>
          </w:tcPr>
          <w:p w14:paraId="11F2D7AA" w14:textId="77777777" w:rsidR="00585A62" w:rsidRPr="000B7782" w:rsidRDefault="00585A62" w:rsidP="00CC768C">
            <w:pPr>
              <w:pStyle w:val="TableBody"/>
              <w:rPr>
                <w:rFonts w:asciiTheme="minorHAnsi" w:hAnsiTheme="minorHAnsi" w:cstheme="minorHAnsi"/>
                <w:lang w:eastAsia="en-AU"/>
              </w:rPr>
            </w:pPr>
            <w:r w:rsidRPr="000B7782">
              <w:rPr>
                <w:rFonts w:asciiTheme="minorHAnsi" w:hAnsiTheme="minorHAnsi" w:cstheme="minorHAnsi"/>
                <w:lang w:eastAsia="en-AU"/>
              </w:rPr>
              <w:t>Total cost ($ million)</w:t>
            </w:r>
          </w:p>
        </w:tc>
      </w:tr>
      <w:tr w:rsidR="00DF659F" w:rsidRPr="000B7782" w14:paraId="63643BEE" w14:textId="77777777" w:rsidTr="6288A955">
        <w:tc>
          <w:tcPr>
            <w:tcW w:w="1103" w:type="pct"/>
            <w:shd w:val="clear" w:color="auto" w:fill="F2F2F2" w:themeFill="background2" w:themeFillShade="F2"/>
            <w:vAlign w:val="center"/>
            <w:hideMark/>
          </w:tcPr>
          <w:p w14:paraId="6D9A655C" w14:textId="77777777" w:rsidR="00DF659F" w:rsidRPr="000B7782" w:rsidRDefault="00DF659F" w:rsidP="00CC768C">
            <w:pPr>
              <w:pStyle w:val="TableBody"/>
              <w:rPr>
                <w:rFonts w:asciiTheme="minorHAnsi" w:hAnsiTheme="minorHAnsi" w:cstheme="minorHAnsi"/>
                <w:lang w:eastAsia="en-AU"/>
              </w:rPr>
            </w:pPr>
            <w:r w:rsidRPr="000B7782">
              <w:rPr>
                <w:rFonts w:asciiTheme="minorHAnsi" w:hAnsiTheme="minorHAnsi" w:cstheme="minorHAnsi"/>
                <w:lang w:eastAsia="en-AU"/>
              </w:rPr>
              <w:t>One-off</w:t>
            </w:r>
          </w:p>
        </w:tc>
        <w:tc>
          <w:tcPr>
            <w:tcW w:w="1017" w:type="pct"/>
            <w:shd w:val="clear" w:color="auto" w:fill="FFFFFF" w:themeFill="background2"/>
            <w:vAlign w:val="center"/>
            <w:hideMark/>
          </w:tcPr>
          <w:p w14:paraId="572F78AD" w14:textId="6657800E" w:rsidR="00DF659F" w:rsidRPr="000B7782" w:rsidRDefault="6D7E30AF" w:rsidP="00CC768C">
            <w:pPr>
              <w:pStyle w:val="TableBody"/>
              <w:rPr>
                <w:rFonts w:asciiTheme="minorHAnsi" w:hAnsiTheme="minorHAnsi" w:cstheme="minorBidi"/>
                <w:lang w:eastAsia="en-AU"/>
              </w:rPr>
            </w:pPr>
            <w:r w:rsidRPr="6288A955">
              <w:rPr>
                <w:rFonts w:asciiTheme="minorHAnsi" w:hAnsiTheme="minorHAnsi" w:cstheme="minorBidi"/>
              </w:rPr>
              <w:t>3</w:t>
            </w:r>
            <w:r w:rsidR="66BA06C7" w:rsidRPr="6288A955">
              <w:rPr>
                <w:rFonts w:asciiTheme="minorHAnsi" w:hAnsiTheme="minorHAnsi" w:cstheme="minorBidi"/>
              </w:rPr>
              <w:t>21.1</w:t>
            </w:r>
            <w:r w:rsidRPr="6288A955">
              <w:rPr>
                <w:rFonts w:asciiTheme="minorHAnsi" w:hAnsiTheme="minorHAnsi" w:cstheme="minorBidi"/>
              </w:rPr>
              <w:t xml:space="preserve"> to 9</w:t>
            </w:r>
            <w:r w:rsidR="325EF772" w:rsidRPr="6288A955">
              <w:rPr>
                <w:rFonts w:asciiTheme="minorHAnsi" w:hAnsiTheme="minorHAnsi" w:cstheme="minorBidi"/>
              </w:rPr>
              <w:t>45.3</w:t>
            </w:r>
          </w:p>
        </w:tc>
        <w:tc>
          <w:tcPr>
            <w:tcW w:w="880" w:type="pct"/>
            <w:shd w:val="clear" w:color="auto" w:fill="FFFFFF" w:themeFill="background2"/>
            <w:vAlign w:val="center"/>
            <w:hideMark/>
          </w:tcPr>
          <w:p w14:paraId="5335613C" w14:textId="77777777" w:rsidR="00DF659F" w:rsidRPr="000B7782" w:rsidRDefault="00DF659F" w:rsidP="00CC768C">
            <w:pPr>
              <w:pStyle w:val="TableBody"/>
              <w:rPr>
                <w:rFonts w:asciiTheme="minorHAnsi" w:hAnsiTheme="minorHAnsi" w:cstheme="minorHAnsi"/>
                <w:lang w:eastAsia="en-AU"/>
              </w:rPr>
            </w:pPr>
            <w:r w:rsidRPr="000B7782">
              <w:rPr>
                <w:rFonts w:asciiTheme="minorHAnsi" w:hAnsiTheme="minorHAnsi" w:cstheme="minorHAnsi"/>
              </w:rPr>
              <w:t>nil</w:t>
            </w:r>
          </w:p>
        </w:tc>
        <w:tc>
          <w:tcPr>
            <w:tcW w:w="850" w:type="pct"/>
            <w:shd w:val="clear" w:color="auto" w:fill="FFFFFF" w:themeFill="background2"/>
            <w:vAlign w:val="center"/>
            <w:hideMark/>
          </w:tcPr>
          <w:p w14:paraId="41E01336" w14:textId="77777777" w:rsidR="00DF659F" w:rsidRPr="000B7782" w:rsidRDefault="00DF659F" w:rsidP="00CC768C">
            <w:pPr>
              <w:pStyle w:val="TableBody"/>
              <w:rPr>
                <w:rFonts w:asciiTheme="minorHAnsi" w:hAnsiTheme="minorHAnsi" w:cstheme="minorHAnsi"/>
                <w:lang w:eastAsia="en-AU"/>
              </w:rPr>
            </w:pPr>
            <w:r w:rsidRPr="000B7782">
              <w:rPr>
                <w:rFonts w:asciiTheme="minorHAnsi" w:hAnsiTheme="minorHAnsi" w:cstheme="minorHAnsi"/>
              </w:rPr>
              <w:t>nil</w:t>
            </w:r>
          </w:p>
        </w:tc>
        <w:tc>
          <w:tcPr>
            <w:tcW w:w="1150" w:type="pct"/>
            <w:shd w:val="clear" w:color="auto" w:fill="FFFFFF" w:themeFill="background2"/>
            <w:vAlign w:val="center"/>
            <w:hideMark/>
          </w:tcPr>
          <w:p w14:paraId="4C4DE558" w14:textId="502E3411" w:rsidR="00DF659F" w:rsidRPr="000B7782" w:rsidRDefault="352B257E" w:rsidP="00CC768C">
            <w:pPr>
              <w:pStyle w:val="TableBody"/>
              <w:rPr>
                <w:rFonts w:asciiTheme="minorHAnsi" w:hAnsiTheme="minorHAnsi" w:cstheme="minorBidi"/>
                <w:lang w:eastAsia="en-AU"/>
              </w:rPr>
            </w:pPr>
            <w:r w:rsidRPr="6288A955">
              <w:rPr>
                <w:rFonts w:asciiTheme="minorHAnsi" w:hAnsiTheme="minorHAnsi" w:cstheme="minorBidi"/>
              </w:rPr>
              <w:t>321.1 to 945.3</w:t>
            </w:r>
          </w:p>
        </w:tc>
      </w:tr>
      <w:tr w:rsidR="00DF659F" w:rsidRPr="000B7782" w14:paraId="4046D704" w14:textId="77777777" w:rsidTr="6288A955">
        <w:tc>
          <w:tcPr>
            <w:tcW w:w="1103" w:type="pct"/>
            <w:shd w:val="clear" w:color="auto" w:fill="F2F2F2" w:themeFill="background2" w:themeFillShade="F2"/>
            <w:vAlign w:val="center"/>
            <w:hideMark/>
          </w:tcPr>
          <w:p w14:paraId="4082C0C3" w14:textId="730F720B" w:rsidR="00DF659F" w:rsidRPr="000B7782" w:rsidRDefault="00DF659F" w:rsidP="00A25131">
            <w:pPr>
              <w:pStyle w:val="TableBody"/>
              <w:rPr>
                <w:rFonts w:asciiTheme="minorHAnsi" w:hAnsiTheme="minorHAnsi" w:cstheme="minorHAnsi"/>
                <w:lang w:eastAsia="en-AU"/>
              </w:rPr>
            </w:pPr>
            <w:r w:rsidRPr="000B7782">
              <w:rPr>
                <w:rFonts w:asciiTheme="minorHAnsi" w:hAnsiTheme="minorHAnsi" w:cstheme="minorHAnsi"/>
                <w:lang w:eastAsia="en-AU"/>
              </w:rPr>
              <w:t>Ongoing (per year)</w:t>
            </w:r>
          </w:p>
        </w:tc>
        <w:tc>
          <w:tcPr>
            <w:tcW w:w="1017" w:type="pct"/>
            <w:shd w:val="clear" w:color="auto" w:fill="FFFFFF" w:themeFill="background2"/>
            <w:vAlign w:val="center"/>
            <w:hideMark/>
          </w:tcPr>
          <w:p w14:paraId="7329CCAF" w14:textId="1020AF73" w:rsidR="00DF659F" w:rsidRPr="000B7782" w:rsidRDefault="6D7E30AF" w:rsidP="00CC768C">
            <w:pPr>
              <w:pStyle w:val="TableBody"/>
              <w:rPr>
                <w:rFonts w:asciiTheme="minorHAnsi" w:hAnsiTheme="minorHAnsi" w:cstheme="minorBidi"/>
                <w:lang w:eastAsia="en-AU"/>
              </w:rPr>
            </w:pPr>
            <w:r w:rsidRPr="6288A955">
              <w:rPr>
                <w:rFonts w:asciiTheme="minorHAnsi" w:hAnsiTheme="minorHAnsi" w:cstheme="minorBidi"/>
              </w:rPr>
              <w:t>9</w:t>
            </w:r>
            <w:r w:rsidR="210FAEA5" w:rsidRPr="6288A955">
              <w:rPr>
                <w:rFonts w:asciiTheme="minorHAnsi" w:hAnsiTheme="minorHAnsi" w:cstheme="minorBidi"/>
              </w:rPr>
              <w:t>4</w:t>
            </w:r>
            <w:r w:rsidR="00DF659F" w:rsidRPr="6288A955">
              <w:rPr>
                <w:rFonts w:asciiTheme="minorHAnsi" w:hAnsiTheme="minorHAnsi" w:cstheme="minorBidi"/>
              </w:rPr>
              <w:t xml:space="preserve">.0 to </w:t>
            </w:r>
            <w:r w:rsidRPr="6288A955">
              <w:rPr>
                <w:rFonts w:asciiTheme="minorHAnsi" w:hAnsiTheme="minorHAnsi" w:cstheme="minorBidi"/>
              </w:rPr>
              <w:t>21</w:t>
            </w:r>
            <w:r w:rsidR="6BD91CEE" w:rsidRPr="6288A955">
              <w:rPr>
                <w:rFonts w:asciiTheme="minorHAnsi" w:hAnsiTheme="minorHAnsi" w:cstheme="minorBidi"/>
              </w:rPr>
              <w:t>9.2</w:t>
            </w:r>
          </w:p>
        </w:tc>
        <w:tc>
          <w:tcPr>
            <w:tcW w:w="880" w:type="pct"/>
            <w:shd w:val="clear" w:color="auto" w:fill="FFFFFF" w:themeFill="background2"/>
            <w:vAlign w:val="center"/>
            <w:hideMark/>
          </w:tcPr>
          <w:p w14:paraId="259E393B" w14:textId="77777777" w:rsidR="00DF659F" w:rsidRPr="000B7782" w:rsidRDefault="00DF659F" w:rsidP="00CC768C">
            <w:pPr>
              <w:pStyle w:val="TableBody"/>
              <w:rPr>
                <w:rFonts w:asciiTheme="minorHAnsi" w:hAnsiTheme="minorHAnsi" w:cstheme="minorHAnsi"/>
                <w:lang w:eastAsia="en-AU"/>
              </w:rPr>
            </w:pPr>
            <w:r w:rsidRPr="000B7782">
              <w:rPr>
                <w:rFonts w:asciiTheme="minorHAnsi" w:hAnsiTheme="minorHAnsi" w:cstheme="minorHAnsi"/>
              </w:rPr>
              <w:t>nil</w:t>
            </w:r>
          </w:p>
        </w:tc>
        <w:tc>
          <w:tcPr>
            <w:tcW w:w="850" w:type="pct"/>
            <w:shd w:val="clear" w:color="auto" w:fill="FFFFFF" w:themeFill="background2"/>
            <w:vAlign w:val="center"/>
            <w:hideMark/>
          </w:tcPr>
          <w:p w14:paraId="42065663" w14:textId="77777777" w:rsidR="00DF659F" w:rsidRPr="000B7782" w:rsidRDefault="00DF659F" w:rsidP="00CC768C">
            <w:pPr>
              <w:pStyle w:val="TableBody"/>
              <w:rPr>
                <w:rFonts w:asciiTheme="minorHAnsi" w:hAnsiTheme="minorHAnsi" w:cstheme="minorHAnsi"/>
                <w:lang w:eastAsia="en-AU"/>
              </w:rPr>
            </w:pPr>
            <w:r w:rsidRPr="000B7782">
              <w:rPr>
                <w:rFonts w:asciiTheme="minorHAnsi" w:hAnsiTheme="minorHAnsi" w:cstheme="minorHAnsi"/>
              </w:rPr>
              <w:t>nil</w:t>
            </w:r>
          </w:p>
        </w:tc>
        <w:tc>
          <w:tcPr>
            <w:tcW w:w="1150" w:type="pct"/>
            <w:shd w:val="clear" w:color="auto" w:fill="FFFFFF" w:themeFill="background2"/>
            <w:vAlign w:val="center"/>
            <w:hideMark/>
          </w:tcPr>
          <w:p w14:paraId="082CF886" w14:textId="7EE6EC3C" w:rsidR="00DF659F" w:rsidRPr="000B7782" w:rsidRDefault="5802E616" w:rsidP="00CC768C">
            <w:pPr>
              <w:pStyle w:val="TableBody"/>
              <w:rPr>
                <w:rFonts w:asciiTheme="minorHAnsi" w:hAnsiTheme="minorHAnsi" w:cstheme="minorBidi"/>
              </w:rPr>
            </w:pPr>
            <w:r w:rsidRPr="6288A955">
              <w:rPr>
                <w:rFonts w:asciiTheme="minorHAnsi" w:hAnsiTheme="minorHAnsi" w:cstheme="minorBidi"/>
              </w:rPr>
              <w:t>94.0 to 219.2</w:t>
            </w:r>
          </w:p>
        </w:tc>
      </w:tr>
    </w:tbl>
    <w:p w14:paraId="78B37FFA" w14:textId="5FD2C9C7" w:rsidR="00596DC7" w:rsidRDefault="00937EF4" w:rsidP="00E51726">
      <w:pPr>
        <w:pStyle w:val="Note"/>
        <w:rPr>
          <w:sz w:val="22"/>
        </w:rPr>
      </w:pPr>
      <w:r w:rsidRPr="00A25131">
        <w:rPr>
          <w:b/>
          <w:bCs w:val="0"/>
        </w:rPr>
        <w:t>Note</w:t>
      </w:r>
      <w:r w:rsidRPr="00827F58">
        <w:t xml:space="preserve">: There will be no direct costs to individuals and communities although price rises may reflect the increased cost of operations as a result of the proposed Risk Management Program framework. </w:t>
      </w:r>
    </w:p>
    <w:p w14:paraId="19419D9F" w14:textId="1B9A6E96" w:rsidR="00596DC7" w:rsidRDefault="00596DC7" w:rsidP="00E51726">
      <w:pPr>
        <w:pStyle w:val="BodyText"/>
      </w:pPr>
      <w:r w:rsidRPr="00827F58">
        <w:t xml:space="preserve">The average cost of compliance for each entity is estimated </w:t>
      </w:r>
      <w:r w:rsidRPr="00A44322">
        <w:t xml:space="preserve">at </w:t>
      </w:r>
      <w:r w:rsidRPr="007D243C">
        <w:t>$</w:t>
      </w:r>
      <w:r w:rsidR="505220E4" w:rsidRPr="00CE4B35">
        <w:t>10.5</w:t>
      </w:r>
      <w:r w:rsidRPr="00A44322">
        <w:rPr>
          <w:color w:val="FF9933"/>
        </w:rPr>
        <w:t xml:space="preserve"> </w:t>
      </w:r>
      <w:r w:rsidRPr="007D243C">
        <w:t>million in one-off costs and $2.1 million per year in ongoing costs, noting that there is a wide range provided in submissions from industry. Entity costs range between $0.4 million and $55.</w:t>
      </w:r>
      <w:r w:rsidR="002F0D23" w:rsidRPr="00CE4B35">
        <w:t>9</w:t>
      </w:r>
      <w:r w:rsidR="002F0D23" w:rsidRPr="00A44322">
        <w:t xml:space="preserve"> </w:t>
      </w:r>
      <w:r w:rsidRPr="007D243C">
        <w:t>million in one-off costs and $0.2 million and $</w:t>
      </w:r>
      <w:r w:rsidR="00966F88" w:rsidRPr="00CE4B35">
        <w:t>5.0</w:t>
      </w:r>
      <w:r w:rsidRPr="00A44322">
        <w:t xml:space="preserve"> mi</w:t>
      </w:r>
      <w:r w:rsidRPr="007D243C">
        <w:t>llion in ongoing costs per year.</w:t>
      </w:r>
      <w:r w:rsidRPr="00827F58">
        <w:t xml:space="preserve"> There are a number of reasons for this range in cost including the size of the entity and the maturity of existing risk management programs. </w:t>
      </w:r>
    </w:p>
    <w:p w14:paraId="0548A3B9" w14:textId="2CDB3E7D" w:rsidR="002B44AB" w:rsidRDefault="00596DC7" w:rsidP="00E51726">
      <w:pPr>
        <w:pStyle w:val="BodyText"/>
        <w:rPr>
          <w:i/>
          <w:iCs/>
          <w:color w:val="44546A"/>
          <w:sz w:val="18"/>
          <w:szCs w:val="18"/>
        </w:rPr>
      </w:pPr>
      <w:r w:rsidRPr="00827F58">
        <w:t xml:space="preserve">Based on the industry submissions made during consultations, </w:t>
      </w:r>
      <w:r w:rsidR="00F31DE6">
        <w:t xml:space="preserve">the expected </w:t>
      </w:r>
      <w:r w:rsidRPr="00827F58">
        <w:t xml:space="preserve">total regulatory costs will be highest for rules and obligations associated with addressing cyber </w:t>
      </w:r>
      <w:r w:rsidR="00933E56">
        <w:t>and information</w:t>
      </w:r>
      <w:r w:rsidRPr="00827F58">
        <w:t xml:space="preserve"> security hazards. These costs represent approximately </w:t>
      </w:r>
      <w:r w:rsidRPr="00A44322">
        <w:t>29.</w:t>
      </w:r>
      <w:r w:rsidR="187A689C" w:rsidRPr="00BC01DD">
        <w:t>1</w:t>
      </w:r>
      <w:r w:rsidRPr="00BC01DD">
        <w:t xml:space="preserve">% of the total </w:t>
      </w:r>
      <w:r w:rsidR="00933E56" w:rsidRPr="00BC01DD">
        <w:t xml:space="preserve">expected </w:t>
      </w:r>
      <w:r w:rsidRPr="00BC01DD">
        <w:t>cost of implementing the risk management program framework. The cost associated with physical hazard rules (</w:t>
      </w:r>
      <w:r w:rsidRPr="00CE4B35">
        <w:t>19.</w:t>
      </w:r>
      <w:r w:rsidR="2376BDB7" w:rsidRPr="00CE4B35">
        <w:t>8</w:t>
      </w:r>
      <w:r w:rsidRPr="00CE4B35">
        <w:t>%</w:t>
      </w:r>
      <w:r w:rsidRPr="00A44322">
        <w:t xml:space="preserve"> of total cost), supply chain hazard rules (</w:t>
      </w:r>
      <w:r w:rsidRPr="007D243C">
        <w:t>17.6%</w:t>
      </w:r>
      <w:r w:rsidRPr="00BC01DD">
        <w:t xml:space="preserve"> of total cost) and personnel hazard rules (</w:t>
      </w:r>
      <w:r w:rsidRPr="00CE4B35">
        <w:t>11.</w:t>
      </w:r>
      <w:r w:rsidR="123CDC65" w:rsidRPr="00CE4B35">
        <w:t>7</w:t>
      </w:r>
      <w:r w:rsidRPr="00CE4B35">
        <w:t>%</w:t>
      </w:r>
      <w:r w:rsidRPr="00A44322">
        <w:t xml:space="preserve"> of total cost) are less significant but remain material. Compliance costs associated with</w:t>
      </w:r>
      <w:r w:rsidRPr="007D243C">
        <w:rPr>
          <w:color w:val="FF9933"/>
        </w:rPr>
        <w:t xml:space="preserve"> </w:t>
      </w:r>
      <w:r w:rsidRPr="00BC01DD">
        <w:t xml:space="preserve">material risk rules, risk management program rules, natural hazard rules and </w:t>
      </w:r>
      <w:r w:rsidR="00AA2852" w:rsidRPr="00BC01DD">
        <w:t>general</w:t>
      </w:r>
      <w:r w:rsidRPr="00BC01DD">
        <w:t xml:space="preserve"> rules were the least costly aspects of the risk management program framework, representing in total approximately 21.</w:t>
      </w:r>
      <w:r w:rsidR="5152A91A" w:rsidRPr="00BC01DD">
        <w:t>8</w:t>
      </w:r>
      <w:r w:rsidRPr="00BC01DD">
        <w:t>%</w:t>
      </w:r>
      <w:r w:rsidRPr="00827F58">
        <w:t xml:space="preserve"> of costs in total. It is noted however, that the relative weightings of cost</w:t>
      </w:r>
      <w:r w:rsidR="00933E56">
        <w:t>s</w:t>
      </w:r>
      <w:r w:rsidRPr="00827F58">
        <w:t xml:space="preserve"> vary between entities based on their business types and operational environment. The total regulatory cost by rule/obligation is set out in </w:t>
      </w:r>
      <w:r w:rsidR="0054629C">
        <w:t>the table</w:t>
      </w:r>
      <w:r w:rsidR="002B44AB" w:rsidRPr="00E3678C">
        <w:t xml:space="preserve"> below.</w:t>
      </w:r>
      <w:r w:rsidR="002B44AB" w:rsidRPr="002B44AB">
        <w:rPr>
          <w:i/>
          <w:iCs/>
          <w:color w:val="44546A"/>
          <w:sz w:val="18"/>
          <w:szCs w:val="18"/>
        </w:rPr>
        <w:t xml:space="preserve"> </w:t>
      </w:r>
    </w:p>
    <w:p w14:paraId="4EBDA435" w14:textId="77777777" w:rsidR="00596DC7" w:rsidRPr="002B44AB" w:rsidRDefault="002B44AB" w:rsidP="00E51726">
      <w:pPr>
        <w:pStyle w:val="Caption"/>
        <w:rPr>
          <w:b/>
        </w:rPr>
      </w:pPr>
      <w:r w:rsidRPr="00827F58">
        <w:t>Regulatory burden estimate by rule and obligation for critical gas assets nationally</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20" w:firstRow="1" w:lastRow="0" w:firstColumn="0" w:lastColumn="0" w:noHBand="0" w:noVBand="1"/>
      </w:tblPr>
      <w:tblGrid>
        <w:gridCol w:w="2497"/>
        <w:gridCol w:w="1897"/>
        <w:gridCol w:w="1827"/>
        <w:gridCol w:w="1993"/>
        <w:gridCol w:w="1424"/>
      </w:tblGrid>
      <w:tr w:rsidR="0054629C" w:rsidRPr="00C4769A" w14:paraId="3C155770" w14:textId="77777777" w:rsidTr="00A25131">
        <w:trPr>
          <w:trHeight w:val="389"/>
        </w:trPr>
        <w:tc>
          <w:tcPr>
            <w:tcW w:w="1295" w:type="pct"/>
            <w:vMerge w:val="restart"/>
            <w:shd w:val="clear" w:color="auto" w:fill="034EA2" w:themeFill="accent1"/>
            <w:hideMark/>
          </w:tcPr>
          <w:p w14:paraId="5C516157" w14:textId="77777777" w:rsidR="0054629C" w:rsidRPr="00C4769A" w:rsidRDefault="0054629C" w:rsidP="00A25131">
            <w:pPr>
              <w:pStyle w:val="TableHeading"/>
              <w:rPr>
                <w:rFonts w:asciiTheme="majorHAnsi" w:hAnsiTheme="majorHAnsi" w:cstheme="majorHAnsi"/>
                <w:lang w:eastAsia="en-AU"/>
              </w:rPr>
            </w:pPr>
            <w:r w:rsidRPr="00C4769A">
              <w:rPr>
                <w:rFonts w:asciiTheme="majorHAnsi" w:hAnsiTheme="majorHAnsi" w:cstheme="majorHAnsi"/>
                <w:lang w:eastAsia="en-AU"/>
              </w:rPr>
              <w:t>Rule / obligation</w:t>
            </w:r>
          </w:p>
        </w:tc>
        <w:tc>
          <w:tcPr>
            <w:tcW w:w="3705" w:type="pct"/>
            <w:gridSpan w:val="4"/>
            <w:shd w:val="clear" w:color="auto" w:fill="034EA2" w:themeFill="accent1"/>
            <w:vAlign w:val="center"/>
            <w:hideMark/>
          </w:tcPr>
          <w:p w14:paraId="39102983" w14:textId="77777777" w:rsidR="0054629C" w:rsidRPr="00C4769A" w:rsidRDefault="0054629C" w:rsidP="002C0973">
            <w:pPr>
              <w:pStyle w:val="TableHeading"/>
              <w:rPr>
                <w:rFonts w:asciiTheme="majorHAnsi" w:hAnsiTheme="majorHAnsi" w:cstheme="majorHAnsi"/>
                <w:lang w:eastAsia="en-AU"/>
              </w:rPr>
            </w:pPr>
            <w:r w:rsidRPr="00C4769A">
              <w:rPr>
                <w:rFonts w:asciiTheme="majorHAnsi" w:hAnsiTheme="majorHAnsi" w:cstheme="majorHAnsi"/>
                <w:lang w:eastAsia="en-AU"/>
              </w:rPr>
              <w:t>Costs</w:t>
            </w:r>
            <w:r w:rsidR="00C27FCA" w:rsidRPr="00C4769A">
              <w:rPr>
                <w:rFonts w:asciiTheme="majorHAnsi" w:hAnsiTheme="majorHAnsi" w:cstheme="majorHAnsi"/>
                <w:lang w:eastAsia="en-AU"/>
              </w:rPr>
              <w:t xml:space="preserve"> (Expected and High)</w:t>
            </w:r>
          </w:p>
        </w:tc>
      </w:tr>
      <w:tr w:rsidR="00DC059D" w:rsidRPr="00C4769A" w14:paraId="77AEC073" w14:textId="77777777" w:rsidTr="6288A955">
        <w:trPr>
          <w:trHeight w:val="602"/>
        </w:trPr>
        <w:tc>
          <w:tcPr>
            <w:tcW w:w="1295" w:type="pct"/>
            <w:vMerge/>
            <w:vAlign w:val="center"/>
            <w:hideMark/>
          </w:tcPr>
          <w:p w14:paraId="19C83D28" w14:textId="77777777" w:rsidR="0054629C" w:rsidRPr="00C4769A" w:rsidRDefault="0054629C" w:rsidP="002C0973">
            <w:pPr>
              <w:pStyle w:val="TableBody"/>
              <w:rPr>
                <w:rFonts w:asciiTheme="majorHAnsi" w:hAnsiTheme="majorHAnsi" w:cstheme="majorHAnsi"/>
                <w:lang w:eastAsia="en-AU"/>
              </w:rPr>
            </w:pPr>
          </w:p>
        </w:tc>
        <w:tc>
          <w:tcPr>
            <w:tcW w:w="984" w:type="pct"/>
            <w:shd w:val="clear" w:color="auto" w:fill="DEEAF6"/>
            <w:vAlign w:val="center"/>
            <w:hideMark/>
          </w:tcPr>
          <w:p w14:paraId="31DED65D" w14:textId="77777777" w:rsidR="0054629C" w:rsidRPr="00C4769A" w:rsidRDefault="0054629C" w:rsidP="002C0973">
            <w:pPr>
              <w:pStyle w:val="TableBody"/>
              <w:rPr>
                <w:rFonts w:asciiTheme="majorHAnsi" w:hAnsiTheme="majorHAnsi" w:cstheme="majorHAnsi"/>
                <w:color w:val="000000"/>
                <w:lang w:eastAsia="en-AU"/>
              </w:rPr>
            </w:pPr>
            <w:r w:rsidRPr="00C4769A">
              <w:rPr>
                <w:rFonts w:asciiTheme="majorHAnsi" w:hAnsiTheme="majorHAnsi" w:cstheme="majorHAnsi"/>
                <w:color w:val="000000"/>
                <w:lang w:eastAsia="en-AU"/>
              </w:rPr>
              <w:t>One-off ($ million)</w:t>
            </w:r>
          </w:p>
        </w:tc>
        <w:tc>
          <w:tcPr>
            <w:tcW w:w="948" w:type="pct"/>
            <w:shd w:val="clear" w:color="auto" w:fill="DEEAF6"/>
            <w:vAlign w:val="center"/>
            <w:hideMark/>
          </w:tcPr>
          <w:p w14:paraId="4CD2756B" w14:textId="1876717D" w:rsidR="0054629C" w:rsidRPr="00C4769A" w:rsidRDefault="0054629C" w:rsidP="002C0973">
            <w:pPr>
              <w:pStyle w:val="TableBody"/>
              <w:rPr>
                <w:rFonts w:asciiTheme="majorHAnsi" w:hAnsiTheme="majorHAnsi" w:cstheme="majorHAnsi"/>
                <w:color w:val="000000"/>
                <w:lang w:eastAsia="en-AU"/>
              </w:rPr>
            </w:pPr>
            <w:r w:rsidRPr="00C4769A">
              <w:rPr>
                <w:rFonts w:asciiTheme="majorHAnsi" w:hAnsiTheme="majorHAnsi" w:cstheme="majorHAnsi"/>
                <w:color w:val="000000"/>
                <w:lang w:eastAsia="en-AU"/>
              </w:rPr>
              <w:t>Ongoing</w:t>
            </w:r>
            <w:r w:rsidRPr="00C4769A">
              <w:rPr>
                <w:rFonts w:asciiTheme="majorHAnsi" w:hAnsiTheme="majorHAnsi" w:cstheme="majorHAnsi"/>
                <w:color w:val="000000"/>
                <w:lang w:eastAsia="en-AU"/>
              </w:rPr>
              <w:br/>
              <w:t xml:space="preserve">(per year, </w:t>
            </w:r>
            <w:r w:rsidR="005F5838">
              <w:rPr>
                <w:rFonts w:asciiTheme="majorHAnsi" w:hAnsiTheme="majorHAnsi" w:cstheme="majorHAnsi"/>
                <w:color w:val="000000"/>
                <w:lang w:eastAsia="en-AU"/>
              </w:rPr>
              <w:br/>
            </w:r>
            <w:r w:rsidRPr="00C4769A">
              <w:rPr>
                <w:rFonts w:asciiTheme="majorHAnsi" w:hAnsiTheme="majorHAnsi" w:cstheme="majorHAnsi"/>
                <w:color w:val="000000"/>
                <w:lang w:eastAsia="en-AU"/>
              </w:rPr>
              <w:t>$ million)</w:t>
            </w:r>
          </w:p>
        </w:tc>
        <w:tc>
          <w:tcPr>
            <w:tcW w:w="1034" w:type="pct"/>
            <w:shd w:val="clear" w:color="auto" w:fill="DEEAF6"/>
            <w:vAlign w:val="center"/>
            <w:hideMark/>
          </w:tcPr>
          <w:p w14:paraId="40EF5639" w14:textId="208E91A7" w:rsidR="0054629C" w:rsidRPr="00C4769A" w:rsidRDefault="0054629C" w:rsidP="002C0973">
            <w:pPr>
              <w:pStyle w:val="TableBody"/>
              <w:rPr>
                <w:rFonts w:asciiTheme="majorHAnsi" w:hAnsiTheme="majorHAnsi" w:cstheme="majorHAnsi"/>
                <w:color w:val="000000"/>
                <w:lang w:eastAsia="en-AU"/>
              </w:rPr>
            </w:pPr>
            <w:r w:rsidRPr="00C4769A">
              <w:rPr>
                <w:rFonts w:asciiTheme="majorHAnsi" w:hAnsiTheme="majorHAnsi" w:cstheme="majorHAnsi"/>
                <w:color w:val="000000"/>
                <w:lang w:eastAsia="en-AU"/>
              </w:rPr>
              <w:t xml:space="preserve">Total cost </w:t>
            </w:r>
            <w:r w:rsidRPr="00C4769A">
              <w:rPr>
                <w:rFonts w:asciiTheme="majorHAnsi" w:hAnsiTheme="majorHAnsi" w:cstheme="majorHAnsi"/>
                <w:color w:val="000000"/>
                <w:lang w:eastAsia="en-AU"/>
              </w:rPr>
              <w:br/>
              <w:t xml:space="preserve">over 10 years </w:t>
            </w:r>
            <w:r w:rsidR="005F5838">
              <w:rPr>
                <w:rFonts w:asciiTheme="majorHAnsi" w:hAnsiTheme="majorHAnsi" w:cstheme="majorHAnsi"/>
                <w:color w:val="000000"/>
                <w:lang w:eastAsia="en-AU"/>
              </w:rPr>
              <w:br/>
            </w:r>
            <w:r w:rsidRPr="00C4769A">
              <w:rPr>
                <w:rFonts w:asciiTheme="majorHAnsi" w:hAnsiTheme="majorHAnsi" w:cstheme="majorHAnsi"/>
                <w:color w:val="000000"/>
                <w:lang w:eastAsia="en-AU"/>
              </w:rPr>
              <w:t xml:space="preserve">($ million) </w:t>
            </w:r>
            <w:r w:rsidRPr="00C4769A">
              <w:rPr>
                <w:rFonts w:asciiTheme="majorHAnsi" w:hAnsiTheme="majorHAnsi" w:cstheme="majorHAnsi"/>
                <w:color w:val="000000"/>
                <w:vertAlign w:val="superscript"/>
                <w:lang w:eastAsia="en-AU"/>
              </w:rPr>
              <w:footnoteReference w:id="336"/>
            </w:r>
          </w:p>
        </w:tc>
        <w:tc>
          <w:tcPr>
            <w:tcW w:w="739" w:type="pct"/>
            <w:shd w:val="clear" w:color="auto" w:fill="DEEAF6"/>
            <w:vAlign w:val="center"/>
            <w:hideMark/>
          </w:tcPr>
          <w:p w14:paraId="38CBA612" w14:textId="77777777" w:rsidR="0054629C" w:rsidRPr="00C4769A" w:rsidRDefault="00DC059D" w:rsidP="002C0973">
            <w:pPr>
              <w:pStyle w:val="TableBody"/>
              <w:rPr>
                <w:rFonts w:asciiTheme="majorHAnsi" w:hAnsiTheme="majorHAnsi" w:cstheme="majorHAnsi"/>
                <w:color w:val="000000"/>
                <w:lang w:eastAsia="en-AU"/>
              </w:rPr>
            </w:pPr>
            <w:r w:rsidRPr="00C4769A">
              <w:rPr>
                <w:rFonts w:asciiTheme="majorHAnsi" w:hAnsiTheme="majorHAnsi" w:cstheme="majorHAnsi"/>
                <w:color w:val="000000"/>
                <w:lang w:eastAsia="en-AU"/>
              </w:rPr>
              <w:t>Expected estimate as p</w:t>
            </w:r>
            <w:r w:rsidR="0054629C" w:rsidRPr="00C4769A">
              <w:rPr>
                <w:rFonts w:asciiTheme="majorHAnsi" w:hAnsiTheme="majorHAnsi" w:cstheme="majorHAnsi"/>
                <w:color w:val="000000"/>
                <w:lang w:eastAsia="en-AU"/>
              </w:rPr>
              <w:t>ercentage of total (%)</w:t>
            </w:r>
          </w:p>
        </w:tc>
      </w:tr>
      <w:tr w:rsidR="00340241" w:rsidRPr="00C4769A" w14:paraId="53AE7646" w14:textId="77777777" w:rsidTr="6288A955">
        <w:trPr>
          <w:trHeight w:val="397"/>
        </w:trPr>
        <w:tc>
          <w:tcPr>
            <w:tcW w:w="1295" w:type="pct"/>
            <w:shd w:val="clear" w:color="auto" w:fill="F2F2F2" w:themeFill="background2" w:themeFillShade="F2"/>
            <w:vAlign w:val="center"/>
            <w:hideMark/>
          </w:tcPr>
          <w:p w14:paraId="0619F9A9" w14:textId="71F919BF" w:rsidR="001665F1" w:rsidRPr="005F5838" w:rsidRDefault="001665F1" w:rsidP="00C4769A">
            <w:pPr>
              <w:pStyle w:val="TableBody"/>
              <w:rPr>
                <w:rFonts w:asciiTheme="majorHAnsi" w:hAnsiTheme="majorHAnsi" w:cstheme="majorHAnsi"/>
              </w:rPr>
            </w:pPr>
            <w:r w:rsidRPr="005F5838">
              <w:rPr>
                <w:rFonts w:asciiTheme="majorHAnsi" w:hAnsiTheme="majorHAnsi" w:cstheme="majorHAnsi"/>
              </w:rPr>
              <w:lastRenderedPageBreak/>
              <w:t xml:space="preserve">Risk management program obligations in the </w:t>
            </w:r>
            <w:r w:rsidR="002736E4">
              <w:rPr>
                <w:rFonts w:asciiTheme="majorHAnsi" w:hAnsiTheme="majorHAnsi" w:cstheme="majorHAnsi"/>
              </w:rPr>
              <w:t>Act</w:t>
            </w:r>
          </w:p>
        </w:tc>
        <w:tc>
          <w:tcPr>
            <w:tcW w:w="984" w:type="pct"/>
            <w:shd w:val="clear" w:color="auto" w:fill="auto"/>
            <w:vAlign w:val="center"/>
            <w:hideMark/>
          </w:tcPr>
          <w:p w14:paraId="2D8B81DE" w14:textId="7C5DBA81" w:rsidR="001665F1" w:rsidRPr="00C4769A" w:rsidRDefault="607B6143" w:rsidP="00CE4B35">
            <w:pPr>
              <w:pStyle w:val="TableBody"/>
              <w:spacing w:line="259" w:lineRule="auto"/>
              <w:rPr>
                <w:rFonts w:asciiTheme="majorHAnsi" w:hAnsiTheme="majorHAnsi" w:cstheme="majorBidi"/>
                <w:lang w:eastAsia="en-AU"/>
              </w:rPr>
            </w:pPr>
            <w:r w:rsidRPr="6174CD99">
              <w:rPr>
                <w:rFonts w:asciiTheme="majorHAnsi" w:hAnsiTheme="majorHAnsi" w:cstheme="majorBidi"/>
              </w:rPr>
              <w:t>19.3 to 24.6</w:t>
            </w:r>
          </w:p>
        </w:tc>
        <w:tc>
          <w:tcPr>
            <w:tcW w:w="948" w:type="pct"/>
            <w:shd w:val="clear" w:color="auto" w:fill="auto"/>
            <w:vAlign w:val="center"/>
            <w:hideMark/>
          </w:tcPr>
          <w:p w14:paraId="5C01E156" w14:textId="32C8EC76" w:rsidR="001665F1" w:rsidRPr="00C4769A" w:rsidRDefault="288D85AF" w:rsidP="002C0973">
            <w:pPr>
              <w:pStyle w:val="TableBody"/>
              <w:rPr>
                <w:rFonts w:asciiTheme="majorHAnsi" w:hAnsiTheme="majorHAnsi" w:cstheme="majorBidi"/>
                <w:lang w:eastAsia="en-AU"/>
              </w:rPr>
            </w:pPr>
            <w:r w:rsidRPr="1C21B981">
              <w:rPr>
                <w:rFonts w:asciiTheme="majorHAnsi" w:hAnsiTheme="majorHAnsi" w:cstheme="majorBidi"/>
              </w:rPr>
              <w:t>7.1 to 14.5</w:t>
            </w:r>
          </w:p>
        </w:tc>
        <w:tc>
          <w:tcPr>
            <w:tcW w:w="1034" w:type="pct"/>
            <w:shd w:val="clear" w:color="auto" w:fill="auto"/>
            <w:vAlign w:val="center"/>
            <w:hideMark/>
          </w:tcPr>
          <w:p w14:paraId="4F2E8937" w14:textId="61243F9C" w:rsidR="001665F1" w:rsidRPr="00C4769A" w:rsidRDefault="10FE7911" w:rsidP="002C0973">
            <w:pPr>
              <w:pStyle w:val="TableBody"/>
              <w:rPr>
                <w:rFonts w:asciiTheme="majorHAnsi" w:hAnsiTheme="majorHAnsi" w:cstheme="majorBidi"/>
                <w:lang w:eastAsia="en-AU"/>
              </w:rPr>
            </w:pPr>
            <w:r w:rsidRPr="1D567754">
              <w:rPr>
                <w:rFonts w:asciiTheme="majorHAnsi" w:hAnsiTheme="majorHAnsi" w:cstheme="majorBidi"/>
              </w:rPr>
              <w:t>83.</w:t>
            </w:r>
            <w:r w:rsidR="00B44284">
              <w:rPr>
                <w:rFonts w:asciiTheme="majorHAnsi" w:hAnsiTheme="majorHAnsi" w:cstheme="majorBidi"/>
              </w:rPr>
              <w:t>1</w:t>
            </w:r>
            <w:r w:rsidRPr="10DB0ACB">
              <w:rPr>
                <w:rFonts w:asciiTheme="majorHAnsi" w:hAnsiTheme="majorHAnsi" w:cstheme="majorBidi"/>
              </w:rPr>
              <w:t xml:space="preserve"> to 155.1</w:t>
            </w:r>
          </w:p>
        </w:tc>
        <w:tc>
          <w:tcPr>
            <w:tcW w:w="739" w:type="pct"/>
            <w:shd w:val="clear" w:color="auto" w:fill="auto"/>
            <w:vAlign w:val="center"/>
          </w:tcPr>
          <w:p w14:paraId="4752EF2D" w14:textId="46A92E38" w:rsidR="001665F1" w:rsidRPr="00C4769A" w:rsidRDefault="001665F1" w:rsidP="002C0973">
            <w:pPr>
              <w:pStyle w:val="TableBody"/>
              <w:rPr>
                <w:rFonts w:asciiTheme="majorHAnsi" w:hAnsiTheme="majorHAnsi" w:cstheme="majorBidi"/>
                <w:lang w:eastAsia="en-AU"/>
              </w:rPr>
            </w:pPr>
            <w:r w:rsidRPr="035CCB87">
              <w:rPr>
                <w:rFonts w:asciiTheme="majorHAnsi" w:hAnsiTheme="majorHAnsi" w:cstheme="majorBidi"/>
                <w:lang w:eastAsia="en-AU"/>
              </w:rPr>
              <w:t>7.</w:t>
            </w:r>
            <w:r w:rsidR="7F867768" w:rsidRPr="035CCB87">
              <w:rPr>
                <w:rFonts w:asciiTheme="majorHAnsi" w:hAnsiTheme="majorHAnsi" w:cstheme="majorBidi"/>
                <w:lang w:eastAsia="en-AU"/>
              </w:rPr>
              <w:t>2</w:t>
            </w:r>
          </w:p>
        </w:tc>
      </w:tr>
      <w:tr w:rsidR="00340241" w:rsidRPr="00C4769A" w14:paraId="26E196F2" w14:textId="77777777" w:rsidTr="6288A955">
        <w:trPr>
          <w:trHeight w:val="397"/>
        </w:trPr>
        <w:tc>
          <w:tcPr>
            <w:tcW w:w="1295" w:type="pct"/>
            <w:shd w:val="clear" w:color="auto" w:fill="F2F2F2" w:themeFill="background2" w:themeFillShade="F2"/>
            <w:vAlign w:val="center"/>
            <w:hideMark/>
          </w:tcPr>
          <w:p w14:paraId="66FC4EF8" w14:textId="4E79AD59" w:rsidR="001665F1" w:rsidRPr="005F5838" w:rsidRDefault="008914AA" w:rsidP="00C4769A">
            <w:pPr>
              <w:pStyle w:val="TableBody"/>
              <w:rPr>
                <w:rFonts w:asciiTheme="majorHAnsi" w:hAnsiTheme="majorHAnsi" w:cstheme="majorHAnsi"/>
              </w:rPr>
            </w:pPr>
            <w:r>
              <w:rPr>
                <w:rFonts w:asciiTheme="majorHAnsi" w:hAnsiTheme="majorHAnsi" w:cstheme="majorHAnsi"/>
              </w:rPr>
              <w:t xml:space="preserve">General </w:t>
            </w:r>
            <w:r w:rsidR="00863BD6">
              <w:rPr>
                <w:rFonts w:asciiTheme="majorHAnsi" w:hAnsiTheme="majorHAnsi" w:cstheme="majorHAnsi"/>
              </w:rPr>
              <w:t>r</w:t>
            </w:r>
            <w:r>
              <w:rPr>
                <w:rFonts w:asciiTheme="majorHAnsi" w:hAnsiTheme="majorHAnsi" w:cstheme="majorHAnsi"/>
              </w:rPr>
              <w:t>ules</w:t>
            </w:r>
          </w:p>
        </w:tc>
        <w:tc>
          <w:tcPr>
            <w:tcW w:w="984" w:type="pct"/>
            <w:shd w:val="clear" w:color="auto" w:fill="auto"/>
            <w:vAlign w:val="center"/>
            <w:hideMark/>
          </w:tcPr>
          <w:p w14:paraId="786E5D60" w14:textId="5B40B6EF" w:rsidR="001665F1" w:rsidRPr="00C4769A" w:rsidRDefault="36F143BA" w:rsidP="002C0973">
            <w:pPr>
              <w:pStyle w:val="TableBody"/>
              <w:rPr>
                <w:rFonts w:asciiTheme="majorHAnsi" w:hAnsiTheme="majorHAnsi" w:cstheme="majorBidi"/>
                <w:lang w:eastAsia="en-AU"/>
              </w:rPr>
            </w:pPr>
            <w:r w:rsidRPr="6174CD99">
              <w:rPr>
                <w:rFonts w:asciiTheme="majorHAnsi" w:hAnsiTheme="majorHAnsi" w:cstheme="majorBidi"/>
              </w:rPr>
              <w:t>10</w:t>
            </w:r>
            <w:r w:rsidR="10485EBA" w:rsidRPr="6288A955">
              <w:rPr>
                <w:rFonts w:asciiTheme="majorHAnsi" w:hAnsiTheme="majorHAnsi" w:cstheme="majorBidi"/>
              </w:rPr>
              <w:t xml:space="preserve">.9 to </w:t>
            </w:r>
            <w:r w:rsidRPr="6A190FF5">
              <w:rPr>
                <w:rFonts w:asciiTheme="majorHAnsi" w:hAnsiTheme="majorHAnsi" w:cstheme="majorBidi"/>
              </w:rPr>
              <w:t>13.9</w:t>
            </w:r>
          </w:p>
        </w:tc>
        <w:tc>
          <w:tcPr>
            <w:tcW w:w="948" w:type="pct"/>
            <w:shd w:val="clear" w:color="auto" w:fill="auto"/>
            <w:vAlign w:val="center"/>
            <w:hideMark/>
          </w:tcPr>
          <w:p w14:paraId="3D01318C" w14:textId="5CB6C36B" w:rsidR="001665F1" w:rsidRPr="00C4769A" w:rsidRDefault="787B3A8D" w:rsidP="002C0973">
            <w:pPr>
              <w:pStyle w:val="TableBody"/>
              <w:rPr>
                <w:rFonts w:asciiTheme="majorHAnsi" w:hAnsiTheme="majorHAnsi" w:cstheme="majorBidi"/>
                <w:lang w:eastAsia="en-AU"/>
              </w:rPr>
            </w:pPr>
            <w:r w:rsidRPr="1C21B981">
              <w:rPr>
                <w:rFonts w:asciiTheme="majorHAnsi" w:hAnsiTheme="majorHAnsi" w:cstheme="majorBidi"/>
              </w:rPr>
              <w:t>2.6 to 4.8</w:t>
            </w:r>
          </w:p>
        </w:tc>
        <w:tc>
          <w:tcPr>
            <w:tcW w:w="1034" w:type="pct"/>
            <w:shd w:val="clear" w:color="auto" w:fill="auto"/>
            <w:vAlign w:val="center"/>
            <w:hideMark/>
          </w:tcPr>
          <w:p w14:paraId="71D6A37E" w14:textId="6A73BC7B" w:rsidR="001665F1" w:rsidRPr="00C4769A" w:rsidRDefault="6BD1B061" w:rsidP="002C0973">
            <w:pPr>
              <w:pStyle w:val="TableBody"/>
              <w:rPr>
                <w:rFonts w:asciiTheme="majorHAnsi" w:hAnsiTheme="majorHAnsi" w:cstheme="majorBidi"/>
                <w:lang w:eastAsia="en-AU"/>
              </w:rPr>
            </w:pPr>
            <w:r w:rsidRPr="10DB0ACB">
              <w:rPr>
                <w:rFonts w:asciiTheme="majorHAnsi" w:hAnsiTheme="majorHAnsi" w:cstheme="majorBidi"/>
              </w:rPr>
              <w:t>34.0 to 56.8</w:t>
            </w:r>
          </w:p>
        </w:tc>
        <w:tc>
          <w:tcPr>
            <w:tcW w:w="739" w:type="pct"/>
            <w:shd w:val="clear" w:color="auto" w:fill="auto"/>
            <w:vAlign w:val="center"/>
          </w:tcPr>
          <w:p w14:paraId="524B1E98" w14:textId="7512A800" w:rsidR="001665F1" w:rsidRPr="00C4769A" w:rsidRDefault="001665F1" w:rsidP="002C0973">
            <w:pPr>
              <w:pStyle w:val="TableBody"/>
              <w:rPr>
                <w:rFonts w:asciiTheme="majorHAnsi" w:hAnsiTheme="majorHAnsi" w:cstheme="majorBidi"/>
                <w:lang w:eastAsia="en-AU"/>
              </w:rPr>
            </w:pPr>
            <w:r w:rsidRPr="15F372DD">
              <w:rPr>
                <w:rFonts w:asciiTheme="majorHAnsi" w:hAnsiTheme="majorHAnsi" w:cstheme="majorBidi"/>
              </w:rPr>
              <w:t>2.</w:t>
            </w:r>
            <w:r w:rsidR="2AE99BF1" w:rsidRPr="15F372DD">
              <w:rPr>
                <w:rFonts w:asciiTheme="majorHAnsi" w:hAnsiTheme="majorHAnsi" w:cstheme="majorBidi"/>
              </w:rPr>
              <w:t>9</w:t>
            </w:r>
          </w:p>
        </w:tc>
      </w:tr>
      <w:tr w:rsidR="00340241" w:rsidRPr="00C4769A" w14:paraId="3F1E5B79" w14:textId="77777777" w:rsidTr="6288A955">
        <w:trPr>
          <w:trHeight w:val="397"/>
        </w:trPr>
        <w:tc>
          <w:tcPr>
            <w:tcW w:w="5000" w:type="pct"/>
            <w:gridSpan w:val="5"/>
            <w:shd w:val="clear" w:color="auto" w:fill="F2F2F2" w:themeFill="background2" w:themeFillShade="F2"/>
            <w:vAlign w:val="center"/>
          </w:tcPr>
          <w:p w14:paraId="376880B4" w14:textId="77777777" w:rsidR="0054629C" w:rsidRPr="005F5838" w:rsidRDefault="00A41B58" w:rsidP="00C4769A">
            <w:pPr>
              <w:pStyle w:val="TableBody"/>
              <w:rPr>
                <w:rFonts w:asciiTheme="majorHAnsi" w:hAnsiTheme="majorHAnsi" w:cstheme="majorHAnsi"/>
              </w:rPr>
            </w:pPr>
            <w:r w:rsidRPr="005F5838">
              <w:rPr>
                <w:rFonts w:asciiTheme="majorHAnsi" w:hAnsiTheme="majorHAnsi" w:cstheme="majorHAnsi"/>
              </w:rPr>
              <w:t>RMP rules</w:t>
            </w:r>
          </w:p>
        </w:tc>
      </w:tr>
      <w:tr w:rsidR="00340241" w:rsidRPr="00C4769A" w14:paraId="1DFAAA00" w14:textId="77777777" w:rsidTr="6288A955">
        <w:trPr>
          <w:trHeight w:val="397"/>
        </w:trPr>
        <w:tc>
          <w:tcPr>
            <w:tcW w:w="1295" w:type="pct"/>
            <w:shd w:val="clear" w:color="auto" w:fill="F2F2F2" w:themeFill="background2" w:themeFillShade="F2"/>
            <w:vAlign w:val="center"/>
            <w:hideMark/>
          </w:tcPr>
          <w:p w14:paraId="0AA801E2" w14:textId="77777777" w:rsidR="00FC6F3E" w:rsidRPr="005F5838" w:rsidRDefault="00FC6F3E" w:rsidP="00C4769A">
            <w:pPr>
              <w:pStyle w:val="TableBody"/>
              <w:rPr>
                <w:rFonts w:asciiTheme="majorHAnsi" w:hAnsiTheme="majorHAnsi" w:cstheme="majorHAnsi"/>
              </w:rPr>
            </w:pPr>
            <w:r w:rsidRPr="005F5838">
              <w:rPr>
                <w:rFonts w:asciiTheme="majorHAnsi" w:hAnsiTheme="majorHAnsi" w:cstheme="majorHAnsi"/>
              </w:rPr>
              <w:t xml:space="preserve">Cyber </w:t>
            </w:r>
            <w:r w:rsidR="00933E56" w:rsidRPr="005F5838">
              <w:rPr>
                <w:rFonts w:asciiTheme="majorHAnsi" w:hAnsiTheme="majorHAnsi" w:cstheme="majorHAnsi"/>
              </w:rPr>
              <w:t xml:space="preserve">and information </w:t>
            </w:r>
            <w:r w:rsidRPr="005F5838">
              <w:rPr>
                <w:rFonts w:asciiTheme="majorHAnsi" w:hAnsiTheme="majorHAnsi" w:cstheme="majorHAnsi"/>
              </w:rPr>
              <w:t xml:space="preserve">security hazard </w:t>
            </w:r>
          </w:p>
        </w:tc>
        <w:tc>
          <w:tcPr>
            <w:tcW w:w="984" w:type="pct"/>
            <w:shd w:val="clear" w:color="auto" w:fill="auto"/>
            <w:vAlign w:val="center"/>
            <w:hideMark/>
          </w:tcPr>
          <w:p w14:paraId="6A5CF52B" w14:textId="67C408BA" w:rsidR="00FC6F3E" w:rsidRPr="00C4769A" w:rsidRDefault="3506018A" w:rsidP="002C0973">
            <w:pPr>
              <w:pStyle w:val="TableBody"/>
              <w:rPr>
                <w:rFonts w:asciiTheme="majorHAnsi" w:hAnsiTheme="majorHAnsi" w:cstheme="majorBidi"/>
                <w:lang w:eastAsia="en-AU"/>
              </w:rPr>
            </w:pPr>
            <w:r w:rsidRPr="6A190FF5">
              <w:rPr>
                <w:rFonts w:asciiTheme="majorHAnsi" w:hAnsiTheme="majorHAnsi" w:cstheme="majorBidi"/>
              </w:rPr>
              <w:t>91.0 to 177.</w:t>
            </w:r>
            <w:r w:rsidR="00FC6F3E" w:rsidRPr="6A190FF5">
              <w:rPr>
                <w:rFonts w:asciiTheme="majorHAnsi" w:hAnsiTheme="majorHAnsi" w:cstheme="majorBidi"/>
              </w:rPr>
              <w:t>3</w:t>
            </w:r>
          </w:p>
        </w:tc>
        <w:tc>
          <w:tcPr>
            <w:tcW w:w="948" w:type="pct"/>
            <w:shd w:val="clear" w:color="auto" w:fill="auto"/>
            <w:vAlign w:val="center"/>
            <w:hideMark/>
          </w:tcPr>
          <w:p w14:paraId="0B366A0F" w14:textId="668FA3CE" w:rsidR="00FC6F3E" w:rsidRPr="00C4769A" w:rsidRDefault="4DCA6AB5" w:rsidP="002C0973">
            <w:pPr>
              <w:pStyle w:val="TableBody"/>
              <w:rPr>
                <w:rFonts w:asciiTheme="majorHAnsi" w:hAnsiTheme="majorHAnsi" w:cstheme="majorBidi"/>
                <w:lang w:eastAsia="en-AU"/>
              </w:rPr>
            </w:pPr>
            <w:r w:rsidRPr="1C21B981">
              <w:rPr>
                <w:rFonts w:asciiTheme="majorHAnsi" w:hAnsiTheme="majorHAnsi" w:cstheme="majorBidi"/>
              </w:rPr>
              <w:t>28.7 to 54.3</w:t>
            </w:r>
          </w:p>
        </w:tc>
        <w:tc>
          <w:tcPr>
            <w:tcW w:w="1034" w:type="pct"/>
            <w:shd w:val="clear" w:color="auto" w:fill="auto"/>
            <w:vAlign w:val="center"/>
            <w:hideMark/>
          </w:tcPr>
          <w:p w14:paraId="418F8975" w14:textId="29E909D1" w:rsidR="00FC6F3E" w:rsidRPr="00C4769A" w:rsidRDefault="6A4C255D" w:rsidP="002C0973">
            <w:pPr>
              <w:pStyle w:val="TableBody"/>
              <w:rPr>
                <w:rFonts w:asciiTheme="majorHAnsi" w:hAnsiTheme="majorHAnsi" w:cstheme="majorBidi"/>
              </w:rPr>
            </w:pPr>
            <w:r w:rsidRPr="1DCCC0E8">
              <w:rPr>
                <w:rFonts w:asciiTheme="majorHAnsi" w:hAnsiTheme="majorHAnsi" w:cstheme="majorBidi"/>
              </w:rPr>
              <w:t>3</w:t>
            </w:r>
            <w:r w:rsidR="001D5F7B">
              <w:rPr>
                <w:rFonts w:asciiTheme="majorHAnsi" w:hAnsiTheme="majorHAnsi" w:cstheme="majorBidi"/>
              </w:rPr>
              <w:t>35.2</w:t>
            </w:r>
            <w:r w:rsidRPr="10DB0ACB">
              <w:rPr>
                <w:rFonts w:asciiTheme="majorHAnsi" w:hAnsiTheme="majorHAnsi" w:cstheme="majorBidi"/>
              </w:rPr>
              <w:t xml:space="preserve"> to </w:t>
            </w:r>
            <w:r w:rsidR="002E701D">
              <w:rPr>
                <w:rFonts w:asciiTheme="majorHAnsi" w:hAnsiTheme="majorHAnsi" w:cstheme="majorBidi"/>
              </w:rPr>
              <w:t>617.4</w:t>
            </w:r>
          </w:p>
        </w:tc>
        <w:tc>
          <w:tcPr>
            <w:tcW w:w="739" w:type="pct"/>
            <w:shd w:val="clear" w:color="auto" w:fill="auto"/>
            <w:vAlign w:val="center"/>
          </w:tcPr>
          <w:p w14:paraId="3A991656" w14:textId="6C2A7123" w:rsidR="00FC6F3E" w:rsidRPr="00C4769A" w:rsidRDefault="00FC6F3E" w:rsidP="002C0973">
            <w:pPr>
              <w:pStyle w:val="TableBody"/>
              <w:rPr>
                <w:rFonts w:asciiTheme="majorHAnsi" w:hAnsiTheme="majorHAnsi" w:cstheme="majorBidi"/>
                <w:lang w:eastAsia="en-AU"/>
              </w:rPr>
            </w:pPr>
            <w:r w:rsidRPr="15F372DD">
              <w:rPr>
                <w:rFonts w:asciiTheme="majorHAnsi" w:hAnsiTheme="majorHAnsi" w:cstheme="majorBidi"/>
              </w:rPr>
              <w:t>29.</w:t>
            </w:r>
            <w:r w:rsidR="73A066AF" w:rsidRPr="15F372DD">
              <w:rPr>
                <w:rFonts w:asciiTheme="majorHAnsi" w:hAnsiTheme="majorHAnsi" w:cstheme="majorBidi"/>
              </w:rPr>
              <w:t>1</w:t>
            </w:r>
          </w:p>
        </w:tc>
      </w:tr>
      <w:tr w:rsidR="00340241" w:rsidRPr="00C4769A" w14:paraId="20BE3A3B" w14:textId="77777777" w:rsidTr="6288A955">
        <w:trPr>
          <w:trHeight w:val="397"/>
        </w:trPr>
        <w:tc>
          <w:tcPr>
            <w:tcW w:w="1295" w:type="pct"/>
            <w:shd w:val="clear" w:color="auto" w:fill="F2F2F2" w:themeFill="background2" w:themeFillShade="F2"/>
            <w:vAlign w:val="center"/>
            <w:hideMark/>
          </w:tcPr>
          <w:p w14:paraId="345883CA" w14:textId="77777777" w:rsidR="00FC6F3E" w:rsidRPr="005F5838" w:rsidRDefault="00FC6F3E" w:rsidP="00C4769A">
            <w:pPr>
              <w:pStyle w:val="TableBody"/>
              <w:rPr>
                <w:rFonts w:asciiTheme="majorHAnsi" w:hAnsiTheme="majorHAnsi" w:cstheme="majorHAnsi"/>
              </w:rPr>
            </w:pPr>
            <w:r w:rsidRPr="005F5838">
              <w:rPr>
                <w:rFonts w:asciiTheme="majorHAnsi" w:hAnsiTheme="majorHAnsi" w:cstheme="majorHAnsi"/>
              </w:rPr>
              <w:t>Personnel hazard</w:t>
            </w:r>
          </w:p>
        </w:tc>
        <w:tc>
          <w:tcPr>
            <w:tcW w:w="984" w:type="pct"/>
            <w:shd w:val="clear" w:color="auto" w:fill="auto"/>
            <w:vAlign w:val="center"/>
            <w:hideMark/>
          </w:tcPr>
          <w:p w14:paraId="42C4A24B" w14:textId="3603DC4B" w:rsidR="00FC6F3E" w:rsidRPr="00C4769A" w:rsidRDefault="00895614" w:rsidP="002C0973">
            <w:pPr>
              <w:pStyle w:val="TableBody"/>
              <w:rPr>
                <w:rFonts w:asciiTheme="majorHAnsi" w:hAnsiTheme="majorHAnsi" w:cstheme="majorBidi"/>
                <w:lang w:eastAsia="en-AU"/>
              </w:rPr>
            </w:pPr>
            <w:r>
              <w:rPr>
                <w:rFonts w:asciiTheme="majorHAnsi" w:hAnsiTheme="majorHAnsi" w:cstheme="majorBidi"/>
              </w:rPr>
              <w:t>18.1</w:t>
            </w:r>
            <w:r w:rsidR="159DD99B" w:rsidRPr="6A190FF5">
              <w:rPr>
                <w:rFonts w:asciiTheme="majorHAnsi" w:hAnsiTheme="majorHAnsi" w:cstheme="majorBidi"/>
              </w:rPr>
              <w:t xml:space="preserve"> to </w:t>
            </w:r>
            <w:r>
              <w:rPr>
                <w:rFonts w:asciiTheme="majorHAnsi" w:hAnsiTheme="majorHAnsi" w:cstheme="majorBidi"/>
              </w:rPr>
              <w:t>26.0</w:t>
            </w:r>
          </w:p>
        </w:tc>
        <w:tc>
          <w:tcPr>
            <w:tcW w:w="948" w:type="pct"/>
            <w:shd w:val="clear" w:color="auto" w:fill="auto"/>
            <w:vAlign w:val="center"/>
            <w:hideMark/>
          </w:tcPr>
          <w:p w14:paraId="0C92DCC8" w14:textId="4D270050" w:rsidR="00FC6F3E" w:rsidRPr="00C4769A" w:rsidRDefault="5D3AAC34" w:rsidP="002C0973">
            <w:pPr>
              <w:pStyle w:val="TableBody"/>
              <w:rPr>
                <w:rFonts w:asciiTheme="majorHAnsi" w:hAnsiTheme="majorHAnsi" w:cstheme="majorBidi"/>
                <w:lang w:eastAsia="en-AU"/>
              </w:rPr>
            </w:pPr>
            <w:r w:rsidRPr="65F695E5">
              <w:rPr>
                <w:rFonts w:asciiTheme="majorHAnsi" w:hAnsiTheme="majorHAnsi" w:cstheme="majorBidi"/>
              </w:rPr>
              <w:t>12.2 to 32.3</w:t>
            </w:r>
          </w:p>
        </w:tc>
        <w:tc>
          <w:tcPr>
            <w:tcW w:w="1034" w:type="pct"/>
            <w:shd w:val="clear" w:color="auto" w:fill="auto"/>
            <w:vAlign w:val="center"/>
            <w:hideMark/>
          </w:tcPr>
          <w:p w14:paraId="792CADB5" w14:textId="6C43D972" w:rsidR="00FC6F3E" w:rsidRPr="00C4769A" w:rsidRDefault="0231F84A" w:rsidP="002C0973">
            <w:pPr>
              <w:pStyle w:val="TableBody"/>
              <w:rPr>
                <w:rFonts w:asciiTheme="majorHAnsi" w:hAnsiTheme="majorHAnsi" w:cstheme="majorBidi"/>
                <w:lang w:eastAsia="en-AU"/>
              </w:rPr>
            </w:pPr>
            <w:r w:rsidRPr="10DB0ACB">
              <w:rPr>
                <w:rFonts w:asciiTheme="majorHAnsi" w:hAnsiTheme="majorHAnsi" w:cstheme="majorBidi"/>
              </w:rPr>
              <w:t>135.5 to 309.1</w:t>
            </w:r>
          </w:p>
        </w:tc>
        <w:tc>
          <w:tcPr>
            <w:tcW w:w="739" w:type="pct"/>
            <w:shd w:val="clear" w:color="auto" w:fill="auto"/>
            <w:vAlign w:val="center"/>
          </w:tcPr>
          <w:p w14:paraId="4210FCC7" w14:textId="01F9E932" w:rsidR="00FC6F3E" w:rsidRPr="00C4769A" w:rsidRDefault="00FC6F3E" w:rsidP="002C0973">
            <w:pPr>
              <w:pStyle w:val="TableBody"/>
              <w:rPr>
                <w:rFonts w:asciiTheme="majorHAnsi" w:hAnsiTheme="majorHAnsi" w:cstheme="majorBidi"/>
                <w:lang w:eastAsia="en-AU"/>
              </w:rPr>
            </w:pPr>
            <w:r w:rsidRPr="15F372DD">
              <w:rPr>
                <w:rFonts w:asciiTheme="majorHAnsi" w:hAnsiTheme="majorHAnsi" w:cstheme="majorBidi"/>
              </w:rPr>
              <w:t>11.</w:t>
            </w:r>
            <w:r w:rsidR="5994E6AC" w:rsidRPr="15F372DD">
              <w:rPr>
                <w:rFonts w:asciiTheme="majorHAnsi" w:hAnsiTheme="majorHAnsi" w:cstheme="majorBidi"/>
              </w:rPr>
              <w:t>7</w:t>
            </w:r>
          </w:p>
        </w:tc>
      </w:tr>
      <w:tr w:rsidR="00340241" w:rsidRPr="00C4769A" w14:paraId="23F127E5" w14:textId="77777777" w:rsidTr="6288A955">
        <w:trPr>
          <w:trHeight w:val="397"/>
        </w:trPr>
        <w:tc>
          <w:tcPr>
            <w:tcW w:w="1295" w:type="pct"/>
            <w:shd w:val="clear" w:color="auto" w:fill="F2F2F2" w:themeFill="background2" w:themeFillShade="F2"/>
            <w:vAlign w:val="center"/>
            <w:hideMark/>
          </w:tcPr>
          <w:p w14:paraId="3CCCBE67" w14:textId="77777777" w:rsidR="00FC6F3E" w:rsidRPr="005F5838" w:rsidRDefault="00FC6F3E" w:rsidP="00C4769A">
            <w:pPr>
              <w:pStyle w:val="TableBody"/>
              <w:rPr>
                <w:rFonts w:asciiTheme="majorHAnsi" w:hAnsiTheme="majorHAnsi" w:cstheme="majorHAnsi"/>
              </w:rPr>
            </w:pPr>
            <w:r w:rsidRPr="005F5838">
              <w:rPr>
                <w:rFonts w:asciiTheme="majorHAnsi" w:hAnsiTheme="majorHAnsi" w:cstheme="majorHAnsi"/>
              </w:rPr>
              <w:t xml:space="preserve">Supply chain hazard </w:t>
            </w:r>
          </w:p>
        </w:tc>
        <w:tc>
          <w:tcPr>
            <w:tcW w:w="984" w:type="pct"/>
            <w:shd w:val="clear" w:color="auto" w:fill="auto"/>
            <w:vAlign w:val="center"/>
            <w:hideMark/>
          </w:tcPr>
          <w:p w14:paraId="15B14E83" w14:textId="6B73E386" w:rsidR="00FC6F3E" w:rsidRPr="00C4769A" w:rsidRDefault="554CD8AF" w:rsidP="002C0973">
            <w:pPr>
              <w:pStyle w:val="TableBody"/>
              <w:rPr>
                <w:rFonts w:asciiTheme="majorHAnsi" w:hAnsiTheme="majorHAnsi" w:cstheme="majorBidi"/>
                <w:lang w:eastAsia="en-AU"/>
              </w:rPr>
            </w:pPr>
            <w:r w:rsidRPr="6A190FF5">
              <w:rPr>
                <w:rFonts w:asciiTheme="majorHAnsi" w:hAnsiTheme="majorHAnsi" w:cstheme="majorBidi"/>
              </w:rPr>
              <w:t>56.4 to 480.3</w:t>
            </w:r>
          </w:p>
        </w:tc>
        <w:tc>
          <w:tcPr>
            <w:tcW w:w="948" w:type="pct"/>
            <w:shd w:val="clear" w:color="auto" w:fill="auto"/>
            <w:vAlign w:val="center"/>
            <w:hideMark/>
          </w:tcPr>
          <w:p w14:paraId="4E1DA9F1" w14:textId="57EC8D02" w:rsidR="00FC6F3E" w:rsidRPr="00C4769A" w:rsidRDefault="09C315B0" w:rsidP="002C0973">
            <w:pPr>
              <w:pStyle w:val="TableBody"/>
              <w:rPr>
                <w:rFonts w:asciiTheme="majorHAnsi" w:hAnsiTheme="majorHAnsi" w:cstheme="majorBidi"/>
                <w:lang w:eastAsia="en-AU"/>
              </w:rPr>
            </w:pPr>
            <w:r w:rsidRPr="65F695E5">
              <w:rPr>
                <w:rFonts w:asciiTheme="majorHAnsi" w:hAnsiTheme="majorHAnsi" w:cstheme="majorBidi"/>
              </w:rPr>
              <w:t>16.3 to 35.1</w:t>
            </w:r>
          </w:p>
        </w:tc>
        <w:tc>
          <w:tcPr>
            <w:tcW w:w="1034" w:type="pct"/>
            <w:shd w:val="clear" w:color="auto" w:fill="auto"/>
            <w:vAlign w:val="center"/>
            <w:hideMark/>
          </w:tcPr>
          <w:p w14:paraId="630D5EC9" w14:textId="28EA63EA" w:rsidR="00FC6F3E" w:rsidRPr="00C4769A" w:rsidRDefault="317D94B0" w:rsidP="002C0973">
            <w:pPr>
              <w:pStyle w:val="TableBody"/>
              <w:rPr>
                <w:rFonts w:asciiTheme="majorHAnsi" w:hAnsiTheme="majorHAnsi" w:cstheme="majorBidi"/>
                <w:lang w:eastAsia="en-AU"/>
              </w:rPr>
            </w:pPr>
            <w:r w:rsidRPr="049DA4C5">
              <w:rPr>
                <w:rFonts w:asciiTheme="majorHAnsi" w:hAnsiTheme="majorHAnsi" w:cstheme="majorBidi"/>
              </w:rPr>
              <w:t>203.</w:t>
            </w:r>
            <w:r w:rsidR="00D60A60">
              <w:rPr>
                <w:rFonts w:asciiTheme="majorHAnsi" w:hAnsiTheme="majorHAnsi" w:cstheme="majorBidi"/>
              </w:rPr>
              <w:t>5</w:t>
            </w:r>
            <w:r w:rsidRPr="049DA4C5">
              <w:rPr>
                <w:rFonts w:asciiTheme="majorHAnsi" w:hAnsiTheme="majorHAnsi" w:cstheme="majorBidi"/>
              </w:rPr>
              <w:t xml:space="preserve"> to 795.9</w:t>
            </w:r>
          </w:p>
        </w:tc>
        <w:tc>
          <w:tcPr>
            <w:tcW w:w="739" w:type="pct"/>
            <w:shd w:val="clear" w:color="auto" w:fill="auto"/>
            <w:vAlign w:val="center"/>
          </w:tcPr>
          <w:p w14:paraId="12FA35DD" w14:textId="77777777" w:rsidR="00FC6F3E" w:rsidRPr="00C4769A" w:rsidRDefault="00FC6F3E" w:rsidP="002C0973">
            <w:pPr>
              <w:pStyle w:val="TableBody"/>
              <w:rPr>
                <w:rFonts w:asciiTheme="majorHAnsi" w:hAnsiTheme="majorHAnsi" w:cstheme="majorHAnsi"/>
                <w:lang w:eastAsia="en-AU"/>
              </w:rPr>
            </w:pPr>
            <w:r w:rsidRPr="00C4769A">
              <w:rPr>
                <w:rFonts w:asciiTheme="majorHAnsi" w:hAnsiTheme="majorHAnsi" w:cstheme="majorHAnsi"/>
              </w:rPr>
              <w:t>17.6</w:t>
            </w:r>
          </w:p>
        </w:tc>
      </w:tr>
      <w:tr w:rsidR="00340241" w:rsidRPr="00C4769A" w14:paraId="4913490C" w14:textId="77777777" w:rsidTr="6288A955">
        <w:trPr>
          <w:trHeight w:val="397"/>
        </w:trPr>
        <w:tc>
          <w:tcPr>
            <w:tcW w:w="1295" w:type="pct"/>
            <w:shd w:val="clear" w:color="auto" w:fill="F2F2F2" w:themeFill="background2" w:themeFillShade="F2"/>
            <w:vAlign w:val="center"/>
            <w:hideMark/>
          </w:tcPr>
          <w:p w14:paraId="7594300A" w14:textId="77777777" w:rsidR="00FC6F3E" w:rsidRPr="005F5838" w:rsidRDefault="00FC6F3E" w:rsidP="00C4769A">
            <w:pPr>
              <w:pStyle w:val="TableBody"/>
              <w:rPr>
                <w:rFonts w:asciiTheme="majorHAnsi" w:hAnsiTheme="majorHAnsi" w:cstheme="majorHAnsi"/>
              </w:rPr>
            </w:pPr>
            <w:r w:rsidRPr="005F5838">
              <w:rPr>
                <w:rFonts w:asciiTheme="majorHAnsi" w:hAnsiTheme="majorHAnsi" w:cstheme="majorHAnsi"/>
              </w:rPr>
              <w:t>Physical hazard</w:t>
            </w:r>
          </w:p>
        </w:tc>
        <w:tc>
          <w:tcPr>
            <w:tcW w:w="984" w:type="pct"/>
            <w:shd w:val="clear" w:color="auto" w:fill="auto"/>
            <w:vAlign w:val="center"/>
            <w:hideMark/>
          </w:tcPr>
          <w:p w14:paraId="5103E425" w14:textId="4307C7D9" w:rsidR="00FC6F3E" w:rsidRPr="00C4769A" w:rsidRDefault="1A425EDA" w:rsidP="002C0973">
            <w:pPr>
              <w:pStyle w:val="TableBody"/>
              <w:rPr>
                <w:rFonts w:asciiTheme="majorHAnsi" w:hAnsiTheme="majorHAnsi" w:cstheme="majorHAnsi"/>
                <w:lang w:eastAsia="en-AU"/>
              </w:rPr>
            </w:pPr>
            <w:r w:rsidRPr="6A190FF5">
              <w:rPr>
                <w:rFonts w:asciiTheme="majorHAnsi" w:hAnsiTheme="majorHAnsi" w:cstheme="majorBidi"/>
              </w:rPr>
              <w:t>92.7 to 177.3</w:t>
            </w:r>
          </w:p>
        </w:tc>
        <w:tc>
          <w:tcPr>
            <w:tcW w:w="948" w:type="pct"/>
            <w:shd w:val="clear" w:color="auto" w:fill="auto"/>
            <w:vAlign w:val="center"/>
            <w:hideMark/>
          </w:tcPr>
          <w:p w14:paraId="1D544AAB" w14:textId="1C8AA062" w:rsidR="00FC6F3E" w:rsidRPr="00C4769A" w:rsidRDefault="10BC12A8" w:rsidP="002C0973">
            <w:pPr>
              <w:pStyle w:val="TableBody"/>
              <w:rPr>
                <w:rFonts w:asciiTheme="majorHAnsi" w:hAnsiTheme="majorHAnsi" w:cstheme="majorBidi"/>
                <w:lang w:eastAsia="en-AU"/>
              </w:rPr>
            </w:pPr>
            <w:r w:rsidRPr="65F695E5">
              <w:rPr>
                <w:rFonts w:asciiTheme="majorHAnsi" w:hAnsiTheme="majorHAnsi" w:cstheme="majorBidi"/>
              </w:rPr>
              <w:t>15.0 to 45.4</w:t>
            </w:r>
          </w:p>
        </w:tc>
        <w:tc>
          <w:tcPr>
            <w:tcW w:w="1034" w:type="pct"/>
            <w:shd w:val="clear" w:color="auto" w:fill="auto"/>
            <w:vAlign w:val="center"/>
            <w:hideMark/>
          </w:tcPr>
          <w:p w14:paraId="45C132D3" w14:textId="0D378D32" w:rsidR="00FC6F3E" w:rsidRPr="00C4769A" w:rsidRDefault="1788AB6A" w:rsidP="002C0973">
            <w:pPr>
              <w:pStyle w:val="TableBody"/>
              <w:rPr>
                <w:rFonts w:asciiTheme="majorHAnsi" w:hAnsiTheme="majorHAnsi" w:cstheme="majorBidi"/>
                <w:lang w:eastAsia="en-AU"/>
              </w:rPr>
            </w:pPr>
            <w:r w:rsidRPr="049DA4C5">
              <w:rPr>
                <w:rFonts w:asciiTheme="majorHAnsi" w:hAnsiTheme="majorHAnsi" w:cstheme="majorBidi"/>
              </w:rPr>
              <w:t xml:space="preserve">227.8 to </w:t>
            </w:r>
            <w:r w:rsidRPr="15F372DD">
              <w:rPr>
                <w:rFonts w:asciiTheme="majorHAnsi" w:hAnsiTheme="majorHAnsi" w:cstheme="majorBidi"/>
              </w:rPr>
              <w:t>586.0</w:t>
            </w:r>
          </w:p>
        </w:tc>
        <w:tc>
          <w:tcPr>
            <w:tcW w:w="739" w:type="pct"/>
            <w:shd w:val="clear" w:color="auto" w:fill="auto"/>
            <w:vAlign w:val="center"/>
          </w:tcPr>
          <w:p w14:paraId="1FC7A50B" w14:textId="2730767B" w:rsidR="00FC6F3E" w:rsidRPr="00C4769A" w:rsidRDefault="00FC6F3E" w:rsidP="002C0973">
            <w:pPr>
              <w:pStyle w:val="TableBody"/>
              <w:rPr>
                <w:rFonts w:asciiTheme="majorHAnsi" w:hAnsiTheme="majorHAnsi" w:cstheme="majorBidi"/>
                <w:lang w:eastAsia="en-AU"/>
              </w:rPr>
            </w:pPr>
            <w:r w:rsidRPr="15F372DD">
              <w:rPr>
                <w:rFonts w:asciiTheme="majorHAnsi" w:hAnsiTheme="majorHAnsi" w:cstheme="majorBidi"/>
              </w:rPr>
              <w:t>19.</w:t>
            </w:r>
            <w:r w:rsidR="251FBF2E" w:rsidRPr="15F372DD">
              <w:rPr>
                <w:rFonts w:asciiTheme="majorHAnsi" w:hAnsiTheme="majorHAnsi" w:cstheme="majorBidi"/>
              </w:rPr>
              <w:t>8</w:t>
            </w:r>
          </w:p>
        </w:tc>
      </w:tr>
      <w:tr w:rsidR="00340241" w:rsidRPr="00C4769A" w14:paraId="758A5B33" w14:textId="77777777" w:rsidTr="6288A955">
        <w:trPr>
          <w:trHeight w:val="397"/>
        </w:trPr>
        <w:tc>
          <w:tcPr>
            <w:tcW w:w="1295" w:type="pct"/>
            <w:shd w:val="clear" w:color="auto" w:fill="F2F2F2" w:themeFill="background2" w:themeFillShade="F2"/>
            <w:vAlign w:val="center"/>
            <w:hideMark/>
          </w:tcPr>
          <w:p w14:paraId="03E63817" w14:textId="77777777" w:rsidR="00FC6F3E" w:rsidRPr="005F5838" w:rsidRDefault="00FC6F3E" w:rsidP="00C4769A">
            <w:pPr>
              <w:pStyle w:val="TableBody"/>
              <w:rPr>
                <w:rFonts w:asciiTheme="majorHAnsi" w:hAnsiTheme="majorHAnsi" w:cstheme="majorHAnsi"/>
              </w:rPr>
            </w:pPr>
            <w:r w:rsidRPr="005F5838">
              <w:rPr>
                <w:rFonts w:asciiTheme="majorHAnsi" w:hAnsiTheme="majorHAnsi" w:cstheme="majorHAnsi"/>
              </w:rPr>
              <w:t>Natural hazard</w:t>
            </w:r>
          </w:p>
        </w:tc>
        <w:tc>
          <w:tcPr>
            <w:tcW w:w="984" w:type="pct"/>
            <w:shd w:val="clear" w:color="auto" w:fill="auto"/>
            <w:vAlign w:val="center"/>
            <w:hideMark/>
          </w:tcPr>
          <w:p w14:paraId="32027EF5" w14:textId="093E12D2" w:rsidR="00FC6F3E" w:rsidRPr="00C4769A" w:rsidRDefault="3DAB3362" w:rsidP="002C0973">
            <w:pPr>
              <w:pStyle w:val="TableBody"/>
              <w:rPr>
                <w:rFonts w:asciiTheme="majorHAnsi" w:hAnsiTheme="majorHAnsi" w:cstheme="majorBidi"/>
                <w:lang w:eastAsia="en-AU"/>
              </w:rPr>
            </w:pPr>
            <w:r w:rsidRPr="6147D017">
              <w:rPr>
                <w:rFonts w:asciiTheme="majorHAnsi" w:hAnsiTheme="majorHAnsi" w:cstheme="majorBidi"/>
              </w:rPr>
              <w:t>10.3 to 19.0</w:t>
            </w:r>
          </w:p>
        </w:tc>
        <w:tc>
          <w:tcPr>
            <w:tcW w:w="948" w:type="pct"/>
            <w:shd w:val="clear" w:color="auto" w:fill="auto"/>
            <w:vAlign w:val="center"/>
            <w:hideMark/>
          </w:tcPr>
          <w:p w14:paraId="24CD441D" w14:textId="0BB4F0D8" w:rsidR="00FC6F3E" w:rsidRPr="00C4769A" w:rsidRDefault="2A1AD9D1" w:rsidP="002C0973">
            <w:pPr>
              <w:pStyle w:val="TableBody"/>
              <w:rPr>
                <w:rFonts w:asciiTheme="majorHAnsi" w:hAnsiTheme="majorHAnsi" w:cstheme="majorBidi"/>
                <w:lang w:eastAsia="en-AU"/>
              </w:rPr>
            </w:pPr>
            <w:r w:rsidRPr="65F695E5">
              <w:rPr>
                <w:rFonts w:asciiTheme="majorHAnsi" w:hAnsiTheme="majorHAnsi" w:cstheme="majorBidi"/>
              </w:rPr>
              <w:t>3.9 to 7.1</w:t>
            </w:r>
          </w:p>
        </w:tc>
        <w:tc>
          <w:tcPr>
            <w:tcW w:w="1034" w:type="pct"/>
            <w:shd w:val="clear" w:color="auto" w:fill="auto"/>
            <w:vAlign w:val="center"/>
            <w:hideMark/>
          </w:tcPr>
          <w:p w14:paraId="71BACE78" w14:textId="378846E4" w:rsidR="00FC6F3E" w:rsidRPr="00C4769A" w:rsidRDefault="6B336682" w:rsidP="002C0973">
            <w:pPr>
              <w:pStyle w:val="TableBody"/>
              <w:rPr>
                <w:rFonts w:asciiTheme="majorHAnsi" w:hAnsiTheme="majorHAnsi" w:cstheme="majorBidi"/>
                <w:lang w:eastAsia="en-AU"/>
              </w:rPr>
            </w:pPr>
            <w:r w:rsidRPr="15F372DD">
              <w:rPr>
                <w:rFonts w:asciiTheme="majorHAnsi" w:hAnsiTheme="majorHAnsi" w:cstheme="majorBidi"/>
              </w:rPr>
              <w:t>45.6 to 82.6</w:t>
            </w:r>
          </w:p>
        </w:tc>
        <w:tc>
          <w:tcPr>
            <w:tcW w:w="739" w:type="pct"/>
            <w:shd w:val="clear" w:color="auto" w:fill="auto"/>
            <w:vAlign w:val="center"/>
          </w:tcPr>
          <w:p w14:paraId="268FCBCE" w14:textId="77777777" w:rsidR="00FC6F3E" w:rsidRPr="00C4769A" w:rsidRDefault="00FC6F3E" w:rsidP="002C0973">
            <w:pPr>
              <w:pStyle w:val="TableBody"/>
              <w:rPr>
                <w:rFonts w:asciiTheme="majorHAnsi" w:hAnsiTheme="majorHAnsi" w:cstheme="majorHAnsi"/>
                <w:lang w:eastAsia="en-AU"/>
              </w:rPr>
            </w:pPr>
            <w:r w:rsidRPr="00C4769A">
              <w:rPr>
                <w:rFonts w:asciiTheme="majorHAnsi" w:hAnsiTheme="majorHAnsi" w:cstheme="majorHAnsi"/>
              </w:rPr>
              <w:t>4.0</w:t>
            </w:r>
          </w:p>
        </w:tc>
      </w:tr>
      <w:tr w:rsidR="00340241" w:rsidRPr="00C4769A" w14:paraId="0AEABC30" w14:textId="77777777" w:rsidTr="6288A955">
        <w:trPr>
          <w:trHeight w:val="397"/>
        </w:trPr>
        <w:tc>
          <w:tcPr>
            <w:tcW w:w="1295" w:type="pct"/>
            <w:shd w:val="clear" w:color="auto" w:fill="F2F2F2" w:themeFill="background2" w:themeFillShade="F2"/>
            <w:vAlign w:val="center"/>
            <w:hideMark/>
          </w:tcPr>
          <w:p w14:paraId="57D9AAAA" w14:textId="77777777" w:rsidR="00FC6F3E" w:rsidRPr="005F5838" w:rsidRDefault="00FC6F3E" w:rsidP="00C4769A">
            <w:pPr>
              <w:pStyle w:val="TableBody"/>
              <w:rPr>
                <w:rFonts w:asciiTheme="majorHAnsi" w:hAnsiTheme="majorHAnsi" w:cstheme="majorHAnsi"/>
              </w:rPr>
            </w:pPr>
            <w:r w:rsidRPr="005F5838">
              <w:rPr>
                <w:rFonts w:asciiTheme="majorHAnsi" w:hAnsiTheme="majorHAnsi" w:cstheme="majorHAnsi"/>
              </w:rPr>
              <w:t>Material risk</w:t>
            </w:r>
          </w:p>
        </w:tc>
        <w:tc>
          <w:tcPr>
            <w:tcW w:w="984" w:type="pct"/>
            <w:shd w:val="clear" w:color="auto" w:fill="auto"/>
            <w:vAlign w:val="center"/>
            <w:hideMark/>
          </w:tcPr>
          <w:p w14:paraId="54750E67" w14:textId="77777777" w:rsidR="00FC6F3E" w:rsidRPr="00C4769A" w:rsidRDefault="00FC6F3E" w:rsidP="002C0973">
            <w:pPr>
              <w:pStyle w:val="TableBody"/>
              <w:rPr>
                <w:rFonts w:asciiTheme="majorHAnsi" w:hAnsiTheme="majorHAnsi" w:cstheme="majorHAnsi"/>
                <w:lang w:eastAsia="en-AU"/>
              </w:rPr>
            </w:pPr>
            <w:r w:rsidRPr="00C4769A">
              <w:rPr>
                <w:rFonts w:asciiTheme="majorHAnsi" w:hAnsiTheme="majorHAnsi" w:cstheme="majorHAnsi"/>
              </w:rPr>
              <w:t>14.6 to 34.8</w:t>
            </w:r>
          </w:p>
        </w:tc>
        <w:tc>
          <w:tcPr>
            <w:tcW w:w="948" w:type="pct"/>
            <w:shd w:val="clear" w:color="auto" w:fill="auto"/>
            <w:vAlign w:val="center"/>
            <w:hideMark/>
          </w:tcPr>
          <w:p w14:paraId="29B66CAC" w14:textId="02146A0E" w:rsidR="00FC6F3E" w:rsidRPr="00C4769A" w:rsidRDefault="00FC6F3E" w:rsidP="002C0973">
            <w:pPr>
              <w:pStyle w:val="TableBody"/>
              <w:rPr>
                <w:rFonts w:asciiTheme="majorHAnsi" w:hAnsiTheme="majorHAnsi" w:cstheme="majorBidi"/>
                <w:lang w:eastAsia="en-AU"/>
              </w:rPr>
            </w:pPr>
            <w:r w:rsidRPr="65F695E5">
              <w:rPr>
                <w:rFonts w:asciiTheme="majorHAnsi" w:hAnsiTheme="majorHAnsi" w:cstheme="majorBidi"/>
              </w:rPr>
              <w:t xml:space="preserve">8.2 to </w:t>
            </w:r>
            <w:r w:rsidR="6851B89A" w:rsidRPr="65F695E5">
              <w:rPr>
                <w:rFonts w:asciiTheme="majorHAnsi" w:hAnsiTheme="majorHAnsi" w:cstheme="majorBidi"/>
              </w:rPr>
              <w:t>25.8</w:t>
            </w:r>
          </w:p>
        </w:tc>
        <w:tc>
          <w:tcPr>
            <w:tcW w:w="1034" w:type="pct"/>
            <w:shd w:val="clear" w:color="auto" w:fill="auto"/>
            <w:vAlign w:val="center"/>
            <w:hideMark/>
          </w:tcPr>
          <w:p w14:paraId="5673C17F" w14:textId="6B7E42B6" w:rsidR="00FC6F3E" w:rsidRPr="00C4769A" w:rsidRDefault="70B68F5F" w:rsidP="002C0973">
            <w:pPr>
              <w:pStyle w:val="TableBody"/>
              <w:rPr>
                <w:rFonts w:asciiTheme="majorHAnsi" w:hAnsiTheme="majorHAnsi" w:cstheme="majorBidi"/>
                <w:lang w:eastAsia="en-AU"/>
              </w:rPr>
            </w:pPr>
            <w:r w:rsidRPr="0C3FABDE">
              <w:rPr>
                <w:rFonts w:asciiTheme="majorHAnsi" w:hAnsiTheme="majorHAnsi" w:cstheme="majorBidi"/>
              </w:rPr>
              <w:t>88</w:t>
            </w:r>
            <w:r w:rsidR="23CCDD45" w:rsidRPr="0C3FABDE">
              <w:rPr>
                <w:rFonts w:asciiTheme="majorHAnsi" w:hAnsiTheme="majorHAnsi" w:cstheme="majorBidi"/>
              </w:rPr>
              <w:t>.3</w:t>
            </w:r>
            <w:r w:rsidRPr="15F372DD">
              <w:rPr>
                <w:rFonts w:asciiTheme="majorHAnsi" w:hAnsiTheme="majorHAnsi" w:cstheme="majorBidi"/>
              </w:rPr>
              <w:t xml:space="preserve"> To 266.9</w:t>
            </w:r>
          </w:p>
        </w:tc>
        <w:tc>
          <w:tcPr>
            <w:tcW w:w="739" w:type="pct"/>
            <w:shd w:val="clear" w:color="auto" w:fill="auto"/>
            <w:vAlign w:val="center"/>
          </w:tcPr>
          <w:p w14:paraId="31D31C20" w14:textId="65D2209F" w:rsidR="00FC6F3E" w:rsidRPr="00C4769A" w:rsidRDefault="00FC6F3E" w:rsidP="002C0973">
            <w:pPr>
              <w:pStyle w:val="TableBody"/>
              <w:rPr>
                <w:rFonts w:asciiTheme="majorHAnsi" w:hAnsiTheme="majorHAnsi" w:cstheme="majorBidi"/>
                <w:lang w:eastAsia="en-AU"/>
              </w:rPr>
            </w:pPr>
            <w:r w:rsidRPr="15F372DD">
              <w:rPr>
                <w:rFonts w:asciiTheme="majorHAnsi" w:hAnsiTheme="majorHAnsi" w:cstheme="majorBidi"/>
              </w:rPr>
              <w:t>7.</w:t>
            </w:r>
            <w:r w:rsidR="43DE95BE" w:rsidRPr="15F372DD">
              <w:rPr>
                <w:rFonts w:asciiTheme="majorHAnsi" w:hAnsiTheme="majorHAnsi" w:cstheme="majorBidi"/>
              </w:rPr>
              <w:t>7</w:t>
            </w:r>
          </w:p>
        </w:tc>
      </w:tr>
      <w:tr w:rsidR="00DC059D" w:rsidRPr="00C4769A" w14:paraId="22C00101" w14:textId="77777777" w:rsidTr="005F5838">
        <w:trPr>
          <w:trHeight w:val="397"/>
        </w:trPr>
        <w:tc>
          <w:tcPr>
            <w:tcW w:w="1295" w:type="pct"/>
            <w:shd w:val="clear" w:color="auto" w:fill="034EA2" w:themeFill="accent1"/>
            <w:vAlign w:val="center"/>
            <w:hideMark/>
          </w:tcPr>
          <w:p w14:paraId="6A4238A1" w14:textId="77777777" w:rsidR="00FC6F3E" w:rsidRPr="00C4769A" w:rsidRDefault="00FC6F3E" w:rsidP="002C0973">
            <w:pPr>
              <w:pStyle w:val="TableHeading"/>
              <w:rPr>
                <w:rFonts w:asciiTheme="majorHAnsi" w:hAnsiTheme="majorHAnsi" w:cstheme="majorHAnsi"/>
                <w:lang w:eastAsia="en-AU"/>
              </w:rPr>
            </w:pPr>
            <w:r w:rsidRPr="00C4769A">
              <w:rPr>
                <w:rFonts w:asciiTheme="majorHAnsi" w:hAnsiTheme="majorHAnsi" w:cstheme="majorHAnsi"/>
                <w:lang w:eastAsia="en-AU"/>
              </w:rPr>
              <w:t>Total critical gas assets</w:t>
            </w:r>
          </w:p>
        </w:tc>
        <w:tc>
          <w:tcPr>
            <w:tcW w:w="984" w:type="pct"/>
            <w:shd w:val="clear" w:color="auto" w:fill="034EA2" w:themeFill="accent1"/>
            <w:vAlign w:val="center"/>
            <w:hideMark/>
          </w:tcPr>
          <w:p w14:paraId="0983655D" w14:textId="493A722A" w:rsidR="00FC6F3E" w:rsidRPr="00C4769A" w:rsidRDefault="7DABF9EF" w:rsidP="002C0973">
            <w:pPr>
              <w:pStyle w:val="TableHeading"/>
              <w:rPr>
                <w:rFonts w:asciiTheme="majorHAnsi" w:hAnsiTheme="majorHAnsi" w:cstheme="majorBidi"/>
                <w:lang w:eastAsia="en-AU"/>
              </w:rPr>
            </w:pPr>
            <w:r w:rsidRPr="6147D017">
              <w:rPr>
                <w:rFonts w:asciiTheme="majorHAnsi" w:hAnsiTheme="majorHAnsi" w:cstheme="majorBidi"/>
              </w:rPr>
              <w:t>321.1 to 945.3</w:t>
            </w:r>
          </w:p>
        </w:tc>
        <w:tc>
          <w:tcPr>
            <w:tcW w:w="948" w:type="pct"/>
            <w:shd w:val="clear" w:color="auto" w:fill="034EA2" w:themeFill="accent1"/>
            <w:vAlign w:val="center"/>
            <w:hideMark/>
          </w:tcPr>
          <w:p w14:paraId="10D45158" w14:textId="623A9F81" w:rsidR="00FC6F3E" w:rsidRPr="00C4769A" w:rsidRDefault="1C0A1E2F" w:rsidP="002C0973">
            <w:pPr>
              <w:pStyle w:val="TableHeading"/>
              <w:rPr>
                <w:rFonts w:asciiTheme="majorHAnsi" w:hAnsiTheme="majorHAnsi" w:cstheme="majorBidi"/>
                <w:lang w:eastAsia="en-AU"/>
              </w:rPr>
            </w:pPr>
            <w:r w:rsidRPr="65F695E5">
              <w:rPr>
                <w:rFonts w:asciiTheme="majorHAnsi" w:hAnsiTheme="majorHAnsi" w:cstheme="majorBidi"/>
              </w:rPr>
              <w:t xml:space="preserve">94.0 </w:t>
            </w:r>
            <w:r w:rsidRPr="49D92512">
              <w:rPr>
                <w:rFonts w:asciiTheme="majorHAnsi" w:hAnsiTheme="majorHAnsi" w:cstheme="majorBidi"/>
              </w:rPr>
              <w:t>to 219.2</w:t>
            </w:r>
          </w:p>
        </w:tc>
        <w:tc>
          <w:tcPr>
            <w:tcW w:w="1034" w:type="pct"/>
            <w:shd w:val="clear" w:color="auto" w:fill="034EA2" w:themeFill="accent1"/>
            <w:vAlign w:val="center"/>
            <w:hideMark/>
          </w:tcPr>
          <w:p w14:paraId="3C41450E" w14:textId="4857F28F" w:rsidR="00FC6F3E" w:rsidRPr="00C4769A" w:rsidRDefault="5860186C" w:rsidP="002C0973">
            <w:pPr>
              <w:pStyle w:val="TableHeading"/>
              <w:rPr>
                <w:rFonts w:asciiTheme="majorHAnsi" w:hAnsiTheme="majorHAnsi" w:cstheme="majorBidi"/>
                <w:lang w:eastAsia="en-AU"/>
              </w:rPr>
            </w:pPr>
            <w:r w:rsidRPr="1DCCC0E8">
              <w:rPr>
                <w:rFonts w:asciiTheme="majorHAnsi" w:hAnsiTheme="majorHAnsi" w:cstheme="majorBidi"/>
              </w:rPr>
              <w:t>1</w:t>
            </w:r>
            <w:r w:rsidR="000A505F">
              <w:rPr>
                <w:rFonts w:asciiTheme="majorHAnsi" w:hAnsiTheme="majorHAnsi" w:cstheme="majorBidi"/>
              </w:rPr>
              <w:t>,</w:t>
            </w:r>
            <w:r w:rsidRPr="1DCCC0E8">
              <w:rPr>
                <w:rFonts w:asciiTheme="majorHAnsi" w:hAnsiTheme="majorHAnsi" w:cstheme="majorBidi"/>
              </w:rPr>
              <w:t>1</w:t>
            </w:r>
            <w:r w:rsidR="00135CD9">
              <w:rPr>
                <w:rFonts w:asciiTheme="majorHAnsi" w:hAnsiTheme="majorHAnsi" w:cstheme="majorBidi"/>
              </w:rPr>
              <w:t>52.9</w:t>
            </w:r>
            <w:r w:rsidRPr="035CCB87">
              <w:rPr>
                <w:rFonts w:asciiTheme="majorHAnsi" w:hAnsiTheme="majorHAnsi" w:cstheme="majorBidi"/>
              </w:rPr>
              <w:t xml:space="preserve"> to </w:t>
            </w:r>
            <w:r w:rsidRPr="1DCCC0E8">
              <w:rPr>
                <w:rFonts w:asciiTheme="majorHAnsi" w:hAnsiTheme="majorHAnsi" w:cstheme="majorBidi"/>
              </w:rPr>
              <w:t>2</w:t>
            </w:r>
            <w:r w:rsidR="000A505F">
              <w:rPr>
                <w:rFonts w:asciiTheme="majorHAnsi" w:hAnsiTheme="majorHAnsi" w:cstheme="majorBidi"/>
              </w:rPr>
              <w:t>,</w:t>
            </w:r>
            <w:r w:rsidR="00135CD9">
              <w:rPr>
                <w:rFonts w:asciiTheme="majorHAnsi" w:hAnsiTheme="majorHAnsi" w:cstheme="majorBidi"/>
              </w:rPr>
              <w:t>859.8</w:t>
            </w:r>
          </w:p>
        </w:tc>
        <w:tc>
          <w:tcPr>
            <w:tcW w:w="739" w:type="pct"/>
            <w:shd w:val="clear" w:color="auto" w:fill="034EA2" w:themeFill="accent1"/>
            <w:vAlign w:val="center"/>
          </w:tcPr>
          <w:p w14:paraId="2F030ABF" w14:textId="77777777" w:rsidR="00FC6F3E" w:rsidRPr="00C4769A" w:rsidRDefault="00FC6F3E" w:rsidP="002C0973">
            <w:pPr>
              <w:pStyle w:val="TableHeading"/>
              <w:rPr>
                <w:rFonts w:asciiTheme="majorHAnsi" w:hAnsiTheme="majorHAnsi" w:cstheme="majorHAnsi"/>
                <w:lang w:eastAsia="en-AU"/>
              </w:rPr>
            </w:pPr>
            <w:r w:rsidRPr="00C4769A">
              <w:rPr>
                <w:rFonts w:asciiTheme="majorHAnsi" w:hAnsiTheme="majorHAnsi" w:cstheme="majorHAnsi"/>
                <w:lang w:eastAsia="en-AU"/>
              </w:rPr>
              <w:t>100.0</w:t>
            </w:r>
          </w:p>
        </w:tc>
      </w:tr>
    </w:tbl>
    <w:p w14:paraId="3AF33F02" w14:textId="77777777" w:rsidR="00865A09" w:rsidRDefault="00865A09" w:rsidP="00E51726">
      <w:pPr>
        <w:pStyle w:val="Note"/>
      </w:pPr>
      <w:r w:rsidRPr="00827F58">
        <w:rPr>
          <w:b/>
        </w:rPr>
        <w:t>Note:</w:t>
      </w:r>
      <w:r w:rsidRPr="00827F58">
        <w:rPr>
          <w:rFonts w:ascii="Calibri" w:hAnsi="Calibri" w:cs="Times New Roman"/>
        </w:rPr>
        <w:t xml:space="preserve"> </w:t>
      </w:r>
      <w:r w:rsidRPr="00827F58">
        <w:t>For the purposes of calculating a total 10-year cost of compliance with the risk management program framework, ongoing costs were assumed to commence in the year after the required implementation date (for example, for a rule requiring implementation within 2 years, the ongoing costs associated with the rule were assumed to start in year 3 of the 10 year period).</w:t>
      </w:r>
    </w:p>
    <w:p w14:paraId="3FAB6CC4" w14:textId="40215AEC" w:rsidR="00E3678C" w:rsidRDefault="001656B3" w:rsidP="00E51726">
      <w:pPr>
        <w:pStyle w:val="BodyText"/>
      </w:pPr>
      <w:r w:rsidRPr="00E3678C">
        <w:t xml:space="preserve">Following the design of sector specific rules and the submission of costs from Industry, the sector specific rules were updated to the </w:t>
      </w:r>
      <w:r>
        <w:t>sector agnostic Risk Management Program Rules</w:t>
      </w:r>
      <w:r w:rsidR="00E3678C" w:rsidRPr="00E3678C">
        <w:t>.</w:t>
      </w:r>
      <w:r w:rsidR="00E3678C" w:rsidRPr="00E3678C" w:rsidDel="00235358">
        <w:t xml:space="preserve"> </w:t>
      </w:r>
      <w:r w:rsidR="00E3678C" w:rsidRPr="00E3678C">
        <w:t xml:space="preserve">The Department confirmed with </w:t>
      </w:r>
      <w:r w:rsidR="00E3678C" w:rsidRPr="00E51726">
        <w:t>industry</w:t>
      </w:r>
      <w:r w:rsidR="00E3678C" w:rsidRPr="00E3678C">
        <w:t xml:space="preserve"> that no additional costings would be requested on the updated Risk Management Program rules, as they were either similar to the previously costed rules or a specific rule had been removed. For the purpose of the above estimate of regulatory burden, the original cost submissions provided by industry were used with the removed rules excluded.</w:t>
      </w:r>
    </w:p>
    <w:p w14:paraId="2E786BE7" w14:textId="5A2207CF" w:rsidR="002D2F40" w:rsidRPr="002D2F40" w:rsidRDefault="002D2F40" w:rsidP="00E51726">
      <w:pPr>
        <w:pStyle w:val="BodyText"/>
      </w:pPr>
      <w:r>
        <w:t xml:space="preserve">The table below </w:t>
      </w:r>
      <w:r w:rsidRPr="00827F58">
        <w:t>compares the share of regulatory cost for large industry participants (market share by revenue greater than 5%) and small industry participants (market share by revenue less than 5%)</w:t>
      </w:r>
      <w:r w:rsidR="00881FDC">
        <w:t xml:space="preserve"> using the expected estimate</w:t>
      </w:r>
      <w:r w:rsidRPr="00827F58">
        <w:t xml:space="preserve">. Large industry participants will incur </w:t>
      </w:r>
      <w:r w:rsidRPr="000A6D7F">
        <w:t>approximately 57.</w:t>
      </w:r>
      <w:r w:rsidR="4B1A4C1B">
        <w:t>0</w:t>
      </w:r>
      <w:r w:rsidRPr="000A6D7F">
        <w:t xml:space="preserve">% of the total regulatory burden compared to </w:t>
      </w:r>
      <w:r w:rsidR="68DCECA5">
        <w:t>4</w:t>
      </w:r>
      <w:r w:rsidR="6527F813">
        <w:t>3.0</w:t>
      </w:r>
      <w:r w:rsidRPr="000A6D7F">
        <w:t>% for small participants.</w:t>
      </w:r>
      <w:r w:rsidRPr="00827F58">
        <w:t xml:space="preserve"> </w:t>
      </w:r>
      <w:bookmarkStart w:id="634" w:name="_Ref78465603"/>
      <w:bookmarkStart w:id="635" w:name="_Toc83301973"/>
    </w:p>
    <w:bookmarkEnd w:id="634"/>
    <w:p w14:paraId="5CD04872" w14:textId="77777777" w:rsidR="002D2F40" w:rsidRPr="00827F58" w:rsidRDefault="002D2F40" w:rsidP="00E51726">
      <w:pPr>
        <w:pStyle w:val="Caption"/>
      </w:pPr>
      <w:r w:rsidRPr="00827F58">
        <w:t xml:space="preserve">Distribution of </w:t>
      </w:r>
      <w:r w:rsidR="00881FDC">
        <w:t xml:space="preserve">expected </w:t>
      </w:r>
      <w:r w:rsidRPr="00827F58">
        <w:t>regulatory cost compared to market share by entity size</w:t>
      </w:r>
      <w:bookmarkEnd w:id="635"/>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410"/>
        <w:gridCol w:w="1812"/>
        <w:gridCol w:w="1717"/>
        <w:gridCol w:w="1976"/>
        <w:gridCol w:w="1723"/>
      </w:tblGrid>
      <w:tr w:rsidR="002D2F40" w:rsidRPr="00371F49" w14:paraId="0DFCA6AA" w14:textId="77777777" w:rsidTr="00A25131">
        <w:trPr>
          <w:trHeight w:val="601"/>
        </w:trPr>
        <w:tc>
          <w:tcPr>
            <w:tcW w:w="1250" w:type="pct"/>
            <w:vMerge w:val="restart"/>
            <w:shd w:val="clear" w:color="auto" w:fill="034EA2" w:themeFill="accent1"/>
            <w:hideMark/>
          </w:tcPr>
          <w:p w14:paraId="3D781ADA" w14:textId="77777777" w:rsidR="002D2F40" w:rsidRPr="00371F49" w:rsidRDefault="002D2F40" w:rsidP="00A25131">
            <w:pPr>
              <w:pStyle w:val="TableHeading"/>
              <w:rPr>
                <w:rFonts w:asciiTheme="majorHAnsi" w:hAnsiTheme="majorHAnsi" w:cstheme="majorHAnsi"/>
                <w:lang w:eastAsia="en-AU"/>
              </w:rPr>
            </w:pPr>
            <w:bookmarkStart w:id="636" w:name="_Hlk93505094"/>
            <w:r w:rsidRPr="00371F49">
              <w:rPr>
                <w:rFonts w:asciiTheme="majorHAnsi" w:hAnsiTheme="majorHAnsi" w:cstheme="majorHAnsi"/>
                <w:lang w:eastAsia="en-AU"/>
              </w:rPr>
              <w:t xml:space="preserve">Cost </w:t>
            </w:r>
          </w:p>
        </w:tc>
        <w:tc>
          <w:tcPr>
            <w:tcW w:w="3750" w:type="pct"/>
            <w:gridSpan w:val="4"/>
            <w:shd w:val="clear" w:color="auto" w:fill="034EA2" w:themeFill="accent1"/>
            <w:vAlign w:val="center"/>
            <w:hideMark/>
          </w:tcPr>
          <w:p w14:paraId="43AAE414" w14:textId="77777777" w:rsidR="002D2F40" w:rsidRPr="00371F49" w:rsidRDefault="002D2F40" w:rsidP="00371F49">
            <w:pPr>
              <w:pStyle w:val="TableHeading"/>
              <w:rPr>
                <w:rFonts w:asciiTheme="majorHAnsi" w:hAnsiTheme="majorHAnsi" w:cstheme="majorHAnsi"/>
                <w:lang w:eastAsia="en-AU"/>
              </w:rPr>
            </w:pPr>
            <w:r w:rsidRPr="00371F49">
              <w:rPr>
                <w:rFonts w:asciiTheme="majorHAnsi" w:hAnsiTheme="majorHAnsi" w:cstheme="majorHAnsi"/>
                <w:lang w:eastAsia="en-AU"/>
              </w:rPr>
              <w:t>10-year costs</w:t>
            </w:r>
            <w:r w:rsidR="00722127" w:rsidRPr="00371F49">
              <w:rPr>
                <w:rFonts w:asciiTheme="majorHAnsi" w:hAnsiTheme="majorHAnsi" w:cstheme="majorHAnsi"/>
                <w:lang w:eastAsia="en-AU"/>
              </w:rPr>
              <w:t xml:space="preserve"> (Expected)</w:t>
            </w:r>
          </w:p>
        </w:tc>
      </w:tr>
      <w:tr w:rsidR="002D2F40" w:rsidRPr="00371F49" w14:paraId="341B2528" w14:textId="77777777" w:rsidTr="3E83CB3B">
        <w:trPr>
          <w:trHeight w:val="601"/>
        </w:trPr>
        <w:tc>
          <w:tcPr>
            <w:tcW w:w="1250" w:type="pct"/>
            <w:vMerge/>
            <w:vAlign w:val="center"/>
            <w:hideMark/>
          </w:tcPr>
          <w:p w14:paraId="3092819B" w14:textId="77777777" w:rsidR="002D2F40" w:rsidRPr="00371F49" w:rsidRDefault="002D2F40" w:rsidP="00371F49">
            <w:pPr>
              <w:pStyle w:val="TableBody"/>
              <w:rPr>
                <w:rFonts w:asciiTheme="majorHAnsi" w:hAnsiTheme="majorHAnsi" w:cstheme="majorHAnsi"/>
                <w:lang w:eastAsia="en-AU"/>
              </w:rPr>
            </w:pPr>
          </w:p>
        </w:tc>
        <w:tc>
          <w:tcPr>
            <w:tcW w:w="1831" w:type="pct"/>
            <w:gridSpan w:val="2"/>
            <w:shd w:val="clear" w:color="auto" w:fill="DEEAF6"/>
            <w:vAlign w:val="center"/>
            <w:hideMark/>
          </w:tcPr>
          <w:p w14:paraId="7F82D379"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Large entities by market share</w:t>
            </w:r>
          </w:p>
        </w:tc>
        <w:tc>
          <w:tcPr>
            <w:tcW w:w="1919" w:type="pct"/>
            <w:gridSpan w:val="2"/>
            <w:shd w:val="clear" w:color="auto" w:fill="DEEAF6"/>
            <w:vAlign w:val="center"/>
            <w:hideMark/>
          </w:tcPr>
          <w:p w14:paraId="58F7C3B0"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Small entities by market share</w:t>
            </w:r>
          </w:p>
        </w:tc>
      </w:tr>
      <w:tr w:rsidR="002D2F40" w:rsidRPr="00371F49" w14:paraId="518885B1" w14:textId="77777777" w:rsidTr="3E83CB3B">
        <w:trPr>
          <w:trHeight w:val="339"/>
        </w:trPr>
        <w:tc>
          <w:tcPr>
            <w:tcW w:w="1250" w:type="pct"/>
            <w:vMerge/>
            <w:vAlign w:val="center"/>
            <w:hideMark/>
          </w:tcPr>
          <w:p w14:paraId="106D50CB" w14:textId="77777777" w:rsidR="002D2F40" w:rsidRPr="00371F49" w:rsidRDefault="002D2F40" w:rsidP="00371F49">
            <w:pPr>
              <w:pStyle w:val="TableBody"/>
              <w:rPr>
                <w:rFonts w:asciiTheme="majorHAnsi" w:hAnsiTheme="majorHAnsi" w:cstheme="majorHAnsi"/>
                <w:lang w:eastAsia="en-AU"/>
              </w:rPr>
            </w:pPr>
          </w:p>
        </w:tc>
        <w:tc>
          <w:tcPr>
            <w:tcW w:w="940" w:type="pct"/>
            <w:shd w:val="clear" w:color="auto" w:fill="DEEAF6"/>
            <w:vAlign w:val="center"/>
            <w:hideMark/>
          </w:tcPr>
          <w:p w14:paraId="4CC12661"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Cost ($ million)</w:t>
            </w:r>
          </w:p>
        </w:tc>
        <w:tc>
          <w:tcPr>
            <w:tcW w:w="891" w:type="pct"/>
            <w:shd w:val="clear" w:color="auto" w:fill="DEEAF6"/>
            <w:vAlign w:val="center"/>
            <w:hideMark/>
          </w:tcPr>
          <w:p w14:paraId="28EA3EA4"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Percentage of total costs (%)</w:t>
            </w:r>
          </w:p>
        </w:tc>
        <w:tc>
          <w:tcPr>
            <w:tcW w:w="1025" w:type="pct"/>
            <w:shd w:val="clear" w:color="auto" w:fill="DEEAF6"/>
            <w:vAlign w:val="center"/>
            <w:hideMark/>
          </w:tcPr>
          <w:p w14:paraId="3D71E688"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Cost ($ million)</w:t>
            </w:r>
          </w:p>
        </w:tc>
        <w:tc>
          <w:tcPr>
            <w:tcW w:w="894" w:type="pct"/>
            <w:shd w:val="clear" w:color="auto" w:fill="DEEAF6"/>
            <w:vAlign w:val="center"/>
            <w:hideMark/>
          </w:tcPr>
          <w:p w14:paraId="55A5B7C9"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Percentage of total costs (%)</w:t>
            </w:r>
          </w:p>
        </w:tc>
      </w:tr>
      <w:tr w:rsidR="002D2F40" w:rsidRPr="00371F49" w14:paraId="722C0DB1" w14:textId="77777777" w:rsidTr="3E83CB3B">
        <w:trPr>
          <w:trHeight w:val="447"/>
        </w:trPr>
        <w:tc>
          <w:tcPr>
            <w:tcW w:w="1250" w:type="pct"/>
            <w:shd w:val="clear" w:color="auto" w:fill="F2F2F2" w:themeFill="background2" w:themeFillShade="F2"/>
            <w:vAlign w:val="center"/>
            <w:hideMark/>
          </w:tcPr>
          <w:p w14:paraId="7D7DB1D0" w14:textId="77777777" w:rsidR="002D2F40" w:rsidRPr="00371F49" w:rsidRDefault="002D2F40" w:rsidP="00371F49">
            <w:pPr>
              <w:pStyle w:val="TableBody"/>
              <w:rPr>
                <w:rFonts w:asciiTheme="majorHAnsi" w:eastAsia="Times New Roman" w:hAnsiTheme="majorHAnsi" w:cstheme="majorHAnsi"/>
                <w:lang w:eastAsia="en-AU"/>
              </w:rPr>
            </w:pPr>
            <w:r w:rsidRPr="00371F49">
              <w:rPr>
                <w:rFonts w:asciiTheme="majorHAnsi" w:eastAsia="Times New Roman" w:hAnsiTheme="majorHAnsi" w:cstheme="majorHAnsi"/>
                <w:lang w:eastAsia="en-AU"/>
              </w:rPr>
              <w:t>Total critical gas assets</w:t>
            </w:r>
            <w:r w:rsidRPr="00371F49">
              <w:rPr>
                <w:rFonts w:asciiTheme="majorHAnsi" w:eastAsia="Times New Roman" w:hAnsiTheme="majorHAnsi" w:cstheme="majorHAnsi"/>
                <w:color w:val="FF9933"/>
                <w:lang w:eastAsia="en-AU"/>
              </w:rPr>
              <w:t xml:space="preserve"> </w:t>
            </w:r>
          </w:p>
        </w:tc>
        <w:tc>
          <w:tcPr>
            <w:tcW w:w="940" w:type="pct"/>
            <w:shd w:val="clear" w:color="auto" w:fill="auto"/>
            <w:vAlign w:val="center"/>
            <w:hideMark/>
          </w:tcPr>
          <w:p w14:paraId="5A1B6296" w14:textId="66927341" w:rsidR="002D2F40" w:rsidRPr="00371F49" w:rsidRDefault="72188BD0" w:rsidP="00371F49">
            <w:pPr>
              <w:pStyle w:val="TableBody"/>
              <w:rPr>
                <w:rFonts w:asciiTheme="majorHAnsi" w:hAnsiTheme="majorHAnsi" w:cstheme="majorBidi"/>
                <w:lang w:eastAsia="en-AU"/>
              </w:rPr>
            </w:pPr>
            <w:r w:rsidRPr="735253E8">
              <w:rPr>
                <w:rFonts w:asciiTheme="majorHAnsi" w:hAnsiTheme="majorHAnsi" w:cstheme="majorBidi"/>
              </w:rPr>
              <w:t>657.3</w:t>
            </w:r>
          </w:p>
        </w:tc>
        <w:tc>
          <w:tcPr>
            <w:tcW w:w="891" w:type="pct"/>
            <w:shd w:val="clear" w:color="auto" w:fill="auto"/>
            <w:vAlign w:val="center"/>
            <w:hideMark/>
          </w:tcPr>
          <w:p w14:paraId="67A1EF3A" w14:textId="1B5C6366" w:rsidR="002D2F40" w:rsidRPr="00371F49" w:rsidRDefault="0F257EB1" w:rsidP="00371F49">
            <w:pPr>
              <w:pStyle w:val="TableBody"/>
              <w:rPr>
                <w:rFonts w:asciiTheme="majorHAnsi" w:hAnsiTheme="majorHAnsi" w:cstheme="majorBidi"/>
                <w:lang w:eastAsia="en-AU"/>
              </w:rPr>
            </w:pPr>
            <w:r w:rsidRPr="735253E8">
              <w:rPr>
                <w:rFonts w:asciiTheme="majorHAnsi" w:hAnsiTheme="majorHAnsi" w:cstheme="majorBidi"/>
                <w:lang w:eastAsia="en-AU"/>
              </w:rPr>
              <w:t>57.0</w:t>
            </w:r>
          </w:p>
        </w:tc>
        <w:tc>
          <w:tcPr>
            <w:tcW w:w="1025" w:type="pct"/>
            <w:shd w:val="clear" w:color="auto" w:fill="auto"/>
            <w:vAlign w:val="center"/>
            <w:hideMark/>
          </w:tcPr>
          <w:p w14:paraId="4A638300" w14:textId="425E1147" w:rsidR="002D2F40" w:rsidRPr="00371F49" w:rsidRDefault="6B94C3A8" w:rsidP="00371F49">
            <w:pPr>
              <w:pStyle w:val="TableBody"/>
              <w:rPr>
                <w:rFonts w:asciiTheme="majorHAnsi" w:hAnsiTheme="majorHAnsi" w:cstheme="majorBidi"/>
                <w:lang w:eastAsia="en-AU"/>
              </w:rPr>
            </w:pPr>
            <w:r w:rsidRPr="735253E8">
              <w:rPr>
                <w:rFonts w:asciiTheme="majorHAnsi" w:hAnsiTheme="majorHAnsi" w:cstheme="majorBidi"/>
              </w:rPr>
              <w:t>495.6</w:t>
            </w:r>
          </w:p>
        </w:tc>
        <w:tc>
          <w:tcPr>
            <w:tcW w:w="894" w:type="pct"/>
            <w:shd w:val="clear" w:color="auto" w:fill="auto"/>
            <w:vAlign w:val="center"/>
            <w:hideMark/>
          </w:tcPr>
          <w:p w14:paraId="66A5654C" w14:textId="2DC9A6BD" w:rsidR="002D2F40" w:rsidRPr="00371F49" w:rsidRDefault="3756CF89" w:rsidP="00371F49">
            <w:pPr>
              <w:pStyle w:val="TableBody"/>
              <w:rPr>
                <w:rFonts w:asciiTheme="majorHAnsi" w:hAnsiTheme="majorHAnsi" w:cstheme="majorBidi"/>
                <w:lang w:eastAsia="en-AU"/>
              </w:rPr>
            </w:pPr>
            <w:r w:rsidRPr="735253E8">
              <w:rPr>
                <w:rFonts w:asciiTheme="majorHAnsi" w:hAnsiTheme="majorHAnsi" w:cstheme="majorBidi"/>
              </w:rPr>
              <w:t>43.0</w:t>
            </w:r>
          </w:p>
        </w:tc>
      </w:tr>
    </w:tbl>
    <w:bookmarkEnd w:id="636"/>
    <w:p w14:paraId="1F162D86" w14:textId="77777777" w:rsidR="002D2F40" w:rsidRPr="000A6D7F" w:rsidRDefault="002D2F40" w:rsidP="00E51726">
      <w:pPr>
        <w:pStyle w:val="BodyText"/>
      </w:pPr>
      <w:r w:rsidRPr="000A6D7F">
        <w:t xml:space="preserve">The industry submissions also indicated the type of expenditure expected to be incurred. The allocation of cost between labour effort, capital and operating costs is provided in the table below. </w:t>
      </w:r>
    </w:p>
    <w:p w14:paraId="30DD28A6" w14:textId="35649772" w:rsidR="002D2F40" w:rsidRPr="000A6D7F" w:rsidRDefault="002D2F40" w:rsidP="00E51726">
      <w:pPr>
        <w:pStyle w:val="BodyText"/>
      </w:pPr>
      <w:r w:rsidRPr="000A6D7F">
        <w:t xml:space="preserve">The analysis </w:t>
      </w:r>
      <w:r w:rsidR="00881FDC">
        <w:t xml:space="preserve">of the expected estimates </w:t>
      </w:r>
      <w:r w:rsidRPr="000A6D7F">
        <w:t xml:space="preserve">shows that </w:t>
      </w:r>
      <w:r w:rsidR="23176E53">
        <w:t>67.1</w:t>
      </w:r>
      <w:r w:rsidR="68DCECA5">
        <w:t>%</w:t>
      </w:r>
      <w:r w:rsidRPr="000A6D7F">
        <w:t xml:space="preserve"> of one-off costs and </w:t>
      </w:r>
      <w:r w:rsidR="4A331893">
        <w:t>18.</w:t>
      </w:r>
      <w:r w:rsidR="7FDA36CB">
        <w:t>2</w:t>
      </w:r>
      <w:r w:rsidRPr="000A6D7F">
        <w:t>% of ongoing costs are expected to be invested in capital. A relatively small share of costs are associated with labour effort (</w:t>
      </w:r>
      <w:r w:rsidR="62CC9454">
        <w:t>13.0</w:t>
      </w:r>
      <w:r w:rsidRPr="000A6D7F">
        <w:t xml:space="preserve">% of one-off costs and </w:t>
      </w:r>
      <w:r w:rsidR="5274367D">
        <w:t>26.0</w:t>
      </w:r>
      <w:r w:rsidRPr="000A6D7F">
        <w:t>% of ongoing costs) with operating costs being the largest component of ongoing costs (</w:t>
      </w:r>
      <w:r w:rsidR="6F394E6A">
        <w:t>55.8</w:t>
      </w:r>
      <w:r w:rsidRPr="000A6D7F">
        <w:t xml:space="preserve">% of total ongoing costs). </w:t>
      </w:r>
    </w:p>
    <w:p w14:paraId="2F6D4046" w14:textId="77777777" w:rsidR="002D2F40" w:rsidRDefault="002D2F40" w:rsidP="00E51726">
      <w:pPr>
        <w:pStyle w:val="BodyText"/>
      </w:pPr>
      <w:r w:rsidRPr="000A6D7F">
        <w:t>The allocation of ongoing costs reflects that significant costs are related to cyber-security</w:t>
      </w:r>
      <w:r w:rsidRPr="00827F58">
        <w:t xml:space="preserve"> hazards and this activity will require not only additional capital investment but also ongoing software and </w:t>
      </w:r>
      <w:r w:rsidRPr="00827F58">
        <w:lastRenderedPageBreak/>
        <w:t>other service costs (e.g. because of the requirement for additional ongoing licenses and cloud services) in addition to labour effort.</w:t>
      </w:r>
      <w:bookmarkStart w:id="637" w:name="_Toc83301974"/>
    </w:p>
    <w:p w14:paraId="0D477A5A" w14:textId="77777777" w:rsidR="002D2F40" w:rsidRPr="00F57A71" w:rsidRDefault="002D2F40" w:rsidP="00E51726">
      <w:pPr>
        <w:pStyle w:val="Caption"/>
        <w:rPr>
          <w:sz w:val="22"/>
        </w:rPr>
      </w:pPr>
      <w:r w:rsidRPr="00827F58">
        <w:t>Expected one-off and ongoing costs by cost type for critical gas assets nationally</w:t>
      </w:r>
      <w:bookmarkEnd w:id="637"/>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3244"/>
        <w:gridCol w:w="1598"/>
        <w:gridCol w:w="1598"/>
        <w:gridCol w:w="1598"/>
        <w:gridCol w:w="1600"/>
      </w:tblGrid>
      <w:tr w:rsidR="002D2F40" w:rsidRPr="00371F49" w14:paraId="778F29AD" w14:textId="77777777" w:rsidTr="00A25131">
        <w:trPr>
          <w:trHeight w:val="529"/>
        </w:trPr>
        <w:tc>
          <w:tcPr>
            <w:tcW w:w="1683" w:type="pct"/>
            <w:vMerge w:val="restart"/>
            <w:shd w:val="clear" w:color="auto" w:fill="034EA2" w:themeFill="accent1"/>
            <w:hideMark/>
          </w:tcPr>
          <w:p w14:paraId="0A2D75A9" w14:textId="77777777" w:rsidR="002D2F40" w:rsidRPr="00371F49" w:rsidRDefault="002D2F40" w:rsidP="00A25131">
            <w:pPr>
              <w:pStyle w:val="TableHeading"/>
              <w:rPr>
                <w:rFonts w:asciiTheme="majorHAnsi" w:hAnsiTheme="majorHAnsi" w:cstheme="majorHAnsi"/>
                <w:lang w:eastAsia="en-AU"/>
              </w:rPr>
            </w:pPr>
            <w:r w:rsidRPr="00371F49">
              <w:rPr>
                <w:rFonts w:asciiTheme="majorHAnsi" w:hAnsiTheme="majorHAnsi" w:cstheme="majorHAnsi"/>
                <w:lang w:eastAsia="en-AU"/>
              </w:rPr>
              <w:t>Cost Type</w:t>
            </w:r>
          </w:p>
        </w:tc>
        <w:tc>
          <w:tcPr>
            <w:tcW w:w="3317" w:type="pct"/>
            <w:gridSpan w:val="4"/>
            <w:shd w:val="clear" w:color="auto" w:fill="034EA2" w:themeFill="accent1"/>
            <w:vAlign w:val="center"/>
            <w:hideMark/>
          </w:tcPr>
          <w:p w14:paraId="0D079942" w14:textId="77777777" w:rsidR="002D2F40" w:rsidRPr="00371F49" w:rsidRDefault="002D2F40" w:rsidP="00371F49">
            <w:pPr>
              <w:pStyle w:val="TableHeading"/>
              <w:rPr>
                <w:rFonts w:asciiTheme="majorHAnsi" w:hAnsiTheme="majorHAnsi" w:cstheme="majorHAnsi"/>
                <w:lang w:eastAsia="en-AU"/>
              </w:rPr>
            </w:pPr>
            <w:r w:rsidRPr="00371F49">
              <w:rPr>
                <w:rFonts w:asciiTheme="majorHAnsi" w:hAnsiTheme="majorHAnsi" w:cstheme="majorHAnsi"/>
                <w:lang w:eastAsia="en-AU"/>
              </w:rPr>
              <w:t xml:space="preserve">Costs </w:t>
            </w:r>
            <w:r w:rsidR="00C27FCA" w:rsidRPr="00371F49">
              <w:rPr>
                <w:rFonts w:asciiTheme="majorHAnsi" w:hAnsiTheme="majorHAnsi" w:cstheme="majorHAnsi"/>
                <w:lang w:eastAsia="en-AU"/>
              </w:rPr>
              <w:t>(Expected)</w:t>
            </w:r>
          </w:p>
        </w:tc>
      </w:tr>
      <w:tr w:rsidR="00340241" w:rsidRPr="00371F49" w14:paraId="71D1B160" w14:textId="77777777" w:rsidTr="70AB2BCE">
        <w:trPr>
          <w:trHeight w:val="529"/>
        </w:trPr>
        <w:tc>
          <w:tcPr>
            <w:tcW w:w="1683" w:type="pct"/>
            <w:vMerge/>
            <w:vAlign w:val="center"/>
            <w:hideMark/>
          </w:tcPr>
          <w:p w14:paraId="4A3ED499" w14:textId="77777777" w:rsidR="002D2F40" w:rsidRPr="00371F49" w:rsidRDefault="002D2F40" w:rsidP="00371F49">
            <w:pPr>
              <w:pStyle w:val="TableBody"/>
              <w:rPr>
                <w:rFonts w:asciiTheme="majorHAnsi" w:hAnsiTheme="majorHAnsi" w:cstheme="majorHAnsi"/>
                <w:lang w:eastAsia="en-AU"/>
              </w:rPr>
            </w:pPr>
          </w:p>
        </w:tc>
        <w:tc>
          <w:tcPr>
            <w:tcW w:w="829" w:type="pct"/>
            <w:shd w:val="clear" w:color="auto" w:fill="DEEAF6"/>
            <w:vAlign w:val="center"/>
            <w:hideMark/>
          </w:tcPr>
          <w:p w14:paraId="676ECA12"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 xml:space="preserve">One-off </w:t>
            </w:r>
            <w:r w:rsidRPr="00371F49">
              <w:rPr>
                <w:rFonts w:asciiTheme="majorHAnsi" w:hAnsiTheme="majorHAnsi" w:cstheme="majorHAnsi"/>
                <w:color w:val="000000"/>
                <w:lang w:eastAsia="en-AU"/>
              </w:rPr>
              <w:t>($ million)</w:t>
            </w:r>
          </w:p>
        </w:tc>
        <w:tc>
          <w:tcPr>
            <w:tcW w:w="829" w:type="pct"/>
            <w:shd w:val="clear" w:color="auto" w:fill="DEEAF6"/>
            <w:vAlign w:val="center"/>
            <w:hideMark/>
          </w:tcPr>
          <w:p w14:paraId="204B023D"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One-off</w:t>
            </w:r>
            <w:r w:rsidRPr="00371F49">
              <w:rPr>
                <w:rFonts w:asciiTheme="majorHAnsi" w:hAnsiTheme="majorHAnsi" w:cstheme="majorHAnsi"/>
                <w:lang w:eastAsia="en-AU"/>
              </w:rPr>
              <w:br/>
              <w:t>(%)</w:t>
            </w:r>
          </w:p>
        </w:tc>
        <w:tc>
          <w:tcPr>
            <w:tcW w:w="829" w:type="pct"/>
            <w:shd w:val="clear" w:color="auto" w:fill="DEEAF6"/>
            <w:vAlign w:val="center"/>
            <w:hideMark/>
          </w:tcPr>
          <w:p w14:paraId="78A18EA3"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Ongoing</w:t>
            </w:r>
            <w:r w:rsidRPr="00371F49">
              <w:rPr>
                <w:rFonts w:asciiTheme="majorHAnsi" w:hAnsiTheme="majorHAnsi" w:cstheme="majorHAnsi"/>
                <w:lang w:eastAsia="en-AU"/>
              </w:rPr>
              <w:br/>
              <w:t>(per year)</w:t>
            </w:r>
          </w:p>
        </w:tc>
        <w:tc>
          <w:tcPr>
            <w:tcW w:w="829" w:type="pct"/>
            <w:shd w:val="clear" w:color="auto" w:fill="DEEAF6"/>
            <w:vAlign w:val="center"/>
            <w:hideMark/>
          </w:tcPr>
          <w:p w14:paraId="68E9F10F"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Ongoing</w:t>
            </w:r>
            <w:r w:rsidRPr="00371F49">
              <w:rPr>
                <w:rFonts w:asciiTheme="majorHAnsi" w:hAnsiTheme="majorHAnsi" w:cstheme="majorHAnsi"/>
                <w:lang w:eastAsia="en-AU"/>
              </w:rPr>
              <w:br/>
              <w:t>(%)</w:t>
            </w:r>
          </w:p>
        </w:tc>
      </w:tr>
      <w:tr w:rsidR="002D2F40" w:rsidRPr="00371F49" w14:paraId="321B2B12" w14:textId="77777777" w:rsidTr="70AB2BCE">
        <w:trPr>
          <w:trHeight w:val="291"/>
        </w:trPr>
        <w:tc>
          <w:tcPr>
            <w:tcW w:w="1683" w:type="pct"/>
            <w:shd w:val="clear" w:color="auto" w:fill="F2F2F2" w:themeFill="background2" w:themeFillShade="F2"/>
            <w:vAlign w:val="center"/>
            <w:hideMark/>
          </w:tcPr>
          <w:p w14:paraId="148EA36B"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Labour effort</w:t>
            </w:r>
          </w:p>
        </w:tc>
        <w:tc>
          <w:tcPr>
            <w:tcW w:w="829" w:type="pct"/>
            <w:shd w:val="clear" w:color="auto" w:fill="FFFFFF" w:themeFill="background2"/>
            <w:vAlign w:val="center"/>
          </w:tcPr>
          <w:p w14:paraId="3F1FF6F2" w14:textId="6F12C05C" w:rsidR="002D2F40" w:rsidRPr="00371F49" w:rsidRDefault="1A19B119" w:rsidP="00371F49">
            <w:pPr>
              <w:pStyle w:val="TableBody"/>
              <w:rPr>
                <w:rFonts w:asciiTheme="majorHAnsi" w:hAnsiTheme="majorHAnsi" w:cstheme="majorBidi"/>
                <w:lang w:eastAsia="en-AU"/>
              </w:rPr>
            </w:pPr>
            <w:r w:rsidRPr="70AB2BCE">
              <w:rPr>
                <w:rFonts w:asciiTheme="majorHAnsi" w:hAnsiTheme="majorHAnsi" w:cstheme="majorBidi"/>
              </w:rPr>
              <w:t>41.7</w:t>
            </w:r>
          </w:p>
        </w:tc>
        <w:tc>
          <w:tcPr>
            <w:tcW w:w="829" w:type="pct"/>
            <w:shd w:val="clear" w:color="auto" w:fill="FFFFFF" w:themeFill="background2"/>
            <w:vAlign w:val="center"/>
          </w:tcPr>
          <w:p w14:paraId="485168CC" w14:textId="3D6A825B" w:rsidR="002D2F40" w:rsidRPr="00371F49" w:rsidRDefault="0BA0187C" w:rsidP="00371F49">
            <w:pPr>
              <w:pStyle w:val="TableBody"/>
              <w:rPr>
                <w:rFonts w:asciiTheme="majorHAnsi" w:hAnsiTheme="majorHAnsi" w:cstheme="majorBidi"/>
                <w:lang w:eastAsia="en-AU"/>
              </w:rPr>
            </w:pPr>
            <w:r w:rsidRPr="1DCCC0E8">
              <w:rPr>
                <w:rFonts w:asciiTheme="majorHAnsi" w:hAnsiTheme="majorHAnsi" w:cstheme="majorBidi"/>
              </w:rPr>
              <w:t>13.0</w:t>
            </w:r>
            <w:r w:rsidR="002D2F40" w:rsidRPr="70AB2BCE">
              <w:rPr>
                <w:rFonts w:asciiTheme="majorHAnsi" w:hAnsiTheme="majorHAnsi" w:cstheme="majorBidi"/>
              </w:rPr>
              <w:t>%</w:t>
            </w:r>
          </w:p>
        </w:tc>
        <w:tc>
          <w:tcPr>
            <w:tcW w:w="829" w:type="pct"/>
            <w:shd w:val="clear" w:color="auto" w:fill="FFFFFF" w:themeFill="background2"/>
            <w:vAlign w:val="center"/>
          </w:tcPr>
          <w:p w14:paraId="762E2D80" w14:textId="3A17BD7E" w:rsidR="002D2F40" w:rsidRPr="00371F49" w:rsidRDefault="07983BC0" w:rsidP="00371F49">
            <w:pPr>
              <w:pStyle w:val="TableBody"/>
              <w:rPr>
                <w:rFonts w:asciiTheme="majorHAnsi" w:hAnsiTheme="majorHAnsi" w:cstheme="majorBidi"/>
                <w:lang w:eastAsia="en-AU"/>
              </w:rPr>
            </w:pPr>
            <w:r w:rsidRPr="1DCCC0E8">
              <w:rPr>
                <w:rFonts w:asciiTheme="majorHAnsi" w:hAnsiTheme="majorHAnsi" w:cstheme="majorBidi"/>
              </w:rPr>
              <w:t>24.4</w:t>
            </w:r>
          </w:p>
        </w:tc>
        <w:tc>
          <w:tcPr>
            <w:tcW w:w="829" w:type="pct"/>
            <w:shd w:val="clear" w:color="auto" w:fill="FFFFFF" w:themeFill="background2"/>
            <w:vAlign w:val="center"/>
          </w:tcPr>
          <w:p w14:paraId="64948E12" w14:textId="3BCD5BD9" w:rsidR="002D2F40" w:rsidRPr="00371F49" w:rsidRDefault="5E5C0FDF" w:rsidP="00371F49">
            <w:pPr>
              <w:pStyle w:val="TableBody"/>
              <w:rPr>
                <w:rFonts w:asciiTheme="majorHAnsi" w:hAnsiTheme="majorHAnsi" w:cstheme="majorBidi"/>
                <w:lang w:eastAsia="en-AU"/>
              </w:rPr>
            </w:pPr>
            <w:r w:rsidRPr="1DCCC0E8">
              <w:rPr>
                <w:rFonts w:asciiTheme="majorHAnsi" w:hAnsiTheme="majorHAnsi" w:cstheme="majorBidi"/>
              </w:rPr>
              <w:t>26.0</w:t>
            </w:r>
            <w:r w:rsidR="002D2F40" w:rsidRPr="1DCCC0E8">
              <w:rPr>
                <w:rFonts w:asciiTheme="majorHAnsi" w:hAnsiTheme="majorHAnsi" w:cstheme="majorBidi"/>
              </w:rPr>
              <w:t>%</w:t>
            </w:r>
          </w:p>
        </w:tc>
      </w:tr>
      <w:tr w:rsidR="002D2F40" w:rsidRPr="00371F49" w14:paraId="0A3445A4" w14:textId="77777777" w:rsidTr="70AB2BCE">
        <w:trPr>
          <w:trHeight w:val="233"/>
        </w:trPr>
        <w:tc>
          <w:tcPr>
            <w:tcW w:w="1683" w:type="pct"/>
            <w:shd w:val="clear" w:color="auto" w:fill="F2F2F2" w:themeFill="background2" w:themeFillShade="F2"/>
            <w:vAlign w:val="center"/>
            <w:hideMark/>
          </w:tcPr>
          <w:p w14:paraId="575025E8"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Capital</w:t>
            </w:r>
          </w:p>
        </w:tc>
        <w:tc>
          <w:tcPr>
            <w:tcW w:w="829" w:type="pct"/>
            <w:shd w:val="clear" w:color="auto" w:fill="FFFFFF" w:themeFill="background2"/>
            <w:vAlign w:val="center"/>
          </w:tcPr>
          <w:p w14:paraId="38CB235A"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rPr>
              <w:t>215.4</w:t>
            </w:r>
          </w:p>
        </w:tc>
        <w:tc>
          <w:tcPr>
            <w:tcW w:w="829" w:type="pct"/>
            <w:shd w:val="clear" w:color="auto" w:fill="FFFFFF" w:themeFill="background2"/>
            <w:vAlign w:val="center"/>
          </w:tcPr>
          <w:p w14:paraId="64180704" w14:textId="50495BD6" w:rsidR="002D2F40" w:rsidRPr="00371F49" w:rsidRDefault="40D62E9D" w:rsidP="00371F49">
            <w:pPr>
              <w:pStyle w:val="TableBody"/>
              <w:rPr>
                <w:rFonts w:asciiTheme="majorHAnsi" w:hAnsiTheme="majorHAnsi" w:cstheme="majorBidi"/>
                <w:lang w:eastAsia="en-AU"/>
              </w:rPr>
            </w:pPr>
            <w:r w:rsidRPr="1DCCC0E8">
              <w:rPr>
                <w:rFonts w:asciiTheme="majorHAnsi" w:hAnsiTheme="majorHAnsi" w:cstheme="majorBidi"/>
              </w:rPr>
              <w:t>67.</w:t>
            </w:r>
            <w:r w:rsidR="23B187A6" w:rsidRPr="1DCCC0E8">
              <w:rPr>
                <w:rFonts w:asciiTheme="majorHAnsi" w:hAnsiTheme="majorHAnsi" w:cstheme="majorBidi"/>
              </w:rPr>
              <w:t>1</w:t>
            </w:r>
            <w:r w:rsidR="002D2F40" w:rsidRPr="1DCCC0E8">
              <w:rPr>
                <w:rFonts w:asciiTheme="majorHAnsi" w:hAnsiTheme="majorHAnsi" w:cstheme="majorBidi"/>
              </w:rPr>
              <w:t>%</w:t>
            </w:r>
          </w:p>
        </w:tc>
        <w:tc>
          <w:tcPr>
            <w:tcW w:w="829" w:type="pct"/>
            <w:shd w:val="clear" w:color="auto" w:fill="FFFFFF" w:themeFill="background2"/>
            <w:vAlign w:val="center"/>
          </w:tcPr>
          <w:p w14:paraId="08D1FDB2"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rPr>
              <w:t>17.2</w:t>
            </w:r>
          </w:p>
        </w:tc>
        <w:tc>
          <w:tcPr>
            <w:tcW w:w="829" w:type="pct"/>
            <w:shd w:val="clear" w:color="auto" w:fill="FFFFFF" w:themeFill="background2"/>
            <w:vAlign w:val="center"/>
          </w:tcPr>
          <w:p w14:paraId="7AFE55F3" w14:textId="29550FF0" w:rsidR="002D2F40" w:rsidRPr="00371F49" w:rsidRDefault="671437ED" w:rsidP="00371F49">
            <w:pPr>
              <w:pStyle w:val="TableBody"/>
              <w:rPr>
                <w:rFonts w:asciiTheme="majorHAnsi" w:hAnsiTheme="majorHAnsi" w:cstheme="majorBidi"/>
                <w:lang w:eastAsia="en-AU"/>
              </w:rPr>
            </w:pPr>
            <w:r w:rsidRPr="1DCCC0E8">
              <w:rPr>
                <w:rFonts w:asciiTheme="majorHAnsi" w:hAnsiTheme="majorHAnsi" w:cstheme="majorBidi"/>
              </w:rPr>
              <w:t>18.</w:t>
            </w:r>
            <w:r w:rsidR="6A623747" w:rsidRPr="1DCCC0E8">
              <w:rPr>
                <w:rFonts w:asciiTheme="majorHAnsi" w:hAnsiTheme="majorHAnsi" w:cstheme="majorBidi"/>
              </w:rPr>
              <w:t>2</w:t>
            </w:r>
            <w:r w:rsidR="002D2F40" w:rsidRPr="1DCCC0E8">
              <w:rPr>
                <w:rFonts w:asciiTheme="majorHAnsi" w:hAnsiTheme="majorHAnsi" w:cstheme="majorBidi"/>
              </w:rPr>
              <w:t>%</w:t>
            </w:r>
          </w:p>
        </w:tc>
      </w:tr>
      <w:tr w:rsidR="002D2F40" w:rsidRPr="00371F49" w14:paraId="2B3D0E1E" w14:textId="77777777" w:rsidTr="70AB2BCE">
        <w:trPr>
          <w:trHeight w:val="249"/>
        </w:trPr>
        <w:tc>
          <w:tcPr>
            <w:tcW w:w="1683" w:type="pct"/>
            <w:shd w:val="clear" w:color="auto" w:fill="F2F2F2" w:themeFill="background2" w:themeFillShade="F2"/>
            <w:vAlign w:val="center"/>
            <w:hideMark/>
          </w:tcPr>
          <w:p w14:paraId="12604985"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lang w:eastAsia="en-AU"/>
              </w:rPr>
              <w:t>Operating</w:t>
            </w:r>
          </w:p>
        </w:tc>
        <w:tc>
          <w:tcPr>
            <w:tcW w:w="829" w:type="pct"/>
            <w:shd w:val="clear" w:color="auto" w:fill="FFFFFF" w:themeFill="background2"/>
            <w:vAlign w:val="center"/>
          </w:tcPr>
          <w:p w14:paraId="12F13BDA"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rPr>
              <w:t>64.1</w:t>
            </w:r>
          </w:p>
        </w:tc>
        <w:tc>
          <w:tcPr>
            <w:tcW w:w="829" w:type="pct"/>
            <w:shd w:val="clear" w:color="auto" w:fill="FFFFFF" w:themeFill="background2"/>
            <w:vAlign w:val="center"/>
          </w:tcPr>
          <w:p w14:paraId="4B91C714" w14:textId="3F5132F1" w:rsidR="002D2F40" w:rsidRPr="00371F49" w:rsidRDefault="6C450603" w:rsidP="00371F49">
            <w:pPr>
              <w:pStyle w:val="TableBody"/>
              <w:rPr>
                <w:rFonts w:asciiTheme="majorHAnsi" w:hAnsiTheme="majorHAnsi" w:cstheme="majorBidi"/>
                <w:lang w:eastAsia="en-AU"/>
              </w:rPr>
            </w:pPr>
            <w:r w:rsidRPr="1DCCC0E8">
              <w:rPr>
                <w:rFonts w:asciiTheme="majorHAnsi" w:hAnsiTheme="majorHAnsi" w:cstheme="majorBidi"/>
              </w:rPr>
              <w:t>19.9</w:t>
            </w:r>
            <w:r w:rsidR="002D2F40" w:rsidRPr="1DCCC0E8">
              <w:rPr>
                <w:rFonts w:asciiTheme="majorHAnsi" w:hAnsiTheme="majorHAnsi" w:cstheme="majorBidi"/>
              </w:rPr>
              <w:t>%</w:t>
            </w:r>
          </w:p>
        </w:tc>
        <w:tc>
          <w:tcPr>
            <w:tcW w:w="829" w:type="pct"/>
            <w:shd w:val="clear" w:color="auto" w:fill="FFFFFF" w:themeFill="background2"/>
            <w:vAlign w:val="center"/>
          </w:tcPr>
          <w:p w14:paraId="328F1C8A" w14:textId="77777777" w:rsidR="002D2F40" w:rsidRPr="00371F49" w:rsidRDefault="002D2F40" w:rsidP="00371F49">
            <w:pPr>
              <w:pStyle w:val="TableBody"/>
              <w:rPr>
                <w:rFonts w:asciiTheme="majorHAnsi" w:hAnsiTheme="majorHAnsi" w:cstheme="majorHAnsi"/>
                <w:lang w:eastAsia="en-AU"/>
              </w:rPr>
            </w:pPr>
            <w:r w:rsidRPr="00371F49">
              <w:rPr>
                <w:rFonts w:asciiTheme="majorHAnsi" w:hAnsiTheme="majorHAnsi" w:cstheme="majorHAnsi"/>
              </w:rPr>
              <w:t>52.5</w:t>
            </w:r>
          </w:p>
        </w:tc>
        <w:tc>
          <w:tcPr>
            <w:tcW w:w="829" w:type="pct"/>
            <w:shd w:val="clear" w:color="auto" w:fill="FFFFFF" w:themeFill="background2"/>
            <w:vAlign w:val="center"/>
          </w:tcPr>
          <w:p w14:paraId="37469E8B" w14:textId="291C2FB4" w:rsidR="002D2F40" w:rsidRPr="00371F49" w:rsidRDefault="1B589B2E" w:rsidP="00371F49">
            <w:pPr>
              <w:pStyle w:val="TableBody"/>
              <w:rPr>
                <w:rFonts w:asciiTheme="majorHAnsi" w:hAnsiTheme="majorHAnsi" w:cstheme="majorBidi"/>
                <w:lang w:eastAsia="en-AU"/>
              </w:rPr>
            </w:pPr>
            <w:r w:rsidRPr="1DCCC0E8">
              <w:rPr>
                <w:rFonts w:asciiTheme="majorHAnsi" w:hAnsiTheme="majorHAnsi" w:cstheme="majorBidi"/>
              </w:rPr>
              <w:t>55.8</w:t>
            </w:r>
            <w:r w:rsidR="002D2F40" w:rsidRPr="1DCCC0E8">
              <w:rPr>
                <w:rFonts w:asciiTheme="majorHAnsi" w:hAnsiTheme="majorHAnsi" w:cstheme="majorBidi"/>
              </w:rPr>
              <w:t>%</w:t>
            </w:r>
          </w:p>
        </w:tc>
      </w:tr>
      <w:tr w:rsidR="002D2F40" w:rsidRPr="00371F49" w14:paraId="248A01B7" w14:textId="77777777" w:rsidTr="00371F49">
        <w:trPr>
          <w:trHeight w:val="261"/>
        </w:trPr>
        <w:tc>
          <w:tcPr>
            <w:tcW w:w="1683" w:type="pct"/>
            <w:shd w:val="clear" w:color="auto" w:fill="034EA2" w:themeFill="accent1"/>
            <w:vAlign w:val="center"/>
            <w:hideMark/>
          </w:tcPr>
          <w:p w14:paraId="605363A5" w14:textId="77777777" w:rsidR="002D2F40" w:rsidRPr="00371F49" w:rsidRDefault="002D2F40" w:rsidP="00371F49">
            <w:pPr>
              <w:pStyle w:val="TableHeading"/>
              <w:rPr>
                <w:rFonts w:asciiTheme="majorHAnsi" w:hAnsiTheme="majorHAnsi" w:cstheme="majorHAnsi"/>
              </w:rPr>
            </w:pPr>
            <w:r w:rsidRPr="00371F49">
              <w:rPr>
                <w:rFonts w:asciiTheme="majorHAnsi" w:hAnsiTheme="majorHAnsi" w:cstheme="majorHAnsi"/>
              </w:rPr>
              <w:t>Total critical gas assets</w:t>
            </w:r>
          </w:p>
        </w:tc>
        <w:tc>
          <w:tcPr>
            <w:tcW w:w="829" w:type="pct"/>
            <w:shd w:val="clear" w:color="auto" w:fill="034EA2" w:themeFill="accent1"/>
            <w:vAlign w:val="center"/>
            <w:hideMark/>
          </w:tcPr>
          <w:p w14:paraId="7A22AD78" w14:textId="395ED24D" w:rsidR="002D2F40" w:rsidRPr="00371F49" w:rsidRDefault="4A214C94" w:rsidP="00371F49">
            <w:pPr>
              <w:pStyle w:val="TableHeading"/>
              <w:rPr>
                <w:rFonts w:asciiTheme="majorHAnsi" w:hAnsiTheme="majorHAnsi" w:cstheme="majorBidi"/>
              </w:rPr>
            </w:pPr>
            <w:r w:rsidRPr="1DCCC0E8">
              <w:rPr>
                <w:rFonts w:asciiTheme="majorHAnsi" w:hAnsiTheme="majorHAnsi" w:cstheme="majorBidi"/>
              </w:rPr>
              <w:t>321.1</w:t>
            </w:r>
          </w:p>
        </w:tc>
        <w:tc>
          <w:tcPr>
            <w:tcW w:w="829" w:type="pct"/>
            <w:shd w:val="clear" w:color="auto" w:fill="034EA2" w:themeFill="accent1"/>
            <w:vAlign w:val="center"/>
            <w:hideMark/>
          </w:tcPr>
          <w:p w14:paraId="1F65D074" w14:textId="77777777" w:rsidR="002D2F40" w:rsidRPr="00371F49" w:rsidRDefault="002D2F40" w:rsidP="00371F49">
            <w:pPr>
              <w:pStyle w:val="TableHeading"/>
              <w:rPr>
                <w:rFonts w:asciiTheme="majorHAnsi" w:hAnsiTheme="majorHAnsi" w:cstheme="majorHAnsi"/>
              </w:rPr>
            </w:pPr>
            <w:r w:rsidRPr="00371F49">
              <w:rPr>
                <w:rFonts w:asciiTheme="majorHAnsi" w:hAnsiTheme="majorHAnsi" w:cstheme="majorHAnsi"/>
              </w:rPr>
              <w:t>100.0%</w:t>
            </w:r>
          </w:p>
        </w:tc>
        <w:tc>
          <w:tcPr>
            <w:tcW w:w="829" w:type="pct"/>
            <w:shd w:val="clear" w:color="auto" w:fill="034EA2" w:themeFill="accent1"/>
            <w:vAlign w:val="center"/>
            <w:hideMark/>
          </w:tcPr>
          <w:p w14:paraId="1FFAAF5C" w14:textId="05B69983" w:rsidR="002D2F40" w:rsidRPr="00371F49" w:rsidRDefault="6F7161FE" w:rsidP="00371F49">
            <w:pPr>
              <w:pStyle w:val="TableHeading"/>
              <w:rPr>
                <w:rFonts w:asciiTheme="majorHAnsi" w:hAnsiTheme="majorHAnsi" w:cstheme="majorBidi"/>
              </w:rPr>
            </w:pPr>
            <w:r w:rsidRPr="1DCCC0E8">
              <w:rPr>
                <w:rFonts w:asciiTheme="majorHAnsi" w:hAnsiTheme="majorHAnsi" w:cstheme="majorBidi"/>
              </w:rPr>
              <w:t>94.0</w:t>
            </w:r>
          </w:p>
        </w:tc>
        <w:tc>
          <w:tcPr>
            <w:tcW w:w="829" w:type="pct"/>
            <w:shd w:val="clear" w:color="auto" w:fill="034EA2" w:themeFill="accent1"/>
            <w:vAlign w:val="center"/>
            <w:hideMark/>
          </w:tcPr>
          <w:p w14:paraId="6F261F41" w14:textId="77777777" w:rsidR="002D2F40" w:rsidRPr="00371F49" w:rsidRDefault="002D2F40" w:rsidP="00371F49">
            <w:pPr>
              <w:pStyle w:val="TableHeading"/>
              <w:rPr>
                <w:rFonts w:asciiTheme="majorHAnsi" w:hAnsiTheme="majorHAnsi" w:cstheme="majorHAnsi"/>
              </w:rPr>
            </w:pPr>
            <w:r w:rsidRPr="00371F49">
              <w:rPr>
                <w:rFonts w:asciiTheme="majorHAnsi" w:hAnsiTheme="majorHAnsi" w:cstheme="majorHAnsi"/>
              </w:rPr>
              <w:t>100.0%</w:t>
            </w:r>
          </w:p>
        </w:tc>
      </w:tr>
    </w:tbl>
    <w:p w14:paraId="5D70A21F" w14:textId="77777777" w:rsidR="009B296E" w:rsidRPr="009B296E" w:rsidRDefault="002D2F40" w:rsidP="00E51726">
      <w:pPr>
        <w:pStyle w:val="AppendixH3"/>
      </w:pPr>
      <w:r>
        <w:t>Benefits of option 2</w:t>
      </w:r>
    </w:p>
    <w:p w14:paraId="45085488" w14:textId="77777777" w:rsidR="00FA493A" w:rsidRPr="00827F58" w:rsidRDefault="00FA493A" w:rsidP="00E51726">
      <w:pPr>
        <w:pStyle w:val="BodyText"/>
      </w:pPr>
      <w:r w:rsidRPr="00827F58">
        <w:t>A reliable continuous gas supply is central to Australia’s prosperity. Further, disruption to supply can be a significant cost to the economy. The risk management program framework aims to reduce the frequency and impact of any disruption to supply and so its primary benefit is to avoid the incidents that may otherwise disrupt supply and cause economic loss.</w:t>
      </w:r>
    </w:p>
    <w:p w14:paraId="6B9FB401" w14:textId="77777777" w:rsidR="00C46123" w:rsidRPr="00827F58" w:rsidRDefault="00C46123" w:rsidP="00E51726">
      <w:pPr>
        <w:pStyle w:val="AppendixH3"/>
        <w:rPr>
          <w:rFonts w:eastAsia="Calibri"/>
        </w:rPr>
      </w:pPr>
      <w:r w:rsidRPr="00827F58">
        <w:rPr>
          <w:rFonts w:eastAsia="Calibri"/>
        </w:rPr>
        <w:t xml:space="preserve">Economic impacts of disruptions to gas supply </w:t>
      </w:r>
    </w:p>
    <w:p w14:paraId="68C978F5" w14:textId="77777777" w:rsidR="00C46123" w:rsidRPr="00827F58" w:rsidRDefault="00C46123" w:rsidP="00E51726">
      <w:pPr>
        <w:pStyle w:val="BodyText"/>
      </w:pPr>
      <w:r w:rsidRPr="00827F58">
        <w:t>Disruption to the</w:t>
      </w:r>
      <w:r w:rsidRPr="00827F58">
        <w:rPr>
          <w:color w:val="FF9933"/>
        </w:rPr>
        <w:t xml:space="preserve"> </w:t>
      </w:r>
      <w:r w:rsidRPr="00827F58">
        <w:t>production, storage and distribution of gas will adversely impact the gas industry and its customers, businesses and households. Such disruptions can have costly immediate and longer-term impacts on the Australian economy. The immediate</w:t>
      </w:r>
      <w:r w:rsidRPr="00827F58">
        <w:rPr>
          <w:rFonts w:eastAsia="Arial"/>
        </w:rPr>
        <w:t xml:space="preserve"> impacts of a gas outage are those associated with loss of access to </w:t>
      </w:r>
      <w:r w:rsidRPr="00827F58">
        <w:t>gas or increased gas costs, such as:</w:t>
      </w:r>
    </w:p>
    <w:p w14:paraId="14322CBE" w14:textId="77777777" w:rsidR="00C46123" w:rsidRPr="00827F58" w:rsidRDefault="00C46123" w:rsidP="00E51726">
      <w:pPr>
        <w:pStyle w:val="Bullet1stlevel"/>
      </w:pPr>
      <w:r w:rsidRPr="00827F58">
        <w:t>Lost production (e.g. production of goods and services may cease);</w:t>
      </w:r>
    </w:p>
    <w:p w14:paraId="63EB316A" w14:textId="77777777" w:rsidR="00C46123" w:rsidRPr="00827F58" w:rsidRDefault="00C46123" w:rsidP="00E51726">
      <w:pPr>
        <w:pStyle w:val="Bullet1stlevel"/>
      </w:pPr>
      <w:r w:rsidRPr="00827F58">
        <w:t>Lost productivity (e.g. workers may be idle whilst continuing to receive wages);</w:t>
      </w:r>
    </w:p>
    <w:p w14:paraId="50D398C8" w14:textId="77777777" w:rsidR="00C46123" w:rsidRPr="00827F58" w:rsidRDefault="00C46123" w:rsidP="00E51726">
      <w:pPr>
        <w:pStyle w:val="Bullet1stlevel"/>
      </w:pPr>
      <w:r w:rsidRPr="00827F58">
        <w:t xml:space="preserve">Lost wages (e.g. workers may be sent home or unable to go to work); </w:t>
      </w:r>
    </w:p>
    <w:p w14:paraId="6099125C" w14:textId="77777777" w:rsidR="00C46123" w:rsidRPr="00827F58" w:rsidRDefault="00C46123" w:rsidP="00E51726">
      <w:pPr>
        <w:pStyle w:val="Bullet1stlevel"/>
      </w:pPr>
      <w:r w:rsidRPr="00827F58">
        <w:t>Increased cost of production if switching to a substitute source of energy (e.g. backup generator).</w:t>
      </w:r>
    </w:p>
    <w:p w14:paraId="6B624E3A" w14:textId="77777777" w:rsidR="00C46123" w:rsidRPr="00827F58" w:rsidRDefault="00C46123" w:rsidP="00E51726">
      <w:pPr>
        <w:pStyle w:val="BodyText"/>
      </w:pPr>
      <w:r w:rsidRPr="00827F58">
        <w:t>Computable General Equilibrium (CGE) modelling was used to illustrate how costly gas disruptions could potentially be by examining a hypothetical supply shock (i.e. less gas is available to users) and an associated increase in input costs (i.e. an increase in the cost of gas). The advantage of using a CGE approach is that both the direct and indirect (i.e. flow-on) economic impacts of a gas outage event can be quantified.</w:t>
      </w:r>
      <w:r w:rsidRPr="00827F58">
        <w:rPr>
          <w:rStyle w:val="FootnoteReference"/>
          <w:rFonts w:ascii="Arial" w:eastAsia="Calibri" w:hAnsi="Arial"/>
        </w:rPr>
        <w:footnoteReference w:id="337"/>
      </w:r>
    </w:p>
    <w:p w14:paraId="355FFC1C" w14:textId="77777777" w:rsidR="00C46123" w:rsidRPr="00936788" w:rsidRDefault="00C46123" w:rsidP="00E51726">
      <w:pPr>
        <w:pStyle w:val="AppendixH3"/>
      </w:pPr>
      <w:r w:rsidRPr="00936788">
        <w:t xml:space="preserve">Modelling Approach </w:t>
      </w:r>
    </w:p>
    <w:p w14:paraId="3E578D85" w14:textId="77777777" w:rsidR="00C46123" w:rsidRPr="00827F58" w:rsidRDefault="00C46123" w:rsidP="00E51726">
      <w:pPr>
        <w:pStyle w:val="BodyText"/>
        <w:rPr>
          <w:color w:val="2F5496"/>
        </w:rPr>
      </w:pPr>
      <w:r w:rsidRPr="00827F58">
        <w:t xml:space="preserve">To analyse the direct and indirect economic impacts of unplanned outages in the gas network due 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w:t>
      </w:r>
    </w:p>
    <w:p w14:paraId="3FDD0EDE" w14:textId="77777777" w:rsidR="00C46123" w:rsidRPr="00827F58" w:rsidRDefault="00C46123" w:rsidP="00E51726">
      <w:pPr>
        <w:pStyle w:val="BodyText"/>
      </w:pPr>
      <w:r w:rsidRPr="00827F58">
        <w:lastRenderedPageBreak/>
        <w:t>The modelling framework is suited to analysing the economic impact of a gas supply disruption as it explicitly captures supply-chain linkages as well as other flow-on effects and feedback responses by all economic agents. The strength of CGE models is that they capture the upstream and downstream linkages between the activities induced by the</w:t>
      </w:r>
      <w:r w:rsidRPr="00827F58">
        <w:rPr>
          <w:rFonts w:eastAsia="Calibri"/>
          <w:color w:val="FF9933"/>
        </w:rPr>
        <w:t xml:space="preserve"> </w:t>
      </w:r>
      <w:r w:rsidRPr="00827F58">
        <w:rPr>
          <w:rFonts w:eastAsia="Calibri"/>
        </w:rPr>
        <w:t>gas disruption incident</w:t>
      </w:r>
      <w:r w:rsidRPr="00827F58">
        <w:t xml:space="preserve"> and the rest of the economy in a framework that combines detailed historical data with fundamental economic theory. </w:t>
      </w:r>
    </w:p>
    <w:p w14:paraId="1E90358A" w14:textId="77777777" w:rsidR="00C46123" w:rsidRPr="00936788" w:rsidRDefault="00C46123" w:rsidP="00E51726">
      <w:pPr>
        <w:pStyle w:val="AppendixH3"/>
      </w:pPr>
      <w:r w:rsidRPr="00936788">
        <w:t>Scenarios</w:t>
      </w:r>
    </w:p>
    <w:p w14:paraId="1D62AF46" w14:textId="77777777" w:rsidR="00C46123" w:rsidRPr="00827F58" w:rsidRDefault="00C46123" w:rsidP="00E51726">
      <w:pPr>
        <w:pStyle w:val="BodyText"/>
      </w:pPr>
      <w:r w:rsidRPr="00827F58">
        <w:t xml:space="preserve">The CGE modelling provided estimates regarding how sensitive the Australian economy is to a shock to the gas system. This analysis was undertaken by deriving a set of hypothetical modelling scenarios based on assumptions about the intensity of a gas outage, with the initial impact calibrated as reduction in the quantity of gas supplied and the normalised insurance costs as a result of an event. The hypothetical scenarios were informed by studies of major events, which are discussed below. </w:t>
      </w:r>
    </w:p>
    <w:p w14:paraId="6DEAD67C" w14:textId="77777777" w:rsidR="00C46123" w:rsidRPr="00936788" w:rsidRDefault="00C46123" w:rsidP="00E51726">
      <w:pPr>
        <w:pStyle w:val="AppendixH3"/>
      </w:pPr>
      <w:r w:rsidRPr="00936788">
        <w:t>Case studies</w:t>
      </w:r>
    </w:p>
    <w:p w14:paraId="65334CE1" w14:textId="573EE8B6" w:rsidR="00C46123" w:rsidRPr="00827F58" w:rsidRDefault="00C46123" w:rsidP="00E51726">
      <w:pPr>
        <w:pStyle w:val="BodyText"/>
      </w:pPr>
      <w:r w:rsidRPr="00827F58">
        <w:t xml:space="preserve">The case studies provided in </w:t>
      </w:r>
      <w:r w:rsidR="00AA59FF">
        <w:t>the table below</w:t>
      </w:r>
      <w:r w:rsidRPr="00827F58">
        <w:t xml:space="preserve"> provide a basis for modelling hypothetical, but comparable outages, in an economy-wide model and contextualising the results of that modelling. Case studies have been chosen to provide insights into the economy-wide costs to households and businesses of large-scale and severe gas disruption events. The case studies include three domestic events in Western Australia and Victoria (Varanus Island disruption in 2008, Longford plant explosion in 1998 and Longford disruption in 2021), and two international events (the 2018 Enbridge pipeline explosion in Canada and the 2020 natural gas compressor cyber-attack in the US). </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417"/>
        <w:gridCol w:w="8221"/>
      </w:tblGrid>
      <w:tr w:rsidR="00AA59FF" w:rsidRPr="00827F58" w14:paraId="4B2E0E8C" w14:textId="77777777" w:rsidTr="009924E8">
        <w:trPr>
          <w:trHeight w:val="279"/>
        </w:trPr>
        <w:tc>
          <w:tcPr>
            <w:tcW w:w="735" w:type="pct"/>
            <w:shd w:val="clear" w:color="auto" w:fill="034EA2" w:themeFill="accent1"/>
          </w:tcPr>
          <w:p w14:paraId="7C193B10" w14:textId="77777777" w:rsidR="00AA59FF" w:rsidRPr="00827F58" w:rsidRDefault="00AA59FF" w:rsidP="009924E8">
            <w:pPr>
              <w:pStyle w:val="TableHeading"/>
            </w:pPr>
            <w:r w:rsidRPr="00827F58">
              <w:t>Incident</w:t>
            </w:r>
          </w:p>
        </w:tc>
        <w:tc>
          <w:tcPr>
            <w:tcW w:w="4265" w:type="pct"/>
            <w:shd w:val="clear" w:color="auto" w:fill="034EA2" w:themeFill="accent1"/>
          </w:tcPr>
          <w:p w14:paraId="6EFBC128" w14:textId="77777777" w:rsidR="00AA59FF" w:rsidRPr="00827F58" w:rsidRDefault="00AA59FF" w:rsidP="009924E8">
            <w:pPr>
              <w:pStyle w:val="TableHeading"/>
            </w:pPr>
            <w:r w:rsidRPr="00827F58">
              <w:t>Summary of incident</w:t>
            </w:r>
          </w:p>
        </w:tc>
      </w:tr>
      <w:tr w:rsidR="00AA59FF" w:rsidRPr="00827F58" w14:paraId="74603298" w14:textId="77777777" w:rsidTr="00093881">
        <w:trPr>
          <w:trHeight w:val="279"/>
        </w:trPr>
        <w:tc>
          <w:tcPr>
            <w:tcW w:w="5000" w:type="pct"/>
            <w:gridSpan w:val="2"/>
            <w:shd w:val="clear" w:color="auto" w:fill="DEEAF6"/>
          </w:tcPr>
          <w:p w14:paraId="40F0E3CE" w14:textId="77777777" w:rsidR="00AA59FF" w:rsidRPr="009924E8" w:rsidRDefault="00AA59FF" w:rsidP="009924E8">
            <w:pPr>
              <w:pStyle w:val="TableBody"/>
              <w:keepNext/>
              <w:rPr>
                <w:b/>
                <w:bCs/>
              </w:rPr>
            </w:pPr>
            <w:r w:rsidRPr="009924E8">
              <w:rPr>
                <w:b/>
                <w:bCs/>
              </w:rPr>
              <w:t>Domestic incidents</w:t>
            </w:r>
          </w:p>
        </w:tc>
      </w:tr>
      <w:tr w:rsidR="00AA59FF" w:rsidRPr="00827F58" w14:paraId="298769C2" w14:textId="77777777" w:rsidTr="00816B07">
        <w:tc>
          <w:tcPr>
            <w:tcW w:w="735" w:type="pct"/>
            <w:shd w:val="clear" w:color="auto" w:fill="F2F2F2" w:themeFill="background1" w:themeFillShade="F2"/>
          </w:tcPr>
          <w:p w14:paraId="2981EC7A" w14:textId="77777777" w:rsidR="00AA59FF" w:rsidRPr="00827F58" w:rsidRDefault="00AA59FF" w:rsidP="009924E8">
            <w:pPr>
              <w:pStyle w:val="TableBody"/>
            </w:pPr>
            <w:r w:rsidRPr="00827F58">
              <w:t>Varanus Island disruption, Western Australia (2008)</w:t>
            </w:r>
          </w:p>
        </w:tc>
        <w:tc>
          <w:tcPr>
            <w:tcW w:w="4265" w:type="pct"/>
            <w:shd w:val="clear" w:color="auto" w:fill="auto"/>
          </w:tcPr>
          <w:p w14:paraId="7859D683" w14:textId="77777777" w:rsidR="00AA59FF" w:rsidRPr="00827F58" w:rsidRDefault="00AA59FF" w:rsidP="009924E8">
            <w:pPr>
              <w:pStyle w:val="TableBody"/>
            </w:pPr>
            <w:r w:rsidRPr="00827F58">
              <w:t>In June 2008, a major disruption to the natural gas supply in Western Australia occurred due to the rupture of a corroded pipeline and the subsequent explosion at a processing plant on Varanus Island, off the state's north west coast. The Apache Energy’s plant was shut down, reducing Western Australia’s gas supply by around 30% for over two months. Gas spot prices increased sharply, and several mining and industrial companies were forced to curtail production. Some electricity generators switched to emergency diesel stocks, and coal fired power plants that had been closed were also brought back online.</w:t>
            </w:r>
            <w:r w:rsidRPr="00827F58">
              <w:rPr>
                <w:vertAlign w:val="superscript"/>
              </w:rPr>
              <w:footnoteReference w:id="338"/>
            </w:r>
          </w:p>
        </w:tc>
      </w:tr>
      <w:tr w:rsidR="00AA59FF" w:rsidRPr="00827F58" w14:paraId="179F5D89" w14:textId="77777777" w:rsidTr="00816B07">
        <w:tc>
          <w:tcPr>
            <w:tcW w:w="735" w:type="pct"/>
            <w:shd w:val="clear" w:color="auto" w:fill="F2F2F2" w:themeFill="background1" w:themeFillShade="F2"/>
          </w:tcPr>
          <w:p w14:paraId="4AF10F38" w14:textId="77777777" w:rsidR="00AA59FF" w:rsidRPr="00827F58" w:rsidRDefault="00AA59FF" w:rsidP="009924E8">
            <w:pPr>
              <w:pStyle w:val="TableBody"/>
            </w:pPr>
            <w:r w:rsidRPr="00827F58">
              <w:t>Longford plant explosion, Victoria, Australia (1998)</w:t>
            </w:r>
          </w:p>
        </w:tc>
        <w:tc>
          <w:tcPr>
            <w:tcW w:w="4265" w:type="pct"/>
            <w:shd w:val="clear" w:color="auto" w:fill="auto"/>
          </w:tcPr>
          <w:p w14:paraId="1CE1A5B9" w14:textId="77777777" w:rsidR="00AA59FF" w:rsidRPr="00827F58" w:rsidRDefault="00AA59FF" w:rsidP="009924E8">
            <w:pPr>
              <w:pStyle w:val="TableBody"/>
            </w:pPr>
            <w:r w:rsidRPr="00827F58">
              <w:t>The explosion at the Longford Esso/BHP gas processing facility near Sale, Victoria in September 1998 severely disrupted the entire Victorian gas supply and left Victorians without gas supplies for 10 days</w:t>
            </w:r>
            <w:r w:rsidRPr="00827F58">
              <w:rPr>
                <w:rStyle w:val="FootnoteReference"/>
                <w:rFonts w:ascii="Arial" w:eastAsia="Calibri" w:hAnsi="Arial"/>
                <w:sz w:val="18"/>
                <w:szCs w:val="18"/>
              </w:rPr>
              <w:footnoteReference w:id="339"/>
            </w:r>
            <w:r w:rsidRPr="00827F58">
              <w:t>. There were several factors which led to the explosion, these included a lack of adequate training for staff, lack of comprehensive operating procedures and insufficient technical support on site. The plant was shut down immediately following the explosion and Victoria was left without its primary gas supplier. Within days, the Victorian Energy Networks Corporation shut down the state’s entire gas supply. Reports have suggested the disruption cost Victorian businesses about $1.3 billion.</w:t>
            </w:r>
            <w:r w:rsidRPr="00827F58">
              <w:rPr>
                <w:rStyle w:val="FootnoteReference"/>
                <w:rFonts w:ascii="Arial" w:eastAsia="Calibri" w:hAnsi="Arial"/>
                <w:sz w:val="18"/>
                <w:szCs w:val="18"/>
              </w:rPr>
              <w:footnoteReference w:id="340"/>
            </w:r>
            <w:r w:rsidRPr="00827F58">
              <w:t xml:space="preserve"> </w:t>
            </w:r>
          </w:p>
        </w:tc>
      </w:tr>
      <w:tr w:rsidR="00AA59FF" w:rsidRPr="00827F58" w14:paraId="321F279D" w14:textId="77777777" w:rsidTr="00816B07">
        <w:tc>
          <w:tcPr>
            <w:tcW w:w="735" w:type="pct"/>
            <w:shd w:val="clear" w:color="auto" w:fill="F2F2F2" w:themeFill="background1" w:themeFillShade="F2"/>
          </w:tcPr>
          <w:p w14:paraId="57D41481" w14:textId="77777777" w:rsidR="00AA59FF" w:rsidRPr="00827F58" w:rsidRDefault="00AA59FF" w:rsidP="009924E8">
            <w:pPr>
              <w:pStyle w:val="TableBody"/>
            </w:pPr>
            <w:r w:rsidRPr="00827F58">
              <w:t>Longford disruption, Victoria, Australia (2021)</w:t>
            </w:r>
          </w:p>
        </w:tc>
        <w:tc>
          <w:tcPr>
            <w:tcW w:w="4265" w:type="pct"/>
            <w:shd w:val="clear" w:color="auto" w:fill="auto"/>
          </w:tcPr>
          <w:p w14:paraId="7E237A7E" w14:textId="4514CDE6" w:rsidR="00AA59FF" w:rsidRPr="00827F58" w:rsidRDefault="00AA59FF" w:rsidP="009924E8">
            <w:pPr>
              <w:pStyle w:val="TableBody"/>
            </w:pPr>
            <w:r w:rsidRPr="00827F58">
              <w:t xml:space="preserve">The Longford gas plant in Victoria, the largest domestic gas production plant on the east coast suffered another disruption to </w:t>
            </w:r>
            <w:r w:rsidR="000D1D1E" w:rsidRPr="00827F58">
              <w:t>production over</w:t>
            </w:r>
            <w:r w:rsidRPr="00827F58">
              <w:t xml:space="preserve"> a weekend in mid-July 2021, triggering a spike in prices. Victorian wholesale gas price jumped to $39.99 a gigajoule on Saturday afternoon, about six times the average earlier in the year. The plant’s production was reduced by about 30-35% for more than 24 hours due to technical problems.</w:t>
            </w:r>
            <w:r w:rsidRPr="00827F58">
              <w:rPr>
                <w:rStyle w:val="FootnoteReference"/>
                <w:rFonts w:ascii="Arial" w:eastAsia="Calibri" w:hAnsi="Arial"/>
                <w:sz w:val="18"/>
                <w:szCs w:val="18"/>
              </w:rPr>
              <w:footnoteReference w:id="341"/>
            </w:r>
          </w:p>
        </w:tc>
      </w:tr>
      <w:tr w:rsidR="00AA59FF" w:rsidRPr="009924E8" w14:paraId="4FDD6DF2" w14:textId="77777777" w:rsidTr="00093881">
        <w:trPr>
          <w:trHeight w:val="278"/>
        </w:trPr>
        <w:tc>
          <w:tcPr>
            <w:tcW w:w="5000" w:type="pct"/>
            <w:gridSpan w:val="2"/>
            <w:shd w:val="clear" w:color="auto" w:fill="DEEAF6"/>
          </w:tcPr>
          <w:p w14:paraId="703F84FA" w14:textId="77777777" w:rsidR="00AA59FF" w:rsidRPr="009924E8" w:rsidRDefault="00AA59FF" w:rsidP="009924E8">
            <w:pPr>
              <w:pStyle w:val="TableBody"/>
              <w:rPr>
                <w:b/>
              </w:rPr>
            </w:pPr>
            <w:r w:rsidRPr="009924E8">
              <w:rPr>
                <w:b/>
              </w:rPr>
              <w:lastRenderedPageBreak/>
              <w:t>Overseas incidents</w:t>
            </w:r>
          </w:p>
        </w:tc>
      </w:tr>
      <w:tr w:rsidR="00AA59FF" w:rsidRPr="00827F58" w14:paraId="67074822" w14:textId="77777777" w:rsidTr="00816B07">
        <w:tc>
          <w:tcPr>
            <w:tcW w:w="735" w:type="pct"/>
            <w:shd w:val="clear" w:color="auto" w:fill="F2F2F2" w:themeFill="background1" w:themeFillShade="F2"/>
          </w:tcPr>
          <w:p w14:paraId="7CCFB1F4" w14:textId="77777777" w:rsidR="00AA59FF" w:rsidRPr="00827F58" w:rsidRDefault="00AA59FF" w:rsidP="009924E8">
            <w:pPr>
              <w:pStyle w:val="TableBody"/>
            </w:pPr>
            <w:r w:rsidRPr="00827F58">
              <w:t>Enbridge pipeline explosion, Canada (2018)</w:t>
            </w:r>
          </w:p>
        </w:tc>
        <w:tc>
          <w:tcPr>
            <w:tcW w:w="4265" w:type="pct"/>
            <w:shd w:val="clear" w:color="auto" w:fill="auto"/>
          </w:tcPr>
          <w:p w14:paraId="3C3C0E8F" w14:textId="4CC55D28" w:rsidR="00AA59FF" w:rsidRPr="00827F58" w:rsidRDefault="00AA59FF" w:rsidP="009924E8">
            <w:pPr>
              <w:pStyle w:val="TableBody"/>
            </w:pPr>
            <w:r w:rsidRPr="00827F58">
              <w:t>In 2018, undetected stress corrosion cracking saw the rupture of Canada’s Enbridge natural gas pipeline, resulting in a fire near the city of Prince George in the province of British Columbia. The rupture forced the evacuation of approximately 125 residents within a 2km radius of the explosion site, resulted in province-wide natural gas shortages and required heightened energy conservation efforts throughout winter. About 10% of Western Canada’s gas supply was lost for two days, and operations were restricted for a total of 21 days.</w:t>
            </w:r>
            <w:r w:rsidRPr="00827F58">
              <w:rPr>
                <w:rStyle w:val="FootnoteReference"/>
                <w:rFonts w:ascii="Arial" w:eastAsia="Calibri" w:hAnsi="Arial"/>
                <w:sz w:val="18"/>
                <w:szCs w:val="18"/>
              </w:rPr>
              <w:footnoteReference w:id="342"/>
            </w:r>
          </w:p>
        </w:tc>
      </w:tr>
      <w:tr w:rsidR="00AA59FF" w:rsidRPr="00827F58" w14:paraId="46C104F9" w14:textId="77777777" w:rsidTr="00816B07">
        <w:tc>
          <w:tcPr>
            <w:tcW w:w="735" w:type="pct"/>
            <w:shd w:val="clear" w:color="auto" w:fill="F2F2F2" w:themeFill="background1" w:themeFillShade="F2"/>
          </w:tcPr>
          <w:p w14:paraId="1D67256F" w14:textId="77777777" w:rsidR="00AA59FF" w:rsidRPr="00827F58" w:rsidDel="007B0B1F" w:rsidRDefault="00AA59FF" w:rsidP="009924E8">
            <w:pPr>
              <w:pStyle w:val="TableBody"/>
            </w:pPr>
            <w:r w:rsidRPr="00827F58">
              <w:t>US natural gas compressor cyber-attack (2020)</w:t>
            </w:r>
          </w:p>
        </w:tc>
        <w:tc>
          <w:tcPr>
            <w:tcW w:w="4265" w:type="pct"/>
            <w:shd w:val="clear" w:color="auto" w:fill="auto"/>
          </w:tcPr>
          <w:p w14:paraId="26EF55F3" w14:textId="7737328F" w:rsidR="00AA59FF" w:rsidRPr="00827F58" w:rsidRDefault="00AA59FF" w:rsidP="009924E8">
            <w:pPr>
              <w:pStyle w:val="TableBody"/>
            </w:pPr>
            <w:r w:rsidRPr="00827F58">
              <w:t>A major US natural gas compression facility was entirely shut down for two days due to a ransomware attack, causing loss of productivity and revenue, according to a security alert issued by the US Cybersecurity and Infrastructure Security Agency (CISA). The attacker deployed the commodity ransomware to encrypt data on both the operational and information technology networks at the same time before demanding a ransom payment.</w:t>
            </w:r>
            <w:r w:rsidRPr="00827F58">
              <w:rPr>
                <w:rStyle w:val="FootnoteReference"/>
                <w:rFonts w:ascii="Arial" w:eastAsia="Calibri" w:hAnsi="Arial"/>
                <w:sz w:val="18"/>
                <w:szCs w:val="18"/>
              </w:rPr>
              <w:footnoteReference w:id="343"/>
            </w:r>
          </w:p>
        </w:tc>
      </w:tr>
    </w:tbl>
    <w:p w14:paraId="75E8990C" w14:textId="77777777" w:rsidR="00C0794C" w:rsidRPr="00827F58" w:rsidRDefault="00C0794C" w:rsidP="006D1CC5">
      <w:pPr>
        <w:pStyle w:val="BodyText"/>
        <w:spacing w:before="240"/>
        <w:rPr>
          <w:color w:val="FF9933"/>
        </w:rPr>
      </w:pPr>
      <w:r w:rsidRPr="00827F58">
        <w:t>These case studies highlight that gas outages inflict substantial direct and indirect costs on firms and households alike. Businesses bore the brunt of the damage across all case studies, mostly through lost income and productivity. It appears that both industrial and commercial sectors (particularly, the hospitality industry, which used natural gas as an intermediate input for cooking and space heating) are hit hard by gas supply shortages. For instance, studies into the Longford plant explosion in 1998 disruption found the loss to industry during the crisis was estimated at about $1.3 billion, with Victorian industries that had lost their energy source being forced to close. During the Longford disruption in 2021, manufacturers that were exposed to the spot market were hurt by the spiking gas prices. The Enbridge pipeline explosion in Canada in 2018 resulted in a gas supply deficit the in the FortisBC system, forcing supply to hospitals, refineries, food and other processing facilities, and condominium complexes to be cut off entirely. Residents are also likely to experience a high degree of inconvenience due to gas shortages, impacting hot water or heating.</w:t>
      </w:r>
    </w:p>
    <w:p w14:paraId="77446455" w14:textId="139E8F52" w:rsidR="00824385" w:rsidRPr="00827F58" w:rsidRDefault="00824385" w:rsidP="00E51726">
      <w:pPr>
        <w:pStyle w:val="BodyText"/>
      </w:pPr>
      <w:r w:rsidRPr="00827F58">
        <w:t>For the purposes of the modelling of the cost of avoided future incidents in Australia, the Varanus Island disruption</w:t>
      </w:r>
      <w:r w:rsidRPr="00827F58">
        <w:rPr>
          <w:color w:val="FF9933"/>
        </w:rPr>
        <w:t xml:space="preserve"> </w:t>
      </w:r>
      <w:r w:rsidRPr="00827F58">
        <w:t xml:space="preserve">was selected to be simulated due to the availability of sufficient information about its direct impact on gas supply to support the modelling. Given the major magnitude of damages, this incident is considered a severe risk scenario. The use of an actual event as a risk point of comparison is important because it ensures the benefits analysis is grounded in reality. The plant, which normally supplied a third of the state’s gas, was closed for almost two months. Supply from the plant partially resumed in late August. By mid-October, gas production was running at two-thirds of normal capacity with 85% of fully capacity restored by December 2008. It is estimated that approximately 40-50 </w:t>
      </w:r>
      <w:r w:rsidR="000D1D1E">
        <w:t>p</w:t>
      </w:r>
      <w:r w:rsidRPr="00827F58">
        <w:t>etajoules, or 4-5% of total national gas supply, was lost in 2008.</w:t>
      </w:r>
      <w:r w:rsidRPr="00827F58">
        <w:rPr>
          <w:rStyle w:val="FootnoteReference"/>
          <w:rFonts w:ascii="Arial" w:eastAsia="Arial" w:hAnsi="Arial"/>
        </w:rPr>
        <w:footnoteReference w:id="344"/>
      </w:r>
      <w:r w:rsidRPr="00827F58">
        <w:t xml:space="preserve"> According to the Insurance Council of Australia, the normalised insurance losses were about $279 million (in 2011 dollars) or $340 million (in 2021 dollars).</w:t>
      </w:r>
      <w:r w:rsidRPr="00827F58">
        <w:rPr>
          <w:rStyle w:val="FootnoteReference"/>
          <w:rFonts w:ascii="Arial" w:eastAsia="Arial" w:hAnsi="Arial"/>
        </w:rPr>
        <w:footnoteReference w:id="345"/>
      </w:r>
      <w:r w:rsidRPr="00827F58">
        <w:t xml:space="preserve"> The estimate of insurance losses should be interpreted with caution – a senate inquiry into matters relating to the explosion indicated that the relatively modest insurance impact reflected most companies choosing not to take out business disruption insurance, and in several cases, policies only allowing a claim if gas supply was completely cut off rather than just being reduced or subject to high deductibles.</w:t>
      </w:r>
      <w:r w:rsidRPr="00827F58">
        <w:rPr>
          <w:rStyle w:val="FootnoteReference"/>
          <w:rFonts w:ascii="Arial" w:eastAsia="Arial" w:hAnsi="Arial"/>
        </w:rPr>
        <w:footnoteReference w:id="346"/>
      </w:r>
      <w:r w:rsidRPr="00827F58">
        <w:t xml:space="preserve">  </w:t>
      </w:r>
    </w:p>
    <w:p w14:paraId="0129C4F8" w14:textId="77777777" w:rsidR="001857AF" w:rsidRDefault="001857AF" w:rsidP="00E51726">
      <w:pPr>
        <w:pStyle w:val="BodyText"/>
      </w:pPr>
      <w:r w:rsidRPr="00827F58">
        <w:t>A framework for considering the potential impacts of Australian gas outages following failure of critical infrastructure is provided in</w:t>
      </w:r>
      <w:r w:rsidR="007F09EC">
        <w:t xml:space="preserve"> the table </w:t>
      </w:r>
      <w:r w:rsidRPr="00827F58">
        <w:t>below.</w:t>
      </w:r>
    </w:p>
    <w:p w14:paraId="3A761AC9" w14:textId="77777777" w:rsidR="00CE4FE0" w:rsidRPr="00CE4FE0" w:rsidRDefault="00CE4FE0" w:rsidP="00E51726">
      <w:pPr>
        <w:pStyle w:val="Caption"/>
      </w:pPr>
      <w:r w:rsidRPr="00827F58">
        <w:lastRenderedPageBreak/>
        <w:t>Framework for scenario development and sensitivity analysis</w:t>
      </w:r>
    </w:p>
    <w:tbl>
      <w:tblPr>
        <w:tblStyle w:val="TableGrid32"/>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614"/>
        <w:gridCol w:w="2548"/>
        <w:gridCol w:w="2756"/>
        <w:gridCol w:w="2720"/>
      </w:tblGrid>
      <w:tr w:rsidR="00165316" w:rsidRPr="00827F58" w14:paraId="768B85AE" w14:textId="77777777" w:rsidTr="006D1CC5">
        <w:trPr>
          <w:trHeight w:val="420"/>
        </w:trPr>
        <w:tc>
          <w:tcPr>
            <w:tcW w:w="837" w:type="pct"/>
            <w:shd w:val="clear" w:color="auto" w:fill="034EA2" w:themeFill="accent1"/>
          </w:tcPr>
          <w:p w14:paraId="5FEE6FCE" w14:textId="77777777" w:rsidR="00165316" w:rsidRPr="00827F58" w:rsidRDefault="00165316" w:rsidP="006D1CC5">
            <w:pPr>
              <w:pStyle w:val="TableHeading"/>
            </w:pPr>
          </w:p>
        </w:tc>
        <w:tc>
          <w:tcPr>
            <w:tcW w:w="1322" w:type="pct"/>
            <w:shd w:val="clear" w:color="auto" w:fill="034EA2" w:themeFill="accent1"/>
            <w:vAlign w:val="center"/>
          </w:tcPr>
          <w:p w14:paraId="59440E85" w14:textId="77777777" w:rsidR="00165316" w:rsidRPr="00827F58" w:rsidRDefault="00165316" w:rsidP="006D1CC5">
            <w:pPr>
              <w:pStyle w:val="TableHeading"/>
              <w:rPr>
                <w:color w:val="FFFFFF"/>
              </w:rPr>
            </w:pPr>
            <w:r w:rsidRPr="00827F58">
              <w:rPr>
                <w:color w:val="FFFFFF"/>
              </w:rPr>
              <w:t>Severe scenario</w:t>
            </w:r>
          </w:p>
        </w:tc>
        <w:tc>
          <w:tcPr>
            <w:tcW w:w="1430" w:type="pct"/>
            <w:shd w:val="clear" w:color="auto" w:fill="034EA2" w:themeFill="accent1"/>
            <w:vAlign w:val="center"/>
          </w:tcPr>
          <w:p w14:paraId="22EDF89B" w14:textId="77777777" w:rsidR="00165316" w:rsidRPr="00827F58" w:rsidRDefault="00165316" w:rsidP="006D1CC5">
            <w:pPr>
              <w:pStyle w:val="TableHeading"/>
              <w:rPr>
                <w:color w:val="FFFFFF"/>
              </w:rPr>
            </w:pPr>
            <w:r w:rsidRPr="00827F58">
              <w:rPr>
                <w:color w:val="FFFFFF"/>
              </w:rPr>
              <w:t>Moderate scenario</w:t>
            </w:r>
          </w:p>
        </w:tc>
        <w:tc>
          <w:tcPr>
            <w:tcW w:w="1412" w:type="pct"/>
            <w:shd w:val="clear" w:color="auto" w:fill="034EA2" w:themeFill="accent1"/>
            <w:vAlign w:val="center"/>
          </w:tcPr>
          <w:p w14:paraId="1E67288E" w14:textId="77777777" w:rsidR="00165316" w:rsidRPr="00827F58" w:rsidRDefault="00165316" w:rsidP="006D1CC5">
            <w:pPr>
              <w:pStyle w:val="TableHeading"/>
              <w:rPr>
                <w:color w:val="FFFFFF"/>
              </w:rPr>
            </w:pPr>
            <w:r w:rsidRPr="00827F58">
              <w:rPr>
                <w:color w:val="FFFFFF"/>
              </w:rPr>
              <w:t>Low scenario</w:t>
            </w:r>
          </w:p>
        </w:tc>
      </w:tr>
      <w:tr w:rsidR="00165316" w:rsidRPr="00827F58" w14:paraId="1EEB80BF" w14:textId="77777777" w:rsidTr="00816B07">
        <w:trPr>
          <w:trHeight w:val="570"/>
        </w:trPr>
        <w:tc>
          <w:tcPr>
            <w:tcW w:w="837" w:type="pct"/>
            <w:shd w:val="clear" w:color="auto" w:fill="F2F2F2" w:themeFill="background1" w:themeFillShade="F2"/>
            <w:vAlign w:val="center"/>
          </w:tcPr>
          <w:p w14:paraId="619469F5" w14:textId="77777777" w:rsidR="00165316" w:rsidRPr="00827F58" w:rsidRDefault="00165316" w:rsidP="006D1CC5">
            <w:pPr>
              <w:pStyle w:val="TableBody"/>
              <w:rPr>
                <w:color w:val="FFFFFF"/>
              </w:rPr>
            </w:pPr>
            <w:r w:rsidRPr="00827F58">
              <w:t>Intensity of event</w:t>
            </w:r>
          </w:p>
        </w:tc>
        <w:tc>
          <w:tcPr>
            <w:tcW w:w="1322" w:type="pct"/>
            <w:shd w:val="clear" w:color="auto" w:fill="FFFFFF" w:themeFill="background1"/>
            <w:vAlign w:val="center"/>
          </w:tcPr>
          <w:p w14:paraId="15B1BEB0" w14:textId="77777777" w:rsidR="00165316" w:rsidRPr="00827F58" w:rsidRDefault="00165316" w:rsidP="006D1CC5">
            <w:pPr>
              <w:pStyle w:val="TableBody"/>
              <w:rPr>
                <w:rFonts w:eastAsia="Arial"/>
              </w:rPr>
            </w:pPr>
            <w:r w:rsidRPr="00827F58">
              <w:rPr>
                <w:rFonts w:eastAsia="Arial"/>
              </w:rPr>
              <w:t>Varanus Island disruption in 2008</w:t>
            </w:r>
            <w:r w:rsidRPr="00827F58">
              <w:rPr>
                <w:rStyle w:val="FootnoteReference"/>
                <w:rFonts w:ascii="Arial" w:eastAsia="Arial" w:hAnsi="Arial"/>
                <w:sz w:val="22"/>
              </w:rPr>
              <w:footnoteReference w:id="347"/>
            </w:r>
          </w:p>
        </w:tc>
        <w:tc>
          <w:tcPr>
            <w:tcW w:w="1430" w:type="pct"/>
            <w:shd w:val="clear" w:color="auto" w:fill="FFFFFF" w:themeFill="background1"/>
            <w:vAlign w:val="center"/>
          </w:tcPr>
          <w:p w14:paraId="5EED21E1" w14:textId="77777777" w:rsidR="00165316" w:rsidRPr="00827F58" w:rsidRDefault="00165316" w:rsidP="006D1CC5">
            <w:pPr>
              <w:pStyle w:val="TableBody"/>
              <w:rPr>
                <w:rFonts w:eastAsia="Arial"/>
              </w:rPr>
            </w:pPr>
            <w:r w:rsidRPr="00827F58">
              <w:rPr>
                <w:rFonts w:eastAsia="Arial"/>
              </w:rPr>
              <w:t>50</w:t>
            </w:r>
            <w:r w:rsidRPr="00827F58">
              <w:t>% of severe scenario gas supply loss</w:t>
            </w:r>
          </w:p>
        </w:tc>
        <w:tc>
          <w:tcPr>
            <w:tcW w:w="1412" w:type="pct"/>
            <w:shd w:val="clear" w:color="auto" w:fill="FFFFFF" w:themeFill="background1"/>
            <w:vAlign w:val="center"/>
          </w:tcPr>
          <w:p w14:paraId="4A399A91" w14:textId="77777777" w:rsidR="00165316" w:rsidRPr="00827F58" w:rsidRDefault="00165316" w:rsidP="006D1CC5">
            <w:pPr>
              <w:pStyle w:val="TableBody"/>
            </w:pPr>
            <w:r w:rsidRPr="00827F58">
              <w:t>25% of severe scenario gas supply loss</w:t>
            </w:r>
          </w:p>
        </w:tc>
      </w:tr>
    </w:tbl>
    <w:p w14:paraId="4BB6F195" w14:textId="77777777" w:rsidR="00925B8D" w:rsidRPr="00827F58" w:rsidRDefault="00925B8D" w:rsidP="006D1CC5">
      <w:pPr>
        <w:pStyle w:val="BodyText"/>
        <w:spacing w:before="240"/>
      </w:pPr>
      <w:r w:rsidRPr="00827F58">
        <w:t>The rationale for a more severe scenario than experienced in the Varanus Island incident reflects the complexity of the scenarios that could occur. As noted above, the economic impact of an incident will vary due to a range of factors including the location of a disruption, as well as the timing and the duration of disruption. While an incident with a much greater impact than the severe scenario is conceivable, the defined scenarios and subsequent benefits analysis are based on a deliberately conservative approach to ensure the severe scenario remains demonstrably plausible.</w:t>
      </w:r>
    </w:p>
    <w:p w14:paraId="445EC4EF" w14:textId="77777777" w:rsidR="00925B8D" w:rsidRPr="00827F58" w:rsidRDefault="00925B8D" w:rsidP="00E51726">
      <w:pPr>
        <w:pStyle w:val="BodyText"/>
      </w:pPr>
      <w:r w:rsidRPr="00827F58">
        <w:t xml:space="preserve">A summary of the economic impact of each scenario is provided in </w:t>
      </w:r>
      <w:r w:rsidR="00936788">
        <w:t>the table below</w:t>
      </w:r>
      <w:r w:rsidRPr="00827F58">
        <w:t xml:space="preserve">. A break-even analysis of these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 </w:t>
      </w:r>
    </w:p>
    <w:p w14:paraId="02B5DC92" w14:textId="77777777" w:rsidR="00936788" w:rsidRPr="00827F58" w:rsidRDefault="00936788" w:rsidP="00E51726">
      <w:pPr>
        <w:pStyle w:val="Caption"/>
      </w:pPr>
      <w:bookmarkStart w:id="638" w:name="_Toc79157121"/>
      <w:bookmarkStart w:id="639" w:name="_Toc83301977"/>
      <w:r w:rsidRPr="00827F58">
        <w:t>Summary of benefits scenarios</w:t>
      </w:r>
      <w:bookmarkEnd w:id="638"/>
      <w:bookmarkEnd w:id="639"/>
    </w:p>
    <w:tbl>
      <w:tblPr>
        <w:tblStyle w:val="TableGrid1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975"/>
        <w:gridCol w:w="2221"/>
        <w:gridCol w:w="2221"/>
        <w:gridCol w:w="2221"/>
      </w:tblGrid>
      <w:tr w:rsidR="00165316" w:rsidRPr="00827F58" w14:paraId="440D9B71" w14:textId="77777777" w:rsidTr="006D1CC5">
        <w:trPr>
          <w:cantSplit/>
        </w:trPr>
        <w:tc>
          <w:tcPr>
            <w:tcW w:w="1544" w:type="pct"/>
            <w:shd w:val="clear" w:color="auto" w:fill="034EA2" w:themeFill="accent1"/>
          </w:tcPr>
          <w:p w14:paraId="15DB750E" w14:textId="77777777" w:rsidR="00165316" w:rsidRPr="00827F58" w:rsidRDefault="00165316" w:rsidP="006D1CC5">
            <w:pPr>
              <w:pStyle w:val="TableHeading"/>
            </w:pPr>
          </w:p>
        </w:tc>
        <w:tc>
          <w:tcPr>
            <w:tcW w:w="1152" w:type="pct"/>
            <w:shd w:val="clear" w:color="auto" w:fill="034EA2" w:themeFill="accent1"/>
          </w:tcPr>
          <w:p w14:paraId="1F264D6B" w14:textId="77777777" w:rsidR="00165316" w:rsidRPr="00827F58" w:rsidRDefault="00165316" w:rsidP="006D1CC5">
            <w:pPr>
              <w:pStyle w:val="TableHeading"/>
            </w:pPr>
            <w:r w:rsidRPr="00827F58">
              <w:t xml:space="preserve">Scenario </w:t>
            </w:r>
            <w:r>
              <w:t>1</w:t>
            </w:r>
            <w:r w:rsidRPr="00827F58">
              <w:rPr>
                <w:rFonts w:ascii="Calibri" w:hAnsi="Calibri"/>
              </w:rPr>
              <w:br/>
            </w:r>
            <w:r w:rsidRPr="00827F58">
              <w:t>(Severe), $ million</w:t>
            </w:r>
          </w:p>
        </w:tc>
        <w:tc>
          <w:tcPr>
            <w:tcW w:w="1152" w:type="pct"/>
            <w:shd w:val="clear" w:color="auto" w:fill="034EA2" w:themeFill="accent1"/>
          </w:tcPr>
          <w:p w14:paraId="1B74B640" w14:textId="77777777" w:rsidR="00165316" w:rsidRPr="00827F58" w:rsidRDefault="00165316" w:rsidP="006D1CC5">
            <w:pPr>
              <w:pStyle w:val="TableHeading"/>
            </w:pPr>
            <w:r w:rsidRPr="00827F58">
              <w:t>Scenario 2</w:t>
            </w:r>
            <w:r w:rsidRPr="00827F58">
              <w:br/>
              <w:t>(Moderate), $ million</w:t>
            </w:r>
          </w:p>
        </w:tc>
        <w:tc>
          <w:tcPr>
            <w:tcW w:w="1152" w:type="pct"/>
            <w:shd w:val="clear" w:color="auto" w:fill="034EA2" w:themeFill="accent1"/>
          </w:tcPr>
          <w:p w14:paraId="67806773" w14:textId="77777777" w:rsidR="00165316" w:rsidRPr="00827F58" w:rsidRDefault="00165316" w:rsidP="006D1CC5">
            <w:pPr>
              <w:pStyle w:val="TableHeading"/>
            </w:pPr>
            <w:r w:rsidRPr="00827F58">
              <w:t xml:space="preserve">Scenario </w:t>
            </w:r>
            <w:r>
              <w:t>3</w:t>
            </w:r>
            <w:r w:rsidRPr="00827F58">
              <w:rPr>
                <w:rFonts w:ascii="Calibri" w:hAnsi="Calibri"/>
              </w:rPr>
              <w:br/>
            </w:r>
            <w:r w:rsidRPr="00827F58">
              <w:t>(Low), $ million</w:t>
            </w:r>
          </w:p>
        </w:tc>
      </w:tr>
      <w:tr w:rsidR="00165316" w:rsidRPr="00827F58" w14:paraId="10BB5F87" w14:textId="77777777" w:rsidTr="006D1CC5">
        <w:trPr>
          <w:cantSplit/>
        </w:trPr>
        <w:tc>
          <w:tcPr>
            <w:tcW w:w="1544" w:type="pct"/>
            <w:shd w:val="clear" w:color="auto" w:fill="DEEAF6"/>
            <w:vAlign w:val="center"/>
          </w:tcPr>
          <w:p w14:paraId="591110C5" w14:textId="77777777" w:rsidR="00165316" w:rsidRPr="00827F58" w:rsidRDefault="00165316" w:rsidP="006D1CC5">
            <w:pPr>
              <w:pStyle w:val="TableBody"/>
              <w:rPr>
                <w:bCs/>
              </w:rPr>
            </w:pPr>
            <w:r w:rsidRPr="00827F58">
              <w:rPr>
                <w:bCs/>
              </w:rPr>
              <w:t>Total avoided cost to the economy of the incident</w:t>
            </w:r>
          </w:p>
        </w:tc>
        <w:tc>
          <w:tcPr>
            <w:tcW w:w="1152" w:type="pct"/>
            <w:shd w:val="clear" w:color="auto" w:fill="DEEAF6"/>
            <w:vAlign w:val="center"/>
          </w:tcPr>
          <w:p w14:paraId="7EBD43C8" w14:textId="075D7BE9" w:rsidR="00165316" w:rsidRPr="00827F58" w:rsidRDefault="00165316" w:rsidP="006D1CC5">
            <w:pPr>
              <w:pStyle w:val="TableBody"/>
              <w:rPr>
                <w:b/>
              </w:rPr>
            </w:pPr>
            <w:r w:rsidRPr="00827F58">
              <w:rPr>
                <w:b/>
              </w:rPr>
              <w:t>1,913.0</w:t>
            </w:r>
          </w:p>
        </w:tc>
        <w:tc>
          <w:tcPr>
            <w:tcW w:w="1152" w:type="pct"/>
            <w:shd w:val="clear" w:color="auto" w:fill="DEEAF6"/>
            <w:vAlign w:val="center"/>
          </w:tcPr>
          <w:p w14:paraId="3DDE5747" w14:textId="28675690" w:rsidR="00165316" w:rsidRPr="00827F58" w:rsidRDefault="00165316" w:rsidP="006D1CC5">
            <w:pPr>
              <w:pStyle w:val="TableBody"/>
              <w:rPr>
                <w:b/>
              </w:rPr>
            </w:pPr>
            <w:r w:rsidRPr="00827F58">
              <w:rPr>
                <w:b/>
              </w:rPr>
              <w:t>1,001.0</w:t>
            </w:r>
          </w:p>
        </w:tc>
        <w:tc>
          <w:tcPr>
            <w:tcW w:w="1152" w:type="pct"/>
            <w:shd w:val="clear" w:color="auto" w:fill="DEEAF6"/>
            <w:vAlign w:val="center"/>
          </w:tcPr>
          <w:p w14:paraId="15C70FF1" w14:textId="1F70AB24" w:rsidR="00165316" w:rsidRPr="00827F58" w:rsidRDefault="00165316" w:rsidP="006D1CC5">
            <w:pPr>
              <w:pStyle w:val="TableBody"/>
              <w:rPr>
                <w:b/>
              </w:rPr>
            </w:pPr>
            <w:r w:rsidRPr="00827F58">
              <w:rPr>
                <w:b/>
              </w:rPr>
              <w:t xml:space="preserve">513.0 </w:t>
            </w:r>
          </w:p>
        </w:tc>
      </w:tr>
      <w:tr w:rsidR="009E6DAB" w:rsidRPr="00827F58" w14:paraId="2F0AFE26" w14:textId="77777777" w:rsidTr="006D1CC5">
        <w:trPr>
          <w:cantSplit/>
        </w:trPr>
        <w:tc>
          <w:tcPr>
            <w:tcW w:w="1544" w:type="pct"/>
            <w:shd w:val="clear" w:color="auto" w:fill="FFFFFF" w:themeFill="background1"/>
            <w:vAlign w:val="center"/>
          </w:tcPr>
          <w:p w14:paraId="7F4C82C0" w14:textId="77777777" w:rsidR="00165316" w:rsidRPr="00827F58" w:rsidRDefault="00165316" w:rsidP="006D1CC5">
            <w:pPr>
              <w:pStyle w:val="TableBody"/>
            </w:pPr>
            <w:r w:rsidRPr="00827F58">
              <w:t>Approximate number of avoided incidents per annum required for a net benefit</w:t>
            </w:r>
          </w:p>
        </w:tc>
        <w:tc>
          <w:tcPr>
            <w:tcW w:w="1152" w:type="pct"/>
            <w:shd w:val="clear" w:color="auto" w:fill="FFFFFF" w:themeFill="background1"/>
            <w:vAlign w:val="center"/>
          </w:tcPr>
          <w:p w14:paraId="3540EF3F" w14:textId="77777777" w:rsidR="00165316" w:rsidRPr="00827F58" w:rsidRDefault="00BD6B32" w:rsidP="006D1CC5">
            <w:pPr>
              <w:pStyle w:val="TableBody"/>
            </w:pPr>
            <w:r>
              <w:t>0.1</w:t>
            </w:r>
          </w:p>
        </w:tc>
        <w:tc>
          <w:tcPr>
            <w:tcW w:w="1152" w:type="pct"/>
            <w:shd w:val="clear" w:color="auto" w:fill="FFFFFF" w:themeFill="background1"/>
            <w:vAlign w:val="center"/>
          </w:tcPr>
          <w:p w14:paraId="17270228" w14:textId="77777777" w:rsidR="00165316" w:rsidRPr="00827F58" w:rsidRDefault="00BD6B32" w:rsidP="006D1CC5">
            <w:pPr>
              <w:pStyle w:val="TableBody"/>
            </w:pPr>
            <w:r>
              <w:t>0.2</w:t>
            </w:r>
          </w:p>
        </w:tc>
        <w:tc>
          <w:tcPr>
            <w:tcW w:w="1152" w:type="pct"/>
            <w:shd w:val="clear" w:color="auto" w:fill="FFFFFF" w:themeFill="background1"/>
            <w:vAlign w:val="center"/>
          </w:tcPr>
          <w:p w14:paraId="4E8A69D5" w14:textId="77777777" w:rsidR="00165316" w:rsidRPr="00827F58" w:rsidRDefault="00BD6B32" w:rsidP="006D1CC5">
            <w:pPr>
              <w:pStyle w:val="TableBody"/>
            </w:pPr>
            <w:r>
              <w:t>0.3</w:t>
            </w:r>
          </w:p>
        </w:tc>
      </w:tr>
    </w:tbl>
    <w:p w14:paraId="53C4D59D" w14:textId="323B7CD1" w:rsidR="00936788" w:rsidRPr="00827F58" w:rsidRDefault="00936788" w:rsidP="006D1CC5">
      <w:pPr>
        <w:pStyle w:val="BodyText"/>
        <w:spacing w:before="240"/>
      </w:pPr>
      <w:r w:rsidRPr="00827F58">
        <w:t>As noted above in the cost of option 2, the total direct ongoing cost for option 2 is expected to be $</w:t>
      </w:r>
      <w:r w:rsidR="600B53E4">
        <w:t>94.0</w:t>
      </w:r>
      <w:r w:rsidRPr="00827F58">
        <w:rPr>
          <w:color w:val="007BC3" w:themeColor="accent2"/>
        </w:rPr>
        <w:t xml:space="preserve"> </w:t>
      </w:r>
      <w:r w:rsidRPr="00827F58">
        <w:t xml:space="preserve">million per annum plus direct one-off costs </w:t>
      </w:r>
      <w:r w:rsidRPr="00107992">
        <w:t>of $</w:t>
      </w:r>
      <w:r w:rsidR="473B690B">
        <w:t>321.1</w:t>
      </w:r>
      <w:r w:rsidRPr="00827F58">
        <w:rPr>
          <w:color w:val="007BC3" w:themeColor="accent2"/>
        </w:rPr>
        <w:t xml:space="preserve"> </w:t>
      </w:r>
      <w:r w:rsidRPr="00827F58">
        <w:t xml:space="preserve">million. However, the cost of the risk management program framework would also have other indirect costs flowing from increased gas prices passed onto consumers from the framework’s implementation. </w:t>
      </w:r>
    </w:p>
    <w:p w14:paraId="4143D1C2" w14:textId="2F3039B7" w:rsidR="00936788" w:rsidRPr="00827F58" w:rsidRDefault="00936788" w:rsidP="00E51726">
      <w:pPr>
        <w:pStyle w:val="BodyText"/>
      </w:pPr>
      <w:r w:rsidRPr="00107992">
        <w:t xml:space="preserve">After considering the economy-wide impact of this change to the cost of providing gas, the total economic cost of the regulatory changes, including direct and indirect costs would be approximately </w:t>
      </w:r>
      <w:r w:rsidRPr="00A44322">
        <w:t>$</w:t>
      </w:r>
      <w:r w:rsidR="00C653AC">
        <w:t>159</w:t>
      </w:r>
      <w:r w:rsidRPr="00BC01DD">
        <w:t>.0 million per year.</w:t>
      </w:r>
      <w:r w:rsidRPr="00A44322">
        <w:rPr>
          <w:vertAlign w:val="superscript"/>
        </w:rPr>
        <w:footnoteReference w:id="348"/>
      </w:r>
      <w:r w:rsidRPr="00107992">
        <w:t xml:space="preserve"> In order for the regulatory changes to generate a net benefit, the proposed risk management program framework would need to contribute to the prevention of approximately 1 low scenario incident approximately every 3 years, approximately 1 moderate scenario incident every 6 years or approximately 1 severe scenario every 12 years to generate a net benefit.</w:t>
      </w:r>
      <w:r w:rsidRPr="00827F58">
        <w:t xml:space="preserve"> </w:t>
      </w:r>
    </w:p>
    <w:p w14:paraId="61D2E4A1" w14:textId="1FBDA871" w:rsidR="00936788" w:rsidRPr="00827F58" w:rsidRDefault="00936788" w:rsidP="00E51726">
      <w:pPr>
        <w:pStyle w:val="BodyText"/>
        <w:rPr>
          <w:rFonts w:eastAsia="Arial"/>
        </w:rPr>
      </w:pPr>
      <w:r w:rsidRPr="00827F58">
        <w:lastRenderedPageBreak/>
        <w:t xml:space="preserve">It is important to note that the economic analysis of the above scenarios may not incorporate all direct avoided costs incurred by all future incidents. In the broader context of a potential future disruption, in addition to the above estimate of benefits would be the avoided costs of recovery (repair costs, costs of resulting mitigations, productivity loss due to attending to legal ramifications, intangible costs on the environment, health and wellbeing, loss of reputation </w:t>
      </w:r>
      <w:r w:rsidR="000D1D1E" w:rsidRPr="00827F58">
        <w:t>etc.</w:t>
      </w:r>
      <w:r w:rsidRPr="00827F58">
        <w:t>) from high value, specific circumstances which were not experienced during the Varanus Island event.  For example, the Enbridge incident in Canada forced 125 residents within a 2km radius of the explosion site to evacuate, and the Longford incident in 1998 caused two deaths and eight injuries</w:t>
      </w:r>
      <w:r w:rsidRPr="00827F58">
        <w:rPr>
          <w:rFonts w:eastAsia="Arial"/>
        </w:rPr>
        <w:t xml:space="preserve">. </w:t>
      </w:r>
    </w:p>
    <w:p w14:paraId="7299D691" w14:textId="77777777" w:rsidR="00936788" w:rsidRPr="00827F58" w:rsidRDefault="00936788" w:rsidP="00E51726">
      <w:pPr>
        <w:pStyle w:val="BodyText"/>
      </w:pPr>
      <w:r w:rsidRPr="00827F58">
        <w:rPr>
          <w:rFonts w:eastAsia="Arial"/>
        </w:rPr>
        <w:t xml:space="preserve">Further, the increasing frequency of incidents as described in section 1.1 makes the proposed risk management program framework more certain over time to exceed the anticipated costs. </w:t>
      </w:r>
      <w:r w:rsidRPr="00827F58">
        <w:t>The examples referred to in that section demonstrate the increasing need for adequate protections against the security and resilience of critical gas assets, and the increased likelihood that the benefits of the draft risk management program framework will exceed the costs outlined in this section.</w:t>
      </w:r>
    </w:p>
    <w:p w14:paraId="12C96FF7" w14:textId="77777777" w:rsidR="00936788" w:rsidRPr="00936788" w:rsidRDefault="00936788" w:rsidP="00E51726">
      <w:pPr>
        <w:pStyle w:val="AppendixH3"/>
      </w:pPr>
      <w:r w:rsidRPr="00936788">
        <w:t>Assessment of likely net benefit</w:t>
      </w:r>
    </w:p>
    <w:p w14:paraId="54D910CD" w14:textId="77777777" w:rsidR="00936788" w:rsidRPr="00827F58" w:rsidRDefault="00936788" w:rsidP="00E51726">
      <w:pPr>
        <w:pStyle w:val="BodyText"/>
      </w:pPr>
      <w:r w:rsidRPr="00827F58">
        <w:t xml:space="preserve">The likely benefits of option 2 will be at least (and are expected to be more than) the costs of the regulation. This is primarily because, as described above and throughout this RIS, the frequency and severity of all hazard risks for critical gas assets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 </w:t>
      </w:r>
    </w:p>
    <w:p w14:paraId="2666598C" w14:textId="77777777" w:rsidR="00936788" w:rsidRPr="00827F58" w:rsidRDefault="00936788" w:rsidP="00E51726">
      <w:pPr>
        <w:pStyle w:val="BodyText"/>
      </w:pPr>
      <w:r w:rsidRPr="00827F58">
        <w:t>Further, through pursuit of option 2, the identification, mitigation and remediation of such hazards, should they occur, will be improved through:</w:t>
      </w:r>
    </w:p>
    <w:p w14:paraId="3F8617DE" w14:textId="77777777" w:rsidR="00936788" w:rsidRPr="00827F58" w:rsidRDefault="00936788" w:rsidP="00E51726">
      <w:pPr>
        <w:pStyle w:val="Bullet1stlevel"/>
      </w:pPr>
      <w:r w:rsidRPr="00827F58">
        <w:t xml:space="preserve">Lowering the material risk of hazards and subsequent impacts of those hazards, as they manifest for critical gas assets; </w:t>
      </w:r>
    </w:p>
    <w:p w14:paraId="164E687B" w14:textId="77777777" w:rsidR="00936788" w:rsidRPr="00827F58" w:rsidRDefault="00936788" w:rsidP="00E51726">
      <w:pPr>
        <w:pStyle w:val="Bullet1stlevel"/>
      </w:pPr>
      <w:r w:rsidRPr="00827F58">
        <w:t xml:space="preserve">Ensuring that adoption of the risk management program framework for critical gas assets is reasonable and proportionate to the purpose of the program; </w:t>
      </w:r>
    </w:p>
    <w:p w14:paraId="590AFF70" w14:textId="77777777" w:rsidR="00936788" w:rsidRPr="00827F58" w:rsidRDefault="00936788" w:rsidP="00E51726">
      <w:pPr>
        <w:pStyle w:val="Bullet1stlevel"/>
      </w:pPr>
      <w:r w:rsidRPr="00827F58">
        <w:t xml:space="preserve">Avoiding regulatory duplication and facilitating a coordinated uplift in responsible entities’ compliance with relevant standards; and </w:t>
      </w:r>
    </w:p>
    <w:p w14:paraId="15F653D7" w14:textId="77777777" w:rsidR="00936788" w:rsidRPr="00827F58" w:rsidRDefault="00936788" w:rsidP="00E51726">
      <w:pPr>
        <w:pStyle w:val="Bullet1stlevel"/>
      </w:pPr>
      <w:r w:rsidRPr="00827F58">
        <w:t xml:space="preserve">Improving Government’s visibility over the security and resilience of critical gas assets. </w:t>
      </w:r>
    </w:p>
    <w:p w14:paraId="2EC7CFFD" w14:textId="41829654" w:rsidR="006E00DC" w:rsidRPr="00636D32" w:rsidRDefault="00936788" w:rsidP="00E51726">
      <w:pPr>
        <w:pStyle w:val="BodyText"/>
        <w:rPr>
          <w:rFonts w:eastAsia="Times New Roman"/>
        </w:rPr>
      </w:pPr>
      <w:r w:rsidRPr="00827F58">
        <w:t xml:space="preserve">Overall, these factors and the specific costs and benefits described above mean the likely net benefit associated with option 2 is high. </w:t>
      </w:r>
    </w:p>
    <w:p w14:paraId="4282E5F7" w14:textId="5D7E6036" w:rsidR="00107992" w:rsidRPr="006C22CD" w:rsidRDefault="00107992" w:rsidP="006D1CC5">
      <w:pPr>
        <w:pStyle w:val="AppendixH1"/>
        <w:rPr>
          <w:szCs w:val="32"/>
        </w:rPr>
      </w:pPr>
      <w:bookmarkStart w:id="640" w:name="_Toc121397427"/>
      <w:r w:rsidRPr="00497EE2">
        <w:lastRenderedPageBreak/>
        <w:t>Detailed costing information for critical water assets</w:t>
      </w:r>
      <w:bookmarkEnd w:id="640"/>
    </w:p>
    <w:p w14:paraId="32BD1264" w14:textId="77777777" w:rsidR="00107992" w:rsidRPr="006C22CD" w:rsidRDefault="00107992" w:rsidP="006D1CC5">
      <w:pPr>
        <w:pStyle w:val="AppendixH2"/>
      </w:pPr>
      <w:r w:rsidRPr="006C22CD">
        <w:t>Costing process completed by responsible entities for critical water assets</w:t>
      </w:r>
    </w:p>
    <w:p w14:paraId="1A77621E" w14:textId="77777777" w:rsidR="00107992" w:rsidRDefault="00673CC9" w:rsidP="006D1CC5">
      <w:pPr>
        <w:pStyle w:val="BodyText"/>
      </w:pPr>
      <w:r w:rsidRPr="006C22CD">
        <w:t xml:space="preserve">Cost submissions were received from </w:t>
      </w:r>
      <w:r w:rsidR="00B85895" w:rsidRPr="006C22CD">
        <w:t>7</w:t>
      </w:r>
      <w:r w:rsidR="00107992" w:rsidRPr="006C22CD">
        <w:t xml:space="preserve"> responsible entities for critical </w:t>
      </w:r>
      <w:r w:rsidR="00B85895" w:rsidRPr="006C22CD">
        <w:t>water</w:t>
      </w:r>
      <w:r w:rsidR="002E397D" w:rsidRPr="006C22CD">
        <w:t xml:space="preserve"> </w:t>
      </w:r>
      <w:r w:rsidR="00107992" w:rsidRPr="006C22CD">
        <w:t>assets. This</w:t>
      </w:r>
      <w:r w:rsidR="00107992">
        <w:t xml:space="preserve"> represented approximately </w:t>
      </w:r>
      <w:r w:rsidR="00B85895">
        <w:t>33.3</w:t>
      </w:r>
      <w:r w:rsidR="00107992">
        <w:t xml:space="preserve">% of the total critical </w:t>
      </w:r>
      <w:r w:rsidR="00B85895">
        <w:t>water</w:t>
      </w:r>
      <w:r w:rsidR="002E397D">
        <w:t xml:space="preserve"> and sewerage</w:t>
      </w:r>
      <w:r w:rsidR="00107992">
        <w:t xml:space="preserve"> asset market. </w:t>
      </w:r>
    </w:p>
    <w:p w14:paraId="70FBDFEE" w14:textId="77777777" w:rsidR="00FE604C" w:rsidRDefault="00FE604C" w:rsidP="006D1CC5">
      <w:pPr>
        <w:pStyle w:val="BodyText"/>
        <w:rPr>
          <w:rFonts w:ascii="Arial" w:eastAsia="Times New Roman" w:hAnsi="Arial" w:cs="Arial"/>
        </w:rPr>
      </w:pPr>
      <w:r w:rsidRPr="00E9705C">
        <w:rPr>
          <w:rFonts w:ascii="Arial" w:eastAsia="Times New Roman" w:hAnsi="Arial" w:cs="Arial"/>
        </w:rPr>
        <w:t xml:space="preserve">The market share percentage of responsible entities who made a submission was calculated using entity and </w:t>
      </w:r>
      <w:r w:rsidRPr="0080200E">
        <w:rPr>
          <w:rFonts w:ascii="Arial" w:eastAsia="Times New Roman" w:hAnsi="Arial" w:cs="Arial"/>
        </w:rPr>
        <w:t>water and sewerage</w:t>
      </w:r>
      <w:r w:rsidRPr="00E9705C">
        <w:rPr>
          <w:rFonts w:ascii="Arial" w:eastAsia="Times New Roman" w:hAnsi="Arial" w:cs="Arial"/>
        </w:rPr>
        <w:t xml:space="preserve"> business type</w:t>
      </w:r>
      <w:r>
        <w:rPr>
          <w:rFonts w:ascii="Arial" w:eastAsia="Times New Roman" w:hAnsi="Arial" w:cs="Arial"/>
        </w:rPr>
        <w:t xml:space="preserve"> (</w:t>
      </w:r>
      <w:r w:rsidRPr="00A055EF">
        <w:rPr>
          <w:rFonts w:ascii="Arial" w:eastAsia="Times New Roman" w:hAnsi="Arial" w:cs="Arial"/>
        </w:rPr>
        <w:t>water supply, sewerage services and water treatment services)</w:t>
      </w:r>
      <w:r w:rsidRPr="0080200E">
        <w:rPr>
          <w:rFonts w:ascii="Arial" w:eastAsia="Times New Roman" w:hAnsi="Arial" w:cs="Arial"/>
        </w:rPr>
        <w:t xml:space="preserve"> </w:t>
      </w:r>
      <w:r w:rsidRPr="00E9705C">
        <w:rPr>
          <w:rFonts w:ascii="Arial" w:eastAsia="Times New Roman" w:hAnsi="Arial" w:cs="Arial"/>
        </w:rPr>
        <w:t>data sourced from IBISWorld. The market share of submissions was first determined at</w:t>
      </w:r>
      <w:r>
        <w:rPr>
          <w:rFonts w:ascii="Arial" w:eastAsia="Times New Roman" w:hAnsi="Arial" w:cs="Arial"/>
        </w:rPr>
        <w:t xml:space="preserve"> the</w:t>
      </w:r>
      <w:r w:rsidRPr="00E9705C">
        <w:rPr>
          <w:rFonts w:ascii="Arial" w:eastAsia="Times New Roman" w:hAnsi="Arial" w:cs="Arial"/>
        </w:rPr>
        <w:t xml:space="preserve"> </w:t>
      </w:r>
      <w:r w:rsidRPr="0080200E">
        <w:rPr>
          <w:rFonts w:ascii="Arial" w:eastAsia="Times New Roman" w:hAnsi="Arial" w:cs="Arial"/>
        </w:rPr>
        <w:t>water and sewerage</w:t>
      </w:r>
      <w:r w:rsidRPr="00E9705C">
        <w:rPr>
          <w:rFonts w:ascii="Arial" w:eastAsia="Times New Roman" w:hAnsi="Arial" w:cs="Arial"/>
        </w:rPr>
        <w:t xml:space="preserve"> business type level by summing the </w:t>
      </w:r>
      <w:r w:rsidR="00B46342">
        <w:rPr>
          <w:rFonts w:ascii="Arial" w:eastAsia="Times New Roman" w:hAnsi="Arial" w:cs="Arial"/>
        </w:rPr>
        <w:t>entity</w:t>
      </w:r>
      <w:r w:rsidRPr="00E9705C">
        <w:rPr>
          <w:rFonts w:ascii="Arial" w:eastAsia="Times New Roman" w:hAnsi="Arial" w:cs="Arial"/>
        </w:rPr>
        <w:t xml:space="preserve"> market share percentage</w:t>
      </w:r>
      <w:r>
        <w:rPr>
          <w:rFonts w:ascii="Arial" w:eastAsia="Times New Roman" w:hAnsi="Arial" w:cs="Arial"/>
        </w:rPr>
        <w:t>s</w:t>
      </w:r>
      <w:r w:rsidRPr="00E9705C">
        <w:rPr>
          <w:rFonts w:ascii="Arial" w:eastAsia="Times New Roman" w:hAnsi="Arial" w:cs="Arial"/>
        </w:rPr>
        <w:t xml:space="preserve">. The </w:t>
      </w:r>
      <w:r w:rsidR="00B46342">
        <w:rPr>
          <w:rFonts w:ascii="Arial" w:eastAsia="Times New Roman" w:hAnsi="Arial" w:cs="Arial"/>
        </w:rPr>
        <w:t>total</w:t>
      </w:r>
      <w:r w:rsidRPr="00E9705C">
        <w:rPr>
          <w:rFonts w:ascii="Arial" w:eastAsia="Times New Roman" w:hAnsi="Arial" w:cs="Arial"/>
        </w:rPr>
        <w:t xml:space="preserve"> market share of submissions at each individual business type level was then used to extrapolate the total </w:t>
      </w:r>
      <w:r w:rsidR="00B14333">
        <w:rPr>
          <w:rFonts w:ascii="Arial" w:eastAsia="Times New Roman" w:hAnsi="Arial" w:cs="Arial"/>
        </w:rPr>
        <w:t>critical water assets</w:t>
      </w:r>
      <w:r w:rsidRPr="00E9705C">
        <w:rPr>
          <w:rFonts w:ascii="Arial" w:eastAsia="Times New Roman" w:hAnsi="Arial" w:cs="Arial"/>
        </w:rPr>
        <w:t xml:space="preserve"> market share represented by submissions.</w:t>
      </w:r>
      <w:bookmarkStart w:id="641" w:name="_Toc90641071"/>
    </w:p>
    <w:p w14:paraId="09CA8ECC" w14:textId="77777777" w:rsidR="00562B85" w:rsidRPr="00EE40B8" w:rsidRDefault="00562B85" w:rsidP="006D1CC5">
      <w:pPr>
        <w:pStyle w:val="BodyText"/>
      </w:pPr>
      <w:r w:rsidRPr="00EE40B8">
        <w:t xml:space="preserve">To extrapolate the cost of compliance to all </w:t>
      </w:r>
      <w:r w:rsidR="00B14333">
        <w:t>critical water assets</w:t>
      </w:r>
      <w:r w:rsidRPr="00EE40B8">
        <w:t>, organisations were categorised by size into ‘large’ and ‘small’ entities based on the following definitions:</w:t>
      </w:r>
    </w:p>
    <w:p w14:paraId="3AD4D9CA" w14:textId="77777777" w:rsidR="00562B85" w:rsidRPr="00EE40B8" w:rsidRDefault="00562B85" w:rsidP="006D1CC5">
      <w:pPr>
        <w:pStyle w:val="Bullet1stlevel"/>
      </w:pPr>
      <w:r w:rsidRPr="00EE40B8">
        <w:t xml:space="preserve">‘Large’ entity - any entity with greater than 5% of </w:t>
      </w:r>
      <w:r w:rsidR="00B14333">
        <w:t>critical water assets</w:t>
      </w:r>
      <w:r w:rsidRPr="00EE40B8">
        <w:t>’ revenue in each business type (</w:t>
      </w:r>
      <w:r w:rsidRPr="00A055EF">
        <w:t>water supply, sewerage services and water treatment services</w:t>
      </w:r>
      <w:r w:rsidRPr="00EE40B8">
        <w:t>).</w:t>
      </w:r>
    </w:p>
    <w:p w14:paraId="12B3DE45" w14:textId="77777777" w:rsidR="00562B85" w:rsidRPr="00562B85" w:rsidRDefault="00562B85" w:rsidP="006D1CC5">
      <w:pPr>
        <w:pStyle w:val="Bullet1stlevel"/>
      </w:pPr>
      <w:r w:rsidRPr="00EE40B8">
        <w:t xml:space="preserve">‘Small’ entity - any entity with less than 5% of </w:t>
      </w:r>
      <w:r w:rsidR="00B14333">
        <w:t>critical water assets</w:t>
      </w:r>
      <w:r w:rsidRPr="00EE40B8">
        <w:t>’ revenue in each business type (</w:t>
      </w:r>
      <w:r w:rsidRPr="00A055EF">
        <w:t>water supply, sewerage services and water treatment services</w:t>
      </w:r>
      <w:r w:rsidRPr="00EE40B8">
        <w:t>).</w:t>
      </w:r>
    </w:p>
    <w:p w14:paraId="1962C646" w14:textId="77777777" w:rsidR="00FE604C" w:rsidRPr="00E9705C" w:rsidRDefault="00FE604C" w:rsidP="006D1CC5">
      <w:pPr>
        <w:pStyle w:val="Caption"/>
      </w:pPr>
      <w:r w:rsidRPr="00E9705C">
        <w:t xml:space="preserve">Critical </w:t>
      </w:r>
      <w:r w:rsidRPr="00237D46">
        <w:t xml:space="preserve">water </w:t>
      </w:r>
      <w:r>
        <w:t>asset</w:t>
      </w:r>
      <w:r w:rsidRPr="00E9705C">
        <w:t xml:space="preserve"> cost impact submissions</w:t>
      </w:r>
      <w:bookmarkEnd w:id="641"/>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3131"/>
        <w:gridCol w:w="3508"/>
        <w:gridCol w:w="2999"/>
      </w:tblGrid>
      <w:tr w:rsidR="00FE604C" w:rsidRPr="00E9705C" w14:paraId="70053621" w14:textId="77777777" w:rsidTr="00330B51">
        <w:tc>
          <w:tcPr>
            <w:tcW w:w="1624" w:type="pct"/>
            <w:shd w:val="clear" w:color="auto" w:fill="034EA2" w:themeFill="accent1"/>
          </w:tcPr>
          <w:p w14:paraId="7D5D30A9" w14:textId="77777777" w:rsidR="00FE604C" w:rsidRPr="00E9705C" w:rsidRDefault="00FE604C" w:rsidP="00330B51">
            <w:pPr>
              <w:pStyle w:val="TableHeading"/>
              <w:rPr>
                <w:lang w:eastAsia="en-AU"/>
              </w:rPr>
            </w:pPr>
          </w:p>
        </w:tc>
        <w:tc>
          <w:tcPr>
            <w:tcW w:w="1820" w:type="pct"/>
            <w:shd w:val="clear" w:color="auto" w:fill="034EA2" w:themeFill="accent1"/>
            <w:hideMark/>
          </w:tcPr>
          <w:p w14:paraId="7B20BD4D" w14:textId="77777777" w:rsidR="00FE604C" w:rsidRPr="00E9705C" w:rsidRDefault="00FE604C" w:rsidP="00330B51">
            <w:pPr>
              <w:pStyle w:val="TableHeading"/>
              <w:rPr>
                <w:lang w:val="en-GB" w:eastAsia="en-AU"/>
              </w:rPr>
            </w:pPr>
            <w:r w:rsidRPr="00E9705C">
              <w:rPr>
                <w:bCs/>
                <w:lang w:val="en-GB" w:eastAsia="en-AU"/>
              </w:rPr>
              <w:t>Organisation size</w:t>
            </w:r>
          </w:p>
        </w:tc>
        <w:tc>
          <w:tcPr>
            <w:tcW w:w="1556" w:type="pct"/>
            <w:shd w:val="clear" w:color="auto" w:fill="034EA2" w:themeFill="accent1"/>
            <w:hideMark/>
          </w:tcPr>
          <w:p w14:paraId="320B2131" w14:textId="77777777" w:rsidR="00FE604C" w:rsidRPr="00E9705C" w:rsidRDefault="00FE604C" w:rsidP="00330B51">
            <w:pPr>
              <w:pStyle w:val="TableHeading"/>
              <w:rPr>
                <w:lang w:val="en-GB" w:eastAsia="en-AU"/>
              </w:rPr>
            </w:pPr>
            <w:r w:rsidRPr="00E9705C">
              <w:rPr>
                <w:bCs/>
                <w:lang w:val="en-GB" w:eastAsia="en-AU"/>
              </w:rPr>
              <w:t>Number of submissions</w:t>
            </w:r>
          </w:p>
        </w:tc>
      </w:tr>
      <w:tr w:rsidR="00FE604C" w:rsidRPr="00E9705C" w14:paraId="24345345" w14:textId="77777777" w:rsidTr="00330B51">
        <w:tc>
          <w:tcPr>
            <w:tcW w:w="1624" w:type="pct"/>
            <w:vMerge w:val="restart"/>
            <w:shd w:val="clear" w:color="auto" w:fill="F2F2F2" w:themeFill="background1" w:themeFillShade="F2"/>
            <w:vAlign w:val="center"/>
          </w:tcPr>
          <w:p w14:paraId="12FA8E52" w14:textId="77777777" w:rsidR="00FE604C" w:rsidRPr="00FF7B5D" w:rsidRDefault="00FE604C" w:rsidP="00330B51">
            <w:pPr>
              <w:pStyle w:val="TableBody"/>
              <w:rPr>
                <w:lang w:eastAsia="en-AU"/>
              </w:rPr>
            </w:pPr>
            <w:r>
              <w:rPr>
                <w:lang w:eastAsia="en-AU"/>
              </w:rPr>
              <w:t>Critical water assets</w:t>
            </w:r>
          </w:p>
        </w:tc>
        <w:tc>
          <w:tcPr>
            <w:tcW w:w="1820" w:type="pct"/>
            <w:shd w:val="clear" w:color="auto" w:fill="auto"/>
          </w:tcPr>
          <w:p w14:paraId="31329CDB" w14:textId="77777777" w:rsidR="00FE604C" w:rsidRPr="00541F9B" w:rsidRDefault="00FE604C" w:rsidP="00330B51">
            <w:pPr>
              <w:pStyle w:val="TableBody"/>
              <w:rPr>
                <w:color w:val="FF9933"/>
                <w:lang w:eastAsia="en-AU"/>
              </w:rPr>
            </w:pPr>
            <w:r w:rsidRPr="001A1BE4">
              <w:rPr>
                <w:lang w:eastAsia="en-AU"/>
              </w:rPr>
              <w:t>Small</w:t>
            </w:r>
          </w:p>
        </w:tc>
        <w:tc>
          <w:tcPr>
            <w:tcW w:w="1556" w:type="pct"/>
            <w:shd w:val="clear" w:color="auto" w:fill="auto"/>
            <w:noWrap/>
          </w:tcPr>
          <w:p w14:paraId="7DB858D1" w14:textId="77777777" w:rsidR="00FE604C" w:rsidRPr="00287B79" w:rsidRDefault="00FE604C" w:rsidP="00330B51">
            <w:pPr>
              <w:pStyle w:val="TableBody"/>
              <w:rPr>
                <w:lang w:val="en-GB" w:eastAsia="en-AU"/>
              </w:rPr>
            </w:pPr>
            <w:r w:rsidRPr="00287B79">
              <w:rPr>
                <w:lang w:val="en-GB" w:eastAsia="en-AU"/>
              </w:rPr>
              <w:t>4</w:t>
            </w:r>
          </w:p>
        </w:tc>
      </w:tr>
      <w:tr w:rsidR="00340241" w:rsidRPr="00E9705C" w14:paraId="516B0DDC" w14:textId="77777777" w:rsidTr="00330B51">
        <w:tc>
          <w:tcPr>
            <w:tcW w:w="1624" w:type="pct"/>
            <w:vMerge/>
            <w:shd w:val="clear" w:color="auto" w:fill="F2F2F2" w:themeFill="background1" w:themeFillShade="F2"/>
          </w:tcPr>
          <w:p w14:paraId="066B55F6" w14:textId="77777777" w:rsidR="00FE604C" w:rsidRPr="00E9705C" w:rsidRDefault="00FE604C" w:rsidP="00330B51">
            <w:pPr>
              <w:pStyle w:val="TableBody"/>
              <w:rPr>
                <w:b/>
                <w:lang w:eastAsia="en-AU"/>
              </w:rPr>
            </w:pPr>
          </w:p>
        </w:tc>
        <w:tc>
          <w:tcPr>
            <w:tcW w:w="1820" w:type="pct"/>
            <w:shd w:val="clear" w:color="auto" w:fill="auto"/>
          </w:tcPr>
          <w:p w14:paraId="5ECD7450" w14:textId="77777777" w:rsidR="00FE604C" w:rsidRPr="00E9705C" w:rsidRDefault="00FE604C" w:rsidP="00330B51">
            <w:pPr>
              <w:pStyle w:val="TableBody"/>
              <w:rPr>
                <w:lang w:val="en-GB" w:eastAsia="en-AU"/>
              </w:rPr>
            </w:pPr>
            <w:r>
              <w:rPr>
                <w:lang w:val="en-GB" w:eastAsia="en-AU"/>
              </w:rPr>
              <w:t>Large</w:t>
            </w:r>
          </w:p>
        </w:tc>
        <w:tc>
          <w:tcPr>
            <w:tcW w:w="1556" w:type="pct"/>
            <w:shd w:val="clear" w:color="auto" w:fill="auto"/>
            <w:noWrap/>
          </w:tcPr>
          <w:p w14:paraId="0AF418E0" w14:textId="77777777" w:rsidR="00FE604C" w:rsidRPr="00287B79" w:rsidRDefault="00FE604C" w:rsidP="00330B51">
            <w:pPr>
              <w:pStyle w:val="TableBody"/>
              <w:rPr>
                <w:lang w:val="en-GB" w:eastAsia="en-AU"/>
              </w:rPr>
            </w:pPr>
            <w:r w:rsidRPr="00287B79">
              <w:rPr>
                <w:lang w:val="en-GB" w:eastAsia="en-AU"/>
              </w:rPr>
              <w:t>3</w:t>
            </w:r>
          </w:p>
        </w:tc>
      </w:tr>
      <w:tr w:rsidR="00FE604C" w:rsidRPr="00E9705C" w14:paraId="7D476B82" w14:textId="77777777" w:rsidTr="00330B51">
        <w:tc>
          <w:tcPr>
            <w:tcW w:w="1624" w:type="pct"/>
            <w:shd w:val="clear" w:color="auto" w:fill="034EA2" w:themeFill="accent1"/>
          </w:tcPr>
          <w:p w14:paraId="12FF8B83" w14:textId="77777777" w:rsidR="00FE604C" w:rsidRPr="00E9705C" w:rsidRDefault="00FE604C" w:rsidP="00330B51">
            <w:pPr>
              <w:pStyle w:val="TableHeading"/>
              <w:rPr>
                <w:lang w:eastAsia="en-AU"/>
              </w:rPr>
            </w:pPr>
            <w:r w:rsidRPr="00E9705C">
              <w:rPr>
                <w:lang w:eastAsia="en-AU"/>
              </w:rPr>
              <w:t>Total</w:t>
            </w:r>
          </w:p>
        </w:tc>
        <w:tc>
          <w:tcPr>
            <w:tcW w:w="1820" w:type="pct"/>
            <w:shd w:val="clear" w:color="auto" w:fill="034EA2" w:themeFill="accent1"/>
          </w:tcPr>
          <w:p w14:paraId="7097EB37" w14:textId="77777777" w:rsidR="00FE604C" w:rsidRPr="00E9705C" w:rsidRDefault="00FE604C" w:rsidP="00330B51">
            <w:pPr>
              <w:pStyle w:val="TableHeading"/>
              <w:rPr>
                <w:lang w:val="en-GB" w:eastAsia="en-AU"/>
              </w:rPr>
            </w:pPr>
          </w:p>
        </w:tc>
        <w:tc>
          <w:tcPr>
            <w:tcW w:w="1556" w:type="pct"/>
            <w:shd w:val="clear" w:color="auto" w:fill="034EA2" w:themeFill="accent1"/>
            <w:noWrap/>
          </w:tcPr>
          <w:p w14:paraId="0F2799E4" w14:textId="77777777" w:rsidR="00FE604C" w:rsidRPr="00287B79" w:rsidDel="009579FA" w:rsidRDefault="00FE604C" w:rsidP="00330B51">
            <w:pPr>
              <w:pStyle w:val="TableHeading"/>
              <w:rPr>
                <w:rFonts w:eastAsia="Calibri"/>
              </w:rPr>
            </w:pPr>
            <w:r w:rsidRPr="00287B79">
              <w:rPr>
                <w:lang w:eastAsia="en-AU"/>
              </w:rPr>
              <w:t>7</w:t>
            </w:r>
          </w:p>
        </w:tc>
      </w:tr>
    </w:tbl>
    <w:p w14:paraId="33A5A6A3" w14:textId="77777777" w:rsidR="0069237B" w:rsidRDefault="0069237B" w:rsidP="006D1CC5">
      <w:pPr>
        <w:pStyle w:val="AppendixH2"/>
      </w:pPr>
      <w:r>
        <w:t>Likely net benefit – option 2</w:t>
      </w:r>
    </w:p>
    <w:p w14:paraId="74F696C6" w14:textId="77777777" w:rsidR="0069237B" w:rsidRPr="0069237B" w:rsidRDefault="0069237B" w:rsidP="0069237B">
      <w:pPr>
        <w:pStyle w:val="BodyText"/>
        <w:rPr>
          <w:rFonts w:eastAsia="Calibri"/>
        </w:rPr>
      </w:pPr>
      <w:r w:rsidRPr="00E9705C">
        <w:t xml:space="preserve">The following section details the costs and benefits associated with option 2 (the regulatory option), before assessing the overall likely net benefit presented by this option. </w:t>
      </w:r>
    </w:p>
    <w:p w14:paraId="330328C9" w14:textId="77777777" w:rsidR="00107992" w:rsidRPr="00015690" w:rsidRDefault="00107992" w:rsidP="006D1CC5">
      <w:pPr>
        <w:pStyle w:val="AppendixH3"/>
      </w:pPr>
      <w:r>
        <w:t>Costs of option 2</w:t>
      </w:r>
    </w:p>
    <w:p w14:paraId="1B406E6E" w14:textId="77777777" w:rsidR="00FA7F0E" w:rsidRPr="00E9705C" w:rsidRDefault="00FA7F0E" w:rsidP="006D1CC5">
      <w:pPr>
        <w:pStyle w:val="BodyText"/>
      </w:pPr>
      <w:r w:rsidRPr="00E9705C">
        <w:t xml:space="preserve">There are multiple factors affecting the regulatory burden for each entity, including their existing risk management practices and capabilities, the nature of the </w:t>
      </w:r>
      <w:r w:rsidR="00B14333">
        <w:t>critical water assets</w:t>
      </w:r>
      <w:r w:rsidRPr="00E9705C">
        <w:t xml:space="preserve"> they operate and the size of their operations. In collecting cost information from entities across </w:t>
      </w:r>
      <w:r w:rsidR="00B14333">
        <w:t>critical water assets</w:t>
      </w:r>
      <w:r w:rsidRPr="00E9705C">
        <w:t xml:space="preserve">, this variance in cost impact has been captured and reflected in the estimates of total cost across </w:t>
      </w:r>
      <w:r w:rsidR="00B14333">
        <w:t>critical water assets</w:t>
      </w:r>
      <w:r w:rsidRPr="00E9705C">
        <w:t xml:space="preserve"> included in this RIS.</w:t>
      </w:r>
    </w:p>
    <w:p w14:paraId="11D92969" w14:textId="77777777" w:rsidR="00562B85" w:rsidRPr="00E31954" w:rsidRDefault="00562B85" w:rsidP="006D1CC5">
      <w:pPr>
        <w:pStyle w:val="BodyText"/>
      </w:pPr>
      <w:r w:rsidRPr="00E31954">
        <w:t xml:space="preserve">When estimating the cost of compliance with option 2, critical </w:t>
      </w:r>
      <w:r w:rsidR="000C0B14">
        <w:t>water and sewerage</w:t>
      </w:r>
      <w:r w:rsidRPr="00E31954">
        <w:t xml:space="preserve"> asset entities provided both an expected and a high-cost estimate. The high-cost estimate was provided as a way to measure the uncertainty associated with their estimates and the highest feasible cost of option 2. The expected estimate was used as the basis for determining the net benefit of option 2 in section 4. </w:t>
      </w:r>
    </w:p>
    <w:p w14:paraId="53166481" w14:textId="77777777" w:rsidR="00562B85" w:rsidRPr="00E31954" w:rsidRDefault="00562B85" w:rsidP="006D1CC5">
      <w:pPr>
        <w:pStyle w:val="BodyText"/>
      </w:pPr>
      <w:r w:rsidRPr="00E31954">
        <w:t xml:space="preserve">Using the expected and the high estimate as a range, the cost of compliance is as follows: </w:t>
      </w:r>
    </w:p>
    <w:p w14:paraId="1D1A8E05" w14:textId="7B8E5106" w:rsidR="00562B85" w:rsidRDefault="00562B85" w:rsidP="006D1CC5">
      <w:pPr>
        <w:pStyle w:val="Bullet1stlevel"/>
      </w:pPr>
      <w:r w:rsidRPr="00E31954">
        <w:lastRenderedPageBreak/>
        <w:t xml:space="preserve">A one-off regulatory cost of </w:t>
      </w:r>
      <w:r w:rsidRPr="00A44322">
        <w:t>between $1</w:t>
      </w:r>
      <w:r w:rsidR="00410B4F" w:rsidRPr="00CE4B35">
        <w:t>57.5</w:t>
      </w:r>
      <w:r w:rsidRPr="00A44322">
        <w:t xml:space="preserve"> (expected) and $</w:t>
      </w:r>
      <w:r w:rsidR="00F06AF2" w:rsidRPr="00F06AF2">
        <w:t>262</w:t>
      </w:r>
      <w:r w:rsidR="00F06AF2">
        <w:t>.4</w:t>
      </w:r>
      <w:r>
        <w:t xml:space="preserve"> </w:t>
      </w:r>
      <w:r w:rsidRPr="00E31954">
        <w:t xml:space="preserve">million (high estimate), across </w:t>
      </w:r>
      <w:r w:rsidR="00B14333">
        <w:t>critical water assets</w:t>
      </w:r>
      <w:r w:rsidRPr="00E31954">
        <w:t xml:space="preserve"> nationally; and </w:t>
      </w:r>
    </w:p>
    <w:p w14:paraId="1EC71189" w14:textId="48CB1DC8" w:rsidR="00562B85" w:rsidRPr="00562B85" w:rsidRDefault="00562B85" w:rsidP="006D1CC5">
      <w:pPr>
        <w:pStyle w:val="Bullet1stlevel"/>
      </w:pPr>
      <w:r w:rsidRPr="00562B85">
        <w:t>An ongoing cost of between $</w:t>
      </w:r>
      <w:r w:rsidR="009E769C">
        <w:t>91.1</w:t>
      </w:r>
      <w:r w:rsidRPr="00562B85">
        <w:t xml:space="preserve"> (expected) and $</w:t>
      </w:r>
      <w:r w:rsidR="005C27F1">
        <w:t>2</w:t>
      </w:r>
      <w:r w:rsidR="009E769C">
        <w:t>11.0</w:t>
      </w:r>
      <w:r>
        <w:t xml:space="preserve"> </w:t>
      </w:r>
      <w:r w:rsidRPr="00562B85">
        <w:t xml:space="preserve">million (high estimate) per year, across </w:t>
      </w:r>
      <w:r w:rsidR="00B14333">
        <w:t>critical water assets</w:t>
      </w:r>
      <w:r w:rsidRPr="00562B85">
        <w:t xml:space="preserve"> nationally. </w:t>
      </w:r>
    </w:p>
    <w:p w14:paraId="55F885B1" w14:textId="77777777" w:rsidR="00FA7F0E" w:rsidRPr="000C7F8C" w:rsidRDefault="00FA7F0E" w:rsidP="006D1CC5">
      <w:pPr>
        <w:pStyle w:val="BodyText"/>
      </w:pPr>
      <w:r w:rsidRPr="00C11852">
        <w:t xml:space="preserve">The cost of regulation will be borne by entities responsible for </w:t>
      </w:r>
      <w:r w:rsidR="00B14333">
        <w:t>critical water assets</w:t>
      </w:r>
      <w:r w:rsidRPr="00C11852">
        <w:t xml:space="preserve"> who meet the relevant thresholds. Community organisations and individuals will not be directly affected but there will likely be indirect costs passed onto consumers. For the purposes of this RIS, the cost of regulation in </w:t>
      </w:r>
      <w:r w:rsidR="008803F9">
        <w:t>the table below</w:t>
      </w:r>
      <w:r w:rsidRPr="00C11852">
        <w:t xml:space="preserve"> will only include the initial costs associated with regulation</w:t>
      </w:r>
      <w:r w:rsidR="005F6CFA">
        <w:t>.</w:t>
      </w:r>
      <w:r w:rsidRPr="00827F58">
        <w:rPr>
          <w:rStyle w:val="FootnoteReference"/>
          <w:rFonts w:ascii="Arial" w:eastAsia="Calibri" w:hAnsi="Arial" w:cs="Arial"/>
        </w:rPr>
        <w:footnoteReference w:id="349"/>
      </w:r>
      <w:r w:rsidRPr="00C11852">
        <w:t xml:space="preserve"> </w:t>
      </w:r>
      <w:r w:rsidRPr="00C11852">
        <w:rPr>
          <w:rFonts w:eastAsia="Times New Roman"/>
        </w:rPr>
        <w:t>The indirect cost to consumers and communities has been addressed in the economic analysis through consideration of indirect cost to the wider economy as a res</w:t>
      </w:r>
      <w:r w:rsidRPr="00A44322">
        <w:rPr>
          <w:rFonts w:eastAsia="Times New Roman"/>
        </w:rPr>
        <w:t>ult of the prop</w:t>
      </w:r>
      <w:r w:rsidRPr="007D243C">
        <w:rPr>
          <w:rFonts w:eastAsia="Times New Roman"/>
        </w:rPr>
        <w:t xml:space="preserve">osed </w:t>
      </w:r>
      <w:r w:rsidRPr="000C7F8C">
        <w:rPr>
          <w:rFonts w:eastAsia="Times New Roman"/>
        </w:rPr>
        <w:t>RMP framework.</w:t>
      </w:r>
    </w:p>
    <w:p w14:paraId="3A2DB7BC" w14:textId="20368EDF" w:rsidR="00FA7F0E" w:rsidRPr="00E9705C" w:rsidRDefault="00FA7F0E" w:rsidP="006D1CC5">
      <w:pPr>
        <w:pStyle w:val="BodyText"/>
      </w:pPr>
      <w:r w:rsidRPr="000C7F8C">
        <w:t>The average cost of compliance for each entity is estimated at $14.</w:t>
      </w:r>
      <w:r w:rsidR="000C7F8C" w:rsidRPr="00CE4B35">
        <w:t>4</w:t>
      </w:r>
      <w:r w:rsidR="005A766A" w:rsidRPr="00A44322">
        <w:t xml:space="preserve"> </w:t>
      </w:r>
      <w:r w:rsidRPr="007D243C">
        <w:t>million in one-off costs and $</w:t>
      </w:r>
      <w:r w:rsidRPr="000C7F8C">
        <w:t>6.</w:t>
      </w:r>
      <w:r w:rsidR="000C7F8C" w:rsidRPr="00CE4B35">
        <w:t>1</w:t>
      </w:r>
      <w:r w:rsidR="000C7F8C" w:rsidRPr="00A44322">
        <w:t xml:space="preserve"> </w:t>
      </w:r>
      <w:r w:rsidRPr="007D243C">
        <w:t>million per year in ongoing costs</w:t>
      </w:r>
      <w:r w:rsidRPr="000C7F8C">
        <w:t>, noting that there is a wide range provided in submissions from industry. Entity costs range between $0.0 million and $60.</w:t>
      </w:r>
      <w:r w:rsidR="000C7F8C" w:rsidRPr="00CE4B35">
        <w:t>1</w:t>
      </w:r>
      <w:r w:rsidR="000C7F8C" w:rsidRPr="00A44322">
        <w:t xml:space="preserve"> </w:t>
      </w:r>
      <w:r w:rsidRPr="007D243C">
        <w:t>million in one-off costs and $</w:t>
      </w:r>
      <w:r w:rsidRPr="000C7F8C">
        <w:t>0.5 million and $1</w:t>
      </w:r>
      <w:r w:rsidR="000C7F8C" w:rsidRPr="00CE4B35">
        <w:t>9.2</w:t>
      </w:r>
      <w:r w:rsidRPr="00A44322">
        <w:t xml:space="preserve"> million in on-going costs per year.</w:t>
      </w:r>
      <w:r w:rsidRPr="00066CEA">
        <w:t xml:space="preserve"> There are a number of reasons for this range in cost including the size of the entity and the maturity of existing </w:t>
      </w:r>
      <w:r>
        <w:t>RMP</w:t>
      </w:r>
      <w:r w:rsidRPr="00066CEA">
        <w:t>s.</w:t>
      </w:r>
    </w:p>
    <w:p w14:paraId="06EE7860" w14:textId="77777777" w:rsidR="00FA7F0E" w:rsidRPr="00E9705C" w:rsidRDefault="00FA7F0E" w:rsidP="006D1CC5">
      <w:pPr>
        <w:pStyle w:val="Caption"/>
      </w:pPr>
      <w:bookmarkStart w:id="642" w:name="_Toc90641073"/>
      <w:r w:rsidRPr="00E9705C">
        <w:t>Regulatory cost estimate</w:t>
      </w:r>
      <w:bookmarkEnd w:id="642"/>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1928"/>
        <w:gridCol w:w="2159"/>
        <w:gridCol w:w="1696"/>
        <w:gridCol w:w="1638"/>
        <w:gridCol w:w="2217"/>
      </w:tblGrid>
      <w:tr w:rsidR="00FA7F0E" w:rsidRPr="00330B51" w14:paraId="5FB1718F" w14:textId="77777777" w:rsidTr="00816B07">
        <w:tc>
          <w:tcPr>
            <w:tcW w:w="1000" w:type="pct"/>
            <w:vMerge w:val="restart"/>
            <w:shd w:val="clear" w:color="auto" w:fill="034EA2" w:themeFill="accent1"/>
            <w:hideMark/>
          </w:tcPr>
          <w:p w14:paraId="058C9C86" w14:textId="77777777" w:rsidR="00FA7F0E" w:rsidRPr="00330B51" w:rsidRDefault="00FA7F0E" w:rsidP="00816B07">
            <w:pPr>
              <w:pStyle w:val="TableHeading"/>
              <w:rPr>
                <w:rFonts w:asciiTheme="minorHAnsi" w:hAnsiTheme="minorHAnsi" w:cstheme="minorHAnsi"/>
                <w:lang w:eastAsia="en-AU"/>
              </w:rPr>
            </w:pPr>
            <w:r w:rsidRPr="00330B51">
              <w:rPr>
                <w:rFonts w:asciiTheme="minorHAnsi" w:hAnsiTheme="minorHAnsi" w:cstheme="minorHAnsi"/>
                <w:lang w:eastAsia="en-AU"/>
              </w:rPr>
              <w:t>Cost Type</w:t>
            </w:r>
          </w:p>
        </w:tc>
        <w:tc>
          <w:tcPr>
            <w:tcW w:w="4000" w:type="pct"/>
            <w:gridSpan w:val="4"/>
            <w:shd w:val="clear" w:color="auto" w:fill="034EA2" w:themeFill="accent1"/>
            <w:vAlign w:val="center"/>
            <w:hideMark/>
          </w:tcPr>
          <w:p w14:paraId="7E5D6325" w14:textId="77777777" w:rsidR="00FA7F0E" w:rsidRPr="00330B51" w:rsidRDefault="00FA7F0E" w:rsidP="00330B51">
            <w:pPr>
              <w:pStyle w:val="TableHeading"/>
              <w:rPr>
                <w:rFonts w:asciiTheme="minorHAnsi" w:hAnsiTheme="minorHAnsi" w:cstheme="minorHAnsi"/>
                <w:lang w:eastAsia="en-AU"/>
              </w:rPr>
            </w:pPr>
            <w:r w:rsidRPr="00330B51">
              <w:rPr>
                <w:rFonts w:asciiTheme="minorHAnsi" w:hAnsiTheme="minorHAnsi" w:cstheme="minorHAnsi"/>
                <w:lang w:eastAsia="en-AU"/>
              </w:rPr>
              <w:t>Costs ($ million)</w:t>
            </w:r>
          </w:p>
        </w:tc>
      </w:tr>
      <w:tr w:rsidR="00FA7F0E" w:rsidRPr="00330B51" w14:paraId="45AAC643" w14:textId="77777777" w:rsidTr="00816B07">
        <w:tc>
          <w:tcPr>
            <w:tcW w:w="1000" w:type="pct"/>
            <w:vMerge/>
            <w:vAlign w:val="center"/>
            <w:hideMark/>
          </w:tcPr>
          <w:p w14:paraId="355E632D" w14:textId="77777777" w:rsidR="00FA7F0E" w:rsidRPr="00330B51" w:rsidRDefault="00FA7F0E" w:rsidP="00330B51">
            <w:pPr>
              <w:pStyle w:val="TableBody"/>
              <w:rPr>
                <w:rFonts w:asciiTheme="minorHAnsi" w:hAnsiTheme="minorHAnsi" w:cstheme="minorHAnsi"/>
                <w:lang w:eastAsia="en-AU"/>
              </w:rPr>
            </w:pPr>
          </w:p>
        </w:tc>
        <w:tc>
          <w:tcPr>
            <w:tcW w:w="1120" w:type="pct"/>
            <w:shd w:val="clear" w:color="auto" w:fill="DEEAF6"/>
            <w:vAlign w:val="center"/>
            <w:hideMark/>
          </w:tcPr>
          <w:p w14:paraId="010F823A" w14:textId="77777777" w:rsidR="00FA7F0E" w:rsidRPr="00330B51" w:rsidRDefault="00FA7F0E" w:rsidP="00330B51">
            <w:pPr>
              <w:pStyle w:val="TableBody"/>
              <w:rPr>
                <w:rFonts w:asciiTheme="minorHAnsi" w:hAnsiTheme="minorHAnsi" w:cstheme="minorHAnsi"/>
                <w:lang w:eastAsia="en-AU"/>
              </w:rPr>
            </w:pPr>
            <w:r w:rsidRPr="00330B51">
              <w:rPr>
                <w:rFonts w:asciiTheme="minorHAnsi" w:hAnsiTheme="minorHAnsi" w:cstheme="minorHAnsi"/>
                <w:lang w:eastAsia="en-AU"/>
              </w:rPr>
              <w:t>Business</w:t>
            </w:r>
          </w:p>
        </w:tc>
        <w:tc>
          <w:tcPr>
            <w:tcW w:w="880" w:type="pct"/>
            <w:shd w:val="clear" w:color="auto" w:fill="DEEAF6"/>
            <w:vAlign w:val="center"/>
            <w:hideMark/>
          </w:tcPr>
          <w:p w14:paraId="4B03AC7B" w14:textId="77777777" w:rsidR="00FA7F0E" w:rsidRPr="00330B51" w:rsidRDefault="00FA7F0E" w:rsidP="00330B51">
            <w:pPr>
              <w:pStyle w:val="TableBody"/>
              <w:rPr>
                <w:rFonts w:asciiTheme="minorHAnsi" w:hAnsiTheme="minorHAnsi" w:cstheme="minorHAnsi"/>
                <w:lang w:eastAsia="en-AU"/>
              </w:rPr>
            </w:pPr>
            <w:r w:rsidRPr="00330B51">
              <w:rPr>
                <w:rFonts w:asciiTheme="minorHAnsi" w:hAnsiTheme="minorHAnsi" w:cstheme="minorHAnsi"/>
                <w:lang w:eastAsia="en-AU"/>
              </w:rPr>
              <w:t>Community</w:t>
            </w:r>
          </w:p>
        </w:tc>
        <w:tc>
          <w:tcPr>
            <w:tcW w:w="850" w:type="pct"/>
            <w:shd w:val="clear" w:color="auto" w:fill="DEEAF6"/>
            <w:vAlign w:val="center"/>
            <w:hideMark/>
          </w:tcPr>
          <w:p w14:paraId="66FCDA7A" w14:textId="77777777" w:rsidR="00FA7F0E" w:rsidRPr="00330B51" w:rsidRDefault="00FA7F0E" w:rsidP="00330B51">
            <w:pPr>
              <w:pStyle w:val="TableBody"/>
              <w:rPr>
                <w:rFonts w:asciiTheme="minorHAnsi" w:hAnsiTheme="minorHAnsi" w:cstheme="minorHAnsi"/>
                <w:lang w:eastAsia="en-AU"/>
              </w:rPr>
            </w:pPr>
            <w:r w:rsidRPr="00330B51">
              <w:rPr>
                <w:rFonts w:asciiTheme="minorHAnsi" w:hAnsiTheme="minorHAnsi" w:cstheme="minorHAnsi"/>
                <w:lang w:eastAsia="en-AU"/>
              </w:rPr>
              <w:t>Individuals</w:t>
            </w:r>
          </w:p>
        </w:tc>
        <w:tc>
          <w:tcPr>
            <w:tcW w:w="1151" w:type="pct"/>
            <w:shd w:val="clear" w:color="auto" w:fill="DEEAF6"/>
            <w:vAlign w:val="center"/>
            <w:hideMark/>
          </w:tcPr>
          <w:p w14:paraId="0D565FED" w14:textId="77777777" w:rsidR="00FA7F0E" w:rsidRPr="00330B51" w:rsidRDefault="00FA7F0E" w:rsidP="00330B51">
            <w:pPr>
              <w:pStyle w:val="TableBody"/>
              <w:rPr>
                <w:rFonts w:asciiTheme="minorHAnsi" w:hAnsiTheme="minorHAnsi" w:cstheme="minorHAnsi"/>
                <w:lang w:eastAsia="en-AU"/>
              </w:rPr>
            </w:pPr>
            <w:r w:rsidRPr="00330B51">
              <w:rPr>
                <w:rFonts w:asciiTheme="minorHAnsi" w:hAnsiTheme="minorHAnsi" w:cstheme="minorHAnsi"/>
                <w:lang w:eastAsia="en-AU"/>
              </w:rPr>
              <w:t xml:space="preserve">Total cost </w:t>
            </w:r>
          </w:p>
        </w:tc>
      </w:tr>
      <w:tr w:rsidR="000C0B14" w:rsidRPr="00330B51" w14:paraId="441AC8B2" w14:textId="77777777" w:rsidTr="00816B07">
        <w:tc>
          <w:tcPr>
            <w:tcW w:w="1000" w:type="pct"/>
            <w:shd w:val="clear" w:color="auto" w:fill="F2F2F2" w:themeFill="background1" w:themeFillShade="F2"/>
            <w:vAlign w:val="center"/>
            <w:hideMark/>
          </w:tcPr>
          <w:p w14:paraId="4384D6E6" w14:textId="77777777" w:rsidR="000C0B14" w:rsidRPr="00330B51" w:rsidRDefault="000C0B14" w:rsidP="00330B51">
            <w:pPr>
              <w:pStyle w:val="TableBody"/>
              <w:rPr>
                <w:rFonts w:asciiTheme="minorHAnsi" w:hAnsiTheme="minorHAnsi" w:cstheme="minorHAnsi"/>
                <w:lang w:eastAsia="en-AU"/>
              </w:rPr>
            </w:pPr>
            <w:r w:rsidRPr="00330B51">
              <w:rPr>
                <w:rFonts w:asciiTheme="minorHAnsi" w:hAnsiTheme="minorHAnsi" w:cstheme="minorHAnsi"/>
                <w:lang w:eastAsia="en-AU"/>
              </w:rPr>
              <w:t>One-off</w:t>
            </w:r>
          </w:p>
        </w:tc>
        <w:tc>
          <w:tcPr>
            <w:tcW w:w="1120" w:type="pct"/>
            <w:shd w:val="clear" w:color="auto" w:fill="FFFFFF" w:themeFill="background1"/>
            <w:vAlign w:val="center"/>
            <w:hideMark/>
          </w:tcPr>
          <w:p w14:paraId="5A35183C" w14:textId="58C8FC85" w:rsidR="000C0B14" w:rsidRPr="00330B51" w:rsidRDefault="000C0B14" w:rsidP="00330B51">
            <w:pPr>
              <w:pStyle w:val="TableBody"/>
              <w:rPr>
                <w:rFonts w:asciiTheme="minorHAnsi" w:hAnsiTheme="minorHAnsi" w:cstheme="minorHAnsi"/>
                <w:lang w:eastAsia="en-AU"/>
              </w:rPr>
            </w:pPr>
            <w:r w:rsidRPr="00330B51">
              <w:rPr>
                <w:rFonts w:asciiTheme="minorHAnsi" w:hAnsiTheme="minorHAnsi" w:cstheme="minorHAnsi"/>
                <w:lang w:eastAsia="en-AU"/>
              </w:rPr>
              <w:t>15</w:t>
            </w:r>
            <w:r w:rsidR="000C7F8C">
              <w:rPr>
                <w:rFonts w:asciiTheme="minorHAnsi" w:hAnsiTheme="minorHAnsi" w:cstheme="minorHAnsi"/>
                <w:lang w:eastAsia="en-AU"/>
              </w:rPr>
              <w:t>7.5</w:t>
            </w:r>
            <w:r w:rsidRPr="00330B51">
              <w:rPr>
                <w:rFonts w:asciiTheme="minorHAnsi" w:hAnsiTheme="minorHAnsi" w:cstheme="minorHAnsi"/>
                <w:lang w:eastAsia="en-AU"/>
              </w:rPr>
              <w:t xml:space="preserve"> to </w:t>
            </w:r>
            <w:r w:rsidR="002C2331" w:rsidRPr="00330B51">
              <w:rPr>
                <w:rFonts w:asciiTheme="minorHAnsi" w:hAnsiTheme="minorHAnsi" w:cstheme="minorHAnsi"/>
                <w:lang w:eastAsia="en-AU"/>
              </w:rPr>
              <w:t>2</w:t>
            </w:r>
            <w:r w:rsidR="000C7F8C">
              <w:rPr>
                <w:rFonts w:asciiTheme="minorHAnsi" w:hAnsiTheme="minorHAnsi" w:cstheme="minorHAnsi"/>
                <w:lang w:eastAsia="en-AU"/>
              </w:rPr>
              <w:t>62.4</w:t>
            </w:r>
          </w:p>
        </w:tc>
        <w:tc>
          <w:tcPr>
            <w:tcW w:w="880" w:type="pct"/>
            <w:shd w:val="clear" w:color="auto" w:fill="FFFFFF" w:themeFill="background1"/>
            <w:vAlign w:val="center"/>
            <w:hideMark/>
          </w:tcPr>
          <w:p w14:paraId="41EF981A" w14:textId="77777777" w:rsidR="000C0B14" w:rsidRPr="00330B51" w:rsidRDefault="000C0B14" w:rsidP="00330B51">
            <w:pPr>
              <w:pStyle w:val="TableBody"/>
              <w:rPr>
                <w:rFonts w:asciiTheme="minorHAnsi" w:hAnsiTheme="minorHAnsi" w:cstheme="minorHAnsi"/>
                <w:lang w:eastAsia="en-AU"/>
              </w:rPr>
            </w:pPr>
            <w:r w:rsidRPr="00330B51">
              <w:rPr>
                <w:rFonts w:asciiTheme="minorHAnsi" w:hAnsiTheme="minorHAnsi" w:cstheme="minorHAnsi"/>
                <w:lang w:eastAsia="en-AU"/>
              </w:rPr>
              <w:t>Nil</w:t>
            </w:r>
          </w:p>
        </w:tc>
        <w:tc>
          <w:tcPr>
            <w:tcW w:w="850" w:type="pct"/>
            <w:shd w:val="clear" w:color="auto" w:fill="FFFFFF" w:themeFill="background1"/>
            <w:vAlign w:val="center"/>
            <w:hideMark/>
          </w:tcPr>
          <w:p w14:paraId="1FAB0346" w14:textId="77777777" w:rsidR="000C0B14" w:rsidRPr="00330B51" w:rsidRDefault="000C0B14" w:rsidP="00330B51">
            <w:pPr>
              <w:pStyle w:val="TableBody"/>
              <w:rPr>
                <w:rFonts w:asciiTheme="minorHAnsi" w:hAnsiTheme="minorHAnsi" w:cstheme="minorHAnsi"/>
                <w:lang w:eastAsia="en-AU"/>
              </w:rPr>
            </w:pPr>
            <w:r w:rsidRPr="00330B51">
              <w:rPr>
                <w:rFonts w:asciiTheme="minorHAnsi" w:hAnsiTheme="minorHAnsi" w:cstheme="minorHAnsi"/>
                <w:lang w:eastAsia="en-AU"/>
              </w:rPr>
              <w:t>Nil</w:t>
            </w:r>
          </w:p>
        </w:tc>
        <w:tc>
          <w:tcPr>
            <w:tcW w:w="1151" w:type="pct"/>
            <w:shd w:val="clear" w:color="auto" w:fill="FFFFFF" w:themeFill="background1"/>
            <w:vAlign w:val="center"/>
            <w:hideMark/>
          </w:tcPr>
          <w:p w14:paraId="7EA9687F" w14:textId="6EFE3A47" w:rsidR="000C0B14" w:rsidRPr="00330B51" w:rsidRDefault="000C7F8C" w:rsidP="00330B51">
            <w:pPr>
              <w:pStyle w:val="TableBody"/>
              <w:rPr>
                <w:rFonts w:asciiTheme="minorHAnsi" w:hAnsiTheme="minorHAnsi" w:cstheme="minorHAnsi"/>
              </w:rPr>
            </w:pPr>
            <w:r w:rsidRPr="00330B51">
              <w:rPr>
                <w:rFonts w:asciiTheme="minorHAnsi" w:hAnsiTheme="minorHAnsi" w:cstheme="minorHAnsi"/>
                <w:lang w:eastAsia="en-AU"/>
              </w:rPr>
              <w:t>15</w:t>
            </w:r>
            <w:r>
              <w:rPr>
                <w:rFonts w:asciiTheme="minorHAnsi" w:hAnsiTheme="minorHAnsi" w:cstheme="minorHAnsi"/>
                <w:lang w:eastAsia="en-AU"/>
              </w:rPr>
              <w:t>7.5</w:t>
            </w:r>
            <w:r w:rsidRPr="00330B51">
              <w:rPr>
                <w:rFonts w:asciiTheme="minorHAnsi" w:hAnsiTheme="minorHAnsi" w:cstheme="minorHAnsi"/>
                <w:lang w:eastAsia="en-AU"/>
              </w:rPr>
              <w:t xml:space="preserve"> to 2</w:t>
            </w:r>
            <w:r>
              <w:rPr>
                <w:rFonts w:asciiTheme="minorHAnsi" w:hAnsiTheme="minorHAnsi" w:cstheme="minorHAnsi"/>
                <w:lang w:eastAsia="en-AU"/>
              </w:rPr>
              <w:t>62.4</w:t>
            </w:r>
          </w:p>
        </w:tc>
      </w:tr>
      <w:tr w:rsidR="000C0B14" w:rsidRPr="00330B51" w14:paraId="63C3F78A" w14:textId="77777777" w:rsidTr="00816B07">
        <w:tc>
          <w:tcPr>
            <w:tcW w:w="1000" w:type="pct"/>
            <w:shd w:val="clear" w:color="auto" w:fill="F2F2F2" w:themeFill="background1" w:themeFillShade="F2"/>
            <w:vAlign w:val="center"/>
            <w:hideMark/>
          </w:tcPr>
          <w:p w14:paraId="4E900B34" w14:textId="2A8F0B65" w:rsidR="000C0B14" w:rsidRPr="00330B51" w:rsidRDefault="000C0B14" w:rsidP="00816B07">
            <w:pPr>
              <w:pStyle w:val="TableBody"/>
              <w:rPr>
                <w:rFonts w:asciiTheme="minorHAnsi" w:hAnsiTheme="minorHAnsi" w:cstheme="minorHAnsi"/>
                <w:lang w:eastAsia="en-AU"/>
              </w:rPr>
            </w:pPr>
            <w:r w:rsidRPr="00330B51">
              <w:rPr>
                <w:rFonts w:asciiTheme="minorHAnsi" w:hAnsiTheme="minorHAnsi" w:cstheme="minorHAnsi"/>
                <w:lang w:eastAsia="en-AU"/>
              </w:rPr>
              <w:t>Ongoing (per year)</w:t>
            </w:r>
          </w:p>
        </w:tc>
        <w:tc>
          <w:tcPr>
            <w:tcW w:w="1120" w:type="pct"/>
            <w:shd w:val="clear" w:color="auto" w:fill="FFFFFF" w:themeFill="background1"/>
            <w:vAlign w:val="center"/>
            <w:hideMark/>
          </w:tcPr>
          <w:p w14:paraId="070ABA83" w14:textId="119F6701" w:rsidR="000C0B14" w:rsidRPr="00330B51" w:rsidRDefault="000C7F8C" w:rsidP="00330B51">
            <w:pPr>
              <w:pStyle w:val="TableBody"/>
              <w:rPr>
                <w:rFonts w:asciiTheme="minorHAnsi" w:hAnsiTheme="minorHAnsi" w:cstheme="minorHAnsi"/>
                <w:lang w:eastAsia="en-AU"/>
              </w:rPr>
            </w:pPr>
            <w:r>
              <w:rPr>
                <w:rFonts w:asciiTheme="minorHAnsi" w:hAnsiTheme="minorHAnsi" w:cstheme="minorHAnsi"/>
                <w:lang w:eastAsia="en-AU"/>
              </w:rPr>
              <w:t>91.1</w:t>
            </w:r>
            <w:r w:rsidR="000C0B14" w:rsidRPr="00330B51">
              <w:rPr>
                <w:rFonts w:asciiTheme="minorHAnsi" w:hAnsiTheme="minorHAnsi" w:cstheme="minorHAnsi"/>
                <w:lang w:eastAsia="en-AU"/>
              </w:rPr>
              <w:t xml:space="preserve"> to </w:t>
            </w:r>
            <w:r>
              <w:rPr>
                <w:rFonts w:asciiTheme="minorHAnsi" w:hAnsiTheme="minorHAnsi" w:cstheme="minorHAnsi"/>
                <w:lang w:eastAsia="en-AU"/>
              </w:rPr>
              <w:t>211.0</w:t>
            </w:r>
          </w:p>
        </w:tc>
        <w:tc>
          <w:tcPr>
            <w:tcW w:w="880" w:type="pct"/>
            <w:shd w:val="clear" w:color="auto" w:fill="FFFFFF" w:themeFill="background1"/>
            <w:vAlign w:val="center"/>
            <w:hideMark/>
          </w:tcPr>
          <w:p w14:paraId="41A1E74A" w14:textId="77777777" w:rsidR="000C0B14" w:rsidRPr="00330B51" w:rsidRDefault="000C0B14" w:rsidP="00330B51">
            <w:pPr>
              <w:pStyle w:val="TableBody"/>
              <w:rPr>
                <w:rFonts w:asciiTheme="minorHAnsi" w:hAnsiTheme="minorHAnsi" w:cstheme="minorHAnsi"/>
                <w:lang w:eastAsia="en-AU"/>
              </w:rPr>
            </w:pPr>
            <w:r w:rsidRPr="00330B51">
              <w:rPr>
                <w:rFonts w:asciiTheme="minorHAnsi" w:hAnsiTheme="minorHAnsi" w:cstheme="minorHAnsi"/>
                <w:lang w:eastAsia="en-AU"/>
              </w:rPr>
              <w:t>Nil</w:t>
            </w:r>
          </w:p>
        </w:tc>
        <w:tc>
          <w:tcPr>
            <w:tcW w:w="850" w:type="pct"/>
            <w:shd w:val="clear" w:color="auto" w:fill="FFFFFF" w:themeFill="background1"/>
            <w:vAlign w:val="center"/>
            <w:hideMark/>
          </w:tcPr>
          <w:p w14:paraId="7B32E875" w14:textId="77777777" w:rsidR="000C0B14" w:rsidRPr="00330B51" w:rsidRDefault="000C0B14" w:rsidP="00330B51">
            <w:pPr>
              <w:pStyle w:val="TableBody"/>
              <w:rPr>
                <w:rFonts w:asciiTheme="minorHAnsi" w:hAnsiTheme="minorHAnsi" w:cstheme="minorHAnsi"/>
                <w:lang w:eastAsia="en-AU"/>
              </w:rPr>
            </w:pPr>
            <w:r w:rsidRPr="00330B51">
              <w:rPr>
                <w:rFonts w:asciiTheme="minorHAnsi" w:hAnsiTheme="minorHAnsi" w:cstheme="minorHAnsi"/>
                <w:lang w:eastAsia="en-AU"/>
              </w:rPr>
              <w:t>Nil</w:t>
            </w:r>
          </w:p>
        </w:tc>
        <w:tc>
          <w:tcPr>
            <w:tcW w:w="1151" w:type="pct"/>
            <w:shd w:val="clear" w:color="auto" w:fill="FFFFFF" w:themeFill="background1"/>
            <w:vAlign w:val="center"/>
            <w:hideMark/>
          </w:tcPr>
          <w:p w14:paraId="6B0CC3E4" w14:textId="3709C937" w:rsidR="000C0B14" w:rsidRPr="00330B51" w:rsidRDefault="000C7F8C" w:rsidP="00330B51">
            <w:pPr>
              <w:pStyle w:val="TableBody"/>
              <w:rPr>
                <w:rFonts w:asciiTheme="minorHAnsi" w:hAnsiTheme="minorHAnsi" w:cstheme="minorHAnsi"/>
              </w:rPr>
            </w:pPr>
            <w:r>
              <w:rPr>
                <w:rFonts w:asciiTheme="minorHAnsi" w:hAnsiTheme="minorHAnsi" w:cstheme="minorHAnsi"/>
                <w:lang w:eastAsia="en-AU"/>
              </w:rPr>
              <w:t>91.1</w:t>
            </w:r>
            <w:r w:rsidRPr="00330B51">
              <w:rPr>
                <w:rFonts w:asciiTheme="minorHAnsi" w:hAnsiTheme="minorHAnsi" w:cstheme="minorHAnsi"/>
                <w:lang w:eastAsia="en-AU"/>
              </w:rPr>
              <w:t xml:space="preserve"> to </w:t>
            </w:r>
            <w:r>
              <w:rPr>
                <w:rFonts w:asciiTheme="minorHAnsi" w:hAnsiTheme="minorHAnsi" w:cstheme="minorHAnsi"/>
                <w:lang w:eastAsia="en-AU"/>
              </w:rPr>
              <w:t>211.0</w:t>
            </w:r>
          </w:p>
        </w:tc>
      </w:tr>
    </w:tbl>
    <w:p w14:paraId="6FFC50C2" w14:textId="77777777" w:rsidR="00FA7F0E" w:rsidRPr="001C31F4" w:rsidRDefault="00FA7F0E" w:rsidP="006D1CC5">
      <w:pPr>
        <w:pStyle w:val="Note"/>
      </w:pPr>
      <w:r w:rsidRPr="00386A14">
        <w:rPr>
          <w:b/>
        </w:rPr>
        <w:t>Note:</w:t>
      </w:r>
      <w:r>
        <w:t xml:space="preserve"> There will be no direct costs to individuals and communities although price rises may reflect the increased cost of operations as a result of the proposed RMP framework. </w:t>
      </w:r>
    </w:p>
    <w:p w14:paraId="3DB30455" w14:textId="36222253" w:rsidR="00FA7F0E" w:rsidRPr="00E9705C" w:rsidRDefault="00FA7F0E" w:rsidP="006D1CC5">
      <w:pPr>
        <w:pStyle w:val="BodyText"/>
      </w:pPr>
      <w:r w:rsidRPr="00E9705C">
        <w:t>Based on the industry submissions made during consultations,</w:t>
      </w:r>
      <w:r w:rsidR="00FE75AC">
        <w:t xml:space="preserve"> the expected</w:t>
      </w:r>
      <w:r w:rsidRPr="00E9705C">
        <w:t xml:space="preserve"> total regulatory costs will be highest for rules and </w:t>
      </w:r>
      <w:r w:rsidRPr="00A44322">
        <w:t xml:space="preserve">obligations associated with addressing </w:t>
      </w:r>
      <w:r w:rsidRPr="007D243C">
        <w:t>physical and natural</w:t>
      </w:r>
      <w:r w:rsidRPr="00136583">
        <w:t xml:space="preserve"> hazards. These costs represent approximately 5</w:t>
      </w:r>
      <w:r w:rsidR="00136583" w:rsidRPr="00CE4B35">
        <w:t>2.9</w:t>
      </w:r>
      <w:r w:rsidRPr="00A44322">
        <w:t>%</w:t>
      </w:r>
      <w:r w:rsidRPr="007D243C">
        <w:t xml:space="preserve"> of the total cost of implementing the </w:t>
      </w:r>
      <w:r w:rsidRPr="00136583">
        <w:t>RMP framework. The cost associated with cyber and information security hazards (35.6% of total cost</w:t>
      </w:r>
      <w:r w:rsidR="0014466D" w:rsidRPr="00136583">
        <w:t>)</w:t>
      </w:r>
      <w:r w:rsidRPr="00136583">
        <w:t xml:space="preserve"> is </w:t>
      </w:r>
      <w:r w:rsidR="00E55972" w:rsidRPr="00136583">
        <w:t>lower</w:t>
      </w:r>
      <w:r w:rsidRPr="00136583">
        <w:t xml:space="preserve"> but remains </w:t>
      </w:r>
      <w:r w:rsidR="00E55972" w:rsidRPr="00136583">
        <w:t>significant</w:t>
      </w:r>
      <w:r w:rsidRPr="00136583">
        <w:t>. Compliance costs associated with RMP obligations</w:t>
      </w:r>
      <w:r w:rsidR="002F3A40" w:rsidRPr="00136583">
        <w:t xml:space="preserve"> in the </w:t>
      </w:r>
      <w:r w:rsidR="00942B5A" w:rsidRPr="00136583">
        <w:t>Act</w:t>
      </w:r>
      <w:r w:rsidRPr="00136583">
        <w:t xml:space="preserve">, </w:t>
      </w:r>
      <w:r w:rsidR="006A05C3" w:rsidRPr="00136583">
        <w:t xml:space="preserve">general </w:t>
      </w:r>
      <w:r w:rsidRPr="00136583">
        <w:t>rules, personnel hazards, supply chain hazards and material risk rules were the least costly aspects of the RMP framework, representing in total approximately 11.</w:t>
      </w:r>
      <w:r w:rsidR="00136583" w:rsidRPr="00CE4B35">
        <w:t>5</w:t>
      </w:r>
      <w:r w:rsidRPr="00A44322">
        <w:t xml:space="preserve">% </w:t>
      </w:r>
      <w:r w:rsidRPr="007D243C">
        <w:t>of costs in total</w:t>
      </w:r>
      <w:r w:rsidRPr="00E9705C">
        <w:t>. The total regulatory cost by rule/obligation is set out in</w:t>
      </w:r>
      <w:r>
        <w:t xml:space="preserve"> </w:t>
      </w:r>
      <w:r w:rsidR="005E0460">
        <w:t xml:space="preserve">the table </w:t>
      </w:r>
      <w:r>
        <w:t>below.</w:t>
      </w:r>
    </w:p>
    <w:p w14:paraId="17BA136A" w14:textId="77777777" w:rsidR="00FA7F0E" w:rsidRPr="00473B24" w:rsidRDefault="00FA7F0E" w:rsidP="00136FE1">
      <w:pPr>
        <w:pStyle w:val="Caption"/>
        <w:rPr>
          <w:b/>
          <w:bCs/>
        </w:rPr>
      </w:pPr>
      <w:bookmarkStart w:id="643" w:name="_Toc78878016"/>
      <w:bookmarkStart w:id="644" w:name="_Toc79156692"/>
      <w:bookmarkStart w:id="645" w:name="_Toc90641074"/>
      <w:r w:rsidRPr="00E9705C">
        <w:t xml:space="preserve">Regulatory burden estimate by rule and obligation for </w:t>
      </w:r>
      <w:r w:rsidR="00B14333">
        <w:t>critical water assets</w:t>
      </w:r>
      <w:r w:rsidRPr="00E9705C">
        <w:t xml:space="preserve"> nationally</w:t>
      </w:r>
      <w:bookmarkEnd w:id="643"/>
      <w:bookmarkEnd w:id="644"/>
      <w:bookmarkEnd w:id="645"/>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410"/>
        <w:gridCol w:w="1843"/>
        <w:gridCol w:w="1985"/>
        <w:gridCol w:w="1559"/>
        <w:gridCol w:w="1841"/>
      </w:tblGrid>
      <w:tr w:rsidR="00FA7F0E" w:rsidRPr="00E9705C" w14:paraId="196B88B8" w14:textId="77777777" w:rsidTr="00136FE1">
        <w:tc>
          <w:tcPr>
            <w:tcW w:w="1250" w:type="pct"/>
            <w:tcBorders>
              <w:top w:val="nil"/>
              <w:bottom w:val="nil"/>
            </w:tcBorders>
            <w:shd w:val="clear" w:color="auto" w:fill="034EA2" w:themeFill="accent1"/>
            <w:hideMark/>
          </w:tcPr>
          <w:p w14:paraId="58877783" w14:textId="77777777" w:rsidR="00FA7F0E" w:rsidRPr="00E9705C" w:rsidRDefault="00FA7F0E" w:rsidP="00136FE1">
            <w:pPr>
              <w:pStyle w:val="TableHeading"/>
              <w:rPr>
                <w:lang w:eastAsia="en-AU"/>
              </w:rPr>
            </w:pPr>
            <w:r w:rsidRPr="00E9705C">
              <w:rPr>
                <w:lang w:eastAsia="en-AU"/>
              </w:rPr>
              <w:t>Rule / obligation</w:t>
            </w:r>
          </w:p>
        </w:tc>
        <w:tc>
          <w:tcPr>
            <w:tcW w:w="3750" w:type="pct"/>
            <w:gridSpan w:val="4"/>
            <w:shd w:val="clear" w:color="auto" w:fill="034EA2" w:themeFill="accent1"/>
            <w:vAlign w:val="center"/>
            <w:hideMark/>
          </w:tcPr>
          <w:p w14:paraId="6000CAA8" w14:textId="77777777" w:rsidR="00FA7F0E" w:rsidRPr="00E9705C" w:rsidRDefault="00FA7F0E" w:rsidP="00136FE1">
            <w:pPr>
              <w:pStyle w:val="TableHeading"/>
              <w:rPr>
                <w:lang w:eastAsia="en-AU"/>
              </w:rPr>
            </w:pPr>
            <w:r w:rsidRPr="00EE7E2C">
              <w:rPr>
                <w:lang w:eastAsia="en-AU"/>
              </w:rPr>
              <w:t>Costs</w:t>
            </w:r>
            <w:r w:rsidR="006664F4">
              <w:rPr>
                <w:lang w:eastAsia="en-AU"/>
              </w:rPr>
              <w:t xml:space="preserve"> (Expected and High)</w:t>
            </w:r>
          </w:p>
        </w:tc>
      </w:tr>
      <w:tr w:rsidR="00136FE1" w:rsidRPr="00E9705C" w14:paraId="71D377AA" w14:textId="77777777" w:rsidTr="00136FE1">
        <w:tc>
          <w:tcPr>
            <w:tcW w:w="1250" w:type="pct"/>
            <w:tcBorders>
              <w:top w:val="nil"/>
            </w:tcBorders>
            <w:shd w:val="clear" w:color="auto" w:fill="034EA2" w:themeFill="accent1"/>
            <w:hideMark/>
          </w:tcPr>
          <w:p w14:paraId="4D68ADB8" w14:textId="77777777" w:rsidR="00FA7F0E" w:rsidRPr="00E9705C" w:rsidRDefault="00FA7F0E" w:rsidP="00136FE1">
            <w:pPr>
              <w:pStyle w:val="TableBody"/>
              <w:rPr>
                <w:lang w:eastAsia="en-AU"/>
              </w:rPr>
            </w:pPr>
          </w:p>
        </w:tc>
        <w:tc>
          <w:tcPr>
            <w:tcW w:w="956" w:type="pct"/>
            <w:shd w:val="clear" w:color="auto" w:fill="DEEAF6"/>
            <w:vAlign w:val="center"/>
            <w:hideMark/>
          </w:tcPr>
          <w:p w14:paraId="43DD527F" w14:textId="77777777" w:rsidR="00FA7F0E" w:rsidRPr="00E9705C" w:rsidRDefault="00FA7F0E" w:rsidP="00136FE1">
            <w:pPr>
              <w:pStyle w:val="TableBody"/>
              <w:rPr>
                <w:color w:val="000000"/>
                <w:lang w:eastAsia="en-AU"/>
              </w:rPr>
            </w:pPr>
            <w:r w:rsidRPr="00E9705C">
              <w:rPr>
                <w:color w:val="000000"/>
                <w:lang w:eastAsia="en-AU"/>
              </w:rPr>
              <w:t>One-off ($ million)</w:t>
            </w:r>
          </w:p>
        </w:tc>
        <w:tc>
          <w:tcPr>
            <w:tcW w:w="1030" w:type="pct"/>
            <w:shd w:val="clear" w:color="auto" w:fill="DEEAF6"/>
            <w:vAlign w:val="center"/>
            <w:hideMark/>
          </w:tcPr>
          <w:p w14:paraId="1CB2A622" w14:textId="77777777" w:rsidR="00FA7F0E" w:rsidRPr="00E9705C" w:rsidRDefault="00FA7F0E" w:rsidP="00136FE1">
            <w:pPr>
              <w:pStyle w:val="TableBody"/>
              <w:rPr>
                <w:color w:val="000000"/>
                <w:lang w:eastAsia="en-AU"/>
              </w:rPr>
            </w:pPr>
            <w:r w:rsidRPr="00E9705C">
              <w:rPr>
                <w:color w:val="000000"/>
                <w:lang w:eastAsia="en-AU"/>
              </w:rPr>
              <w:t>Ongoing</w:t>
            </w:r>
            <w:r w:rsidRPr="00E9705C">
              <w:rPr>
                <w:color w:val="000000"/>
                <w:lang w:eastAsia="en-AU"/>
              </w:rPr>
              <w:br/>
              <w:t>(per year, $ million)</w:t>
            </w:r>
          </w:p>
        </w:tc>
        <w:tc>
          <w:tcPr>
            <w:tcW w:w="809" w:type="pct"/>
            <w:shd w:val="clear" w:color="auto" w:fill="DEEAF6"/>
            <w:vAlign w:val="center"/>
            <w:hideMark/>
          </w:tcPr>
          <w:p w14:paraId="0C9C3195" w14:textId="77777777" w:rsidR="00FA7F0E" w:rsidRPr="00E9705C" w:rsidRDefault="00FA7F0E" w:rsidP="00136FE1">
            <w:pPr>
              <w:pStyle w:val="TableBody"/>
              <w:rPr>
                <w:color w:val="000000"/>
                <w:lang w:eastAsia="en-AU"/>
              </w:rPr>
            </w:pPr>
            <w:r w:rsidRPr="00E9705C">
              <w:rPr>
                <w:color w:val="000000"/>
                <w:lang w:eastAsia="en-AU"/>
              </w:rPr>
              <w:t xml:space="preserve">Total cost </w:t>
            </w:r>
            <w:r w:rsidRPr="00E9705C">
              <w:rPr>
                <w:color w:val="000000"/>
                <w:lang w:eastAsia="en-AU"/>
              </w:rPr>
              <w:br/>
              <w:t xml:space="preserve">over 10 years ($ million) </w:t>
            </w:r>
            <w:r w:rsidRPr="00E9705C">
              <w:rPr>
                <w:color w:val="000000"/>
                <w:vertAlign w:val="superscript"/>
                <w:lang w:eastAsia="en-AU"/>
              </w:rPr>
              <w:footnoteReference w:id="350"/>
            </w:r>
          </w:p>
        </w:tc>
        <w:tc>
          <w:tcPr>
            <w:tcW w:w="955" w:type="pct"/>
            <w:shd w:val="clear" w:color="auto" w:fill="DEEAF6"/>
            <w:vAlign w:val="center"/>
            <w:hideMark/>
          </w:tcPr>
          <w:p w14:paraId="5F26E2B1" w14:textId="77777777" w:rsidR="00FA7F0E" w:rsidRPr="00E9705C" w:rsidRDefault="00304090" w:rsidP="00136FE1">
            <w:pPr>
              <w:pStyle w:val="TableBody"/>
              <w:rPr>
                <w:color w:val="000000"/>
                <w:lang w:eastAsia="en-AU"/>
              </w:rPr>
            </w:pPr>
            <w:r>
              <w:rPr>
                <w:color w:val="000000"/>
                <w:lang w:eastAsia="en-AU"/>
              </w:rPr>
              <w:t>Expected estimate as p</w:t>
            </w:r>
            <w:r w:rsidR="00FA7F0E" w:rsidRPr="00E9705C">
              <w:rPr>
                <w:color w:val="000000"/>
                <w:lang w:eastAsia="en-AU"/>
              </w:rPr>
              <w:t>ercentage of total (%)</w:t>
            </w:r>
          </w:p>
        </w:tc>
      </w:tr>
      <w:tr w:rsidR="00E854CF" w:rsidRPr="00E9705C" w14:paraId="6A5F482E" w14:textId="77777777" w:rsidTr="00CE4B35">
        <w:tc>
          <w:tcPr>
            <w:tcW w:w="0" w:type="pct"/>
            <w:vAlign w:val="center"/>
            <w:hideMark/>
          </w:tcPr>
          <w:p w14:paraId="58A2AD04" w14:textId="568B898A" w:rsidR="005E2784" w:rsidRPr="000F20CF" w:rsidRDefault="005E2784" w:rsidP="00136FE1">
            <w:pPr>
              <w:pStyle w:val="TableBody"/>
              <w:rPr>
                <w:lang w:eastAsia="en-AU"/>
              </w:rPr>
            </w:pPr>
            <w:r w:rsidRPr="00EE7E2C">
              <w:t xml:space="preserve">RMP obligations in the </w:t>
            </w:r>
            <w:r w:rsidR="007567E7">
              <w:t>Act</w:t>
            </w:r>
          </w:p>
        </w:tc>
        <w:tc>
          <w:tcPr>
            <w:tcW w:w="0" w:type="pct"/>
            <w:shd w:val="clear" w:color="auto" w:fill="auto"/>
            <w:vAlign w:val="center"/>
            <w:hideMark/>
          </w:tcPr>
          <w:p w14:paraId="73D460D2" w14:textId="42286699" w:rsidR="005E2784" w:rsidRPr="00E9705C" w:rsidRDefault="00E44C6B" w:rsidP="00136FE1">
            <w:pPr>
              <w:pStyle w:val="TableBody"/>
              <w:rPr>
                <w:lang w:eastAsia="en-AU"/>
              </w:rPr>
            </w:pPr>
            <w:r w:rsidRPr="00CE4B35">
              <w:t>2.4 to 4.5</w:t>
            </w:r>
          </w:p>
        </w:tc>
        <w:tc>
          <w:tcPr>
            <w:tcW w:w="0" w:type="pct"/>
            <w:shd w:val="clear" w:color="auto" w:fill="auto"/>
            <w:vAlign w:val="center"/>
            <w:hideMark/>
          </w:tcPr>
          <w:p w14:paraId="3593477C" w14:textId="22F4D1E7" w:rsidR="005E2784" w:rsidRPr="00E9705C" w:rsidRDefault="00E44C6B" w:rsidP="00136FE1">
            <w:pPr>
              <w:pStyle w:val="TableBody"/>
              <w:rPr>
                <w:lang w:eastAsia="en-AU"/>
              </w:rPr>
            </w:pPr>
            <w:r w:rsidRPr="0036406E">
              <w:t>3.1 to 4.5</w:t>
            </w:r>
          </w:p>
        </w:tc>
        <w:tc>
          <w:tcPr>
            <w:tcW w:w="0" w:type="pct"/>
            <w:shd w:val="clear" w:color="auto" w:fill="auto"/>
            <w:vAlign w:val="center"/>
            <w:hideMark/>
          </w:tcPr>
          <w:p w14:paraId="6E2A28CD" w14:textId="224769D0" w:rsidR="005E2784" w:rsidRPr="00E9705C" w:rsidRDefault="00097A11" w:rsidP="00136FE1">
            <w:pPr>
              <w:pStyle w:val="TableBody"/>
              <w:rPr>
                <w:lang w:eastAsia="en-AU"/>
              </w:rPr>
            </w:pPr>
            <w:r>
              <w:t>30.0</w:t>
            </w:r>
            <w:r w:rsidR="005E2784">
              <w:t xml:space="preserve"> to 4</w:t>
            </w:r>
            <w:r>
              <w:t>4.7</w:t>
            </w:r>
          </w:p>
        </w:tc>
        <w:tc>
          <w:tcPr>
            <w:tcW w:w="0" w:type="pct"/>
            <w:shd w:val="clear" w:color="auto" w:fill="auto"/>
            <w:vAlign w:val="center"/>
            <w:hideMark/>
          </w:tcPr>
          <w:p w14:paraId="626C289F" w14:textId="28B30D2E" w:rsidR="005E2784" w:rsidRPr="00E9705C" w:rsidRDefault="00097A11" w:rsidP="00136FE1">
            <w:pPr>
              <w:pStyle w:val="TableBody"/>
              <w:rPr>
                <w:lang w:eastAsia="en-AU"/>
              </w:rPr>
            </w:pPr>
            <w:r>
              <w:t>3.0</w:t>
            </w:r>
          </w:p>
        </w:tc>
      </w:tr>
      <w:tr w:rsidR="00304090" w:rsidRPr="00E9705C" w14:paraId="37C88A97" w14:textId="77777777" w:rsidTr="00CE4B35">
        <w:tc>
          <w:tcPr>
            <w:tcW w:w="0" w:type="pct"/>
            <w:shd w:val="clear" w:color="auto" w:fill="F2F2F2" w:themeFill="background1" w:themeFillShade="F2"/>
            <w:vAlign w:val="center"/>
            <w:hideMark/>
          </w:tcPr>
          <w:p w14:paraId="6461068B" w14:textId="780D7586" w:rsidR="005E2784" w:rsidRPr="000F20CF" w:rsidRDefault="005E2784" w:rsidP="00136FE1">
            <w:pPr>
              <w:pStyle w:val="TableBody"/>
              <w:rPr>
                <w:lang w:eastAsia="en-AU"/>
              </w:rPr>
            </w:pPr>
            <w:r w:rsidRPr="00EE7E2C">
              <w:t>G</w:t>
            </w:r>
            <w:r w:rsidR="007567E7">
              <w:t>eneral</w:t>
            </w:r>
            <w:r w:rsidRPr="00EE7E2C">
              <w:t xml:space="preserve"> rules</w:t>
            </w:r>
          </w:p>
        </w:tc>
        <w:tc>
          <w:tcPr>
            <w:tcW w:w="0" w:type="pct"/>
            <w:shd w:val="clear" w:color="auto" w:fill="auto"/>
            <w:vAlign w:val="center"/>
            <w:hideMark/>
          </w:tcPr>
          <w:p w14:paraId="7944E9AB" w14:textId="37629163" w:rsidR="005E2784" w:rsidRPr="00E9705C" w:rsidRDefault="00E44C6B" w:rsidP="00136FE1">
            <w:pPr>
              <w:pStyle w:val="TableBody"/>
              <w:rPr>
                <w:lang w:eastAsia="en-AU"/>
              </w:rPr>
            </w:pPr>
            <w:r w:rsidRPr="00CE4B35">
              <w:t>1.6 to 3.2</w:t>
            </w:r>
          </w:p>
        </w:tc>
        <w:tc>
          <w:tcPr>
            <w:tcW w:w="0" w:type="pct"/>
            <w:shd w:val="clear" w:color="auto" w:fill="auto"/>
            <w:vAlign w:val="center"/>
            <w:hideMark/>
          </w:tcPr>
          <w:p w14:paraId="63C549E4" w14:textId="5B70589B" w:rsidR="005E2784" w:rsidRPr="00E9705C" w:rsidRDefault="00E44C6B" w:rsidP="00136FE1">
            <w:pPr>
              <w:pStyle w:val="TableBody"/>
              <w:rPr>
                <w:lang w:eastAsia="en-AU"/>
              </w:rPr>
            </w:pPr>
            <w:r w:rsidRPr="0036406E">
              <w:t>0.2 to 0.2</w:t>
            </w:r>
          </w:p>
        </w:tc>
        <w:tc>
          <w:tcPr>
            <w:tcW w:w="0" w:type="pct"/>
            <w:shd w:val="clear" w:color="auto" w:fill="auto"/>
            <w:vAlign w:val="center"/>
            <w:hideMark/>
          </w:tcPr>
          <w:p w14:paraId="22B0AAF0" w14:textId="39DC56BD" w:rsidR="005E2784" w:rsidRPr="00E9705C" w:rsidRDefault="005E2784" w:rsidP="00136FE1">
            <w:pPr>
              <w:pStyle w:val="TableBody"/>
              <w:rPr>
                <w:lang w:eastAsia="en-AU"/>
              </w:rPr>
            </w:pPr>
            <w:r>
              <w:t>3.</w:t>
            </w:r>
            <w:r w:rsidR="00097A11">
              <w:t xml:space="preserve">3 </w:t>
            </w:r>
            <w:r>
              <w:t xml:space="preserve">to </w:t>
            </w:r>
            <w:r w:rsidR="00097A11">
              <w:t>5.2</w:t>
            </w:r>
          </w:p>
        </w:tc>
        <w:tc>
          <w:tcPr>
            <w:tcW w:w="0" w:type="pct"/>
            <w:shd w:val="clear" w:color="auto" w:fill="auto"/>
            <w:vAlign w:val="center"/>
            <w:hideMark/>
          </w:tcPr>
          <w:p w14:paraId="6E9A7D5F" w14:textId="77777777" w:rsidR="005E2784" w:rsidRPr="00E9705C" w:rsidRDefault="005E2784" w:rsidP="00136FE1">
            <w:pPr>
              <w:pStyle w:val="TableBody"/>
              <w:rPr>
                <w:lang w:eastAsia="en-AU"/>
              </w:rPr>
            </w:pPr>
            <w:r>
              <w:t>0.3</w:t>
            </w:r>
          </w:p>
        </w:tc>
      </w:tr>
      <w:tr w:rsidR="000F20CF" w:rsidRPr="00E9705C" w14:paraId="0BB0E803" w14:textId="77777777" w:rsidTr="00136FE1">
        <w:tc>
          <w:tcPr>
            <w:tcW w:w="5000" w:type="pct"/>
            <w:gridSpan w:val="5"/>
            <w:vAlign w:val="center"/>
          </w:tcPr>
          <w:p w14:paraId="23799E0C" w14:textId="77777777" w:rsidR="00FA7F0E" w:rsidRPr="00E9705C" w:rsidRDefault="00FA7F0E" w:rsidP="00136FE1">
            <w:pPr>
              <w:pStyle w:val="TableBody"/>
            </w:pPr>
            <w:r>
              <w:t>RMP rules</w:t>
            </w:r>
          </w:p>
        </w:tc>
      </w:tr>
      <w:tr w:rsidR="00136FE1" w:rsidRPr="00E9705C" w14:paraId="6C5F1E9F" w14:textId="77777777" w:rsidTr="00CE4B35">
        <w:tc>
          <w:tcPr>
            <w:tcW w:w="0" w:type="pct"/>
            <w:shd w:val="clear" w:color="auto" w:fill="F2F2F2" w:themeFill="background1" w:themeFillShade="F2"/>
            <w:vAlign w:val="center"/>
            <w:hideMark/>
          </w:tcPr>
          <w:p w14:paraId="1CC170AB" w14:textId="77777777" w:rsidR="00BD7D2E" w:rsidRPr="009807CA" w:rsidRDefault="00BD7D2E" w:rsidP="00136FE1">
            <w:pPr>
              <w:pStyle w:val="TableBody"/>
              <w:rPr>
                <w:lang w:eastAsia="en-AU"/>
              </w:rPr>
            </w:pPr>
            <w:r w:rsidRPr="00E9705C">
              <w:lastRenderedPageBreak/>
              <w:t>Cyber</w:t>
            </w:r>
            <w:r>
              <w:t xml:space="preserve"> and information</w:t>
            </w:r>
            <w:r w:rsidRPr="00E9705C">
              <w:t xml:space="preserve"> security hazard</w:t>
            </w:r>
          </w:p>
        </w:tc>
        <w:tc>
          <w:tcPr>
            <w:tcW w:w="0" w:type="pct"/>
            <w:shd w:val="clear" w:color="auto" w:fill="auto"/>
            <w:vAlign w:val="center"/>
            <w:hideMark/>
          </w:tcPr>
          <w:p w14:paraId="440BFEBA" w14:textId="54F87045" w:rsidR="00BD7D2E" w:rsidRPr="00E9705C" w:rsidRDefault="00E44C6B" w:rsidP="00136FE1">
            <w:pPr>
              <w:pStyle w:val="TableBody"/>
              <w:rPr>
                <w:lang w:eastAsia="en-AU"/>
              </w:rPr>
            </w:pPr>
            <w:r w:rsidRPr="00304364">
              <w:t>35.4 to 82.7</w:t>
            </w:r>
          </w:p>
        </w:tc>
        <w:tc>
          <w:tcPr>
            <w:tcW w:w="0" w:type="pct"/>
            <w:shd w:val="clear" w:color="auto" w:fill="auto"/>
            <w:vAlign w:val="center"/>
            <w:hideMark/>
          </w:tcPr>
          <w:p w14:paraId="1B37FEAA" w14:textId="59F7E613" w:rsidR="00BD7D2E" w:rsidRPr="00E9705C" w:rsidRDefault="00E44C6B" w:rsidP="00136FE1">
            <w:pPr>
              <w:pStyle w:val="TableBody"/>
              <w:rPr>
                <w:lang w:eastAsia="en-AU"/>
              </w:rPr>
            </w:pPr>
            <w:r w:rsidRPr="00103E21">
              <w:t>35.5 to 48.1</w:t>
            </w:r>
          </w:p>
        </w:tc>
        <w:tc>
          <w:tcPr>
            <w:tcW w:w="0" w:type="pct"/>
            <w:shd w:val="clear" w:color="auto" w:fill="auto"/>
            <w:vAlign w:val="center"/>
            <w:hideMark/>
          </w:tcPr>
          <w:p w14:paraId="4E31721C" w14:textId="0891F57D" w:rsidR="00BD7D2E" w:rsidRPr="00E9705C" w:rsidRDefault="00BD7D2E" w:rsidP="00136FE1">
            <w:pPr>
              <w:pStyle w:val="TableBody"/>
            </w:pPr>
            <w:r>
              <w:t>35</w:t>
            </w:r>
            <w:r w:rsidR="00097A11">
              <w:t>8.2</w:t>
            </w:r>
            <w:r>
              <w:t xml:space="preserve"> to </w:t>
            </w:r>
            <w:r w:rsidR="00097A11">
              <w:t>434.1</w:t>
            </w:r>
          </w:p>
        </w:tc>
        <w:tc>
          <w:tcPr>
            <w:tcW w:w="0" w:type="pct"/>
            <w:shd w:val="clear" w:color="auto" w:fill="auto"/>
            <w:vAlign w:val="center"/>
            <w:hideMark/>
          </w:tcPr>
          <w:p w14:paraId="59F37868" w14:textId="77777777" w:rsidR="00BD7D2E" w:rsidRPr="00E9705C" w:rsidRDefault="00BD7D2E" w:rsidP="00136FE1">
            <w:pPr>
              <w:pStyle w:val="TableBody"/>
              <w:rPr>
                <w:lang w:eastAsia="en-AU"/>
              </w:rPr>
            </w:pPr>
            <w:r>
              <w:t>35.6</w:t>
            </w:r>
          </w:p>
        </w:tc>
      </w:tr>
      <w:tr w:rsidR="00136FE1" w:rsidRPr="00E9705C" w14:paraId="416A3D8F" w14:textId="77777777" w:rsidTr="00CE4B35">
        <w:tc>
          <w:tcPr>
            <w:tcW w:w="0" w:type="pct"/>
            <w:vAlign w:val="center"/>
            <w:hideMark/>
          </w:tcPr>
          <w:p w14:paraId="1826A8BC" w14:textId="77777777" w:rsidR="00BD7D2E" w:rsidRPr="009807CA" w:rsidRDefault="00BD7D2E" w:rsidP="00136FE1">
            <w:pPr>
              <w:pStyle w:val="TableBody"/>
              <w:rPr>
                <w:lang w:eastAsia="en-AU"/>
              </w:rPr>
            </w:pPr>
            <w:r w:rsidRPr="00E9705C">
              <w:t>Personnel hazard</w:t>
            </w:r>
          </w:p>
        </w:tc>
        <w:tc>
          <w:tcPr>
            <w:tcW w:w="0" w:type="pct"/>
            <w:shd w:val="clear" w:color="auto" w:fill="auto"/>
            <w:vAlign w:val="center"/>
            <w:hideMark/>
          </w:tcPr>
          <w:p w14:paraId="1E23E839" w14:textId="62837E1F" w:rsidR="00BD7D2E" w:rsidRPr="00E9705C" w:rsidRDefault="00E44C6B" w:rsidP="00136FE1">
            <w:pPr>
              <w:pStyle w:val="TableBody"/>
              <w:rPr>
                <w:lang w:eastAsia="en-AU"/>
              </w:rPr>
            </w:pPr>
            <w:r w:rsidRPr="00304364">
              <w:t>4.0 to 5.0</w:t>
            </w:r>
          </w:p>
        </w:tc>
        <w:tc>
          <w:tcPr>
            <w:tcW w:w="0" w:type="pct"/>
            <w:shd w:val="clear" w:color="auto" w:fill="auto"/>
            <w:vAlign w:val="center"/>
            <w:hideMark/>
          </w:tcPr>
          <w:p w14:paraId="6290A7D3" w14:textId="698A5090" w:rsidR="00BD7D2E" w:rsidRPr="00E9705C" w:rsidRDefault="00E44C6B" w:rsidP="00136FE1">
            <w:pPr>
              <w:pStyle w:val="TableBody"/>
              <w:rPr>
                <w:lang w:eastAsia="en-AU"/>
              </w:rPr>
            </w:pPr>
            <w:r w:rsidRPr="00103E21">
              <w:t>3.2 to 4.3</w:t>
            </w:r>
          </w:p>
        </w:tc>
        <w:tc>
          <w:tcPr>
            <w:tcW w:w="0" w:type="pct"/>
            <w:shd w:val="clear" w:color="auto" w:fill="auto"/>
            <w:vAlign w:val="center"/>
            <w:hideMark/>
          </w:tcPr>
          <w:p w14:paraId="628330AD" w14:textId="40E4498F" w:rsidR="00BD7D2E" w:rsidRPr="00E9705C" w:rsidRDefault="00BD7D2E" w:rsidP="00136FE1">
            <w:pPr>
              <w:pStyle w:val="TableBody"/>
              <w:rPr>
                <w:lang w:eastAsia="en-AU"/>
              </w:rPr>
            </w:pPr>
            <w:r>
              <w:t>3</w:t>
            </w:r>
            <w:r w:rsidR="00097A11">
              <w:t>4.4</w:t>
            </w:r>
            <w:r>
              <w:t xml:space="preserve"> to 4</w:t>
            </w:r>
            <w:r w:rsidR="00097A11">
              <w:t>4.1</w:t>
            </w:r>
          </w:p>
        </w:tc>
        <w:tc>
          <w:tcPr>
            <w:tcW w:w="0" w:type="pct"/>
            <w:shd w:val="clear" w:color="auto" w:fill="auto"/>
            <w:vAlign w:val="center"/>
            <w:hideMark/>
          </w:tcPr>
          <w:p w14:paraId="5DEF53AF" w14:textId="77777777" w:rsidR="00BD7D2E" w:rsidRPr="00E9705C" w:rsidRDefault="00BD7D2E" w:rsidP="00136FE1">
            <w:pPr>
              <w:pStyle w:val="TableBody"/>
              <w:rPr>
                <w:lang w:eastAsia="en-AU"/>
              </w:rPr>
            </w:pPr>
            <w:r>
              <w:t>3.4</w:t>
            </w:r>
          </w:p>
        </w:tc>
      </w:tr>
      <w:tr w:rsidR="00136FE1" w:rsidRPr="00E9705C" w14:paraId="61226315" w14:textId="77777777" w:rsidTr="00CE4B35">
        <w:tc>
          <w:tcPr>
            <w:tcW w:w="0" w:type="pct"/>
            <w:shd w:val="clear" w:color="auto" w:fill="F2F2F2" w:themeFill="background1" w:themeFillShade="F2"/>
            <w:vAlign w:val="center"/>
            <w:hideMark/>
          </w:tcPr>
          <w:p w14:paraId="23C880C0" w14:textId="77777777" w:rsidR="00BD7D2E" w:rsidRPr="009807CA" w:rsidRDefault="00BD7D2E" w:rsidP="00136FE1">
            <w:pPr>
              <w:pStyle w:val="TableBody"/>
              <w:rPr>
                <w:lang w:eastAsia="en-AU"/>
              </w:rPr>
            </w:pPr>
            <w:r w:rsidRPr="00E9705C">
              <w:t>Supply chain hazard</w:t>
            </w:r>
          </w:p>
        </w:tc>
        <w:tc>
          <w:tcPr>
            <w:tcW w:w="0" w:type="pct"/>
            <w:shd w:val="clear" w:color="auto" w:fill="auto"/>
            <w:vAlign w:val="center"/>
            <w:hideMark/>
          </w:tcPr>
          <w:p w14:paraId="5E000B82" w14:textId="10E6D449" w:rsidR="00BD7D2E" w:rsidRPr="00E9705C" w:rsidRDefault="00E44C6B" w:rsidP="00136FE1">
            <w:pPr>
              <w:pStyle w:val="TableBody"/>
              <w:rPr>
                <w:lang w:eastAsia="en-AU"/>
              </w:rPr>
            </w:pPr>
            <w:r w:rsidRPr="00304364">
              <w:t>5.0 to 9.1</w:t>
            </w:r>
          </w:p>
        </w:tc>
        <w:tc>
          <w:tcPr>
            <w:tcW w:w="0" w:type="pct"/>
            <w:shd w:val="clear" w:color="auto" w:fill="auto"/>
            <w:vAlign w:val="center"/>
            <w:hideMark/>
          </w:tcPr>
          <w:p w14:paraId="42C65830" w14:textId="026AA620" w:rsidR="00BD7D2E" w:rsidRPr="00E9705C" w:rsidRDefault="00E44C6B" w:rsidP="00136FE1">
            <w:pPr>
              <w:pStyle w:val="TableBody"/>
              <w:rPr>
                <w:lang w:eastAsia="en-AU"/>
              </w:rPr>
            </w:pPr>
            <w:r w:rsidRPr="00103E21">
              <w:t>4.2 to 14.3</w:t>
            </w:r>
          </w:p>
        </w:tc>
        <w:tc>
          <w:tcPr>
            <w:tcW w:w="0" w:type="pct"/>
            <w:shd w:val="clear" w:color="auto" w:fill="auto"/>
            <w:vAlign w:val="center"/>
            <w:hideMark/>
          </w:tcPr>
          <w:p w14:paraId="4E31FABC" w14:textId="06FA5FD4" w:rsidR="00BD7D2E" w:rsidRPr="00E9705C" w:rsidRDefault="00BD7D2E" w:rsidP="00136FE1">
            <w:pPr>
              <w:pStyle w:val="TableBody"/>
              <w:rPr>
                <w:lang w:eastAsia="en-AU"/>
              </w:rPr>
            </w:pPr>
            <w:r>
              <w:t>4</w:t>
            </w:r>
            <w:r w:rsidR="00097A11">
              <w:t>4.8</w:t>
            </w:r>
            <w:r>
              <w:t xml:space="preserve"> to 1</w:t>
            </w:r>
            <w:r w:rsidR="00097A11">
              <w:t>37.9</w:t>
            </w:r>
          </w:p>
        </w:tc>
        <w:tc>
          <w:tcPr>
            <w:tcW w:w="0" w:type="pct"/>
            <w:shd w:val="clear" w:color="auto" w:fill="auto"/>
            <w:vAlign w:val="center"/>
            <w:hideMark/>
          </w:tcPr>
          <w:p w14:paraId="6E6CDB35" w14:textId="77777777" w:rsidR="00BD7D2E" w:rsidRPr="00E9705C" w:rsidRDefault="00BD7D2E" w:rsidP="00136FE1">
            <w:pPr>
              <w:pStyle w:val="TableBody"/>
              <w:rPr>
                <w:lang w:eastAsia="en-AU"/>
              </w:rPr>
            </w:pPr>
            <w:r>
              <w:t>4.4</w:t>
            </w:r>
          </w:p>
        </w:tc>
      </w:tr>
      <w:tr w:rsidR="00136FE1" w:rsidRPr="00E9705C" w14:paraId="00980A42" w14:textId="77777777" w:rsidTr="00CE4B35">
        <w:tc>
          <w:tcPr>
            <w:tcW w:w="0" w:type="pct"/>
            <w:vAlign w:val="center"/>
            <w:hideMark/>
          </w:tcPr>
          <w:p w14:paraId="7F400CF1" w14:textId="77777777" w:rsidR="00BD7D2E" w:rsidRPr="009807CA" w:rsidRDefault="00BD7D2E" w:rsidP="00136FE1">
            <w:pPr>
              <w:pStyle w:val="TableBody"/>
              <w:rPr>
                <w:lang w:eastAsia="en-AU"/>
              </w:rPr>
            </w:pPr>
            <w:r w:rsidRPr="00E9705C">
              <w:t xml:space="preserve">Physical </w:t>
            </w:r>
            <w:r>
              <w:t xml:space="preserve">and natural </w:t>
            </w:r>
            <w:r w:rsidRPr="00E9705C">
              <w:t>hazard</w:t>
            </w:r>
          </w:p>
        </w:tc>
        <w:tc>
          <w:tcPr>
            <w:tcW w:w="0" w:type="pct"/>
            <w:shd w:val="clear" w:color="auto" w:fill="auto"/>
            <w:vAlign w:val="center"/>
            <w:hideMark/>
          </w:tcPr>
          <w:p w14:paraId="573D8477" w14:textId="7BB50A88" w:rsidR="00BD7D2E" w:rsidRPr="00E9705C" w:rsidRDefault="00E44C6B" w:rsidP="00136FE1">
            <w:pPr>
              <w:pStyle w:val="TableBody"/>
              <w:rPr>
                <w:lang w:eastAsia="en-AU"/>
              </w:rPr>
            </w:pPr>
            <w:r w:rsidRPr="00304364">
              <w:t>108.4 to 156.4</w:t>
            </w:r>
          </w:p>
        </w:tc>
        <w:tc>
          <w:tcPr>
            <w:tcW w:w="0" w:type="pct"/>
            <w:shd w:val="clear" w:color="auto" w:fill="auto"/>
            <w:vAlign w:val="center"/>
            <w:hideMark/>
          </w:tcPr>
          <w:p w14:paraId="6E0FC070" w14:textId="6B620987" w:rsidR="00BD7D2E" w:rsidRPr="00E9705C" w:rsidRDefault="00E44C6B" w:rsidP="00136FE1">
            <w:pPr>
              <w:pStyle w:val="TableBody"/>
              <w:rPr>
                <w:lang w:eastAsia="en-AU"/>
              </w:rPr>
            </w:pPr>
            <w:r w:rsidRPr="00103E21">
              <w:t>44.7 to 139.3</w:t>
            </w:r>
          </w:p>
        </w:tc>
        <w:tc>
          <w:tcPr>
            <w:tcW w:w="0" w:type="pct"/>
            <w:shd w:val="clear" w:color="auto" w:fill="auto"/>
            <w:vAlign w:val="center"/>
            <w:hideMark/>
          </w:tcPr>
          <w:p w14:paraId="6D568883" w14:textId="4797FB89" w:rsidR="00BD7D2E" w:rsidRPr="00E9705C" w:rsidRDefault="00BD7D2E" w:rsidP="00136FE1">
            <w:pPr>
              <w:pStyle w:val="TableBody"/>
              <w:rPr>
                <w:lang w:eastAsia="en-AU"/>
              </w:rPr>
            </w:pPr>
            <w:r>
              <w:t>5</w:t>
            </w:r>
            <w:r w:rsidR="00097A11">
              <w:t>32.8</w:t>
            </w:r>
            <w:r>
              <w:t xml:space="preserve"> to 1,</w:t>
            </w:r>
            <w:r w:rsidR="00097A11">
              <w:t>409.8</w:t>
            </w:r>
          </w:p>
        </w:tc>
        <w:tc>
          <w:tcPr>
            <w:tcW w:w="0" w:type="pct"/>
            <w:shd w:val="clear" w:color="auto" w:fill="auto"/>
            <w:vAlign w:val="center"/>
            <w:hideMark/>
          </w:tcPr>
          <w:p w14:paraId="2BC0054C" w14:textId="2C99A152" w:rsidR="00BD7D2E" w:rsidRPr="00E9705C" w:rsidRDefault="00BD7D2E" w:rsidP="00136FE1">
            <w:pPr>
              <w:pStyle w:val="TableBody"/>
              <w:rPr>
                <w:lang w:eastAsia="en-AU"/>
              </w:rPr>
            </w:pPr>
            <w:r>
              <w:t>5</w:t>
            </w:r>
            <w:r w:rsidR="00097A11">
              <w:t>2.9</w:t>
            </w:r>
          </w:p>
        </w:tc>
      </w:tr>
      <w:tr w:rsidR="00136FE1" w:rsidRPr="00E9705C" w14:paraId="668131BD" w14:textId="77777777" w:rsidTr="00CE4B35">
        <w:tc>
          <w:tcPr>
            <w:tcW w:w="0" w:type="pct"/>
            <w:shd w:val="clear" w:color="auto" w:fill="F2F2F2" w:themeFill="background1" w:themeFillShade="F2"/>
            <w:vAlign w:val="center"/>
            <w:hideMark/>
          </w:tcPr>
          <w:p w14:paraId="63CE2AB1" w14:textId="77777777" w:rsidR="00BD7D2E" w:rsidRPr="009807CA" w:rsidRDefault="00BD7D2E" w:rsidP="00136FE1">
            <w:pPr>
              <w:pStyle w:val="TableBody"/>
              <w:rPr>
                <w:lang w:eastAsia="en-AU"/>
              </w:rPr>
            </w:pPr>
            <w:r w:rsidRPr="00E9705C">
              <w:t>Material risk</w:t>
            </w:r>
          </w:p>
        </w:tc>
        <w:tc>
          <w:tcPr>
            <w:tcW w:w="0" w:type="pct"/>
            <w:shd w:val="clear" w:color="auto" w:fill="auto"/>
            <w:vAlign w:val="center"/>
            <w:hideMark/>
          </w:tcPr>
          <w:p w14:paraId="7748A24A" w14:textId="1CCE8582" w:rsidR="00BD7D2E" w:rsidRPr="00E9705C" w:rsidRDefault="00E44C6B" w:rsidP="00136FE1">
            <w:pPr>
              <w:pStyle w:val="TableBody"/>
              <w:rPr>
                <w:lang w:eastAsia="en-AU"/>
              </w:rPr>
            </w:pPr>
            <w:r w:rsidRPr="00304364">
              <w:t>0.8 to 1.4</w:t>
            </w:r>
          </w:p>
        </w:tc>
        <w:tc>
          <w:tcPr>
            <w:tcW w:w="0" w:type="pct"/>
            <w:shd w:val="clear" w:color="auto" w:fill="auto"/>
            <w:vAlign w:val="center"/>
            <w:hideMark/>
          </w:tcPr>
          <w:p w14:paraId="3886DBF5" w14:textId="39E480FA" w:rsidR="00BD7D2E" w:rsidRPr="00E9705C" w:rsidRDefault="00E44C6B" w:rsidP="00136FE1">
            <w:pPr>
              <w:pStyle w:val="TableBody"/>
              <w:rPr>
                <w:lang w:eastAsia="en-AU"/>
              </w:rPr>
            </w:pPr>
            <w:r w:rsidRPr="00103E21">
              <w:t>0.3 to 0.4</w:t>
            </w:r>
          </w:p>
        </w:tc>
        <w:tc>
          <w:tcPr>
            <w:tcW w:w="0" w:type="pct"/>
            <w:shd w:val="clear" w:color="auto" w:fill="auto"/>
            <w:vAlign w:val="center"/>
            <w:hideMark/>
          </w:tcPr>
          <w:p w14:paraId="28B10F36" w14:textId="1A7DBD59" w:rsidR="00BD7D2E" w:rsidRPr="00E9705C" w:rsidRDefault="00BD7D2E" w:rsidP="00136FE1">
            <w:pPr>
              <w:pStyle w:val="TableBody"/>
              <w:rPr>
                <w:lang w:eastAsia="en-AU"/>
              </w:rPr>
            </w:pPr>
            <w:r>
              <w:t>3.</w:t>
            </w:r>
            <w:r w:rsidR="00097A11">
              <w:t xml:space="preserve">5 </w:t>
            </w:r>
            <w:r>
              <w:t xml:space="preserve">to </w:t>
            </w:r>
            <w:r w:rsidR="00097A11">
              <w:t>5.0</w:t>
            </w:r>
          </w:p>
        </w:tc>
        <w:tc>
          <w:tcPr>
            <w:tcW w:w="0" w:type="pct"/>
            <w:shd w:val="clear" w:color="auto" w:fill="auto"/>
            <w:vAlign w:val="center"/>
            <w:hideMark/>
          </w:tcPr>
          <w:p w14:paraId="2BA14FDA" w14:textId="77777777" w:rsidR="00BD7D2E" w:rsidRPr="00E9705C" w:rsidRDefault="00BD7D2E" w:rsidP="00136FE1">
            <w:pPr>
              <w:pStyle w:val="TableBody"/>
              <w:rPr>
                <w:lang w:eastAsia="en-AU"/>
              </w:rPr>
            </w:pPr>
            <w:r>
              <w:t>0.3</w:t>
            </w:r>
          </w:p>
        </w:tc>
      </w:tr>
      <w:tr w:rsidR="00136FE1" w:rsidRPr="00E9705C" w14:paraId="11D6C44E" w14:textId="77777777" w:rsidTr="00136FE1">
        <w:tc>
          <w:tcPr>
            <w:tcW w:w="1250" w:type="pct"/>
            <w:shd w:val="clear" w:color="auto" w:fill="034EA2" w:themeFill="accent1"/>
            <w:hideMark/>
          </w:tcPr>
          <w:p w14:paraId="055E0DCF" w14:textId="77777777" w:rsidR="00BD7D2E" w:rsidRPr="000F20CF" w:rsidRDefault="00BD7D2E" w:rsidP="00136FE1">
            <w:pPr>
              <w:pStyle w:val="TableHeading"/>
              <w:rPr>
                <w:lang w:eastAsia="en-AU"/>
              </w:rPr>
            </w:pPr>
            <w:r w:rsidRPr="009807CA">
              <w:rPr>
                <w:lang w:eastAsia="en-AU"/>
              </w:rPr>
              <w:t xml:space="preserve">Total </w:t>
            </w:r>
            <w:r w:rsidR="00B14333">
              <w:rPr>
                <w:lang w:eastAsia="en-AU"/>
              </w:rPr>
              <w:t>critical water assets</w:t>
            </w:r>
          </w:p>
        </w:tc>
        <w:tc>
          <w:tcPr>
            <w:tcW w:w="956" w:type="pct"/>
            <w:shd w:val="clear" w:color="auto" w:fill="034EA2" w:themeFill="accent1"/>
            <w:vAlign w:val="center"/>
            <w:hideMark/>
          </w:tcPr>
          <w:p w14:paraId="04447221" w14:textId="47248EBC" w:rsidR="00BD7D2E" w:rsidRPr="00E9705C" w:rsidRDefault="00E44C6B" w:rsidP="00136FE1">
            <w:pPr>
              <w:pStyle w:val="TableHeading"/>
              <w:rPr>
                <w:lang w:eastAsia="en-AU"/>
              </w:rPr>
            </w:pPr>
            <w:r>
              <w:rPr>
                <w:lang w:eastAsia="en-AU"/>
              </w:rPr>
              <w:t>157.5 to 262.4</w:t>
            </w:r>
          </w:p>
        </w:tc>
        <w:tc>
          <w:tcPr>
            <w:tcW w:w="1030" w:type="pct"/>
            <w:shd w:val="clear" w:color="auto" w:fill="034EA2" w:themeFill="accent1"/>
            <w:vAlign w:val="center"/>
            <w:hideMark/>
          </w:tcPr>
          <w:p w14:paraId="50DB0ABE" w14:textId="07DDEE13" w:rsidR="00BD7D2E" w:rsidRPr="00E9705C" w:rsidRDefault="00D2604A" w:rsidP="00136FE1">
            <w:pPr>
              <w:pStyle w:val="TableHeading"/>
              <w:rPr>
                <w:lang w:eastAsia="en-AU"/>
              </w:rPr>
            </w:pPr>
            <w:r>
              <w:t>91</w:t>
            </w:r>
            <w:r w:rsidR="00BD7D2E">
              <w:t>.</w:t>
            </w:r>
            <w:r>
              <w:t>1</w:t>
            </w:r>
            <w:r w:rsidR="00BD7D2E">
              <w:t xml:space="preserve"> to 2</w:t>
            </w:r>
            <w:r>
              <w:t>11</w:t>
            </w:r>
            <w:r w:rsidR="00BD7D2E">
              <w:t>.</w:t>
            </w:r>
            <w:r>
              <w:t>1</w:t>
            </w:r>
          </w:p>
        </w:tc>
        <w:tc>
          <w:tcPr>
            <w:tcW w:w="809" w:type="pct"/>
            <w:shd w:val="clear" w:color="auto" w:fill="034EA2" w:themeFill="accent1"/>
            <w:vAlign w:val="center"/>
            <w:hideMark/>
          </w:tcPr>
          <w:p w14:paraId="7E38020C" w14:textId="58BDFB0B" w:rsidR="00BD7D2E" w:rsidRPr="00E9705C" w:rsidRDefault="00097A11" w:rsidP="00136FE1">
            <w:pPr>
              <w:pStyle w:val="TableHeading"/>
              <w:rPr>
                <w:lang w:eastAsia="en-AU"/>
              </w:rPr>
            </w:pPr>
            <w:r>
              <w:t>1,006.9</w:t>
            </w:r>
            <w:r w:rsidR="00BD7D2E">
              <w:t xml:space="preserve"> to 2,</w:t>
            </w:r>
            <w:r>
              <w:t>080</w:t>
            </w:r>
            <w:r w:rsidR="00BD7D2E">
              <w:t>.8</w:t>
            </w:r>
          </w:p>
        </w:tc>
        <w:tc>
          <w:tcPr>
            <w:tcW w:w="955" w:type="pct"/>
            <w:shd w:val="clear" w:color="auto" w:fill="034EA2" w:themeFill="accent1"/>
            <w:vAlign w:val="center"/>
            <w:hideMark/>
          </w:tcPr>
          <w:p w14:paraId="45B37D32" w14:textId="77777777" w:rsidR="00BD7D2E" w:rsidRPr="00E9705C" w:rsidRDefault="00BD7D2E" w:rsidP="00136FE1">
            <w:pPr>
              <w:pStyle w:val="TableHeading"/>
              <w:rPr>
                <w:lang w:eastAsia="en-AU"/>
              </w:rPr>
            </w:pPr>
            <w:r>
              <w:rPr>
                <w:lang w:eastAsia="en-AU"/>
              </w:rPr>
              <w:t>100</w:t>
            </w:r>
          </w:p>
        </w:tc>
      </w:tr>
    </w:tbl>
    <w:p w14:paraId="77358F57" w14:textId="4DA9B80C" w:rsidR="00FA7F0E" w:rsidRDefault="00DD52C4" w:rsidP="00136FE1">
      <w:pPr>
        <w:pStyle w:val="BodyText"/>
        <w:spacing w:before="240"/>
      </w:pPr>
      <w:r>
        <w:t xml:space="preserve">The table below </w:t>
      </w:r>
      <w:r w:rsidR="00FA7F0E" w:rsidRPr="00827F58">
        <w:t xml:space="preserve">compares the share of regulatory cost for large industry participants (market share by revenue greater than 5%) and small industry participants (market share by revenue less than 5%). Large industry participants will incur </w:t>
      </w:r>
      <w:r w:rsidR="00FA7F0E" w:rsidRPr="00A44322">
        <w:t xml:space="preserve">approximately </w:t>
      </w:r>
      <w:r w:rsidR="00FA7F0E" w:rsidRPr="007D243C">
        <w:t>50.</w:t>
      </w:r>
      <w:r w:rsidR="00BF592D" w:rsidRPr="00CE4B35">
        <w:t>1</w:t>
      </w:r>
      <w:r w:rsidR="00FA7F0E" w:rsidRPr="00A44322">
        <w:t>%</w:t>
      </w:r>
      <w:r w:rsidR="00FA7F0E" w:rsidRPr="007D243C">
        <w:t xml:space="preserve"> </w:t>
      </w:r>
      <w:r w:rsidR="00FA7F0E" w:rsidRPr="00BF592D">
        <w:t>of the</w:t>
      </w:r>
      <w:r w:rsidR="00304090" w:rsidRPr="00BF592D">
        <w:t xml:space="preserve"> expected</w:t>
      </w:r>
      <w:r w:rsidR="00FA7F0E" w:rsidRPr="00BF592D">
        <w:t xml:space="preserve"> total regulatory burden compared to 49.</w:t>
      </w:r>
      <w:r w:rsidR="00BF592D" w:rsidRPr="00CE4B35">
        <w:t>9</w:t>
      </w:r>
      <w:r w:rsidR="00FA7F0E" w:rsidRPr="00A44322">
        <w:t xml:space="preserve">% </w:t>
      </w:r>
      <w:r w:rsidR="00FA7F0E" w:rsidRPr="007D243C">
        <w:t>for small participants.</w:t>
      </w:r>
      <w:r w:rsidR="00FA7F0E" w:rsidRPr="00827F58">
        <w:t xml:space="preserve"> </w:t>
      </w:r>
    </w:p>
    <w:p w14:paraId="5CC906D9" w14:textId="77777777" w:rsidR="00FA7F0E" w:rsidRPr="00827F58" w:rsidRDefault="00FA7F0E" w:rsidP="00136FE1">
      <w:pPr>
        <w:pStyle w:val="Caption"/>
      </w:pPr>
      <w:bookmarkStart w:id="646" w:name="_Toc90641075"/>
      <w:r w:rsidRPr="00827F58">
        <w:t xml:space="preserve">Distribution of </w:t>
      </w:r>
      <w:r w:rsidR="00304090">
        <w:t xml:space="preserve">expected </w:t>
      </w:r>
      <w:r w:rsidRPr="00827F58">
        <w:t xml:space="preserve">regulatory cost compared to market share by entity size </w:t>
      </w:r>
      <w:bookmarkEnd w:id="646"/>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242"/>
        <w:gridCol w:w="1980"/>
        <w:gridCol w:w="1717"/>
        <w:gridCol w:w="1976"/>
        <w:gridCol w:w="1723"/>
      </w:tblGrid>
      <w:tr w:rsidR="00AC5537" w:rsidRPr="00136FE1" w14:paraId="667148B4" w14:textId="77777777" w:rsidTr="00136FE1">
        <w:trPr>
          <w:trHeight w:val="601"/>
        </w:trPr>
        <w:tc>
          <w:tcPr>
            <w:tcW w:w="1163" w:type="pct"/>
            <w:vMerge w:val="restart"/>
            <w:shd w:val="clear" w:color="auto" w:fill="034EA2" w:themeFill="accent1"/>
            <w:vAlign w:val="center"/>
            <w:hideMark/>
          </w:tcPr>
          <w:p w14:paraId="2718919E" w14:textId="77777777" w:rsidR="00AC5537" w:rsidRPr="00136FE1" w:rsidRDefault="00AC5537" w:rsidP="00136FE1">
            <w:pPr>
              <w:pStyle w:val="TableHeading"/>
              <w:rPr>
                <w:rFonts w:asciiTheme="minorHAnsi" w:hAnsiTheme="minorHAnsi" w:cstheme="minorHAnsi"/>
                <w:lang w:eastAsia="en-AU"/>
              </w:rPr>
            </w:pPr>
            <w:r w:rsidRPr="00136FE1">
              <w:rPr>
                <w:rFonts w:asciiTheme="minorHAnsi" w:hAnsiTheme="minorHAnsi" w:cstheme="minorHAnsi"/>
                <w:lang w:eastAsia="en-AU"/>
              </w:rPr>
              <w:t xml:space="preserve">Cost </w:t>
            </w:r>
          </w:p>
        </w:tc>
        <w:tc>
          <w:tcPr>
            <w:tcW w:w="3837" w:type="pct"/>
            <w:gridSpan w:val="4"/>
            <w:shd w:val="clear" w:color="auto" w:fill="034EA2" w:themeFill="accent1"/>
            <w:vAlign w:val="center"/>
            <w:hideMark/>
          </w:tcPr>
          <w:p w14:paraId="74972B9E" w14:textId="77777777" w:rsidR="00AC5537" w:rsidRPr="00136FE1" w:rsidRDefault="00AC5537" w:rsidP="00136FE1">
            <w:pPr>
              <w:pStyle w:val="TableHeading"/>
              <w:rPr>
                <w:rFonts w:asciiTheme="minorHAnsi" w:hAnsiTheme="minorHAnsi" w:cstheme="minorHAnsi"/>
                <w:lang w:eastAsia="en-AU"/>
              </w:rPr>
            </w:pPr>
            <w:r w:rsidRPr="00136FE1">
              <w:rPr>
                <w:rFonts w:asciiTheme="minorHAnsi" w:hAnsiTheme="minorHAnsi" w:cstheme="minorHAnsi"/>
                <w:lang w:eastAsia="en-AU"/>
              </w:rPr>
              <w:t>10-year costs (Expected)</w:t>
            </w:r>
          </w:p>
        </w:tc>
      </w:tr>
      <w:tr w:rsidR="00AC5537" w:rsidRPr="00136FE1" w14:paraId="53865F70" w14:textId="77777777" w:rsidTr="00136FE1">
        <w:trPr>
          <w:trHeight w:val="601"/>
        </w:trPr>
        <w:tc>
          <w:tcPr>
            <w:tcW w:w="1163" w:type="pct"/>
            <w:vMerge/>
            <w:shd w:val="clear" w:color="auto" w:fill="007BC3" w:themeFill="accent2"/>
            <w:vAlign w:val="center"/>
            <w:hideMark/>
          </w:tcPr>
          <w:p w14:paraId="22FF086B" w14:textId="77777777" w:rsidR="00AC5537" w:rsidRPr="00136FE1" w:rsidRDefault="00AC5537" w:rsidP="00136FE1">
            <w:pPr>
              <w:pStyle w:val="TableBody"/>
              <w:rPr>
                <w:rFonts w:asciiTheme="minorHAnsi" w:hAnsiTheme="minorHAnsi" w:cstheme="minorHAnsi"/>
                <w:lang w:eastAsia="en-AU"/>
              </w:rPr>
            </w:pPr>
          </w:p>
        </w:tc>
        <w:tc>
          <w:tcPr>
            <w:tcW w:w="1918" w:type="pct"/>
            <w:gridSpan w:val="2"/>
            <w:shd w:val="clear" w:color="auto" w:fill="DEEAF6"/>
            <w:vAlign w:val="center"/>
            <w:hideMark/>
          </w:tcPr>
          <w:p w14:paraId="2CF2C158" w14:textId="77777777" w:rsidR="00AC5537" w:rsidRPr="00136FE1" w:rsidRDefault="00AC5537" w:rsidP="00136FE1">
            <w:pPr>
              <w:pStyle w:val="TableBody"/>
              <w:rPr>
                <w:rFonts w:asciiTheme="minorHAnsi" w:hAnsiTheme="minorHAnsi" w:cstheme="minorHAnsi"/>
                <w:lang w:eastAsia="en-AU"/>
              </w:rPr>
            </w:pPr>
            <w:r w:rsidRPr="00136FE1">
              <w:rPr>
                <w:rFonts w:asciiTheme="minorHAnsi" w:hAnsiTheme="minorHAnsi" w:cstheme="minorHAnsi"/>
                <w:lang w:eastAsia="en-AU"/>
              </w:rPr>
              <w:t>Large entities by market share</w:t>
            </w:r>
          </w:p>
        </w:tc>
        <w:tc>
          <w:tcPr>
            <w:tcW w:w="1919" w:type="pct"/>
            <w:gridSpan w:val="2"/>
            <w:shd w:val="clear" w:color="auto" w:fill="DEEAF6"/>
            <w:vAlign w:val="center"/>
            <w:hideMark/>
          </w:tcPr>
          <w:p w14:paraId="77F029F4" w14:textId="77777777" w:rsidR="00AC5537" w:rsidRPr="00136FE1" w:rsidRDefault="00AC5537" w:rsidP="00136FE1">
            <w:pPr>
              <w:pStyle w:val="TableBody"/>
              <w:rPr>
                <w:rFonts w:asciiTheme="minorHAnsi" w:hAnsiTheme="minorHAnsi" w:cstheme="minorHAnsi"/>
                <w:lang w:eastAsia="en-AU"/>
              </w:rPr>
            </w:pPr>
            <w:r w:rsidRPr="00136FE1">
              <w:rPr>
                <w:rFonts w:asciiTheme="minorHAnsi" w:hAnsiTheme="minorHAnsi" w:cstheme="minorHAnsi"/>
                <w:lang w:eastAsia="en-AU"/>
              </w:rPr>
              <w:t>Small entities by market share</w:t>
            </w:r>
          </w:p>
        </w:tc>
      </w:tr>
      <w:tr w:rsidR="00AC5537" w:rsidRPr="00136FE1" w14:paraId="2BAF9C29" w14:textId="77777777" w:rsidTr="00136FE1">
        <w:trPr>
          <w:trHeight w:val="339"/>
        </w:trPr>
        <w:tc>
          <w:tcPr>
            <w:tcW w:w="1163" w:type="pct"/>
            <w:vMerge/>
            <w:shd w:val="clear" w:color="auto" w:fill="007BC3" w:themeFill="accent2"/>
            <w:vAlign w:val="center"/>
            <w:hideMark/>
          </w:tcPr>
          <w:p w14:paraId="650837CF" w14:textId="77777777" w:rsidR="00AC5537" w:rsidRPr="00136FE1" w:rsidRDefault="00AC5537" w:rsidP="00136FE1">
            <w:pPr>
              <w:pStyle w:val="TableBody"/>
              <w:rPr>
                <w:rFonts w:asciiTheme="minorHAnsi" w:hAnsiTheme="minorHAnsi" w:cstheme="minorHAnsi"/>
                <w:lang w:eastAsia="en-AU"/>
              </w:rPr>
            </w:pPr>
          </w:p>
        </w:tc>
        <w:tc>
          <w:tcPr>
            <w:tcW w:w="1027" w:type="pct"/>
            <w:shd w:val="clear" w:color="auto" w:fill="DEEAF6"/>
            <w:vAlign w:val="center"/>
            <w:hideMark/>
          </w:tcPr>
          <w:p w14:paraId="0751DE2A" w14:textId="77777777" w:rsidR="00AC5537" w:rsidRPr="00136FE1" w:rsidRDefault="00AC5537" w:rsidP="00136FE1">
            <w:pPr>
              <w:pStyle w:val="TableBody"/>
              <w:rPr>
                <w:rFonts w:asciiTheme="minorHAnsi" w:hAnsiTheme="minorHAnsi" w:cstheme="minorHAnsi"/>
                <w:lang w:eastAsia="en-AU"/>
              </w:rPr>
            </w:pPr>
            <w:r w:rsidRPr="00136FE1">
              <w:rPr>
                <w:rFonts w:asciiTheme="minorHAnsi" w:hAnsiTheme="minorHAnsi" w:cstheme="minorHAnsi"/>
                <w:lang w:eastAsia="en-AU"/>
              </w:rPr>
              <w:t>Cost ($ million)</w:t>
            </w:r>
          </w:p>
        </w:tc>
        <w:tc>
          <w:tcPr>
            <w:tcW w:w="891" w:type="pct"/>
            <w:shd w:val="clear" w:color="auto" w:fill="DEEAF6"/>
            <w:vAlign w:val="center"/>
            <w:hideMark/>
          </w:tcPr>
          <w:p w14:paraId="6AC49C30" w14:textId="77777777" w:rsidR="00AC5537" w:rsidRPr="00136FE1" w:rsidRDefault="00AC5537" w:rsidP="00136FE1">
            <w:pPr>
              <w:pStyle w:val="TableBody"/>
              <w:rPr>
                <w:rFonts w:asciiTheme="minorHAnsi" w:hAnsiTheme="minorHAnsi" w:cstheme="minorHAnsi"/>
                <w:lang w:eastAsia="en-AU"/>
              </w:rPr>
            </w:pPr>
            <w:r w:rsidRPr="00136FE1">
              <w:rPr>
                <w:rFonts w:asciiTheme="minorHAnsi" w:hAnsiTheme="minorHAnsi" w:cstheme="minorHAnsi"/>
                <w:lang w:eastAsia="en-AU"/>
              </w:rPr>
              <w:t>Percentage of total costs (%)</w:t>
            </w:r>
          </w:p>
        </w:tc>
        <w:tc>
          <w:tcPr>
            <w:tcW w:w="1025" w:type="pct"/>
            <w:shd w:val="clear" w:color="auto" w:fill="DEEAF6"/>
            <w:vAlign w:val="center"/>
            <w:hideMark/>
          </w:tcPr>
          <w:p w14:paraId="13A8E0B7" w14:textId="77777777" w:rsidR="00AC5537" w:rsidRPr="00136FE1" w:rsidRDefault="00AC5537" w:rsidP="00136FE1">
            <w:pPr>
              <w:pStyle w:val="TableBody"/>
              <w:rPr>
                <w:rFonts w:asciiTheme="minorHAnsi" w:hAnsiTheme="minorHAnsi" w:cstheme="minorHAnsi"/>
                <w:lang w:eastAsia="en-AU"/>
              </w:rPr>
            </w:pPr>
            <w:r w:rsidRPr="00136FE1">
              <w:rPr>
                <w:rFonts w:asciiTheme="minorHAnsi" w:hAnsiTheme="minorHAnsi" w:cstheme="minorHAnsi"/>
                <w:lang w:eastAsia="en-AU"/>
              </w:rPr>
              <w:t>Cost ($ million)</w:t>
            </w:r>
          </w:p>
        </w:tc>
        <w:tc>
          <w:tcPr>
            <w:tcW w:w="894" w:type="pct"/>
            <w:shd w:val="clear" w:color="auto" w:fill="DEEAF6"/>
            <w:vAlign w:val="center"/>
            <w:hideMark/>
          </w:tcPr>
          <w:p w14:paraId="50C188F2" w14:textId="77777777" w:rsidR="00AC5537" w:rsidRPr="00136FE1" w:rsidRDefault="00AC5537" w:rsidP="00136FE1">
            <w:pPr>
              <w:pStyle w:val="TableBody"/>
              <w:rPr>
                <w:rFonts w:asciiTheme="minorHAnsi" w:hAnsiTheme="minorHAnsi" w:cstheme="minorHAnsi"/>
                <w:lang w:eastAsia="en-AU"/>
              </w:rPr>
            </w:pPr>
            <w:r w:rsidRPr="00136FE1">
              <w:rPr>
                <w:rFonts w:asciiTheme="minorHAnsi" w:hAnsiTheme="minorHAnsi" w:cstheme="minorHAnsi"/>
                <w:lang w:eastAsia="en-AU"/>
              </w:rPr>
              <w:t>Percentage of total costs (%)</w:t>
            </w:r>
          </w:p>
        </w:tc>
      </w:tr>
      <w:tr w:rsidR="00AC5537" w:rsidRPr="00136FE1" w14:paraId="172B1605" w14:textId="77777777" w:rsidTr="00816B07">
        <w:trPr>
          <w:trHeight w:val="447"/>
        </w:trPr>
        <w:tc>
          <w:tcPr>
            <w:tcW w:w="1163" w:type="pct"/>
            <w:shd w:val="clear" w:color="auto" w:fill="F2F2F2" w:themeFill="background1" w:themeFillShade="F2"/>
            <w:vAlign w:val="center"/>
            <w:hideMark/>
          </w:tcPr>
          <w:p w14:paraId="0B06881F" w14:textId="77777777" w:rsidR="00AC5537" w:rsidRPr="00136FE1" w:rsidRDefault="00AC5537" w:rsidP="00136FE1">
            <w:pPr>
              <w:pStyle w:val="TableBody"/>
              <w:rPr>
                <w:rFonts w:asciiTheme="minorHAnsi" w:eastAsia="Times New Roman" w:hAnsiTheme="minorHAnsi" w:cstheme="minorHAnsi"/>
                <w:lang w:eastAsia="en-AU"/>
              </w:rPr>
            </w:pPr>
            <w:r w:rsidRPr="00136FE1">
              <w:rPr>
                <w:rFonts w:asciiTheme="minorHAnsi" w:eastAsia="Times New Roman" w:hAnsiTheme="minorHAnsi" w:cstheme="minorHAnsi"/>
                <w:lang w:eastAsia="en-AU"/>
              </w:rPr>
              <w:t>Total critical water assets</w:t>
            </w:r>
            <w:r w:rsidRPr="00136FE1">
              <w:rPr>
                <w:rFonts w:asciiTheme="minorHAnsi" w:eastAsia="Times New Roman" w:hAnsiTheme="minorHAnsi" w:cstheme="minorHAnsi"/>
                <w:color w:val="FF9933"/>
                <w:lang w:eastAsia="en-AU"/>
              </w:rPr>
              <w:t xml:space="preserve"> </w:t>
            </w:r>
          </w:p>
        </w:tc>
        <w:tc>
          <w:tcPr>
            <w:tcW w:w="1027" w:type="pct"/>
            <w:shd w:val="clear" w:color="auto" w:fill="auto"/>
            <w:vAlign w:val="center"/>
          </w:tcPr>
          <w:p w14:paraId="14A0BBB8" w14:textId="030688B1" w:rsidR="00AC5537" w:rsidRPr="00136FE1" w:rsidRDefault="00F92CEA" w:rsidP="00136FE1">
            <w:pPr>
              <w:pStyle w:val="TableBody"/>
              <w:rPr>
                <w:rFonts w:asciiTheme="minorHAnsi" w:hAnsiTheme="minorHAnsi" w:cstheme="minorHAnsi"/>
                <w:lang w:eastAsia="en-AU"/>
              </w:rPr>
            </w:pPr>
            <w:r>
              <w:rPr>
                <w:rFonts w:asciiTheme="minorHAnsi" w:hAnsiTheme="minorHAnsi" w:cstheme="minorHAnsi"/>
                <w:lang w:eastAsia="en-AU"/>
              </w:rPr>
              <w:t>504.9</w:t>
            </w:r>
          </w:p>
        </w:tc>
        <w:tc>
          <w:tcPr>
            <w:tcW w:w="891" w:type="pct"/>
            <w:shd w:val="clear" w:color="auto" w:fill="auto"/>
            <w:vAlign w:val="center"/>
          </w:tcPr>
          <w:p w14:paraId="754E4CFE" w14:textId="2CB6AA18" w:rsidR="00AC5537" w:rsidRPr="00136FE1" w:rsidRDefault="00AC5537" w:rsidP="00136FE1">
            <w:pPr>
              <w:pStyle w:val="TableBody"/>
              <w:rPr>
                <w:rFonts w:asciiTheme="minorHAnsi" w:hAnsiTheme="minorHAnsi" w:cstheme="minorHAnsi"/>
                <w:lang w:eastAsia="en-AU"/>
              </w:rPr>
            </w:pPr>
            <w:r w:rsidRPr="00136FE1">
              <w:rPr>
                <w:rFonts w:asciiTheme="minorHAnsi" w:hAnsiTheme="minorHAnsi" w:cstheme="minorHAnsi"/>
                <w:lang w:eastAsia="en-AU"/>
              </w:rPr>
              <w:t>50.</w:t>
            </w:r>
            <w:r w:rsidR="00BF592D">
              <w:rPr>
                <w:rFonts w:asciiTheme="minorHAnsi" w:hAnsiTheme="minorHAnsi" w:cstheme="minorHAnsi"/>
                <w:lang w:eastAsia="en-AU"/>
              </w:rPr>
              <w:t>1</w:t>
            </w:r>
          </w:p>
        </w:tc>
        <w:tc>
          <w:tcPr>
            <w:tcW w:w="1025" w:type="pct"/>
            <w:shd w:val="clear" w:color="auto" w:fill="auto"/>
            <w:vAlign w:val="center"/>
          </w:tcPr>
          <w:p w14:paraId="57ECB398" w14:textId="76A8329C" w:rsidR="00AC5537" w:rsidRPr="00136FE1" w:rsidRDefault="00F92CEA" w:rsidP="00136FE1">
            <w:pPr>
              <w:pStyle w:val="TableBody"/>
              <w:rPr>
                <w:rFonts w:asciiTheme="minorHAnsi" w:hAnsiTheme="minorHAnsi" w:cstheme="minorHAnsi"/>
                <w:lang w:eastAsia="en-AU"/>
              </w:rPr>
            </w:pPr>
            <w:r>
              <w:rPr>
                <w:rFonts w:asciiTheme="minorHAnsi" w:hAnsiTheme="minorHAnsi" w:cstheme="minorHAnsi"/>
                <w:lang w:eastAsia="en-AU"/>
              </w:rPr>
              <w:t>502.1</w:t>
            </w:r>
          </w:p>
        </w:tc>
        <w:tc>
          <w:tcPr>
            <w:tcW w:w="894" w:type="pct"/>
            <w:shd w:val="clear" w:color="auto" w:fill="auto"/>
            <w:vAlign w:val="center"/>
          </w:tcPr>
          <w:p w14:paraId="2EB2A9DC" w14:textId="2DAA7DFD" w:rsidR="00AC5537" w:rsidRPr="00136FE1" w:rsidRDefault="00AC5537" w:rsidP="00136FE1">
            <w:pPr>
              <w:pStyle w:val="TableBody"/>
              <w:rPr>
                <w:rFonts w:asciiTheme="minorHAnsi" w:hAnsiTheme="minorHAnsi" w:cstheme="minorHAnsi"/>
                <w:lang w:eastAsia="en-AU"/>
              </w:rPr>
            </w:pPr>
            <w:r w:rsidRPr="00136FE1">
              <w:rPr>
                <w:rFonts w:asciiTheme="minorHAnsi" w:hAnsiTheme="minorHAnsi" w:cstheme="minorHAnsi"/>
                <w:lang w:eastAsia="en-AU"/>
              </w:rPr>
              <w:t>49.</w:t>
            </w:r>
            <w:r w:rsidR="00BF592D">
              <w:rPr>
                <w:rFonts w:asciiTheme="minorHAnsi" w:hAnsiTheme="minorHAnsi" w:cstheme="minorHAnsi"/>
                <w:lang w:eastAsia="en-AU"/>
              </w:rPr>
              <w:t>9</w:t>
            </w:r>
          </w:p>
        </w:tc>
      </w:tr>
    </w:tbl>
    <w:p w14:paraId="5A7AC0C2" w14:textId="77777777" w:rsidR="00FA7F0E" w:rsidRPr="00A60991" w:rsidRDefault="00FA7F0E" w:rsidP="00136FE1">
      <w:pPr>
        <w:pStyle w:val="BodyText"/>
        <w:spacing w:before="240"/>
      </w:pPr>
      <w:r w:rsidRPr="00827F58">
        <w:t xml:space="preserve">The industry submissions also indicated the type of expenditure expected to be incurred. The allocation of cost </w:t>
      </w:r>
      <w:r w:rsidRPr="00A44322">
        <w:t>between labour effort, capital and operating costs is provided i</w:t>
      </w:r>
      <w:r w:rsidRPr="007D243C">
        <w:t xml:space="preserve">n </w:t>
      </w:r>
      <w:r w:rsidR="00B85546" w:rsidRPr="00A60991">
        <w:t>the table below</w:t>
      </w:r>
      <w:r w:rsidRPr="00A60991">
        <w:t>.</w:t>
      </w:r>
    </w:p>
    <w:p w14:paraId="3241BCCD" w14:textId="0A2475CD" w:rsidR="00FA7F0E" w:rsidRPr="00827F58" w:rsidRDefault="00FA7F0E" w:rsidP="00136FE1">
      <w:pPr>
        <w:pStyle w:val="BodyText"/>
      </w:pPr>
      <w:r w:rsidRPr="00A60991">
        <w:t>The analysis shows that 66.</w:t>
      </w:r>
      <w:r w:rsidR="00E07D2E" w:rsidRPr="00CE4B35">
        <w:t>0</w:t>
      </w:r>
      <w:r w:rsidRPr="00A44322">
        <w:t xml:space="preserve">% </w:t>
      </w:r>
      <w:r w:rsidRPr="007D243C">
        <w:t xml:space="preserve">of one-off costs and </w:t>
      </w:r>
      <w:r w:rsidRPr="00A60991">
        <w:t>3</w:t>
      </w:r>
      <w:r w:rsidR="00E07D2E" w:rsidRPr="00CE4B35">
        <w:t>2.8</w:t>
      </w:r>
      <w:r w:rsidRPr="00A44322">
        <w:t>%</w:t>
      </w:r>
      <w:r w:rsidRPr="007D243C">
        <w:t xml:space="preserve"> of ongoing costs are expected to be invested in capital. A relatively small share of costs are as</w:t>
      </w:r>
      <w:r w:rsidRPr="00A60991">
        <w:t>sociated with labour effort (</w:t>
      </w:r>
      <w:r w:rsidR="009333D3" w:rsidRPr="00CE4B35">
        <w:t>13.</w:t>
      </w:r>
      <w:r w:rsidR="00451DF7">
        <w:t>4</w:t>
      </w:r>
      <w:r w:rsidRPr="00A44322">
        <w:t xml:space="preserve">% </w:t>
      </w:r>
      <w:r w:rsidRPr="007D243C">
        <w:t>of one-off costs and</w:t>
      </w:r>
      <w:r w:rsidRPr="00A60991">
        <w:t xml:space="preserve"> 2</w:t>
      </w:r>
      <w:r w:rsidR="009333D3" w:rsidRPr="00CE4B35">
        <w:t>2.8</w:t>
      </w:r>
      <w:r w:rsidRPr="00A44322">
        <w:t xml:space="preserve">% </w:t>
      </w:r>
      <w:r w:rsidRPr="007D243C">
        <w:t>of ongoing costs) with operating costs being</w:t>
      </w:r>
      <w:r w:rsidRPr="00A60991">
        <w:t xml:space="preserve"> the largest component of ongoing costs (</w:t>
      </w:r>
      <w:r w:rsidR="00A60991" w:rsidRPr="00CE4B35">
        <w:t>44.4</w:t>
      </w:r>
      <w:r w:rsidRPr="00A44322">
        <w:t xml:space="preserve">% </w:t>
      </w:r>
      <w:r w:rsidRPr="007D243C">
        <w:t>of</w:t>
      </w:r>
      <w:r w:rsidRPr="00A60991">
        <w:t xml:space="preserve"> total ongoing costs).</w:t>
      </w:r>
      <w:r w:rsidRPr="00827F58">
        <w:t xml:space="preserve"> </w:t>
      </w:r>
    </w:p>
    <w:p w14:paraId="1EF4D4A6" w14:textId="77777777" w:rsidR="00FA7F0E" w:rsidRDefault="00FA7F0E" w:rsidP="0025373B">
      <w:pPr>
        <w:pStyle w:val="BodyText"/>
      </w:pPr>
      <w:r w:rsidRPr="00827F58">
        <w:t>The allocation of ongoing costs reflects that significant costs are related to cyber</w:t>
      </w:r>
      <w:r>
        <w:t xml:space="preserve"> and information </w:t>
      </w:r>
      <w:r w:rsidRPr="00827F58">
        <w:t>security hazards and this activity will require not only additional capital investment but also ongoing software and other service costs (e.g. because of the requirement for additional ongoing licenses and cloud services) in addition to labour effort.</w:t>
      </w:r>
    </w:p>
    <w:p w14:paraId="318EA56B" w14:textId="77777777" w:rsidR="00FA7F0E" w:rsidRPr="00F57A71" w:rsidRDefault="00FA7F0E" w:rsidP="0025373B">
      <w:pPr>
        <w:pStyle w:val="Caption"/>
        <w:rPr>
          <w:sz w:val="22"/>
        </w:rPr>
      </w:pPr>
      <w:bookmarkStart w:id="647" w:name="_Toc90641076"/>
      <w:r w:rsidRPr="00827F58">
        <w:t xml:space="preserve">Expected one-off and ongoing costs by cost type for </w:t>
      </w:r>
      <w:r w:rsidR="00B14333">
        <w:t>critical water assets</w:t>
      </w:r>
      <w:r w:rsidRPr="00827F58">
        <w:t xml:space="preserve"> nationally</w:t>
      </w:r>
      <w:bookmarkEnd w:id="647"/>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114"/>
        <w:gridCol w:w="1881"/>
        <w:gridCol w:w="1881"/>
        <w:gridCol w:w="1881"/>
        <w:gridCol w:w="1881"/>
      </w:tblGrid>
      <w:tr w:rsidR="00FA7F0E" w:rsidRPr="0025373B" w14:paraId="06A3776A" w14:textId="77777777" w:rsidTr="0025373B">
        <w:trPr>
          <w:trHeight w:val="601"/>
        </w:trPr>
        <w:tc>
          <w:tcPr>
            <w:tcW w:w="1096" w:type="pct"/>
            <w:vMerge w:val="restart"/>
            <w:shd w:val="clear" w:color="auto" w:fill="034EA2" w:themeFill="accent1"/>
            <w:vAlign w:val="center"/>
            <w:hideMark/>
          </w:tcPr>
          <w:p w14:paraId="486CCDCA" w14:textId="77777777" w:rsidR="00FA7F0E" w:rsidRPr="0025373B" w:rsidRDefault="00FA7F0E" w:rsidP="0025373B">
            <w:pPr>
              <w:pStyle w:val="TableHeading"/>
              <w:rPr>
                <w:rFonts w:asciiTheme="minorHAnsi" w:hAnsiTheme="minorHAnsi" w:cstheme="minorHAnsi"/>
                <w:lang w:eastAsia="en-AU"/>
              </w:rPr>
            </w:pPr>
            <w:r w:rsidRPr="0025373B">
              <w:rPr>
                <w:rFonts w:asciiTheme="minorHAnsi" w:hAnsiTheme="minorHAnsi" w:cstheme="minorHAnsi"/>
                <w:lang w:eastAsia="en-AU"/>
              </w:rPr>
              <w:t>Cost Type</w:t>
            </w:r>
          </w:p>
        </w:tc>
        <w:tc>
          <w:tcPr>
            <w:tcW w:w="3904" w:type="pct"/>
            <w:gridSpan w:val="4"/>
            <w:shd w:val="clear" w:color="auto" w:fill="034EA2" w:themeFill="accent1"/>
            <w:vAlign w:val="center"/>
            <w:hideMark/>
          </w:tcPr>
          <w:p w14:paraId="111FA902" w14:textId="77777777" w:rsidR="00FA7F0E" w:rsidRPr="0025373B" w:rsidRDefault="00FA7F0E" w:rsidP="0025373B">
            <w:pPr>
              <w:pStyle w:val="TableHeading"/>
              <w:rPr>
                <w:rFonts w:asciiTheme="minorHAnsi" w:hAnsiTheme="minorHAnsi" w:cstheme="minorHAnsi"/>
                <w:lang w:eastAsia="en-AU"/>
              </w:rPr>
            </w:pPr>
            <w:r w:rsidRPr="0025373B">
              <w:rPr>
                <w:rFonts w:asciiTheme="minorHAnsi" w:hAnsiTheme="minorHAnsi" w:cstheme="minorHAnsi"/>
                <w:lang w:eastAsia="en-AU"/>
              </w:rPr>
              <w:t xml:space="preserve">Costs </w:t>
            </w:r>
          </w:p>
        </w:tc>
      </w:tr>
      <w:tr w:rsidR="00340241" w:rsidRPr="0025373B" w14:paraId="6CB88FDB" w14:textId="77777777" w:rsidTr="0025373B">
        <w:trPr>
          <w:trHeight w:val="601"/>
        </w:trPr>
        <w:tc>
          <w:tcPr>
            <w:tcW w:w="1096" w:type="pct"/>
            <w:vMerge/>
            <w:shd w:val="clear" w:color="auto" w:fill="007BC3" w:themeFill="accent2"/>
            <w:vAlign w:val="center"/>
            <w:hideMark/>
          </w:tcPr>
          <w:p w14:paraId="4828CE23" w14:textId="77777777" w:rsidR="00FA7F0E" w:rsidRPr="0025373B" w:rsidRDefault="00FA7F0E" w:rsidP="0025373B">
            <w:pPr>
              <w:pStyle w:val="TableBody"/>
              <w:rPr>
                <w:rFonts w:asciiTheme="minorHAnsi" w:hAnsiTheme="minorHAnsi" w:cstheme="minorHAnsi"/>
                <w:lang w:eastAsia="en-AU"/>
              </w:rPr>
            </w:pPr>
          </w:p>
        </w:tc>
        <w:tc>
          <w:tcPr>
            <w:tcW w:w="976" w:type="pct"/>
            <w:shd w:val="clear" w:color="auto" w:fill="DEEAF6"/>
            <w:vAlign w:val="center"/>
            <w:hideMark/>
          </w:tcPr>
          <w:p w14:paraId="6078EA22"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 xml:space="preserve">One-off </w:t>
            </w:r>
            <w:r w:rsidRPr="0025373B">
              <w:rPr>
                <w:rFonts w:asciiTheme="minorHAnsi" w:hAnsiTheme="minorHAnsi" w:cstheme="minorHAnsi"/>
                <w:color w:val="000000"/>
                <w:lang w:eastAsia="en-AU"/>
              </w:rPr>
              <w:t>($ million)</w:t>
            </w:r>
          </w:p>
        </w:tc>
        <w:tc>
          <w:tcPr>
            <w:tcW w:w="976" w:type="pct"/>
            <w:shd w:val="clear" w:color="auto" w:fill="DEEAF6"/>
            <w:vAlign w:val="center"/>
            <w:hideMark/>
          </w:tcPr>
          <w:p w14:paraId="19BAF6E4"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One-off</w:t>
            </w:r>
            <w:r w:rsidRPr="0025373B">
              <w:rPr>
                <w:rFonts w:asciiTheme="minorHAnsi" w:hAnsiTheme="minorHAnsi" w:cstheme="minorHAnsi"/>
                <w:lang w:eastAsia="en-AU"/>
              </w:rPr>
              <w:br/>
              <w:t>(%)</w:t>
            </w:r>
          </w:p>
        </w:tc>
        <w:tc>
          <w:tcPr>
            <w:tcW w:w="976" w:type="pct"/>
            <w:shd w:val="clear" w:color="auto" w:fill="DEEAF6"/>
            <w:vAlign w:val="center"/>
            <w:hideMark/>
          </w:tcPr>
          <w:p w14:paraId="349E48D1"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Ongoing</w:t>
            </w:r>
            <w:r w:rsidRPr="0025373B">
              <w:rPr>
                <w:rFonts w:asciiTheme="minorHAnsi" w:hAnsiTheme="minorHAnsi" w:cstheme="minorHAnsi"/>
                <w:lang w:eastAsia="en-AU"/>
              </w:rPr>
              <w:br/>
              <w:t>(per year)</w:t>
            </w:r>
          </w:p>
        </w:tc>
        <w:tc>
          <w:tcPr>
            <w:tcW w:w="976" w:type="pct"/>
            <w:shd w:val="clear" w:color="auto" w:fill="DEEAF6"/>
            <w:vAlign w:val="center"/>
            <w:hideMark/>
          </w:tcPr>
          <w:p w14:paraId="375C5869"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Ongoing</w:t>
            </w:r>
            <w:r w:rsidRPr="0025373B">
              <w:rPr>
                <w:rFonts w:asciiTheme="minorHAnsi" w:hAnsiTheme="minorHAnsi" w:cstheme="minorHAnsi"/>
                <w:lang w:eastAsia="en-AU"/>
              </w:rPr>
              <w:br/>
              <w:t>(%)</w:t>
            </w:r>
          </w:p>
        </w:tc>
      </w:tr>
      <w:tr w:rsidR="00FA7F0E" w:rsidRPr="0025373B" w14:paraId="60159149" w14:textId="77777777" w:rsidTr="00816B07">
        <w:trPr>
          <w:trHeight w:val="331"/>
        </w:trPr>
        <w:tc>
          <w:tcPr>
            <w:tcW w:w="1096" w:type="pct"/>
            <w:shd w:val="clear" w:color="auto" w:fill="F2F2F2" w:themeFill="background1" w:themeFillShade="F2"/>
            <w:vAlign w:val="center"/>
            <w:hideMark/>
          </w:tcPr>
          <w:p w14:paraId="7F73AAFB"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Labour effort</w:t>
            </w:r>
          </w:p>
        </w:tc>
        <w:tc>
          <w:tcPr>
            <w:tcW w:w="976" w:type="pct"/>
            <w:shd w:val="clear" w:color="auto" w:fill="FFFFFF" w:themeFill="background1"/>
            <w:vAlign w:val="center"/>
          </w:tcPr>
          <w:p w14:paraId="13736B14" w14:textId="33C7DD84" w:rsidR="00FA7F0E" w:rsidRPr="0025373B" w:rsidRDefault="00FA0390" w:rsidP="0025373B">
            <w:pPr>
              <w:pStyle w:val="TableBody"/>
              <w:rPr>
                <w:rFonts w:asciiTheme="minorHAnsi" w:hAnsiTheme="minorHAnsi" w:cstheme="minorHAnsi"/>
                <w:highlight w:val="yellow"/>
                <w:lang w:eastAsia="en-AU"/>
              </w:rPr>
            </w:pPr>
            <w:r>
              <w:rPr>
                <w:rFonts w:asciiTheme="minorHAnsi" w:hAnsiTheme="minorHAnsi" w:cstheme="minorHAnsi"/>
              </w:rPr>
              <w:t>21.0</w:t>
            </w:r>
          </w:p>
        </w:tc>
        <w:tc>
          <w:tcPr>
            <w:tcW w:w="976" w:type="pct"/>
            <w:shd w:val="clear" w:color="auto" w:fill="FFFFFF" w:themeFill="background1"/>
            <w:vAlign w:val="center"/>
          </w:tcPr>
          <w:p w14:paraId="4DDF9689" w14:textId="1589D298"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1</w:t>
            </w:r>
            <w:r w:rsidR="00FA0390">
              <w:rPr>
                <w:rFonts w:asciiTheme="minorHAnsi" w:hAnsiTheme="minorHAnsi" w:cstheme="minorHAnsi"/>
                <w:lang w:eastAsia="en-AU"/>
              </w:rPr>
              <w:t>3.</w:t>
            </w:r>
            <w:r w:rsidR="00451DF7">
              <w:rPr>
                <w:rFonts w:asciiTheme="minorHAnsi" w:hAnsiTheme="minorHAnsi" w:cstheme="minorHAnsi"/>
                <w:lang w:eastAsia="en-AU"/>
              </w:rPr>
              <w:t>4</w:t>
            </w:r>
          </w:p>
        </w:tc>
        <w:tc>
          <w:tcPr>
            <w:tcW w:w="976" w:type="pct"/>
            <w:shd w:val="clear" w:color="auto" w:fill="FFFFFF" w:themeFill="background1"/>
            <w:vAlign w:val="center"/>
          </w:tcPr>
          <w:p w14:paraId="159EEF6C" w14:textId="6360C930" w:rsidR="00FA7F0E" w:rsidRPr="0025373B" w:rsidRDefault="00451DF7" w:rsidP="0025373B">
            <w:pPr>
              <w:pStyle w:val="TableBody"/>
              <w:rPr>
                <w:rFonts w:asciiTheme="minorHAnsi" w:hAnsiTheme="minorHAnsi" w:cstheme="minorHAnsi"/>
                <w:lang w:eastAsia="en-AU"/>
              </w:rPr>
            </w:pPr>
            <w:r>
              <w:rPr>
                <w:rFonts w:asciiTheme="minorHAnsi" w:hAnsiTheme="minorHAnsi" w:cstheme="minorHAnsi"/>
                <w:lang w:eastAsia="en-AU"/>
              </w:rPr>
              <w:t>21.0</w:t>
            </w:r>
          </w:p>
        </w:tc>
        <w:tc>
          <w:tcPr>
            <w:tcW w:w="976" w:type="pct"/>
            <w:shd w:val="clear" w:color="auto" w:fill="FFFFFF" w:themeFill="background1"/>
            <w:vAlign w:val="center"/>
          </w:tcPr>
          <w:p w14:paraId="0D53BA0F" w14:textId="13132A94"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2</w:t>
            </w:r>
            <w:r w:rsidR="00187ACB">
              <w:rPr>
                <w:rFonts w:asciiTheme="minorHAnsi" w:hAnsiTheme="minorHAnsi" w:cstheme="minorHAnsi"/>
                <w:lang w:eastAsia="en-AU"/>
              </w:rPr>
              <w:t>2.8</w:t>
            </w:r>
          </w:p>
        </w:tc>
      </w:tr>
      <w:tr w:rsidR="00FA7F0E" w:rsidRPr="0025373B" w14:paraId="496E6CE0" w14:textId="77777777" w:rsidTr="00816B07">
        <w:trPr>
          <w:trHeight w:val="265"/>
        </w:trPr>
        <w:tc>
          <w:tcPr>
            <w:tcW w:w="1096" w:type="pct"/>
            <w:shd w:val="clear" w:color="auto" w:fill="F2F2F2" w:themeFill="background1" w:themeFillShade="F2"/>
            <w:vAlign w:val="center"/>
            <w:hideMark/>
          </w:tcPr>
          <w:p w14:paraId="3673946E"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Capital</w:t>
            </w:r>
          </w:p>
        </w:tc>
        <w:tc>
          <w:tcPr>
            <w:tcW w:w="976" w:type="pct"/>
            <w:shd w:val="clear" w:color="auto" w:fill="FFFFFF" w:themeFill="background1"/>
            <w:vAlign w:val="center"/>
          </w:tcPr>
          <w:p w14:paraId="0B1223EB" w14:textId="77777777" w:rsidR="00FA7F0E" w:rsidRPr="0025373B" w:rsidRDefault="00FA7F0E" w:rsidP="0025373B">
            <w:pPr>
              <w:pStyle w:val="TableBody"/>
              <w:rPr>
                <w:rFonts w:asciiTheme="minorHAnsi" w:hAnsiTheme="minorHAnsi" w:cstheme="minorHAnsi"/>
                <w:highlight w:val="yellow"/>
                <w:lang w:eastAsia="en-AU"/>
              </w:rPr>
            </w:pPr>
            <w:r w:rsidRPr="0025373B">
              <w:rPr>
                <w:rFonts w:asciiTheme="minorHAnsi" w:hAnsiTheme="minorHAnsi" w:cstheme="minorHAnsi"/>
              </w:rPr>
              <w:t>104.0</w:t>
            </w:r>
          </w:p>
        </w:tc>
        <w:tc>
          <w:tcPr>
            <w:tcW w:w="976" w:type="pct"/>
            <w:shd w:val="clear" w:color="auto" w:fill="FFFFFF" w:themeFill="background1"/>
            <w:vAlign w:val="center"/>
          </w:tcPr>
          <w:p w14:paraId="51F8ADAF" w14:textId="61553812"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66.</w:t>
            </w:r>
            <w:r w:rsidR="00717C4B">
              <w:rPr>
                <w:rFonts w:asciiTheme="minorHAnsi" w:hAnsiTheme="minorHAnsi" w:cstheme="minorHAnsi"/>
                <w:lang w:eastAsia="en-AU"/>
              </w:rPr>
              <w:t>0</w:t>
            </w:r>
          </w:p>
        </w:tc>
        <w:tc>
          <w:tcPr>
            <w:tcW w:w="976" w:type="pct"/>
            <w:shd w:val="clear" w:color="auto" w:fill="FFFFFF" w:themeFill="background1"/>
            <w:vAlign w:val="center"/>
          </w:tcPr>
          <w:p w14:paraId="4C2BFF12"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29.9</w:t>
            </w:r>
          </w:p>
        </w:tc>
        <w:tc>
          <w:tcPr>
            <w:tcW w:w="976" w:type="pct"/>
            <w:shd w:val="clear" w:color="auto" w:fill="FFFFFF" w:themeFill="background1"/>
            <w:vAlign w:val="center"/>
          </w:tcPr>
          <w:p w14:paraId="4EE52FFA" w14:textId="1D54EF3F"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3</w:t>
            </w:r>
            <w:r w:rsidR="00187ACB">
              <w:rPr>
                <w:rFonts w:asciiTheme="minorHAnsi" w:hAnsiTheme="minorHAnsi" w:cstheme="minorHAnsi"/>
                <w:lang w:eastAsia="en-AU"/>
              </w:rPr>
              <w:t>2.8</w:t>
            </w:r>
          </w:p>
        </w:tc>
      </w:tr>
      <w:tr w:rsidR="00FA7F0E" w:rsidRPr="0025373B" w14:paraId="1E5966C0" w14:textId="77777777" w:rsidTr="00816B07">
        <w:trPr>
          <w:trHeight w:val="283"/>
        </w:trPr>
        <w:tc>
          <w:tcPr>
            <w:tcW w:w="1096" w:type="pct"/>
            <w:shd w:val="clear" w:color="auto" w:fill="F2F2F2" w:themeFill="background1" w:themeFillShade="F2"/>
            <w:vAlign w:val="center"/>
            <w:hideMark/>
          </w:tcPr>
          <w:p w14:paraId="2C53AC29"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Operating</w:t>
            </w:r>
          </w:p>
        </w:tc>
        <w:tc>
          <w:tcPr>
            <w:tcW w:w="976" w:type="pct"/>
            <w:shd w:val="clear" w:color="auto" w:fill="FFFFFF" w:themeFill="background1"/>
            <w:vAlign w:val="center"/>
          </w:tcPr>
          <w:p w14:paraId="2100721E" w14:textId="77777777" w:rsidR="00FA7F0E" w:rsidRPr="0025373B" w:rsidRDefault="00FA7F0E" w:rsidP="0025373B">
            <w:pPr>
              <w:pStyle w:val="TableBody"/>
              <w:rPr>
                <w:rFonts w:asciiTheme="minorHAnsi" w:hAnsiTheme="minorHAnsi" w:cstheme="minorHAnsi"/>
                <w:highlight w:val="yellow"/>
                <w:lang w:eastAsia="en-AU"/>
              </w:rPr>
            </w:pPr>
            <w:r w:rsidRPr="0025373B">
              <w:rPr>
                <w:rFonts w:asciiTheme="minorHAnsi" w:hAnsiTheme="minorHAnsi" w:cstheme="minorHAnsi"/>
              </w:rPr>
              <w:t>32.5</w:t>
            </w:r>
          </w:p>
        </w:tc>
        <w:tc>
          <w:tcPr>
            <w:tcW w:w="976" w:type="pct"/>
            <w:shd w:val="clear" w:color="auto" w:fill="FFFFFF" w:themeFill="background1"/>
            <w:vAlign w:val="center"/>
          </w:tcPr>
          <w:p w14:paraId="2926BED8" w14:textId="5E6AFC28"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20.</w:t>
            </w:r>
            <w:r w:rsidR="00717C4B">
              <w:rPr>
                <w:rFonts w:asciiTheme="minorHAnsi" w:hAnsiTheme="minorHAnsi" w:cstheme="minorHAnsi"/>
                <w:lang w:eastAsia="en-AU"/>
              </w:rPr>
              <w:t>6</w:t>
            </w:r>
          </w:p>
        </w:tc>
        <w:tc>
          <w:tcPr>
            <w:tcW w:w="976" w:type="pct"/>
            <w:shd w:val="clear" w:color="auto" w:fill="FFFFFF" w:themeFill="background1"/>
            <w:vAlign w:val="center"/>
          </w:tcPr>
          <w:p w14:paraId="4E74250E" w14:textId="77777777"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40.5</w:t>
            </w:r>
          </w:p>
        </w:tc>
        <w:tc>
          <w:tcPr>
            <w:tcW w:w="976" w:type="pct"/>
            <w:shd w:val="clear" w:color="auto" w:fill="FFFFFF" w:themeFill="background1"/>
            <w:vAlign w:val="center"/>
          </w:tcPr>
          <w:p w14:paraId="58BE79F4" w14:textId="4958742E" w:rsidR="00FA7F0E" w:rsidRPr="0025373B" w:rsidRDefault="00FA7F0E" w:rsidP="0025373B">
            <w:pPr>
              <w:pStyle w:val="TableBody"/>
              <w:rPr>
                <w:rFonts w:asciiTheme="minorHAnsi" w:hAnsiTheme="minorHAnsi" w:cstheme="minorHAnsi"/>
                <w:lang w:eastAsia="en-AU"/>
              </w:rPr>
            </w:pPr>
            <w:r w:rsidRPr="0025373B">
              <w:rPr>
                <w:rFonts w:asciiTheme="minorHAnsi" w:hAnsiTheme="minorHAnsi" w:cstheme="minorHAnsi"/>
                <w:lang w:eastAsia="en-AU"/>
              </w:rPr>
              <w:t>4</w:t>
            </w:r>
            <w:r w:rsidR="00187ACB">
              <w:rPr>
                <w:rFonts w:asciiTheme="minorHAnsi" w:hAnsiTheme="minorHAnsi" w:cstheme="minorHAnsi"/>
                <w:lang w:eastAsia="en-AU"/>
              </w:rPr>
              <w:t>4.4</w:t>
            </w:r>
          </w:p>
        </w:tc>
      </w:tr>
      <w:tr w:rsidR="00FA7F0E" w:rsidRPr="0025373B" w14:paraId="01E51A3E" w14:textId="77777777" w:rsidTr="0025373B">
        <w:trPr>
          <w:trHeight w:val="297"/>
        </w:trPr>
        <w:tc>
          <w:tcPr>
            <w:tcW w:w="1096" w:type="pct"/>
            <w:shd w:val="clear" w:color="auto" w:fill="034EA2" w:themeFill="accent1"/>
            <w:vAlign w:val="center"/>
            <w:hideMark/>
          </w:tcPr>
          <w:p w14:paraId="66C796CF" w14:textId="77777777" w:rsidR="00FA7F0E" w:rsidRPr="0025373B" w:rsidRDefault="00FA7F0E" w:rsidP="0025373B">
            <w:pPr>
              <w:pStyle w:val="TableHeading"/>
              <w:rPr>
                <w:rFonts w:asciiTheme="minorHAnsi" w:hAnsiTheme="minorHAnsi" w:cstheme="minorHAnsi"/>
              </w:rPr>
            </w:pPr>
            <w:r w:rsidRPr="0025373B">
              <w:rPr>
                <w:rFonts w:asciiTheme="minorHAnsi" w:hAnsiTheme="minorHAnsi" w:cstheme="minorHAnsi"/>
              </w:rPr>
              <w:lastRenderedPageBreak/>
              <w:t xml:space="preserve">Total </w:t>
            </w:r>
            <w:r w:rsidR="00B14333" w:rsidRPr="0025373B">
              <w:rPr>
                <w:rFonts w:asciiTheme="minorHAnsi" w:hAnsiTheme="minorHAnsi" w:cstheme="minorHAnsi"/>
              </w:rPr>
              <w:t>critical water assets</w:t>
            </w:r>
          </w:p>
        </w:tc>
        <w:tc>
          <w:tcPr>
            <w:tcW w:w="976" w:type="pct"/>
            <w:shd w:val="clear" w:color="auto" w:fill="034EA2" w:themeFill="accent1"/>
            <w:vAlign w:val="center"/>
          </w:tcPr>
          <w:p w14:paraId="11F172D8" w14:textId="616DE6E5" w:rsidR="00FA7F0E" w:rsidRPr="0025373B" w:rsidRDefault="00FA7F0E" w:rsidP="0025373B">
            <w:pPr>
              <w:pStyle w:val="TableHeading"/>
              <w:rPr>
                <w:rFonts w:asciiTheme="minorHAnsi" w:hAnsiTheme="minorHAnsi" w:cstheme="minorHAnsi"/>
                <w:highlight w:val="yellow"/>
              </w:rPr>
            </w:pPr>
            <w:r w:rsidRPr="0025373B">
              <w:rPr>
                <w:rFonts w:asciiTheme="minorHAnsi" w:hAnsiTheme="minorHAnsi" w:cstheme="minorHAnsi"/>
              </w:rPr>
              <w:t>15</w:t>
            </w:r>
            <w:r w:rsidR="00946762">
              <w:rPr>
                <w:rFonts w:asciiTheme="minorHAnsi" w:hAnsiTheme="minorHAnsi" w:cstheme="minorHAnsi"/>
              </w:rPr>
              <w:t>7.5</w:t>
            </w:r>
          </w:p>
        </w:tc>
        <w:tc>
          <w:tcPr>
            <w:tcW w:w="976" w:type="pct"/>
            <w:shd w:val="clear" w:color="auto" w:fill="034EA2" w:themeFill="accent1"/>
            <w:vAlign w:val="center"/>
            <w:hideMark/>
          </w:tcPr>
          <w:p w14:paraId="76CF94AB" w14:textId="77777777" w:rsidR="00FA7F0E" w:rsidRPr="0025373B" w:rsidRDefault="00FA7F0E" w:rsidP="0025373B">
            <w:pPr>
              <w:pStyle w:val="TableHeading"/>
              <w:rPr>
                <w:rFonts w:asciiTheme="minorHAnsi" w:hAnsiTheme="minorHAnsi" w:cstheme="minorHAnsi"/>
              </w:rPr>
            </w:pPr>
            <w:r w:rsidRPr="0025373B">
              <w:rPr>
                <w:rFonts w:asciiTheme="minorHAnsi" w:hAnsiTheme="minorHAnsi" w:cstheme="minorHAnsi"/>
              </w:rPr>
              <w:t>100.0</w:t>
            </w:r>
          </w:p>
        </w:tc>
        <w:tc>
          <w:tcPr>
            <w:tcW w:w="976" w:type="pct"/>
            <w:shd w:val="clear" w:color="auto" w:fill="034EA2" w:themeFill="accent1"/>
            <w:vAlign w:val="center"/>
          </w:tcPr>
          <w:p w14:paraId="148759E9" w14:textId="503FC565" w:rsidR="00FA7F0E" w:rsidRPr="0025373B" w:rsidRDefault="00946762" w:rsidP="0025373B">
            <w:pPr>
              <w:pStyle w:val="TableHeading"/>
              <w:rPr>
                <w:rFonts w:asciiTheme="minorHAnsi" w:hAnsiTheme="minorHAnsi" w:cstheme="minorHAnsi"/>
              </w:rPr>
            </w:pPr>
            <w:r>
              <w:rPr>
                <w:rFonts w:asciiTheme="minorHAnsi" w:hAnsiTheme="minorHAnsi" w:cstheme="minorHAnsi"/>
              </w:rPr>
              <w:t>91.1</w:t>
            </w:r>
          </w:p>
        </w:tc>
        <w:tc>
          <w:tcPr>
            <w:tcW w:w="976" w:type="pct"/>
            <w:shd w:val="clear" w:color="auto" w:fill="034EA2" w:themeFill="accent1"/>
            <w:vAlign w:val="center"/>
            <w:hideMark/>
          </w:tcPr>
          <w:p w14:paraId="279107CD" w14:textId="77777777" w:rsidR="00FA7F0E" w:rsidRPr="0025373B" w:rsidRDefault="00FA7F0E" w:rsidP="0025373B">
            <w:pPr>
              <w:pStyle w:val="TableHeading"/>
              <w:rPr>
                <w:rFonts w:asciiTheme="minorHAnsi" w:hAnsiTheme="minorHAnsi" w:cstheme="minorHAnsi"/>
              </w:rPr>
            </w:pPr>
            <w:r w:rsidRPr="0025373B">
              <w:rPr>
                <w:rFonts w:asciiTheme="minorHAnsi" w:hAnsiTheme="minorHAnsi" w:cstheme="minorHAnsi"/>
              </w:rPr>
              <w:t>100.0</w:t>
            </w:r>
          </w:p>
        </w:tc>
      </w:tr>
    </w:tbl>
    <w:p w14:paraId="4D2C7D09" w14:textId="77777777" w:rsidR="00107992" w:rsidRDefault="00107992" w:rsidP="0025373B">
      <w:pPr>
        <w:pStyle w:val="AppendixH2"/>
      </w:pPr>
      <w:r>
        <w:t>Benefits of option 2</w:t>
      </w:r>
    </w:p>
    <w:p w14:paraId="3EC5AB2C" w14:textId="77777777" w:rsidR="00901AD9" w:rsidRPr="00E9705C" w:rsidRDefault="00901AD9" w:rsidP="0025373B">
      <w:pPr>
        <w:pStyle w:val="BodyText"/>
      </w:pPr>
      <w:r w:rsidRPr="00E9705C">
        <w:t xml:space="preserve">A reliable continuous </w:t>
      </w:r>
      <w:r w:rsidRPr="00656632">
        <w:t>water and sewerage</w:t>
      </w:r>
      <w:r w:rsidRPr="00E9705C">
        <w:t xml:space="preserve"> supply is central to Australia’s prosperity. Further, disruption to supply can be a significant cost to the economy. The </w:t>
      </w:r>
      <w:r>
        <w:t>RMP</w:t>
      </w:r>
      <w:r w:rsidRPr="00E9705C">
        <w:t xml:space="preserve"> framework aims to reduce the frequency and impact of any disruption to supply and so its primary benefit is to avoid the incidents that may </w:t>
      </w:r>
      <w:r w:rsidRPr="0025373B">
        <w:t>otherwise</w:t>
      </w:r>
      <w:r w:rsidRPr="00E9705C">
        <w:t xml:space="preserve"> disrupt supply and cause economic loss.</w:t>
      </w:r>
    </w:p>
    <w:p w14:paraId="40448CDA" w14:textId="77777777" w:rsidR="007F03F0" w:rsidRPr="00656632" w:rsidRDefault="0052598D" w:rsidP="0025373B">
      <w:pPr>
        <w:pStyle w:val="AppendixH3"/>
        <w:rPr>
          <w:rFonts w:eastAsia="Calibri"/>
        </w:rPr>
      </w:pPr>
      <w:r>
        <w:rPr>
          <w:rFonts w:eastAsia="Calibri"/>
        </w:rPr>
        <w:t>Economic i</w:t>
      </w:r>
      <w:r w:rsidR="007F03F0" w:rsidRPr="00656632">
        <w:rPr>
          <w:rFonts w:eastAsia="Calibri"/>
        </w:rPr>
        <w:t xml:space="preserve">mpacts of disruptions to water and sewerage supply </w:t>
      </w:r>
    </w:p>
    <w:p w14:paraId="20DC672E" w14:textId="77777777" w:rsidR="007F03F0" w:rsidRPr="00E9705C" w:rsidRDefault="007F03F0" w:rsidP="008D2432">
      <w:pPr>
        <w:pStyle w:val="BodyText"/>
        <w:rPr>
          <w:rFonts w:ascii="Arial" w:eastAsia="Calibri" w:hAnsi="Arial" w:cs="Arial"/>
        </w:rPr>
      </w:pPr>
      <w:r w:rsidRPr="00E9705C">
        <w:t>Dam</w:t>
      </w:r>
      <w:r w:rsidRPr="00E9705C">
        <w:rPr>
          <w:rFonts w:ascii="Arial" w:eastAsia="Calibri" w:hAnsi="Arial" w:cs="Arial"/>
        </w:rPr>
        <w:t xml:space="preserve">age to </w:t>
      </w:r>
      <w:r>
        <w:rPr>
          <w:rFonts w:ascii="Arial" w:eastAsia="Calibri" w:hAnsi="Arial" w:cs="Arial"/>
        </w:rPr>
        <w:t>critical water assets</w:t>
      </w:r>
      <w:r w:rsidRPr="00E9705C">
        <w:rPr>
          <w:rFonts w:ascii="Arial" w:eastAsia="Calibri" w:hAnsi="Arial" w:cs="Arial"/>
        </w:rPr>
        <w:t xml:space="preserve"> can disrupt the </w:t>
      </w:r>
      <w:r>
        <w:rPr>
          <w:rFonts w:ascii="Arial" w:eastAsia="Calibri" w:hAnsi="Arial" w:cs="Arial"/>
        </w:rPr>
        <w:t xml:space="preserve">supply </w:t>
      </w:r>
      <w:r w:rsidRPr="00E9705C">
        <w:rPr>
          <w:rFonts w:ascii="Arial" w:eastAsia="Calibri" w:hAnsi="Arial" w:cs="Arial"/>
        </w:rPr>
        <w:t xml:space="preserve">of </w:t>
      </w:r>
      <w:r w:rsidRPr="00656632">
        <w:rPr>
          <w:rFonts w:ascii="Arial" w:eastAsia="Calibri" w:hAnsi="Arial" w:cs="Arial"/>
        </w:rPr>
        <w:t>water and sewerage</w:t>
      </w:r>
      <w:r w:rsidRPr="00E9705C">
        <w:rPr>
          <w:rFonts w:ascii="Arial" w:eastAsia="Calibri" w:hAnsi="Arial" w:cs="Arial"/>
        </w:rPr>
        <w:t xml:space="preserve"> to businesses and households. These events can generate costly immediate and longer-term impacts on the Australian economy. </w:t>
      </w:r>
      <w:r w:rsidR="007712F8">
        <w:rPr>
          <w:rFonts w:ascii="Arial" w:eastAsia="Calibri" w:hAnsi="Arial" w:cs="Arial"/>
        </w:rPr>
        <w:t>Globally</w:t>
      </w:r>
      <w:r w:rsidR="00402005">
        <w:rPr>
          <w:rFonts w:ascii="Arial" w:eastAsia="Calibri" w:hAnsi="Arial" w:cs="Arial"/>
        </w:rPr>
        <w:t>, it is estimated that about 42% of the world’s total active workforce is working in heavily water</w:t>
      </w:r>
      <w:r w:rsidR="007712F8">
        <w:rPr>
          <w:rFonts w:ascii="Arial" w:eastAsia="Calibri" w:hAnsi="Arial" w:cs="Arial"/>
        </w:rPr>
        <w:t>-dependent</w:t>
      </w:r>
      <w:r w:rsidR="00FE283A">
        <w:rPr>
          <w:rFonts w:ascii="Arial" w:eastAsia="Calibri" w:hAnsi="Arial" w:cs="Arial"/>
        </w:rPr>
        <w:t xml:space="preserve"> industries</w:t>
      </w:r>
      <w:r w:rsidR="00A146C2">
        <w:rPr>
          <w:rFonts w:ascii="Arial" w:eastAsia="Calibri" w:hAnsi="Arial" w:cs="Arial"/>
        </w:rPr>
        <w:t>, where</w:t>
      </w:r>
      <w:r w:rsidR="0052598D">
        <w:rPr>
          <w:rFonts w:ascii="Arial" w:eastAsia="Calibri" w:hAnsi="Arial" w:cs="Arial"/>
        </w:rPr>
        <w:t xml:space="preserve"> </w:t>
      </w:r>
      <w:r w:rsidR="006F7829">
        <w:rPr>
          <w:rFonts w:ascii="Arial" w:eastAsia="Calibri" w:hAnsi="Arial" w:cs="Arial"/>
        </w:rPr>
        <w:t>water is a necessary part of the sector’s value chain.</w:t>
      </w:r>
      <w:r w:rsidR="006F7829">
        <w:rPr>
          <w:rStyle w:val="FootnoteReference"/>
          <w:rFonts w:ascii="Arial" w:eastAsia="Calibri" w:hAnsi="Arial" w:cs="Arial"/>
        </w:rPr>
        <w:footnoteReference w:id="351"/>
      </w:r>
      <w:r w:rsidR="006F7829">
        <w:rPr>
          <w:rFonts w:ascii="Arial" w:eastAsia="Calibri" w:hAnsi="Arial" w:cs="Arial"/>
        </w:rPr>
        <w:t xml:space="preserve"> </w:t>
      </w:r>
      <w:r w:rsidR="00A146C2">
        <w:rPr>
          <w:rFonts w:ascii="Arial" w:eastAsia="Calibri" w:hAnsi="Arial" w:cs="Arial"/>
        </w:rPr>
        <w:t>T</w:t>
      </w:r>
      <w:r w:rsidRPr="00E9705C">
        <w:rPr>
          <w:rFonts w:ascii="Arial" w:eastAsia="Calibri" w:hAnsi="Arial" w:cs="Arial"/>
        </w:rPr>
        <w:t>he immediate</w:t>
      </w:r>
      <w:r w:rsidRPr="00E9705C">
        <w:rPr>
          <w:rFonts w:ascii="Arial" w:eastAsia="Arial" w:hAnsi="Arial" w:cs="Arial"/>
        </w:rPr>
        <w:t xml:space="preserve"> impacts of a </w:t>
      </w:r>
      <w:r w:rsidR="00217474">
        <w:rPr>
          <w:rFonts w:ascii="Arial" w:eastAsia="Arial" w:hAnsi="Arial" w:cs="Arial"/>
        </w:rPr>
        <w:t>disruption to</w:t>
      </w:r>
      <w:r w:rsidRPr="00E9705C">
        <w:rPr>
          <w:rFonts w:ascii="Arial" w:eastAsia="Arial" w:hAnsi="Arial" w:cs="Arial"/>
        </w:rPr>
        <w:t xml:space="preserve"> </w:t>
      </w:r>
      <w:r w:rsidRPr="00656632">
        <w:rPr>
          <w:rFonts w:ascii="Arial" w:eastAsia="Arial" w:hAnsi="Arial" w:cs="Arial"/>
        </w:rPr>
        <w:t>water and sewerage</w:t>
      </w:r>
      <w:r w:rsidRPr="00E9705C">
        <w:rPr>
          <w:rFonts w:ascii="Arial" w:eastAsia="Arial" w:hAnsi="Arial" w:cs="Arial"/>
        </w:rPr>
        <w:t xml:space="preserve"> </w:t>
      </w:r>
      <w:r w:rsidR="00217474">
        <w:rPr>
          <w:rFonts w:ascii="Arial" w:eastAsia="Arial" w:hAnsi="Arial" w:cs="Arial"/>
        </w:rPr>
        <w:t>supply include:</w:t>
      </w:r>
    </w:p>
    <w:p w14:paraId="426F1D56" w14:textId="77777777" w:rsidR="00107992" w:rsidRPr="00827F58" w:rsidRDefault="00A146C2" w:rsidP="0025373B">
      <w:pPr>
        <w:pStyle w:val="Bullet1stlevel"/>
      </w:pPr>
      <w:r>
        <w:t>Slowed or lost</w:t>
      </w:r>
      <w:r w:rsidR="00107992" w:rsidRPr="00827F58">
        <w:t xml:space="preserve"> production</w:t>
      </w:r>
      <w:r w:rsidR="00217474">
        <w:t xml:space="preserve"> (e.g. </w:t>
      </w:r>
      <w:r w:rsidR="008D2432">
        <w:t>where production is water-dependent)</w:t>
      </w:r>
      <w:r w:rsidR="00D32CA4">
        <w:t>;</w:t>
      </w:r>
    </w:p>
    <w:p w14:paraId="3BC54CFA" w14:textId="77777777" w:rsidR="00107992" w:rsidRPr="00827F58" w:rsidRDefault="00217474" w:rsidP="0025373B">
      <w:pPr>
        <w:pStyle w:val="Bullet1stlevel"/>
      </w:pPr>
      <w:r>
        <w:t>Reduced or l</w:t>
      </w:r>
      <w:r w:rsidR="007F03F0" w:rsidRPr="00E9705C">
        <w:t>ost</w:t>
      </w:r>
      <w:r w:rsidR="00107992" w:rsidRPr="00827F58">
        <w:t xml:space="preserve"> productivity (e.g. workers may be idle whilst continuing to receive wages);</w:t>
      </w:r>
    </w:p>
    <w:p w14:paraId="1B26D968" w14:textId="77777777" w:rsidR="00107992" w:rsidRPr="00827F58" w:rsidRDefault="00107992" w:rsidP="0025373B">
      <w:pPr>
        <w:pStyle w:val="Bullet1stlevel"/>
      </w:pPr>
      <w:r w:rsidRPr="00827F58">
        <w:t xml:space="preserve">Lost wages (e.g. workers may be sent home or unable to go to work); </w:t>
      </w:r>
    </w:p>
    <w:p w14:paraId="3C6F224E" w14:textId="77777777" w:rsidR="009615F1" w:rsidRPr="009615F1" w:rsidRDefault="007F03F0" w:rsidP="0025373B">
      <w:pPr>
        <w:pStyle w:val="Bullet1stlevel"/>
      </w:pPr>
      <w:r w:rsidRPr="00217474">
        <w:t xml:space="preserve">Increased cost of production if </w:t>
      </w:r>
      <w:r w:rsidR="00217474">
        <w:t>necessary alternatives to regular supply are required</w:t>
      </w:r>
      <w:r w:rsidRPr="00217474">
        <w:t xml:space="preserve"> (e.g. </w:t>
      </w:r>
      <w:r w:rsidR="00217474">
        <w:t>water delivery</w:t>
      </w:r>
      <w:r w:rsidRPr="00217474">
        <w:t>).</w:t>
      </w:r>
    </w:p>
    <w:p w14:paraId="0E83D4AB" w14:textId="77777777" w:rsidR="007F03F0" w:rsidRPr="009708DE" w:rsidRDefault="007F03F0" w:rsidP="0025373B">
      <w:pPr>
        <w:pStyle w:val="BodyText"/>
      </w:pPr>
      <w:r w:rsidRPr="009708DE">
        <w:t xml:space="preserve">In addition to the economic impacts, there are also qualitative impacts resulting from loss of access or compromise of a critical infrastructure asset that cannot be quantified using an economic method. This is true across all critical infrastructure sectors, however, is especially relevant in the context of critical water assets. Water is fundamental to life itself – the potential consequences of a loss of access to, or compromise of, a critical water asset go far beyond the financial burden that is placed upon a relevant entity or the broader economy. The United Nations General Assembly explicitly recognised the human right to water and sanitation through Resolution 64/292 – acknowledging that clean drinking water and sanitation are essential to the realisation of all human rights. </w:t>
      </w:r>
    </w:p>
    <w:p w14:paraId="72825ECA" w14:textId="44F194B6" w:rsidR="007F03F0" w:rsidRDefault="007F03F0" w:rsidP="0025373B">
      <w:pPr>
        <w:pStyle w:val="BodyText"/>
      </w:pPr>
      <w:r w:rsidRPr="009708DE">
        <w:t xml:space="preserve">These potential consequences of a prolonged disruption to a critical water asset are discussed above in </w:t>
      </w:r>
      <w:r w:rsidR="009708DE">
        <w:t xml:space="preserve">Appendix </w:t>
      </w:r>
      <w:r w:rsidR="0030492E">
        <w:t>I</w:t>
      </w:r>
      <w:r w:rsidRPr="009708DE">
        <w:t xml:space="preserve">, </w:t>
      </w:r>
      <w:r>
        <w:t>two key points include:</w:t>
      </w:r>
    </w:p>
    <w:p w14:paraId="0E7B4DD8" w14:textId="77777777" w:rsidR="007F03F0" w:rsidRDefault="007F03F0" w:rsidP="0025373B">
      <w:pPr>
        <w:pStyle w:val="Bullet1stlevel"/>
      </w:pPr>
      <w:r>
        <w:t>A lack of safe and clean drinking water heightens risk of illness, disease, and ultimately threatens human life; and</w:t>
      </w:r>
    </w:p>
    <w:p w14:paraId="2B65FEA8" w14:textId="77777777" w:rsidR="007F03F0" w:rsidRDefault="007F03F0" w:rsidP="0025373B">
      <w:pPr>
        <w:pStyle w:val="Bullet1stlevel"/>
      </w:pPr>
      <w:r>
        <w:t xml:space="preserve">Lack of access to water and sanitation burden health systems, unable to meet cleanliness and safety standards. </w:t>
      </w:r>
    </w:p>
    <w:p w14:paraId="02E74CCD" w14:textId="77777777" w:rsidR="00CF4A7C" w:rsidRPr="00E9705C" w:rsidRDefault="00CF4A7C" w:rsidP="0025373B">
      <w:pPr>
        <w:pStyle w:val="BodyText"/>
      </w:pPr>
      <w:r w:rsidRPr="00E9705C">
        <w:t xml:space="preserve">Quantifying the economic impacts associated with </w:t>
      </w:r>
      <w:r>
        <w:t>a disruption to water supply</w:t>
      </w:r>
      <w:r w:rsidRPr="00E9705C">
        <w:t xml:space="preserve"> is complex. Data is relatively sparse, and the economic impacts vary as they are highly sensitive to factors including:  </w:t>
      </w:r>
    </w:p>
    <w:p w14:paraId="7E79F8CF" w14:textId="77777777" w:rsidR="00CF4A7C" w:rsidRPr="00E9705C" w:rsidRDefault="00CF4A7C" w:rsidP="0025373B">
      <w:pPr>
        <w:pStyle w:val="Bullet1stlevel"/>
      </w:pPr>
      <w:r w:rsidRPr="00E9705C">
        <w:t xml:space="preserve">Duration of the </w:t>
      </w:r>
      <w:r>
        <w:t>disruption</w:t>
      </w:r>
      <w:r w:rsidRPr="00E9705C">
        <w:t xml:space="preserve">, for example short </w:t>
      </w:r>
      <w:r>
        <w:t>disruptions</w:t>
      </w:r>
      <w:r w:rsidRPr="00E9705C">
        <w:t xml:space="preserve"> are relatively manageable;</w:t>
      </w:r>
    </w:p>
    <w:p w14:paraId="284B2114" w14:textId="77777777" w:rsidR="00CF4A7C" w:rsidRPr="00E9705C" w:rsidRDefault="00CF4A7C" w:rsidP="0025373B">
      <w:pPr>
        <w:pStyle w:val="Bullet1stlevel"/>
      </w:pPr>
      <w:r w:rsidRPr="00E9705C">
        <w:t xml:space="preserve">Geographic spread of the outage, for example a localised </w:t>
      </w:r>
      <w:r w:rsidR="00FC38C9">
        <w:t>disruption to supply</w:t>
      </w:r>
      <w:r w:rsidRPr="00E9705C">
        <w:t xml:space="preserve"> means that less users are affected and substitutable goods </w:t>
      </w:r>
      <w:r w:rsidR="008379D4">
        <w:t>are available; and</w:t>
      </w:r>
    </w:p>
    <w:p w14:paraId="6540BAD4" w14:textId="77777777" w:rsidR="00E55E60" w:rsidRPr="00E55E60" w:rsidRDefault="00CF4A7C" w:rsidP="0025373B">
      <w:pPr>
        <w:pStyle w:val="Bullet1stlevel"/>
      </w:pPr>
      <w:r w:rsidRPr="00E9705C">
        <w:t xml:space="preserve">Time of day/day of the week/time of the year that the outage occurs for example a </w:t>
      </w:r>
      <w:r w:rsidR="008379D4">
        <w:t>water supply</w:t>
      </w:r>
      <w:r w:rsidRPr="00E9705C">
        <w:t xml:space="preserve"> </w:t>
      </w:r>
      <w:r w:rsidR="008379D4">
        <w:t>disruption</w:t>
      </w:r>
      <w:r w:rsidRPr="00E9705C">
        <w:t xml:space="preserve"> during business hours in the summer months will likely result in a larger economic impact than the same outage occurring in the middle of the night in winter</w:t>
      </w:r>
      <w:r w:rsidR="008379D4">
        <w:t>.</w:t>
      </w:r>
    </w:p>
    <w:p w14:paraId="7F4C4A8D" w14:textId="77777777" w:rsidR="008379D4" w:rsidRPr="0025373B" w:rsidRDefault="008379D4" w:rsidP="0025373B">
      <w:pPr>
        <w:pStyle w:val="BodyText"/>
      </w:pPr>
      <w:r>
        <w:lastRenderedPageBreak/>
        <w:t>Noting these challenges</w:t>
      </w:r>
      <w:r w:rsidR="00F806A2">
        <w:t>, an approach to model the cost of a specific</w:t>
      </w:r>
      <w:r w:rsidR="0048401C">
        <w:t xml:space="preserve"> cyber</w:t>
      </w:r>
      <w:r w:rsidR="00F806A2">
        <w:t xml:space="preserve"> incident on a water business was taken instead of quantifying the potential</w:t>
      </w:r>
      <w:r w:rsidR="0048401C">
        <w:t xml:space="preserve"> costs associated with a lack of </w:t>
      </w:r>
      <w:r w:rsidR="00893382">
        <w:t xml:space="preserve">water </w:t>
      </w:r>
      <w:r w:rsidR="0048401C">
        <w:t xml:space="preserve">supply. </w:t>
      </w:r>
    </w:p>
    <w:p w14:paraId="2CD506E0" w14:textId="77777777" w:rsidR="00C14890" w:rsidRPr="00E9705C" w:rsidRDefault="00C14890" w:rsidP="0025373B">
      <w:pPr>
        <w:pStyle w:val="BodyText"/>
      </w:pPr>
      <w:r w:rsidRPr="00C14890">
        <w:t>Computable General Equilibrium (CGE) modelling was used to illustrate how costly the incident could potentially be by examining the real-world cost of a data breach on a business in the water sector and an associated increase in input costs (i.e. an increase in the cost of water and sewerage). The advantage of using a CGE approach to determine quantitative benefit is that both the direct and indirect (i.e. flow-on) economic impacts of an incident can be quantified.</w:t>
      </w:r>
    </w:p>
    <w:p w14:paraId="03757866" w14:textId="77777777" w:rsidR="00CF4A7C" w:rsidRDefault="00CF4A7C" w:rsidP="0025373B">
      <w:pPr>
        <w:pStyle w:val="AppendixH3"/>
      </w:pPr>
      <w:r w:rsidRPr="00386A14">
        <w:t xml:space="preserve">CGE Modelling Approach </w:t>
      </w:r>
    </w:p>
    <w:p w14:paraId="4C989D4C" w14:textId="77777777" w:rsidR="00CF4A7C" w:rsidRPr="0018704F" w:rsidRDefault="00CF4A7C" w:rsidP="0025373B">
      <w:pPr>
        <w:pStyle w:val="BodyText"/>
      </w:pPr>
      <w:r w:rsidRPr="0018704F">
        <w:t xml:space="preserve">To analyse the direct and indirect economic contributions of </w:t>
      </w:r>
      <w:r w:rsidR="000F3133" w:rsidRPr="0018704F">
        <w:rPr>
          <w:rFonts w:eastAsia="Calibri"/>
        </w:rPr>
        <w:t xml:space="preserve">an incident on a </w:t>
      </w:r>
      <w:r w:rsidRPr="0018704F">
        <w:rPr>
          <w:rFonts w:eastAsia="Calibri"/>
        </w:rPr>
        <w:t xml:space="preserve">critical </w:t>
      </w:r>
      <w:r w:rsidR="000F3133" w:rsidRPr="0018704F">
        <w:rPr>
          <w:rFonts w:eastAsia="Calibri"/>
        </w:rPr>
        <w:t>water asset</w:t>
      </w:r>
      <w:r w:rsidR="000F3133" w:rsidRPr="0018704F">
        <w:t xml:space="preserve"> in</w:t>
      </w:r>
      <w:r w:rsidRPr="0018704F">
        <w:t xml:space="preserve">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w:t>
      </w:r>
    </w:p>
    <w:p w14:paraId="15D747F3" w14:textId="77777777" w:rsidR="00CF4A7C" w:rsidRPr="00E9705C" w:rsidRDefault="00CF4A7C" w:rsidP="0025373B">
      <w:pPr>
        <w:pStyle w:val="BodyText"/>
      </w:pPr>
      <w:r w:rsidRPr="00E9705C">
        <w:t xml:space="preserve">Defining features of the theoretical structure of the model are: </w:t>
      </w:r>
    </w:p>
    <w:p w14:paraId="7EEFF8DC" w14:textId="77777777" w:rsidR="00CF4A7C" w:rsidRPr="00E9705C" w:rsidRDefault="00CF4A7C" w:rsidP="0025373B">
      <w:pPr>
        <w:pStyle w:val="Bullet1stlevel"/>
        <w:rPr>
          <w:rFonts w:ascii="Calibri" w:eastAsia="Times New Roman" w:hAnsi="Calibri" w:cs="Times New Roman"/>
        </w:rPr>
      </w:pPr>
      <w:r w:rsidRPr="00E9705C">
        <w:t xml:space="preserve">Optimising behaviour by households and businesses in the context of competitive markets with explicit resource and budget constraints; </w:t>
      </w:r>
    </w:p>
    <w:p w14:paraId="572B09FB" w14:textId="77777777" w:rsidR="00CF4A7C" w:rsidRPr="00E9705C" w:rsidRDefault="00CF4A7C" w:rsidP="0025373B">
      <w:pPr>
        <w:pStyle w:val="Bullet1stlevel"/>
        <w:rPr>
          <w:rFonts w:ascii="Calibri" w:eastAsia="Times New Roman" w:hAnsi="Calibri" w:cs="Times New Roman"/>
        </w:rPr>
      </w:pPr>
      <w:r w:rsidRPr="00E9705C">
        <w:t xml:space="preserve">The price mechanism operates to clear markets for goods and factors such as labour and capital (i.e. prices adjust so that supply equals demand); and </w:t>
      </w:r>
    </w:p>
    <w:p w14:paraId="292AB7FA" w14:textId="77777777" w:rsidR="00CF4A7C" w:rsidRPr="00E9705C" w:rsidRDefault="00CF4A7C" w:rsidP="0025373B">
      <w:pPr>
        <w:pStyle w:val="Bullet1stlevel"/>
      </w:pPr>
      <w:r w:rsidRPr="00E9705C">
        <w:t xml:space="preserve">At the margin, costs are equal to revenues in all economic activities. </w:t>
      </w:r>
    </w:p>
    <w:p w14:paraId="66E0CAD5" w14:textId="77777777" w:rsidR="000F3133" w:rsidRDefault="000F3133" w:rsidP="0025373B">
      <w:pPr>
        <w:pStyle w:val="BodyText"/>
      </w:pPr>
      <w:r w:rsidRPr="00E9705C">
        <w:t xml:space="preserve">The modelling framework is suited to analysing the economic impact of </w:t>
      </w:r>
      <w:r>
        <w:t xml:space="preserve">an incident </w:t>
      </w:r>
      <w:r w:rsidR="00312BFC">
        <w:t>on</w:t>
      </w:r>
      <w:r>
        <w:t xml:space="preserve"> a critical water asset</w:t>
      </w:r>
      <w:r w:rsidRPr="00E9705C">
        <w:t xml:space="preserve"> as it explicitly captures supply-chain linkages as well as other flow-on effects and feedback responses by all economic agents. The strength of CGE models is that they capture the upstream and downstream linkages between the activities induced by the </w:t>
      </w:r>
      <w:r>
        <w:t>data breach scenario</w:t>
      </w:r>
      <w:r w:rsidRPr="00E9705C">
        <w:t xml:space="preserve"> and the rest of the economy in a framework that combines detailed historical data with fundamental economic theory. </w:t>
      </w:r>
    </w:p>
    <w:p w14:paraId="58D2457D" w14:textId="77777777" w:rsidR="00C316C2" w:rsidRPr="00180A8F" w:rsidRDefault="00C316C2" w:rsidP="0025373B">
      <w:pPr>
        <w:pStyle w:val="AppendixH3"/>
      </w:pPr>
      <w:r>
        <w:t>Scenario</w:t>
      </w:r>
    </w:p>
    <w:p w14:paraId="15C0ACC5" w14:textId="77777777" w:rsidR="002301C9" w:rsidRPr="002301C9" w:rsidRDefault="00C316C2" w:rsidP="0025373B">
      <w:pPr>
        <w:pStyle w:val="BodyText"/>
      </w:pPr>
      <w:r w:rsidRPr="00E9705C">
        <w:t xml:space="preserve">The CGE modelling provided estimates regarding how sensitive the Australian economy is to a shock </w:t>
      </w:r>
      <w:r>
        <w:t>as a result of an incident in the water sector</w:t>
      </w:r>
      <w:r w:rsidRPr="00E9705C">
        <w:t xml:space="preserve">. </w:t>
      </w:r>
      <w:r>
        <w:t xml:space="preserve">This analysis is undertaken by defining a set of hypothetical scenarios with varying magnitude of impact and resulting cost. The scope of the hypothetical scenarios is based on real-world case studies. Discussed below are the case studies which informed the scope of the hypothetical scenario. </w:t>
      </w:r>
    </w:p>
    <w:p w14:paraId="1BB0CBAC" w14:textId="77777777" w:rsidR="00CF4A7C" w:rsidRPr="00386A14" w:rsidRDefault="00CF4A7C" w:rsidP="0025373B">
      <w:pPr>
        <w:pStyle w:val="AppendixH3"/>
      </w:pPr>
      <w:r w:rsidRPr="00386A14">
        <w:t>Case studies</w:t>
      </w:r>
    </w:p>
    <w:p w14:paraId="6882519C" w14:textId="385D0792" w:rsidR="002301C9" w:rsidRPr="002301C9" w:rsidRDefault="00E74A54" w:rsidP="0025373B">
      <w:pPr>
        <w:pStyle w:val="BodyText"/>
      </w:pPr>
      <w:r w:rsidRPr="00827F58">
        <w:t xml:space="preserve">The case studies provided in </w:t>
      </w:r>
      <w:r>
        <w:t>the table below</w:t>
      </w:r>
      <w:r w:rsidRPr="00827F58">
        <w:t xml:space="preserve"> </w:t>
      </w:r>
      <w:r w:rsidR="00CF4A7C" w:rsidRPr="00E9705C">
        <w:t xml:space="preserve">provide a basis for modelling hypothetical, but comparable </w:t>
      </w:r>
      <w:r w:rsidR="00776CF6">
        <w:t>incidents</w:t>
      </w:r>
      <w:r w:rsidR="00CF4A7C" w:rsidRPr="00E9705C">
        <w:t xml:space="preserve">, in an economy-wide model and contextualising the results of that modelling. Case studies have been chosen to provide insights into the economy-wide costs to households and businesses of </w:t>
      </w:r>
      <w:r w:rsidR="00776CF6">
        <w:t>disruption</w:t>
      </w:r>
      <w:r w:rsidR="00CF4A7C" w:rsidRPr="00E9705C">
        <w:t xml:space="preserve"> events</w:t>
      </w:r>
      <w:r w:rsidRPr="00827F58">
        <w:t xml:space="preserve">. </w:t>
      </w:r>
      <w:r w:rsidR="00776CF6">
        <w:t xml:space="preserve">Available </w:t>
      </w:r>
      <w:r w:rsidR="00D5685E">
        <w:t xml:space="preserve">real-world </w:t>
      </w:r>
      <w:r w:rsidR="00776CF6">
        <w:t xml:space="preserve">case studies </w:t>
      </w:r>
      <w:r w:rsidR="00D5685E">
        <w:t xml:space="preserve">that can be applied to the Australian context are limited. </w:t>
      </w:r>
      <w:r w:rsidR="00A965D0">
        <w:t xml:space="preserve">As highlighted above, </w:t>
      </w:r>
      <w:r w:rsidR="004162BA">
        <w:t>an approach that modelled the cost of a cyber incident was taken due to challenges associated with modelling the cost of a disruption to water supply.</w:t>
      </w:r>
      <w:r w:rsidR="00D5685E">
        <w:t xml:space="preserve"> </w:t>
      </w:r>
    </w:p>
    <w:p w14:paraId="6A81BC7D" w14:textId="77777777" w:rsidR="00D5685E" w:rsidRDefault="00D5685E" w:rsidP="0025373B">
      <w:pPr>
        <w:pStyle w:val="Caption"/>
        <w:rPr>
          <w:rFonts w:eastAsia="Arial"/>
          <w:sz w:val="22"/>
        </w:rPr>
      </w:pPr>
      <w:r>
        <w:t>Incident case studies affecting water asset</w:t>
      </w:r>
      <w:r w:rsidRPr="00E9705C">
        <w:t>s in Australia and globally</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249"/>
        <w:gridCol w:w="8389"/>
      </w:tblGrid>
      <w:tr w:rsidR="00C14E64" w:rsidRPr="00E9705C" w14:paraId="060491F0" w14:textId="77777777" w:rsidTr="0025373B">
        <w:tc>
          <w:tcPr>
            <w:tcW w:w="624" w:type="pct"/>
            <w:shd w:val="clear" w:color="auto" w:fill="034EA2" w:themeFill="accent1"/>
          </w:tcPr>
          <w:p w14:paraId="0E28FA0E" w14:textId="77777777" w:rsidR="00C14E64" w:rsidRPr="000F20CF" w:rsidRDefault="00C14E64" w:rsidP="0025373B">
            <w:pPr>
              <w:pStyle w:val="TableHeading"/>
            </w:pPr>
            <w:r w:rsidRPr="000F20CF">
              <w:t>Incident</w:t>
            </w:r>
          </w:p>
        </w:tc>
        <w:tc>
          <w:tcPr>
            <w:tcW w:w="4376" w:type="pct"/>
            <w:shd w:val="clear" w:color="auto" w:fill="034EA2" w:themeFill="accent1"/>
          </w:tcPr>
          <w:p w14:paraId="550D9B1D" w14:textId="77777777" w:rsidR="00C14E64" w:rsidRPr="000F20CF" w:rsidRDefault="00C14E64" w:rsidP="0025373B">
            <w:pPr>
              <w:pStyle w:val="TableHeading"/>
            </w:pPr>
            <w:r w:rsidRPr="000F20CF">
              <w:t>Summary of incident</w:t>
            </w:r>
          </w:p>
        </w:tc>
      </w:tr>
      <w:tr w:rsidR="00C14E64" w:rsidRPr="00E9705C" w14:paraId="580D76FF" w14:textId="77777777" w:rsidTr="0025373B">
        <w:tc>
          <w:tcPr>
            <w:tcW w:w="624" w:type="pct"/>
            <w:shd w:val="clear" w:color="auto" w:fill="F2F2F2" w:themeFill="background1" w:themeFillShade="F2"/>
          </w:tcPr>
          <w:p w14:paraId="6EEF3A6F" w14:textId="77777777" w:rsidR="00C14E64" w:rsidRPr="000F20CF" w:rsidRDefault="00C14E64" w:rsidP="0025373B">
            <w:pPr>
              <w:pStyle w:val="TableBody"/>
              <w:rPr>
                <w:rFonts w:eastAsia="Calibri"/>
              </w:rPr>
            </w:pPr>
            <w:r w:rsidRPr="000F20CF">
              <w:rPr>
                <w:rFonts w:eastAsia="Calibri"/>
              </w:rPr>
              <w:t xml:space="preserve">UK water supplier </w:t>
            </w:r>
            <w:r w:rsidRPr="000F20CF">
              <w:rPr>
                <w:rFonts w:eastAsia="Calibri"/>
              </w:rPr>
              <w:lastRenderedPageBreak/>
              <w:t>scam (2017)</w:t>
            </w:r>
          </w:p>
        </w:tc>
        <w:tc>
          <w:tcPr>
            <w:tcW w:w="4376" w:type="pct"/>
            <w:shd w:val="clear" w:color="auto" w:fill="auto"/>
          </w:tcPr>
          <w:p w14:paraId="6AA1B0ED" w14:textId="77777777" w:rsidR="00C14E64" w:rsidRPr="000F20CF" w:rsidRDefault="00C14E64" w:rsidP="0025373B">
            <w:pPr>
              <w:pStyle w:val="TableBody"/>
              <w:rPr>
                <w:vertAlign w:val="superscript"/>
              </w:rPr>
            </w:pPr>
            <w:r w:rsidRPr="000F20CF">
              <w:lastRenderedPageBreak/>
              <w:t xml:space="preserve">Published in the 2017 Verizon Data Breach Digest Report, a UK water supplier discovered that bank account details of clients had been changed and a total of £500,000 (approximately AUD$812,000 in 2017) had been requested and sent to two bank accounts in </w:t>
            </w:r>
            <w:r w:rsidRPr="000F20CF">
              <w:lastRenderedPageBreak/>
              <w:t xml:space="preserve">England. The source of the breach was determined to be an employee working in the call centre to which the water supplier had outsourced its customer support operations. </w:t>
            </w:r>
          </w:p>
        </w:tc>
      </w:tr>
      <w:tr w:rsidR="00EE370F" w:rsidRPr="00E9705C" w14:paraId="16122A98" w14:textId="77777777" w:rsidTr="0025373B">
        <w:tc>
          <w:tcPr>
            <w:tcW w:w="624" w:type="pct"/>
            <w:shd w:val="clear" w:color="auto" w:fill="F2F2F2" w:themeFill="background1" w:themeFillShade="F2"/>
          </w:tcPr>
          <w:p w14:paraId="3B6EC2F8" w14:textId="6197C5AA" w:rsidR="00EE370F" w:rsidRPr="000F20CF" w:rsidRDefault="00EE370F" w:rsidP="0025373B">
            <w:pPr>
              <w:pStyle w:val="TableBody"/>
              <w:rPr>
                <w:rFonts w:eastAsia="Calibri"/>
              </w:rPr>
            </w:pPr>
            <w:r>
              <w:rPr>
                <w:rFonts w:eastAsia="Calibri"/>
              </w:rPr>
              <w:lastRenderedPageBreak/>
              <w:t>Kemuri Water Company (2016)</w:t>
            </w:r>
          </w:p>
        </w:tc>
        <w:tc>
          <w:tcPr>
            <w:tcW w:w="4376" w:type="pct"/>
            <w:shd w:val="clear" w:color="auto" w:fill="auto"/>
          </w:tcPr>
          <w:p w14:paraId="233A7E76" w14:textId="52682951" w:rsidR="00EE370F" w:rsidRPr="000F20CF" w:rsidRDefault="00EE370F" w:rsidP="0025373B">
            <w:pPr>
              <w:pStyle w:val="TableBody"/>
            </w:pPr>
            <w:r>
              <w:t xml:space="preserve">In 2016, a company generically identified as Kemuri Water Company noticed that </w:t>
            </w:r>
            <w:r w:rsidR="000D1D1E">
              <w:t>its</w:t>
            </w:r>
            <w:r>
              <w:t xml:space="preserve"> water treatment centre was operating erratically, with chemical values being modified without any manual intervention from company employees. It was discovered that hackers proceeded to modify chemical parameters of the water treatment plant at random. Secondary systems discovered the sabotage in time to avoid a severe situation.</w:t>
            </w:r>
          </w:p>
        </w:tc>
      </w:tr>
      <w:tr w:rsidR="00815E33" w:rsidRPr="00E9705C" w14:paraId="7AE7DBDD" w14:textId="77777777" w:rsidTr="0025373B">
        <w:tc>
          <w:tcPr>
            <w:tcW w:w="624" w:type="pct"/>
            <w:shd w:val="clear" w:color="auto" w:fill="F2F2F2" w:themeFill="background1" w:themeFillShade="F2"/>
          </w:tcPr>
          <w:p w14:paraId="0FDA2A24" w14:textId="133B220F" w:rsidR="00815E33" w:rsidRPr="000F20CF" w:rsidRDefault="00815E33" w:rsidP="0025373B">
            <w:pPr>
              <w:pStyle w:val="TableBody"/>
              <w:rPr>
                <w:rFonts w:eastAsia="Calibri"/>
              </w:rPr>
            </w:pPr>
            <w:r>
              <w:rPr>
                <w:rFonts w:eastAsia="Calibri"/>
              </w:rPr>
              <w:t>Sydney Water Crisis (1998)</w:t>
            </w:r>
          </w:p>
        </w:tc>
        <w:tc>
          <w:tcPr>
            <w:tcW w:w="4376" w:type="pct"/>
            <w:shd w:val="clear" w:color="auto" w:fill="auto"/>
          </w:tcPr>
          <w:p w14:paraId="3F8F6378" w14:textId="5E96473B" w:rsidR="00815E33" w:rsidRPr="000F20CF" w:rsidRDefault="00815E33" w:rsidP="0025373B">
            <w:pPr>
              <w:pStyle w:val="TableBody"/>
            </w:pPr>
            <w:r>
              <w:t xml:space="preserve">Between July and September 1998, microscopic pathogens were detected in the water supply of Greater Metropolitan Sydney. The contamination was detected following routine water sampling and testing over a series of weeks. The crisis caused a mixture of fear, cynicism and anger in the community. The cost to Sydney Water was estimated to be $33 million (including lost revenue, rebates paid to customers, and damages claims). These costs do not include capital expenditures on improvements to the system and infrastructure following the incident. </w:t>
            </w:r>
          </w:p>
        </w:tc>
      </w:tr>
      <w:tr w:rsidR="00DC0241" w:rsidRPr="00E9705C" w14:paraId="0205210B" w14:textId="77777777" w:rsidTr="0025373B">
        <w:tc>
          <w:tcPr>
            <w:tcW w:w="624" w:type="pct"/>
            <w:shd w:val="clear" w:color="auto" w:fill="F2F2F2" w:themeFill="background1" w:themeFillShade="F2"/>
          </w:tcPr>
          <w:p w14:paraId="41DE062F" w14:textId="110024EA" w:rsidR="00DC0241" w:rsidRPr="000F20CF" w:rsidRDefault="00331127" w:rsidP="0025373B">
            <w:pPr>
              <w:pStyle w:val="TableBody"/>
              <w:rPr>
                <w:rFonts w:eastAsia="Calibri"/>
              </w:rPr>
            </w:pPr>
            <w:r>
              <w:rPr>
                <w:rFonts w:eastAsia="Calibri"/>
              </w:rPr>
              <w:t>Queensland floods (2010-2011)</w:t>
            </w:r>
          </w:p>
        </w:tc>
        <w:tc>
          <w:tcPr>
            <w:tcW w:w="4376" w:type="pct"/>
            <w:shd w:val="clear" w:color="auto" w:fill="auto"/>
          </w:tcPr>
          <w:p w14:paraId="7DA019A7" w14:textId="4513A548" w:rsidR="00DC0241" w:rsidRPr="000F20CF" w:rsidRDefault="00331127" w:rsidP="0025373B">
            <w:pPr>
              <w:pStyle w:val="TableBody"/>
            </w:pPr>
            <w:r>
              <w:t>A series of flooding events affected Queensland between November 2010 and February 2011, with catastrophic impacts across the state. The floods occurred in the wake of heavy rainfall caused by compounding extreme weather events. The impact to the state’s economy was significant, with over $4 billion paid out in insurance claims and various relief payments. 33 lives were lost attributed to the floods, with a further three people missing.</w:t>
            </w:r>
          </w:p>
        </w:tc>
      </w:tr>
    </w:tbl>
    <w:p w14:paraId="15C69BBD" w14:textId="3FC0B2A1" w:rsidR="00331127" w:rsidRDefault="004162BA" w:rsidP="0025373B">
      <w:pPr>
        <w:pStyle w:val="BodyText"/>
        <w:spacing w:before="240"/>
      </w:pPr>
      <w:r w:rsidRPr="00827F58">
        <w:t xml:space="preserve">For the purposes of the modelling of the cost of avoided future incidents in Australia, </w:t>
      </w:r>
      <w:r w:rsidR="00331127">
        <w:t xml:space="preserve">three baseline scenarios were </w:t>
      </w:r>
      <w:r w:rsidR="00815E33">
        <w:t>identified, described above</w:t>
      </w:r>
      <w:r w:rsidR="00331127">
        <w:t xml:space="preserve">. </w:t>
      </w:r>
      <w:r w:rsidR="00815E33">
        <w:t xml:space="preserve">Three baseline scenarios were selected to demonstrate the range of potential consequence as a result of a disruption to a critical water asset, with the scale of potential cost to the economy ranging from minimal to catastrophic. </w:t>
      </w:r>
    </w:p>
    <w:p w14:paraId="52E89FA8" w14:textId="5AA9F689" w:rsidR="00BA4F57" w:rsidRDefault="00815E33" w:rsidP="0025373B">
      <w:pPr>
        <w:pStyle w:val="BodyText"/>
      </w:pPr>
      <w:r>
        <w:t>T</w:t>
      </w:r>
      <w:r w:rsidR="004162BA" w:rsidRPr="00827F58">
        <w:t xml:space="preserve">he </w:t>
      </w:r>
      <w:r w:rsidR="004162BA">
        <w:t>UK water supplier scam</w:t>
      </w:r>
      <w:r w:rsidR="004162BA" w:rsidRPr="00827F58">
        <w:t xml:space="preserve"> </w:t>
      </w:r>
      <w:r w:rsidR="004162BA">
        <w:t>example</w:t>
      </w:r>
      <w:r w:rsidR="004162BA" w:rsidRPr="00827F58">
        <w:rPr>
          <w:color w:val="FF9933"/>
        </w:rPr>
        <w:t xml:space="preserve"> </w:t>
      </w:r>
      <w:r w:rsidR="004162BA" w:rsidRPr="00827F58">
        <w:t xml:space="preserve">was selected </w:t>
      </w:r>
      <w:r w:rsidR="00BB0558">
        <w:t xml:space="preserve">as the </w:t>
      </w:r>
      <w:r>
        <w:t xml:space="preserve">low </w:t>
      </w:r>
      <w:r w:rsidR="00BB0558">
        <w:t>baseline scenario</w:t>
      </w:r>
      <w:r>
        <w:t>. The incident was relatively limited in enduring impact, scale and duration</w:t>
      </w:r>
      <w:r w:rsidR="00BA4F57">
        <w:t>, with the relatively minor cost to the o</w:t>
      </w:r>
      <w:r w:rsidR="00E53A15">
        <w:t>r</w:t>
      </w:r>
      <w:r w:rsidR="00BA4F57">
        <w:t xml:space="preserve">ganisation unlikely to have a significant impact on the economy or customers of the affected business. </w:t>
      </w:r>
    </w:p>
    <w:p w14:paraId="2C09F3E9" w14:textId="6D8F4903" w:rsidR="00777E56" w:rsidRDefault="00BA4F57" w:rsidP="00885055">
      <w:pPr>
        <w:pStyle w:val="BodyText"/>
      </w:pPr>
      <w:r>
        <w:t xml:space="preserve">The Sydney water crisis of 1998 was selected as the moderate risk scenario. </w:t>
      </w:r>
      <w:r w:rsidR="00777E56">
        <w:t>The incident demonstrates the potential extent of disruption which can be caused as a result of water quality issues. Water contamination can result in severe economic and health consequences and individuals, and in this instance, there were a range of costs associated with determining the cause of contamination and a plan for rectification. While the cause of the incident was not a specific threat that this proposed regulatory framework will contribute to avoiding, threats to water quality that could have similar consequences have been documented, including in the case of the Kemuri Water Company case study discussed above. While in that instance the malicious activity was detected and the threat mitigated, it is reasonable to assume that the type of costs could be similar to what was experienced in the Sydney Water Crisis scenario (extensive testing to determine extent of contamination, potential rebates paid to customers, and damages claims) should this mitigation not have occurred. Costs were estimated to be $33</w:t>
      </w:r>
      <w:r w:rsidR="0049743E">
        <w:t>.0</w:t>
      </w:r>
      <w:r w:rsidR="00777E56">
        <w:t xml:space="preserve"> million in 1998 dollars. </w:t>
      </w:r>
      <w:r w:rsidR="00777E56" w:rsidRPr="00CC0AC3">
        <w:t>Adjusting for inflation the dollar-adjusted amount is $5</w:t>
      </w:r>
      <w:r w:rsidR="006A4ADE" w:rsidRPr="009739FE">
        <w:t>8</w:t>
      </w:r>
      <w:r w:rsidR="00777E56" w:rsidRPr="00CC0AC3">
        <w:t>.</w:t>
      </w:r>
      <w:r w:rsidR="006A4ADE" w:rsidRPr="009739FE">
        <w:t>6</w:t>
      </w:r>
      <w:r w:rsidR="00777E56" w:rsidRPr="00CC0AC3">
        <w:t xml:space="preserve"> million. This figure is treated as the direct cost of the moderate risk scenario.</w:t>
      </w:r>
    </w:p>
    <w:p w14:paraId="1423BF1A" w14:textId="0C634195" w:rsidR="00BA4F57" w:rsidRDefault="00EE370F" w:rsidP="00885055">
      <w:pPr>
        <w:pStyle w:val="BodyText"/>
      </w:pPr>
      <w:r>
        <w:t>The Queensland floods of 2010 and 2011 was selected as the severe risk scenario.</w:t>
      </w:r>
      <w:r w:rsidR="00491E68">
        <w:t xml:space="preserve"> The floods were catastrophic in terms of consequences to individuals, business and the state as a whole</w:t>
      </w:r>
      <w:r w:rsidR="00405CD8">
        <w:t>.</w:t>
      </w:r>
      <w:r w:rsidR="00BC3773">
        <w:t xml:space="preserve"> While this scenario did not occur as a result of the realisation of a specific hazard or threat (and was caused by compounding weather events) it demonstrates the </w:t>
      </w:r>
      <w:r w:rsidR="004F7C3C">
        <w:t xml:space="preserve">potentially severe and widespread </w:t>
      </w:r>
      <w:r w:rsidR="00BC3773">
        <w:t>consequence</w:t>
      </w:r>
      <w:r w:rsidR="004F7C3C">
        <w:t>s</w:t>
      </w:r>
      <w:r w:rsidR="00BC3773">
        <w:t xml:space="preserve"> of a disruption to </w:t>
      </w:r>
      <w:r w:rsidR="004F7C3C">
        <w:t xml:space="preserve">a </w:t>
      </w:r>
      <w:r w:rsidR="00BC3773">
        <w:t xml:space="preserve">critical </w:t>
      </w:r>
      <w:r w:rsidR="004F7C3C">
        <w:t>water</w:t>
      </w:r>
      <w:r w:rsidR="00BC3773">
        <w:t xml:space="preserve"> asset</w:t>
      </w:r>
      <w:r w:rsidR="004F7C3C">
        <w:t xml:space="preserve"> </w:t>
      </w:r>
      <w:r w:rsidR="0049743E">
        <w:t xml:space="preserve">(including the release of water from a dam) </w:t>
      </w:r>
      <w:r w:rsidR="004F7C3C">
        <w:t xml:space="preserve">which could possibly be caused by a deliberate attack or incident. </w:t>
      </w:r>
      <w:r w:rsidR="00DF09C5">
        <w:t>Insurance claims and relief payments as a result of the floods totalled $4.1 billion</w:t>
      </w:r>
      <w:r w:rsidR="00BB0610">
        <w:t xml:space="preserve">, while estimates of the total impact to Australia’s GDP reached $30 billion. </w:t>
      </w:r>
      <w:r w:rsidR="00405CD8">
        <w:t>Considering</w:t>
      </w:r>
      <w:r w:rsidR="00BB0610">
        <w:t xml:space="preserve"> the aggregated nature of the</w:t>
      </w:r>
      <w:r w:rsidR="00653529">
        <w:t xml:space="preserve"> </w:t>
      </w:r>
      <w:r w:rsidR="005956F4">
        <w:t>payments reported, and c</w:t>
      </w:r>
      <w:r w:rsidR="00653529">
        <w:t>onsistent with the deliberately conservative approach to benefits analysis described above and throughout this RIS, th</w:t>
      </w:r>
      <w:r w:rsidR="00BB0610">
        <w:t>e $4.1 billion</w:t>
      </w:r>
      <w:r w:rsidR="00653529">
        <w:t xml:space="preserve"> figure is used as the total cost to the economy</w:t>
      </w:r>
      <w:r w:rsidR="00BB0610">
        <w:t xml:space="preserve"> of the scenario</w:t>
      </w:r>
      <w:r w:rsidR="00653529">
        <w:t>.</w:t>
      </w:r>
      <w:r w:rsidR="00BB0610">
        <w:t xml:space="preserve"> </w:t>
      </w:r>
    </w:p>
    <w:p w14:paraId="7F7EF066" w14:textId="53BAC11C" w:rsidR="000747C1" w:rsidRDefault="004162BA" w:rsidP="00885055">
      <w:pPr>
        <w:pStyle w:val="BodyText"/>
      </w:pPr>
      <w:r w:rsidRPr="00827F58">
        <w:lastRenderedPageBreak/>
        <w:t>The use of actual event</w:t>
      </w:r>
      <w:r w:rsidR="005956F4">
        <w:t>s</w:t>
      </w:r>
      <w:r w:rsidRPr="00827F58">
        <w:t xml:space="preserve"> as risk point</w:t>
      </w:r>
      <w:r w:rsidR="005956F4">
        <w:t>s</w:t>
      </w:r>
      <w:r w:rsidRPr="00827F58">
        <w:t xml:space="preserve"> of comparison is important because it ensures the benefits analysis is grounded in reality. </w:t>
      </w:r>
      <w:r w:rsidR="000747C1" w:rsidRPr="00827F58">
        <w:t>A framework for considering the potential im</w:t>
      </w:r>
      <w:r w:rsidR="000747C1">
        <w:t xml:space="preserve">pact of incidents </w:t>
      </w:r>
      <w:r w:rsidR="00D167F4">
        <w:t xml:space="preserve">in the Australian water </w:t>
      </w:r>
      <w:r w:rsidR="000747C1" w:rsidRPr="00827F58">
        <w:t>is provided in</w:t>
      </w:r>
      <w:r w:rsidR="000747C1">
        <w:t xml:space="preserve"> the table </w:t>
      </w:r>
      <w:r w:rsidR="000747C1" w:rsidRPr="00827F58">
        <w:t>below.</w:t>
      </w:r>
    </w:p>
    <w:p w14:paraId="43D985D8" w14:textId="77777777" w:rsidR="00107992" w:rsidRPr="00CE4FE0" w:rsidRDefault="00107992" w:rsidP="00885055">
      <w:pPr>
        <w:pStyle w:val="Caption"/>
      </w:pPr>
      <w:r w:rsidRPr="00827F58">
        <w:t xml:space="preserve">Framework for scenario development and </w:t>
      </w:r>
      <w:r w:rsidRPr="00885055">
        <w:t>sensitivity</w:t>
      </w:r>
      <w:r w:rsidRPr="00827F58">
        <w:t xml:space="preserve"> analysis</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1972"/>
        <w:gridCol w:w="2250"/>
        <w:gridCol w:w="2251"/>
        <w:gridCol w:w="3165"/>
      </w:tblGrid>
      <w:tr w:rsidR="009E6DAB" w:rsidRPr="00827F58" w14:paraId="19566EC3" w14:textId="77777777" w:rsidTr="00816B07">
        <w:trPr>
          <w:trHeight w:val="420"/>
        </w:trPr>
        <w:tc>
          <w:tcPr>
            <w:tcW w:w="1023" w:type="pct"/>
            <w:shd w:val="clear" w:color="auto" w:fill="034EA2" w:themeFill="accent1"/>
          </w:tcPr>
          <w:p w14:paraId="0AF09500" w14:textId="77777777" w:rsidR="00165316" w:rsidRPr="00827F58" w:rsidRDefault="00165316" w:rsidP="00E5420E">
            <w:pPr>
              <w:pStyle w:val="TableHeading"/>
            </w:pPr>
          </w:p>
        </w:tc>
        <w:tc>
          <w:tcPr>
            <w:tcW w:w="1167" w:type="pct"/>
            <w:shd w:val="clear" w:color="auto" w:fill="034EA2" w:themeFill="accent1"/>
          </w:tcPr>
          <w:p w14:paraId="4A90D932" w14:textId="77777777" w:rsidR="00165316" w:rsidRPr="000F20CF" w:rsidRDefault="00165316" w:rsidP="00E5420E">
            <w:pPr>
              <w:pStyle w:val="TableHeading"/>
              <w:rPr>
                <w:color w:val="FFFFFF"/>
              </w:rPr>
            </w:pPr>
            <w:r w:rsidRPr="00EE7E2C">
              <w:rPr>
                <w:color w:val="FFFFFF"/>
              </w:rPr>
              <w:t>Severe scenario</w:t>
            </w:r>
          </w:p>
        </w:tc>
        <w:tc>
          <w:tcPr>
            <w:tcW w:w="1168" w:type="pct"/>
            <w:shd w:val="clear" w:color="auto" w:fill="034EA2" w:themeFill="accent1"/>
          </w:tcPr>
          <w:p w14:paraId="31E935D9" w14:textId="77777777" w:rsidR="00165316" w:rsidRPr="000F20CF" w:rsidRDefault="00165316" w:rsidP="00E5420E">
            <w:pPr>
              <w:pStyle w:val="TableHeading"/>
              <w:rPr>
                <w:color w:val="FFFFFF"/>
              </w:rPr>
            </w:pPr>
            <w:r w:rsidRPr="00EE7E2C">
              <w:rPr>
                <w:color w:val="FFFFFF"/>
              </w:rPr>
              <w:t>Moderate scenario</w:t>
            </w:r>
          </w:p>
        </w:tc>
        <w:tc>
          <w:tcPr>
            <w:tcW w:w="1642" w:type="pct"/>
            <w:shd w:val="clear" w:color="auto" w:fill="034EA2" w:themeFill="accent1"/>
          </w:tcPr>
          <w:p w14:paraId="5AC381C6" w14:textId="77777777" w:rsidR="00165316" w:rsidRPr="000F20CF" w:rsidRDefault="00165316" w:rsidP="00E5420E">
            <w:pPr>
              <w:pStyle w:val="TableHeading"/>
              <w:rPr>
                <w:color w:val="FFFFFF"/>
              </w:rPr>
            </w:pPr>
            <w:r w:rsidRPr="00EE7E2C">
              <w:rPr>
                <w:color w:val="FFFFFF"/>
              </w:rPr>
              <w:t>Low scenario</w:t>
            </w:r>
          </w:p>
        </w:tc>
      </w:tr>
      <w:tr w:rsidR="009E6DAB" w:rsidRPr="00827F58" w14:paraId="29ADE26A" w14:textId="77777777" w:rsidTr="00816B07">
        <w:trPr>
          <w:trHeight w:val="570"/>
        </w:trPr>
        <w:tc>
          <w:tcPr>
            <w:tcW w:w="1023" w:type="pct"/>
            <w:shd w:val="clear" w:color="auto" w:fill="F2F2F2" w:themeFill="background1" w:themeFillShade="F2"/>
          </w:tcPr>
          <w:p w14:paraId="23E3DC8C" w14:textId="77777777" w:rsidR="00165316" w:rsidRPr="000F20CF" w:rsidRDefault="00165316" w:rsidP="00E5420E">
            <w:pPr>
              <w:pStyle w:val="TableBody"/>
              <w:rPr>
                <w:color w:val="FFFFFF"/>
              </w:rPr>
            </w:pPr>
            <w:r w:rsidRPr="00EE7E2C">
              <w:t>Intensity of event</w:t>
            </w:r>
          </w:p>
        </w:tc>
        <w:tc>
          <w:tcPr>
            <w:tcW w:w="1167" w:type="pct"/>
            <w:shd w:val="clear" w:color="auto" w:fill="auto"/>
          </w:tcPr>
          <w:p w14:paraId="7790B90D" w14:textId="08632B8A" w:rsidR="00165316" w:rsidRDefault="00756E6A" w:rsidP="00E5420E">
            <w:pPr>
              <w:pStyle w:val="TableBody"/>
              <w:rPr>
                <w:rFonts w:eastAsia="Arial"/>
              </w:rPr>
            </w:pPr>
            <w:r>
              <w:rPr>
                <w:rFonts w:eastAsia="Arial"/>
              </w:rPr>
              <w:t xml:space="preserve">Queensland </w:t>
            </w:r>
            <w:r w:rsidR="00BA4F57">
              <w:rPr>
                <w:rFonts w:eastAsia="Arial"/>
              </w:rPr>
              <w:t>f</w:t>
            </w:r>
            <w:r>
              <w:rPr>
                <w:rFonts w:eastAsia="Arial"/>
              </w:rPr>
              <w:t>loods (2010-11)</w:t>
            </w:r>
          </w:p>
        </w:tc>
        <w:tc>
          <w:tcPr>
            <w:tcW w:w="1168" w:type="pct"/>
            <w:shd w:val="clear" w:color="auto" w:fill="auto"/>
          </w:tcPr>
          <w:p w14:paraId="061831E5" w14:textId="4C3AB2DC" w:rsidR="00165316" w:rsidRDefault="00756E6A" w:rsidP="00E5420E">
            <w:pPr>
              <w:pStyle w:val="TableBody"/>
              <w:rPr>
                <w:rFonts w:eastAsia="Arial"/>
              </w:rPr>
            </w:pPr>
            <w:r>
              <w:rPr>
                <w:rFonts w:eastAsia="Arial"/>
              </w:rPr>
              <w:t>Sydney water crisis (1998)</w:t>
            </w:r>
          </w:p>
        </w:tc>
        <w:tc>
          <w:tcPr>
            <w:tcW w:w="1642" w:type="pct"/>
            <w:shd w:val="clear" w:color="auto" w:fill="auto"/>
          </w:tcPr>
          <w:p w14:paraId="693ECF91" w14:textId="77777777" w:rsidR="00165316" w:rsidRPr="00827F58" w:rsidRDefault="00165316" w:rsidP="00E5420E">
            <w:pPr>
              <w:pStyle w:val="TableBody"/>
            </w:pPr>
            <w:r>
              <w:t>UK water supplier scam (2017)</w:t>
            </w:r>
          </w:p>
        </w:tc>
      </w:tr>
    </w:tbl>
    <w:p w14:paraId="0ED3D633" w14:textId="457A80E7" w:rsidR="00605B07" w:rsidRDefault="004F7C3C" w:rsidP="00E5420E">
      <w:pPr>
        <w:pStyle w:val="BodyText"/>
        <w:spacing w:before="240"/>
      </w:pPr>
      <w:r>
        <w:t>As stated above, the water and sewerage sector is complex and diverse, and critical water assets range broadly in size</w:t>
      </w:r>
      <w:r w:rsidR="005956F4">
        <w:t xml:space="preserve">, importance, number </w:t>
      </w:r>
      <w:r w:rsidR="00405CD8">
        <w:t xml:space="preserve">of </w:t>
      </w:r>
      <w:r>
        <w:t>customers serviced</w:t>
      </w:r>
      <w:r w:rsidR="005956F4">
        <w:t>,</w:t>
      </w:r>
      <w:r>
        <w:t xml:space="preserve"> and </w:t>
      </w:r>
      <w:r w:rsidR="005956F4">
        <w:t>number of customers</w:t>
      </w:r>
      <w:r>
        <w:t xml:space="preserve"> potentially affected in the case of compromise. The three </w:t>
      </w:r>
      <w:r w:rsidR="00DF09C5">
        <w:t>scenarios described above provide real-world points of comparison to understand the potential range of consequences as a result of a disruption to critical water assets.</w:t>
      </w:r>
    </w:p>
    <w:p w14:paraId="2C41B9F9" w14:textId="77777777" w:rsidR="000747C1" w:rsidRPr="00827F58" w:rsidRDefault="000747C1" w:rsidP="00E5420E">
      <w:pPr>
        <w:pStyle w:val="BodyText"/>
      </w:pPr>
      <w:r w:rsidRPr="00827F58">
        <w:t>A summary of the economic impact of each scenario is provided i</w:t>
      </w:r>
      <w:r>
        <w:t>n the table below</w:t>
      </w:r>
      <w:r w:rsidRPr="00827F58">
        <w:t xml:space="preserve">. A break-even analysis of these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 </w:t>
      </w:r>
    </w:p>
    <w:p w14:paraId="70885301" w14:textId="77777777" w:rsidR="00107992" w:rsidRPr="00827F58" w:rsidRDefault="00107992" w:rsidP="00E5420E">
      <w:pPr>
        <w:pStyle w:val="Caption"/>
      </w:pPr>
      <w:r w:rsidRPr="00827F58">
        <w:t>Summary of benefits scenarios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260"/>
        <w:gridCol w:w="2458"/>
        <w:gridCol w:w="2460"/>
        <w:gridCol w:w="2460"/>
      </w:tblGrid>
      <w:tr w:rsidR="00340241" w:rsidRPr="00EE7E2C" w14:paraId="6855C21C" w14:textId="77777777" w:rsidTr="00E5420E">
        <w:trPr>
          <w:trHeight w:val="409"/>
        </w:trPr>
        <w:tc>
          <w:tcPr>
            <w:tcW w:w="1172" w:type="pct"/>
            <w:shd w:val="clear" w:color="auto" w:fill="034EA2" w:themeFill="accent1"/>
          </w:tcPr>
          <w:p w14:paraId="38E54D7E" w14:textId="77777777" w:rsidR="007954E2" w:rsidRPr="00827F58" w:rsidRDefault="007954E2" w:rsidP="00E5420E">
            <w:pPr>
              <w:pStyle w:val="TableHeading"/>
            </w:pPr>
          </w:p>
        </w:tc>
        <w:tc>
          <w:tcPr>
            <w:tcW w:w="1275" w:type="pct"/>
            <w:shd w:val="clear" w:color="auto" w:fill="034EA2" w:themeFill="accent1"/>
          </w:tcPr>
          <w:p w14:paraId="4FDAA5A0" w14:textId="77777777" w:rsidR="007954E2" w:rsidRPr="00EE7E2C" w:rsidRDefault="007954E2" w:rsidP="00E5420E">
            <w:pPr>
              <w:pStyle w:val="TableHeading"/>
            </w:pPr>
            <w:r w:rsidRPr="00EE7E2C">
              <w:t>Scenario 1</w:t>
            </w:r>
            <w:r w:rsidRPr="00EE7E2C">
              <w:rPr>
                <w:rFonts w:ascii="Calibri" w:hAnsi="Calibri"/>
              </w:rPr>
              <w:br/>
            </w:r>
            <w:r w:rsidRPr="00EE7E2C">
              <w:t>(Severe), $ million</w:t>
            </w:r>
          </w:p>
        </w:tc>
        <w:tc>
          <w:tcPr>
            <w:tcW w:w="1276" w:type="pct"/>
            <w:shd w:val="clear" w:color="auto" w:fill="034EA2" w:themeFill="accent1"/>
          </w:tcPr>
          <w:p w14:paraId="1210D693" w14:textId="77777777" w:rsidR="007954E2" w:rsidRPr="00EE7E2C" w:rsidRDefault="007954E2" w:rsidP="00E5420E">
            <w:pPr>
              <w:pStyle w:val="TableHeading"/>
            </w:pPr>
            <w:r w:rsidRPr="00EE7E2C">
              <w:t>Scenario 2</w:t>
            </w:r>
            <w:r w:rsidRPr="00EE7E2C">
              <w:br/>
              <w:t>(Moderate), $ million</w:t>
            </w:r>
          </w:p>
        </w:tc>
        <w:tc>
          <w:tcPr>
            <w:tcW w:w="1276" w:type="pct"/>
            <w:shd w:val="clear" w:color="auto" w:fill="034EA2" w:themeFill="accent1"/>
          </w:tcPr>
          <w:p w14:paraId="2B048B03" w14:textId="77777777" w:rsidR="007954E2" w:rsidRPr="00EE7E2C" w:rsidRDefault="007954E2" w:rsidP="00E5420E">
            <w:pPr>
              <w:pStyle w:val="TableHeading"/>
            </w:pPr>
            <w:r w:rsidRPr="00EE7E2C">
              <w:t>Scenario 3</w:t>
            </w:r>
            <w:r w:rsidRPr="00EE7E2C">
              <w:rPr>
                <w:rFonts w:ascii="Calibri" w:hAnsi="Calibri"/>
              </w:rPr>
              <w:br/>
            </w:r>
            <w:r w:rsidRPr="00EE7E2C">
              <w:t>(Low), $ million</w:t>
            </w:r>
          </w:p>
        </w:tc>
      </w:tr>
      <w:tr w:rsidR="00340241" w:rsidRPr="005875E9" w14:paraId="73FF2B8A" w14:textId="77777777" w:rsidTr="00E5420E">
        <w:tc>
          <w:tcPr>
            <w:tcW w:w="1172" w:type="pct"/>
            <w:shd w:val="clear" w:color="auto" w:fill="auto"/>
          </w:tcPr>
          <w:p w14:paraId="3D04AC13" w14:textId="77777777" w:rsidR="007954E2" w:rsidRPr="00D21B35" w:rsidRDefault="007954E2" w:rsidP="00E5420E">
            <w:pPr>
              <w:pStyle w:val="TableBody"/>
            </w:pPr>
            <w:r w:rsidRPr="00D21B35">
              <w:t>Direct avoided costs</w:t>
            </w:r>
          </w:p>
        </w:tc>
        <w:tc>
          <w:tcPr>
            <w:tcW w:w="1275" w:type="pct"/>
            <w:shd w:val="clear" w:color="auto" w:fill="auto"/>
            <w:vAlign w:val="center"/>
          </w:tcPr>
          <w:p w14:paraId="774A3110" w14:textId="368BD7C6" w:rsidR="007954E2" w:rsidRPr="005875E9" w:rsidRDefault="00756E6A" w:rsidP="00E5420E">
            <w:pPr>
              <w:pStyle w:val="TableBody"/>
              <w:rPr>
                <w:bCs/>
              </w:rPr>
            </w:pPr>
            <w:r>
              <w:rPr>
                <w:bCs/>
              </w:rPr>
              <w:t>4,099.0</w:t>
            </w:r>
          </w:p>
        </w:tc>
        <w:tc>
          <w:tcPr>
            <w:tcW w:w="1276" w:type="pct"/>
            <w:shd w:val="clear" w:color="auto" w:fill="auto"/>
            <w:vAlign w:val="center"/>
          </w:tcPr>
          <w:p w14:paraId="74491CAF" w14:textId="2DE1A51E" w:rsidR="007954E2" w:rsidRPr="005875E9" w:rsidRDefault="00E8653E" w:rsidP="00E5420E">
            <w:pPr>
              <w:pStyle w:val="TableBody"/>
              <w:rPr>
                <w:bCs/>
              </w:rPr>
            </w:pPr>
            <w:r>
              <w:rPr>
                <w:bCs/>
              </w:rPr>
              <w:t>58.6</w:t>
            </w:r>
          </w:p>
        </w:tc>
        <w:tc>
          <w:tcPr>
            <w:tcW w:w="1276" w:type="pct"/>
            <w:shd w:val="clear" w:color="auto" w:fill="auto"/>
            <w:vAlign w:val="center"/>
          </w:tcPr>
          <w:p w14:paraId="33DE58BD" w14:textId="77777777" w:rsidR="007954E2" w:rsidRPr="005875E9" w:rsidRDefault="007954E2" w:rsidP="00E5420E">
            <w:pPr>
              <w:pStyle w:val="TableBody"/>
              <w:rPr>
                <w:bCs/>
              </w:rPr>
            </w:pPr>
            <w:r w:rsidRPr="005875E9">
              <w:rPr>
                <w:bCs/>
              </w:rPr>
              <w:t>0.7</w:t>
            </w:r>
          </w:p>
        </w:tc>
      </w:tr>
      <w:tr w:rsidR="00B4520B" w:rsidRPr="005875E9" w14:paraId="03EB5C2E" w14:textId="77777777" w:rsidTr="00E5420E">
        <w:tc>
          <w:tcPr>
            <w:tcW w:w="1172" w:type="pct"/>
            <w:shd w:val="clear" w:color="auto" w:fill="auto"/>
          </w:tcPr>
          <w:p w14:paraId="1F364804" w14:textId="77777777" w:rsidR="007954E2" w:rsidRPr="00D21B35" w:rsidRDefault="007954E2" w:rsidP="00E5420E">
            <w:pPr>
              <w:pStyle w:val="TableBody"/>
            </w:pPr>
            <w:r w:rsidRPr="00D21B35">
              <w:t>Indirect avoided costs</w:t>
            </w:r>
          </w:p>
        </w:tc>
        <w:tc>
          <w:tcPr>
            <w:tcW w:w="1275" w:type="pct"/>
            <w:shd w:val="clear" w:color="auto" w:fill="auto"/>
            <w:vAlign w:val="center"/>
          </w:tcPr>
          <w:p w14:paraId="0075971A" w14:textId="4B54B7BC" w:rsidR="007954E2" w:rsidRPr="005875E9" w:rsidRDefault="00756E6A" w:rsidP="00E5420E">
            <w:pPr>
              <w:pStyle w:val="TableBody"/>
              <w:rPr>
                <w:bCs/>
              </w:rPr>
            </w:pPr>
            <w:r>
              <w:rPr>
                <w:bCs/>
              </w:rPr>
              <w:t>-</w:t>
            </w:r>
          </w:p>
        </w:tc>
        <w:tc>
          <w:tcPr>
            <w:tcW w:w="1276" w:type="pct"/>
            <w:shd w:val="clear" w:color="auto" w:fill="auto"/>
            <w:vAlign w:val="center"/>
          </w:tcPr>
          <w:p w14:paraId="3A326529" w14:textId="44882FBD" w:rsidR="007954E2" w:rsidRPr="005875E9" w:rsidRDefault="00E8653E" w:rsidP="00E5420E">
            <w:pPr>
              <w:pStyle w:val="TableBody"/>
              <w:rPr>
                <w:bCs/>
              </w:rPr>
            </w:pPr>
            <w:r>
              <w:rPr>
                <w:bCs/>
              </w:rPr>
              <w:t>68.2</w:t>
            </w:r>
          </w:p>
        </w:tc>
        <w:tc>
          <w:tcPr>
            <w:tcW w:w="1276" w:type="pct"/>
            <w:shd w:val="clear" w:color="auto" w:fill="auto"/>
            <w:vAlign w:val="center"/>
          </w:tcPr>
          <w:p w14:paraId="3A5FAFE3" w14:textId="77777777" w:rsidR="007954E2" w:rsidRPr="005875E9" w:rsidRDefault="007954E2" w:rsidP="00E5420E">
            <w:pPr>
              <w:pStyle w:val="TableBody"/>
              <w:rPr>
                <w:bCs/>
              </w:rPr>
            </w:pPr>
            <w:r>
              <w:rPr>
                <w:bCs/>
              </w:rPr>
              <w:t>0.</w:t>
            </w:r>
            <w:r w:rsidR="002E1875">
              <w:rPr>
                <w:bCs/>
              </w:rPr>
              <w:t>5</w:t>
            </w:r>
          </w:p>
        </w:tc>
      </w:tr>
      <w:tr w:rsidR="00B4520B" w:rsidRPr="00165316" w14:paraId="642DD87D" w14:textId="77777777" w:rsidTr="00E5420E">
        <w:tc>
          <w:tcPr>
            <w:tcW w:w="1172" w:type="pct"/>
            <w:shd w:val="clear" w:color="auto" w:fill="F2F2F2" w:themeFill="background1" w:themeFillShade="F2"/>
          </w:tcPr>
          <w:p w14:paraId="773BF37A" w14:textId="77777777" w:rsidR="007954E2" w:rsidRPr="00827F58" w:rsidRDefault="007954E2" w:rsidP="00E5420E">
            <w:pPr>
              <w:pStyle w:val="TableBody"/>
              <w:rPr>
                <w:bCs/>
              </w:rPr>
            </w:pPr>
            <w:r w:rsidRPr="00827F58">
              <w:rPr>
                <w:bCs/>
              </w:rPr>
              <w:t>Total avoided cost to the economy of the incident</w:t>
            </w:r>
          </w:p>
        </w:tc>
        <w:tc>
          <w:tcPr>
            <w:tcW w:w="1275" w:type="pct"/>
            <w:shd w:val="clear" w:color="auto" w:fill="F2F2F2" w:themeFill="background1" w:themeFillShade="F2"/>
            <w:vAlign w:val="center"/>
          </w:tcPr>
          <w:p w14:paraId="51F873F3" w14:textId="379C3635" w:rsidR="007954E2" w:rsidRDefault="00756E6A" w:rsidP="00E5420E">
            <w:pPr>
              <w:pStyle w:val="TableBody"/>
              <w:rPr>
                <w:rFonts w:asciiTheme="majorHAnsi" w:hAnsiTheme="majorHAnsi" w:cstheme="majorHAnsi"/>
              </w:rPr>
            </w:pPr>
            <w:r>
              <w:rPr>
                <w:rFonts w:asciiTheme="majorHAnsi" w:hAnsiTheme="majorHAnsi" w:cstheme="majorHAnsi"/>
              </w:rPr>
              <w:t>4,099.0</w:t>
            </w:r>
          </w:p>
        </w:tc>
        <w:tc>
          <w:tcPr>
            <w:tcW w:w="1276" w:type="pct"/>
            <w:shd w:val="clear" w:color="auto" w:fill="F2F2F2" w:themeFill="background1" w:themeFillShade="F2"/>
            <w:vAlign w:val="center"/>
          </w:tcPr>
          <w:p w14:paraId="43850905" w14:textId="7ED87334" w:rsidR="007954E2" w:rsidRPr="00165316" w:rsidRDefault="00E8653E" w:rsidP="00E5420E">
            <w:pPr>
              <w:pStyle w:val="TableBody"/>
              <w:rPr>
                <w:rFonts w:asciiTheme="majorHAnsi" w:hAnsiTheme="majorHAnsi" w:cstheme="majorHAnsi"/>
                <w:color w:val="000000"/>
              </w:rPr>
            </w:pPr>
            <w:r>
              <w:rPr>
                <w:rFonts w:asciiTheme="majorHAnsi" w:hAnsiTheme="majorHAnsi" w:cstheme="majorHAnsi"/>
                <w:color w:val="000000"/>
              </w:rPr>
              <w:t>126.8</w:t>
            </w:r>
          </w:p>
        </w:tc>
        <w:tc>
          <w:tcPr>
            <w:tcW w:w="1276" w:type="pct"/>
            <w:shd w:val="clear" w:color="auto" w:fill="F2F2F2" w:themeFill="background1" w:themeFillShade="F2"/>
            <w:vAlign w:val="center"/>
          </w:tcPr>
          <w:p w14:paraId="61B7D331" w14:textId="77777777" w:rsidR="007954E2" w:rsidRPr="00165316" w:rsidRDefault="007954E2" w:rsidP="00E5420E">
            <w:pPr>
              <w:pStyle w:val="TableBody"/>
              <w:rPr>
                <w:rFonts w:asciiTheme="majorHAnsi" w:hAnsiTheme="majorHAnsi" w:cstheme="majorHAnsi"/>
              </w:rPr>
            </w:pPr>
            <w:r w:rsidRPr="00165316">
              <w:rPr>
                <w:rFonts w:asciiTheme="majorHAnsi" w:hAnsiTheme="majorHAnsi" w:cstheme="majorHAnsi"/>
              </w:rPr>
              <w:t>1.</w:t>
            </w:r>
            <w:r w:rsidR="002E1875">
              <w:rPr>
                <w:rFonts w:asciiTheme="majorHAnsi" w:hAnsiTheme="majorHAnsi" w:cstheme="majorHAnsi"/>
              </w:rPr>
              <w:t>2</w:t>
            </w:r>
          </w:p>
        </w:tc>
      </w:tr>
      <w:tr w:rsidR="00B4520B" w:rsidRPr="00165316" w14:paraId="19916F06" w14:textId="77777777" w:rsidTr="00E5420E">
        <w:tc>
          <w:tcPr>
            <w:tcW w:w="1172" w:type="pct"/>
            <w:shd w:val="clear" w:color="auto" w:fill="auto"/>
          </w:tcPr>
          <w:p w14:paraId="4DD71D82" w14:textId="77777777" w:rsidR="007954E2" w:rsidRPr="00EE7E2C" w:rsidRDefault="007954E2" w:rsidP="00E5420E">
            <w:pPr>
              <w:pStyle w:val="TableBody"/>
            </w:pPr>
            <w:r w:rsidRPr="00EE7E2C">
              <w:t>Approximate number of avoided incidents per annum required for a net benefit</w:t>
            </w:r>
          </w:p>
        </w:tc>
        <w:tc>
          <w:tcPr>
            <w:tcW w:w="1275" w:type="pct"/>
            <w:shd w:val="clear" w:color="auto" w:fill="auto"/>
            <w:vAlign w:val="center"/>
          </w:tcPr>
          <w:p w14:paraId="5093E5DC" w14:textId="2E4A36E0" w:rsidR="007954E2" w:rsidRPr="00165316" w:rsidRDefault="00756E6A" w:rsidP="00E5420E">
            <w:pPr>
              <w:pStyle w:val="TableBody"/>
              <w:rPr>
                <w:rFonts w:asciiTheme="majorHAnsi" w:hAnsiTheme="majorHAnsi" w:cstheme="majorHAnsi"/>
              </w:rPr>
            </w:pPr>
            <w:r>
              <w:rPr>
                <w:rFonts w:asciiTheme="majorHAnsi" w:hAnsiTheme="majorHAnsi" w:cstheme="majorHAnsi"/>
              </w:rPr>
              <w:t>Less than 0.1</w:t>
            </w:r>
          </w:p>
        </w:tc>
        <w:tc>
          <w:tcPr>
            <w:tcW w:w="1276" w:type="pct"/>
            <w:shd w:val="clear" w:color="auto" w:fill="auto"/>
            <w:vAlign w:val="center"/>
          </w:tcPr>
          <w:p w14:paraId="54E5F666" w14:textId="7027F97A" w:rsidR="007954E2" w:rsidRPr="00165316" w:rsidRDefault="00E8653E" w:rsidP="00E5420E">
            <w:pPr>
              <w:pStyle w:val="TableBody"/>
              <w:rPr>
                <w:rFonts w:asciiTheme="majorHAnsi" w:hAnsiTheme="majorHAnsi" w:cstheme="majorHAnsi"/>
              </w:rPr>
            </w:pPr>
            <w:r>
              <w:rPr>
                <w:rFonts w:asciiTheme="majorHAnsi" w:hAnsiTheme="majorHAnsi" w:cstheme="majorHAnsi"/>
              </w:rPr>
              <w:t>1.8</w:t>
            </w:r>
          </w:p>
        </w:tc>
        <w:tc>
          <w:tcPr>
            <w:tcW w:w="1276" w:type="pct"/>
            <w:shd w:val="clear" w:color="auto" w:fill="auto"/>
            <w:vAlign w:val="center"/>
          </w:tcPr>
          <w:p w14:paraId="152A79DA" w14:textId="31C1CA37" w:rsidR="007954E2" w:rsidRPr="00165316" w:rsidRDefault="007E7EB7" w:rsidP="00E5420E">
            <w:pPr>
              <w:pStyle w:val="TableBody"/>
              <w:rPr>
                <w:rFonts w:asciiTheme="majorHAnsi" w:hAnsiTheme="majorHAnsi" w:cstheme="majorHAnsi"/>
              </w:rPr>
            </w:pPr>
            <w:r>
              <w:rPr>
                <w:rFonts w:asciiTheme="majorHAnsi" w:hAnsiTheme="majorHAnsi" w:cstheme="majorHAnsi"/>
              </w:rPr>
              <w:t>197.5</w:t>
            </w:r>
          </w:p>
        </w:tc>
      </w:tr>
    </w:tbl>
    <w:p w14:paraId="7B5CEFF3" w14:textId="5467883A" w:rsidR="00107992" w:rsidRPr="00165316" w:rsidRDefault="00107992" w:rsidP="00E5420E">
      <w:pPr>
        <w:pStyle w:val="BodyText"/>
        <w:spacing w:before="240"/>
      </w:pPr>
      <w:r w:rsidRPr="00165316">
        <w:t>As noted above in the cost of option 2, the total direct ongoing cost for option 2 is expected to be $</w:t>
      </w:r>
      <w:r w:rsidR="005749E5">
        <w:t>91.1</w:t>
      </w:r>
      <w:r w:rsidRPr="00165316">
        <w:rPr>
          <w:color w:val="007BC3" w:themeColor="accent2"/>
        </w:rPr>
        <w:t xml:space="preserve"> </w:t>
      </w:r>
      <w:r w:rsidRPr="00165316">
        <w:t>million per annum plus direct one-off costs of $</w:t>
      </w:r>
      <w:r w:rsidR="00463389" w:rsidRPr="00165316">
        <w:t>15</w:t>
      </w:r>
      <w:r w:rsidR="005749E5">
        <w:t>7.5</w:t>
      </w:r>
      <w:r w:rsidRPr="00165316">
        <w:rPr>
          <w:color w:val="007BC3" w:themeColor="accent2"/>
        </w:rPr>
        <w:t xml:space="preserve"> </w:t>
      </w:r>
      <w:r w:rsidRPr="00165316">
        <w:t xml:space="preserve">million. However, the cost of the risk management program framework would also have other indirect costs flowing from increased </w:t>
      </w:r>
      <w:r w:rsidR="00D57C09" w:rsidRPr="00165316">
        <w:t>water</w:t>
      </w:r>
      <w:r w:rsidRPr="00165316">
        <w:t xml:space="preserve"> prices passed onto consumers from the framework’s implementation. </w:t>
      </w:r>
    </w:p>
    <w:p w14:paraId="376E3503" w14:textId="0D6C66BD" w:rsidR="00107992" w:rsidRPr="00827F58" w:rsidRDefault="00107992" w:rsidP="00E5420E">
      <w:pPr>
        <w:pStyle w:val="BodyText"/>
      </w:pPr>
      <w:r w:rsidRPr="00165316">
        <w:t xml:space="preserve">After considering the economy-wide impact of this change to the cost of providing </w:t>
      </w:r>
      <w:r w:rsidR="00DB46E7" w:rsidRPr="00165316">
        <w:t>water</w:t>
      </w:r>
      <w:r w:rsidRPr="00165316">
        <w:t>, the total economic cost of the regulatory changes, including direct and indirect costs would be approximately $</w:t>
      </w:r>
      <w:r w:rsidR="00E153D0">
        <w:t>227.1</w:t>
      </w:r>
      <w:r w:rsidRPr="00165316">
        <w:t>million per year.</w:t>
      </w:r>
      <w:r w:rsidRPr="00165316">
        <w:rPr>
          <w:vertAlign w:val="superscript"/>
        </w:rPr>
        <w:footnoteReference w:id="352"/>
      </w:r>
      <w:r w:rsidRPr="00165316">
        <w:t xml:space="preserve"> In order for the regulatory changes to generate a net </w:t>
      </w:r>
      <w:r w:rsidRPr="00165316">
        <w:lastRenderedPageBreak/>
        <w:t xml:space="preserve">benefit, the proposed risk management program framework would need to contribute to the prevention of approximately </w:t>
      </w:r>
      <w:r w:rsidR="00A00F8C" w:rsidRPr="00165316">
        <w:t>19</w:t>
      </w:r>
      <w:r w:rsidR="00A00F8C">
        <w:t>5</w:t>
      </w:r>
      <w:r w:rsidR="00A00F8C" w:rsidRPr="00165316">
        <w:t xml:space="preserve"> </w:t>
      </w:r>
      <w:r w:rsidRPr="00165316">
        <w:t>low scenario incident</w:t>
      </w:r>
      <w:r w:rsidR="00D513DB" w:rsidRPr="00165316">
        <w:t>s</w:t>
      </w:r>
      <w:r w:rsidRPr="00165316">
        <w:t xml:space="preserve"> every </w:t>
      </w:r>
      <w:r w:rsidR="00390E16" w:rsidRPr="00165316">
        <w:t>year</w:t>
      </w:r>
      <w:r w:rsidRPr="00165316">
        <w:t xml:space="preserve">, approximately </w:t>
      </w:r>
      <w:r w:rsidR="00E8653E">
        <w:t>1.8</w:t>
      </w:r>
      <w:r w:rsidR="00E8653E" w:rsidRPr="00165316">
        <w:t xml:space="preserve"> </w:t>
      </w:r>
      <w:r w:rsidRPr="00165316">
        <w:t>moderate scenario incident</w:t>
      </w:r>
      <w:r w:rsidR="00390E16" w:rsidRPr="00165316">
        <w:t>s</w:t>
      </w:r>
      <w:r w:rsidRPr="00165316">
        <w:t xml:space="preserve"> every </w:t>
      </w:r>
      <w:r w:rsidR="00390E16" w:rsidRPr="00165316">
        <w:t>year</w:t>
      </w:r>
      <w:r w:rsidRPr="00165316">
        <w:t xml:space="preserve"> or </w:t>
      </w:r>
      <w:r w:rsidR="00E8653E">
        <w:t>one</w:t>
      </w:r>
      <w:r w:rsidRPr="00165316">
        <w:t xml:space="preserve"> severe scenario every </w:t>
      </w:r>
      <w:r w:rsidR="00E8653E">
        <w:t xml:space="preserve">18 </w:t>
      </w:r>
      <w:r w:rsidR="00390E16" w:rsidRPr="00165316">
        <w:t>year</w:t>
      </w:r>
      <w:r w:rsidR="00E8653E">
        <w:t>s</w:t>
      </w:r>
      <w:r w:rsidRPr="00165316">
        <w:t xml:space="preserve"> to generate a net benefit.</w:t>
      </w:r>
      <w:r w:rsidRPr="00827F58">
        <w:t xml:space="preserve"> </w:t>
      </w:r>
    </w:p>
    <w:p w14:paraId="19F4981F" w14:textId="56407B12" w:rsidR="00107992" w:rsidRPr="00827F58" w:rsidRDefault="00107992" w:rsidP="00E5420E">
      <w:pPr>
        <w:pStyle w:val="BodyText"/>
        <w:rPr>
          <w:rFonts w:eastAsia="Arial"/>
        </w:rPr>
      </w:pPr>
      <w:r w:rsidRPr="00827F58">
        <w:t xml:space="preserve">It is important to note that the economic analysis of the above scenarios may not incorporate all direct avoided costs incurred by all future incidents. In the broader context of a potential future disruption, in addition to the above estimate of benefits would be the avoided costs of recovery (repair costs, costs of resulting mitigations, productivity loss due to attending to legal ramifications, intangible costs on the environment, health and wellbeing, loss of reputation </w:t>
      </w:r>
      <w:r w:rsidR="000D1D1E" w:rsidRPr="00827F58">
        <w:t>etc.</w:t>
      </w:r>
      <w:r w:rsidRPr="00827F58">
        <w:t>)</w:t>
      </w:r>
      <w:r w:rsidR="004E6531">
        <w:t>.</w:t>
      </w:r>
    </w:p>
    <w:p w14:paraId="577CA38B" w14:textId="77777777" w:rsidR="00107992" w:rsidRPr="00827F58" w:rsidRDefault="00107992" w:rsidP="00E5420E">
      <w:pPr>
        <w:pStyle w:val="BodyText"/>
      </w:pPr>
      <w:r w:rsidRPr="00827F58">
        <w:rPr>
          <w:rFonts w:eastAsia="Arial"/>
        </w:rPr>
        <w:t xml:space="preserve">Further, the increasing frequency of incidents as described in section 1.1 makes the proposed risk management program framework more certain over time to exceed the anticipated costs. </w:t>
      </w:r>
      <w:r w:rsidRPr="00827F58">
        <w:t xml:space="preserve">The examples referred to in that section demonstrate the increasing need for adequate protections against the security and resilience of </w:t>
      </w:r>
      <w:r w:rsidR="00B14333">
        <w:t>critical water assets</w:t>
      </w:r>
      <w:r w:rsidRPr="00827F58">
        <w:t>, and the increased likelihood that the benefits of the draft risk management program framework will exceed the costs outlined in this section.</w:t>
      </w:r>
    </w:p>
    <w:p w14:paraId="639AF3DF" w14:textId="77777777" w:rsidR="00107992" w:rsidRPr="00936788" w:rsidRDefault="00107992" w:rsidP="00155868">
      <w:pPr>
        <w:pStyle w:val="AppendixH3"/>
      </w:pPr>
      <w:r w:rsidRPr="00936788">
        <w:t>Assessment of likely net benefit</w:t>
      </w:r>
    </w:p>
    <w:p w14:paraId="4A8A8CD3" w14:textId="64F6325F" w:rsidR="00785AD1" w:rsidRPr="00785AD1" w:rsidRDefault="005956F4" w:rsidP="00155868">
      <w:pPr>
        <w:pStyle w:val="BodyText"/>
      </w:pPr>
      <w:r>
        <w:t xml:space="preserve">There are a range of economic factors to consider when assessing the likely net benefit of this regulation for critical water assets, demonstrated by the range of potential consequences as a result of compromise or disruption. </w:t>
      </w:r>
      <w:r w:rsidR="0079274A">
        <w:t xml:space="preserve">Potential impacts of disruption range from catastrophic to relatively minor, with the frequency of incidents required to be avoided to generate a net benefit varying significantly. </w:t>
      </w:r>
    </w:p>
    <w:p w14:paraId="40495A30" w14:textId="49AF6B75" w:rsidR="00B0719C" w:rsidRPr="00624E73" w:rsidRDefault="0079274A" w:rsidP="00155868">
      <w:pPr>
        <w:pStyle w:val="BodyText"/>
      </w:pPr>
      <w:r>
        <w:t>As an additional complexity</w:t>
      </w:r>
      <w:r w:rsidR="00B0719C" w:rsidRPr="00624E73">
        <w:t xml:space="preserve">, the </w:t>
      </w:r>
      <w:r w:rsidR="005E1A1A" w:rsidRPr="00624E73">
        <w:t>potentially significant</w:t>
      </w:r>
      <w:r w:rsidR="00B0719C" w:rsidRPr="00624E73">
        <w:t xml:space="preserve"> economic consequences of a disruption to </w:t>
      </w:r>
      <w:r>
        <w:t xml:space="preserve">critical </w:t>
      </w:r>
      <w:r w:rsidR="00B0719C" w:rsidRPr="00624E73">
        <w:t xml:space="preserve">water </w:t>
      </w:r>
      <w:r>
        <w:t xml:space="preserve">assets </w:t>
      </w:r>
      <w:r w:rsidR="00624E73">
        <w:t xml:space="preserve">could </w:t>
      </w:r>
      <w:r w:rsidR="00C15DB4">
        <w:t xml:space="preserve">be insignificant </w:t>
      </w:r>
      <w:r w:rsidR="00624E73">
        <w:t xml:space="preserve">in comparison to </w:t>
      </w:r>
      <w:r w:rsidR="00FC7237">
        <w:t>the</w:t>
      </w:r>
      <w:r w:rsidR="00FC7237" w:rsidRPr="00624E73">
        <w:t xml:space="preserve"> potential </w:t>
      </w:r>
      <w:r w:rsidR="005E1A1A" w:rsidRPr="00624E73">
        <w:t xml:space="preserve">consequences </w:t>
      </w:r>
      <w:r w:rsidR="00624E73" w:rsidRPr="00624E73">
        <w:t xml:space="preserve">for </w:t>
      </w:r>
      <w:r w:rsidR="00FC7237" w:rsidRPr="00624E73">
        <w:t xml:space="preserve">human life </w:t>
      </w:r>
      <w:r w:rsidR="00814285" w:rsidRPr="00624E73">
        <w:t>because of</w:t>
      </w:r>
      <w:r w:rsidR="00680775" w:rsidRPr="00624E73">
        <w:t xml:space="preserve"> reduced or limited access to </w:t>
      </w:r>
      <w:r w:rsidR="005E1A1A" w:rsidRPr="00624E73">
        <w:t>water</w:t>
      </w:r>
      <w:r w:rsidR="00624E73">
        <w:t xml:space="preserve"> and sewerage</w:t>
      </w:r>
      <w:r>
        <w:t>, or indeed as a result of an event itself</w:t>
      </w:r>
      <w:r w:rsidR="00624E73">
        <w:t xml:space="preserve">. As described above, </w:t>
      </w:r>
      <w:r w:rsidR="00814285">
        <w:t>limited,</w:t>
      </w:r>
      <w:r w:rsidR="00624E73">
        <w:t xml:space="preserve"> or reduced access to water can have grave consequences for a range of water-dependent critical services</w:t>
      </w:r>
      <w:r w:rsidR="00624E73" w:rsidRPr="00624E73">
        <w:t>,</w:t>
      </w:r>
      <w:r w:rsidR="00624E73">
        <w:t xml:space="preserve"> such as hospitals</w:t>
      </w:r>
      <w:r w:rsidR="00624E73" w:rsidRPr="00624E73">
        <w:t xml:space="preserve"> </w:t>
      </w:r>
      <w:r w:rsidR="00FC7906">
        <w:t xml:space="preserve">or sanitation </w:t>
      </w:r>
      <w:r w:rsidR="00512B48">
        <w:t>facilities, which</w:t>
      </w:r>
      <w:r w:rsidR="00FC7906">
        <w:t xml:space="preserve"> in turn can lead to heightened risk of disease, illness or death. </w:t>
      </w:r>
      <w:r w:rsidR="00B4520B">
        <w:t>The estimated value of a statistical life</w:t>
      </w:r>
      <w:r w:rsidR="00B14333">
        <w:t xml:space="preserve"> (the value society places on reducing the risk of dying)</w:t>
      </w:r>
      <w:r w:rsidR="00B4520B">
        <w:t xml:space="preserve"> is $5.1 million, and the </w:t>
      </w:r>
      <w:r w:rsidR="00F75BBB">
        <w:t>value of a statistical life</w:t>
      </w:r>
      <w:r w:rsidR="00997D37">
        <w:t xml:space="preserve"> year </w:t>
      </w:r>
      <w:r w:rsidR="00513C5B">
        <w:t xml:space="preserve">(the value </w:t>
      </w:r>
      <w:r w:rsidR="00B14333">
        <w:t>society places on a year of life)</w:t>
      </w:r>
      <w:r w:rsidR="00F75BBB">
        <w:t xml:space="preserve"> is </w:t>
      </w:r>
      <w:r w:rsidR="00950FA9">
        <w:t>$</w:t>
      </w:r>
      <w:r w:rsidR="00997D37">
        <w:t>222,000.</w:t>
      </w:r>
      <w:r w:rsidR="00997D37">
        <w:rPr>
          <w:rStyle w:val="FootnoteReference"/>
          <w:rFonts w:ascii="Arial" w:eastAsia="Calibri" w:hAnsi="Arial" w:cs="Arial"/>
        </w:rPr>
        <w:footnoteReference w:id="353"/>
      </w:r>
      <w:r w:rsidR="00997D37">
        <w:t xml:space="preserve"> </w:t>
      </w:r>
      <w:r w:rsidR="008F45DD">
        <w:t>As water is critical to human life, any avoidance of a disruption to critical water assets that could have otherwise increased the likelihood of disease, illness or death will have a benefit beyond that of the avoided cost to the economy</w:t>
      </w:r>
      <w:r w:rsidR="004F36B0">
        <w:t xml:space="preserve"> able to be modelled</w:t>
      </w:r>
      <w:r w:rsidR="008F45DD">
        <w:t>.</w:t>
      </w:r>
    </w:p>
    <w:p w14:paraId="5915AD9E" w14:textId="4A5131EE" w:rsidR="00C20457" w:rsidRPr="00C20457" w:rsidRDefault="00107992" w:rsidP="00155868">
      <w:pPr>
        <w:pStyle w:val="BodyText"/>
      </w:pPr>
      <w:r w:rsidRPr="00376CF8">
        <w:t xml:space="preserve">The likely benefits of option 2 will be at least (and are expected to be more than) the costs of the regulation. This is because, as described above and throughout this RIS, the frequency and severity of all hazard risks for critical </w:t>
      </w:r>
      <w:r w:rsidR="00376CF8" w:rsidRPr="00376CF8">
        <w:t>water</w:t>
      </w:r>
      <w:r w:rsidRPr="00376CF8">
        <w:t xml:space="preserve"> assets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w:t>
      </w:r>
      <w:r w:rsidRPr="00827F58">
        <w:t xml:space="preserve"> </w:t>
      </w:r>
      <w:r w:rsidR="00376CF8" w:rsidRPr="00376CF8">
        <w:t xml:space="preserve">In addition, </w:t>
      </w:r>
      <w:r w:rsidR="004B33BB">
        <w:t>the</w:t>
      </w:r>
      <w:r w:rsidR="00376CF8" w:rsidRPr="00376CF8">
        <w:t xml:space="preserve"> potential </w:t>
      </w:r>
      <w:r w:rsidR="004B33BB">
        <w:t xml:space="preserve">risk </w:t>
      </w:r>
      <w:r w:rsidR="00376CF8" w:rsidRPr="00376CF8">
        <w:t>to human life</w:t>
      </w:r>
      <w:r w:rsidR="00376CF8">
        <w:t xml:space="preserve"> (through illness, disease or death)</w:t>
      </w:r>
      <w:r w:rsidR="00376CF8" w:rsidRPr="00376CF8">
        <w:t xml:space="preserve"> </w:t>
      </w:r>
      <w:r w:rsidR="004B33BB">
        <w:t>is heightened in this asset class due to the criticality of water to human life itself and the water-dependency of key critical services.</w:t>
      </w:r>
      <w:r w:rsidR="00376CF8">
        <w:t xml:space="preserve"> </w:t>
      </w:r>
    </w:p>
    <w:p w14:paraId="2FB2597F" w14:textId="77777777" w:rsidR="00107992" w:rsidRPr="00827F58" w:rsidRDefault="00107992" w:rsidP="00155868">
      <w:pPr>
        <w:pStyle w:val="BodyText"/>
      </w:pPr>
      <w:r w:rsidRPr="00827F58">
        <w:t>Further, through pursuit of option 2, the identification, mitigation and remediation of such hazards, should they occur, will be improved through:</w:t>
      </w:r>
    </w:p>
    <w:p w14:paraId="68202178" w14:textId="77777777" w:rsidR="00107992" w:rsidRPr="00827F58" w:rsidRDefault="00107992" w:rsidP="00155868">
      <w:pPr>
        <w:pStyle w:val="Bullet1stlevel"/>
      </w:pPr>
      <w:r w:rsidRPr="00827F58">
        <w:t xml:space="preserve">Lowering the material risk of hazards and subsequent impacts of those hazards, as they manifest for critical </w:t>
      </w:r>
      <w:r w:rsidR="00550DA6">
        <w:t>water</w:t>
      </w:r>
      <w:r w:rsidRPr="00827F58">
        <w:t xml:space="preserve"> assets; </w:t>
      </w:r>
    </w:p>
    <w:p w14:paraId="33B0EB9C" w14:textId="77777777" w:rsidR="00107992" w:rsidRPr="00827F58" w:rsidRDefault="00107992" w:rsidP="00155868">
      <w:pPr>
        <w:pStyle w:val="Bullet1stlevel"/>
      </w:pPr>
      <w:r w:rsidRPr="00827F58">
        <w:t xml:space="preserve">Ensuring that adoption of the risk management program framework for critical </w:t>
      </w:r>
      <w:r w:rsidR="00550DA6">
        <w:t>water</w:t>
      </w:r>
      <w:r w:rsidRPr="00827F58">
        <w:t xml:space="preserve"> assets is reasonable and proportionate to the purpose of the program; </w:t>
      </w:r>
    </w:p>
    <w:p w14:paraId="254B928B" w14:textId="77777777" w:rsidR="00107992" w:rsidRPr="00827F58" w:rsidRDefault="00107992" w:rsidP="00155868">
      <w:pPr>
        <w:pStyle w:val="Bullet1stlevel"/>
      </w:pPr>
      <w:r w:rsidRPr="00827F58">
        <w:lastRenderedPageBreak/>
        <w:t xml:space="preserve">Avoiding regulatory duplication and facilitating a coordinated uplift in responsible entities’ compliance with relevant standards; and </w:t>
      </w:r>
    </w:p>
    <w:p w14:paraId="5F41B44A" w14:textId="77777777" w:rsidR="00107992" w:rsidRPr="00827F58" w:rsidRDefault="00107992" w:rsidP="00155868">
      <w:pPr>
        <w:pStyle w:val="Bullet1stlevel"/>
      </w:pPr>
      <w:r w:rsidRPr="00827F58">
        <w:t xml:space="preserve">Improving Government’s visibility over the security and resilience of critical </w:t>
      </w:r>
      <w:r w:rsidR="00550DA6">
        <w:t>water</w:t>
      </w:r>
      <w:r w:rsidRPr="00827F58">
        <w:t xml:space="preserve"> assets. </w:t>
      </w:r>
    </w:p>
    <w:p w14:paraId="76AE53E5" w14:textId="0F7344A7" w:rsidR="00E33A2A" w:rsidRPr="00390E16" w:rsidRDefault="0079274A" w:rsidP="00155868">
      <w:pPr>
        <w:pStyle w:val="BodyText"/>
        <w:rPr>
          <w:rFonts w:eastAsia="Times New Roman"/>
        </w:rPr>
      </w:pPr>
      <w:r>
        <w:t>T</w:t>
      </w:r>
      <w:r w:rsidR="00107992" w:rsidRPr="00827F58">
        <w:t xml:space="preserve">hese factors and the specific costs and benefits described above mean the likely net benefit associated with option 2 is high. </w:t>
      </w:r>
      <w:r w:rsidR="00E33A2A">
        <w:rPr>
          <w:color w:val="034EA2" w:themeColor="accent1"/>
          <w:sz w:val="32"/>
          <w:szCs w:val="32"/>
        </w:rPr>
        <w:br w:type="page"/>
      </w:r>
    </w:p>
    <w:p w14:paraId="18D5704E" w14:textId="46059FE0" w:rsidR="00E33A2A" w:rsidRPr="00E33A2A" w:rsidRDefault="00E33A2A" w:rsidP="009B4B57">
      <w:pPr>
        <w:pStyle w:val="AppendixH1"/>
        <w:numPr>
          <w:ilvl w:val="0"/>
          <w:numId w:val="159"/>
        </w:numPr>
      </w:pPr>
      <w:bookmarkStart w:id="648" w:name="_Toc121397428"/>
      <w:r w:rsidRPr="65BD1ADF">
        <w:lastRenderedPageBreak/>
        <w:t xml:space="preserve">Detailed costing information for critical </w:t>
      </w:r>
      <w:r>
        <w:t>data</w:t>
      </w:r>
      <w:r w:rsidR="00163B97">
        <w:t xml:space="preserve"> storage or processing</w:t>
      </w:r>
      <w:r w:rsidRPr="65BD1ADF">
        <w:t xml:space="preserve"> assets</w:t>
      </w:r>
      <w:bookmarkEnd w:id="648"/>
    </w:p>
    <w:p w14:paraId="4F421A68" w14:textId="77777777" w:rsidR="00E33A2A" w:rsidRPr="00D450CF" w:rsidRDefault="00E33A2A" w:rsidP="009461D3">
      <w:pPr>
        <w:pStyle w:val="AppendixH2"/>
        <w:spacing w:after="120"/>
      </w:pPr>
      <w:r w:rsidRPr="00D450CF">
        <w:t xml:space="preserve">Costing process completed by responsible entities for critical </w:t>
      </w:r>
      <w:r w:rsidR="00D55BBB">
        <w:t>data</w:t>
      </w:r>
      <w:r w:rsidRPr="00D450CF">
        <w:t xml:space="preserve"> </w:t>
      </w:r>
      <w:r w:rsidR="005C2E35">
        <w:t>storage or processing</w:t>
      </w:r>
      <w:r w:rsidRPr="00D450CF">
        <w:t xml:space="preserve"> assets</w:t>
      </w:r>
    </w:p>
    <w:p w14:paraId="35FBD8DB" w14:textId="541D68BF" w:rsidR="00910F5B" w:rsidRPr="00910F5B" w:rsidRDefault="005B769F" w:rsidP="00155868">
      <w:pPr>
        <w:pStyle w:val="BodyText"/>
      </w:pPr>
      <w:r>
        <w:t>Six</w:t>
      </w:r>
      <w:r w:rsidR="00CD0BFB">
        <w:t xml:space="preserve"> responsible entities </w:t>
      </w:r>
      <w:r w:rsidR="00CD0BFB" w:rsidRPr="00155868">
        <w:t>for</w:t>
      </w:r>
      <w:r w:rsidR="00CD0BFB">
        <w:t xml:space="preserve"> critical data processing or storage assets submitted an estimated cost of compliance for their entity. </w:t>
      </w:r>
    </w:p>
    <w:p w14:paraId="19BB1191" w14:textId="77777777" w:rsidR="0069237B" w:rsidRDefault="0069237B" w:rsidP="009461D3">
      <w:pPr>
        <w:pStyle w:val="AppendixH2"/>
        <w:spacing w:after="120"/>
      </w:pPr>
      <w:r>
        <w:t>Likely net benefit – option 2</w:t>
      </w:r>
    </w:p>
    <w:p w14:paraId="389DB082" w14:textId="77777777" w:rsidR="0069237B" w:rsidRPr="0069237B" w:rsidRDefault="0069237B" w:rsidP="00155868">
      <w:pPr>
        <w:pStyle w:val="BodyText"/>
        <w:rPr>
          <w:rFonts w:eastAsia="Calibri"/>
        </w:rPr>
      </w:pPr>
      <w:r w:rsidRPr="00E9705C">
        <w:t xml:space="preserve">The following </w:t>
      </w:r>
      <w:r w:rsidRPr="00155868">
        <w:t>section</w:t>
      </w:r>
      <w:r w:rsidRPr="00E9705C">
        <w:t xml:space="preserve"> details the costs and benefits associated with option 2 (the regulatory option), before assessing the overall likely net benefit presented by this option. </w:t>
      </w:r>
    </w:p>
    <w:p w14:paraId="148933FC" w14:textId="77777777" w:rsidR="008D26FB" w:rsidRPr="00015690" w:rsidRDefault="008D26FB" w:rsidP="009461D3">
      <w:pPr>
        <w:pStyle w:val="AppendixH3"/>
        <w:spacing w:after="60"/>
      </w:pPr>
      <w:r>
        <w:t>Costs of option 2</w:t>
      </w:r>
    </w:p>
    <w:p w14:paraId="6E9C0C55" w14:textId="77777777" w:rsidR="008D26FB" w:rsidRPr="00E9705C" w:rsidRDefault="008D26FB" w:rsidP="009461D3">
      <w:pPr>
        <w:pStyle w:val="BodyText"/>
        <w:spacing w:before="80" w:after="80"/>
      </w:pPr>
      <w:r w:rsidRPr="00E9705C">
        <w:t xml:space="preserve">There are multiple factors affecting the regulatory burden for each entity, including their existing risk management practices and capabilities, the nature of the </w:t>
      </w:r>
      <w:r>
        <w:t xml:space="preserve">critical </w:t>
      </w:r>
      <w:r w:rsidR="00130ECB" w:rsidRPr="00130ECB">
        <w:t>data storage or processing</w:t>
      </w:r>
      <w:r w:rsidR="00B90FC3">
        <w:t xml:space="preserve"> </w:t>
      </w:r>
      <w:r>
        <w:t>assets</w:t>
      </w:r>
      <w:r w:rsidRPr="00E9705C">
        <w:t xml:space="preserve"> they operate and the size of their operations. In collecting cost information from entities across </w:t>
      </w:r>
      <w:r>
        <w:t xml:space="preserve">critical </w:t>
      </w:r>
      <w:r w:rsidR="00130ECB" w:rsidRPr="00130ECB">
        <w:t>data storage or processing</w:t>
      </w:r>
      <w:r w:rsidRPr="00EE40B8">
        <w:t xml:space="preserve"> </w:t>
      </w:r>
      <w:r>
        <w:t>assets</w:t>
      </w:r>
      <w:r w:rsidRPr="00E9705C">
        <w:t xml:space="preserve">, this variance in cost impact has been captured and reflected in the estimates of total cost across critical </w:t>
      </w:r>
      <w:r w:rsidR="00130ECB">
        <w:t>data storage or processing</w:t>
      </w:r>
      <w:r w:rsidRPr="00E9705C">
        <w:t xml:space="preserve"> assets included in this RIS.</w:t>
      </w:r>
    </w:p>
    <w:p w14:paraId="73920526" w14:textId="77777777" w:rsidR="00780717" w:rsidRPr="00E31954" w:rsidRDefault="00780717" w:rsidP="009461D3">
      <w:pPr>
        <w:pStyle w:val="BodyText"/>
        <w:spacing w:before="80" w:after="80"/>
      </w:pPr>
      <w:r w:rsidRPr="00E31954">
        <w:t xml:space="preserve">When estimating the cost of compliance with option 2, critical </w:t>
      </w:r>
      <w:r w:rsidR="005236AC">
        <w:t>data storage or processing</w:t>
      </w:r>
      <w:r w:rsidRPr="00E31954">
        <w:t xml:space="preserve"> asset entities provided both an expected and a high-cost estimate. The high-cost estimate was provided as a way to measure the uncertainty associated with their estimates and the highest feasible cost of option 2. The expected estimate was used as the basis for determining the net benefit of option 2 in section 4. </w:t>
      </w:r>
    </w:p>
    <w:p w14:paraId="43DC6EC7" w14:textId="77777777" w:rsidR="00780717" w:rsidRPr="00E31954" w:rsidRDefault="00780717" w:rsidP="009461D3">
      <w:pPr>
        <w:pStyle w:val="BodyText"/>
        <w:spacing w:before="80" w:after="80"/>
      </w:pPr>
      <w:r w:rsidRPr="00E31954">
        <w:t xml:space="preserve">Using the expected and the high estimate as a range, the cost of compliance is as follows: </w:t>
      </w:r>
    </w:p>
    <w:p w14:paraId="7A929863" w14:textId="3DCB376B" w:rsidR="00780717" w:rsidRPr="00721938" w:rsidRDefault="00780717" w:rsidP="009461D3">
      <w:pPr>
        <w:pStyle w:val="Bullet1stlevel"/>
        <w:spacing w:before="80" w:after="80"/>
      </w:pPr>
      <w:r w:rsidRPr="00A44322">
        <w:t>A one-off re</w:t>
      </w:r>
      <w:r w:rsidRPr="007D243C">
        <w:t>gulatory cost of between $</w:t>
      </w:r>
      <w:r w:rsidR="00BD5697" w:rsidRPr="00721938">
        <w:t>11</w:t>
      </w:r>
      <w:r w:rsidR="00BD5697" w:rsidRPr="00CE4B35">
        <w:t>6</w:t>
      </w:r>
      <w:r w:rsidRPr="00A44322">
        <w:t>.6</w:t>
      </w:r>
      <w:r w:rsidRPr="007D243C">
        <w:t xml:space="preserve"> (expected) and $</w:t>
      </w:r>
      <w:r w:rsidR="005236AC" w:rsidRPr="00721938">
        <w:t>1</w:t>
      </w:r>
      <w:r w:rsidR="00E919D0" w:rsidRPr="00CE4B35">
        <w:t>50.1</w:t>
      </w:r>
      <w:r w:rsidRPr="00A44322">
        <w:t xml:space="preserve"> </w:t>
      </w:r>
      <w:r w:rsidRPr="007D243C">
        <w:t xml:space="preserve">million (high estimate), across critical </w:t>
      </w:r>
      <w:r w:rsidR="005236AC" w:rsidRPr="00721938">
        <w:t>data storage or processing</w:t>
      </w:r>
      <w:r w:rsidRPr="00721938">
        <w:t xml:space="preserve"> assets nationally; and </w:t>
      </w:r>
    </w:p>
    <w:p w14:paraId="64ED14D5" w14:textId="6B92D873" w:rsidR="00780717" w:rsidRPr="00721938" w:rsidRDefault="00780717" w:rsidP="009461D3">
      <w:pPr>
        <w:pStyle w:val="Bullet1stlevel"/>
        <w:spacing w:before="80" w:after="80"/>
      </w:pPr>
      <w:r w:rsidRPr="00721938">
        <w:t>An ongoing cost of between $</w:t>
      </w:r>
      <w:r w:rsidR="00676CA1" w:rsidRPr="00721938">
        <w:t>2</w:t>
      </w:r>
      <w:r w:rsidR="00E919D0" w:rsidRPr="00CE4B35">
        <w:t>96.9</w:t>
      </w:r>
      <w:r w:rsidRPr="00A44322">
        <w:t xml:space="preserve"> (expected) and $</w:t>
      </w:r>
      <w:r w:rsidR="00E919D0" w:rsidRPr="00CE4B35">
        <w:t>402.3</w:t>
      </w:r>
      <w:r w:rsidRPr="00A44322">
        <w:t xml:space="preserve"> </w:t>
      </w:r>
      <w:r w:rsidRPr="007D243C">
        <w:t xml:space="preserve">million (high estimate) per year, across critical </w:t>
      </w:r>
      <w:r w:rsidR="005236AC" w:rsidRPr="00721938">
        <w:t>data storage or processing</w:t>
      </w:r>
      <w:r w:rsidRPr="00721938">
        <w:t xml:space="preserve"> assets nationally. </w:t>
      </w:r>
    </w:p>
    <w:p w14:paraId="76452DC8" w14:textId="77777777" w:rsidR="008D26FB" w:rsidRPr="00721938" w:rsidRDefault="008D26FB" w:rsidP="009461D3">
      <w:pPr>
        <w:pStyle w:val="BodyText"/>
        <w:spacing w:before="80" w:after="80"/>
      </w:pPr>
      <w:r w:rsidRPr="00721938">
        <w:t xml:space="preserve">The cost of regulation will be borne by entities responsible for critical </w:t>
      </w:r>
      <w:r w:rsidR="005D4F46" w:rsidRPr="00721938">
        <w:t xml:space="preserve">data </w:t>
      </w:r>
      <w:r w:rsidR="005236AC" w:rsidRPr="00721938">
        <w:t>storage</w:t>
      </w:r>
      <w:r w:rsidR="005D4F46" w:rsidRPr="00721938">
        <w:t xml:space="preserve"> or </w:t>
      </w:r>
      <w:r w:rsidR="005236AC" w:rsidRPr="00721938">
        <w:t>processing</w:t>
      </w:r>
      <w:r w:rsidR="005D4F46" w:rsidRPr="00721938">
        <w:t xml:space="preserve"> </w:t>
      </w:r>
      <w:r w:rsidRPr="00721938">
        <w:t>assets who meet the relevant thresholds. Community organisations and individuals will not be directly affected but there will likely be indirect costs passed onto consumers. For the purposes of this RIS, the cost of regulation in the table below will only include the initial costs associated with regulation</w:t>
      </w:r>
      <w:r w:rsidRPr="00A44322">
        <w:rPr>
          <w:rStyle w:val="FootnoteReference"/>
          <w:rFonts w:ascii="Arial" w:eastAsia="Calibri" w:hAnsi="Arial" w:cs="Arial"/>
        </w:rPr>
        <w:footnoteReference w:id="354"/>
      </w:r>
      <w:r w:rsidRPr="00A44322">
        <w:t xml:space="preserve">. </w:t>
      </w:r>
      <w:r w:rsidRPr="007D243C">
        <w:rPr>
          <w:rFonts w:eastAsia="Times New Roman"/>
        </w:rPr>
        <w:t xml:space="preserve">The indirect cost to consumers and communities has been </w:t>
      </w:r>
      <w:r w:rsidRPr="00721938">
        <w:rPr>
          <w:rFonts w:eastAsia="Times New Roman"/>
        </w:rPr>
        <w:t>addressed in the economic analysis through consideration of indirect cost to the wider economy as a result of the proposed RMP framework.</w:t>
      </w:r>
    </w:p>
    <w:p w14:paraId="58D8FCA3" w14:textId="6665E621" w:rsidR="00FE6A64" w:rsidRPr="009461D3" w:rsidRDefault="008D26FB" w:rsidP="009461D3">
      <w:pPr>
        <w:pStyle w:val="BodyText"/>
        <w:spacing w:before="80" w:after="80"/>
      </w:pPr>
      <w:r w:rsidRPr="00721938">
        <w:t>The average cost of compliance for each entity is estimated at $</w:t>
      </w:r>
      <w:r w:rsidR="00270C1F" w:rsidRPr="00721938">
        <w:t>1</w:t>
      </w:r>
      <w:r w:rsidRPr="00721938">
        <w:t>.</w:t>
      </w:r>
      <w:r w:rsidR="007662DD" w:rsidRPr="00CE4B35">
        <w:t>7</w:t>
      </w:r>
      <w:r w:rsidR="007662DD" w:rsidRPr="00A44322">
        <w:t xml:space="preserve"> </w:t>
      </w:r>
      <w:r w:rsidRPr="007D243C">
        <w:t>million in one-off costs and $</w:t>
      </w:r>
      <w:r w:rsidR="00270C1F" w:rsidRPr="00E53B51">
        <w:t>1</w:t>
      </w:r>
      <w:r w:rsidRPr="00721938">
        <w:t>.</w:t>
      </w:r>
      <w:r w:rsidR="00CF4D2D" w:rsidRPr="00CE4B35">
        <w:t>9</w:t>
      </w:r>
      <w:r w:rsidR="00CF4D2D" w:rsidRPr="00A44322">
        <w:t xml:space="preserve"> </w:t>
      </w:r>
      <w:r w:rsidRPr="007D243C">
        <w:t>million per year in ongoing costs</w:t>
      </w:r>
      <w:r w:rsidRPr="00721938">
        <w:t>, noting that there is a wide range provided in submissions from industry. Entity costs range between $0.</w:t>
      </w:r>
      <w:r w:rsidR="00752383" w:rsidRPr="00721938">
        <w:t>1</w:t>
      </w:r>
      <w:r w:rsidRPr="00721938">
        <w:t xml:space="preserve"> million and $</w:t>
      </w:r>
      <w:r w:rsidR="00270C1F" w:rsidRPr="00721938">
        <w:t>8</w:t>
      </w:r>
      <w:r w:rsidRPr="00721938">
        <w:t>.</w:t>
      </w:r>
      <w:r w:rsidR="00D12E2C" w:rsidRPr="00CE4B35">
        <w:t>5</w:t>
      </w:r>
      <w:r w:rsidR="00D12E2C" w:rsidRPr="00A44322">
        <w:t xml:space="preserve"> </w:t>
      </w:r>
      <w:r w:rsidRPr="007D243C">
        <w:t>million in one-off costs and $</w:t>
      </w:r>
      <w:r w:rsidRPr="00721938">
        <w:t>0.</w:t>
      </w:r>
      <w:r w:rsidR="00752383" w:rsidRPr="00721938">
        <w:t>1</w:t>
      </w:r>
      <w:r w:rsidRPr="00721938">
        <w:t xml:space="preserve"> million and $</w:t>
      </w:r>
      <w:r w:rsidR="00CC7D80" w:rsidRPr="00CE4B35">
        <w:t>8.0</w:t>
      </w:r>
      <w:r w:rsidRPr="00A44322">
        <w:t xml:space="preserve"> million in on-going costs per year</w:t>
      </w:r>
      <w:r w:rsidRPr="007D243C">
        <w:t>.</w:t>
      </w:r>
      <w:r w:rsidRPr="00066CEA">
        <w:t xml:space="preserve"> There are a number of reasons for this range in cost including the size of the entity and the maturity of existing </w:t>
      </w:r>
      <w:r w:rsidRPr="009461D3">
        <w:t>RMPs.</w:t>
      </w:r>
    </w:p>
    <w:p w14:paraId="1760CC63" w14:textId="77777777" w:rsidR="008D26FB" w:rsidRPr="00130ECB" w:rsidRDefault="008D26FB" w:rsidP="009461D3">
      <w:pPr>
        <w:pStyle w:val="Caption"/>
        <w:rPr>
          <w:sz w:val="22"/>
        </w:rPr>
      </w:pPr>
      <w:r w:rsidRPr="00E9705C">
        <w:lastRenderedPageBreak/>
        <w:t>Regulatory cost estimate</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154"/>
        <w:gridCol w:w="1870"/>
        <w:gridCol w:w="1870"/>
        <w:gridCol w:w="1870"/>
        <w:gridCol w:w="1874"/>
      </w:tblGrid>
      <w:tr w:rsidR="008D26FB" w:rsidRPr="00EE7E2C" w14:paraId="66F668D3" w14:textId="77777777" w:rsidTr="00D87165">
        <w:tc>
          <w:tcPr>
            <w:tcW w:w="1118" w:type="pct"/>
            <w:vMerge w:val="restart"/>
            <w:shd w:val="clear" w:color="auto" w:fill="034EA2" w:themeFill="accent1"/>
            <w:hideMark/>
          </w:tcPr>
          <w:p w14:paraId="778DBD44" w14:textId="77777777" w:rsidR="008D26FB" w:rsidRPr="00EC2B8E" w:rsidRDefault="008D26FB" w:rsidP="00EC2B8E">
            <w:pPr>
              <w:pStyle w:val="TableHeading"/>
            </w:pPr>
            <w:r w:rsidRPr="00EC2B8E">
              <w:t>Cost Type</w:t>
            </w:r>
          </w:p>
        </w:tc>
        <w:tc>
          <w:tcPr>
            <w:tcW w:w="3882" w:type="pct"/>
            <w:gridSpan w:val="4"/>
            <w:shd w:val="clear" w:color="auto" w:fill="034EA2" w:themeFill="accent1"/>
            <w:hideMark/>
          </w:tcPr>
          <w:p w14:paraId="13A2C89A" w14:textId="77777777" w:rsidR="008D26FB" w:rsidRPr="00EC2B8E" w:rsidRDefault="008D26FB" w:rsidP="00EC2B8E">
            <w:pPr>
              <w:pStyle w:val="TableHeading"/>
            </w:pPr>
            <w:r w:rsidRPr="00EC2B8E">
              <w:t>Costs ($ million)</w:t>
            </w:r>
          </w:p>
        </w:tc>
      </w:tr>
      <w:tr w:rsidR="00340241" w:rsidRPr="00E9705C" w14:paraId="18659C34" w14:textId="77777777" w:rsidTr="00D87165">
        <w:tc>
          <w:tcPr>
            <w:tcW w:w="1118" w:type="pct"/>
            <w:vMerge/>
            <w:hideMark/>
          </w:tcPr>
          <w:p w14:paraId="16205F4A" w14:textId="77777777" w:rsidR="008D26FB" w:rsidRPr="00E9705C" w:rsidRDefault="008D26FB" w:rsidP="00006ADD">
            <w:pPr>
              <w:pStyle w:val="TableBody"/>
              <w:rPr>
                <w:lang w:eastAsia="en-AU"/>
              </w:rPr>
            </w:pPr>
          </w:p>
        </w:tc>
        <w:tc>
          <w:tcPr>
            <w:tcW w:w="970" w:type="pct"/>
            <w:shd w:val="clear" w:color="auto" w:fill="DEEAF6"/>
            <w:hideMark/>
          </w:tcPr>
          <w:p w14:paraId="72F45E4A" w14:textId="77777777" w:rsidR="008D26FB" w:rsidRPr="00E9705C" w:rsidRDefault="008D26FB" w:rsidP="00006ADD">
            <w:pPr>
              <w:pStyle w:val="TableBody"/>
              <w:rPr>
                <w:lang w:eastAsia="en-AU"/>
              </w:rPr>
            </w:pPr>
            <w:r w:rsidRPr="00E9705C">
              <w:rPr>
                <w:lang w:eastAsia="en-AU"/>
              </w:rPr>
              <w:t>Business</w:t>
            </w:r>
          </w:p>
        </w:tc>
        <w:tc>
          <w:tcPr>
            <w:tcW w:w="970" w:type="pct"/>
            <w:shd w:val="clear" w:color="auto" w:fill="DEEAF6"/>
            <w:hideMark/>
          </w:tcPr>
          <w:p w14:paraId="23D236DE" w14:textId="77777777" w:rsidR="008D26FB" w:rsidRPr="00E9705C" w:rsidRDefault="008D26FB" w:rsidP="00006ADD">
            <w:pPr>
              <w:pStyle w:val="TableBody"/>
              <w:rPr>
                <w:lang w:eastAsia="en-AU"/>
              </w:rPr>
            </w:pPr>
            <w:r w:rsidRPr="00E9705C">
              <w:rPr>
                <w:lang w:eastAsia="en-AU"/>
              </w:rPr>
              <w:t>Community</w:t>
            </w:r>
          </w:p>
        </w:tc>
        <w:tc>
          <w:tcPr>
            <w:tcW w:w="970" w:type="pct"/>
            <w:shd w:val="clear" w:color="auto" w:fill="DEEAF6"/>
            <w:hideMark/>
          </w:tcPr>
          <w:p w14:paraId="528FB166" w14:textId="77777777" w:rsidR="008D26FB" w:rsidRPr="00E9705C" w:rsidRDefault="008D26FB" w:rsidP="00006ADD">
            <w:pPr>
              <w:pStyle w:val="TableBody"/>
              <w:rPr>
                <w:lang w:eastAsia="en-AU"/>
              </w:rPr>
            </w:pPr>
            <w:r w:rsidRPr="00E9705C">
              <w:rPr>
                <w:lang w:eastAsia="en-AU"/>
              </w:rPr>
              <w:t>Individuals</w:t>
            </w:r>
          </w:p>
        </w:tc>
        <w:tc>
          <w:tcPr>
            <w:tcW w:w="971" w:type="pct"/>
            <w:shd w:val="clear" w:color="auto" w:fill="DEEAF6"/>
            <w:hideMark/>
          </w:tcPr>
          <w:p w14:paraId="6D956C38" w14:textId="77777777" w:rsidR="008D26FB" w:rsidRPr="00E9705C" w:rsidRDefault="008D26FB" w:rsidP="00006ADD">
            <w:pPr>
              <w:pStyle w:val="TableBody"/>
              <w:rPr>
                <w:lang w:eastAsia="en-AU"/>
              </w:rPr>
            </w:pPr>
            <w:r w:rsidRPr="00E9705C">
              <w:rPr>
                <w:lang w:eastAsia="en-AU"/>
              </w:rPr>
              <w:t xml:space="preserve">Total cost </w:t>
            </w:r>
          </w:p>
        </w:tc>
      </w:tr>
      <w:tr w:rsidR="00340241" w:rsidRPr="00E9705C" w14:paraId="7EA02FDD" w14:textId="77777777" w:rsidTr="00D87165">
        <w:tc>
          <w:tcPr>
            <w:tcW w:w="1118" w:type="pct"/>
            <w:shd w:val="clear" w:color="auto" w:fill="F2F2F2" w:themeFill="background1" w:themeFillShade="F2"/>
            <w:hideMark/>
          </w:tcPr>
          <w:p w14:paraId="0D26341C" w14:textId="77777777" w:rsidR="00DE4A19" w:rsidRPr="00E9705C" w:rsidRDefault="00DE4A19" w:rsidP="00006ADD">
            <w:pPr>
              <w:pStyle w:val="TableBody"/>
              <w:rPr>
                <w:lang w:eastAsia="en-AU"/>
              </w:rPr>
            </w:pPr>
            <w:r w:rsidRPr="00E9705C">
              <w:rPr>
                <w:lang w:eastAsia="en-AU"/>
              </w:rPr>
              <w:t>One-off</w:t>
            </w:r>
          </w:p>
        </w:tc>
        <w:tc>
          <w:tcPr>
            <w:tcW w:w="970" w:type="pct"/>
            <w:shd w:val="clear" w:color="auto" w:fill="auto"/>
            <w:vAlign w:val="center"/>
            <w:hideMark/>
          </w:tcPr>
          <w:p w14:paraId="0DA9D903" w14:textId="5F213B7F" w:rsidR="00DE4A19" w:rsidRPr="00E9705C" w:rsidRDefault="00DE4A19" w:rsidP="00006ADD">
            <w:pPr>
              <w:pStyle w:val="TableBody"/>
              <w:rPr>
                <w:lang w:eastAsia="en-AU"/>
              </w:rPr>
            </w:pPr>
            <w:r>
              <w:rPr>
                <w:lang w:eastAsia="en-AU"/>
              </w:rPr>
              <w:t>11</w:t>
            </w:r>
            <w:r w:rsidR="00851823">
              <w:rPr>
                <w:lang w:eastAsia="en-AU"/>
              </w:rPr>
              <w:t>6</w:t>
            </w:r>
            <w:r w:rsidR="00D87165">
              <w:rPr>
                <w:lang w:eastAsia="en-AU"/>
              </w:rPr>
              <w:t>.</w:t>
            </w:r>
            <w:r w:rsidR="00851823">
              <w:rPr>
                <w:lang w:eastAsia="en-AU"/>
              </w:rPr>
              <w:t>6</w:t>
            </w:r>
            <w:r>
              <w:rPr>
                <w:lang w:eastAsia="en-AU"/>
              </w:rPr>
              <w:t xml:space="preserve"> to </w:t>
            </w:r>
            <w:r w:rsidR="00851823">
              <w:rPr>
                <w:lang w:eastAsia="en-AU"/>
              </w:rPr>
              <w:t>150.1</w:t>
            </w:r>
          </w:p>
        </w:tc>
        <w:tc>
          <w:tcPr>
            <w:tcW w:w="970" w:type="pct"/>
            <w:shd w:val="clear" w:color="auto" w:fill="auto"/>
            <w:vAlign w:val="center"/>
            <w:hideMark/>
          </w:tcPr>
          <w:p w14:paraId="47F6FC77" w14:textId="77777777" w:rsidR="00DE4A19" w:rsidRPr="00E9705C" w:rsidRDefault="00DE4A19" w:rsidP="00006ADD">
            <w:pPr>
              <w:pStyle w:val="TableBody"/>
              <w:rPr>
                <w:lang w:eastAsia="en-AU"/>
              </w:rPr>
            </w:pPr>
            <w:r>
              <w:rPr>
                <w:lang w:eastAsia="en-AU"/>
              </w:rPr>
              <w:t>Nil</w:t>
            </w:r>
          </w:p>
        </w:tc>
        <w:tc>
          <w:tcPr>
            <w:tcW w:w="970" w:type="pct"/>
            <w:shd w:val="clear" w:color="auto" w:fill="auto"/>
            <w:vAlign w:val="center"/>
            <w:hideMark/>
          </w:tcPr>
          <w:p w14:paraId="694039CB" w14:textId="77777777" w:rsidR="00DE4A19" w:rsidRPr="00E9705C" w:rsidRDefault="00DE4A19" w:rsidP="00006ADD">
            <w:pPr>
              <w:pStyle w:val="TableBody"/>
              <w:rPr>
                <w:lang w:eastAsia="en-AU"/>
              </w:rPr>
            </w:pPr>
            <w:r>
              <w:rPr>
                <w:lang w:eastAsia="en-AU"/>
              </w:rPr>
              <w:t>Nil</w:t>
            </w:r>
          </w:p>
        </w:tc>
        <w:tc>
          <w:tcPr>
            <w:tcW w:w="971" w:type="pct"/>
            <w:shd w:val="clear" w:color="auto" w:fill="auto"/>
            <w:vAlign w:val="center"/>
            <w:hideMark/>
          </w:tcPr>
          <w:p w14:paraId="5FF61568" w14:textId="705D5248" w:rsidR="00DE4A19" w:rsidRPr="00E9705C" w:rsidRDefault="00851823" w:rsidP="00006ADD">
            <w:pPr>
              <w:pStyle w:val="TableBody"/>
            </w:pPr>
            <w:r>
              <w:rPr>
                <w:lang w:eastAsia="en-AU"/>
              </w:rPr>
              <w:t>116.6 to 150.1</w:t>
            </w:r>
          </w:p>
        </w:tc>
      </w:tr>
      <w:tr w:rsidR="00DE4A19" w:rsidRPr="00E9705C" w14:paraId="75A18B49" w14:textId="77777777" w:rsidTr="00D87165">
        <w:tc>
          <w:tcPr>
            <w:tcW w:w="1118" w:type="pct"/>
            <w:shd w:val="clear" w:color="auto" w:fill="F2F2F2" w:themeFill="background1" w:themeFillShade="F2"/>
            <w:hideMark/>
          </w:tcPr>
          <w:p w14:paraId="101A7933" w14:textId="56F0905E" w:rsidR="00DE4A19" w:rsidRPr="00E9705C" w:rsidRDefault="00DE4A19" w:rsidP="00EC2B8E">
            <w:pPr>
              <w:pStyle w:val="TableBody"/>
              <w:rPr>
                <w:lang w:eastAsia="en-AU"/>
              </w:rPr>
            </w:pPr>
            <w:r w:rsidRPr="00E9705C">
              <w:rPr>
                <w:lang w:eastAsia="en-AU"/>
              </w:rPr>
              <w:t>Ongoing</w:t>
            </w:r>
            <w:r w:rsidR="00EC2B8E">
              <w:rPr>
                <w:lang w:eastAsia="en-AU"/>
              </w:rPr>
              <w:t xml:space="preserve"> </w:t>
            </w:r>
            <w:r w:rsidRPr="00E9705C">
              <w:rPr>
                <w:lang w:eastAsia="en-AU"/>
              </w:rPr>
              <w:t>(per year)</w:t>
            </w:r>
          </w:p>
        </w:tc>
        <w:tc>
          <w:tcPr>
            <w:tcW w:w="970" w:type="pct"/>
            <w:shd w:val="clear" w:color="auto" w:fill="auto"/>
            <w:vAlign w:val="center"/>
            <w:hideMark/>
          </w:tcPr>
          <w:p w14:paraId="62A84B21" w14:textId="46932A4A" w:rsidR="00DE4A19" w:rsidRPr="00E9705C" w:rsidRDefault="00DE4A19" w:rsidP="00006ADD">
            <w:pPr>
              <w:pStyle w:val="TableBody"/>
              <w:rPr>
                <w:lang w:eastAsia="en-AU"/>
              </w:rPr>
            </w:pPr>
            <w:r>
              <w:rPr>
                <w:lang w:eastAsia="en-AU"/>
              </w:rPr>
              <w:t>2</w:t>
            </w:r>
            <w:r w:rsidR="00D87165">
              <w:rPr>
                <w:lang w:eastAsia="en-AU"/>
              </w:rPr>
              <w:t>96.9</w:t>
            </w:r>
            <w:r>
              <w:rPr>
                <w:lang w:eastAsia="en-AU"/>
              </w:rPr>
              <w:t xml:space="preserve"> to </w:t>
            </w:r>
            <w:r w:rsidR="00D87165">
              <w:rPr>
                <w:lang w:eastAsia="en-AU"/>
              </w:rPr>
              <w:t>402.3</w:t>
            </w:r>
          </w:p>
        </w:tc>
        <w:tc>
          <w:tcPr>
            <w:tcW w:w="970" w:type="pct"/>
            <w:shd w:val="clear" w:color="auto" w:fill="auto"/>
            <w:vAlign w:val="center"/>
            <w:hideMark/>
          </w:tcPr>
          <w:p w14:paraId="6D571444" w14:textId="77777777" w:rsidR="00DE4A19" w:rsidRPr="00E9705C" w:rsidRDefault="00DE4A19" w:rsidP="00006ADD">
            <w:pPr>
              <w:pStyle w:val="TableBody"/>
              <w:rPr>
                <w:lang w:eastAsia="en-AU"/>
              </w:rPr>
            </w:pPr>
            <w:r>
              <w:rPr>
                <w:lang w:eastAsia="en-AU"/>
              </w:rPr>
              <w:t>Nil</w:t>
            </w:r>
          </w:p>
        </w:tc>
        <w:tc>
          <w:tcPr>
            <w:tcW w:w="970" w:type="pct"/>
            <w:shd w:val="clear" w:color="auto" w:fill="auto"/>
            <w:vAlign w:val="center"/>
            <w:hideMark/>
          </w:tcPr>
          <w:p w14:paraId="40B16865" w14:textId="77777777" w:rsidR="00DE4A19" w:rsidRPr="00E9705C" w:rsidRDefault="00DE4A19" w:rsidP="00006ADD">
            <w:pPr>
              <w:pStyle w:val="TableBody"/>
              <w:rPr>
                <w:lang w:eastAsia="en-AU"/>
              </w:rPr>
            </w:pPr>
            <w:r>
              <w:rPr>
                <w:lang w:eastAsia="en-AU"/>
              </w:rPr>
              <w:t>Nil</w:t>
            </w:r>
          </w:p>
        </w:tc>
        <w:tc>
          <w:tcPr>
            <w:tcW w:w="971" w:type="pct"/>
            <w:shd w:val="clear" w:color="auto" w:fill="auto"/>
            <w:vAlign w:val="center"/>
            <w:hideMark/>
          </w:tcPr>
          <w:p w14:paraId="70FEAF8C" w14:textId="16CA4262" w:rsidR="00DE4A19" w:rsidRPr="00E9705C" w:rsidRDefault="00D87165" w:rsidP="00006ADD">
            <w:pPr>
              <w:pStyle w:val="TableBody"/>
            </w:pPr>
            <w:r>
              <w:rPr>
                <w:lang w:eastAsia="en-AU"/>
              </w:rPr>
              <w:t>296.9 to 402.3</w:t>
            </w:r>
          </w:p>
        </w:tc>
      </w:tr>
    </w:tbl>
    <w:p w14:paraId="5169726B" w14:textId="77777777" w:rsidR="008D26FB" w:rsidRPr="001C31F4" w:rsidRDefault="008D26FB" w:rsidP="00006ADD">
      <w:pPr>
        <w:pStyle w:val="Note"/>
      </w:pPr>
      <w:r w:rsidRPr="00386A14">
        <w:rPr>
          <w:b/>
        </w:rPr>
        <w:t>Note:</w:t>
      </w:r>
      <w:r>
        <w:t xml:space="preserve"> There will be no direct costs to individuals and communities although price rises may reflect the increased cost of operations as a result of the proposed RMP framework. </w:t>
      </w:r>
    </w:p>
    <w:p w14:paraId="5557594C" w14:textId="0ABFFAEE" w:rsidR="008D26FB" w:rsidRPr="00E9705C" w:rsidRDefault="008D26FB" w:rsidP="009461D3">
      <w:pPr>
        <w:pStyle w:val="BodyText"/>
      </w:pPr>
      <w:r w:rsidRPr="00E9705C">
        <w:t xml:space="preserve">Based on the industry submissions made during consultations, total regulatory costs will be highest for rules and obligations associated with addressing </w:t>
      </w:r>
      <w:r>
        <w:t>physical and natural</w:t>
      </w:r>
      <w:r w:rsidRPr="00E9705C">
        <w:t xml:space="preserve"> hazards. These costs represent </w:t>
      </w:r>
      <w:r w:rsidRPr="00A44322">
        <w:t xml:space="preserve">approximately </w:t>
      </w:r>
      <w:r w:rsidR="003B3767" w:rsidRPr="00CE4B35">
        <w:t>56.3</w:t>
      </w:r>
      <w:r w:rsidRPr="00A44322">
        <w:t xml:space="preserve">% </w:t>
      </w:r>
      <w:r w:rsidRPr="007D243C">
        <w:t xml:space="preserve">of the total cost of implementing the </w:t>
      </w:r>
      <w:r w:rsidRPr="00674CF7">
        <w:t>RMP framework. The cost associated with cyber and information security hazards (</w:t>
      </w:r>
      <w:r w:rsidR="009F6272" w:rsidRPr="00674CF7">
        <w:t>1</w:t>
      </w:r>
      <w:r w:rsidR="00F30834" w:rsidRPr="00CE4B35">
        <w:t>3.7</w:t>
      </w:r>
      <w:r w:rsidRPr="00A44322">
        <w:t xml:space="preserve">% </w:t>
      </w:r>
      <w:r w:rsidRPr="007D243C">
        <w:t>of total cost</w:t>
      </w:r>
      <w:r w:rsidR="00130ECB" w:rsidRPr="00674CF7">
        <w:t>)</w:t>
      </w:r>
      <w:r w:rsidRPr="00674CF7">
        <w:t xml:space="preserve"> is less significant but remains material. Compliance costs associated with RMP obligations, </w:t>
      </w:r>
      <w:r w:rsidR="006A05C3" w:rsidRPr="00674CF7">
        <w:t xml:space="preserve">general </w:t>
      </w:r>
      <w:r w:rsidRPr="00674CF7">
        <w:t xml:space="preserve">rules, personnel hazards, supply chain hazards and material risk rules were the least costly aspects of the RMP framework, representing approximately </w:t>
      </w:r>
      <w:r w:rsidR="00952920" w:rsidRPr="00CE4B35">
        <w:t>30.</w:t>
      </w:r>
      <w:r w:rsidR="00674CF7" w:rsidRPr="00CE4B35">
        <w:t>0</w:t>
      </w:r>
      <w:r w:rsidRPr="00A44322">
        <w:t>%</w:t>
      </w:r>
      <w:r w:rsidRPr="007D243C">
        <w:t xml:space="preserve"> </w:t>
      </w:r>
      <w:r w:rsidRPr="00674CF7">
        <w:t>of costs in</w:t>
      </w:r>
      <w:r w:rsidRPr="00E9705C">
        <w:t xml:space="preserve"> total. The total regulatory cost by rule/obligation is set out in</w:t>
      </w:r>
      <w:r>
        <w:t xml:space="preserve"> the table below.</w:t>
      </w:r>
    </w:p>
    <w:p w14:paraId="13099E11" w14:textId="77777777" w:rsidR="008D26FB" w:rsidRPr="00473B24" w:rsidRDefault="008D26FB" w:rsidP="009461D3">
      <w:pPr>
        <w:pStyle w:val="Caption"/>
        <w:rPr>
          <w:b/>
          <w:bCs/>
        </w:rPr>
      </w:pPr>
      <w:r w:rsidRPr="00E9705C">
        <w:t xml:space="preserve">Regulatory burden estimate by rule and obligation for </w:t>
      </w:r>
      <w:r>
        <w:t xml:space="preserve">critical </w:t>
      </w:r>
      <w:r w:rsidR="005D4F46">
        <w:t>data processing or storage</w:t>
      </w:r>
      <w:r>
        <w:t xml:space="preserve"> assets</w:t>
      </w:r>
      <w:r w:rsidRPr="00E9705C">
        <w:t xml:space="preserve"> nationally</w:t>
      </w:r>
    </w:p>
    <w:tbl>
      <w:tblPr>
        <w:tblStyle w:val="DHATable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971"/>
        <w:gridCol w:w="1577"/>
        <w:gridCol w:w="1698"/>
        <w:gridCol w:w="1696"/>
        <w:gridCol w:w="1696"/>
      </w:tblGrid>
      <w:tr w:rsidR="00340241" w:rsidRPr="009A6044" w14:paraId="47C47F46" w14:textId="77777777" w:rsidTr="00EC2B8E">
        <w:trPr>
          <w:trHeight w:val="166"/>
        </w:trPr>
        <w:tc>
          <w:tcPr>
            <w:tcW w:w="1541" w:type="pct"/>
            <w:vMerge w:val="restart"/>
            <w:shd w:val="clear" w:color="auto" w:fill="034EA2" w:themeFill="accent1"/>
            <w:hideMark/>
          </w:tcPr>
          <w:p w14:paraId="7301A367" w14:textId="77777777" w:rsidR="00E025C1" w:rsidRPr="009A6044" w:rsidRDefault="00E025C1" w:rsidP="00EC2B8E">
            <w:pPr>
              <w:pStyle w:val="TableHeading"/>
              <w:rPr>
                <w:lang w:eastAsia="en-AU"/>
              </w:rPr>
            </w:pPr>
            <w:r w:rsidRPr="009A6044">
              <w:rPr>
                <w:lang w:eastAsia="en-AU"/>
              </w:rPr>
              <w:t>Rule / obligation</w:t>
            </w:r>
          </w:p>
        </w:tc>
        <w:tc>
          <w:tcPr>
            <w:tcW w:w="3459" w:type="pct"/>
            <w:gridSpan w:val="4"/>
            <w:shd w:val="clear" w:color="auto" w:fill="034EA2" w:themeFill="accent1"/>
            <w:vAlign w:val="center"/>
            <w:hideMark/>
          </w:tcPr>
          <w:p w14:paraId="20E68D39" w14:textId="77777777" w:rsidR="00E025C1" w:rsidRPr="009A6044" w:rsidRDefault="00E025C1" w:rsidP="00EC2B8E">
            <w:pPr>
              <w:pStyle w:val="TableHeading"/>
              <w:rPr>
                <w:lang w:eastAsia="en-AU"/>
              </w:rPr>
            </w:pPr>
            <w:r w:rsidRPr="009A6044">
              <w:rPr>
                <w:lang w:eastAsia="en-AU"/>
              </w:rPr>
              <w:t>Costs</w:t>
            </w:r>
          </w:p>
        </w:tc>
      </w:tr>
      <w:tr w:rsidR="00C846DC" w:rsidRPr="00E9705C" w14:paraId="1B04ECAB" w14:textId="77777777" w:rsidTr="00EC2B8E">
        <w:trPr>
          <w:trHeight w:val="601"/>
        </w:trPr>
        <w:tc>
          <w:tcPr>
            <w:tcW w:w="1541" w:type="pct"/>
            <w:vMerge/>
            <w:hideMark/>
          </w:tcPr>
          <w:p w14:paraId="585389C7" w14:textId="77777777" w:rsidR="00E025C1" w:rsidRPr="00E9705C" w:rsidRDefault="00E025C1" w:rsidP="00365BB3">
            <w:pPr>
              <w:rPr>
                <w:rFonts w:ascii="Arial" w:hAnsi="Arial" w:cs="Arial"/>
                <w:color w:val="FFFFFF"/>
                <w:sz w:val="22"/>
                <w:lang w:eastAsia="en-AU"/>
              </w:rPr>
            </w:pPr>
          </w:p>
        </w:tc>
        <w:tc>
          <w:tcPr>
            <w:tcW w:w="818" w:type="pct"/>
            <w:shd w:val="clear" w:color="auto" w:fill="DEEAF6"/>
            <w:vAlign w:val="center"/>
            <w:hideMark/>
          </w:tcPr>
          <w:p w14:paraId="17D97FF8" w14:textId="77777777" w:rsidR="00E025C1" w:rsidRPr="00E9705C" w:rsidRDefault="00E025C1" w:rsidP="00EC2B8E">
            <w:pPr>
              <w:pStyle w:val="TableBody"/>
              <w:rPr>
                <w:lang w:eastAsia="en-AU"/>
              </w:rPr>
            </w:pPr>
            <w:r w:rsidRPr="00E9705C">
              <w:rPr>
                <w:lang w:eastAsia="en-AU"/>
              </w:rPr>
              <w:t>One-off ($ million)</w:t>
            </w:r>
          </w:p>
        </w:tc>
        <w:tc>
          <w:tcPr>
            <w:tcW w:w="881" w:type="pct"/>
            <w:shd w:val="clear" w:color="auto" w:fill="DEEAF6"/>
            <w:vAlign w:val="center"/>
            <w:hideMark/>
          </w:tcPr>
          <w:p w14:paraId="0E0F1D6C" w14:textId="77777777" w:rsidR="00E025C1" w:rsidRPr="00E9705C" w:rsidRDefault="00E025C1" w:rsidP="00EC2B8E">
            <w:pPr>
              <w:pStyle w:val="TableBody"/>
              <w:rPr>
                <w:lang w:eastAsia="en-AU"/>
              </w:rPr>
            </w:pPr>
            <w:r w:rsidRPr="00E9705C">
              <w:rPr>
                <w:lang w:eastAsia="en-AU"/>
              </w:rPr>
              <w:t>Ongoing</w:t>
            </w:r>
            <w:r w:rsidRPr="00E9705C">
              <w:rPr>
                <w:lang w:eastAsia="en-AU"/>
              </w:rPr>
              <w:br/>
              <w:t>(per year, $ million)</w:t>
            </w:r>
          </w:p>
        </w:tc>
        <w:tc>
          <w:tcPr>
            <w:tcW w:w="880" w:type="pct"/>
            <w:shd w:val="clear" w:color="auto" w:fill="DEEAF6"/>
            <w:vAlign w:val="center"/>
            <w:hideMark/>
          </w:tcPr>
          <w:p w14:paraId="74E860EB" w14:textId="77777777" w:rsidR="00E025C1" w:rsidRPr="00E9705C" w:rsidRDefault="00E025C1" w:rsidP="00EC2B8E">
            <w:pPr>
              <w:pStyle w:val="TableBody"/>
              <w:rPr>
                <w:lang w:eastAsia="en-AU"/>
              </w:rPr>
            </w:pPr>
            <w:r w:rsidRPr="00E9705C">
              <w:rPr>
                <w:lang w:eastAsia="en-AU"/>
              </w:rPr>
              <w:t xml:space="preserve">Total cost </w:t>
            </w:r>
            <w:r w:rsidRPr="00E9705C">
              <w:rPr>
                <w:lang w:eastAsia="en-AU"/>
              </w:rPr>
              <w:br/>
              <w:t xml:space="preserve">over 10 years ($ million) </w:t>
            </w:r>
            <w:r w:rsidRPr="00E9705C">
              <w:rPr>
                <w:vertAlign w:val="superscript"/>
                <w:lang w:eastAsia="en-AU"/>
              </w:rPr>
              <w:footnoteReference w:id="355"/>
            </w:r>
          </w:p>
        </w:tc>
        <w:tc>
          <w:tcPr>
            <w:tcW w:w="880" w:type="pct"/>
            <w:shd w:val="clear" w:color="auto" w:fill="DEEAF6"/>
            <w:vAlign w:val="center"/>
            <w:hideMark/>
          </w:tcPr>
          <w:p w14:paraId="11DB096A" w14:textId="77777777" w:rsidR="00E025C1" w:rsidRPr="00E9705C" w:rsidRDefault="00E025C1" w:rsidP="00EC2B8E">
            <w:pPr>
              <w:pStyle w:val="TableBody"/>
              <w:rPr>
                <w:lang w:eastAsia="en-AU"/>
              </w:rPr>
            </w:pPr>
            <w:r>
              <w:rPr>
                <w:lang w:eastAsia="en-AU"/>
              </w:rPr>
              <w:t>Expected estimate as p</w:t>
            </w:r>
            <w:r w:rsidRPr="00E9705C">
              <w:rPr>
                <w:lang w:eastAsia="en-AU"/>
              </w:rPr>
              <w:t>ercentage of total (%)</w:t>
            </w:r>
          </w:p>
        </w:tc>
      </w:tr>
      <w:tr w:rsidR="00FC3D85" w:rsidRPr="00E9705C" w14:paraId="4D465DB1" w14:textId="77777777" w:rsidTr="00CE4B35">
        <w:trPr>
          <w:trHeight w:val="397"/>
        </w:trPr>
        <w:tc>
          <w:tcPr>
            <w:tcW w:w="0" w:type="pct"/>
            <w:hideMark/>
          </w:tcPr>
          <w:p w14:paraId="26F828B3" w14:textId="22C799E7" w:rsidR="00E025C1" w:rsidRPr="00D21B35" w:rsidRDefault="00E025C1">
            <w:pPr>
              <w:pStyle w:val="TableBody"/>
              <w:rPr>
                <w:lang w:eastAsia="en-AU"/>
              </w:rPr>
            </w:pPr>
            <w:r w:rsidRPr="00D21B35">
              <w:t xml:space="preserve">RMP obligations in the </w:t>
            </w:r>
            <w:r w:rsidR="00586F81">
              <w:t xml:space="preserve">SLACIP </w:t>
            </w:r>
            <w:r w:rsidR="00D721DC">
              <w:t>Act</w:t>
            </w:r>
          </w:p>
        </w:tc>
        <w:tc>
          <w:tcPr>
            <w:tcW w:w="0" w:type="pct"/>
            <w:shd w:val="clear" w:color="auto" w:fill="auto"/>
            <w:vAlign w:val="center"/>
            <w:hideMark/>
          </w:tcPr>
          <w:p w14:paraId="193E26EF" w14:textId="020A45AC" w:rsidR="00E025C1" w:rsidRPr="00C0211D" w:rsidRDefault="00C6005E" w:rsidP="00EC2B8E">
            <w:pPr>
              <w:pStyle w:val="TableBody"/>
            </w:pPr>
            <w:r w:rsidRPr="00CE4B35">
              <w:t>8.4 to 12.8</w:t>
            </w:r>
          </w:p>
        </w:tc>
        <w:tc>
          <w:tcPr>
            <w:tcW w:w="0" w:type="pct"/>
            <w:shd w:val="clear" w:color="auto" w:fill="auto"/>
            <w:vAlign w:val="center"/>
            <w:hideMark/>
          </w:tcPr>
          <w:p w14:paraId="00685261" w14:textId="5F1F765A" w:rsidR="00E025C1" w:rsidRPr="00E9705C" w:rsidRDefault="00C6005E" w:rsidP="00EC2B8E">
            <w:pPr>
              <w:pStyle w:val="TableBody"/>
              <w:rPr>
                <w:lang w:eastAsia="en-AU"/>
              </w:rPr>
            </w:pPr>
            <w:r w:rsidRPr="007B7CD0">
              <w:t>34.6 to 53.4</w:t>
            </w:r>
          </w:p>
        </w:tc>
        <w:tc>
          <w:tcPr>
            <w:tcW w:w="0" w:type="pct"/>
            <w:shd w:val="clear" w:color="auto" w:fill="auto"/>
            <w:vAlign w:val="center"/>
            <w:hideMark/>
          </w:tcPr>
          <w:p w14:paraId="3D2D0584" w14:textId="55169D18" w:rsidR="00E025C1" w:rsidRPr="00E9705C" w:rsidRDefault="00311274" w:rsidP="00EC2B8E">
            <w:pPr>
              <w:pStyle w:val="TableBody"/>
              <w:rPr>
                <w:lang w:eastAsia="en-AU"/>
              </w:rPr>
            </w:pPr>
            <w:r>
              <w:t>319.6</w:t>
            </w:r>
            <w:r w:rsidR="00E025C1">
              <w:t xml:space="preserve"> to 4</w:t>
            </w:r>
            <w:r w:rsidR="00434FDA">
              <w:t>93.2</w:t>
            </w:r>
          </w:p>
        </w:tc>
        <w:tc>
          <w:tcPr>
            <w:tcW w:w="0" w:type="pct"/>
            <w:shd w:val="clear" w:color="auto" w:fill="auto"/>
            <w:vAlign w:val="center"/>
            <w:hideMark/>
          </w:tcPr>
          <w:p w14:paraId="03396E3A" w14:textId="5F9572F0" w:rsidR="00E025C1" w:rsidRPr="00E9705C" w:rsidRDefault="00E025C1" w:rsidP="00EC2B8E">
            <w:pPr>
              <w:pStyle w:val="TableBody"/>
              <w:rPr>
                <w:lang w:eastAsia="en-AU"/>
              </w:rPr>
            </w:pPr>
            <w:r>
              <w:t>1</w:t>
            </w:r>
            <w:r w:rsidR="001C4938">
              <w:t>1.0</w:t>
            </w:r>
            <w:r>
              <w:t>%</w:t>
            </w:r>
          </w:p>
        </w:tc>
      </w:tr>
      <w:tr w:rsidR="009E6DAB" w:rsidRPr="00E9705C" w14:paraId="20496CB0" w14:textId="77777777" w:rsidTr="00CE4B35">
        <w:trPr>
          <w:trHeight w:val="397"/>
        </w:trPr>
        <w:tc>
          <w:tcPr>
            <w:tcW w:w="0" w:type="pct"/>
            <w:shd w:val="clear" w:color="auto" w:fill="F2F2F2" w:themeFill="background1" w:themeFillShade="F2"/>
            <w:hideMark/>
          </w:tcPr>
          <w:p w14:paraId="1F85391B" w14:textId="03675D7F" w:rsidR="00E025C1" w:rsidRPr="00D21B35" w:rsidRDefault="006A05C3" w:rsidP="00EC2B8E">
            <w:pPr>
              <w:pStyle w:val="TableBody"/>
              <w:rPr>
                <w:lang w:eastAsia="en-AU"/>
              </w:rPr>
            </w:pPr>
            <w:r>
              <w:t>General</w:t>
            </w:r>
            <w:r w:rsidRPr="00D21B35">
              <w:t xml:space="preserve"> </w:t>
            </w:r>
            <w:r w:rsidR="00E025C1" w:rsidRPr="00D21B35">
              <w:t>rules</w:t>
            </w:r>
          </w:p>
        </w:tc>
        <w:tc>
          <w:tcPr>
            <w:tcW w:w="0" w:type="pct"/>
            <w:shd w:val="clear" w:color="auto" w:fill="auto"/>
            <w:vAlign w:val="center"/>
            <w:hideMark/>
          </w:tcPr>
          <w:p w14:paraId="54EC7735" w14:textId="2F7A91BA" w:rsidR="00E025C1" w:rsidRPr="00C0211D" w:rsidRDefault="00C6005E" w:rsidP="00EC2B8E">
            <w:pPr>
              <w:pStyle w:val="TableBody"/>
            </w:pPr>
            <w:r w:rsidRPr="00CE4B35">
              <w:t>9.8 to 18.0</w:t>
            </w:r>
          </w:p>
        </w:tc>
        <w:tc>
          <w:tcPr>
            <w:tcW w:w="0" w:type="pct"/>
            <w:shd w:val="clear" w:color="auto" w:fill="auto"/>
            <w:vAlign w:val="center"/>
            <w:hideMark/>
          </w:tcPr>
          <w:p w14:paraId="0EA60127" w14:textId="0C355614" w:rsidR="00E025C1" w:rsidRPr="00E9705C" w:rsidRDefault="00C6005E" w:rsidP="00EC2B8E">
            <w:pPr>
              <w:pStyle w:val="TableBody"/>
              <w:rPr>
                <w:lang w:eastAsia="en-AU"/>
              </w:rPr>
            </w:pPr>
            <w:r w:rsidRPr="007B7CD0">
              <w:t>18.9 to 32.2</w:t>
            </w:r>
          </w:p>
        </w:tc>
        <w:tc>
          <w:tcPr>
            <w:tcW w:w="0" w:type="pct"/>
            <w:shd w:val="clear" w:color="auto" w:fill="auto"/>
            <w:vAlign w:val="center"/>
            <w:hideMark/>
          </w:tcPr>
          <w:p w14:paraId="1186E0EE" w14:textId="65BE4E26" w:rsidR="00E025C1" w:rsidRPr="00E9705C" w:rsidRDefault="00E025C1" w:rsidP="00EC2B8E">
            <w:pPr>
              <w:pStyle w:val="TableBody"/>
              <w:rPr>
                <w:lang w:eastAsia="en-AU"/>
              </w:rPr>
            </w:pPr>
            <w:r>
              <w:t>1</w:t>
            </w:r>
            <w:r w:rsidR="00311274">
              <w:t>79.9</w:t>
            </w:r>
            <w:r>
              <w:t xml:space="preserve"> to </w:t>
            </w:r>
            <w:r w:rsidR="00434FDA">
              <w:t>307.4</w:t>
            </w:r>
          </w:p>
        </w:tc>
        <w:tc>
          <w:tcPr>
            <w:tcW w:w="0" w:type="pct"/>
            <w:shd w:val="clear" w:color="auto" w:fill="auto"/>
            <w:vAlign w:val="center"/>
            <w:hideMark/>
          </w:tcPr>
          <w:p w14:paraId="7E6FC0EE" w14:textId="50C8F786" w:rsidR="00E025C1" w:rsidRPr="00E9705C" w:rsidRDefault="00E025C1" w:rsidP="00EC2B8E">
            <w:pPr>
              <w:pStyle w:val="TableBody"/>
              <w:rPr>
                <w:lang w:eastAsia="en-AU"/>
              </w:rPr>
            </w:pPr>
            <w:r>
              <w:t>6.</w:t>
            </w:r>
            <w:r w:rsidR="001C4938">
              <w:t>2</w:t>
            </w:r>
            <w:r>
              <w:t>%</w:t>
            </w:r>
          </w:p>
        </w:tc>
      </w:tr>
      <w:tr w:rsidR="00E025C1" w:rsidRPr="00E9705C" w14:paraId="6B81B923" w14:textId="77777777" w:rsidTr="00CE4B35">
        <w:trPr>
          <w:trHeight w:val="397"/>
        </w:trPr>
        <w:tc>
          <w:tcPr>
            <w:tcW w:w="0" w:type="pct"/>
            <w:gridSpan w:val="5"/>
            <w:vAlign w:val="center"/>
          </w:tcPr>
          <w:p w14:paraId="3BDB6A17" w14:textId="77777777" w:rsidR="00E025C1" w:rsidRPr="00E9705C" w:rsidRDefault="00E025C1" w:rsidP="00EC2B8E">
            <w:pPr>
              <w:pStyle w:val="TableBody"/>
            </w:pPr>
            <w:r>
              <w:t>RMP rules</w:t>
            </w:r>
          </w:p>
        </w:tc>
      </w:tr>
      <w:tr w:rsidR="009E6DAB" w:rsidRPr="00E9705C" w14:paraId="07DCB719" w14:textId="77777777" w:rsidTr="00CE4B35">
        <w:trPr>
          <w:trHeight w:val="397"/>
        </w:trPr>
        <w:tc>
          <w:tcPr>
            <w:tcW w:w="0" w:type="pct"/>
            <w:shd w:val="clear" w:color="auto" w:fill="F2F2F2" w:themeFill="accent6"/>
            <w:hideMark/>
          </w:tcPr>
          <w:p w14:paraId="6AA86A2D" w14:textId="77777777" w:rsidR="00E025C1" w:rsidRPr="00D21B35" w:rsidRDefault="00E025C1" w:rsidP="00EC2B8E">
            <w:pPr>
              <w:pStyle w:val="TableBody"/>
              <w:rPr>
                <w:lang w:eastAsia="en-AU"/>
              </w:rPr>
            </w:pPr>
            <w:r w:rsidRPr="00D21B35">
              <w:t xml:space="preserve">Cyber and information security hazard </w:t>
            </w:r>
          </w:p>
        </w:tc>
        <w:tc>
          <w:tcPr>
            <w:tcW w:w="0" w:type="pct"/>
            <w:shd w:val="clear" w:color="auto" w:fill="auto"/>
            <w:vAlign w:val="center"/>
          </w:tcPr>
          <w:p w14:paraId="59FE20EE" w14:textId="48CCA2DA" w:rsidR="00E025C1" w:rsidRPr="00D40242" w:rsidRDefault="00C6005E" w:rsidP="00EC2B8E">
            <w:pPr>
              <w:pStyle w:val="TableBody"/>
            </w:pPr>
            <w:r w:rsidRPr="00CE4B35">
              <w:t>30.7 to 40.3</w:t>
            </w:r>
          </w:p>
        </w:tc>
        <w:tc>
          <w:tcPr>
            <w:tcW w:w="0" w:type="pct"/>
            <w:shd w:val="clear" w:color="auto" w:fill="auto"/>
            <w:vAlign w:val="center"/>
          </w:tcPr>
          <w:p w14:paraId="05422979" w14:textId="6D90507F" w:rsidR="00E025C1" w:rsidRPr="00E9705C" w:rsidRDefault="00C6005E" w:rsidP="00EC2B8E">
            <w:pPr>
              <w:pStyle w:val="TableBody"/>
              <w:rPr>
                <w:lang w:eastAsia="en-AU"/>
              </w:rPr>
            </w:pPr>
            <w:r w:rsidRPr="00E57EBB">
              <w:t>39.9 to 51.8</w:t>
            </w:r>
          </w:p>
        </w:tc>
        <w:tc>
          <w:tcPr>
            <w:tcW w:w="0" w:type="pct"/>
            <w:shd w:val="clear" w:color="auto" w:fill="auto"/>
            <w:vAlign w:val="center"/>
          </w:tcPr>
          <w:p w14:paraId="563DC6B8" w14:textId="75B39126" w:rsidR="00E025C1" w:rsidRPr="00E9705C" w:rsidRDefault="00E025C1" w:rsidP="00EC2B8E">
            <w:pPr>
              <w:pStyle w:val="TableBody"/>
            </w:pPr>
            <w:r>
              <w:t>3</w:t>
            </w:r>
            <w:r w:rsidR="00311274">
              <w:t>95.7</w:t>
            </w:r>
            <w:r>
              <w:t xml:space="preserve"> to </w:t>
            </w:r>
            <w:r w:rsidR="00434FDA">
              <w:t>516.2</w:t>
            </w:r>
          </w:p>
        </w:tc>
        <w:tc>
          <w:tcPr>
            <w:tcW w:w="0" w:type="pct"/>
            <w:shd w:val="clear" w:color="auto" w:fill="auto"/>
            <w:vAlign w:val="center"/>
          </w:tcPr>
          <w:p w14:paraId="1AFD70CA" w14:textId="612B4E9C" w:rsidR="00E025C1" w:rsidRPr="00E9705C" w:rsidRDefault="00C6005E" w:rsidP="00A44322">
            <w:pPr>
              <w:pStyle w:val="TableBody"/>
              <w:rPr>
                <w:lang w:eastAsia="en-AU"/>
              </w:rPr>
            </w:pPr>
            <w:r>
              <w:t>1</w:t>
            </w:r>
            <w:r w:rsidR="001C4938">
              <w:t>3.7</w:t>
            </w:r>
            <w:r w:rsidR="00E025C1">
              <w:t>%</w:t>
            </w:r>
          </w:p>
        </w:tc>
      </w:tr>
      <w:tr w:rsidR="00FC3D85" w:rsidRPr="00E9705C" w14:paraId="1D44E314" w14:textId="77777777" w:rsidTr="00CE4B35">
        <w:trPr>
          <w:trHeight w:val="296"/>
        </w:trPr>
        <w:tc>
          <w:tcPr>
            <w:tcW w:w="0" w:type="pct"/>
            <w:shd w:val="clear" w:color="auto" w:fill="F2F2F2" w:themeFill="accent6"/>
            <w:hideMark/>
          </w:tcPr>
          <w:p w14:paraId="3968F906" w14:textId="77777777" w:rsidR="00E025C1" w:rsidRPr="00D21B35" w:rsidRDefault="00E025C1" w:rsidP="00EC2B8E">
            <w:pPr>
              <w:pStyle w:val="TableBody"/>
              <w:rPr>
                <w:lang w:eastAsia="en-AU"/>
              </w:rPr>
            </w:pPr>
            <w:r w:rsidRPr="00D21B35">
              <w:t>Personnel hazard</w:t>
            </w:r>
          </w:p>
        </w:tc>
        <w:tc>
          <w:tcPr>
            <w:tcW w:w="0" w:type="pct"/>
            <w:shd w:val="clear" w:color="auto" w:fill="auto"/>
            <w:vAlign w:val="center"/>
          </w:tcPr>
          <w:p w14:paraId="0B2624D6" w14:textId="5573983A" w:rsidR="00E025C1" w:rsidRPr="00D40242" w:rsidRDefault="00C6005E" w:rsidP="00EC2B8E">
            <w:pPr>
              <w:pStyle w:val="TableBody"/>
            </w:pPr>
            <w:r w:rsidRPr="00CE4B35">
              <w:t>16.2 to 18.9</w:t>
            </w:r>
          </w:p>
        </w:tc>
        <w:tc>
          <w:tcPr>
            <w:tcW w:w="0" w:type="pct"/>
            <w:shd w:val="clear" w:color="auto" w:fill="auto"/>
            <w:vAlign w:val="center"/>
          </w:tcPr>
          <w:p w14:paraId="515FEE6C" w14:textId="4EA3D5F1" w:rsidR="00E025C1" w:rsidRPr="00E9705C" w:rsidRDefault="00C6005E" w:rsidP="00EC2B8E">
            <w:pPr>
              <w:pStyle w:val="TableBody"/>
              <w:rPr>
                <w:lang w:eastAsia="en-AU"/>
              </w:rPr>
            </w:pPr>
            <w:r w:rsidRPr="00E57EBB">
              <w:t>30.2 to 45.3</w:t>
            </w:r>
          </w:p>
        </w:tc>
        <w:tc>
          <w:tcPr>
            <w:tcW w:w="0" w:type="pct"/>
            <w:shd w:val="clear" w:color="auto" w:fill="auto"/>
            <w:vAlign w:val="center"/>
          </w:tcPr>
          <w:p w14:paraId="684A866A" w14:textId="5E02AB0B" w:rsidR="00E025C1" w:rsidRPr="005A6966" w:rsidRDefault="00311274" w:rsidP="00EC2B8E">
            <w:pPr>
              <w:pStyle w:val="TableBody"/>
              <w:rPr>
                <w:highlight w:val="yellow"/>
                <w:lang w:eastAsia="en-AU"/>
              </w:rPr>
            </w:pPr>
            <w:r>
              <w:t>303.5</w:t>
            </w:r>
            <w:r w:rsidR="00732BC3" w:rsidRPr="00B46342">
              <w:t xml:space="preserve"> to </w:t>
            </w:r>
            <w:r w:rsidR="00434FDA">
              <w:t>449.2</w:t>
            </w:r>
          </w:p>
        </w:tc>
        <w:tc>
          <w:tcPr>
            <w:tcW w:w="0" w:type="pct"/>
            <w:shd w:val="clear" w:color="auto" w:fill="auto"/>
            <w:vAlign w:val="center"/>
          </w:tcPr>
          <w:p w14:paraId="0E1380E7" w14:textId="2768A5BB" w:rsidR="00E025C1" w:rsidRPr="00E9705C" w:rsidRDefault="00E025C1" w:rsidP="00A44322">
            <w:pPr>
              <w:pStyle w:val="TableBody"/>
              <w:rPr>
                <w:lang w:eastAsia="en-AU"/>
              </w:rPr>
            </w:pPr>
            <w:r>
              <w:t>10.</w:t>
            </w:r>
            <w:r w:rsidR="001C4938">
              <w:t>5</w:t>
            </w:r>
            <w:r>
              <w:t>%</w:t>
            </w:r>
          </w:p>
        </w:tc>
      </w:tr>
      <w:tr w:rsidR="009E6DAB" w:rsidRPr="00E9705C" w14:paraId="1FDA69A8" w14:textId="77777777" w:rsidTr="00CE4B35">
        <w:trPr>
          <w:trHeight w:val="397"/>
        </w:trPr>
        <w:tc>
          <w:tcPr>
            <w:tcW w:w="0" w:type="pct"/>
            <w:shd w:val="clear" w:color="auto" w:fill="F2F2F2" w:themeFill="accent6"/>
            <w:hideMark/>
          </w:tcPr>
          <w:p w14:paraId="76C842D7" w14:textId="77777777" w:rsidR="00E025C1" w:rsidRPr="00D21B35" w:rsidRDefault="00E025C1" w:rsidP="00EC2B8E">
            <w:pPr>
              <w:pStyle w:val="TableBody"/>
              <w:rPr>
                <w:lang w:eastAsia="en-AU"/>
              </w:rPr>
            </w:pPr>
            <w:r w:rsidRPr="00D21B35">
              <w:t xml:space="preserve">Supply chain hazard </w:t>
            </w:r>
          </w:p>
        </w:tc>
        <w:tc>
          <w:tcPr>
            <w:tcW w:w="0" w:type="pct"/>
            <w:shd w:val="clear" w:color="auto" w:fill="auto"/>
            <w:vAlign w:val="center"/>
          </w:tcPr>
          <w:p w14:paraId="7BB9245E" w14:textId="74AABD83" w:rsidR="00E025C1" w:rsidRPr="00D40242" w:rsidRDefault="00C6005E" w:rsidP="00EC2B8E">
            <w:pPr>
              <w:pStyle w:val="TableBody"/>
            </w:pPr>
            <w:r w:rsidRPr="00CE4B35">
              <w:t>5.4 to 8.1</w:t>
            </w:r>
          </w:p>
        </w:tc>
        <w:tc>
          <w:tcPr>
            <w:tcW w:w="0" w:type="pct"/>
            <w:shd w:val="clear" w:color="auto" w:fill="auto"/>
            <w:vAlign w:val="center"/>
          </w:tcPr>
          <w:p w14:paraId="08B52A81" w14:textId="55354ED6" w:rsidR="00E025C1" w:rsidRPr="00E9705C" w:rsidRDefault="00C6005E" w:rsidP="00EC2B8E">
            <w:pPr>
              <w:pStyle w:val="TableBody"/>
              <w:rPr>
                <w:lang w:eastAsia="en-AU"/>
              </w:rPr>
            </w:pPr>
            <w:r w:rsidRPr="00E57EBB">
              <w:t>18.7 to 28.7</w:t>
            </w:r>
          </w:p>
        </w:tc>
        <w:tc>
          <w:tcPr>
            <w:tcW w:w="0" w:type="pct"/>
            <w:shd w:val="clear" w:color="auto" w:fill="auto"/>
            <w:vAlign w:val="center"/>
          </w:tcPr>
          <w:p w14:paraId="292C502F" w14:textId="1C365B3B" w:rsidR="00E025C1" w:rsidRPr="005A6966" w:rsidRDefault="00311274" w:rsidP="00EC2B8E">
            <w:pPr>
              <w:pStyle w:val="TableBody"/>
              <w:rPr>
                <w:highlight w:val="yellow"/>
                <w:lang w:eastAsia="en-AU"/>
              </w:rPr>
            </w:pPr>
            <w:r>
              <w:t>183.3</w:t>
            </w:r>
            <w:r w:rsidR="00732BC3" w:rsidRPr="00B46342">
              <w:t xml:space="preserve"> to </w:t>
            </w:r>
            <w:r w:rsidR="00434FDA">
              <w:t>280.8</w:t>
            </w:r>
          </w:p>
        </w:tc>
        <w:tc>
          <w:tcPr>
            <w:tcW w:w="0" w:type="pct"/>
            <w:shd w:val="clear" w:color="auto" w:fill="auto"/>
            <w:vAlign w:val="center"/>
          </w:tcPr>
          <w:p w14:paraId="240CF331" w14:textId="77777777" w:rsidR="00E025C1" w:rsidRPr="00E9705C" w:rsidRDefault="00E025C1" w:rsidP="00A44322">
            <w:pPr>
              <w:pStyle w:val="TableBody"/>
              <w:rPr>
                <w:lang w:eastAsia="en-AU"/>
              </w:rPr>
            </w:pPr>
            <w:r>
              <w:t>6.3%</w:t>
            </w:r>
          </w:p>
        </w:tc>
      </w:tr>
      <w:tr w:rsidR="00FC3D85" w:rsidRPr="00E9705C" w14:paraId="7F2BF15E" w14:textId="77777777" w:rsidTr="00CE4B35">
        <w:trPr>
          <w:trHeight w:val="397"/>
        </w:trPr>
        <w:tc>
          <w:tcPr>
            <w:tcW w:w="0" w:type="pct"/>
            <w:shd w:val="clear" w:color="auto" w:fill="F2F2F2" w:themeFill="accent6"/>
            <w:hideMark/>
          </w:tcPr>
          <w:p w14:paraId="1914171E" w14:textId="77777777" w:rsidR="00E025C1" w:rsidRPr="00D21B35" w:rsidRDefault="00E025C1" w:rsidP="00EC2B8E">
            <w:pPr>
              <w:pStyle w:val="TableBody"/>
              <w:rPr>
                <w:lang w:eastAsia="en-AU"/>
              </w:rPr>
            </w:pPr>
            <w:r w:rsidRPr="00D21B35">
              <w:t>Physical and natural hazard</w:t>
            </w:r>
          </w:p>
        </w:tc>
        <w:tc>
          <w:tcPr>
            <w:tcW w:w="0" w:type="pct"/>
            <w:shd w:val="clear" w:color="auto" w:fill="auto"/>
            <w:vAlign w:val="center"/>
          </w:tcPr>
          <w:p w14:paraId="32C79F82" w14:textId="6C569E67" w:rsidR="00E025C1" w:rsidRPr="00D40242" w:rsidRDefault="00C6005E" w:rsidP="00EC2B8E">
            <w:pPr>
              <w:pStyle w:val="TableBody"/>
            </w:pPr>
            <w:r w:rsidRPr="00CE4B35">
              <w:t>38.3 to 52.0</w:t>
            </w:r>
          </w:p>
        </w:tc>
        <w:tc>
          <w:tcPr>
            <w:tcW w:w="0" w:type="pct"/>
            <w:shd w:val="clear" w:color="auto" w:fill="auto"/>
            <w:vAlign w:val="center"/>
          </w:tcPr>
          <w:p w14:paraId="2F3F0E40" w14:textId="5207C98E" w:rsidR="00E025C1" w:rsidRPr="00E9705C" w:rsidRDefault="00C6005E" w:rsidP="00EC2B8E">
            <w:pPr>
              <w:pStyle w:val="TableBody"/>
              <w:rPr>
                <w:lang w:eastAsia="en-AU"/>
              </w:rPr>
            </w:pPr>
            <w:r w:rsidRPr="00E57EBB">
              <w:t>135.5 to 191.0</w:t>
            </w:r>
          </w:p>
        </w:tc>
        <w:tc>
          <w:tcPr>
            <w:tcW w:w="0" w:type="pct"/>
            <w:shd w:val="clear" w:color="auto" w:fill="auto"/>
            <w:vAlign w:val="center"/>
          </w:tcPr>
          <w:p w14:paraId="211286CB" w14:textId="290FD10F" w:rsidR="00E025C1" w:rsidRPr="005A6966" w:rsidRDefault="00732BC3" w:rsidP="00EC2B8E">
            <w:pPr>
              <w:pStyle w:val="TableBody"/>
              <w:rPr>
                <w:highlight w:val="yellow"/>
                <w:lang w:eastAsia="en-AU"/>
              </w:rPr>
            </w:pPr>
            <w:r w:rsidRPr="00B46342">
              <w:t>1,</w:t>
            </w:r>
            <w:r w:rsidR="00311274">
              <w:t>325.9</w:t>
            </w:r>
            <w:r w:rsidRPr="00B46342">
              <w:t xml:space="preserve"> to 1,</w:t>
            </w:r>
            <w:r w:rsidR="00434FDA">
              <w:t>866.0</w:t>
            </w:r>
          </w:p>
        </w:tc>
        <w:tc>
          <w:tcPr>
            <w:tcW w:w="0" w:type="pct"/>
            <w:shd w:val="clear" w:color="auto" w:fill="auto"/>
            <w:vAlign w:val="center"/>
          </w:tcPr>
          <w:p w14:paraId="5EC9CF8B" w14:textId="5ED402D7" w:rsidR="00E025C1" w:rsidRPr="00E9705C" w:rsidRDefault="00E025C1" w:rsidP="00A44322">
            <w:pPr>
              <w:pStyle w:val="TableBody"/>
              <w:rPr>
                <w:lang w:eastAsia="en-AU"/>
              </w:rPr>
            </w:pPr>
            <w:r>
              <w:t>45.</w:t>
            </w:r>
            <w:r w:rsidR="001C4938">
              <w:t>8</w:t>
            </w:r>
            <w:r>
              <w:t>%</w:t>
            </w:r>
          </w:p>
        </w:tc>
      </w:tr>
      <w:tr w:rsidR="009E6DAB" w:rsidRPr="00E9705C" w14:paraId="3B388AB3" w14:textId="77777777" w:rsidTr="00CE4B35">
        <w:trPr>
          <w:trHeight w:val="397"/>
        </w:trPr>
        <w:tc>
          <w:tcPr>
            <w:tcW w:w="0" w:type="pct"/>
            <w:shd w:val="clear" w:color="auto" w:fill="F2F2F2" w:themeFill="accent6"/>
            <w:hideMark/>
          </w:tcPr>
          <w:p w14:paraId="53D7963D" w14:textId="77777777" w:rsidR="00E025C1" w:rsidRPr="00D21B35" w:rsidRDefault="00E025C1" w:rsidP="00EC2B8E">
            <w:pPr>
              <w:pStyle w:val="TableBody"/>
              <w:rPr>
                <w:lang w:eastAsia="en-AU"/>
              </w:rPr>
            </w:pPr>
            <w:r w:rsidRPr="00D21B35">
              <w:t>Material risk</w:t>
            </w:r>
          </w:p>
        </w:tc>
        <w:tc>
          <w:tcPr>
            <w:tcW w:w="0" w:type="pct"/>
            <w:shd w:val="clear" w:color="auto" w:fill="auto"/>
            <w:vAlign w:val="center"/>
          </w:tcPr>
          <w:p w14:paraId="10AB7C01" w14:textId="25811802" w:rsidR="00E025C1" w:rsidRPr="00D40242" w:rsidRDefault="00C6005E" w:rsidP="00EC2B8E">
            <w:pPr>
              <w:pStyle w:val="TableBody"/>
            </w:pPr>
            <w:r w:rsidRPr="00CE4B35">
              <w:t>7.9 to 0.0</w:t>
            </w:r>
          </w:p>
        </w:tc>
        <w:tc>
          <w:tcPr>
            <w:tcW w:w="0" w:type="pct"/>
            <w:shd w:val="clear" w:color="auto" w:fill="auto"/>
            <w:vAlign w:val="center"/>
          </w:tcPr>
          <w:p w14:paraId="1DC0DDAD" w14:textId="074E8424" w:rsidR="00E025C1" w:rsidRPr="00E9705C" w:rsidRDefault="00C6005E" w:rsidP="00EC2B8E">
            <w:pPr>
              <w:pStyle w:val="TableBody"/>
              <w:rPr>
                <w:lang w:eastAsia="en-AU"/>
              </w:rPr>
            </w:pPr>
            <w:r w:rsidRPr="00E57EBB">
              <w:t>18.9 to 0.0</w:t>
            </w:r>
          </w:p>
        </w:tc>
        <w:tc>
          <w:tcPr>
            <w:tcW w:w="0" w:type="pct"/>
            <w:shd w:val="clear" w:color="auto" w:fill="auto"/>
            <w:vAlign w:val="center"/>
          </w:tcPr>
          <w:p w14:paraId="0B04E8E1" w14:textId="525B3E5E" w:rsidR="00E025C1" w:rsidRPr="005A6966" w:rsidRDefault="00E025C1" w:rsidP="00EC2B8E">
            <w:pPr>
              <w:pStyle w:val="TableBody"/>
              <w:rPr>
                <w:highlight w:val="yellow"/>
                <w:lang w:eastAsia="en-AU"/>
              </w:rPr>
            </w:pPr>
            <w:r w:rsidRPr="00B46342">
              <w:t>18</w:t>
            </w:r>
            <w:r w:rsidR="00311274">
              <w:t>7.8</w:t>
            </w:r>
            <w:r w:rsidR="00732BC3" w:rsidRPr="00B46342">
              <w:t xml:space="preserve"> to </w:t>
            </w:r>
            <w:r w:rsidR="00434FDA">
              <w:t>223.5</w:t>
            </w:r>
          </w:p>
        </w:tc>
        <w:tc>
          <w:tcPr>
            <w:tcW w:w="0" w:type="pct"/>
            <w:shd w:val="clear" w:color="auto" w:fill="auto"/>
            <w:vAlign w:val="center"/>
          </w:tcPr>
          <w:p w14:paraId="5666A799" w14:textId="11747504" w:rsidR="00E025C1" w:rsidRPr="00E9705C" w:rsidRDefault="00E025C1" w:rsidP="00A44322">
            <w:pPr>
              <w:pStyle w:val="TableBody"/>
              <w:rPr>
                <w:lang w:eastAsia="en-AU"/>
              </w:rPr>
            </w:pPr>
            <w:r>
              <w:t>6.</w:t>
            </w:r>
            <w:r w:rsidR="00476D19">
              <w:t>5</w:t>
            </w:r>
            <w:r>
              <w:t>%</w:t>
            </w:r>
          </w:p>
        </w:tc>
      </w:tr>
      <w:tr w:rsidR="00FC3D85" w:rsidRPr="00E9705C" w14:paraId="4A55B1FB" w14:textId="77777777" w:rsidTr="00EC2B8E">
        <w:trPr>
          <w:trHeight w:val="397"/>
        </w:trPr>
        <w:tc>
          <w:tcPr>
            <w:tcW w:w="1541" w:type="pct"/>
            <w:shd w:val="clear" w:color="auto" w:fill="034EA2" w:themeFill="accent1"/>
            <w:hideMark/>
          </w:tcPr>
          <w:p w14:paraId="032DC102" w14:textId="77777777" w:rsidR="00E025C1" w:rsidRPr="00D21B35" w:rsidRDefault="00E025C1" w:rsidP="00EC2B8E">
            <w:pPr>
              <w:pStyle w:val="TableHeading"/>
              <w:rPr>
                <w:lang w:eastAsia="en-AU"/>
              </w:rPr>
            </w:pPr>
            <w:r w:rsidRPr="00D21B35">
              <w:rPr>
                <w:lang w:eastAsia="en-AU"/>
              </w:rPr>
              <w:t>Total critical data processing or storage assets</w:t>
            </w:r>
          </w:p>
        </w:tc>
        <w:tc>
          <w:tcPr>
            <w:tcW w:w="818" w:type="pct"/>
            <w:shd w:val="clear" w:color="auto" w:fill="034EA2" w:themeFill="accent1"/>
            <w:vAlign w:val="center"/>
          </w:tcPr>
          <w:p w14:paraId="0D522440" w14:textId="649098F0" w:rsidR="00E025C1" w:rsidRPr="00EC2B8E" w:rsidRDefault="00E025C1" w:rsidP="00EC2B8E">
            <w:pPr>
              <w:pStyle w:val="TableHeading"/>
            </w:pPr>
            <w:r w:rsidRPr="00EC2B8E">
              <w:t>11</w:t>
            </w:r>
            <w:r w:rsidR="0086635D">
              <w:t>6.6</w:t>
            </w:r>
            <w:r w:rsidRPr="00EC2B8E">
              <w:t xml:space="preserve"> to </w:t>
            </w:r>
            <w:r w:rsidR="00732BC3" w:rsidRPr="00EC2B8E">
              <w:t>1</w:t>
            </w:r>
            <w:r w:rsidR="00FB5B64" w:rsidRPr="00EC2B8E">
              <w:t>5</w:t>
            </w:r>
            <w:r w:rsidR="0086635D">
              <w:t>0.1</w:t>
            </w:r>
          </w:p>
        </w:tc>
        <w:tc>
          <w:tcPr>
            <w:tcW w:w="881" w:type="pct"/>
            <w:shd w:val="clear" w:color="auto" w:fill="034EA2" w:themeFill="accent1"/>
            <w:vAlign w:val="center"/>
          </w:tcPr>
          <w:p w14:paraId="23455969" w14:textId="4E979671" w:rsidR="00E025C1" w:rsidRPr="00EC2B8E" w:rsidRDefault="00E025C1" w:rsidP="00EC2B8E">
            <w:pPr>
              <w:pStyle w:val="TableHeading"/>
            </w:pPr>
            <w:r w:rsidRPr="00EC2B8E">
              <w:t>2</w:t>
            </w:r>
            <w:r w:rsidR="00C6005E">
              <w:t>96.9</w:t>
            </w:r>
            <w:r w:rsidRPr="00EC2B8E">
              <w:t xml:space="preserve"> to </w:t>
            </w:r>
            <w:r w:rsidR="00C6005E">
              <w:t>402.3</w:t>
            </w:r>
          </w:p>
        </w:tc>
        <w:tc>
          <w:tcPr>
            <w:tcW w:w="880" w:type="pct"/>
            <w:shd w:val="clear" w:color="auto" w:fill="034EA2" w:themeFill="accent1"/>
            <w:vAlign w:val="center"/>
          </w:tcPr>
          <w:p w14:paraId="3683D76B" w14:textId="1713C52B" w:rsidR="00E025C1" w:rsidRPr="00EC2B8E" w:rsidRDefault="00732BC3" w:rsidP="00EC2B8E">
            <w:pPr>
              <w:pStyle w:val="TableHeading"/>
            </w:pPr>
            <w:r w:rsidRPr="00EC2B8E">
              <w:t>2,</w:t>
            </w:r>
            <w:r w:rsidR="00311274">
              <w:t>895</w:t>
            </w:r>
            <w:r w:rsidRPr="00EC2B8E">
              <w:t>.</w:t>
            </w:r>
            <w:r w:rsidR="00311274">
              <w:t>7</w:t>
            </w:r>
            <w:r w:rsidR="00311274" w:rsidRPr="00EC2B8E">
              <w:t xml:space="preserve"> </w:t>
            </w:r>
            <w:r w:rsidRPr="00EC2B8E">
              <w:t xml:space="preserve">to </w:t>
            </w:r>
            <w:r w:rsidR="00434FDA">
              <w:t>4,13</w:t>
            </w:r>
            <w:r w:rsidR="001C4938">
              <w:t>6.2</w:t>
            </w:r>
          </w:p>
        </w:tc>
        <w:tc>
          <w:tcPr>
            <w:tcW w:w="880" w:type="pct"/>
            <w:shd w:val="clear" w:color="auto" w:fill="034EA2" w:themeFill="accent1"/>
            <w:vAlign w:val="center"/>
          </w:tcPr>
          <w:p w14:paraId="7AEBFCFF" w14:textId="77777777" w:rsidR="00E025C1" w:rsidRPr="00EC2B8E" w:rsidRDefault="00E025C1" w:rsidP="00EC2B8E">
            <w:pPr>
              <w:pStyle w:val="TableHeading"/>
            </w:pPr>
            <w:r w:rsidRPr="00EC2B8E">
              <w:t>100.0%</w:t>
            </w:r>
          </w:p>
        </w:tc>
      </w:tr>
    </w:tbl>
    <w:p w14:paraId="298EF107" w14:textId="27428744" w:rsidR="008D26FB" w:rsidRPr="00827F58" w:rsidRDefault="008D26FB" w:rsidP="00006ADD">
      <w:pPr>
        <w:pStyle w:val="BodyText"/>
        <w:spacing w:before="240"/>
      </w:pPr>
      <w:r w:rsidRPr="00827F58">
        <w:t>The industry submissions also indicated the type of expenditure expected to be incurred. The allocation of cost between labour effort, capital and operating costs is provided i</w:t>
      </w:r>
      <w:r>
        <w:t xml:space="preserve">n </w:t>
      </w:r>
      <w:r w:rsidR="00D767DE">
        <w:t>the table below</w:t>
      </w:r>
      <w:r>
        <w:t>.</w:t>
      </w:r>
      <w:r w:rsidR="00D767DE">
        <w:t xml:space="preserve"> </w:t>
      </w:r>
      <w:r w:rsidRPr="00827F58">
        <w:t xml:space="preserve">The </w:t>
      </w:r>
      <w:r w:rsidRPr="00A44322">
        <w:t>analysis shows that</w:t>
      </w:r>
      <w:r w:rsidRPr="007D243C">
        <w:t xml:space="preserve"> </w:t>
      </w:r>
      <w:r w:rsidR="00264A77" w:rsidRPr="00721938">
        <w:t>3</w:t>
      </w:r>
      <w:r w:rsidR="00223D10" w:rsidRPr="00CE4B35">
        <w:t>6.4</w:t>
      </w:r>
      <w:r w:rsidRPr="00A44322">
        <w:t xml:space="preserve">% </w:t>
      </w:r>
      <w:r w:rsidRPr="007D243C">
        <w:t xml:space="preserve">of one-off costs </w:t>
      </w:r>
      <w:r w:rsidRPr="00721938">
        <w:t xml:space="preserve">and </w:t>
      </w:r>
      <w:r w:rsidR="00264A77" w:rsidRPr="00721938">
        <w:t>0.9</w:t>
      </w:r>
      <w:r w:rsidRPr="00721938">
        <w:t xml:space="preserve">% of ongoing costs are expected to be invested in capital. A relatively </w:t>
      </w:r>
      <w:r w:rsidR="00264A77" w:rsidRPr="00721938">
        <w:t xml:space="preserve">large </w:t>
      </w:r>
      <w:r w:rsidRPr="00721938">
        <w:t>share of costs are associated with labour effort (</w:t>
      </w:r>
      <w:r w:rsidR="0021240C" w:rsidRPr="00CE4B35">
        <w:t>31.0</w:t>
      </w:r>
      <w:r w:rsidRPr="00A44322">
        <w:t>%</w:t>
      </w:r>
      <w:r w:rsidRPr="007D243C">
        <w:t xml:space="preserve"> of one-</w:t>
      </w:r>
      <w:r w:rsidRPr="007D243C">
        <w:lastRenderedPageBreak/>
        <w:t xml:space="preserve">off costs </w:t>
      </w:r>
      <w:r w:rsidRPr="00721938">
        <w:t xml:space="preserve">and </w:t>
      </w:r>
      <w:r w:rsidR="00264A77" w:rsidRPr="00721938">
        <w:t>8</w:t>
      </w:r>
      <w:r w:rsidR="00EB0DB6" w:rsidRPr="00CE4B35">
        <w:t>5.0</w:t>
      </w:r>
      <w:r w:rsidRPr="00A44322">
        <w:t xml:space="preserve">% </w:t>
      </w:r>
      <w:r w:rsidRPr="007D243C">
        <w:t xml:space="preserve">of ongoing costs) with operating costs </w:t>
      </w:r>
      <w:r w:rsidR="001053AA" w:rsidRPr="00721938">
        <w:t xml:space="preserve">accounting for </w:t>
      </w:r>
      <w:r w:rsidR="002B5989" w:rsidRPr="00CE4B35">
        <w:t>32.6</w:t>
      </w:r>
      <w:r w:rsidR="001053AA" w:rsidRPr="00A44322">
        <w:t xml:space="preserve">% </w:t>
      </w:r>
      <w:r w:rsidR="001053AA" w:rsidRPr="007D243C">
        <w:t>of on</w:t>
      </w:r>
      <w:r w:rsidR="00130ECB" w:rsidRPr="00721938">
        <w:t>e</w:t>
      </w:r>
      <w:r w:rsidR="001053AA" w:rsidRPr="00721938">
        <w:t xml:space="preserve">-off costs and </w:t>
      </w:r>
      <w:r w:rsidR="002B5989" w:rsidRPr="00721938">
        <w:t>1</w:t>
      </w:r>
      <w:r w:rsidR="002B5989" w:rsidRPr="00CE4B35">
        <w:t>4</w:t>
      </w:r>
      <w:r w:rsidR="001053AA" w:rsidRPr="00A44322">
        <w:t xml:space="preserve">.2% </w:t>
      </w:r>
      <w:r w:rsidR="001053AA" w:rsidRPr="007D243C">
        <w:t>of ongoing costs.</w:t>
      </w:r>
      <w:r w:rsidR="001053AA">
        <w:t xml:space="preserve"> </w:t>
      </w:r>
    </w:p>
    <w:p w14:paraId="6BC157F5" w14:textId="77777777" w:rsidR="008D26FB" w:rsidRPr="00F57A71" w:rsidRDefault="008D26FB" w:rsidP="009461D3">
      <w:pPr>
        <w:pStyle w:val="Caption"/>
        <w:rPr>
          <w:sz w:val="22"/>
        </w:rPr>
      </w:pPr>
      <w:r w:rsidRPr="00827F58">
        <w:t xml:space="preserve">Expected one-off and ongoing costs by cost type for critical </w:t>
      </w:r>
      <w:r w:rsidR="00CC69BD">
        <w:t>data processing or storage</w:t>
      </w:r>
      <w:r w:rsidRPr="00827F58">
        <w:t xml:space="preserve"> assets nationally</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830"/>
        <w:gridCol w:w="1702"/>
        <w:gridCol w:w="1702"/>
        <w:gridCol w:w="1702"/>
        <w:gridCol w:w="1702"/>
      </w:tblGrid>
      <w:tr w:rsidR="008D26FB" w:rsidRPr="00310070" w14:paraId="0DC46261" w14:textId="77777777" w:rsidTr="00EC2B8E">
        <w:trPr>
          <w:trHeight w:val="601"/>
        </w:trPr>
        <w:tc>
          <w:tcPr>
            <w:tcW w:w="1468" w:type="pct"/>
            <w:vMerge w:val="restart"/>
            <w:shd w:val="clear" w:color="auto" w:fill="034EA2" w:themeFill="accent1"/>
            <w:vAlign w:val="center"/>
            <w:hideMark/>
          </w:tcPr>
          <w:p w14:paraId="7358379B" w14:textId="77777777" w:rsidR="008D26FB" w:rsidRPr="00310070" w:rsidRDefault="008D26FB" w:rsidP="00EC2B8E">
            <w:pPr>
              <w:pStyle w:val="TableHeading"/>
              <w:rPr>
                <w:rFonts w:asciiTheme="minorHAnsi" w:hAnsiTheme="minorHAnsi" w:cstheme="minorHAnsi"/>
                <w:lang w:eastAsia="en-AU"/>
              </w:rPr>
            </w:pPr>
            <w:r w:rsidRPr="00310070">
              <w:rPr>
                <w:rFonts w:asciiTheme="minorHAnsi" w:hAnsiTheme="minorHAnsi" w:cstheme="minorHAnsi"/>
                <w:lang w:eastAsia="en-AU"/>
              </w:rPr>
              <w:t>Cost Type</w:t>
            </w:r>
          </w:p>
        </w:tc>
        <w:tc>
          <w:tcPr>
            <w:tcW w:w="3532" w:type="pct"/>
            <w:gridSpan w:val="4"/>
            <w:shd w:val="clear" w:color="auto" w:fill="034EA2" w:themeFill="accent1"/>
            <w:vAlign w:val="center"/>
            <w:hideMark/>
          </w:tcPr>
          <w:p w14:paraId="1A5A1AD7" w14:textId="77777777" w:rsidR="008D26FB" w:rsidRPr="00310070" w:rsidRDefault="008D26FB" w:rsidP="00EC2B8E">
            <w:pPr>
              <w:pStyle w:val="TableHeading"/>
              <w:rPr>
                <w:rFonts w:asciiTheme="minorHAnsi" w:hAnsiTheme="minorHAnsi" w:cstheme="minorHAnsi"/>
                <w:lang w:eastAsia="en-AU"/>
              </w:rPr>
            </w:pPr>
            <w:r w:rsidRPr="00310070">
              <w:rPr>
                <w:rFonts w:asciiTheme="minorHAnsi" w:hAnsiTheme="minorHAnsi" w:cstheme="minorHAnsi"/>
                <w:lang w:eastAsia="en-AU"/>
              </w:rPr>
              <w:t xml:space="preserve">Costs </w:t>
            </w:r>
          </w:p>
        </w:tc>
      </w:tr>
      <w:tr w:rsidR="00340241" w:rsidRPr="00310070" w14:paraId="2FA525A1" w14:textId="77777777" w:rsidTr="00EC2B8E">
        <w:trPr>
          <w:trHeight w:val="601"/>
        </w:trPr>
        <w:tc>
          <w:tcPr>
            <w:tcW w:w="1468" w:type="pct"/>
            <w:vMerge/>
            <w:shd w:val="clear" w:color="auto" w:fill="007BC3" w:themeFill="accent2"/>
            <w:vAlign w:val="center"/>
            <w:hideMark/>
          </w:tcPr>
          <w:p w14:paraId="41FEE686" w14:textId="77777777" w:rsidR="008D26FB" w:rsidRPr="00310070" w:rsidRDefault="008D26FB" w:rsidP="00972D9C">
            <w:pPr>
              <w:rPr>
                <w:rFonts w:asciiTheme="minorHAnsi" w:hAnsiTheme="minorHAnsi" w:cstheme="minorHAnsi"/>
                <w:color w:val="FFFFFF"/>
                <w:sz w:val="22"/>
                <w:lang w:eastAsia="en-AU"/>
              </w:rPr>
            </w:pPr>
          </w:p>
        </w:tc>
        <w:tc>
          <w:tcPr>
            <w:tcW w:w="883" w:type="pct"/>
            <w:shd w:val="clear" w:color="auto" w:fill="DEEAF6"/>
            <w:vAlign w:val="center"/>
            <w:hideMark/>
          </w:tcPr>
          <w:p w14:paraId="6ADE80DD" w14:textId="77777777" w:rsidR="008D26FB" w:rsidRPr="00310070" w:rsidRDefault="008D26FB" w:rsidP="00EC2B8E">
            <w:pPr>
              <w:pStyle w:val="TableBody"/>
              <w:rPr>
                <w:rFonts w:asciiTheme="minorHAnsi" w:hAnsiTheme="minorHAnsi" w:cstheme="minorHAnsi"/>
                <w:lang w:eastAsia="en-AU"/>
              </w:rPr>
            </w:pPr>
            <w:r w:rsidRPr="00310070">
              <w:rPr>
                <w:rFonts w:asciiTheme="minorHAnsi" w:hAnsiTheme="minorHAnsi" w:cstheme="minorHAnsi"/>
                <w:lang w:eastAsia="en-AU"/>
              </w:rPr>
              <w:t>One-off ($ million)</w:t>
            </w:r>
          </w:p>
        </w:tc>
        <w:tc>
          <w:tcPr>
            <w:tcW w:w="883" w:type="pct"/>
            <w:shd w:val="clear" w:color="auto" w:fill="DEEAF6"/>
            <w:vAlign w:val="center"/>
            <w:hideMark/>
          </w:tcPr>
          <w:p w14:paraId="7502847C" w14:textId="77777777" w:rsidR="008D26FB" w:rsidRPr="00310070" w:rsidRDefault="008D26FB" w:rsidP="00EC2B8E">
            <w:pPr>
              <w:pStyle w:val="TableBody"/>
              <w:rPr>
                <w:rFonts w:asciiTheme="minorHAnsi" w:hAnsiTheme="minorHAnsi" w:cstheme="minorHAnsi"/>
                <w:lang w:eastAsia="en-AU"/>
              </w:rPr>
            </w:pPr>
            <w:r w:rsidRPr="00310070">
              <w:rPr>
                <w:rFonts w:asciiTheme="minorHAnsi" w:hAnsiTheme="minorHAnsi" w:cstheme="minorHAnsi"/>
                <w:lang w:eastAsia="en-AU"/>
              </w:rPr>
              <w:t>One-off</w:t>
            </w:r>
            <w:r w:rsidRPr="00310070">
              <w:rPr>
                <w:rFonts w:asciiTheme="minorHAnsi" w:hAnsiTheme="minorHAnsi" w:cstheme="minorHAnsi"/>
                <w:lang w:eastAsia="en-AU"/>
              </w:rPr>
              <w:br/>
              <w:t>(%)</w:t>
            </w:r>
          </w:p>
        </w:tc>
        <w:tc>
          <w:tcPr>
            <w:tcW w:w="883" w:type="pct"/>
            <w:shd w:val="clear" w:color="auto" w:fill="DEEAF6"/>
            <w:vAlign w:val="center"/>
            <w:hideMark/>
          </w:tcPr>
          <w:p w14:paraId="7CA17FF4" w14:textId="77777777" w:rsidR="008D26FB" w:rsidRPr="00310070" w:rsidRDefault="008D26FB" w:rsidP="00EC2B8E">
            <w:pPr>
              <w:pStyle w:val="TableBody"/>
              <w:rPr>
                <w:rFonts w:asciiTheme="minorHAnsi" w:hAnsiTheme="minorHAnsi" w:cstheme="minorHAnsi"/>
                <w:lang w:eastAsia="en-AU"/>
              </w:rPr>
            </w:pPr>
            <w:r w:rsidRPr="00310070">
              <w:rPr>
                <w:rFonts w:asciiTheme="minorHAnsi" w:hAnsiTheme="minorHAnsi" w:cstheme="minorHAnsi"/>
                <w:lang w:eastAsia="en-AU"/>
              </w:rPr>
              <w:t>Ongoing</w:t>
            </w:r>
            <w:r w:rsidRPr="00310070">
              <w:rPr>
                <w:rFonts w:asciiTheme="minorHAnsi" w:hAnsiTheme="minorHAnsi" w:cstheme="minorHAnsi"/>
                <w:lang w:eastAsia="en-AU"/>
              </w:rPr>
              <w:br/>
              <w:t>(per year)</w:t>
            </w:r>
          </w:p>
        </w:tc>
        <w:tc>
          <w:tcPr>
            <w:tcW w:w="883" w:type="pct"/>
            <w:shd w:val="clear" w:color="auto" w:fill="DEEAF6"/>
            <w:vAlign w:val="center"/>
            <w:hideMark/>
          </w:tcPr>
          <w:p w14:paraId="5AB6BE08" w14:textId="77777777" w:rsidR="008D26FB" w:rsidRPr="00310070" w:rsidRDefault="008D26FB" w:rsidP="00EC2B8E">
            <w:pPr>
              <w:pStyle w:val="TableBody"/>
              <w:rPr>
                <w:rFonts w:asciiTheme="minorHAnsi" w:hAnsiTheme="minorHAnsi" w:cstheme="minorHAnsi"/>
                <w:lang w:eastAsia="en-AU"/>
              </w:rPr>
            </w:pPr>
            <w:r w:rsidRPr="00310070">
              <w:rPr>
                <w:rFonts w:asciiTheme="minorHAnsi" w:hAnsiTheme="minorHAnsi" w:cstheme="minorHAnsi"/>
                <w:lang w:eastAsia="en-AU"/>
              </w:rPr>
              <w:t>Ongoing</w:t>
            </w:r>
            <w:r w:rsidRPr="00310070">
              <w:rPr>
                <w:rFonts w:asciiTheme="minorHAnsi" w:hAnsiTheme="minorHAnsi" w:cstheme="minorHAnsi"/>
                <w:lang w:eastAsia="en-AU"/>
              </w:rPr>
              <w:br/>
              <w:t>(%)</w:t>
            </w:r>
          </w:p>
        </w:tc>
      </w:tr>
      <w:tr w:rsidR="00CC69BD" w:rsidRPr="00310070" w14:paraId="0F218407" w14:textId="77777777" w:rsidTr="00EC2B8E">
        <w:trPr>
          <w:trHeight w:val="331"/>
        </w:trPr>
        <w:tc>
          <w:tcPr>
            <w:tcW w:w="1468" w:type="pct"/>
            <w:shd w:val="clear" w:color="auto" w:fill="F2F2F2" w:themeFill="background1" w:themeFillShade="F2"/>
            <w:vAlign w:val="center"/>
            <w:hideMark/>
          </w:tcPr>
          <w:p w14:paraId="6DA15A77" w14:textId="77777777"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lang w:eastAsia="en-AU"/>
              </w:rPr>
              <w:t>Labour effort</w:t>
            </w:r>
          </w:p>
        </w:tc>
        <w:tc>
          <w:tcPr>
            <w:tcW w:w="883" w:type="pct"/>
            <w:shd w:val="clear" w:color="auto" w:fill="auto"/>
            <w:vAlign w:val="center"/>
          </w:tcPr>
          <w:p w14:paraId="62188449" w14:textId="3E4C0297" w:rsidR="00CC69BD" w:rsidRPr="00310070" w:rsidRDefault="00CC69BD" w:rsidP="00EC2B8E">
            <w:pPr>
              <w:pStyle w:val="TableBody"/>
              <w:rPr>
                <w:rFonts w:asciiTheme="minorHAnsi" w:hAnsiTheme="minorHAnsi" w:cstheme="minorHAnsi"/>
                <w:highlight w:val="yellow"/>
                <w:lang w:eastAsia="en-AU"/>
              </w:rPr>
            </w:pPr>
            <w:r w:rsidRPr="00310070">
              <w:rPr>
                <w:rFonts w:asciiTheme="minorHAnsi" w:hAnsiTheme="minorHAnsi" w:cstheme="minorHAnsi"/>
              </w:rPr>
              <w:t>3</w:t>
            </w:r>
            <w:r w:rsidR="00126BB6">
              <w:rPr>
                <w:rFonts w:asciiTheme="minorHAnsi" w:hAnsiTheme="minorHAnsi" w:cstheme="minorHAnsi"/>
              </w:rPr>
              <w:t>6.2</w:t>
            </w:r>
          </w:p>
        </w:tc>
        <w:tc>
          <w:tcPr>
            <w:tcW w:w="883" w:type="pct"/>
            <w:shd w:val="clear" w:color="auto" w:fill="auto"/>
            <w:vAlign w:val="center"/>
          </w:tcPr>
          <w:p w14:paraId="6197C480" w14:textId="050C1EE5" w:rsidR="00CC69BD" w:rsidRPr="00310070" w:rsidRDefault="007F240E" w:rsidP="00EC2B8E">
            <w:pPr>
              <w:pStyle w:val="TableBody"/>
              <w:rPr>
                <w:rFonts w:asciiTheme="minorHAnsi" w:hAnsiTheme="minorHAnsi" w:cstheme="minorHAnsi"/>
                <w:lang w:eastAsia="en-AU"/>
              </w:rPr>
            </w:pPr>
            <w:r>
              <w:rPr>
                <w:rFonts w:asciiTheme="minorHAnsi" w:hAnsiTheme="minorHAnsi" w:cstheme="minorHAnsi"/>
              </w:rPr>
              <w:t>31.0</w:t>
            </w:r>
            <w:r w:rsidR="00CC69BD" w:rsidRPr="00310070">
              <w:rPr>
                <w:rFonts w:asciiTheme="minorHAnsi" w:hAnsiTheme="minorHAnsi" w:cstheme="minorHAnsi"/>
              </w:rPr>
              <w:t>%</w:t>
            </w:r>
          </w:p>
        </w:tc>
        <w:tc>
          <w:tcPr>
            <w:tcW w:w="883" w:type="pct"/>
            <w:shd w:val="clear" w:color="auto" w:fill="auto"/>
            <w:vAlign w:val="center"/>
          </w:tcPr>
          <w:p w14:paraId="165A567E" w14:textId="4014F873"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rPr>
              <w:t>2</w:t>
            </w:r>
            <w:r w:rsidR="002B5989">
              <w:rPr>
                <w:rFonts w:asciiTheme="minorHAnsi" w:hAnsiTheme="minorHAnsi" w:cstheme="minorHAnsi"/>
              </w:rPr>
              <w:t>5</w:t>
            </w:r>
            <w:r w:rsidR="00CB1C27">
              <w:rPr>
                <w:rFonts w:asciiTheme="minorHAnsi" w:hAnsiTheme="minorHAnsi" w:cstheme="minorHAnsi"/>
              </w:rPr>
              <w:t>2.</w:t>
            </w:r>
            <w:r w:rsidR="00C83702">
              <w:rPr>
                <w:rFonts w:asciiTheme="minorHAnsi" w:hAnsiTheme="minorHAnsi" w:cstheme="minorHAnsi"/>
              </w:rPr>
              <w:t>3</w:t>
            </w:r>
          </w:p>
        </w:tc>
        <w:tc>
          <w:tcPr>
            <w:tcW w:w="883" w:type="pct"/>
            <w:shd w:val="clear" w:color="auto" w:fill="auto"/>
            <w:vAlign w:val="center"/>
          </w:tcPr>
          <w:p w14:paraId="22B4DA25" w14:textId="7F8C2811"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rPr>
              <w:t>8</w:t>
            </w:r>
            <w:r w:rsidR="00CB1C27">
              <w:rPr>
                <w:rFonts w:asciiTheme="minorHAnsi" w:hAnsiTheme="minorHAnsi" w:cstheme="minorHAnsi"/>
              </w:rPr>
              <w:t>5.0</w:t>
            </w:r>
            <w:r w:rsidRPr="00310070">
              <w:rPr>
                <w:rFonts w:asciiTheme="minorHAnsi" w:hAnsiTheme="minorHAnsi" w:cstheme="minorHAnsi"/>
              </w:rPr>
              <w:t>%</w:t>
            </w:r>
          </w:p>
        </w:tc>
      </w:tr>
      <w:tr w:rsidR="00CC69BD" w:rsidRPr="00310070" w14:paraId="59986695" w14:textId="77777777" w:rsidTr="00EC2B8E">
        <w:trPr>
          <w:trHeight w:val="265"/>
        </w:trPr>
        <w:tc>
          <w:tcPr>
            <w:tcW w:w="1468" w:type="pct"/>
            <w:shd w:val="clear" w:color="auto" w:fill="F2F2F2" w:themeFill="background1" w:themeFillShade="F2"/>
            <w:vAlign w:val="center"/>
            <w:hideMark/>
          </w:tcPr>
          <w:p w14:paraId="13D2B811" w14:textId="77777777"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lang w:eastAsia="en-AU"/>
              </w:rPr>
              <w:t>Capital</w:t>
            </w:r>
          </w:p>
        </w:tc>
        <w:tc>
          <w:tcPr>
            <w:tcW w:w="883" w:type="pct"/>
            <w:shd w:val="clear" w:color="auto" w:fill="auto"/>
            <w:vAlign w:val="center"/>
          </w:tcPr>
          <w:p w14:paraId="15EC2E82" w14:textId="77777777" w:rsidR="00CC69BD" w:rsidRPr="00310070" w:rsidRDefault="00CC69BD" w:rsidP="00EC2B8E">
            <w:pPr>
              <w:pStyle w:val="TableBody"/>
              <w:rPr>
                <w:rFonts w:asciiTheme="minorHAnsi" w:hAnsiTheme="minorHAnsi" w:cstheme="minorHAnsi"/>
                <w:highlight w:val="yellow"/>
                <w:lang w:eastAsia="en-AU"/>
              </w:rPr>
            </w:pPr>
            <w:r w:rsidRPr="00310070">
              <w:rPr>
                <w:rFonts w:asciiTheme="minorHAnsi" w:hAnsiTheme="minorHAnsi" w:cstheme="minorHAnsi"/>
              </w:rPr>
              <w:t>42.5</w:t>
            </w:r>
          </w:p>
        </w:tc>
        <w:tc>
          <w:tcPr>
            <w:tcW w:w="883" w:type="pct"/>
            <w:shd w:val="clear" w:color="auto" w:fill="auto"/>
            <w:vAlign w:val="center"/>
          </w:tcPr>
          <w:p w14:paraId="20C0EBE6" w14:textId="3EEA21A4"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rPr>
              <w:t>3</w:t>
            </w:r>
            <w:r w:rsidR="007F240E">
              <w:rPr>
                <w:rFonts w:asciiTheme="minorHAnsi" w:hAnsiTheme="minorHAnsi" w:cstheme="minorHAnsi"/>
              </w:rPr>
              <w:t>6.4</w:t>
            </w:r>
            <w:r w:rsidRPr="00310070">
              <w:rPr>
                <w:rFonts w:asciiTheme="minorHAnsi" w:hAnsiTheme="minorHAnsi" w:cstheme="minorHAnsi"/>
              </w:rPr>
              <w:t>%</w:t>
            </w:r>
          </w:p>
        </w:tc>
        <w:tc>
          <w:tcPr>
            <w:tcW w:w="883" w:type="pct"/>
            <w:shd w:val="clear" w:color="auto" w:fill="auto"/>
            <w:vAlign w:val="center"/>
          </w:tcPr>
          <w:p w14:paraId="242692A6" w14:textId="77777777"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rPr>
              <w:t>2.5</w:t>
            </w:r>
          </w:p>
        </w:tc>
        <w:tc>
          <w:tcPr>
            <w:tcW w:w="883" w:type="pct"/>
            <w:shd w:val="clear" w:color="auto" w:fill="auto"/>
            <w:vAlign w:val="center"/>
          </w:tcPr>
          <w:p w14:paraId="76D4B7B4" w14:textId="77777777"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rPr>
              <w:t>0.9%</w:t>
            </w:r>
          </w:p>
        </w:tc>
      </w:tr>
      <w:tr w:rsidR="00CC69BD" w:rsidRPr="00310070" w14:paraId="1541A536" w14:textId="77777777" w:rsidTr="00EC2B8E">
        <w:trPr>
          <w:trHeight w:val="283"/>
        </w:trPr>
        <w:tc>
          <w:tcPr>
            <w:tcW w:w="1468" w:type="pct"/>
            <w:shd w:val="clear" w:color="auto" w:fill="F2F2F2" w:themeFill="background1" w:themeFillShade="F2"/>
            <w:vAlign w:val="center"/>
            <w:hideMark/>
          </w:tcPr>
          <w:p w14:paraId="46A43513" w14:textId="77777777"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lang w:eastAsia="en-AU"/>
              </w:rPr>
              <w:t>Operating</w:t>
            </w:r>
          </w:p>
        </w:tc>
        <w:tc>
          <w:tcPr>
            <w:tcW w:w="883" w:type="pct"/>
            <w:shd w:val="clear" w:color="auto" w:fill="auto"/>
            <w:vAlign w:val="center"/>
          </w:tcPr>
          <w:p w14:paraId="2494F6AA" w14:textId="77777777" w:rsidR="00CC69BD" w:rsidRPr="00310070" w:rsidRDefault="00CC69BD" w:rsidP="00EC2B8E">
            <w:pPr>
              <w:pStyle w:val="TableBody"/>
              <w:rPr>
                <w:rFonts w:asciiTheme="minorHAnsi" w:hAnsiTheme="minorHAnsi" w:cstheme="minorHAnsi"/>
                <w:highlight w:val="yellow"/>
                <w:lang w:eastAsia="en-AU"/>
              </w:rPr>
            </w:pPr>
            <w:r w:rsidRPr="00310070">
              <w:rPr>
                <w:rFonts w:asciiTheme="minorHAnsi" w:hAnsiTheme="minorHAnsi" w:cstheme="minorHAnsi"/>
              </w:rPr>
              <w:t>38.0</w:t>
            </w:r>
          </w:p>
        </w:tc>
        <w:tc>
          <w:tcPr>
            <w:tcW w:w="883" w:type="pct"/>
            <w:shd w:val="clear" w:color="auto" w:fill="auto"/>
            <w:vAlign w:val="center"/>
          </w:tcPr>
          <w:p w14:paraId="01C7ACA8" w14:textId="37196805"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rPr>
              <w:t>3</w:t>
            </w:r>
            <w:r w:rsidR="007F240E">
              <w:rPr>
                <w:rFonts w:asciiTheme="minorHAnsi" w:hAnsiTheme="minorHAnsi" w:cstheme="minorHAnsi"/>
              </w:rPr>
              <w:t>2.6</w:t>
            </w:r>
            <w:r w:rsidRPr="00310070">
              <w:rPr>
                <w:rFonts w:asciiTheme="minorHAnsi" w:hAnsiTheme="minorHAnsi" w:cstheme="minorHAnsi"/>
              </w:rPr>
              <w:t>%</w:t>
            </w:r>
          </w:p>
        </w:tc>
        <w:tc>
          <w:tcPr>
            <w:tcW w:w="883" w:type="pct"/>
            <w:shd w:val="clear" w:color="auto" w:fill="auto"/>
            <w:vAlign w:val="center"/>
          </w:tcPr>
          <w:p w14:paraId="643754CA" w14:textId="77777777" w:rsidR="00CC69BD" w:rsidRPr="00310070" w:rsidRDefault="00CC69BD" w:rsidP="00EC2B8E">
            <w:pPr>
              <w:pStyle w:val="TableBody"/>
              <w:rPr>
                <w:rFonts w:asciiTheme="minorHAnsi" w:hAnsiTheme="minorHAnsi" w:cstheme="minorHAnsi"/>
                <w:lang w:eastAsia="en-AU"/>
              </w:rPr>
            </w:pPr>
            <w:r w:rsidRPr="00310070">
              <w:rPr>
                <w:rFonts w:asciiTheme="minorHAnsi" w:hAnsiTheme="minorHAnsi" w:cstheme="minorHAnsi"/>
              </w:rPr>
              <w:t>42.1</w:t>
            </w:r>
          </w:p>
        </w:tc>
        <w:tc>
          <w:tcPr>
            <w:tcW w:w="883" w:type="pct"/>
            <w:shd w:val="clear" w:color="auto" w:fill="auto"/>
            <w:vAlign w:val="center"/>
          </w:tcPr>
          <w:p w14:paraId="39BCA639" w14:textId="64B860AE" w:rsidR="00CC69BD" w:rsidRPr="00310070" w:rsidRDefault="00CB1C27" w:rsidP="00EC2B8E">
            <w:pPr>
              <w:pStyle w:val="TableBody"/>
              <w:rPr>
                <w:rFonts w:asciiTheme="minorHAnsi" w:hAnsiTheme="minorHAnsi" w:cstheme="minorHAnsi"/>
                <w:lang w:eastAsia="en-AU"/>
              </w:rPr>
            </w:pPr>
            <w:r w:rsidRPr="00310070">
              <w:rPr>
                <w:rFonts w:asciiTheme="minorHAnsi" w:hAnsiTheme="minorHAnsi" w:cstheme="minorHAnsi"/>
              </w:rPr>
              <w:t>1</w:t>
            </w:r>
            <w:r>
              <w:rPr>
                <w:rFonts w:asciiTheme="minorHAnsi" w:hAnsiTheme="minorHAnsi" w:cstheme="minorHAnsi"/>
              </w:rPr>
              <w:t>4</w:t>
            </w:r>
            <w:r w:rsidR="00CC69BD" w:rsidRPr="00310070">
              <w:rPr>
                <w:rFonts w:asciiTheme="minorHAnsi" w:hAnsiTheme="minorHAnsi" w:cstheme="minorHAnsi"/>
              </w:rPr>
              <w:t>.2%</w:t>
            </w:r>
          </w:p>
        </w:tc>
      </w:tr>
      <w:tr w:rsidR="00CC69BD" w:rsidRPr="00310070" w14:paraId="5E9DB36B" w14:textId="77777777" w:rsidTr="00EC2B8E">
        <w:trPr>
          <w:trHeight w:val="297"/>
        </w:trPr>
        <w:tc>
          <w:tcPr>
            <w:tcW w:w="1468" w:type="pct"/>
            <w:shd w:val="clear" w:color="auto" w:fill="034EA2" w:themeFill="accent1"/>
            <w:vAlign w:val="center"/>
            <w:hideMark/>
          </w:tcPr>
          <w:p w14:paraId="126BCD8E" w14:textId="77777777" w:rsidR="00CC69BD" w:rsidRPr="00310070" w:rsidRDefault="00CC69BD" w:rsidP="00EC2B8E">
            <w:pPr>
              <w:pStyle w:val="TableHeading"/>
              <w:rPr>
                <w:rFonts w:asciiTheme="minorHAnsi" w:hAnsiTheme="minorHAnsi" w:cstheme="minorHAnsi"/>
              </w:rPr>
            </w:pPr>
            <w:r w:rsidRPr="00310070">
              <w:rPr>
                <w:rFonts w:asciiTheme="minorHAnsi" w:hAnsiTheme="minorHAnsi" w:cstheme="minorHAnsi"/>
              </w:rPr>
              <w:t>Total critical data processing or storage assets</w:t>
            </w:r>
          </w:p>
        </w:tc>
        <w:tc>
          <w:tcPr>
            <w:tcW w:w="883" w:type="pct"/>
            <w:shd w:val="clear" w:color="auto" w:fill="034EA2" w:themeFill="accent1"/>
            <w:vAlign w:val="center"/>
          </w:tcPr>
          <w:p w14:paraId="4CB97842" w14:textId="1061DD63" w:rsidR="00CC69BD" w:rsidRPr="00310070" w:rsidRDefault="005F50E7" w:rsidP="00EC2B8E">
            <w:pPr>
              <w:pStyle w:val="TableHeading"/>
              <w:rPr>
                <w:rFonts w:asciiTheme="minorHAnsi" w:hAnsiTheme="minorHAnsi" w:cstheme="minorHAnsi"/>
                <w:highlight w:val="yellow"/>
              </w:rPr>
            </w:pPr>
            <w:r w:rsidRPr="00310070">
              <w:rPr>
                <w:rFonts w:asciiTheme="minorHAnsi" w:hAnsiTheme="minorHAnsi" w:cstheme="minorHAnsi"/>
              </w:rPr>
              <w:t>11</w:t>
            </w:r>
            <w:r>
              <w:rPr>
                <w:rFonts w:asciiTheme="minorHAnsi" w:hAnsiTheme="minorHAnsi" w:cstheme="minorHAnsi"/>
              </w:rPr>
              <w:t>6</w:t>
            </w:r>
            <w:r w:rsidR="00CC69BD" w:rsidRPr="00310070">
              <w:rPr>
                <w:rFonts w:asciiTheme="minorHAnsi" w:hAnsiTheme="minorHAnsi" w:cstheme="minorHAnsi"/>
              </w:rPr>
              <w:t>.6</w:t>
            </w:r>
          </w:p>
        </w:tc>
        <w:tc>
          <w:tcPr>
            <w:tcW w:w="883" w:type="pct"/>
            <w:shd w:val="clear" w:color="auto" w:fill="034EA2" w:themeFill="accent1"/>
            <w:vAlign w:val="center"/>
          </w:tcPr>
          <w:p w14:paraId="0247543F" w14:textId="77777777" w:rsidR="00CC69BD" w:rsidRPr="00310070" w:rsidRDefault="00CC69BD" w:rsidP="00EC2B8E">
            <w:pPr>
              <w:pStyle w:val="TableHeading"/>
              <w:rPr>
                <w:rFonts w:asciiTheme="minorHAnsi" w:hAnsiTheme="minorHAnsi" w:cstheme="minorHAnsi"/>
              </w:rPr>
            </w:pPr>
            <w:r w:rsidRPr="00310070">
              <w:rPr>
                <w:rFonts w:asciiTheme="minorHAnsi" w:hAnsiTheme="minorHAnsi" w:cstheme="minorHAnsi"/>
              </w:rPr>
              <w:t>100%</w:t>
            </w:r>
          </w:p>
        </w:tc>
        <w:tc>
          <w:tcPr>
            <w:tcW w:w="883" w:type="pct"/>
            <w:shd w:val="clear" w:color="auto" w:fill="034EA2" w:themeFill="accent1"/>
            <w:vAlign w:val="center"/>
          </w:tcPr>
          <w:p w14:paraId="0577A751" w14:textId="5EC457C0" w:rsidR="00CC69BD" w:rsidRPr="00310070" w:rsidRDefault="00296EA4" w:rsidP="00EC2B8E">
            <w:pPr>
              <w:pStyle w:val="TableHeading"/>
              <w:rPr>
                <w:rFonts w:asciiTheme="minorHAnsi" w:hAnsiTheme="minorHAnsi" w:cstheme="minorHAnsi"/>
              </w:rPr>
            </w:pPr>
            <w:r w:rsidRPr="00310070">
              <w:rPr>
                <w:rFonts w:asciiTheme="minorHAnsi" w:hAnsiTheme="minorHAnsi" w:cstheme="minorHAnsi"/>
              </w:rPr>
              <w:t>2</w:t>
            </w:r>
            <w:r>
              <w:rPr>
                <w:rFonts w:asciiTheme="minorHAnsi" w:hAnsiTheme="minorHAnsi" w:cstheme="minorHAnsi"/>
              </w:rPr>
              <w:t>9</w:t>
            </w:r>
            <w:r w:rsidR="00C83702">
              <w:rPr>
                <w:rFonts w:asciiTheme="minorHAnsi" w:hAnsiTheme="minorHAnsi" w:cstheme="minorHAnsi"/>
              </w:rPr>
              <w:t>6</w:t>
            </w:r>
            <w:r w:rsidR="00CC69BD" w:rsidRPr="00310070">
              <w:rPr>
                <w:rFonts w:asciiTheme="minorHAnsi" w:hAnsiTheme="minorHAnsi" w:cstheme="minorHAnsi"/>
              </w:rPr>
              <w:t>.</w:t>
            </w:r>
            <w:r w:rsidR="00C83702">
              <w:rPr>
                <w:rFonts w:asciiTheme="minorHAnsi" w:hAnsiTheme="minorHAnsi" w:cstheme="minorHAnsi"/>
              </w:rPr>
              <w:t>9</w:t>
            </w:r>
          </w:p>
        </w:tc>
        <w:tc>
          <w:tcPr>
            <w:tcW w:w="883" w:type="pct"/>
            <w:shd w:val="clear" w:color="auto" w:fill="034EA2" w:themeFill="accent1"/>
            <w:vAlign w:val="center"/>
          </w:tcPr>
          <w:p w14:paraId="5A5A8B45" w14:textId="77777777" w:rsidR="00CC69BD" w:rsidRPr="00310070" w:rsidRDefault="00CC69BD" w:rsidP="00EC2B8E">
            <w:pPr>
              <w:pStyle w:val="TableHeading"/>
              <w:rPr>
                <w:rFonts w:asciiTheme="minorHAnsi" w:hAnsiTheme="minorHAnsi" w:cstheme="minorHAnsi"/>
              </w:rPr>
            </w:pPr>
            <w:r w:rsidRPr="00310070">
              <w:rPr>
                <w:rFonts w:asciiTheme="minorHAnsi" w:hAnsiTheme="minorHAnsi" w:cstheme="minorHAnsi"/>
              </w:rPr>
              <w:t>100.0%</w:t>
            </w:r>
          </w:p>
        </w:tc>
      </w:tr>
    </w:tbl>
    <w:p w14:paraId="62F8E6DC" w14:textId="77777777" w:rsidR="00955268" w:rsidRDefault="00955268" w:rsidP="009461D3">
      <w:pPr>
        <w:pStyle w:val="AppendixH3"/>
      </w:pPr>
      <w:r>
        <w:t>Benefits of option 2</w:t>
      </w:r>
    </w:p>
    <w:p w14:paraId="01BD81B5" w14:textId="158F8B57" w:rsidR="00586F81" w:rsidRPr="00827F58" w:rsidRDefault="00816433" w:rsidP="009461D3">
      <w:pPr>
        <w:pStyle w:val="BodyText"/>
      </w:pPr>
      <w:r>
        <w:t>The processing and storage of data is an integral part of everyday life</w:t>
      </w:r>
      <w:r w:rsidR="00586F81">
        <w:t>,</w:t>
      </w:r>
      <w:r>
        <w:t xml:space="preserve"> and </w:t>
      </w:r>
      <w:r w:rsidR="00586F81">
        <w:t xml:space="preserve">is </w:t>
      </w:r>
      <w:r w:rsidR="00214876">
        <w:t>relied on</w:t>
      </w:r>
      <w:r>
        <w:t xml:space="preserve"> by individuals, </w:t>
      </w:r>
      <w:r w:rsidR="009323F9">
        <w:t>industry,</w:t>
      </w:r>
      <w:r>
        <w:t xml:space="preserve"> and governments across Australia.</w:t>
      </w:r>
      <w:r w:rsidR="00955268" w:rsidRPr="00827F58">
        <w:t xml:space="preserve"> </w:t>
      </w:r>
      <w:r>
        <w:t>D</w:t>
      </w:r>
      <w:r w:rsidR="00955268" w:rsidRPr="00827F58">
        <w:t xml:space="preserve">isruption to </w:t>
      </w:r>
      <w:r w:rsidR="009323F9">
        <w:t>data processing or storage services</w:t>
      </w:r>
      <w:r w:rsidR="00955268" w:rsidRPr="00827F58">
        <w:t xml:space="preserve"> can </w:t>
      </w:r>
      <w:r w:rsidR="009323F9">
        <w:t>introduces</w:t>
      </w:r>
      <w:r w:rsidR="00955268" w:rsidRPr="00827F58">
        <w:t xml:space="preserve"> significant cost</w:t>
      </w:r>
      <w:r w:rsidR="009323F9">
        <w:t>s</w:t>
      </w:r>
      <w:r w:rsidR="00955268" w:rsidRPr="00827F58">
        <w:t xml:space="preserve"> to the economy. The risk management program framework aims to reduce the frequency and impact of any disruption to </w:t>
      </w:r>
      <w:r w:rsidR="009323F9">
        <w:t>data storage and processing assets</w:t>
      </w:r>
      <w:r w:rsidR="00955268" w:rsidRPr="00827F58">
        <w:t xml:space="preserve"> and</w:t>
      </w:r>
      <w:r w:rsidR="00586F81">
        <w:t>, as such,</w:t>
      </w:r>
      <w:r w:rsidR="00586F81" w:rsidRPr="00827F58">
        <w:t xml:space="preserve"> its primary benefit is to avoid the incidents that may otherwise disrupt </w:t>
      </w:r>
      <w:r w:rsidR="00586F81">
        <w:t>service</w:t>
      </w:r>
      <w:r w:rsidR="00586F81" w:rsidRPr="00827F58">
        <w:t xml:space="preserve"> and cause economic loss.</w:t>
      </w:r>
    </w:p>
    <w:p w14:paraId="674E1473" w14:textId="77777777" w:rsidR="00955268" w:rsidRPr="00827F58" w:rsidRDefault="00955268" w:rsidP="009461D3">
      <w:pPr>
        <w:pStyle w:val="AppendixH3"/>
        <w:rPr>
          <w:rFonts w:eastAsia="Calibri"/>
        </w:rPr>
      </w:pPr>
      <w:r w:rsidRPr="00827F58">
        <w:rPr>
          <w:rFonts w:eastAsia="Calibri"/>
        </w:rPr>
        <w:t xml:space="preserve">Economic impacts of disruptions to </w:t>
      </w:r>
      <w:r w:rsidR="009323F9">
        <w:rPr>
          <w:rFonts w:eastAsia="Calibri"/>
        </w:rPr>
        <w:t>data storage and processing</w:t>
      </w:r>
      <w:r w:rsidRPr="00827F58">
        <w:rPr>
          <w:rFonts w:eastAsia="Calibri"/>
        </w:rPr>
        <w:t xml:space="preserve"> </w:t>
      </w:r>
    </w:p>
    <w:p w14:paraId="39737544" w14:textId="77777777" w:rsidR="00955268" w:rsidRPr="00BA22AA" w:rsidRDefault="00955268" w:rsidP="009461D3">
      <w:pPr>
        <w:pStyle w:val="BodyText"/>
      </w:pPr>
      <w:r w:rsidRPr="00BA22AA">
        <w:t xml:space="preserve">Disruption to </w:t>
      </w:r>
      <w:r w:rsidR="009323F9" w:rsidRPr="00BA22AA">
        <w:t>data</w:t>
      </w:r>
      <w:r w:rsidRPr="00BA22AA">
        <w:t xml:space="preserve"> storage and </w:t>
      </w:r>
      <w:r w:rsidR="009323F9" w:rsidRPr="00BA22AA">
        <w:t>processing</w:t>
      </w:r>
      <w:r w:rsidRPr="00BA22AA">
        <w:t xml:space="preserve"> will </w:t>
      </w:r>
      <w:r w:rsidR="009323F9" w:rsidRPr="00BA22AA">
        <w:t>affect</w:t>
      </w:r>
      <w:r w:rsidRPr="00BA22AA">
        <w:t xml:space="preserve"> industry and its customers, businesses</w:t>
      </w:r>
      <w:r w:rsidR="009323F9" w:rsidRPr="00BA22AA">
        <w:t>,</w:t>
      </w:r>
      <w:r w:rsidRPr="00BA22AA">
        <w:t xml:space="preserve"> and households.</w:t>
      </w:r>
      <w:r w:rsidRPr="00827F58">
        <w:t xml:space="preserve"> Such disruptions can have costly immediate and longer-term impacts on the Australian economy. The immediate</w:t>
      </w:r>
      <w:r w:rsidRPr="00827F58">
        <w:rPr>
          <w:rFonts w:eastAsia="Arial"/>
        </w:rPr>
        <w:t xml:space="preserve"> impacts of a </w:t>
      </w:r>
      <w:r w:rsidR="009323F9">
        <w:rPr>
          <w:rFonts w:eastAsia="Arial"/>
        </w:rPr>
        <w:t>data storage or processing</w:t>
      </w:r>
      <w:r w:rsidRPr="00827F58">
        <w:rPr>
          <w:rFonts w:eastAsia="Arial"/>
        </w:rPr>
        <w:t xml:space="preserve"> outage are those associated with </w:t>
      </w:r>
      <w:r w:rsidRPr="00BA22AA">
        <w:rPr>
          <w:rFonts w:eastAsia="Arial"/>
        </w:rPr>
        <w:t xml:space="preserve">loss of access to </w:t>
      </w:r>
      <w:r w:rsidR="009323F9" w:rsidRPr="00BA22AA">
        <w:t>data storage or processing</w:t>
      </w:r>
      <w:r w:rsidRPr="00BA22AA">
        <w:t>, such as:</w:t>
      </w:r>
    </w:p>
    <w:p w14:paraId="1D66845A" w14:textId="77777777" w:rsidR="00955268" w:rsidRPr="00DB6FCB" w:rsidRDefault="00955268" w:rsidP="009461D3">
      <w:pPr>
        <w:pStyle w:val="Bullet1stlevel"/>
      </w:pPr>
      <w:r w:rsidRPr="00DB6FCB">
        <w:t xml:space="preserve">Lost </w:t>
      </w:r>
      <w:r w:rsidR="00500176" w:rsidRPr="00DB6FCB">
        <w:t xml:space="preserve">economic </w:t>
      </w:r>
      <w:r w:rsidR="00825CF9" w:rsidRPr="00DB6FCB">
        <w:t>output</w:t>
      </w:r>
      <w:r w:rsidRPr="00DB6FCB">
        <w:t xml:space="preserve"> (e.g. </w:t>
      </w:r>
      <w:r w:rsidR="00825CF9" w:rsidRPr="00DB6FCB">
        <w:t>provision</w:t>
      </w:r>
      <w:r w:rsidRPr="00DB6FCB">
        <w:t xml:space="preserve"> of </w:t>
      </w:r>
      <w:r w:rsidR="00825CF9" w:rsidRPr="00DB6FCB">
        <w:t>dependent</w:t>
      </w:r>
      <w:r w:rsidRPr="00DB6FCB">
        <w:t xml:space="preserve"> goods and services may cease);</w:t>
      </w:r>
    </w:p>
    <w:p w14:paraId="00F03196" w14:textId="77777777" w:rsidR="00955268" w:rsidRPr="00DB6FCB" w:rsidRDefault="00955268" w:rsidP="009461D3">
      <w:pPr>
        <w:pStyle w:val="Bullet1stlevel"/>
      </w:pPr>
      <w:r w:rsidRPr="00DB6FCB">
        <w:t>Lost productivity (e.g. workers may be idle whilst continuing to receive wages);</w:t>
      </w:r>
    </w:p>
    <w:p w14:paraId="19AB0682" w14:textId="77777777" w:rsidR="00955268" w:rsidRPr="00DB6FCB" w:rsidRDefault="00955268" w:rsidP="009461D3">
      <w:pPr>
        <w:pStyle w:val="Bullet1stlevel"/>
      </w:pPr>
      <w:r w:rsidRPr="00DB6FCB">
        <w:t xml:space="preserve">Lost wages (e.g. workers may be sent home or unable to go to work); </w:t>
      </w:r>
    </w:p>
    <w:p w14:paraId="512579DA" w14:textId="77777777" w:rsidR="00955268" w:rsidRPr="00DB6FCB" w:rsidRDefault="00955268" w:rsidP="009461D3">
      <w:pPr>
        <w:pStyle w:val="Bullet1stlevel"/>
      </w:pPr>
      <w:r w:rsidRPr="00DB6FCB">
        <w:t xml:space="preserve">Increased cost of production if switching to a substitute </w:t>
      </w:r>
      <w:r w:rsidR="00500176" w:rsidRPr="00DB6FCB">
        <w:t>service</w:t>
      </w:r>
      <w:r w:rsidRPr="00DB6FCB">
        <w:t xml:space="preserve"> (e.g. </w:t>
      </w:r>
      <w:r w:rsidR="00500176" w:rsidRPr="00DB6FCB">
        <w:t>an alternative data storage or processing service)</w:t>
      </w:r>
      <w:r w:rsidR="00825CF9" w:rsidRPr="00DB6FCB">
        <w:t>.</w:t>
      </w:r>
    </w:p>
    <w:p w14:paraId="25C07042" w14:textId="77777777" w:rsidR="00955268" w:rsidRPr="00827F58" w:rsidRDefault="00955268" w:rsidP="009461D3">
      <w:pPr>
        <w:pStyle w:val="BodyText"/>
      </w:pPr>
      <w:r w:rsidRPr="00827F58">
        <w:t xml:space="preserve">Computable General Equilibrium (CGE) modelling was used to illustrate how costly </w:t>
      </w:r>
      <w:r w:rsidR="00BA22AA">
        <w:t>data storage and processing</w:t>
      </w:r>
      <w:r w:rsidRPr="00827F58">
        <w:t xml:space="preserve"> disruptions could potentially be by examining a hypothetical shock (i.e. </w:t>
      </w:r>
      <w:r w:rsidR="00BA22AA">
        <w:t>a data storage and processing asset</w:t>
      </w:r>
      <w:r w:rsidRPr="00827F58">
        <w:t xml:space="preserve"> is </w:t>
      </w:r>
      <w:r w:rsidR="00BA22AA">
        <w:t>affected by an incident with impacts on</w:t>
      </w:r>
      <w:r w:rsidRPr="00827F58">
        <w:t xml:space="preserve"> users) and an associated increase in input costs (i.e. an increase in the cost of </w:t>
      </w:r>
      <w:r w:rsidR="00BA22AA">
        <w:t>the data storage and processing service</w:t>
      </w:r>
      <w:r w:rsidRPr="00827F58">
        <w:t xml:space="preserve">). The advantage of using a CGE approach is that both the direct and indirect (i.e. flow-on) economic impacts of a </w:t>
      </w:r>
      <w:r w:rsidR="00CF1A87">
        <w:t>data</w:t>
      </w:r>
      <w:r w:rsidRPr="00827F58">
        <w:t xml:space="preserve"> outage event can be quantified.</w:t>
      </w:r>
      <w:r w:rsidRPr="00827F58">
        <w:rPr>
          <w:rStyle w:val="FootnoteReference"/>
          <w:rFonts w:ascii="Arial" w:eastAsia="Calibri" w:hAnsi="Arial"/>
        </w:rPr>
        <w:footnoteReference w:id="356"/>
      </w:r>
    </w:p>
    <w:p w14:paraId="629F5DDB" w14:textId="77777777" w:rsidR="00955268" w:rsidRPr="00936788" w:rsidRDefault="00955268" w:rsidP="009461D3">
      <w:pPr>
        <w:pStyle w:val="AppendixH3"/>
      </w:pPr>
      <w:r w:rsidRPr="00936788">
        <w:t xml:space="preserve">Modelling Approach </w:t>
      </w:r>
    </w:p>
    <w:p w14:paraId="16E07826" w14:textId="77777777" w:rsidR="00955268" w:rsidRPr="00827F58" w:rsidRDefault="00955268" w:rsidP="009461D3">
      <w:pPr>
        <w:pStyle w:val="BodyText"/>
        <w:rPr>
          <w:color w:val="2F5496"/>
        </w:rPr>
      </w:pPr>
      <w:r w:rsidRPr="00827F58">
        <w:t xml:space="preserve">To analyse the direct and indirect economic impacts of unplanned </w:t>
      </w:r>
      <w:r w:rsidR="00825CF9">
        <w:t>disruption</w:t>
      </w:r>
      <w:r>
        <w:t xml:space="preserve"> to </w:t>
      </w:r>
      <w:r w:rsidR="00825CF9">
        <w:t>a data processing or storage service</w:t>
      </w:r>
      <w:r w:rsidRPr="00827F58">
        <w:t xml:space="preserve">, a CGE approach was used to model the economy as a system of interrelated economic agents operating in competitive markets. Economic theory is used to specify the </w:t>
      </w:r>
      <w:r w:rsidRPr="00827F58">
        <w:lastRenderedPageBreak/>
        <w:t xml:space="preserve">behaviour and market interactions of economic agents, including consumers, investors, producers and governments operating in domestic and foreign goods, capital and labour markets. </w:t>
      </w:r>
    </w:p>
    <w:p w14:paraId="3C6DF843" w14:textId="77777777" w:rsidR="00955268" w:rsidRPr="00827F58" w:rsidRDefault="00955268" w:rsidP="009461D3">
      <w:pPr>
        <w:pStyle w:val="BodyText"/>
      </w:pPr>
      <w:r w:rsidRPr="00827F58">
        <w:t xml:space="preserve">The modelling framework is suited to analysing the economic impact of a </w:t>
      </w:r>
      <w:r w:rsidR="00825CF9">
        <w:t>data storage or processing</w:t>
      </w:r>
      <w:r w:rsidRPr="00827F58">
        <w:t xml:space="preserve"> disruption as it explicitly captures supply-chain linkages as well as other flow-on effects and feedback responses by all economic agents. The strength of CGE models is that they capture the upstream and downstream linkages between the activities induced by the</w:t>
      </w:r>
      <w:r w:rsidRPr="00827F58">
        <w:rPr>
          <w:rFonts w:eastAsia="Calibri"/>
          <w:color w:val="FF9933"/>
        </w:rPr>
        <w:t xml:space="preserve"> </w:t>
      </w:r>
      <w:r w:rsidRPr="00827F58">
        <w:rPr>
          <w:rFonts w:eastAsia="Calibri"/>
        </w:rPr>
        <w:t>disruption incident</w:t>
      </w:r>
      <w:r w:rsidRPr="00827F58">
        <w:t xml:space="preserve"> and the rest of the economy in a framework that combines detailed historical data with fundamental economic theory. </w:t>
      </w:r>
    </w:p>
    <w:p w14:paraId="61D9ED7E" w14:textId="77777777" w:rsidR="00955268" w:rsidRPr="00936788" w:rsidRDefault="00955268" w:rsidP="009461D3">
      <w:pPr>
        <w:pStyle w:val="AppendixH3"/>
      </w:pPr>
      <w:r w:rsidRPr="00936788">
        <w:t>Scenarios</w:t>
      </w:r>
    </w:p>
    <w:p w14:paraId="0078DBBC" w14:textId="77777777" w:rsidR="00955268" w:rsidRPr="00827F58" w:rsidRDefault="00955268" w:rsidP="009461D3">
      <w:pPr>
        <w:pStyle w:val="BodyText"/>
      </w:pPr>
      <w:r w:rsidRPr="00827F58">
        <w:t xml:space="preserve">The CGE modelling provided estimates regarding how sensitive the Australian economy is to a shock to the </w:t>
      </w:r>
      <w:r w:rsidR="00825CF9">
        <w:t xml:space="preserve">data storage or processing </w:t>
      </w:r>
      <w:r w:rsidR="00E24ED1">
        <w:t>system</w:t>
      </w:r>
      <w:r w:rsidRPr="00827F58">
        <w:t xml:space="preserve">. This analysis was undertaken by deriving a set of hypothetical modelling scenarios based on assumptions about the intensity of a </w:t>
      </w:r>
      <w:r w:rsidR="00E24ED1">
        <w:t>disruption to a data processing or storage asset</w:t>
      </w:r>
      <w:r w:rsidRPr="00827F58">
        <w:t xml:space="preserve">, with the initial impact calibrated as reduction in the quantity of </w:t>
      </w:r>
      <w:r w:rsidR="00E92D97">
        <w:t>data</w:t>
      </w:r>
      <w:r w:rsidRPr="00827F58">
        <w:t xml:space="preserve"> supplied and the normalised insurance costs as a result of an event. The hypothetical scenarios were informed by studies of major events, which are discussed below. </w:t>
      </w:r>
    </w:p>
    <w:p w14:paraId="3792706C" w14:textId="77777777" w:rsidR="00955268" w:rsidRPr="00936788" w:rsidRDefault="00955268" w:rsidP="009461D3">
      <w:pPr>
        <w:pStyle w:val="AppendixH3"/>
      </w:pPr>
      <w:r w:rsidRPr="00936788">
        <w:t>Case studies</w:t>
      </w:r>
    </w:p>
    <w:p w14:paraId="07EFB0C3" w14:textId="029BD613" w:rsidR="00955268" w:rsidRPr="00310070" w:rsidRDefault="00955268" w:rsidP="009461D3">
      <w:pPr>
        <w:pStyle w:val="BodyText"/>
        <w:rPr>
          <w:spacing w:val="-2"/>
        </w:rPr>
      </w:pPr>
      <w:r w:rsidRPr="00310070">
        <w:rPr>
          <w:spacing w:val="-2"/>
        </w:rPr>
        <w:t xml:space="preserve">The case studies provided in the table below provide a basis for modelling hypothetical, but comparable </w:t>
      </w:r>
      <w:r w:rsidR="008C4230" w:rsidRPr="00310070">
        <w:rPr>
          <w:spacing w:val="-2"/>
        </w:rPr>
        <w:t>disruptions</w:t>
      </w:r>
      <w:r w:rsidRPr="00310070">
        <w:rPr>
          <w:spacing w:val="-2"/>
        </w:rPr>
        <w:t>, in an economy-wide model and contextualising the results of that modelling.</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829"/>
        <w:gridCol w:w="7809"/>
      </w:tblGrid>
      <w:tr w:rsidR="00340241" w:rsidRPr="00827F58" w14:paraId="2F1A33BD" w14:textId="77777777" w:rsidTr="0021240B">
        <w:trPr>
          <w:cantSplit/>
          <w:tblHeader/>
        </w:trPr>
        <w:tc>
          <w:tcPr>
            <w:tcW w:w="949" w:type="pct"/>
            <w:shd w:val="clear" w:color="auto" w:fill="034EA2" w:themeFill="accent1"/>
          </w:tcPr>
          <w:p w14:paraId="115CD966" w14:textId="77777777" w:rsidR="00955268" w:rsidRPr="000F20CF" w:rsidRDefault="00955268" w:rsidP="00310070">
            <w:pPr>
              <w:pStyle w:val="TableHeading"/>
            </w:pPr>
            <w:r w:rsidRPr="009807CA">
              <w:t>Incident</w:t>
            </w:r>
          </w:p>
        </w:tc>
        <w:tc>
          <w:tcPr>
            <w:tcW w:w="4051" w:type="pct"/>
            <w:shd w:val="clear" w:color="auto" w:fill="034EA2" w:themeFill="accent1"/>
          </w:tcPr>
          <w:p w14:paraId="320CC624" w14:textId="77777777" w:rsidR="00955268" w:rsidRPr="000F20CF" w:rsidRDefault="00955268" w:rsidP="00310070">
            <w:pPr>
              <w:pStyle w:val="TableHeading"/>
            </w:pPr>
            <w:r w:rsidRPr="00DE250A">
              <w:t>Summary of incident</w:t>
            </w:r>
          </w:p>
        </w:tc>
      </w:tr>
      <w:tr w:rsidR="00340241" w:rsidRPr="00827F58" w14:paraId="6A9936A4" w14:textId="77777777" w:rsidTr="0021240B">
        <w:trPr>
          <w:cantSplit/>
        </w:trPr>
        <w:tc>
          <w:tcPr>
            <w:tcW w:w="949" w:type="pct"/>
            <w:shd w:val="clear" w:color="auto" w:fill="F2F2F2" w:themeFill="background1" w:themeFillShade="F2"/>
          </w:tcPr>
          <w:p w14:paraId="1B3F9947" w14:textId="77777777" w:rsidR="00955268" w:rsidRPr="00827F58" w:rsidRDefault="00A47F28" w:rsidP="00310070">
            <w:pPr>
              <w:pStyle w:val="TableBody"/>
              <w:rPr>
                <w:rFonts w:eastAsia="Calibri"/>
              </w:rPr>
            </w:pPr>
            <w:r>
              <w:rPr>
                <w:rFonts w:eastAsia="Calibri"/>
              </w:rPr>
              <w:t>Former employee at</w:t>
            </w:r>
            <w:r w:rsidR="00BF05E6">
              <w:rPr>
                <w:rFonts w:eastAsia="Calibri"/>
              </w:rPr>
              <w:t>tacks Cisco Systems (2018)</w:t>
            </w:r>
          </w:p>
        </w:tc>
        <w:tc>
          <w:tcPr>
            <w:tcW w:w="4051" w:type="pct"/>
            <w:shd w:val="clear" w:color="auto" w:fill="auto"/>
          </w:tcPr>
          <w:p w14:paraId="71E7F46F" w14:textId="65FE1635" w:rsidR="00955268" w:rsidRPr="00105AA0" w:rsidRDefault="00B86B9A" w:rsidP="00310070">
            <w:pPr>
              <w:pStyle w:val="TableBody"/>
              <w:rPr>
                <w:rFonts w:eastAsia="Calibri"/>
              </w:rPr>
            </w:pPr>
            <w:r w:rsidRPr="00105AA0">
              <w:rPr>
                <w:rFonts w:eastAsia="Calibri"/>
              </w:rPr>
              <w:t xml:space="preserve">In September 2018, a former Cisco employee accessed Cisco </w:t>
            </w:r>
            <w:r w:rsidR="00586F81">
              <w:rPr>
                <w:rFonts w:eastAsia="Calibri"/>
              </w:rPr>
              <w:t>S</w:t>
            </w:r>
            <w:r w:rsidRPr="00105AA0">
              <w:rPr>
                <w:rFonts w:eastAsia="Calibri"/>
              </w:rPr>
              <w:t xml:space="preserve">ystems’ cloud infrastructure, hosted by Amazon Web Services, without Cisco’s permission. The former employee, during their unauthorised access, was successful in deleting 456 virtual machines from Cisco’s WebEx Teams application. </w:t>
            </w:r>
            <w:r w:rsidR="00D8340D" w:rsidRPr="00105AA0">
              <w:rPr>
                <w:rFonts w:eastAsia="Calibri"/>
              </w:rPr>
              <w:t xml:space="preserve">This resulted in more than 16,000 WebEx Teams accounts to be shut down for up to two weeks, forcing Cisco to spend approximately $1.4 million in employee time to restore the damage and refund over $1 million to affected customers. </w:t>
            </w:r>
          </w:p>
        </w:tc>
      </w:tr>
      <w:tr w:rsidR="00340241" w:rsidRPr="00827F58" w14:paraId="529E1324" w14:textId="77777777" w:rsidTr="0021240B">
        <w:trPr>
          <w:cantSplit/>
        </w:trPr>
        <w:tc>
          <w:tcPr>
            <w:tcW w:w="949" w:type="pct"/>
            <w:shd w:val="clear" w:color="auto" w:fill="F2F2F2" w:themeFill="background1" w:themeFillShade="F2"/>
          </w:tcPr>
          <w:p w14:paraId="12D21636" w14:textId="77777777" w:rsidR="00955268" w:rsidRPr="00827F58" w:rsidRDefault="00BF05E6" w:rsidP="00310070">
            <w:pPr>
              <w:pStyle w:val="TableBody"/>
              <w:rPr>
                <w:rFonts w:eastAsia="Calibri"/>
              </w:rPr>
            </w:pPr>
            <w:r>
              <w:rPr>
                <w:rFonts w:eastAsia="Calibri"/>
              </w:rPr>
              <w:t>Data centre hack on NordVPN(2018)</w:t>
            </w:r>
          </w:p>
        </w:tc>
        <w:tc>
          <w:tcPr>
            <w:tcW w:w="4051" w:type="pct"/>
            <w:shd w:val="clear" w:color="auto" w:fill="auto"/>
          </w:tcPr>
          <w:p w14:paraId="20AAC6EC" w14:textId="77777777" w:rsidR="00955268" w:rsidRPr="00105AA0" w:rsidRDefault="00D8340D" w:rsidP="00310070">
            <w:pPr>
              <w:pStyle w:val="TableBody"/>
              <w:rPr>
                <w:rFonts w:eastAsia="Calibri"/>
              </w:rPr>
            </w:pPr>
            <w:r w:rsidRPr="00105AA0">
              <w:rPr>
                <w:rFonts w:eastAsia="Calibri"/>
              </w:rPr>
              <w:t>In March 2018, popular virtual private network provider NordVPN was hacked. The attacke</w:t>
            </w:r>
            <w:r w:rsidR="007A1325">
              <w:rPr>
                <w:rFonts w:eastAsia="Calibri"/>
              </w:rPr>
              <w:t>r</w:t>
            </w:r>
            <w:r w:rsidRPr="00105AA0">
              <w:rPr>
                <w:rFonts w:eastAsia="Calibri"/>
              </w:rPr>
              <w:t xml:space="preserve"> gained access by exploiting an insecure remote management system. </w:t>
            </w:r>
            <w:r w:rsidR="00F14FD4" w:rsidRPr="00105AA0">
              <w:rPr>
                <w:rFonts w:eastAsia="Calibri"/>
              </w:rPr>
              <w:t xml:space="preserve">The ongoing impacts of the attack were minimal, with </w:t>
            </w:r>
            <w:r w:rsidR="00796522" w:rsidRPr="00105AA0">
              <w:rPr>
                <w:rFonts w:eastAsia="Calibri"/>
              </w:rPr>
              <w:t xml:space="preserve">NordVPN stating that the compromised server did not contain any user activity logs, and with no compromise of usernames of passwords. </w:t>
            </w:r>
          </w:p>
        </w:tc>
      </w:tr>
      <w:tr w:rsidR="00340241" w:rsidRPr="00827F58" w14:paraId="3172BD98" w14:textId="77777777" w:rsidTr="0021240B">
        <w:trPr>
          <w:cantSplit/>
        </w:trPr>
        <w:tc>
          <w:tcPr>
            <w:tcW w:w="949" w:type="pct"/>
            <w:shd w:val="clear" w:color="auto" w:fill="F2F2F2" w:themeFill="background1" w:themeFillShade="F2"/>
          </w:tcPr>
          <w:p w14:paraId="155129E4" w14:textId="77777777" w:rsidR="00BF05E6" w:rsidRDefault="00BF05E6" w:rsidP="00310070">
            <w:pPr>
              <w:pStyle w:val="TableBody"/>
              <w:rPr>
                <w:rFonts w:eastAsia="Calibri"/>
              </w:rPr>
            </w:pPr>
            <w:r>
              <w:rPr>
                <w:rFonts w:eastAsia="Calibri"/>
              </w:rPr>
              <w:t>Melbourne Google Cloud experiences outage (2021)</w:t>
            </w:r>
          </w:p>
        </w:tc>
        <w:tc>
          <w:tcPr>
            <w:tcW w:w="4051" w:type="pct"/>
            <w:shd w:val="clear" w:color="auto" w:fill="auto"/>
          </w:tcPr>
          <w:p w14:paraId="65C0D330" w14:textId="32485557" w:rsidR="00BF05E6" w:rsidRPr="00105AA0" w:rsidRDefault="00F9303D" w:rsidP="00310070">
            <w:pPr>
              <w:pStyle w:val="TableBody"/>
              <w:rPr>
                <w:rFonts w:eastAsia="Calibri"/>
              </w:rPr>
            </w:pPr>
            <w:r w:rsidRPr="00105AA0">
              <w:rPr>
                <w:rFonts w:eastAsia="Calibri"/>
              </w:rPr>
              <w:t>In August 2021, Google’s newest cloud region (‘australia-southeast2’</w:t>
            </w:r>
            <w:r w:rsidR="00586F81" w:rsidRPr="00105AA0">
              <w:rPr>
                <w:rFonts w:eastAsia="Calibri"/>
              </w:rPr>
              <w:t>)</w:t>
            </w:r>
            <w:r w:rsidR="00586F81">
              <w:rPr>
                <w:rFonts w:eastAsia="Calibri"/>
              </w:rPr>
              <w:t>,</w:t>
            </w:r>
            <w:r w:rsidRPr="00105AA0">
              <w:rPr>
                <w:rFonts w:eastAsia="Calibri"/>
              </w:rPr>
              <w:t xml:space="preserve"> located in Melbourne</w:t>
            </w:r>
            <w:r w:rsidR="00586F81">
              <w:rPr>
                <w:rFonts w:eastAsia="Calibri"/>
              </w:rPr>
              <w:t>,</w:t>
            </w:r>
            <w:r w:rsidRPr="00105AA0">
              <w:rPr>
                <w:rFonts w:eastAsia="Calibri"/>
              </w:rPr>
              <w:t xml:space="preserve"> experienced a 1 hour 30 minute outage due to a transient voltage issue</w:t>
            </w:r>
            <w:r w:rsidR="00586F81">
              <w:rPr>
                <w:rFonts w:eastAsia="Calibri"/>
              </w:rPr>
              <w:t>,</w:t>
            </w:r>
            <w:r w:rsidRPr="00105AA0">
              <w:rPr>
                <w:rFonts w:eastAsia="Calibri"/>
              </w:rPr>
              <w:t xml:space="preserve"> forcing network hardware to be rebooted. </w:t>
            </w:r>
            <w:r w:rsidR="00586F81" w:rsidRPr="00105AA0">
              <w:rPr>
                <w:rFonts w:eastAsia="Calibri"/>
              </w:rPr>
              <w:t>The disruption affected a total of 23 of Google’s cloud services</w:t>
            </w:r>
            <w:r w:rsidR="00586F81">
              <w:rPr>
                <w:rFonts w:eastAsia="Calibri"/>
              </w:rPr>
              <w:t xml:space="preserve"> used by individuals and businesses alike, including Cloud Run, Cloud Filestore and Cloud SQL.</w:t>
            </w:r>
          </w:p>
        </w:tc>
      </w:tr>
      <w:tr w:rsidR="0079274A" w:rsidRPr="00827F58" w14:paraId="19357D01" w14:textId="77777777" w:rsidTr="0021240B">
        <w:trPr>
          <w:cantSplit/>
        </w:trPr>
        <w:tc>
          <w:tcPr>
            <w:tcW w:w="949" w:type="pct"/>
            <w:shd w:val="clear" w:color="auto" w:fill="F2F2F2" w:themeFill="background1" w:themeFillShade="F2"/>
          </w:tcPr>
          <w:p w14:paraId="21C2EC0C" w14:textId="1068D56B" w:rsidR="0079274A" w:rsidRDefault="005A28C8" w:rsidP="00310070">
            <w:pPr>
              <w:pStyle w:val="TableBody"/>
              <w:rPr>
                <w:rFonts w:eastAsia="Calibri"/>
              </w:rPr>
            </w:pPr>
            <w:r>
              <w:rPr>
                <w:rFonts w:eastAsia="Calibri"/>
              </w:rPr>
              <w:t>Kaseya ransomware attack (2021)</w:t>
            </w:r>
          </w:p>
        </w:tc>
        <w:tc>
          <w:tcPr>
            <w:tcW w:w="4051" w:type="pct"/>
            <w:shd w:val="clear" w:color="auto" w:fill="auto"/>
          </w:tcPr>
          <w:p w14:paraId="4DE65AC8" w14:textId="188F8417" w:rsidR="0079274A" w:rsidRPr="00105AA0" w:rsidRDefault="005A28C8" w:rsidP="00310070">
            <w:pPr>
              <w:pStyle w:val="TableBody"/>
              <w:rPr>
                <w:rFonts w:eastAsia="Calibri"/>
              </w:rPr>
            </w:pPr>
            <w:r>
              <w:rPr>
                <w:rFonts w:eastAsia="Calibri"/>
              </w:rPr>
              <w:t xml:space="preserve">In 2021, IT services company Kaseya was hit by a ransomware attack perpetrated by Russian-based hacking group REvil. The attack directly and indirectly affected a large number of businesses globally. The hackers demanded approximately AU$92.9 million in Bitcoin be paid to provide a decryption tool to allow businesses to unlock their affected systems. </w:t>
            </w:r>
          </w:p>
        </w:tc>
      </w:tr>
    </w:tbl>
    <w:p w14:paraId="19E02BF0" w14:textId="77777777" w:rsidR="00955268" w:rsidRPr="00827F58" w:rsidRDefault="00955268" w:rsidP="00006ADD">
      <w:pPr>
        <w:pStyle w:val="BodyText"/>
        <w:spacing w:before="240"/>
        <w:rPr>
          <w:color w:val="FF9933"/>
        </w:rPr>
      </w:pPr>
      <w:r w:rsidRPr="00827F58">
        <w:t xml:space="preserve">These case studies highlight that </w:t>
      </w:r>
      <w:r w:rsidR="008F7E4A">
        <w:t>disruptions to data storage and processing services</w:t>
      </w:r>
      <w:r w:rsidRPr="00827F58">
        <w:t xml:space="preserve"> inflict substantial direct and indirect costs on firms and households alike. Businesses bore the brunt of the damage across all case studies, mostly through lost income and productivity. </w:t>
      </w:r>
      <w:r w:rsidR="008F7E4A">
        <w:t>The nature of the data processing and storage sector means that disruptions to data storage and processing services can affect large swathes of the economy as a flow-on</w:t>
      </w:r>
      <w:r w:rsidR="002C34F6">
        <w:t xml:space="preserve"> </w:t>
      </w:r>
      <w:r w:rsidR="00F74B8E">
        <w:t>effect.</w:t>
      </w:r>
    </w:p>
    <w:p w14:paraId="4802671C" w14:textId="5CBAAD09" w:rsidR="00077047" w:rsidRPr="00077047" w:rsidRDefault="00955268" w:rsidP="009461D3">
      <w:pPr>
        <w:pStyle w:val="BodyText"/>
      </w:pPr>
      <w:r w:rsidRPr="00827F58">
        <w:t xml:space="preserve">For the purposes of modelling the cost of avoided future incidents in Australia, </w:t>
      </w:r>
      <w:r w:rsidR="005A28C8">
        <w:t>two incidents were selected to be simulated. T</w:t>
      </w:r>
      <w:r w:rsidRPr="00827F58">
        <w:t xml:space="preserve">he </w:t>
      </w:r>
      <w:r w:rsidR="00F74B8E">
        <w:t>Cisco Systems attack</w:t>
      </w:r>
      <w:r w:rsidRPr="00827F58">
        <w:rPr>
          <w:color w:val="FF9933"/>
        </w:rPr>
        <w:t xml:space="preserve"> </w:t>
      </w:r>
      <w:r w:rsidRPr="00827F58">
        <w:t xml:space="preserve">was selected to be simulated due to the availability of sufficient information about its direct impact on </w:t>
      </w:r>
      <w:r w:rsidR="00F74B8E">
        <w:t>customers</w:t>
      </w:r>
      <w:r w:rsidRPr="00827F58">
        <w:t xml:space="preserve"> to support the modelling. </w:t>
      </w:r>
      <w:r w:rsidR="005A28C8">
        <w:lastRenderedPageBreak/>
        <w:t xml:space="preserve">As the attack was limited to a single entity in what is a large sector, </w:t>
      </w:r>
      <w:r w:rsidRPr="00827F58">
        <w:t xml:space="preserve">this incident is considered a </w:t>
      </w:r>
      <w:r w:rsidR="00651419">
        <w:t>low</w:t>
      </w:r>
      <w:r w:rsidRPr="00827F58">
        <w:t xml:space="preserve"> risk scenario. </w:t>
      </w:r>
      <w:r w:rsidR="00586F81">
        <w:t xml:space="preserve">As a result of the attack, </w:t>
      </w:r>
      <w:r w:rsidR="00651419">
        <w:t>approximately</w:t>
      </w:r>
      <w:r w:rsidR="00586F81">
        <w:t xml:space="preserve"> 16,000 WebEx Teams accounts were shut down for up to two weeks, with approximately $1.4 million of employee time spent rectifying the damage and approximately $1 million paid as refunds to affected customers. </w:t>
      </w:r>
    </w:p>
    <w:p w14:paraId="7B8A52CD" w14:textId="4DAAA33D" w:rsidR="00651419" w:rsidRPr="00827F58" w:rsidRDefault="00651419" w:rsidP="009461D3">
      <w:pPr>
        <w:pStyle w:val="BodyText"/>
      </w:pPr>
      <w:r>
        <w:t xml:space="preserve">The Kaseya ransomware attack is selected as another baseline scenario to be modelled. The Kaseya </w:t>
      </w:r>
      <w:r w:rsidR="002E74C6">
        <w:t>attack</w:t>
      </w:r>
      <w:r w:rsidR="00C445A8">
        <w:t xml:space="preserve"> demonstrates the potentially far-reaching consequences of a cyber-attack in the sector where essential services are reliant on services vulnerable to compromise by ransomware or other such threats. </w:t>
      </w:r>
      <w:r w:rsidR="00A94098">
        <w:t>The Kaseya incident is treated as the moderate risk scenario. Despite the</w:t>
      </w:r>
      <w:r w:rsidR="00A85A6A">
        <w:t xml:space="preserve"> high degree of uncertainty about the scale of the incident and impacts on Kaseya, its direct customers and the indirectly affected entities</w:t>
      </w:r>
      <w:r w:rsidR="00A94098">
        <w:t>, it is reasonable</w:t>
      </w:r>
      <w:r w:rsidR="002E74C6">
        <w:t xml:space="preserve"> to </w:t>
      </w:r>
      <w:r w:rsidR="00A94098">
        <w:t xml:space="preserve">assume that another similar attack on an organisation with </w:t>
      </w:r>
      <w:r w:rsidR="00A85A6A">
        <w:t xml:space="preserve">a larger or </w:t>
      </w:r>
      <w:r w:rsidR="00A94098">
        <w:t xml:space="preserve">more vulnerable </w:t>
      </w:r>
      <w:r w:rsidR="00A85A6A">
        <w:t xml:space="preserve">customer base </w:t>
      </w:r>
      <w:r w:rsidR="00A94098">
        <w:t>could produce a more severe outcome in terms of economic impact</w:t>
      </w:r>
      <w:r w:rsidR="002E74C6">
        <w:t xml:space="preserve">. The ransom demanded by the hacking group, AU$92.9 million, is treated as the </w:t>
      </w:r>
      <w:r w:rsidR="00A404EB">
        <w:t>total economic</w:t>
      </w:r>
      <w:r w:rsidR="002E74C6">
        <w:t xml:space="preserve"> cost of the </w:t>
      </w:r>
      <w:r w:rsidR="00A404EB">
        <w:t>scenario</w:t>
      </w:r>
      <w:r w:rsidR="002E74C6">
        <w:t xml:space="preserve"> for the purposes of benefits analysis. </w:t>
      </w:r>
      <w:r w:rsidR="00A94098">
        <w:t xml:space="preserve">This </w:t>
      </w:r>
      <w:r w:rsidR="00A404EB">
        <w:t>figure</w:t>
      </w:r>
      <w:r w:rsidR="00A94098">
        <w:t xml:space="preserve"> does not take into account the financial impacts on affected businesses as a result of reduced or impacted operations </w:t>
      </w:r>
    </w:p>
    <w:p w14:paraId="21F17462" w14:textId="24C63B60" w:rsidR="00955268" w:rsidRDefault="00651419" w:rsidP="009461D3">
      <w:pPr>
        <w:pStyle w:val="BodyText"/>
      </w:pPr>
      <w:r w:rsidRPr="00827F58">
        <w:t>The use of actual event</w:t>
      </w:r>
      <w:r>
        <w:t>s</w:t>
      </w:r>
      <w:r w:rsidRPr="00827F58">
        <w:t xml:space="preserve"> as a risk point of comparison is important</w:t>
      </w:r>
      <w:r>
        <w:t>,</w:t>
      </w:r>
      <w:r w:rsidRPr="00827F58">
        <w:t xml:space="preserve"> because it ensures the benefits analysis is grounded in reality.</w:t>
      </w:r>
      <w:r>
        <w:t xml:space="preserve"> </w:t>
      </w:r>
      <w:r w:rsidR="00955268" w:rsidRPr="00827F58">
        <w:t xml:space="preserve">A framework for considering the potential impacts of Australian </w:t>
      </w:r>
      <w:r w:rsidR="00E92D97">
        <w:t>data storage or processing</w:t>
      </w:r>
      <w:r w:rsidR="00955268" w:rsidRPr="00827F58">
        <w:t xml:space="preserve"> outages following failure of critical infrastructure is provided in</w:t>
      </w:r>
      <w:r w:rsidR="00955268">
        <w:t xml:space="preserve"> the table </w:t>
      </w:r>
      <w:r w:rsidR="00955268" w:rsidRPr="00827F58">
        <w:t>below.</w:t>
      </w:r>
    </w:p>
    <w:p w14:paraId="470A9B9C" w14:textId="77777777" w:rsidR="00955268" w:rsidRPr="00CE4FE0" w:rsidRDefault="00955268" w:rsidP="009461D3">
      <w:pPr>
        <w:pStyle w:val="Caption"/>
      </w:pPr>
      <w:r w:rsidRPr="00827F58">
        <w:t>Framework for scenario development and sensitivity analysis</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20" w:firstRow="1" w:lastRow="0" w:firstColumn="0" w:lastColumn="0" w:noHBand="0" w:noVBand="1"/>
      </w:tblPr>
      <w:tblGrid>
        <w:gridCol w:w="1666"/>
        <w:gridCol w:w="2507"/>
        <w:gridCol w:w="2922"/>
        <w:gridCol w:w="2543"/>
      </w:tblGrid>
      <w:tr w:rsidR="009E6DAB" w:rsidRPr="00827F58" w14:paraId="2C9FB8C7" w14:textId="77777777" w:rsidTr="0021240B">
        <w:trPr>
          <w:cnfStyle w:val="100000000000" w:firstRow="1" w:lastRow="0" w:firstColumn="0" w:lastColumn="0" w:oddVBand="0" w:evenVBand="0" w:oddHBand="0" w:evenHBand="0" w:firstRowFirstColumn="0" w:firstRowLastColumn="0" w:lastRowFirstColumn="0" w:lastRowLastColumn="0"/>
          <w:trHeight w:val="420"/>
        </w:trPr>
        <w:tc>
          <w:tcPr>
            <w:tcW w:w="864" w:type="pct"/>
          </w:tcPr>
          <w:p w14:paraId="7D007880" w14:textId="77777777" w:rsidR="00240BF4" w:rsidRPr="00827F58" w:rsidRDefault="00240BF4" w:rsidP="0021240B">
            <w:pPr>
              <w:pStyle w:val="TableBody"/>
            </w:pPr>
          </w:p>
        </w:tc>
        <w:tc>
          <w:tcPr>
            <w:tcW w:w="1300" w:type="pct"/>
          </w:tcPr>
          <w:p w14:paraId="161BB59F" w14:textId="77777777" w:rsidR="00240BF4" w:rsidRPr="00827F58" w:rsidRDefault="00240BF4" w:rsidP="0021240B">
            <w:pPr>
              <w:pStyle w:val="TableBody"/>
              <w:rPr>
                <w:color w:val="FFFFFF"/>
              </w:rPr>
            </w:pPr>
            <w:r w:rsidRPr="00827F58">
              <w:rPr>
                <w:color w:val="FFFFFF"/>
              </w:rPr>
              <w:t>Severe scenario</w:t>
            </w:r>
          </w:p>
        </w:tc>
        <w:tc>
          <w:tcPr>
            <w:tcW w:w="1516" w:type="pct"/>
          </w:tcPr>
          <w:p w14:paraId="401356A0" w14:textId="77777777" w:rsidR="00240BF4" w:rsidRPr="00827F58" w:rsidRDefault="00240BF4" w:rsidP="0021240B">
            <w:pPr>
              <w:pStyle w:val="TableBody"/>
              <w:rPr>
                <w:color w:val="FFFFFF"/>
              </w:rPr>
            </w:pPr>
            <w:r w:rsidRPr="00827F58">
              <w:rPr>
                <w:color w:val="FFFFFF"/>
              </w:rPr>
              <w:t>Moderate scenario</w:t>
            </w:r>
          </w:p>
        </w:tc>
        <w:tc>
          <w:tcPr>
            <w:tcW w:w="1319" w:type="pct"/>
          </w:tcPr>
          <w:p w14:paraId="40EF0500" w14:textId="77777777" w:rsidR="00240BF4" w:rsidRPr="00827F58" w:rsidRDefault="00240BF4" w:rsidP="0021240B">
            <w:pPr>
              <w:pStyle w:val="TableBody"/>
              <w:rPr>
                <w:color w:val="FFFFFF"/>
              </w:rPr>
            </w:pPr>
            <w:r w:rsidRPr="00827F58">
              <w:rPr>
                <w:color w:val="FFFFFF"/>
              </w:rPr>
              <w:t>Low scenario</w:t>
            </w:r>
          </w:p>
        </w:tc>
      </w:tr>
      <w:tr w:rsidR="00240BF4" w:rsidRPr="00827F58" w14:paraId="3E119EA5" w14:textId="77777777" w:rsidTr="0021240B">
        <w:trPr>
          <w:cnfStyle w:val="000000100000" w:firstRow="0" w:lastRow="0" w:firstColumn="0" w:lastColumn="0" w:oddVBand="0" w:evenVBand="0" w:oddHBand="1" w:evenHBand="0" w:firstRowFirstColumn="0" w:firstRowLastColumn="0" w:lastRowFirstColumn="0" w:lastRowLastColumn="0"/>
          <w:trHeight w:val="570"/>
        </w:trPr>
        <w:tc>
          <w:tcPr>
            <w:tcW w:w="864" w:type="pct"/>
            <w:shd w:val="clear" w:color="auto" w:fill="F2F2F2" w:themeFill="background1" w:themeFillShade="F2"/>
          </w:tcPr>
          <w:p w14:paraId="068073BA" w14:textId="77777777" w:rsidR="00240BF4" w:rsidRPr="00827F58" w:rsidRDefault="00240BF4" w:rsidP="0021240B">
            <w:pPr>
              <w:pStyle w:val="TableBody"/>
              <w:rPr>
                <w:color w:val="FFFFFF"/>
              </w:rPr>
            </w:pPr>
            <w:r w:rsidRPr="00827F58">
              <w:t>Intensity of event</w:t>
            </w:r>
          </w:p>
        </w:tc>
        <w:tc>
          <w:tcPr>
            <w:tcW w:w="1300" w:type="pct"/>
          </w:tcPr>
          <w:p w14:paraId="08E45A59" w14:textId="63E08679" w:rsidR="00240BF4" w:rsidRDefault="00AB0F75" w:rsidP="0021240B">
            <w:pPr>
              <w:pStyle w:val="TableBody"/>
            </w:pPr>
            <w:r>
              <w:t>200</w:t>
            </w:r>
            <w:r w:rsidR="00240BF4">
              <w:t>% of moderate scenario</w:t>
            </w:r>
          </w:p>
        </w:tc>
        <w:tc>
          <w:tcPr>
            <w:tcW w:w="1516" w:type="pct"/>
          </w:tcPr>
          <w:p w14:paraId="3B6ACF84" w14:textId="3793BD6E" w:rsidR="00240BF4" w:rsidRPr="00A404EB" w:rsidRDefault="00AB0F75" w:rsidP="0021240B">
            <w:pPr>
              <w:pStyle w:val="TableBody"/>
            </w:pPr>
            <w:r w:rsidRPr="00A404EB">
              <w:rPr>
                <w:rFonts w:eastAsia="Arial"/>
              </w:rPr>
              <w:t xml:space="preserve">Kaseya </w:t>
            </w:r>
            <w:r w:rsidR="00651419" w:rsidRPr="009739FE">
              <w:rPr>
                <w:rFonts w:eastAsia="Arial"/>
              </w:rPr>
              <w:t xml:space="preserve">ransomware attack </w:t>
            </w:r>
            <w:r w:rsidRPr="00A404EB">
              <w:rPr>
                <w:rFonts w:eastAsia="Arial"/>
              </w:rPr>
              <w:t>(2021)</w:t>
            </w:r>
          </w:p>
        </w:tc>
        <w:tc>
          <w:tcPr>
            <w:tcW w:w="1319" w:type="pct"/>
          </w:tcPr>
          <w:p w14:paraId="0BA7C3DD" w14:textId="39D6E6E6" w:rsidR="00240BF4" w:rsidRPr="00827F58" w:rsidRDefault="00AB0F75" w:rsidP="0021240B">
            <w:pPr>
              <w:pStyle w:val="TableBody"/>
            </w:pPr>
            <w:r>
              <w:rPr>
                <w:rFonts w:eastAsia="Arial"/>
              </w:rPr>
              <w:t>Former employee targets Cisco Systems (2018)</w:t>
            </w:r>
          </w:p>
        </w:tc>
      </w:tr>
    </w:tbl>
    <w:p w14:paraId="5B9263E7" w14:textId="77777777" w:rsidR="0021240B" w:rsidRDefault="0021240B" w:rsidP="00006ADD">
      <w:pPr>
        <w:pStyle w:val="BodyText"/>
        <w:spacing w:before="240"/>
      </w:pPr>
    </w:p>
    <w:p w14:paraId="450003F8" w14:textId="43C0EEB5" w:rsidR="00955268" w:rsidRPr="00827F58" w:rsidRDefault="00A404EB" w:rsidP="00006ADD">
      <w:pPr>
        <w:pStyle w:val="BodyText"/>
        <w:spacing w:before="240"/>
      </w:pPr>
      <w:r w:rsidRPr="00A404EB">
        <w:t>As stated above, there is a</w:t>
      </w:r>
      <w:r w:rsidR="00955268" w:rsidRPr="00A404EB">
        <w:t xml:space="preserve"> rationale for a more severe scenario than experienced in the </w:t>
      </w:r>
      <w:r w:rsidRPr="009739FE">
        <w:t xml:space="preserve">Kaseya ransomware attack, which </w:t>
      </w:r>
      <w:r w:rsidR="00955268" w:rsidRPr="00A404EB">
        <w:t xml:space="preserve">the complexity of the scenarios that could occur. As noted above, the economic impact of an incident will vary due to a range of factors including the </w:t>
      </w:r>
      <w:r w:rsidRPr="009739FE">
        <w:t xml:space="preserve">nature of an attack, the type and number of customers affected, </w:t>
      </w:r>
      <w:r w:rsidR="00955268" w:rsidRPr="00A404EB">
        <w:t xml:space="preserve">as well as the timing and the duration of disruption. </w:t>
      </w:r>
      <w:r w:rsidRPr="009739FE">
        <w:t>T</w:t>
      </w:r>
      <w:r w:rsidR="00955268" w:rsidRPr="00A404EB">
        <w:t>he defined scenarios and subsequent benefits analysis are based on a deliberately conservative approach to ensure the severe scenario remains demonstrably plausible.</w:t>
      </w:r>
    </w:p>
    <w:p w14:paraId="2CA52DBE" w14:textId="77777777" w:rsidR="00955268" w:rsidRPr="00827F58" w:rsidRDefault="00955268" w:rsidP="009461D3">
      <w:pPr>
        <w:pStyle w:val="BodyText"/>
      </w:pPr>
      <w:r w:rsidRPr="00827F58">
        <w:t>A summary of the economic impact of each scenario is provided i</w:t>
      </w:r>
      <w:r>
        <w:t>n the table below</w:t>
      </w:r>
      <w:r w:rsidRPr="00827F58">
        <w:t xml:space="preserve">. A break-even analysis of these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 </w:t>
      </w:r>
    </w:p>
    <w:p w14:paraId="57D89409" w14:textId="77777777" w:rsidR="00955268" w:rsidRPr="00827F58" w:rsidRDefault="00955268" w:rsidP="009461D3">
      <w:pPr>
        <w:pStyle w:val="Caption"/>
      </w:pPr>
      <w:r w:rsidRPr="00827F58">
        <w:t>Summary of benefits scenarios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880"/>
        <w:gridCol w:w="2091"/>
        <w:gridCol w:w="2577"/>
        <w:gridCol w:w="2090"/>
      </w:tblGrid>
      <w:tr w:rsidR="00340241" w:rsidRPr="00827F58" w14:paraId="4D58405B" w14:textId="77777777" w:rsidTr="0021240B">
        <w:trPr>
          <w:trHeight w:val="409"/>
        </w:trPr>
        <w:tc>
          <w:tcPr>
            <w:tcW w:w="1494" w:type="pct"/>
            <w:shd w:val="clear" w:color="auto" w:fill="034EA2" w:themeFill="accent1"/>
          </w:tcPr>
          <w:p w14:paraId="2AB3F816" w14:textId="77777777" w:rsidR="00240BF4" w:rsidRPr="00827F58" w:rsidRDefault="00240BF4" w:rsidP="0021240B">
            <w:pPr>
              <w:pStyle w:val="TableHeading"/>
            </w:pPr>
          </w:p>
        </w:tc>
        <w:tc>
          <w:tcPr>
            <w:tcW w:w="1085" w:type="pct"/>
            <w:shd w:val="clear" w:color="auto" w:fill="034EA2" w:themeFill="accent1"/>
          </w:tcPr>
          <w:p w14:paraId="55411D29" w14:textId="77777777" w:rsidR="00240BF4" w:rsidRPr="000F20CF" w:rsidRDefault="00240BF4" w:rsidP="0021240B">
            <w:pPr>
              <w:pStyle w:val="TableHeading"/>
            </w:pPr>
            <w:r w:rsidRPr="00827F58">
              <w:t xml:space="preserve">Scenario </w:t>
            </w:r>
            <w:r>
              <w:t>1</w:t>
            </w:r>
            <w:r w:rsidRPr="00827F58">
              <w:rPr>
                <w:rFonts w:ascii="Calibri" w:hAnsi="Calibri"/>
              </w:rPr>
              <w:br/>
            </w:r>
            <w:r w:rsidRPr="00827F58">
              <w:t>(Severe), $ million</w:t>
            </w:r>
          </w:p>
        </w:tc>
        <w:tc>
          <w:tcPr>
            <w:tcW w:w="1337" w:type="pct"/>
            <w:shd w:val="clear" w:color="auto" w:fill="034EA2" w:themeFill="accent1"/>
          </w:tcPr>
          <w:p w14:paraId="3E089E70" w14:textId="77777777" w:rsidR="00240BF4" w:rsidRPr="000F20CF" w:rsidRDefault="00240BF4" w:rsidP="0021240B">
            <w:pPr>
              <w:pStyle w:val="TableHeading"/>
            </w:pPr>
            <w:r w:rsidRPr="00827F58">
              <w:t>Scenario 2</w:t>
            </w:r>
            <w:r w:rsidRPr="00827F58">
              <w:br/>
              <w:t>(Moderate), $ million</w:t>
            </w:r>
          </w:p>
        </w:tc>
        <w:tc>
          <w:tcPr>
            <w:tcW w:w="1084" w:type="pct"/>
            <w:shd w:val="clear" w:color="auto" w:fill="034EA2" w:themeFill="accent1"/>
          </w:tcPr>
          <w:p w14:paraId="6BB301C8" w14:textId="77777777" w:rsidR="00240BF4" w:rsidRPr="000F20CF" w:rsidRDefault="00240BF4" w:rsidP="0021240B">
            <w:pPr>
              <w:pStyle w:val="TableHeading"/>
            </w:pPr>
            <w:r w:rsidRPr="00827F58">
              <w:t xml:space="preserve">Scenario </w:t>
            </w:r>
            <w:r>
              <w:t>3</w:t>
            </w:r>
            <w:r w:rsidRPr="00827F58">
              <w:rPr>
                <w:rFonts w:ascii="Calibri" w:hAnsi="Calibri"/>
              </w:rPr>
              <w:br/>
            </w:r>
            <w:r w:rsidRPr="00827F58">
              <w:t>(Low), $ million</w:t>
            </w:r>
          </w:p>
        </w:tc>
      </w:tr>
      <w:tr w:rsidR="00340241" w:rsidRPr="00827F58" w14:paraId="64141687" w14:textId="77777777" w:rsidTr="0021240B">
        <w:tc>
          <w:tcPr>
            <w:tcW w:w="1494" w:type="pct"/>
            <w:shd w:val="clear" w:color="auto" w:fill="auto"/>
          </w:tcPr>
          <w:p w14:paraId="4DA9AFB6" w14:textId="77777777" w:rsidR="00F91FB2" w:rsidRPr="00F91FB2" w:rsidRDefault="008170FE" w:rsidP="0021240B">
            <w:pPr>
              <w:pStyle w:val="TableBody"/>
              <w:rPr>
                <w:rFonts w:asciiTheme="majorHAnsi" w:hAnsiTheme="majorHAnsi" w:cstheme="majorHAnsi"/>
              </w:rPr>
            </w:pPr>
            <w:r w:rsidRPr="003E6383">
              <w:t>Direct avoided costs</w:t>
            </w:r>
          </w:p>
        </w:tc>
        <w:tc>
          <w:tcPr>
            <w:tcW w:w="1085" w:type="pct"/>
            <w:shd w:val="clear" w:color="auto" w:fill="auto"/>
            <w:vAlign w:val="center"/>
          </w:tcPr>
          <w:p w14:paraId="01C6ABFE" w14:textId="3BDBF480" w:rsidR="008170FE" w:rsidRDefault="00AB0F75" w:rsidP="0021240B">
            <w:pPr>
              <w:pStyle w:val="TableBody"/>
              <w:rPr>
                <w:rFonts w:asciiTheme="majorHAnsi" w:hAnsiTheme="majorHAnsi" w:cstheme="majorHAnsi"/>
                <w:color w:val="000000"/>
              </w:rPr>
            </w:pPr>
            <w:r>
              <w:rPr>
                <w:rFonts w:asciiTheme="majorHAnsi" w:hAnsiTheme="majorHAnsi" w:cstheme="majorHAnsi"/>
                <w:color w:val="000000"/>
              </w:rPr>
              <w:t>196.0</w:t>
            </w:r>
          </w:p>
        </w:tc>
        <w:tc>
          <w:tcPr>
            <w:tcW w:w="1337" w:type="pct"/>
            <w:shd w:val="clear" w:color="auto" w:fill="auto"/>
            <w:vAlign w:val="center"/>
          </w:tcPr>
          <w:p w14:paraId="3DC0DEB4" w14:textId="003FA526" w:rsidR="008170FE" w:rsidRPr="00F91FB2" w:rsidRDefault="00AB0F75" w:rsidP="0021240B">
            <w:pPr>
              <w:pStyle w:val="TableBody"/>
              <w:rPr>
                <w:rFonts w:asciiTheme="majorHAnsi" w:hAnsiTheme="majorHAnsi" w:cstheme="majorHAnsi"/>
                <w:color w:val="000000"/>
              </w:rPr>
            </w:pPr>
            <w:r>
              <w:rPr>
                <w:rFonts w:asciiTheme="majorHAnsi" w:hAnsiTheme="majorHAnsi" w:cstheme="majorHAnsi"/>
                <w:color w:val="000000"/>
              </w:rPr>
              <w:t>98.0</w:t>
            </w:r>
          </w:p>
        </w:tc>
        <w:tc>
          <w:tcPr>
            <w:tcW w:w="1084" w:type="pct"/>
            <w:shd w:val="clear" w:color="auto" w:fill="auto"/>
            <w:vAlign w:val="center"/>
          </w:tcPr>
          <w:p w14:paraId="2B2C7869" w14:textId="2D674FB8" w:rsidR="00F91FB2" w:rsidRPr="00F91FB2" w:rsidRDefault="00AB0F75" w:rsidP="0021240B">
            <w:pPr>
              <w:pStyle w:val="TableBody"/>
              <w:rPr>
                <w:rFonts w:asciiTheme="majorHAnsi" w:hAnsiTheme="majorHAnsi" w:cstheme="majorHAnsi"/>
              </w:rPr>
            </w:pPr>
            <w:r w:rsidRPr="00F91FB2">
              <w:rPr>
                <w:rFonts w:asciiTheme="majorHAnsi" w:hAnsiTheme="majorHAnsi" w:cstheme="majorHAnsi"/>
                <w:color w:val="000000"/>
              </w:rPr>
              <w:t>2.4</w:t>
            </w:r>
          </w:p>
        </w:tc>
      </w:tr>
      <w:tr w:rsidR="00C846DC" w:rsidRPr="00827F58" w14:paraId="0E0FC997" w14:textId="77777777" w:rsidTr="0021240B">
        <w:tc>
          <w:tcPr>
            <w:tcW w:w="1494" w:type="pct"/>
            <w:shd w:val="clear" w:color="auto" w:fill="auto"/>
          </w:tcPr>
          <w:p w14:paraId="71B136B2" w14:textId="77777777" w:rsidR="00240BF4" w:rsidRPr="001F12AB" w:rsidRDefault="008170FE" w:rsidP="0021240B">
            <w:pPr>
              <w:pStyle w:val="TableBody"/>
              <w:rPr>
                <w:rFonts w:asciiTheme="majorHAnsi" w:hAnsiTheme="majorHAnsi" w:cstheme="majorHAnsi"/>
                <w:bCs/>
              </w:rPr>
            </w:pPr>
            <w:r w:rsidRPr="003E6383">
              <w:t>Indirect avoided costs</w:t>
            </w:r>
          </w:p>
        </w:tc>
        <w:tc>
          <w:tcPr>
            <w:tcW w:w="1085" w:type="pct"/>
            <w:shd w:val="clear" w:color="auto" w:fill="auto"/>
            <w:vAlign w:val="center"/>
          </w:tcPr>
          <w:p w14:paraId="368C3BF5" w14:textId="5DA9E291" w:rsidR="008170FE" w:rsidRPr="00740779" w:rsidRDefault="00AB0F75" w:rsidP="0021240B">
            <w:pPr>
              <w:pStyle w:val="TableBody"/>
              <w:rPr>
                <w:rFonts w:asciiTheme="majorHAnsi" w:hAnsiTheme="majorHAnsi" w:cstheme="majorHAnsi"/>
                <w:bCs/>
              </w:rPr>
            </w:pPr>
            <w:r>
              <w:rPr>
                <w:rFonts w:asciiTheme="majorHAnsi" w:hAnsiTheme="majorHAnsi" w:cstheme="majorHAnsi"/>
                <w:bCs/>
              </w:rPr>
              <w:t>-</w:t>
            </w:r>
          </w:p>
        </w:tc>
        <w:tc>
          <w:tcPr>
            <w:tcW w:w="1337" w:type="pct"/>
            <w:shd w:val="clear" w:color="auto" w:fill="auto"/>
            <w:vAlign w:val="center"/>
          </w:tcPr>
          <w:p w14:paraId="3CE4F20E" w14:textId="5965B303" w:rsidR="008170FE" w:rsidRPr="001F12AB" w:rsidRDefault="00AB0F75" w:rsidP="0021240B">
            <w:pPr>
              <w:pStyle w:val="TableBody"/>
              <w:rPr>
                <w:rFonts w:asciiTheme="majorHAnsi" w:hAnsiTheme="majorHAnsi" w:cstheme="majorHAnsi"/>
                <w:bCs/>
              </w:rPr>
            </w:pPr>
            <w:r>
              <w:rPr>
                <w:rFonts w:asciiTheme="majorHAnsi" w:hAnsiTheme="majorHAnsi" w:cstheme="majorHAnsi"/>
                <w:bCs/>
              </w:rPr>
              <w:t>-</w:t>
            </w:r>
          </w:p>
        </w:tc>
        <w:tc>
          <w:tcPr>
            <w:tcW w:w="1084" w:type="pct"/>
            <w:shd w:val="clear" w:color="auto" w:fill="auto"/>
            <w:vAlign w:val="center"/>
          </w:tcPr>
          <w:p w14:paraId="3626EAF0" w14:textId="6F6A200E" w:rsidR="00240BF4" w:rsidRPr="001F12AB" w:rsidRDefault="00AB0F75" w:rsidP="0021240B">
            <w:pPr>
              <w:pStyle w:val="TableBody"/>
              <w:rPr>
                <w:rFonts w:asciiTheme="majorHAnsi" w:hAnsiTheme="majorHAnsi" w:cstheme="majorHAnsi"/>
                <w:bCs/>
              </w:rPr>
            </w:pPr>
            <w:r w:rsidRPr="001F12AB">
              <w:rPr>
                <w:rFonts w:asciiTheme="majorHAnsi" w:hAnsiTheme="majorHAnsi" w:cstheme="majorHAnsi"/>
                <w:bCs/>
              </w:rPr>
              <w:t>2.2</w:t>
            </w:r>
          </w:p>
        </w:tc>
      </w:tr>
      <w:tr w:rsidR="00340241" w:rsidRPr="00827F58" w14:paraId="14688847" w14:textId="77777777" w:rsidTr="0021240B">
        <w:tc>
          <w:tcPr>
            <w:tcW w:w="1494" w:type="pct"/>
            <w:shd w:val="clear" w:color="auto" w:fill="F2F2F2" w:themeFill="background1" w:themeFillShade="F2"/>
          </w:tcPr>
          <w:p w14:paraId="0EB55583" w14:textId="77777777" w:rsidR="00240BF4" w:rsidRPr="00827F58" w:rsidRDefault="00240BF4" w:rsidP="0021240B">
            <w:pPr>
              <w:pStyle w:val="TableBody"/>
              <w:rPr>
                <w:bCs/>
              </w:rPr>
            </w:pPr>
            <w:r w:rsidRPr="00827F58">
              <w:rPr>
                <w:bCs/>
              </w:rPr>
              <w:t>Total avoided cost to the economy of the incident</w:t>
            </w:r>
          </w:p>
        </w:tc>
        <w:tc>
          <w:tcPr>
            <w:tcW w:w="1085" w:type="pct"/>
            <w:shd w:val="clear" w:color="auto" w:fill="F2F2F2" w:themeFill="background1" w:themeFillShade="F2"/>
            <w:vAlign w:val="center"/>
          </w:tcPr>
          <w:p w14:paraId="5D9E4A25" w14:textId="79268C38" w:rsidR="00240BF4" w:rsidRDefault="00AB0F75" w:rsidP="0021240B">
            <w:pPr>
              <w:pStyle w:val="TableBody"/>
            </w:pPr>
            <w:r>
              <w:t>196.0</w:t>
            </w:r>
          </w:p>
        </w:tc>
        <w:tc>
          <w:tcPr>
            <w:tcW w:w="1337" w:type="pct"/>
            <w:shd w:val="clear" w:color="auto" w:fill="F2F2F2" w:themeFill="background1" w:themeFillShade="F2"/>
            <w:vAlign w:val="center"/>
          </w:tcPr>
          <w:p w14:paraId="1C8F5931" w14:textId="2376B99D" w:rsidR="00240BF4" w:rsidRDefault="00AB0F75" w:rsidP="0021240B">
            <w:pPr>
              <w:pStyle w:val="TableBody"/>
            </w:pPr>
            <w:r>
              <w:t>98.0</w:t>
            </w:r>
          </w:p>
        </w:tc>
        <w:tc>
          <w:tcPr>
            <w:tcW w:w="1084" w:type="pct"/>
            <w:shd w:val="clear" w:color="auto" w:fill="F2F2F2" w:themeFill="background1" w:themeFillShade="F2"/>
            <w:vAlign w:val="center"/>
          </w:tcPr>
          <w:p w14:paraId="425D67EB" w14:textId="555CAD99" w:rsidR="00240BF4" w:rsidRPr="00827F58" w:rsidRDefault="00AB0F75" w:rsidP="0021240B">
            <w:pPr>
              <w:pStyle w:val="TableBody"/>
            </w:pPr>
            <w:r>
              <w:t>4.6</w:t>
            </w:r>
          </w:p>
        </w:tc>
      </w:tr>
      <w:tr w:rsidR="00340241" w:rsidRPr="00827F58" w14:paraId="2852AEF0" w14:textId="77777777" w:rsidTr="0021240B">
        <w:tc>
          <w:tcPr>
            <w:tcW w:w="1494" w:type="pct"/>
            <w:shd w:val="clear" w:color="auto" w:fill="auto"/>
          </w:tcPr>
          <w:p w14:paraId="0940C079" w14:textId="77777777" w:rsidR="00240BF4" w:rsidRPr="007D243C" w:rsidRDefault="00240BF4" w:rsidP="0021240B">
            <w:pPr>
              <w:pStyle w:val="TableBody"/>
            </w:pPr>
            <w:r w:rsidRPr="00A44322">
              <w:t>Approximate number of avoided incidents per annum required for a net benefit</w:t>
            </w:r>
          </w:p>
        </w:tc>
        <w:tc>
          <w:tcPr>
            <w:tcW w:w="1085" w:type="pct"/>
            <w:shd w:val="clear" w:color="auto" w:fill="auto"/>
            <w:vAlign w:val="center"/>
          </w:tcPr>
          <w:p w14:paraId="142489AC" w14:textId="0D82344F" w:rsidR="00240BF4" w:rsidRPr="000B2655" w:rsidRDefault="00E61EEE" w:rsidP="0021240B">
            <w:pPr>
              <w:pStyle w:val="TableBody"/>
            </w:pPr>
            <w:r>
              <w:t>3.</w:t>
            </w:r>
            <w:r w:rsidR="00AB0F75" w:rsidRPr="000B2655">
              <w:t>8</w:t>
            </w:r>
          </w:p>
        </w:tc>
        <w:tc>
          <w:tcPr>
            <w:tcW w:w="1337" w:type="pct"/>
            <w:shd w:val="clear" w:color="auto" w:fill="auto"/>
            <w:vAlign w:val="center"/>
          </w:tcPr>
          <w:p w14:paraId="58C2494D" w14:textId="5BA06B48" w:rsidR="00240BF4" w:rsidRPr="00A44322" w:rsidRDefault="00E61EEE" w:rsidP="0021240B">
            <w:pPr>
              <w:pStyle w:val="TableBody"/>
            </w:pPr>
            <w:r>
              <w:t>7.5</w:t>
            </w:r>
          </w:p>
        </w:tc>
        <w:tc>
          <w:tcPr>
            <w:tcW w:w="1084" w:type="pct"/>
            <w:shd w:val="clear" w:color="auto" w:fill="auto"/>
            <w:vAlign w:val="center"/>
          </w:tcPr>
          <w:p w14:paraId="3082E331" w14:textId="34329741" w:rsidR="00240BF4" w:rsidRPr="00A44322" w:rsidRDefault="00E61EEE" w:rsidP="0021240B">
            <w:pPr>
              <w:pStyle w:val="TableBody"/>
            </w:pPr>
            <w:r>
              <w:t>160.1</w:t>
            </w:r>
          </w:p>
        </w:tc>
      </w:tr>
    </w:tbl>
    <w:p w14:paraId="070DE264" w14:textId="39B27A3D" w:rsidR="00955268" w:rsidRPr="00107992" w:rsidRDefault="00955268" w:rsidP="00006ADD">
      <w:pPr>
        <w:pStyle w:val="BodyText"/>
        <w:spacing w:before="240"/>
      </w:pPr>
      <w:r w:rsidRPr="00A44322">
        <w:lastRenderedPageBreak/>
        <w:t>As noted above in the cost of option 2, the total direct ongoing cost for option 2 is expected to be $</w:t>
      </w:r>
      <w:r w:rsidR="002C2057" w:rsidRPr="007D243C">
        <w:t>2</w:t>
      </w:r>
      <w:r w:rsidR="00FF563D" w:rsidRPr="00CE4B35">
        <w:t>96.9</w:t>
      </w:r>
      <w:r w:rsidRPr="00A44322">
        <w:rPr>
          <w:color w:val="007BC3" w:themeColor="accent2"/>
        </w:rPr>
        <w:t xml:space="preserve"> </w:t>
      </w:r>
      <w:r w:rsidRPr="007D243C">
        <w:t>million per annum plus direct one-off costs of $</w:t>
      </w:r>
      <w:r w:rsidR="002C2057" w:rsidRPr="007E17D1">
        <w:t>11</w:t>
      </w:r>
      <w:r w:rsidR="002C2057" w:rsidRPr="00F51218">
        <w:t>6</w:t>
      </w:r>
      <w:r w:rsidR="00EE218A" w:rsidRPr="00CE4B35">
        <w:t>.</w:t>
      </w:r>
      <w:r w:rsidR="002C2057" w:rsidRPr="00A44322">
        <w:t>6</w:t>
      </w:r>
      <w:r w:rsidRPr="00A44322">
        <w:rPr>
          <w:color w:val="007BC3" w:themeColor="accent2"/>
        </w:rPr>
        <w:t xml:space="preserve"> </w:t>
      </w:r>
      <w:r w:rsidRPr="007D243C">
        <w:t>million</w:t>
      </w:r>
      <w:r w:rsidRPr="00107992">
        <w:t xml:space="preserve">. However, the cost of the risk management program framework would also have other indirect costs flowing from increased prices </w:t>
      </w:r>
      <w:r w:rsidR="002C2057">
        <w:t xml:space="preserve">for data storage or processing services </w:t>
      </w:r>
      <w:r w:rsidRPr="00107992">
        <w:t xml:space="preserve">passed onto consumers from the framework’s implementation. </w:t>
      </w:r>
    </w:p>
    <w:p w14:paraId="3AB2C875" w14:textId="084FEEA2" w:rsidR="002D039C" w:rsidRDefault="00955268" w:rsidP="009461D3">
      <w:pPr>
        <w:pStyle w:val="BodyText"/>
      </w:pPr>
      <w:r w:rsidRPr="00107992">
        <w:t xml:space="preserve">After considering the economy-wide impact of this change to the cost of providing </w:t>
      </w:r>
      <w:r w:rsidR="000A1A1B">
        <w:t>data</w:t>
      </w:r>
      <w:r w:rsidR="00751CBA">
        <w:t xml:space="preserve"> storage or processing</w:t>
      </w:r>
      <w:r w:rsidRPr="00107992">
        <w:t>, the total economic cost of the regulatory changes, including direct and indirect costs would be approximately $</w:t>
      </w:r>
      <w:r w:rsidR="008535A7">
        <w:t>738.0</w:t>
      </w:r>
      <w:r w:rsidRPr="00107992">
        <w:t xml:space="preserve"> million per year.</w:t>
      </w:r>
      <w:r w:rsidRPr="00107992">
        <w:rPr>
          <w:vertAlign w:val="superscript"/>
        </w:rPr>
        <w:footnoteReference w:id="357"/>
      </w:r>
      <w:r w:rsidRPr="00107992">
        <w:t xml:space="preserve"> In order for the regulatory changes to generate a net benefit, the proposed risk management program framework would need to contribute to the prevention of approximately </w:t>
      </w:r>
      <w:r w:rsidR="00376141">
        <w:t>165</w:t>
      </w:r>
      <w:r w:rsidR="000B2655" w:rsidRPr="00107992">
        <w:t xml:space="preserve"> </w:t>
      </w:r>
      <w:r w:rsidRPr="00107992">
        <w:t xml:space="preserve">low scenario incident approximately every </w:t>
      </w:r>
      <w:r w:rsidR="00BD5B47">
        <w:t>year</w:t>
      </w:r>
      <w:r w:rsidRPr="00107992">
        <w:t xml:space="preserve">, approximately </w:t>
      </w:r>
      <w:r w:rsidR="00F108C8">
        <w:t>8</w:t>
      </w:r>
      <w:r w:rsidR="00F108C8" w:rsidRPr="00107992">
        <w:t xml:space="preserve"> </w:t>
      </w:r>
      <w:r w:rsidRPr="00107992">
        <w:t>moderate scenario incident</w:t>
      </w:r>
      <w:r w:rsidR="00BD5B47">
        <w:t>s</w:t>
      </w:r>
      <w:r w:rsidRPr="00107992">
        <w:t xml:space="preserve"> every year or approximately </w:t>
      </w:r>
      <w:r w:rsidR="00F108C8">
        <w:t>4</w:t>
      </w:r>
      <w:r w:rsidR="00F108C8" w:rsidRPr="00107992">
        <w:t xml:space="preserve"> </w:t>
      </w:r>
      <w:r w:rsidRPr="00107992">
        <w:t>severe scenario</w:t>
      </w:r>
      <w:r w:rsidR="00BD5B47">
        <w:t>s</w:t>
      </w:r>
      <w:r w:rsidRPr="00107992">
        <w:t xml:space="preserve"> every year to generate a net benefit.</w:t>
      </w:r>
      <w:r w:rsidRPr="00827F58">
        <w:t xml:space="preserve"> </w:t>
      </w:r>
    </w:p>
    <w:p w14:paraId="77C0F7D5" w14:textId="77777777" w:rsidR="00586F81" w:rsidRDefault="002D039C" w:rsidP="009461D3">
      <w:pPr>
        <w:pStyle w:val="BodyText"/>
      </w:pPr>
      <w:r>
        <w:t xml:space="preserve">In terms of the </w:t>
      </w:r>
      <w:r w:rsidR="00C846DC">
        <w:t xml:space="preserve">feasibility of achieving a net benefit based on these numbers of incidents, the scale of the sector and likelihood of incidents occurring should be considered. The Department estimates that the number of responsible entities for critical data storage or processing assets exceeds 300. In addition, </w:t>
      </w:r>
      <w:r w:rsidR="00C846DC" w:rsidRPr="00827F58">
        <w:rPr>
          <w:rFonts w:eastAsia="Arial"/>
        </w:rPr>
        <w:t xml:space="preserve">the increasing frequency of incidents as described in section 1.1 makes the proposed risk management program framework more certain over time to exceed the anticipated costs. </w:t>
      </w:r>
      <w:r w:rsidR="00586F81" w:rsidRPr="00827F58">
        <w:t xml:space="preserve">The examples referred to in that section demonstrate the increasing need for adequate protections </w:t>
      </w:r>
      <w:r w:rsidR="00586F81">
        <w:t>for</w:t>
      </w:r>
      <w:r w:rsidR="00586F81" w:rsidRPr="00827F58">
        <w:t xml:space="preserve"> the security and resilience of critical </w:t>
      </w:r>
      <w:r w:rsidR="00586F81">
        <w:t>data storage or processing</w:t>
      </w:r>
      <w:r w:rsidR="00586F81" w:rsidRPr="00827F58">
        <w:t xml:space="preserve"> assets, and the increased likelihood that the benefits of the draft risk management program framework will exceed the costs outlined in this section.</w:t>
      </w:r>
    </w:p>
    <w:p w14:paraId="6AC0790C" w14:textId="77777777" w:rsidR="00955268" w:rsidRPr="00827F58" w:rsidRDefault="00955268" w:rsidP="009461D3">
      <w:pPr>
        <w:pStyle w:val="BodyText"/>
        <w:rPr>
          <w:rFonts w:eastAsia="Arial"/>
        </w:rPr>
      </w:pPr>
      <w:r w:rsidRPr="00827F58">
        <w:t xml:space="preserve">It is important to note that the economic analysis of the above scenarios may not incorporate all direct avoided costs incurred by all future incidents. </w:t>
      </w:r>
      <w:r w:rsidR="006407ED">
        <w:t>A range of direct costs in addition to what has been modelled could be experienced, including costs associated with repair of physical assets, legal or regulatory costs.</w:t>
      </w:r>
    </w:p>
    <w:p w14:paraId="74F0AD1A" w14:textId="77777777" w:rsidR="00955268" w:rsidRPr="00936788" w:rsidRDefault="00955268" w:rsidP="009461D3">
      <w:pPr>
        <w:pStyle w:val="AppendixH3"/>
      </w:pPr>
      <w:r w:rsidRPr="00936788">
        <w:t>Assessment of likely net benefit</w:t>
      </w:r>
    </w:p>
    <w:p w14:paraId="502DC64A" w14:textId="16C82EB8" w:rsidR="008D7B0A" w:rsidRPr="008D7B0A" w:rsidRDefault="00955268" w:rsidP="009461D3">
      <w:pPr>
        <w:pStyle w:val="BodyText"/>
      </w:pPr>
      <w:r w:rsidRPr="00827F58">
        <w:t xml:space="preserve">The likely benefits of option 2 will be at least (and are expected to be more than) the costs of the regulation. This is primarily because, as described above and throughout this RIS, the frequency </w:t>
      </w:r>
      <w:r w:rsidRPr="00AF6406">
        <w:t xml:space="preserve">and severity of all hazard risks for critical </w:t>
      </w:r>
      <w:r w:rsidR="00BD5B47" w:rsidRPr="00AF6406">
        <w:t>data</w:t>
      </w:r>
      <w:r w:rsidRPr="00AF6406">
        <w:t xml:space="preserve"> </w:t>
      </w:r>
      <w:r w:rsidR="006407ED" w:rsidRPr="00AF6406">
        <w:t xml:space="preserve">storage and processing </w:t>
      </w:r>
      <w:r w:rsidRPr="00AF6406">
        <w:t xml:space="preserve">assets are growing. </w:t>
      </w:r>
      <w:r w:rsidR="00AF6406" w:rsidRPr="009739FE">
        <w:t>The low baseline scenario</w:t>
      </w:r>
      <w:r w:rsidR="00AF6406">
        <w:t xml:space="preserve"> </w:t>
      </w:r>
      <w:r w:rsidR="00A404EB">
        <w:t xml:space="preserve">is </w:t>
      </w:r>
      <w:r w:rsidR="00AF6406">
        <w:t>an incident which affected a single entity and its customers</w:t>
      </w:r>
      <w:r w:rsidR="006F6883">
        <w:t xml:space="preserve"> –</w:t>
      </w:r>
      <w:r w:rsidR="00AF6406">
        <w:t xml:space="preserve"> </w:t>
      </w:r>
      <w:r w:rsidR="006F6883">
        <w:t>a</w:t>
      </w:r>
      <w:r w:rsidR="00CB056B">
        <w:t>n incident of this magnitude or greater could affect any business in the sector</w:t>
      </w:r>
      <w:r w:rsidR="00974DDE">
        <w:t>.</w:t>
      </w:r>
      <w:r w:rsidR="00966B69">
        <w:t xml:space="preserve"> </w:t>
      </w:r>
      <w:r w:rsidR="00974DDE">
        <w:t>Given there are</w:t>
      </w:r>
      <w:r w:rsidR="00966B69">
        <w:t xml:space="preserve"> estimated to</w:t>
      </w:r>
      <w:r w:rsidR="00974DDE">
        <w:t xml:space="preserve"> be in</w:t>
      </w:r>
      <w:r w:rsidR="00966B69">
        <w:t xml:space="preserve"> exce</w:t>
      </w:r>
      <w:r w:rsidR="00974DDE">
        <w:t>ss of</w:t>
      </w:r>
      <w:r w:rsidR="00966B69">
        <w:t xml:space="preserve"> 300</w:t>
      </w:r>
      <w:r w:rsidR="00DE4F4F">
        <w:t xml:space="preserve"> responsible</w:t>
      </w:r>
      <w:r w:rsidR="00966B69">
        <w:t xml:space="preserve"> entities </w:t>
      </w:r>
      <w:r w:rsidR="001313E2">
        <w:t>of varying si</w:t>
      </w:r>
      <w:r w:rsidR="00DB6FCB">
        <w:t>ze</w:t>
      </w:r>
      <w:r w:rsidR="00966B69">
        <w:t xml:space="preserve"> in Australia</w:t>
      </w:r>
      <w:r w:rsidR="00974DDE">
        <w:t xml:space="preserve">, the probability that </w:t>
      </w:r>
      <w:r w:rsidR="006B0357">
        <w:t>incidents will occur in a significant number of these entities is high</w:t>
      </w:r>
      <w:r w:rsidR="00CB056B">
        <w:t>.</w:t>
      </w:r>
      <w:r w:rsidR="00DB6FCB">
        <w:rPr>
          <w:rStyle w:val="FootnoteReference"/>
          <w:rFonts w:ascii="Arial" w:eastAsia="Calibri" w:hAnsi="Arial" w:cs="Arial"/>
        </w:rPr>
        <w:footnoteReference w:id="358"/>
      </w:r>
      <w:r w:rsidR="00CB056B">
        <w:t xml:space="preserve"> </w:t>
      </w:r>
      <w:r w:rsidR="006F6883">
        <w:t xml:space="preserve">The moderate baseline scenario demonstrates the interconnected nature of the sector and cascading effects of a disruption to one or more critical services upon which essential services rely. The inherent uncertainty around financial impacts of these types of incidents introduces a level of complexity when trying to understand specifics, but it can be assumed that </w:t>
      </w:r>
      <w:r w:rsidR="00B97665">
        <w:t>financial implications are large or larger than what is considered in the benefits model</w:t>
      </w:r>
    </w:p>
    <w:p w14:paraId="071CEADD" w14:textId="062B5757" w:rsidR="00955268" w:rsidRPr="00827F58" w:rsidRDefault="00CB056B" w:rsidP="009461D3">
      <w:pPr>
        <w:pStyle w:val="BodyText"/>
      </w:pPr>
      <w:r>
        <w:t>T</w:t>
      </w:r>
      <w:r w:rsidR="00955268" w:rsidRPr="00827F58">
        <w:t xml:space="preserve">he increasing severity and frequency of similar incidents, particularly in the context of growing cybersecurity incidents, represents a risk to the whole economy. </w:t>
      </w:r>
      <w:r w:rsidR="00C2423A">
        <w:t xml:space="preserve">The potential economic consequences of disruption incidents in this sector are </w:t>
      </w:r>
      <w:r w:rsidR="00DB6FCB">
        <w:t>broad</w:t>
      </w:r>
      <w:r w:rsidR="00C2423A">
        <w:t xml:space="preserve"> and </w:t>
      </w:r>
      <w:r w:rsidR="00DB6FCB">
        <w:t>uncertain</w:t>
      </w:r>
      <w:r w:rsidR="00AD1750">
        <w:t>.</w:t>
      </w:r>
      <w:r w:rsidR="001313E2">
        <w:t xml:space="preserve"> </w:t>
      </w:r>
      <w:r w:rsidR="00955268" w:rsidRPr="00827F58">
        <w:t xml:space="preserve">The increasing </w:t>
      </w:r>
      <w:r w:rsidR="00955268" w:rsidRPr="00827F58">
        <w:lastRenderedPageBreak/>
        <w:t>frequency of incidents, as described above</w:t>
      </w:r>
      <w:r w:rsidR="001313E2">
        <w:t xml:space="preserve"> and throughout the RIS</w:t>
      </w:r>
      <w:r w:rsidR="00955268" w:rsidRPr="00827F58">
        <w:t xml:space="preserve">, makes the proposed risk management program framework more likely to exceed the anticipated costs over time. </w:t>
      </w:r>
    </w:p>
    <w:p w14:paraId="7B6ADBED" w14:textId="77777777" w:rsidR="00955268" w:rsidRPr="00827F58" w:rsidRDefault="00955268" w:rsidP="009461D3">
      <w:pPr>
        <w:pStyle w:val="BodyText"/>
      </w:pPr>
      <w:r w:rsidRPr="00827F58">
        <w:t>Further, through pursuit of option 2, the identification, mitigation and remediation of such hazards, should they occur, will be improved through:</w:t>
      </w:r>
    </w:p>
    <w:p w14:paraId="4D84036A" w14:textId="77777777" w:rsidR="00955268" w:rsidRPr="00827F58" w:rsidRDefault="00955268" w:rsidP="009461D3">
      <w:pPr>
        <w:pStyle w:val="Bullet1stlevel"/>
      </w:pPr>
      <w:r w:rsidRPr="00827F58">
        <w:t xml:space="preserve">Lowering the material risk of hazards and subsequent impacts of those hazards, as they manifest for critical </w:t>
      </w:r>
      <w:r w:rsidR="00966B69">
        <w:t>data storage or processing</w:t>
      </w:r>
      <w:r w:rsidRPr="00827F58">
        <w:t xml:space="preserve"> assets; </w:t>
      </w:r>
    </w:p>
    <w:p w14:paraId="5C83DE23" w14:textId="77777777" w:rsidR="00955268" w:rsidRPr="00827F58" w:rsidRDefault="00955268" w:rsidP="009461D3">
      <w:pPr>
        <w:pStyle w:val="Bullet1stlevel"/>
      </w:pPr>
      <w:r w:rsidRPr="00827F58">
        <w:t xml:space="preserve">Ensuring that adoption of the risk management program framework for critical </w:t>
      </w:r>
      <w:r w:rsidR="00966B69">
        <w:t>data storage or processing</w:t>
      </w:r>
      <w:r w:rsidRPr="00827F58">
        <w:t xml:space="preserve"> assets is reasonable and proportionate to the purpose of the program; </w:t>
      </w:r>
    </w:p>
    <w:p w14:paraId="49EDBC61" w14:textId="77777777" w:rsidR="00955268" w:rsidRPr="00827F58" w:rsidRDefault="00955268" w:rsidP="009461D3">
      <w:pPr>
        <w:pStyle w:val="Bullet1stlevel"/>
      </w:pPr>
      <w:r w:rsidRPr="00827F58">
        <w:t xml:space="preserve">Avoiding regulatory duplication and facilitating a coordinated uplift in responsible entities’ compliance with relevant standards; and </w:t>
      </w:r>
    </w:p>
    <w:p w14:paraId="4060C302" w14:textId="77777777" w:rsidR="00955268" w:rsidRPr="00827F58" w:rsidRDefault="00955268" w:rsidP="009461D3">
      <w:pPr>
        <w:pStyle w:val="Bullet1stlevel"/>
      </w:pPr>
      <w:r w:rsidRPr="00827F58">
        <w:t xml:space="preserve">Improving Government’s visibility over the security and resilience of critical </w:t>
      </w:r>
      <w:r w:rsidR="00966B69">
        <w:t>data storage or processing</w:t>
      </w:r>
      <w:r w:rsidRPr="00827F58">
        <w:t xml:space="preserve"> assets. </w:t>
      </w:r>
    </w:p>
    <w:p w14:paraId="5B260189" w14:textId="77777777" w:rsidR="00163B97" w:rsidRPr="009461D3" w:rsidRDefault="00955268" w:rsidP="009461D3">
      <w:pPr>
        <w:pStyle w:val="BodyText"/>
      </w:pPr>
      <w:r w:rsidRPr="009461D3">
        <w:t xml:space="preserve">Overall, these factors and the specific costs and benefits described above mean the likely net benefit associated with option 2 is high. </w:t>
      </w:r>
      <w:r w:rsidR="00163B97" w:rsidRPr="009461D3">
        <w:br w:type="page"/>
      </w:r>
    </w:p>
    <w:p w14:paraId="5C15CE7E" w14:textId="6D372AEF" w:rsidR="00163B97" w:rsidRPr="00E33A2A" w:rsidRDefault="00163B97" w:rsidP="0021240B">
      <w:pPr>
        <w:pStyle w:val="AppendixH1"/>
        <w:rPr>
          <w:szCs w:val="32"/>
        </w:rPr>
      </w:pPr>
      <w:bookmarkStart w:id="649" w:name="_Toc121397429"/>
      <w:r w:rsidRPr="008D154D">
        <w:lastRenderedPageBreak/>
        <w:t>Detailed costing information for critical broadcasting assets</w:t>
      </w:r>
      <w:r w:rsidR="00BE01C2">
        <w:t xml:space="preserve"> and critical domain name systems</w:t>
      </w:r>
      <w:bookmarkEnd w:id="649"/>
    </w:p>
    <w:p w14:paraId="2B43081D" w14:textId="0F9F3786" w:rsidR="00BE01C2" w:rsidRDefault="00BE01C2" w:rsidP="00BE01C2">
      <w:pPr>
        <w:pStyle w:val="BodyText"/>
      </w:pPr>
      <w:r>
        <w:t xml:space="preserve">The costing and </w:t>
      </w:r>
      <w:r w:rsidR="00B832F2">
        <w:t xml:space="preserve">subsequent </w:t>
      </w:r>
      <w:r>
        <w:t xml:space="preserve">benefit analysis process for critical broadcasting assets and critical domain name systems </w:t>
      </w:r>
      <w:r w:rsidR="00B832F2">
        <w:t>has been undertaken at a sector (communications) level. This is due to the small number of responsible entities in each asset</w:t>
      </w:r>
      <w:r w:rsidR="00A97384">
        <w:t xml:space="preserve"> class (two and one respectively).</w:t>
      </w:r>
    </w:p>
    <w:p w14:paraId="4B9F9CED" w14:textId="1466DC9F" w:rsidR="00163B97" w:rsidRPr="00D450CF" w:rsidRDefault="00163B97" w:rsidP="0021240B">
      <w:pPr>
        <w:pStyle w:val="AppendixH2"/>
      </w:pPr>
      <w:r w:rsidRPr="00D450CF">
        <w:t xml:space="preserve">Costing process completed by responsible entities </w:t>
      </w:r>
      <w:r w:rsidR="00A97384">
        <w:t>in the communications sector</w:t>
      </w:r>
    </w:p>
    <w:p w14:paraId="4554122E" w14:textId="66481BB5" w:rsidR="00163B97" w:rsidRDefault="006B0357" w:rsidP="0021240B">
      <w:pPr>
        <w:pStyle w:val="BodyText"/>
      </w:pPr>
      <w:r>
        <w:t xml:space="preserve">Cost submissions were received from </w:t>
      </w:r>
      <w:r w:rsidR="005E06AC">
        <w:t>2</w:t>
      </w:r>
      <w:r w:rsidR="00163B97">
        <w:t xml:space="preserve"> responsible entities for critical </w:t>
      </w:r>
      <w:r w:rsidR="005E06AC">
        <w:t>broadcasting</w:t>
      </w:r>
      <w:r w:rsidR="00163B97">
        <w:t xml:space="preserve"> assets. This represented </w:t>
      </w:r>
      <w:r w:rsidR="00D037FA">
        <w:t>100</w:t>
      </w:r>
      <w:r w:rsidR="00163B97">
        <w:t>.</w:t>
      </w:r>
      <w:r w:rsidR="00D037FA">
        <w:t>0</w:t>
      </w:r>
      <w:r w:rsidR="00163B97">
        <w:t xml:space="preserve">% of the total critical </w:t>
      </w:r>
      <w:r w:rsidR="00D037FA">
        <w:t>broadcasting</w:t>
      </w:r>
      <w:r w:rsidR="00163B97">
        <w:t xml:space="preserve"> asset market. </w:t>
      </w:r>
      <w:r w:rsidR="00165DE0">
        <w:t xml:space="preserve">Cost submissions were </w:t>
      </w:r>
      <w:r w:rsidR="00165DE0" w:rsidRPr="00AB5F94">
        <w:t>received</w:t>
      </w:r>
      <w:r w:rsidR="00165DE0">
        <w:t xml:space="preserve"> from </w:t>
      </w:r>
      <w:r w:rsidR="00165DE0" w:rsidRPr="00A46D63">
        <w:t xml:space="preserve">1 responsible entity for critical domain name system assets. This represented 100.0% of the total critical domain name system asset market. </w:t>
      </w:r>
    </w:p>
    <w:p w14:paraId="454A3FA2" w14:textId="77777777" w:rsidR="0069237B" w:rsidRDefault="0069237B" w:rsidP="0021240B">
      <w:pPr>
        <w:pStyle w:val="AppendixH2"/>
      </w:pPr>
      <w:r>
        <w:t>Likely net benefit – option 2</w:t>
      </w:r>
    </w:p>
    <w:p w14:paraId="4C780A49" w14:textId="77777777" w:rsidR="0069237B" w:rsidRPr="0069237B" w:rsidRDefault="0069237B" w:rsidP="0021240B">
      <w:pPr>
        <w:pStyle w:val="BodyText"/>
        <w:rPr>
          <w:rFonts w:eastAsia="Calibri"/>
        </w:rPr>
      </w:pPr>
      <w:r w:rsidRPr="00E9705C">
        <w:t xml:space="preserve">The following section details the costs and benefits associated with option 2 (the regulatory option), before assessing the overall likely net benefit presented by this option. </w:t>
      </w:r>
    </w:p>
    <w:p w14:paraId="342F6398" w14:textId="77777777" w:rsidR="00AD6A3B" w:rsidRPr="00AD6A3B" w:rsidRDefault="00AD6A3B" w:rsidP="0021240B">
      <w:pPr>
        <w:pStyle w:val="AppendixH2"/>
      </w:pPr>
      <w:r w:rsidRPr="00AD6A3B">
        <w:t>Costs of option 2</w:t>
      </w:r>
    </w:p>
    <w:p w14:paraId="190C863A" w14:textId="5C94F02E" w:rsidR="00AD6A3B" w:rsidRPr="00AD6A3B" w:rsidRDefault="00AD6A3B" w:rsidP="0021240B">
      <w:pPr>
        <w:pStyle w:val="BodyText"/>
      </w:pPr>
      <w:r w:rsidRPr="00AD6A3B">
        <w:t xml:space="preserve">There are multiple factors affecting the regulatory burden for each entity, including their existing risk management practices and capabilities, the nature of the critical assets they operate and the size of their operations. In collecting cost information from entities across critical broadcasting </w:t>
      </w:r>
      <w:r w:rsidR="00924520">
        <w:t>and critical domain name system</w:t>
      </w:r>
      <w:r w:rsidRPr="00AD6A3B">
        <w:t xml:space="preserve"> assets, this variance in cost impact has been captured and reflected in the estimates of total cost across critical </w:t>
      </w:r>
      <w:r w:rsidR="00957B09">
        <w:t>broadcasting</w:t>
      </w:r>
      <w:r w:rsidRPr="00AD6A3B">
        <w:t xml:space="preserve"> assets included in this RIS.</w:t>
      </w:r>
    </w:p>
    <w:p w14:paraId="108627E7" w14:textId="77777777" w:rsidR="006029A8" w:rsidRPr="00E31954" w:rsidRDefault="006029A8" w:rsidP="0021240B">
      <w:pPr>
        <w:pStyle w:val="BodyText"/>
      </w:pPr>
      <w:r w:rsidRPr="00E31954">
        <w:t xml:space="preserve">When estimating the cost of compliance with option 2, critical </w:t>
      </w:r>
      <w:r w:rsidR="0064090D">
        <w:t>broadcasting</w:t>
      </w:r>
      <w:r w:rsidRPr="00E31954">
        <w:t xml:space="preserve"> asset entities provided both an expected and a high-cost estimate. The high-cost estimate was provided as a way to measure the uncertainty associated with their estimates and the highest feasible cost of option 2. The expected estimate was used as the basis for determining the net benefit of option 2 in section 4. </w:t>
      </w:r>
    </w:p>
    <w:p w14:paraId="38B2D4C8" w14:textId="77777777" w:rsidR="00BC70E5" w:rsidRDefault="00BC70E5" w:rsidP="00BC70E5">
      <w:pPr>
        <w:spacing w:after="160"/>
        <w:rPr>
          <w:rFonts w:ascii="Arial" w:eastAsia="Calibri" w:hAnsi="Arial" w:cs="Arial"/>
          <w:sz w:val="22"/>
        </w:rPr>
      </w:pPr>
      <w:r>
        <w:rPr>
          <w:rFonts w:ascii="Arial" w:eastAsia="Calibri" w:hAnsi="Arial" w:cs="Arial"/>
          <w:sz w:val="22"/>
        </w:rPr>
        <w:t xml:space="preserve">Using the expected and the high estimate as a range, the cost of compliance is as follows: </w:t>
      </w:r>
    </w:p>
    <w:p w14:paraId="3F99DD9D" w14:textId="49C2612C" w:rsidR="00BC70E5" w:rsidRDefault="00BC70E5" w:rsidP="00BC70E5">
      <w:pPr>
        <w:numPr>
          <w:ilvl w:val="0"/>
          <w:numId w:val="55"/>
        </w:numPr>
        <w:spacing w:before="0" w:after="0" w:line="256" w:lineRule="auto"/>
        <w:ind w:left="357" w:hanging="357"/>
        <w:contextualSpacing/>
        <w:rPr>
          <w:rFonts w:ascii="Arial" w:eastAsia="Calibri" w:hAnsi="Arial" w:cs="Arial"/>
          <w:sz w:val="22"/>
        </w:rPr>
      </w:pPr>
      <w:r>
        <w:rPr>
          <w:rFonts w:ascii="Arial" w:eastAsia="Calibri" w:hAnsi="Arial" w:cs="Arial"/>
          <w:sz w:val="22"/>
        </w:rPr>
        <w:t>A one-off regulatory cost of between $2.</w:t>
      </w:r>
      <w:r w:rsidR="00F31D5E">
        <w:rPr>
          <w:rFonts w:ascii="Arial" w:eastAsia="Calibri" w:hAnsi="Arial" w:cs="Arial"/>
          <w:sz w:val="22"/>
        </w:rPr>
        <w:t>1</w:t>
      </w:r>
      <w:r w:rsidR="00DC490A">
        <w:rPr>
          <w:rFonts w:ascii="Arial" w:eastAsia="Calibri" w:hAnsi="Arial" w:cs="Arial"/>
          <w:sz w:val="22"/>
        </w:rPr>
        <w:t xml:space="preserve"> </w:t>
      </w:r>
      <w:r>
        <w:rPr>
          <w:rFonts w:ascii="Arial" w:eastAsia="Calibri" w:hAnsi="Arial" w:cs="Arial"/>
          <w:sz w:val="22"/>
        </w:rPr>
        <w:t>(expected) and $3.</w:t>
      </w:r>
      <w:r w:rsidR="005B2A4E">
        <w:rPr>
          <w:rFonts w:ascii="Arial" w:eastAsia="Calibri" w:hAnsi="Arial" w:cs="Arial"/>
          <w:sz w:val="22"/>
        </w:rPr>
        <w:t>5</w:t>
      </w:r>
      <w:r>
        <w:rPr>
          <w:rFonts w:ascii="Arial" w:eastAsia="Calibri" w:hAnsi="Arial" w:cs="Arial"/>
          <w:sz w:val="22"/>
        </w:rPr>
        <w:t xml:space="preserve"> million (high estimate), across critical broadcasting and domain name systems assets nationally; and </w:t>
      </w:r>
    </w:p>
    <w:p w14:paraId="0CD7AB87" w14:textId="4116BCD6" w:rsidR="00BC70E5" w:rsidRDefault="00BC70E5" w:rsidP="00BC70E5">
      <w:pPr>
        <w:numPr>
          <w:ilvl w:val="0"/>
          <w:numId w:val="55"/>
        </w:numPr>
        <w:spacing w:before="0" w:after="0" w:line="256" w:lineRule="auto"/>
        <w:ind w:left="357" w:hanging="357"/>
        <w:contextualSpacing/>
        <w:rPr>
          <w:rFonts w:ascii="Arial" w:eastAsia="Calibri" w:hAnsi="Arial" w:cs="Arial"/>
          <w:sz w:val="22"/>
        </w:rPr>
      </w:pPr>
      <w:r>
        <w:rPr>
          <w:rFonts w:ascii="Arial" w:eastAsia="Calibri" w:hAnsi="Arial" w:cs="Arial"/>
          <w:sz w:val="22"/>
        </w:rPr>
        <w:t>An ongoing cost of between $1.5 (expected) and $2.</w:t>
      </w:r>
      <w:r w:rsidR="000C7E15">
        <w:rPr>
          <w:rFonts w:ascii="Arial" w:eastAsia="Calibri" w:hAnsi="Arial" w:cs="Arial"/>
          <w:sz w:val="22"/>
        </w:rPr>
        <w:t>4</w:t>
      </w:r>
      <w:r>
        <w:rPr>
          <w:rFonts w:ascii="Arial" w:eastAsia="Calibri" w:hAnsi="Arial" w:cs="Arial"/>
          <w:sz w:val="22"/>
        </w:rPr>
        <w:t xml:space="preserve"> million (high estimate) per year, across critical broadcasting and domain name systems assets nationally. </w:t>
      </w:r>
    </w:p>
    <w:p w14:paraId="27CF8B29" w14:textId="77777777" w:rsidR="00AD6A3B" w:rsidRPr="00AD6A3B" w:rsidRDefault="00AD6A3B" w:rsidP="0021240B">
      <w:pPr>
        <w:pStyle w:val="BodyText"/>
      </w:pPr>
      <w:r w:rsidRPr="00AD6A3B">
        <w:t xml:space="preserve">The cost of regulation will be borne by entities responsible for critical </w:t>
      </w:r>
      <w:r w:rsidR="00F86032">
        <w:rPr>
          <w:bCs/>
        </w:rPr>
        <w:t>b</w:t>
      </w:r>
      <w:r w:rsidRPr="00AD6A3B">
        <w:rPr>
          <w:bCs/>
        </w:rPr>
        <w:t>roadcasting</w:t>
      </w:r>
      <w:r w:rsidRPr="00AD6A3B">
        <w:t xml:space="preserve"> assets who meet the relevant thresholds. Community organisations and individuals will not be directly affected but there will likely be indirect costs passed onto consumers. For the purposes of this RIS, the cost of regulation in </w:t>
      </w:r>
      <w:r w:rsidR="004D7DD7">
        <w:t>the table below</w:t>
      </w:r>
      <w:r w:rsidRPr="00AD6A3B">
        <w:t xml:space="preserve"> will only include the initial costs associated with regulation</w:t>
      </w:r>
      <w:r w:rsidRPr="00AD6A3B">
        <w:rPr>
          <w:vertAlign w:val="superscript"/>
        </w:rPr>
        <w:footnoteReference w:id="359"/>
      </w:r>
      <w:r w:rsidRPr="00AD6A3B">
        <w:t xml:space="preserve">. </w:t>
      </w:r>
      <w:r w:rsidRPr="00AD6A3B">
        <w:rPr>
          <w:rFonts w:eastAsia="Times New Roman"/>
        </w:rPr>
        <w:t xml:space="preserve">The indirect cost to consumers and communities has been addressed in the economic analysis through consideration of indirect cost to the wider economy </w:t>
      </w:r>
      <w:r w:rsidR="00F86032" w:rsidRPr="00AD6A3B">
        <w:rPr>
          <w:rFonts w:eastAsia="Times New Roman"/>
        </w:rPr>
        <w:t>because</w:t>
      </w:r>
      <w:r w:rsidRPr="00AD6A3B">
        <w:rPr>
          <w:rFonts w:eastAsia="Times New Roman"/>
        </w:rPr>
        <w:t xml:space="preserve"> of the proposed risk management program framework.</w:t>
      </w:r>
    </w:p>
    <w:p w14:paraId="601A6CF3" w14:textId="02FAEC5D" w:rsidR="00AD6A3B" w:rsidRPr="00AD6A3B" w:rsidRDefault="00AD6A3B" w:rsidP="0021240B">
      <w:pPr>
        <w:pStyle w:val="BodyText"/>
      </w:pPr>
      <w:r w:rsidRPr="00AD6A3B">
        <w:lastRenderedPageBreak/>
        <w:t xml:space="preserve">The average cost of compliance for each entity is estimated at </w:t>
      </w:r>
      <w:r>
        <w:t>$</w:t>
      </w:r>
      <w:r w:rsidR="18FBAE2E">
        <w:t>0.7</w:t>
      </w:r>
      <w:r w:rsidRPr="00AD6A3B">
        <w:rPr>
          <w:bCs/>
        </w:rPr>
        <w:t xml:space="preserve"> million in one-off costs and </w:t>
      </w:r>
      <w:r>
        <w:t>$0.</w:t>
      </w:r>
      <w:r w:rsidR="47599396">
        <w:t>5</w:t>
      </w:r>
      <w:r w:rsidRPr="00AD6A3B">
        <w:rPr>
          <w:bCs/>
        </w:rPr>
        <w:t xml:space="preserve"> million per year in ongoing costs</w:t>
      </w:r>
      <w:r w:rsidRPr="00AD6A3B">
        <w:t>.</w:t>
      </w:r>
    </w:p>
    <w:p w14:paraId="571C69F9" w14:textId="77777777" w:rsidR="00AD6A3B" w:rsidRPr="00AD6A3B" w:rsidRDefault="00AD6A3B" w:rsidP="0021240B">
      <w:pPr>
        <w:pStyle w:val="Caption"/>
      </w:pPr>
      <w:r w:rsidRPr="00AD6A3B">
        <w:t>Regulatory cost estimate</w:t>
      </w:r>
    </w:p>
    <w:tbl>
      <w:tblPr>
        <w:tblStyle w:val="TableGrid1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1928"/>
        <w:gridCol w:w="2159"/>
        <w:gridCol w:w="1696"/>
        <w:gridCol w:w="1638"/>
        <w:gridCol w:w="2217"/>
      </w:tblGrid>
      <w:tr w:rsidR="00AD6A3B" w:rsidRPr="00D24290" w14:paraId="10CC4AE7" w14:textId="77777777" w:rsidTr="006361FE">
        <w:tc>
          <w:tcPr>
            <w:tcW w:w="1000" w:type="pct"/>
            <w:vMerge w:val="restart"/>
            <w:shd w:val="clear" w:color="auto" w:fill="034EA2" w:themeFill="accent1"/>
            <w:hideMark/>
          </w:tcPr>
          <w:p w14:paraId="781A62ED" w14:textId="77777777" w:rsidR="00AD6A3B" w:rsidRPr="00D24290" w:rsidRDefault="00AD6A3B" w:rsidP="006361FE">
            <w:pPr>
              <w:pStyle w:val="TableHeading"/>
              <w:rPr>
                <w:rFonts w:asciiTheme="minorHAnsi" w:hAnsiTheme="minorHAnsi" w:cstheme="minorHAnsi"/>
                <w:lang w:eastAsia="en-AU"/>
              </w:rPr>
            </w:pPr>
            <w:r w:rsidRPr="00D24290">
              <w:rPr>
                <w:rFonts w:asciiTheme="minorHAnsi" w:hAnsiTheme="minorHAnsi" w:cstheme="minorHAnsi"/>
                <w:lang w:eastAsia="en-AU"/>
              </w:rPr>
              <w:t>Cost Type</w:t>
            </w:r>
          </w:p>
        </w:tc>
        <w:tc>
          <w:tcPr>
            <w:tcW w:w="4000" w:type="pct"/>
            <w:gridSpan w:val="4"/>
            <w:shd w:val="clear" w:color="auto" w:fill="034EA2" w:themeFill="accent1"/>
            <w:vAlign w:val="center"/>
            <w:hideMark/>
          </w:tcPr>
          <w:p w14:paraId="27520666" w14:textId="77777777" w:rsidR="00AD6A3B" w:rsidRPr="00D24290" w:rsidRDefault="00AD6A3B" w:rsidP="00D24290">
            <w:pPr>
              <w:pStyle w:val="TableHeading"/>
              <w:rPr>
                <w:rFonts w:asciiTheme="minorHAnsi" w:hAnsiTheme="minorHAnsi" w:cstheme="minorHAnsi"/>
                <w:lang w:eastAsia="en-AU"/>
              </w:rPr>
            </w:pPr>
            <w:r w:rsidRPr="00D24290">
              <w:rPr>
                <w:rFonts w:asciiTheme="minorHAnsi" w:hAnsiTheme="minorHAnsi" w:cstheme="minorHAnsi"/>
                <w:lang w:eastAsia="en-AU"/>
              </w:rPr>
              <w:t>Costs ($ million)</w:t>
            </w:r>
          </w:p>
        </w:tc>
      </w:tr>
      <w:tr w:rsidR="00340241" w:rsidRPr="00D24290" w14:paraId="5DFDF241" w14:textId="77777777" w:rsidTr="00F21422">
        <w:tc>
          <w:tcPr>
            <w:tcW w:w="1000" w:type="pct"/>
            <w:vMerge/>
            <w:vAlign w:val="center"/>
            <w:hideMark/>
          </w:tcPr>
          <w:p w14:paraId="08623D37" w14:textId="77777777" w:rsidR="00AD6A3B" w:rsidRPr="00D24290" w:rsidRDefault="00AD6A3B" w:rsidP="00BA7EFE">
            <w:pPr>
              <w:pStyle w:val="TableBody"/>
              <w:rPr>
                <w:rFonts w:asciiTheme="minorHAnsi" w:hAnsiTheme="minorHAnsi" w:cstheme="minorHAnsi"/>
                <w:lang w:eastAsia="en-AU"/>
              </w:rPr>
            </w:pPr>
          </w:p>
        </w:tc>
        <w:tc>
          <w:tcPr>
            <w:tcW w:w="1120" w:type="pct"/>
            <w:shd w:val="clear" w:color="auto" w:fill="DEEAF6"/>
            <w:vAlign w:val="center"/>
            <w:hideMark/>
          </w:tcPr>
          <w:p w14:paraId="3BD30A6C"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lang w:eastAsia="en-AU"/>
              </w:rPr>
              <w:t>Business</w:t>
            </w:r>
          </w:p>
        </w:tc>
        <w:tc>
          <w:tcPr>
            <w:tcW w:w="880" w:type="pct"/>
            <w:shd w:val="clear" w:color="auto" w:fill="DEEAF6"/>
            <w:vAlign w:val="center"/>
            <w:hideMark/>
          </w:tcPr>
          <w:p w14:paraId="2A43A7DA"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lang w:eastAsia="en-AU"/>
              </w:rPr>
              <w:t>Community</w:t>
            </w:r>
          </w:p>
        </w:tc>
        <w:tc>
          <w:tcPr>
            <w:tcW w:w="850" w:type="pct"/>
            <w:shd w:val="clear" w:color="auto" w:fill="DEEAF6"/>
            <w:vAlign w:val="center"/>
            <w:hideMark/>
          </w:tcPr>
          <w:p w14:paraId="008B2F24"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lang w:eastAsia="en-AU"/>
              </w:rPr>
              <w:t>Individuals</w:t>
            </w:r>
          </w:p>
        </w:tc>
        <w:tc>
          <w:tcPr>
            <w:tcW w:w="1150" w:type="pct"/>
            <w:shd w:val="clear" w:color="auto" w:fill="DEEAF6"/>
            <w:vAlign w:val="center"/>
            <w:hideMark/>
          </w:tcPr>
          <w:p w14:paraId="769C1C7E"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lang w:eastAsia="en-AU"/>
              </w:rPr>
              <w:t>Total cost ($ million)</w:t>
            </w:r>
          </w:p>
        </w:tc>
      </w:tr>
      <w:tr w:rsidR="00AD6A3B" w:rsidRPr="00D24290" w14:paraId="3864EF6A" w14:textId="77777777" w:rsidTr="00F21422">
        <w:tc>
          <w:tcPr>
            <w:tcW w:w="1000" w:type="pct"/>
            <w:shd w:val="clear" w:color="auto" w:fill="F2F2F2" w:themeFill="background1" w:themeFillShade="F2"/>
            <w:vAlign w:val="center"/>
            <w:hideMark/>
          </w:tcPr>
          <w:p w14:paraId="72437CF4"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lang w:eastAsia="en-AU"/>
              </w:rPr>
              <w:t>One-off</w:t>
            </w:r>
          </w:p>
        </w:tc>
        <w:tc>
          <w:tcPr>
            <w:tcW w:w="1120" w:type="pct"/>
            <w:shd w:val="clear" w:color="auto" w:fill="auto"/>
            <w:vAlign w:val="center"/>
            <w:hideMark/>
          </w:tcPr>
          <w:p w14:paraId="221D9893" w14:textId="38DB13A4" w:rsidR="00AD6A3B" w:rsidRPr="00D24290" w:rsidRDefault="00AE18C7" w:rsidP="00BA7EFE">
            <w:pPr>
              <w:pStyle w:val="TableBody"/>
              <w:rPr>
                <w:rFonts w:asciiTheme="minorHAnsi" w:hAnsiTheme="minorHAnsi" w:cstheme="minorHAnsi"/>
                <w:lang w:eastAsia="en-AU"/>
              </w:rPr>
            </w:pPr>
            <w:r>
              <w:rPr>
                <w:rFonts w:asciiTheme="minorHAnsi" w:hAnsiTheme="minorHAnsi" w:cstheme="minorHAnsi"/>
              </w:rPr>
              <w:t>2.</w:t>
            </w:r>
            <w:r w:rsidR="00EF7B03">
              <w:rPr>
                <w:rFonts w:asciiTheme="minorHAnsi" w:hAnsiTheme="minorHAnsi" w:cstheme="minorHAnsi"/>
              </w:rPr>
              <w:t>1</w:t>
            </w:r>
            <w:r>
              <w:rPr>
                <w:rFonts w:asciiTheme="minorHAnsi" w:hAnsiTheme="minorHAnsi" w:cstheme="minorHAnsi"/>
              </w:rPr>
              <w:t xml:space="preserve"> to 3.</w:t>
            </w:r>
            <w:r w:rsidR="005B2A4E">
              <w:rPr>
                <w:rFonts w:asciiTheme="minorHAnsi" w:hAnsiTheme="minorHAnsi" w:cstheme="minorHAnsi"/>
              </w:rPr>
              <w:t>5</w:t>
            </w:r>
          </w:p>
        </w:tc>
        <w:tc>
          <w:tcPr>
            <w:tcW w:w="880" w:type="pct"/>
            <w:shd w:val="clear" w:color="auto" w:fill="auto"/>
            <w:vAlign w:val="center"/>
            <w:hideMark/>
          </w:tcPr>
          <w:p w14:paraId="647303A9"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rPr>
              <w:t>nil</w:t>
            </w:r>
          </w:p>
        </w:tc>
        <w:tc>
          <w:tcPr>
            <w:tcW w:w="850" w:type="pct"/>
            <w:shd w:val="clear" w:color="auto" w:fill="auto"/>
            <w:vAlign w:val="center"/>
            <w:hideMark/>
          </w:tcPr>
          <w:p w14:paraId="2B605671"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rPr>
              <w:t>nil</w:t>
            </w:r>
          </w:p>
        </w:tc>
        <w:tc>
          <w:tcPr>
            <w:tcW w:w="1150" w:type="pct"/>
            <w:shd w:val="clear" w:color="auto" w:fill="auto"/>
            <w:vAlign w:val="center"/>
            <w:hideMark/>
          </w:tcPr>
          <w:p w14:paraId="29E1040B" w14:textId="54DCE7BC" w:rsidR="00AD6A3B" w:rsidRPr="00D24290" w:rsidRDefault="00DC490A" w:rsidP="00BA7EFE">
            <w:pPr>
              <w:pStyle w:val="TableBody"/>
              <w:rPr>
                <w:rFonts w:asciiTheme="minorHAnsi" w:hAnsiTheme="minorHAnsi" w:cstheme="minorHAnsi"/>
              </w:rPr>
            </w:pPr>
            <w:r>
              <w:rPr>
                <w:rFonts w:asciiTheme="minorHAnsi" w:hAnsiTheme="minorHAnsi" w:cstheme="minorHAnsi"/>
              </w:rPr>
              <w:t>2.</w:t>
            </w:r>
            <w:r w:rsidR="00EF7B03">
              <w:rPr>
                <w:rFonts w:asciiTheme="minorHAnsi" w:hAnsiTheme="minorHAnsi" w:cstheme="minorHAnsi"/>
              </w:rPr>
              <w:t>1</w:t>
            </w:r>
            <w:r>
              <w:rPr>
                <w:rFonts w:asciiTheme="minorHAnsi" w:hAnsiTheme="minorHAnsi" w:cstheme="minorHAnsi"/>
              </w:rPr>
              <w:t xml:space="preserve"> to 3.</w:t>
            </w:r>
            <w:r w:rsidR="005B2A4E">
              <w:rPr>
                <w:rFonts w:asciiTheme="minorHAnsi" w:hAnsiTheme="minorHAnsi" w:cstheme="minorHAnsi"/>
              </w:rPr>
              <w:t>5</w:t>
            </w:r>
          </w:p>
        </w:tc>
      </w:tr>
      <w:tr w:rsidR="00AD6A3B" w:rsidRPr="00D24290" w14:paraId="05DA5D80" w14:textId="77777777" w:rsidTr="00F21422">
        <w:tc>
          <w:tcPr>
            <w:tcW w:w="1000" w:type="pct"/>
            <w:shd w:val="clear" w:color="auto" w:fill="F2F2F2" w:themeFill="background1" w:themeFillShade="F2"/>
            <w:vAlign w:val="center"/>
            <w:hideMark/>
          </w:tcPr>
          <w:p w14:paraId="558C9659" w14:textId="56788689" w:rsidR="00AD6A3B" w:rsidRPr="00D24290" w:rsidRDefault="00AD6A3B" w:rsidP="00F21422">
            <w:pPr>
              <w:pStyle w:val="TableBody"/>
              <w:rPr>
                <w:rFonts w:asciiTheme="minorHAnsi" w:hAnsiTheme="minorHAnsi" w:cstheme="minorHAnsi"/>
                <w:lang w:eastAsia="en-AU"/>
              </w:rPr>
            </w:pPr>
            <w:r w:rsidRPr="00D24290">
              <w:rPr>
                <w:rFonts w:asciiTheme="minorHAnsi" w:hAnsiTheme="minorHAnsi" w:cstheme="minorHAnsi"/>
                <w:lang w:eastAsia="en-AU"/>
              </w:rPr>
              <w:t>Ongoing (per year)</w:t>
            </w:r>
          </w:p>
        </w:tc>
        <w:tc>
          <w:tcPr>
            <w:tcW w:w="1120" w:type="pct"/>
            <w:shd w:val="clear" w:color="auto" w:fill="auto"/>
            <w:vAlign w:val="center"/>
            <w:hideMark/>
          </w:tcPr>
          <w:p w14:paraId="0D70B2D2" w14:textId="39B2F256" w:rsidR="00AD6A3B" w:rsidRPr="00D24290" w:rsidRDefault="00AE18C7" w:rsidP="00BA7EFE">
            <w:pPr>
              <w:pStyle w:val="TableBody"/>
              <w:rPr>
                <w:rFonts w:asciiTheme="minorHAnsi" w:hAnsiTheme="minorHAnsi" w:cstheme="minorHAnsi"/>
                <w:lang w:eastAsia="en-AU"/>
              </w:rPr>
            </w:pPr>
            <w:r>
              <w:rPr>
                <w:rFonts w:asciiTheme="minorHAnsi" w:hAnsiTheme="minorHAnsi" w:cstheme="minorHAnsi"/>
              </w:rPr>
              <w:t>1.5 to 2.</w:t>
            </w:r>
            <w:r w:rsidR="000C7E15">
              <w:rPr>
                <w:rFonts w:asciiTheme="minorHAnsi" w:hAnsiTheme="minorHAnsi" w:cstheme="minorHAnsi"/>
              </w:rPr>
              <w:t>4</w:t>
            </w:r>
          </w:p>
        </w:tc>
        <w:tc>
          <w:tcPr>
            <w:tcW w:w="880" w:type="pct"/>
            <w:shd w:val="clear" w:color="auto" w:fill="auto"/>
            <w:vAlign w:val="center"/>
            <w:hideMark/>
          </w:tcPr>
          <w:p w14:paraId="3788D7A4"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rPr>
              <w:t>nil</w:t>
            </w:r>
          </w:p>
        </w:tc>
        <w:tc>
          <w:tcPr>
            <w:tcW w:w="850" w:type="pct"/>
            <w:shd w:val="clear" w:color="auto" w:fill="auto"/>
            <w:vAlign w:val="center"/>
            <w:hideMark/>
          </w:tcPr>
          <w:p w14:paraId="17C56EA5" w14:textId="77777777" w:rsidR="00AD6A3B" w:rsidRPr="00D24290" w:rsidRDefault="00AD6A3B" w:rsidP="00BA7EFE">
            <w:pPr>
              <w:pStyle w:val="TableBody"/>
              <w:rPr>
                <w:rFonts w:asciiTheme="minorHAnsi" w:hAnsiTheme="minorHAnsi" w:cstheme="minorHAnsi"/>
                <w:lang w:eastAsia="en-AU"/>
              </w:rPr>
            </w:pPr>
            <w:r w:rsidRPr="00D24290">
              <w:rPr>
                <w:rFonts w:asciiTheme="minorHAnsi" w:hAnsiTheme="minorHAnsi" w:cstheme="minorHAnsi"/>
              </w:rPr>
              <w:t>nil</w:t>
            </w:r>
          </w:p>
        </w:tc>
        <w:tc>
          <w:tcPr>
            <w:tcW w:w="1150" w:type="pct"/>
            <w:shd w:val="clear" w:color="auto" w:fill="auto"/>
            <w:vAlign w:val="center"/>
            <w:hideMark/>
          </w:tcPr>
          <w:p w14:paraId="0C326F09" w14:textId="21079B52" w:rsidR="00AD6A3B" w:rsidRPr="00D24290" w:rsidRDefault="00AE18C7" w:rsidP="00BA7EFE">
            <w:pPr>
              <w:pStyle w:val="TableBody"/>
              <w:rPr>
                <w:rFonts w:asciiTheme="minorHAnsi" w:hAnsiTheme="minorHAnsi" w:cstheme="minorHAnsi"/>
              </w:rPr>
            </w:pPr>
            <w:r>
              <w:rPr>
                <w:rFonts w:asciiTheme="minorHAnsi" w:hAnsiTheme="minorHAnsi" w:cstheme="minorHAnsi"/>
              </w:rPr>
              <w:t>1.5 to 2.</w:t>
            </w:r>
            <w:r w:rsidR="000C7E15">
              <w:rPr>
                <w:rFonts w:asciiTheme="minorHAnsi" w:hAnsiTheme="minorHAnsi" w:cstheme="minorHAnsi"/>
              </w:rPr>
              <w:t>4</w:t>
            </w:r>
          </w:p>
        </w:tc>
      </w:tr>
    </w:tbl>
    <w:p w14:paraId="2541B7F1" w14:textId="77777777" w:rsidR="00AD6A3B" w:rsidRPr="00AD6A3B" w:rsidRDefault="00AD6A3B" w:rsidP="0021240B">
      <w:pPr>
        <w:pStyle w:val="Note"/>
      </w:pPr>
      <w:r w:rsidRPr="00AD6A3B">
        <w:rPr>
          <w:b/>
        </w:rPr>
        <w:t>Note:</w:t>
      </w:r>
      <w:r w:rsidRPr="00AD6A3B">
        <w:t xml:space="preserve"> There will be no direct costs to individuals and communities although price rises may reflect the increased cost of operations as a result of the proposed Risk Management Program framework. </w:t>
      </w:r>
    </w:p>
    <w:p w14:paraId="653A541E" w14:textId="4B035E92" w:rsidR="00AD6A3B" w:rsidRPr="00AD6A3B" w:rsidRDefault="00AD6A3B" w:rsidP="00AD6A3B">
      <w:pPr>
        <w:spacing w:before="160"/>
        <w:rPr>
          <w:rFonts w:ascii="Arial" w:eastAsia="Calibri" w:hAnsi="Arial" w:cs="Arial"/>
          <w:sz w:val="22"/>
        </w:rPr>
      </w:pPr>
      <w:bookmarkStart w:id="650" w:name="_Ref78879230"/>
      <w:r w:rsidRPr="00AD6A3B">
        <w:rPr>
          <w:rFonts w:ascii="Arial" w:eastAsia="Calibri" w:hAnsi="Arial" w:cs="Arial"/>
          <w:sz w:val="22"/>
        </w:rPr>
        <w:t xml:space="preserve">Based on the industry submissions made during consultations, total regulatory costs will be highest for rules and obligations associated with addressing risk management program </w:t>
      </w:r>
      <w:r w:rsidR="000728EE">
        <w:rPr>
          <w:rFonts w:ascii="Arial" w:eastAsia="Calibri" w:hAnsi="Arial" w:cs="Arial"/>
          <w:sz w:val="22"/>
        </w:rPr>
        <w:t xml:space="preserve">obligations in the </w:t>
      </w:r>
      <w:r w:rsidR="00497AEE">
        <w:rPr>
          <w:rFonts w:ascii="Arial" w:eastAsia="Calibri" w:hAnsi="Arial" w:cs="Arial"/>
          <w:sz w:val="22"/>
        </w:rPr>
        <w:t>Act</w:t>
      </w:r>
      <w:r w:rsidRPr="00AD6A3B">
        <w:rPr>
          <w:rFonts w:ascii="Arial" w:eastAsia="Calibri" w:hAnsi="Arial" w:cs="Arial"/>
          <w:sz w:val="22"/>
        </w:rPr>
        <w:t xml:space="preserve">. These costs represent approximately </w:t>
      </w:r>
      <w:r w:rsidR="002B3D70">
        <w:rPr>
          <w:rFonts w:ascii="Arial" w:eastAsia="Calibri" w:hAnsi="Arial" w:cs="Arial"/>
          <w:sz w:val="22"/>
        </w:rPr>
        <w:t>4</w:t>
      </w:r>
      <w:r w:rsidR="004227F5">
        <w:rPr>
          <w:rFonts w:ascii="Arial" w:eastAsia="Calibri" w:hAnsi="Arial" w:cs="Arial"/>
          <w:sz w:val="22"/>
        </w:rPr>
        <w:t>3</w:t>
      </w:r>
      <w:r w:rsidR="002B3D70">
        <w:rPr>
          <w:rFonts w:ascii="Arial" w:eastAsia="Calibri" w:hAnsi="Arial" w:cs="Arial"/>
          <w:sz w:val="22"/>
        </w:rPr>
        <w:t>.</w:t>
      </w:r>
      <w:r w:rsidR="004227F5">
        <w:rPr>
          <w:rFonts w:ascii="Arial" w:eastAsia="Calibri" w:hAnsi="Arial" w:cs="Arial"/>
          <w:sz w:val="22"/>
        </w:rPr>
        <w:t>6</w:t>
      </w:r>
      <w:r w:rsidRPr="00AD6A3B">
        <w:rPr>
          <w:rFonts w:ascii="Arial" w:eastAsia="Calibri" w:hAnsi="Arial" w:cs="Arial"/>
          <w:sz w:val="22"/>
        </w:rPr>
        <w:t>% of the total cost of implementing the risk management program framework. The cost associated with personnel hazards (</w:t>
      </w:r>
      <w:r w:rsidR="002B3D70">
        <w:rPr>
          <w:rFonts w:ascii="Arial" w:eastAsia="Calibri" w:hAnsi="Arial" w:cs="Arial"/>
          <w:sz w:val="22"/>
        </w:rPr>
        <w:t>1</w:t>
      </w:r>
      <w:r w:rsidR="004227F5">
        <w:rPr>
          <w:rFonts w:ascii="Arial" w:eastAsia="Calibri" w:hAnsi="Arial" w:cs="Arial"/>
          <w:sz w:val="22"/>
        </w:rPr>
        <w:t>5</w:t>
      </w:r>
      <w:r w:rsidR="002B3D70">
        <w:rPr>
          <w:rFonts w:ascii="Arial" w:eastAsia="Calibri" w:hAnsi="Arial" w:cs="Arial"/>
          <w:sz w:val="22"/>
        </w:rPr>
        <w:t>.</w:t>
      </w:r>
      <w:r w:rsidR="004227F5">
        <w:rPr>
          <w:rFonts w:ascii="Arial" w:eastAsia="Calibri" w:hAnsi="Arial" w:cs="Arial"/>
          <w:sz w:val="22"/>
        </w:rPr>
        <w:t>5</w:t>
      </w:r>
      <w:r w:rsidRPr="00AD6A3B">
        <w:rPr>
          <w:rFonts w:ascii="Arial" w:eastAsia="Calibri" w:hAnsi="Arial" w:cs="Arial"/>
          <w:sz w:val="22"/>
        </w:rPr>
        <w:t>% of total cost) are less significant but remain material. The total regulatory cost by rule/obligation is set out in</w:t>
      </w:r>
      <w:r w:rsidR="004D7DD7">
        <w:rPr>
          <w:rFonts w:ascii="Arial" w:eastAsia="Calibri" w:hAnsi="Arial" w:cs="Arial"/>
          <w:sz w:val="22"/>
        </w:rPr>
        <w:t xml:space="preserve"> the table </w:t>
      </w:r>
      <w:r w:rsidRPr="00AD6A3B">
        <w:rPr>
          <w:rFonts w:ascii="Arial" w:eastAsia="Calibri" w:hAnsi="Arial" w:cs="Arial"/>
          <w:sz w:val="22"/>
        </w:rPr>
        <w:t xml:space="preserve">below. </w:t>
      </w:r>
      <w:bookmarkStart w:id="651" w:name="_Ref79155468"/>
    </w:p>
    <w:bookmarkEnd w:id="650"/>
    <w:bookmarkEnd w:id="651"/>
    <w:p w14:paraId="09B9EC40" w14:textId="2E7E6783" w:rsidR="00AD6A3B" w:rsidRPr="00AD6A3B" w:rsidRDefault="00AD6A3B" w:rsidP="00BA7EFE">
      <w:pPr>
        <w:pStyle w:val="Caption"/>
      </w:pPr>
      <w:r w:rsidRPr="00AD6A3B">
        <w:t>Regulatory burden estimate by rule and obligation for critical</w:t>
      </w:r>
      <w:r w:rsidR="005D7DA1">
        <w:t xml:space="preserve"> broadcasting</w:t>
      </w:r>
      <w:r w:rsidRPr="00AD6A3B">
        <w:t xml:space="preserve"> assets </w:t>
      </w:r>
      <w:r w:rsidR="003024D8">
        <w:t xml:space="preserve">and critical domain name systems </w:t>
      </w:r>
      <w:r w:rsidRPr="00AD6A3B">
        <w:t>nationally</w:t>
      </w:r>
    </w:p>
    <w:tbl>
      <w:tblPr>
        <w:tblStyle w:val="TableGrid1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561"/>
        <w:gridCol w:w="1770"/>
        <w:gridCol w:w="1906"/>
        <w:gridCol w:w="1633"/>
        <w:gridCol w:w="1768"/>
      </w:tblGrid>
      <w:tr w:rsidR="00340241" w:rsidRPr="00D24290" w14:paraId="31BE0D44" w14:textId="77777777" w:rsidTr="00D24290">
        <w:tc>
          <w:tcPr>
            <w:tcW w:w="1329" w:type="pct"/>
            <w:vMerge w:val="restart"/>
            <w:shd w:val="clear" w:color="auto" w:fill="034EA2" w:themeFill="accent1"/>
            <w:hideMark/>
          </w:tcPr>
          <w:p w14:paraId="3CA91590" w14:textId="77777777" w:rsidR="00AD6A3B" w:rsidRPr="00D24290" w:rsidRDefault="00AD6A3B" w:rsidP="00D24290">
            <w:pPr>
              <w:pStyle w:val="TableHeading"/>
              <w:rPr>
                <w:rFonts w:asciiTheme="minorHAnsi" w:hAnsiTheme="minorHAnsi" w:cstheme="minorHAnsi"/>
                <w:lang w:eastAsia="en-AU"/>
              </w:rPr>
            </w:pPr>
            <w:r w:rsidRPr="00D24290">
              <w:rPr>
                <w:rFonts w:asciiTheme="minorHAnsi" w:hAnsiTheme="minorHAnsi" w:cstheme="minorHAnsi"/>
                <w:lang w:eastAsia="en-AU"/>
              </w:rPr>
              <w:t>Rule / obligation</w:t>
            </w:r>
          </w:p>
        </w:tc>
        <w:tc>
          <w:tcPr>
            <w:tcW w:w="3671" w:type="pct"/>
            <w:gridSpan w:val="4"/>
            <w:shd w:val="clear" w:color="auto" w:fill="034EA2" w:themeFill="accent1"/>
            <w:hideMark/>
          </w:tcPr>
          <w:p w14:paraId="3DAD05A3" w14:textId="77777777" w:rsidR="00AD6A3B" w:rsidRPr="00D24290" w:rsidRDefault="00AD6A3B" w:rsidP="00D24290">
            <w:pPr>
              <w:pStyle w:val="TableHeading"/>
              <w:rPr>
                <w:rFonts w:asciiTheme="minorHAnsi" w:hAnsiTheme="minorHAnsi" w:cstheme="minorHAnsi"/>
                <w:lang w:eastAsia="en-AU"/>
              </w:rPr>
            </w:pPr>
            <w:r w:rsidRPr="00D24290">
              <w:rPr>
                <w:rFonts w:asciiTheme="minorHAnsi" w:hAnsiTheme="minorHAnsi" w:cstheme="minorHAnsi"/>
                <w:lang w:eastAsia="en-AU"/>
              </w:rPr>
              <w:t>Costs</w:t>
            </w:r>
            <w:r w:rsidR="006B0357" w:rsidRPr="00D24290">
              <w:rPr>
                <w:rFonts w:asciiTheme="minorHAnsi" w:hAnsiTheme="minorHAnsi" w:cstheme="minorHAnsi"/>
                <w:lang w:eastAsia="en-AU"/>
              </w:rPr>
              <w:t xml:space="preserve"> (Expected and High)</w:t>
            </w:r>
          </w:p>
        </w:tc>
      </w:tr>
      <w:tr w:rsidR="009E6DAB" w:rsidRPr="00D24290" w14:paraId="668B8B3D" w14:textId="77777777" w:rsidTr="00D24290">
        <w:tc>
          <w:tcPr>
            <w:tcW w:w="1329" w:type="pct"/>
            <w:vMerge/>
            <w:hideMark/>
          </w:tcPr>
          <w:p w14:paraId="630FB561" w14:textId="77777777" w:rsidR="00AD6A3B" w:rsidRPr="00D24290" w:rsidRDefault="00AD6A3B" w:rsidP="00D24290">
            <w:pPr>
              <w:pStyle w:val="TableBody"/>
              <w:rPr>
                <w:rFonts w:asciiTheme="minorHAnsi" w:hAnsiTheme="minorHAnsi" w:cstheme="minorHAnsi"/>
                <w:lang w:eastAsia="en-AU"/>
              </w:rPr>
            </w:pPr>
          </w:p>
        </w:tc>
        <w:tc>
          <w:tcPr>
            <w:tcW w:w="918" w:type="pct"/>
            <w:shd w:val="clear" w:color="auto" w:fill="DEEAF6"/>
            <w:hideMark/>
          </w:tcPr>
          <w:p w14:paraId="6CAE359C" w14:textId="421F44C6" w:rsidR="00AD6A3B" w:rsidRPr="00D24290" w:rsidRDefault="00AD6A3B" w:rsidP="00D24290">
            <w:pPr>
              <w:pStyle w:val="TableBody"/>
              <w:rPr>
                <w:rFonts w:asciiTheme="minorHAnsi" w:hAnsiTheme="minorHAnsi" w:cstheme="minorHAnsi"/>
                <w:color w:val="000000"/>
                <w:lang w:eastAsia="en-AU"/>
              </w:rPr>
            </w:pPr>
            <w:r w:rsidRPr="00D24290">
              <w:rPr>
                <w:rFonts w:asciiTheme="minorHAnsi" w:hAnsiTheme="minorHAnsi" w:cstheme="minorHAnsi"/>
                <w:color w:val="000000"/>
                <w:lang w:eastAsia="en-AU"/>
              </w:rPr>
              <w:t xml:space="preserve">One-off </w:t>
            </w:r>
            <w:r w:rsidR="00D24290">
              <w:rPr>
                <w:rFonts w:asciiTheme="minorHAnsi" w:hAnsiTheme="minorHAnsi" w:cstheme="minorHAnsi"/>
                <w:color w:val="000000"/>
                <w:lang w:eastAsia="en-AU"/>
              </w:rPr>
              <w:br/>
            </w:r>
            <w:r w:rsidRPr="00D24290">
              <w:rPr>
                <w:rFonts w:asciiTheme="minorHAnsi" w:hAnsiTheme="minorHAnsi" w:cstheme="minorHAnsi"/>
                <w:color w:val="000000"/>
                <w:lang w:eastAsia="en-AU"/>
              </w:rPr>
              <w:t>($ million)</w:t>
            </w:r>
          </w:p>
        </w:tc>
        <w:tc>
          <w:tcPr>
            <w:tcW w:w="989" w:type="pct"/>
            <w:shd w:val="clear" w:color="auto" w:fill="DEEAF6"/>
            <w:hideMark/>
          </w:tcPr>
          <w:p w14:paraId="724B86AC" w14:textId="77777777" w:rsidR="00AD6A3B" w:rsidRPr="00D24290" w:rsidRDefault="00AD6A3B" w:rsidP="00D24290">
            <w:pPr>
              <w:pStyle w:val="TableBody"/>
              <w:rPr>
                <w:rFonts w:asciiTheme="minorHAnsi" w:hAnsiTheme="minorHAnsi" w:cstheme="minorHAnsi"/>
                <w:color w:val="000000"/>
                <w:lang w:eastAsia="en-AU"/>
              </w:rPr>
            </w:pPr>
            <w:r w:rsidRPr="00D24290">
              <w:rPr>
                <w:rFonts w:asciiTheme="minorHAnsi" w:hAnsiTheme="minorHAnsi" w:cstheme="minorHAnsi"/>
                <w:color w:val="000000"/>
                <w:lang w:eastAsia="en-AU"/>
              </w:rPr>
              <w:t>Ongoing</w:t>
            </w:r>
            <w:r w:rsidRPr="00D24290">
              <w:rPr>
                <w:rFonts w:asciiTheme="minorHAnsi" w:hAnsiTheme="minorHAnsi" w:cstheme="minorHAnsi"/>
                <w:color w:val="000000"/>
                <w:lang w:eastAsia="en-AU"/>
              </w:rPr>
              <w:br/>
              <w:t>(per year, $ million)</w:t>
            </w:r>
          </w:p>
        </w:tc>
        <w:tc>
          <w:tcPr>
            <w:tcW w:w="847" w:type="pct"/>
            <w:shd w:val="clear" w:color="auto" w:fill="DEEAF6"/>
            <w:hideMark/>
          </w:tcPr>
          <w:p w14:paraId="567A6EFE" w14:textId="77777777" w:rsidR="00AD6A3B" w:rsidRPr="00D24290" w:rsidRDefault="00AD6A3B" w:rsidP="00D24290">
            <w:pPr>
              <w:pStyle w:val="TableBody"/>
              <w:rPr>
                <w:rFonts w:asciiTheme="minorHAnsi" w:hAnsiTheme="minorHAnsi" w:cstheme="minorHAnsi"/>
                <w:color w:val="000000"/>
                <w:lang w:eastAsia="en-AU"/>
              </w:rPr>
            </w:pPr>
            <w:r w:rsidRPr="00D24290">
              <w:rPr>
                <w:rFonts w:asciiTheme="minorHAnsi" w:hAnsiTheme="minorHAnsi" w:cstheme="minorHAnsi"/>
                <w:color w:val="000000"/>
                <w:lang w:eastAsia="en-AU"/>
              </w:rPr>
              <w:t xml:space="preserve">Total cost </w:t>
            </w:r>
            <w:r w:rsidRPr="00D24290">
              <w:rPr>
                <w:rFonts w:asciiTheme="minorHAnsi" w:hAnsiTheme="minorHAnsi" w:cstheme="minorHAnsi"/>
                <w:color w:val="000000"/>
                <w:lang w:eastAsia="en-AU"/>
              </w:rPr>
              <w:br/>
              <w:t xml:space="preserve">over 10 years ($ million) </w:t>
            </w:r>
            <w:r w:rsidRPr="00D24290">
              <w:rPr>
                <w:rFonts w:asciiTheme="minorHAnsi" w:hAnsiTheme="minorHAnsi" w:cstheme="minorHAnsi"/>
                <w:color w:val="000000"/>
                <w:vertAlign w:val="superscript"/>
                <w:lang w:eastAsia="en-AU"/>
              </w:rPr>
              <w:footnoteReference w:id="360"/>
            </w:r>
          </w:p>
        </w:tc>
        <w:tc>
          <w:tcPr>
            <w:tcW w:w="917" w:type="pct"/>
            <w:shd w:val="clear" w:color="auto" w:fill="DEEAF6"/>
            <w:hideMark/>
          </w:tcPr>
          <w:p w14:paraId="3200DF84" w14:textId="77777777" w:rsidR="00AD6A3B" w:rsidRPr="00D24290" w:rsidRDefault="0098653C" w:rsidP="00D24290">
            <w:pPr>
              <w:pStyle w:val="TableBody"/>
              <w:rPr>
                <w:rFonts w:asciiTheme="minorHAnsi" w:hAnsiTheme="minorHAnsi" w:cstheme="minorHAnsi"/>
                <w:color w:val="000000"/>
                <w:lang w:eastAsia="en-AU"/>
              </w:rPr>
            </w:pPr>
            <w:r w:rsidRPr="00D24290">
              <w:rPr>
                <w:rFonts w:asciiTheme="minorHAnsi" w:hAnsiTheme="minorHAnsi" w:cstheme="minorHAnsi"/>
                <w:color w:val="000000"/>
                <w:lang w:eastAsia="en-AU"/>
              </w:rPr>
              <w:t>E</w:t>
            </w:r>
            <w:r w:rsidR="009E3569" w:rsidRPr="00D24290">
              <w:rPr>
                <w:rFonts w:asciiTheme="minorHAnsi" w:hAnsiTheme="minorHAnsi" w:cstheme="minorHAnsi"/>
                <w:color w:val="000000"/>
                <w:lang w:eastAsia="en-AU"/>
              </w:rPr>
              <w:t>xpected estim</w:t>
            </w:r>
            <w:r w:rsidR="0087058B" w:rsidRPr="00D24290">
              <w:rPr>
                <w:rFonts w:asciiTheme="minorHAnsi" w:hAnsiTheme="minorHAnsi" w:cstheme="minorHAnsi"/>
                <w:color w:val="000000"/>
                <w:lang w:eastAsia="en-AU"/>
              </w:rPr>
              <w:t>ate as p</w:t>
            </w:r>
            <w:r w:rsidR="00AD6A3B" w:rsidRPr="00D24290">
              <w:rPr>
                <w:rFonts w:asciiTheme="minorHAnsi" w:hAnsiTheme="minorHAnsi" w:cstheme="minorHAnsi"/>
                <w:color w:val="000000"/>
                <w:lang w:eastAsia="en-AU"/>
              </w:rPr>
              <w:t>ercentage of total (%)</w:t>
            </w:r>
          </w:p>
        </w:tc>
      </w:tr>
      <w:tr w:rsidR="003024D8" w:rsidRPr="00D24290" w14:paraId="0274854B" w14:textId="77777777" w:rsidTr="0040087B">
        <w:tc>
          <w:tcPr>
            <w:tcW w:w="1329" w:type="pct"/>
            <w:shd w:val="clear" w:color="auto" w:fill="F2F2F2" w:themeFill="background1" w:themeFillShade="F2"/>
            <w:hideMark/>
          </w:tcPr>
          <w:p w14:paraId="12699D85" w14:textId="4DB2C1BA" w:rsidR="003024D8" w:rsidRPr="00D24290" w:rsidRDefault="003024D8" w:rsidP="003024D8">
            <w:pPr>
              <w:pStyle w:val="TableBody"/>
              <w:rPr>
                <w:rFonts w:asciiTheme="minorHAnsi" w:hAnsiTheme="minorHAnsi" w:cstheme="minorHAnsi"/>
                <w:b/>
                <w:lang w:eastAsia="en-AU"/>
              </w:rPr>
            </w:pPr>
            <w:r w:rsidRPr="00D24290">
              <w:rPr>
                <w:rFonts w:asciiTheme="minorHAnsi" w:hAnsiTheme="minorHAnsi" w:cstheme="minorHAnsi"/>
                <w:b/>
              </w:rPr>
              <w:t xml:space="preserve">Risk management program obligations in the </w:t>
            </w:r>
            <w:r w:rsidR="00696C21">
              <w:rPr>
                <w:rFonts w:asciiTheme="minorHAnsi" w:hAnsiTheme="minorHAnsi" w:cstheme="minorHAnsi"/>
                <w:b/>
              </w:rPr>
              <w:t>Act</w:t>
            </w:r>
          </w:p>
        </w:tc>
        <w:tc>
          <w:tcPr>
            <w:tcW w:w="918" w:type="pct"/>
            <w:shd w:val="clear" w:color="auto" w:fill="auto"/>
            <w:vAlign w:val="center"/>
            <w:hideMark/>
          </w:tcPr>
          <w:p w14:paraId="78CCC28B" w14:textId="08DC9511" w:rsidR="003024D8" w:rsidRPr="00D24290" w:rsidRDefault="003024D8" w:rsidP="003024D8">
            <w:pPr>
              <w:pStyle w:val="TableBody"/>
              <w:rPr>
                <w:rFonts w:asciiTheme="minorHAnsi" w:hAnsiTheme="minorHAnsi" w:cstheme="minorHAnsi"/>
                <w:lang w:eastAsia="en-AU"/>
              </w:rPr>
            </w:pPr>
            <w:r>
              <w:rPr>
                <w:rFonts w:ascii="Arial" w:hAnsi="Arial" w:cs="Arial"/>
                <w:lang w:eastAsia="en-AU"/>
              </w:rPr>
              <w:t>1.0 to 1.9</w:t>
            </w:r>
          </w:p>
        </w:tc>
        <w:tc>
          <w:tcPr>
            <w:tcW w:w="989" w:type="pct"/>
            <w:shd w:val="clear" w:color="auto" w:fill="auto"/>
            <w:vAlign w:val="center"/>
            <w:hideMark/>
          </w:tcPr>
          <w:p w14:paraId="6250366B" w14:textId="2C448377" w:rsidR="003024D8" w:rsidRPr="00D24290" w:rsidRDefault="003024D8" w:rsidP="003024D8">
            <w:pPr>
              <w:pStyle w:val="TableBody"/>
              <w:rPr>
                <w:rFonts w:asciiTheme="minorHAnsi" w:hAnsiTheme="minorHAnsi" w:cstheme="minorHAnsi"/>
                <w:lang w:eastAsia="en-AU"/>
              </w:rPr>
            </w:pPr>
            <w:r>
              <w:rPr>
                <w:rFonts w:ascii="Arial" w:hAnsi="Arial" w:cs="Arial"/>
                <w:lang w:eastAsia="en-AU"/>
              </w:rPr>
              <w:t>0.7 to 1.2</w:t>
            </w:r>
          </w:p>
        </w:tc>
        <w:tc>
          <w:tcPr>
            <w:tcW w:w="847" w:type="pct"/>
            <w:shd w:val="clear" w:color="auto" w:fill="auto"/>
            <w:vAlign w:val="center"/>
            <w:hideMark/>
          </w:tcPr>
          <w:p w14:paraId="3A44A4AD" w14:textId="7CA1B269" w:rsidR="003024D8" w:rsidRPr="00D24290" w:rsidRDefault="006D794E" w:rsidP="003024D8">
            <w:pPr>
              <w:pStyle w:val="TableBody"/>
              <w:rPr>
                <w:rFonts w:asciiTheme="minorHAnsi" w:hAnsiTheme="minorHAnsi" w:cstheme="minorHAnsi"/>
                <w:lang w:eastAsia="en-AU"/>
              </w:rPr>
            </w:pPr>
            <w:r>
              <w:rPr>
                <w:rFonts w:ascii="Arial" w:hAnsi="Arial" w:cs="Arial"/>
                <w:lang w:eastAsia="en-AU"/>
              </w:rPr>
              <w:t>7.1</w:t>
            </w:r>
            <w:r w:rsidR="003024D8">
              <w:rPr>
                <w:rFonts w:ascii="Arial" w:hAnsi="Arial" w:cs="Arial"/>
                <w:lang w:eastAsia="en-AU"/>
              </w:rPr>
              <w:t xml:space="preserve"> to 12.</w:t>
            </w:r>
            <w:r>
              <w:rPr>
                <w:rFonts w:ascii="Arial" w:hAnsi="Arial" w:cs="Arial"/>
                <w:lang w:eastAsia="en-AU"/>
              </w:rPr>
              <w:t>9</w:t>
            </w:r>
          </w:p>
        </w:tc>
        <w:tc>
          <w:tcPr>
            <w:tcW w:w="917" w:type="pct"/>
            <w:shd w:val="clear" w:color="auto" w:fill="auto"/>
            <w:vAlign w:val="center"/>
            <w:hideMark/>
          </w:tcPr>
          <w:p w14:paraId="766E59B6" w14:textId="3EC07976" w:rsidR="003024D8" w:rsidRPr="00D24290" w:rsidRDefault="003024D8" w:rsidP="003024D8">
            <w:pPr>
              <w:pStyle w:val="TableBody"/>
              <w:rPr>
                <w:rFonts w:asciiTheme="minorHAnsi" w:hAnsiTheme="minorHAnsi" w:cstheme="minorHAnsi"/>
                <w:lang w:eastAsia="en-AU"/>
              </w:rPr>
            </w:pPr>
            <w:r>
              <w:rPr>
                <w:rFonts w:ascii="Arial" w:hAnsi="Arial" w:cs="Arial"/>
                <w:lang w:eastAsia="en-AU"/>
              </w:rPr>
              <w:t>4</w:t>
            </w:r>
            <w:r w:rsidR="00FF5339">
              <w:rPr>
                <w:rFonts w:ascii="Arial" w:hAnsi="Arial" w:cs="Arial"/>
                <w:lang w:eastAsia="en-AU"/>
              </w:rPr>
              <w:t>3.6</w:t>
            </w:r>
          </w:p>
        </w:tc>
      </w:tr>
      <w:tr w:rsidR="003024D8" w:rsidRPr="00D24290" w14:paraId="141B76DF" w14:textId="77777777" w:rsidTr="0040087B">
        <w:tc>
          <w:tcPr>
            <w:tcW w:w="1329" w:type="pct"/>
            <w:shd w:val="clear" w:color="auto" w:fill="F2F2F2" w:themeFill="background1" w:themeFillShade="F2"/>
            <w:hideMark/>
          </w:tcPr>
          <w:p w14:paraId="4B2A508F" w14:textId="79007157" w:rsidR="003024D8" w:rsidRPr="00D24290" w:rsidRDefault="00696C21" w:rsidP="003024D8">
            <w:pPr>
              <w:pStyle w:val="TableBody"/>
              <w:rPr>
                <w:rFonts w:asciiTheme="minorHAnsi" w:hAnsiTheme="minorHAnsi" w:cstheme="minorHAnsi"/>
                <w:b/>
                <w:lang w:eastAsia="en-AU"/>
              </w:rPr>
            </w:pPr>
            <w:r>
              <w:rPr>
                <w:rFonts w:asciiTheme="minorHAnsi" w:hAnsiTheme="minorHAnsi" w:cstheme="minorHAnsi"/>
                <w:b/>
              </w:rPr>
              <w:t xml:space="preserve"> General rules</w:t>
            </w:r>
          </w:p>
        </w:tc>
        <w:tc>
          <w:tcPr>
            <w:tcW w:w="918" w:type="pct"/>
            <w:shd w:val="clear" w:color="auto" w:fill="auto"/>
            <w:vAlign w:val="center"/>
            <w:hideMark/>
          </w:tcPr>
          <w:p w14:paraId="31614E47" w14:textId="1F828CCC" w:rsidR="003024D8" w:rsidRPr="00D24290" w:rsidRDefault="003024D8" w:rsidP="003024D8">
            <w:pPr>
              <w:pStyle w:val="TableBody"/>
              <w:rPr>
                <w:rFonts w:asciiTheme="minorHAnsi" w:hAnsiTheme="minorHAnsi" w:cstheme="minorHAnsi"/>
                <w:lang w:eastAsia="en-AU"/>
              </w:rPr>
            </w:pPr>
            <w:r>
              <w:rPr>
                <w:rFonts w:ascii="Arial" w:hAnsi="Arial" w:cs="Arial"/>
              </w:rPr>
              <w:t>0.1 to 0.2</w:t>
            </w:r>
          </w:p>
        </w:tc>
        <w:tc>
          <w:tcPr>
            <w:tcW w:w="989" w:type="pct"/>
            <w:shd w:val="clear" w:color="auto" w:fill="auto"/>
            <w:vAlign w:val="center"/>
            <w:hideMark/>
          </w:tcPr>
          <w:p w14:paraId="7D04B97B" w14:textId="79206739" w:rsidR="003024D8" w:rsidRPr="00D24290" w:rsidRDefault="003024D8" w:rsidP="003024D8">
            <w:pPr>
              <w:pStyle w:val="TableBody"/>
              <w:rPr>
                <w:rFonts w:asciiTheme="minorHAnsi" w:hAnsiTheme="minorHAnsi" w:cstheme="minorHAnsi"/>
                <w:lang w:eastAsia="en-AU"/>
              </w:rPr>
            </w:pPr>
            <w:r>
              <w:rPr>
                <w:rFonts w:ascii="Arial" w:hAnsi="Arial" w:cs="Arial"/>
              </w:rPr>
              <w:t>0.2 to 0.2</w:t>
            </w:r>
          </w:p>
        </w:tc>
        <w:tc>
          <w:tcPr>
            <w:tcW w:w="847" w:type="pct"/>
            <w:shd w:val="clear" w:color="auto" w:fill="auto"/>
            <w:vAlign w:val="center"/>
            <w:hideMark/>
          </w:tcPr>
          <w:p w14:paraId="394C8CA9" w14:textId="73AEA11A" w:rsidR="003024D8" w:rsidRPr="00D24290" w:rsidRDefault="003024D8" w:rsidP="003024D8">
            <w:pPr>
              <w:pStyle w:val="TableBody"/>
              <w:rPr>
                <w:rFonts w:asciiTheme="minorHAnsi" w:hAnsiTheme="minorHAnsi" w:cstheme="minorHAnsi"/>
                <w:lang w:eastAsia="en-AU"/>
              </w:rPr>
            </w:pPr>
            <w:r>
              <w:rPr>
                <w:rFonts w:ascii="Arial" w:hAnsi="Arial" w:cs="Arial"/>
              </w:rPr>
              <w:t>1.</w:t>
            </w:r>
            <w:r w:rsidR="006D794E">
              <w:rPr>
                <w:rFonts w:ascii="Arial" w:hAnsi="Arial" w:cs="Arial"/>
              </w:rPr>
              <w:t xml:space="preserve">6 </w:t>
            </w:r>
            <w:r>
              <w:rPr>
                <w:rFonts w:ascii="Arial" w:hAnsi="Arial" w:cs="Arial"/>
              </w:rPr>
              <w:t xml:space="preserve">to </w:t>
            </w:r>
            <w:r w:rsidR="006D794E">
              <w:rPr>
                <w:rFonts w:ascii="Arial" w:hAnsi="Arial" w:cs="Arial"/>
              </w:rPr>
              <w:t>2.0</w:t>
            </w:r>
          </w:p>
        </w:tc>
        <w:tc>
          <w:tcPr>
            <w:tcW w:w="917" w:type="pct"/>
            <w:shd w:val="clear" w:color="auto" w:fill="auto"/>
            <w:vAlign w:val="center"/>
            <w:hideMark/>
          </w:tcPr>
          <w:p w14:paraId="48BCF54D" w14:textId="4E0A5C79" w:rsidR="003024D8" w:rsidRPr="00D24290" w:rsidRDefault="00FF5339" w:rsidP="003024D8">
            <w:pPr>
              <w:pStyle w:val="TableBody"/>
              <w:rPr>
                <w:rFonts w:asciiTheme="minorHAnsi" w:hAnsiTheme="minorHAnsi" w:cstheme="minorHAnsi"/>
                <w:lang w:eastAsia="en-AU"/>
              </w:rPr>
            </w:pPr>
            <w:r>
              <w:rPr>
                <w:rFonts w:ascii="Arial" w:hAnsi="Arial" w:cs="Arial"/>
                <w:lang w:eastAsia="en-AU"/>
              </w:rPr>
              <w:t>9.7</w:t>
            </w:r>
          </w:p>
        </w:tc>
      </w:tr>
      <w:tr w:rsidR="003024D8" w:rsidRPr="00D24290" w14:paraId="703DF3D5" w14:textId="77777777" w:rsidTr="00D24290">
        <w:tc>
          <w:tcPr>
            <w:tcW w:w="5000" w:type="pct"/>
            <w:gridSpan w:val="5"/>
            <w:shd w:val="clear" w:color="auto" w:fill="F2F2F2" w:themeFill="background1" w:themeFillShade="F2"/>
          </w:tcPr>
          <w:p w14:paraId="7CAC1210" w14:textId="77777777" w:rsidR="003024D8" w:rsidRPr="00D24290" w:rsidRDefault="003024D8" w:rsidP="003024D8">
            <w:pPr>
              <w:pStyle w:val="TableBody"/>
              <w:rPr>
                <w:rFonts w:asciiTheme="minorHAnsi" w:hAnsiTheme="minorHAnsi" w:cstheme="minorHAnsi"/>
              </w:rPr>
            </w:pPr>
            <w:r w:rsidRPr="00D24290">
              <w:rPr>
                <w:rFonts w:asciiTheme="minorHAnsi" w:hAnsiTheme="minorHAnsi" w:cstheme="minorHAnsi"/>
                <w:b/>
              </w:rPr>
              <w:t>RMP rules</w:t>
            </w:r>
          </w:p>
        </w:tc>
      </w:tr>
      <w:tr w:rsidR="003024D8" w:rsidRPr="00D24290" w14:paraId="73893D90" w14:textId="77777777" w:rsidTr="0040087B">
        <w:tc>
          <w:tcPr>
            <w:tcW w:w="1329" w:type="pct"/>
            <w:shd w:val="clear" w:color="auto" w:fill="F2F2F2" w:themeFill="background1" w:themeFillShade="F2"/>
            <w:hideMark/>
          </w:tcPr>
          <w:p w14:paraId="13C034AF" w14:textId="77777777" w:rsidR="003024D8" w:rsidRPr="00D24290" w:rsidRDefault="003024D8" w:rsidP="003024D8">
            <w:pPr>
              <w:pStyle w:val="TableBody"/>
              <w:rPr>
                <w:rFonts w:asciiTheme="minorHAnsi" w:hAnsiTheme="minorHAnsi" w:cstheme="minorHAnsi"/>
                <w:b/>
                <w:lang w:eastAsia="en-AU"/>
              </w:rPr>
            </w:pPr>
            <w:r w:rsidRPr="00D24290">
              <w:rPr>
                <w:rFonts w:asciiTheme="minorHAnsi" w:hAnsiTheme="minorHAnsi" w:cstheme="minorHAnsi"/>
                <w:b/>
              </w:rPr>
              <w:t xml:space="preserve">Cyber </w:t>
            </w:r>
            <w:r w:rsidRPr="00D24290">
              <w:rPr>
                <w:rFonts w:asciiTheme="minorHAnsi" w:hAnsiTheme="minorHAnsi" w:cstheme="minorHAnsi"/>
                <w:b/>
                <w:bCs/>
              </w:rPr>
              <w:t xml:space="preserve">and information </w:t>
            </w:r>
            <w:r w:rsidRPr="00D24290">
              <w:rPr>
                <w:rFonts w:asciiTheme="minorHAnsi" w:hAnsiTheme="minorHAnsi" w:cstheme="minorHAnsi"/>
                <w:b/>
              </w:rPr>
              <w:t xml:space="preserve">security hazard </w:t>
            </w:r>
          </w:p>
        </w:tc>
        <w:tc>
          <w:tcPr>
            <w:tcW w:w="918" w:type="pct"/>
            <w:shd w:val="clear" w:color="auto" w:fill="FFFFFF" w:themeFill="background1"/>
            <w:vAlign w:val="center"/>
            <w:hideMark/>
          </w:tcPr>
          <w:p w14:paraId="4FB1CC41" w14:textId="1D96AC35" w:rsidR="003024D8" w:rsidRPr="00D24290" w:rsidRDefault="003024D8" w:rsidP="003024D8">
            <w:pPr>
              <w:pStyle w:val="TableBody"/>
              <w:rPr>
                <w:rFonts w:asciiTheme="minorHAnsi" w:hAnsiTheme="minorHAnsi" w:cstheme="minorHAnsi"/>
                <w:lang w:eastAsia="en-AU"/>
              </w:rPr>
            </w:pPr>
            <w:r>
              <w:rPr>
                <w:rFonts w:ascii="Arial" w:hAnsi="Arial" w:cs="Arial"/>
              </w:rPr>
              <w:t>0.2 to 0.2</w:t>
            </w:r>
          </w:p>
        </w:tc>
        <w:tc>
          <w:tcPr>
            <w:tcW w:w="989" w:type="pct"/>
            <w:shd w:val="clear" w:color="auto" w:fill="FFFFFF" w:themeFill="background1"/>
            <w:vAlign w:val="center"/>
            <w:hideMark/>
          </w:tcPr>
          <w:p w14:paraId="72F5B9AB" w14:textId="50999CF7" w:rsidR="003024D8" w:rsidRPr="00D24290" w:rsidRDefault="003024D8" w:rsidP="003024D8">
            <w:pPr>
              <w:pStyle w:val="TableBody"/>
              <w:rPr>
                <w:rFonts w:asciiTheme="minorHAnsi" w:hAnsiTheme="minorHAnsi" w:cstheme="minorHAnsi"/>
                <w:lang w:eastAsia="en-AU"/>
              </w:rPr>
            </w:pPr>
            <w:r>
              <w:rPr>
                <w:rFonts w:ascii="Arial" w:hAnsi="Arial" w:cs="Arial"/>
              </w:rPr>
              <w:t>0.2 to 0.2</w:t>
            </w:r>
          </w:p>
        </w:tc>
        <w:tc>
          <w:tcPr>
            <w:tcW w:w="847" w:type="pct"/>
            <w:shd w:val="clear" w:color="auto" w:fill="FFFFFF" w:themeFill="background1"/>
            <w:vAlign w:val="center"/>
            <w:hideMark/>
          </w:tcPr>
          <w:p w14:paraId="57E0D014" w14:textId="7E8A7235" w:rsidR="003024D8" w:rsidRPr="00D24290" w:rsidRDefault="003024D8" w:rsidP="003024D8">
            <w:pPr>
              <w:pStyle w:val="TableBody"/>
              <w:rPr>
                <w:rFonts w:asciiTheme="minorHAnsi" w:hAnsiTheme="minorHAnsi" w:cstheme="minorHAnsi"/>
                <w:lang w:eastAsia="en-AU"/>
              </w:rPr>
            </w:pPr>
            <w:r>
              <w:rPr>
                <w:rFonts w:ascii="Arial" w:hAnsi="Arial" w:cs="Arial"/>
              </w:rPr>
              <w:t>1.6 to 2.</w:t>
            </w:r>
            <w:r w:rsidR="006D794E">
              <w:rPr>
                <w:rFonts w:ascii="Arial" w:hAnsi="Arial" w:cs="Arial"/>
              </w:rPr>
              <w:t>1</w:t>
            </w:r>
          </w:p>
        </w:tc>
        <w:tc>
          <w:tcPr>
            <w:tcW w:w="917" w:type="pct"/>
            <w:shd w:val="clear" w:color="auto" w:fill="FFFFFF" w:themeFill="background1"/>
            <w:vAlign w:val="center"/>
            <w:hideMark/>
          </w:tcPr>
          <w:p w14:paraId="669B6BF3" w14:textId="2C9126ED" w:rsidR="003024D8" w:rsidRPr="00D24290" w:rsidRDefault="003024D8" w:rsidP="003024D8">
            <w:pPr>
              <w:pStyle w:val="TableBody"/>
              <w:rPr>
                <w:rFonts w:asciiTheme="minorHAnsi" w:hAnsiTheme="minorHAnsi" w:cstheme="minorHAnsi"/>
                <w:lang w:eastAsia="en-AU"/>
              </w:rPr>
            </w:pPr>
            <w:r>
              <w:rPr>
                <w:rFonts w:ascii="Arial" w:hAnsi="Arial" w:cs="Arial"/>
                <w:lang w:eastAsia="en-AU"/>
              </w:rPr>
              <w:t>10.</w:t>
            </w:r>
            <w:r w:rsidR="00FF5339">
              <w:rPr>
                <w:rFonts w:ascii="Arial" w:hAnsi="Arial" w:cs="Arial"/>
                <w:lang w:eastAsia="en-AU"/>
              </w:rPr>
              <w:t>2</w:t>
            </w:r>
          </w:p>
        </w:tc>
      </w:tr>
      <w:tr w:rsidR="003024D8" w:rsidRPr="00D24290" w14:paraId="48DFF458" w14:textId="77777777" w:rsidTr="0040087B">
        <w:tc>
          <w:tcPr>
            <w:tcW w:w="1329" w:type="pct"/>
            <w:shd w:val="clear" w:color="auto" w:fill="F2F2F2" w:themeFill="background1" w:themeFillShade="F2"/>
            <w:hideMark/>
          </w:tcPr>
          <w:p w14:paraId="730BB9EA" w14:textId="77777777" w:rsidR="003024D8" w:rsidRPr="00D24290" w:rsidRDefault="003024D8" w:rsidP="003024D8">
            <w:pPr>
              <w:pStyle w:val="TableBody"/>
              <w:rPr>
                <w:rFonts w:asciiTheme="minorHAnsi" w:hAnsiTheme="minorHAnsi" w:cstheme="minorHAnsi"/>
                <w:b/>
                <w:lang w:eastAsia="en-AU"/>
              </w:rPr>
            </w:pPr>
            <w:r w:rsidRPr="00D24290">
              <w:rPr>
                <w:rFonts w:asciiTheme="minorHAnsi" w:hAnsiTheme="minorHAnsi" w:cstheme="minorHAnsi"/>
                <w:b/>
              </w:rPr>
              <w:t>Personnel hazard</w:t>
            </w:r>
          </w:p>
        </w:tc>
        <w:tc>
          <w:tcPr>
            <w:tcW w:w="918" w:type="pct"/>
            <w:shd w:val="clear" w:color="auto" w:fill="FFFFFF" w:themeFill="background1"/>
            <w:vAlign w:val="center"/>
            <w:hideMark/>
          </w:tcPr>
          <w:p w14:paraId="23E848E9" w14:textId="1FBD21CC" w:rsidR="003024D8" w:rsidRPr="00D24290" w:rsidRDefault="003024D8" w:rsidP="003024D8">
            <w:pPr>
              <w:pStyle w:val="TableBody"/>
              <w:rPr>
                <w:rFonts w:asciiTheme="minorHAnsi" w:hAnsiTheme="minorHAnsi" w:cstheme="minorHAnsi"/>
                <w:lang w:eastAsia="en-AU"/>
              </w:rPr>
            </w:pPr>
            <w:r>
              <w:rPr>
                <w:rFonts w:ascii="Arial" w:hAnsi="Arial" w:cs="Arial"/>
                <w:lang w:eastAsia="en-AU"/>
              </w:rPr>
              <w:t>0.4 to 0.6</w:t>
            </w:r>
          </w:p>
        </w:tc>
        <w:tc>
          <w:tcPr>
            <w:tcW w:w="989" w:type="pct"/>
            <w:shd w:val="clear" w:color="auto" w:fill="FFFFFF" w:themeFill="background1"/>
            <w:vAlign w:val="center"/>
            <w:hideMark/>
          </w:tcPr>
          <w:p w14:paraId="2141D2B6" w14:textId="578F0EA3" w:rsidR="003024D8" w:rsidRPr="00D24290" w:rsidRDefault="003024D8" w:rsidP="003024D8">
            <w:pPr>
              <w:pStyle w:val="TableBody"/>
              <w:rPr>
                <w:rFonts w:asciiTheme="minorHAnsi" w:hAnsiTheme="minorHAnsi" w:cstheme="minorHAnsi"/>
                <w:lang w:eastAsia="en-AU"/>
              </w:rPr>
            </w:pPr>
            <w:r>
              <w:rPr>
                <w:rFonts w:ascii="Arial" w:hAnsi="Arial" w:cs="Arial"/>
                <w:lang w:eastAsia="en-AU"/>
              </w:rPr>
              <w:t>0.2 to 0.</w:t>
            </w:r>
            <w:r w:rsidR="002E3B22">
              <w:rPr>
                <w:rFonts w:ascii="Arial" w:hAnsi="Arial" w:cs="Arial"/>
                <w:lang w:eastAsia="en-AU"/>
              </w:rPr>
              <w:t>4</w:t>
            </w:r>
          </w:p>
        </w:tc>
        <w:tc>
          <w:tcPr>
            <w:tcW w:w="847" w:type="pct"/>
            <w:shd w:val="clear" w:color="auto" w:fill="FFFFFF" w:themeFill="background1"/>
            <w:vAlign w:val="center"/>
            <w:hideMark/>
          </w:tcPr>
          <w:p w14:paraId="753D4F34" w14:textId="26317A6D" w:rsidR="003024D8" w:rsidRPr="00D24290" w:rsidRDefault="003024D8" w:rsidP="003024D8">
            <w:pPr>
              <w:pStyle w:val="TableBody"/>
              <w:rPr>
                <w:rFonts w:asciiTheme="minorHAnsi" w:hAnsiTheme="minorHAnsi" w:cstheme="minorHAnsi"/>
                <w:lang w:eastAsia="en-AU"/>
              </w:rPr>
            </w:pPr>
            <w:r>
              <w:rPr>
                <w:rFonts w:ascii="Arial" w:hAnsi="Arial" w:cs="Arial"/>
                <w:lang w:eastAsia="en-AU"/>
              </w:rPr>
              <w:t>2.5 to 4.</w:t>
            </w:r>
            <w:r w:rsidR="006D794E">
              <w:rPr>
                <w:rFonts w:ascii="Arial" w:hAnsi="Arial" w:cs="Arial"/>
                <w:lang w:eastAsia="en-AU"/>
              </w:rPr>
              <w:t>3</w:t>
            </w:r>
          </w:p>
        </w:tc>
        <w:tc>
          <w:tcPr>
            <w:tcW w:w="917" w:type="pct"/>
            <w:shd w:val="clear" w:color="auto" w:fill="FFFFFF" w:themeFill="background1"/>
            <w:vAlign w:val="center"/>
            <w:hideMark/>
          </w:tcPr>
          <w:p w14:paraId="4C147BD8" w14:textId="538E1801" w:rsidR="003024D8" w:rsidRPr="00D24290" w:rsidRDefault="003024D8" w:rsidP="003024D8">
            <w:pPr>
              <w:pStyle w:val="TableBody"/>
              <w:rPr>
                <w:rFonts w:asciiTheme="minorHAnsi" w:hAnsiTheme="minorHAnsi" w:cstheme="minorHAnsi"/>
                <w:lang w:eastAsia="en-AU"/>
              </w:rPr>
            </w:pPr>
            <w:r>
              <w:rPr>
                <w:rFonts w:ascii="Arial" w:hAnsi="Arial" w:cs="Arial"/>
                <w:lang w:eastAsia="en-AU"/>
              </w:rPr>
              <w:t>1</w:t>
            </w:r>
            <w:r w:rsidR="00FF5339">
              <w:rPr>
                <w:rFonts w:ascii="Arial" w:hAnsi="Arial" w:cs="Arial"/>
                <w:lang w:eastAsia="en-AU"/>
              </w:rPr>
              <w:t>5.5</w:t>
            </w:r>
          </w:p>
        </w:tc>
      </w:tr>
      <w:tr w:rsidR="003024D8" w:rsidRPr="00D24290" w14:paraId="5A533D9E" w14:textId="77777777" w:rsidTr="0040087B">
        <w:tc>
          <w:tcPr>
            <w:tcW w:w="1329" w:type="pct"/>
            <w:shd w:val="clear" w:color="auto" w:fill="F2F2F2" w:themeFill="background1" w:themeFillShade="F2"/>
            <w:hideMark/>
          </w:tcPr>
          <w:p w14:paraId="52ADBCDE" w14:textId="77777777" w:rsidR="003024D8" w:rsidRPr="00D24290" w:rsidRDefault="003024D8" w:rsidP="003024D8">
            <w:pPr>
              <w:pStyle w:val="TableBody"/>
              <w:rPr>
                <w:rFonts w:asciiTheme="minorHAnsi" w:hAnsiTheme="minorHAnsi" w:cstheme="minorHAnsi"/>
                <w:b/>
                <w:lang w:eastAsia="en-AU"/>
              </w:rPr>
            </w:pPr>
            <w:r w:rsidRPr="00D24290">
              <w:rPr>
                <w:rFonts w:asciiTheme="minorHAnsi" w:hAnsiTheme="minorHAnsi" w:cstheme="minorHAnsi"/>
                <w:b/>
              </w:rPr>
              <w:t xml:space="preserve">Supply chain hazard </w:t>
            </w:r>
          </w:p>
        </w:tc>
        <w:tc>
          <w:tcPr>
            <w:tcW w:w="918" w:type="pct"/>
            <w:shd w:val="clear" w:color="auto" w:fill="FFFFFF" w:themeFill="background1"/>
            <w:vAlign w:val="center"/>
            <w:hideMark/>
          </w:tcPr>
          <w:p w14:paraId="6E3375E0" w14:textId="3F704E76" w:rsidR="003024D8" w:rsidRPr="00D24290" w:rsidRDefault="003024D8" w:rsidP="003024D8">
            <w:pPr>
              <w:pStyle w:val="TableBody"/>
              <w:rPr>
                <w:rFonts w:asciiTheme="minorHAnsi" w:hAnsiTheme="minorHAnsi" w:cstheme="minorHAnsi"/>
                <w:lang w:eastAsia="en-AU"/>
              </w:rPr>
            </w:pPr>
            <w:r>
              <w:rPr>
                <w:rFonts w:ascii="Arial" w:hAnsi="Arial" w:cs="Arial"/>
              </w:rPr>
              <w:t>0.3 to 0.3</w:t>
            </w:r>
          </w:p>
        </w:tc>
        <w:tc>
          <w:tcPr>
            <w:tcW w:w="989" w:type="pct"/>
            <w:shd w:val="clear" w:color="auto" w:fill="FFFFFF" w:themeFill="background1"/>
            <w:vAlign w:val="center"/>
            <w:hideMark/>
          </w:tcPr>
          <w:p w14:paraId="473DFB6D" w14:textId="683E16E8" w:rsidR="003024D8" w:rsidRPr="00D24290" w:rsidRDefault="003024D8" w:rsidP="003024D8">
            <w:pPr>
              <w:pStyle w:val="TableBody"/>
              <w:rPr>
                <w:rFonts w:asciiTheme="minorHAnsi" w:hAnsiTheme="minorHAnsi" w:cstheme="minorHAnsi"/>
                <w:lang w:eastAsia="en-AU"/>
              </w:rPr>
            </w:pPr>
            <w:r>
              <w:rPr>
                <w:rFonts w:ascii="Arial" w:hAnsi="Arial" w:cs="Arial"/>
              </w:rPr>
              <w:t>0.1 to 0.2</w:t>
            </w:r>
          </w:p>
        </w:tc>
        <w:tc>
          <w:tcPr>
            <w:tcW w:w="847" w:type="pct"/>
            <w:shd w:val="clear" w:color="auto" w:fill="FFFFFF" w:themeFill="background1"/>
            <w:vAlign w:val="center"/>
            <w:hideMark/>
          </w:tcPr>
          <w:p w14:paraId="2FE3518D" w14:textId="29053DF3" w:rsidR="003024D8" w:rsidRPr="00D24290" w:rsidRDefault="003024D8" w:rsidP="003024D8">
            <w:pPr>
              <w:pStyle w:val="TableBody"/>
              <w:rPr>
                <w:rFonts w:asciiTheme="minorHAnsi" w:hAnsiTheme="minorHAnsi" w:cstheme="minorHAnsi"/>
                <w:lang w:eastAsia="en-AU"/>
              </w:rPr>
            </w:pPr>
            <w:r>
              <w:rPr>
                <w:rFonts w:ascii="Arial" w:hAnsi="Arial" w:cs="Arial"/>
              </w:rPr>
              <w:t>1.6 to 2.0</w:t>
            </w:r>
          </w:p>
        </w:tc>
        <w:tc>
          <w:tcPr>
            <w:tcW w:w="917" w:type="pct"/>
            <w:shd w:val="clear" w:color="auto" w:fill="FFFFFF" w:themeFill="background1"/>
            <w:vAlign w:val="center"/>
            <w:hideMark/>
          </w:tcPr>
          <w:p w14:paraId="3EBC569B" w14:textId="4A1BB1C6" w:rsidR="003024D8" w:rsidRPr="00D24290" w:rsidRDefault="003024D8" w:rsidP="003024D8">
            <w:pPr>
              <w:pStyle w:val="TableBody"/>
              <w:rPr>
                <w:rFonts w:asciiTheme="minorHAnsi" w:hAnsiTheme="minorHAnsi" w:cstheme="minorHAnsi"/>
                <w:lang w:eastAsia="en-AU"/>
              </w:rPr>
            </w:pPr>
            <w:r>
              <w:rPr>
                <w:rFonts w:ascii="Arial" w:hAnsi="Arial" w:cs="Arial"/>
                <w:lang w:eastAsia="en-AU"/>
              </w:rPr>
              <w:t>10.</w:t>
            </w:r>
            <w:r w:rsidR="00FF5339">
              <w:rPr>
                <w:rFonts w:ascii="Arial" w:hAnsi="Arial" w:cs="Arial"/>
                <w:lang w:eastAsia="en-AU"/>
              </w:rPr>
              <w:t>1</w:t>
            </w:r>
          </w:p>
        </w:tc>
      </w:tr>
      <w:tr w:rsidR="003024D8" w:rsidRPr="00D24290" w14:paraId="6A3D43A2" w14:textId="77777777" w:rsidTr="0040087B">
        <w:tc>
          <w:tcPr>
            <w:tcW w:w="1329" w:type="pct"/>
            <w:shd w:val="clear" w:color="auto" w:fill="F2F2F2" w:themeFill="background1" w:themeFillShade="F2"/>
            <w:hideMark/>
          </w:tcPr>
          <w:p w14:paraId="466FB0E9" w14:textId="77777777" w:rsidR="003024D8" w:rsidRPr="00D24290" w:rsidRDefault="003024D8" w:rsidP="003024D8">
            <w:pPr>
              <w:pStyle w:val="TableBody"/>
              <w:rPr>
                <w:rFonts w:asciiTheme="minorHAnsi" w:hAnsiTheme="minorHAnsi" w:cstheme="minorHAnsi"/>
                <w:b/>
                <w:lang w:eastAsia="en-AU"/>
              </w:rPr>
            </w:pPr>
            <w:r w:rsidRPr="00D24290">
              <w:rPr>
                <w:rFonts w:asciiTheme="minorHAnsi" w:hAnsiTheme="minorHAnsi" w:cstheme="minorHAnsi"/>
                <w:b/>
              </w:rPr>
              <w:t xml:space="preserve">Physical </w:t>
            </w:r>
            <w:r w:rsidRPr="00D24290">
              <w:rPr>
                <w:rFonts w:asciiTheme="minorHAnsi" w:hAnsiTheme="minorHAnsi" w:cstheme="minorHAnsi"/>
                <w:b/>
                <w:bCs/>
              </w:rPr>
              <w:t xml:space="preserve">and natural </w:t>
            </w:r>
            <w:r w:rsidRPr="00D24290">
              <w:rPr>
                <w:rFonts w:asciiTheme="minorHAnsi" w:hAnsiTheme="minorHAnsi" w:cstheme="minorHAnsi"/>
                <w:b/>
              </w:rPr>
              <w:t>hazard</w:t>
            </w:r>
          </w:p>
        </w:tc>
        <w:tc>
          <w:tcPr>
            <w:tcW w:w="918" w:type="pct"/>
            <w:shd w:val="clear" w:color="auto" w:fill="FFFFFF" w:themeFill="background1"/>
            <w:vAlign w:val="center"/>
            <w:hideMark/>
          </w:tcPr>
          <w:p w14:paraId="45E2C4AB" w14:textId="48D100F2" w:rsidR="003024D8" w:rsidRPr="00D24290" w:rsidRDefault="003024D8" w:rsidP="003024D8">
            <w:pPr>
              <w:pStyle w:val="TableBody"/>
              <w:rPr>
                <w:rFonts w:asciiTheme="minorHAnsi" w:hAnsiTheme="minorHAnsi" w:cstheme="minorHAnsi"/>
                <w:lang w:eastAsia="en-AU"/>
              </w:rPr>
            </w:pPr>
            <w:r>
              <w:rPr>
                <w:rFonts w:ascii="Arial" w:hAnsi="Arial" w:cs="Arial"/>
              </w:rPr>
              <w:t>0.1 to 0.1</w:t>
            </w:r>
          </w:p>
        </w:tc>
        <w:tc>
          <w:tcPr>
            <w:tcW w:w="989" w:type="pct"/>
            <w:shd w:val="clear" w:color="auto" w:fill="FFFFFF" w:themeFill="background1"/>
            <w:vAlign w:val="center"/>
            <w:hideMark/>
          </w:tcPr>
          <w:p w14:paraId="279FAEC9" w14:textId="4042BCF5" w:rsidR="003024D8" w:rsidRPr="00D24290" w:rsidRDefault="003024D8" w:rsidP="003024D8">
            <w:pPr>
              <w:pStyle w:val="TableBody"/>
              <w:rPr>
                <w:rFonts w:asciiTheme="minorHAnsi" w:hAnsiTheme="minorHAnsi" w:cstheme="minorHAnsi"/>
                <w:lang w:eastAsia="en-AU"/>
              </w:rPr>
            </w:pPr>
            <w:r>
              <w:rPr>
                <w:rFonts w:ascii="Arial" w:hAnsi="Arial" w:cs="Arial"/>
              </w:rPr>
              <w:t>0.1 to 0.1</w:t>
            </w:r>
          </w:p>
        </w:tc>
        <w:tc>
          <w:tcPr>
            <w:tcW w:w="847" w:type="pct"/>
            <w:shd w:val="clear" w:color="auto" w:fill="FFFFFF" w:themeFill="background1"/>
            <w:vAlign w:val="center"/>
            <w:hideMark/>
          </w:tcPr>
          <w:p w14:paraId="3401269E" w14:textId="237FD64B" w:rsidR="003024D8" w:rsidRPr="00D24290" w:rsidRDefault="003024D8" w:rsidP="003024D8">
            <w:pPr>
              <w:pStyle w:val="TableBody"/>
              <w:rPr>
                <w:rFonts w:asciiTheme="minorHAnsi" w:hAnsiTheme="minorHAnsi" w:cstheme="minorHAnsi"/>
                <w:lang w:eastAsia="en-AU"/>
              </w:rPr>
            </w:pPr>
            <w:r>
              <w:rPr>
                <w:rFonts w:ascii="Arial" w:hAnsi="Arial" w:cs="Arial"/>
              </w:rPr>
              <w:t>0.</w:t>
            </w:r>
            <w:r w:rsidR="006D794E">
              <w:rPr>
                <w:rFonts w:ascii="Arial" w:hAnsi="Arial" w:cs="Arial"/>
              </w:rPr>
              <w:t xml:space="preserve">8 </w:t>
            </w:r>
            <w:r>
              <w:rPr>
                <w:rFonts w:ascii="Arial" w:hAnsi="Arial" w:cs="Arial"/>
              </w:rPr>
              <w:t>to 0.9</w:t>
            </w:r>
          </w:p>
        </w:tc>
        <w:tc>
          <w:tcPr>
            <w:tcW w:w="917" w:type="pct"/>
            <w:shd w:val="clear" w:color="auto" w:fill="FFFFFF" w:themeFill="background1"/>
            <w:vAlign w:val="center"/>
            <w:hideMark/>
          </w:tcPr>
          <w:p w14:paraId="2B334DD2" w14:textId="6CB4EB69" w:rsidR="003024D8" w:rsidRPr="00D24290" w:rsidRDefault="006D794E" w:rsidP="003024D8">
            <w:pPr>
              <w:pStyle w:val="TableBody"/>
              <w:rPr>
                <w:rFonts w:asciiTheme="minorHAnsi" w:hAnsiTheme="minorHAnsi" w:cstheme="minorHAnsi"/>
                <w:lang w:eastAsia="en-AU"/>
              </w:rPr>
            </w:pPr>
            <w:r>
              <w:rPr>
                <w:rFonts w:ascii="Arial" w:hAnsi="Arial" w:cs="Arial"/>
                <w:lang w:eastAsia="en-AU"/>
              </w:rPr>
              <w:t>4.</w:t>
            </w:r>
            <w:r w:rsidR="00FF5339">
              <w:rPr>
                <w:rFonts w:ascii="Arial" w:hAnsi="Arial" w:cs="Arial"/>
                <w:lang w:eastAsia="en-AU"/>
              </w:rPr>
              <w:t>6</w:t>
            </w:r>
          </w:p>
        </w:tc>
      </w:tr>
      <w:tr w:rsidR="003024D8" w:rsidRPr="00D24290" w14:paraId="18E6FEF9" w14:textId="77777777" w:rsidTr="0040087B">
        <w:tc>
          <w:tcPr>
            <w:tcW w:w="1329" w:type="pct"/>
            <w:shd w:val="clear" w:color="auto" w:fill="F2F2F2" w:themeFill="background1" w:themeFillShade="F2"/>
            <w:hideMark/>
          </w:tcPr>
          <w:p w14:paraId="4B588F98" w14:textId="77777777" w:rsidR="003024D8" w:rsidRPr="00D24290" w:rsidRDefault="003024D8" w:rsidP="003024D8">
            <w:pPr>
              <w:pStyle w:val="TableBody"/>
              <w:rPr>
                <w:rFonts w:asciiTheme="minorHAnsi" w:hAnsiTheme="minorHAnsi" w:cstheme="minorHAnsi"/>
                <w:b/>
                <w:lang w:eastAsia="en-AU"/>
              </w:rPr>
            </w:pPr>
            <w:r w:rsidRPr="00D24290">
              <w:rPr>
                <w:rFonts w:asciiTheme="minorHAnsi" w:hAnsiTheme="minorHAnsi" w:cstheme="minorHAnsi"/>
                <w:b/>
              </w:rPr>
              <w:t>Material risk</w:t>
            </w:r>
          </w:p>
        </w:tc>
        <w:tc>
          <w:tcPr>
            <w:tcW w:w="918" w:type="pct"/>
            <w:shd w:val="clear" w:color="auto" w:fill="FFFFFF" w:themeFill="background1"/>
            <w:vAlign w:val="center"/>
            <w:hideMark/>
          </w:tcPr>
          <w:p w14:paraId="1F8989B8" w14:textId="02003E95" w:rsidR="003024D8" w:rsidRPr="00D24290" w:rsidRDefault="003024D8" w:rsidP="003024D8">
            <w:pPr>
              <w:pStyle w:val="TableBody"/>
              <w:rPr>
                <w:rFonts w:asciiTheme="minorHAnsi" w:hAnsiTheme="minorHAnsi" w:cstheme="minorHAnsi"/>
                <w:lang w:eastAsia="en-AU"/>
              </w:rPr>
            </w:pPr>
            <w:r>
              <w:rPr>
                <w:rFonts w:ascii="Arial" w:hAnsi="Arial" w:cs="Arial"/>
              </w:rPr>
              <w:t>0.</w:t>
            </w:r>
            <w:r w:rsidR="00EF7B03">
              <w:rPr>
                <w:rFonts w:ascii="Arial" w:hAnsi="Arial" w:cs="Arial"/>
              </w:rPr>
              <w:t>1</w:t>
            </w:r>
            <w:r w:rsidR="002E3B22">
              <w:rPr>
                <w:rFonts w:ascii="Arial" w:hAnsi="Arial" w:cs="Arial"/>
              </w:rPr>
              <w:t xml:space="preserve"> </w:t>
            </w:r>
            <w:r>
              <w:rPr>
                <w:rFonts w:ascii="Arial" w:hAnsi="Arial" w:cs="Arial"/>
              </w:rPr>
              <w:t>to 0.</w:t>
            </w:r>
            <w:r w:rsidR="00EF7B03">
              <w:rPr>
                <w:rFonts w:ascii="Arial" w:hAnsi="Arial" w:cs="Arial"/>
              </w:rPr>
              <w:t>1</w:t>
            </w:r>
          </w:p>
        </w:tc>
        <w:tc>
          <w:tcPr>
            <w:tcW w:w="989" w:type="pct"/>
            <w:shd w:val="clear" w:color="auto" w:fill="FFFFFF" w:themeFill="background1"/>
            <w:vAlign w:val="center"/>
            <w:hideMark/>
          </w:tcPr>
          <w:p w14:paraId="7A7526F7" w14:textId="391566A7" w:rsidR="003024D8" w:rsidRPr="00D24290" w:rsidRDefault="003024D8" w:rsidP="003024D8">
            <w:pPr>
              <w:pStyle w:val="TableBody"/>
              <w:rPr>
                <w:rFonts w:asciiTheme="minorHAnsi" w:hAnsiTheme="minorHAnsi" w:cstheme="minorHAnsi"/>
                <w:lang w:eastAsia="en-AU"/>
              </w:rPr>
            </w:pPr>
            <w:r>
              <w:rPr>
                <w:rFonts w:ascii="Arial" w:hAnsi="Arial" w:cs="Arial"/>
              </w:rPr>
              <w:t>0.</w:t>
            </w:r>
            <w:r w:rsidR="00EF7B03">
              <w:rPr>
                <w:rFonts w:ascii="Arial" w:hAnsi="Arial" w:cs="Arial"/>
              </w:rPr>
              <w:t>1</w:t>
            </w:r>
            <w:r w:rsidR="006D794E">
              <w:rPr>
                <w:rFonts w:ascii="Arial" w:hAnsi="Arial" w:cs="Arial"/>
              </w:rPr>
              <w:t xml:space="preserve"> </w:t>
            </w:r>
            <w:r>
              <w:rPr>
                <w:rFonts w:ascii="Arial" w:hAnsi="Arial" w:cs="Arial"/>
              </w:rPr>
              <w:t>to 0.</w:t>
            </w:r>
            <w:r w:rsidR="00EF7B03">
              <w:rPr>
                <w:rFonts w:ascii="Arial" w:hAnsi="Arial" w:cs="Arial"/>
              </w:rPr>
              <w:t>1</w:t>
            </w:r>
          </w:p>
        </w:tc>
        <w:tc>
          <w:tcPr>
            <w:tcW w:w="847" w:type="pct"/>
            <w:shd w:val="clear" w:color="auto" w:fill="FFFFFF" w:themeFill="background1"/>
            <w:vAlign w:val="center"/>
            <w:hideMark/>
          </w:tcPr>
          <w:p w14:paraId="7B64CABD" w14:textId="5B73E0B6" w:rsidR="003024D8" w:rsidRPr="00D24290" w:rsidRDefault="00EF7B03" w:rsidP="003024D8">
            <w:pPr>
              <w:pStyle w:val="TableBody"/>
              <w:rPr>
                <w:rFonts w:asciiTheme="minorHAnsi" w:hAnsiTheme="minorHAnsi" w:cstheme="minorHAnsi"/>
                <w:lang w:eastAsia="en-AU"/>
              </w:rPr>
            </w:pPr>
            <w:r>
              <w:rPr>
                <w:rFonts w:ascii="Arial" w:hAnsi="Arial" w:cs="Arial"/>
              </w:rPr>
              <w:t>1.0</w:t>
            </w:r>
            <w:r w:rsidR="003024D8">
              <w:rPr>
                <w:rFonts w:ascii="Arial" w:hAnsi="Arial" w:cs="Arial"/>
              </w:rPr>
              <w:t xml:space="preserve"> to </w:t>
            </w:r>
            <w:r>
              <w:rPr>
                <w:rFonts w:ascii="Arial" w:hAnsi="Arial" w:cs="Arial"/>
              </w:rPr>
              <w:t>1.0</w:t>
            </w:r>
          </w:p>
        </w:tc>
        <w:tc>
          <w:tcPr>
            <w:tcW w:w="917" w:type="pct"/>
            <w:shd w:val="clear" w:color="auto" w:fill="FFFFFF" w:themeFill="background1"/>
            <w:vAlign w:val="center"/>
            <w:hideMark/>
          </w:tcPr>
          <w:p w14:paraId="64C29BFC" w14:textId="67636F8E" w:rsidR="003024D8" w:rsidRPr="00D24290" w:rsidRDefault="00FF5339" w:rsidP="003024D8">
            <w:pPr>
              <w:pStyle w:val="TableBody"/>
              <w:rPr>
                <w:rFonts w:asciiTheme="minorHAnsi" w:hAnsiTheme="minorHAnsi" w:cstheme="minorHAnsi"/>
                <w:lang w:eastAsia="en-AU"/>
              </w:rPr>
            </w:pPr>
            <w:r>
              <w:rPr>
                <w:rFonts w:ascii="Arial" w:hAnsi="Arial" w:cs="Arial"/>
                <w:lang w:eastAsia="en-AU"/>
              </w:rPr>
              <w:t>6.2</w:t>
            </w:r>
          </w:p>
        </w:tc>
      </w:tr>
      <w:tr w:rsidR="003024D8" w:rsidRPr="00D24290" w14:paraId="2EFDD0A3" w14:textId="77777777" w:rsidTr="0040087B">
        <w:tc>
          <w:tcPr>
            <w:tcW w:w="1329" w:type="pct"/>
            <w:shd w:val="clear" w:color="auto" w:fill="034EA2" w:themeFill="accent1"/>
            <w:hideMark/>
          </w:tcPr>
          <w:p w14:paraId="70D04390" w14:textId="5B89633F" w:rsidR="003024D8" w:rsidRPr="00D24290" w:rsidRDefault="003024D8" w:rsidP="003024D8">
            <w:pPr>
              <w:pStyle w:val="TableHeading"/>
              <w:keepNext w:val="0"/>
              <w:rPr>
                <w:rFonts w:asciiTheme="minorHAnsi" w:hAnsiTheme="minorHAnsi" w:cstheme="minorHAnsi"/>
              </w:rPr>
            </w:pPr>
            <w:r w:rsidRPr="00D24290">
              <w:rPr>
                <w:rFonts w:asciiTheme="minorHAnsi" w:hAnsiTheme="minorHAnsi" w:cstheme="minorHAnsi"/>
              </w:rPr>
              <w:t xml:space="preserve">Total critical </w:t>
            </w:r>
            <w:r>
              <w:rPr>
                <w:rFonts w:asciiTheme="minorHAnsi" w:hAnsiTheme="minorHAnsi" w:cstheme="minorHAnsi"/>
              </w:rPr>
              <w:t>b</w:t>
            </w:r>
            <w:r w:rsidRPr="00D24290">
              <w:rPr>
                <w:rFonts w:asciiTheme="minorHAnsi" w:hAnsiTheme="minorHAnsi" w:cstheme="minorHAnsi"/>
              </w:rPr>
              <w:t>roadcasting assets</w:t>
            </w:r>
            <w:r>
              <w:rPr>
                <w:rFonts w:asciiTheme="minorHAnsi" w:hAnsiTheme="minorHAnsi" w:cstheme="minorHAnsi"/>
              </w:rPr>
              <w:t xml:space="preserve"> and critical domain name systems</w:t>
            </w:r>
          </w:p>
        </w:tc>
        <w:tc>
          <w:tcPr>
            <w:tcW w:w="918" w:type="pct"/>
            <w:shd w:val="clear" w:color="auto" w:fill="034EA2" w:themeFill="accent1"/>
            <w:vAlign w:val="center"/>
            <w:hideMark/>
          </w:tcPr>
          <w:p w14:paraId="00BCD27E" w14:textId="1DFF1BCD" w:rsidR="003024D8" w:rsidRPr="00D24290" w:rsidRDefault="003024D8" w:rsidP="003024D8">
            <w:pPr>
              <w:pStyle w:val="TableHeading"/>
              <w:keepNext w:val="0"/>
              <w:rPr>
                <w:rFonts w:asciiTheme="minorHAnsi" w:hAnsiTheme="minorHAnsi" w:cstheme="minorHAnsi"/>
              </w:rPr>
            </w:pPr>
            <w:r>
              <w:rPr>
                <w:rFonts w:ascii="Arial" w:hAnsi="Arial" w:cs="Arial"/>
                <w:lang w:eastAsia="en-AU"/>
              </w:rPr>
              <w:t>2.</w:t>
            </w:r>
            <w:r w:rsidR="00EF7B03">
              <w:rPr>
                <w:rFonts w:ascii="Arial" w:hAnsi="Arial" w:cs="Arial"/>
                <w:lang w:eastAsia="en-AU"/>
              </w:rPr>
              <w:t>1</w:t>
            </w:r>
            <w:r w:rsidR="002E3B22">
              <w:rPr>
                <w:rFonts w:ascii="Arial" w:hAnsi="Arial" w:cs="Arial"/>
                <w:lang w:eastAsia="en-AU"/>
              </w:rPr>
              <w:t xml:space="preserve"> </w:t>
            </w:r>
            <w:r>
              <w:rPr>
                <w:rFonts w:ascii="Arial" w:hAnsi="Arial" w:cs="Arial"/>
                <w:lang w:eastAsia="en-AU"/>
              </w:rPr>
              <w:t>to 3.</w:t>
            </w:r>
            <w:r w:rsidR="00EF7B03">
              <w:rPr>
                <w:rFonts w:ascii="Arial" w:hAnsi="Arial" w:cs="Arial"/>
                <w:lang w:eastAsia="en-AU"/>
              </w:rPr>
              <w:t>5</w:t>
            </w:r>
          </w:p>
        </w:tc>
        <w:tc>
          <w:tcPr>
            <w:tcW w:w="989" w:type="pct"/>
            <w:shd w:val="clear" w:color="auto" w:fill="034EA2" w:themeFill="accent1"/>
            <w:vAlign w:val="center"/>
            <w:hideMark/>
          </w:tcPr>
          <w:p w14:paraId="66E3E3E5" w14:textId="5EDA3F71" w:rsidR="003024D8" w:rsidRPr="00D24290" w:rsidRDefault="003024D8" w:rsidP="003024D8">
            <w:pPr>
              <w:pStyle w:val="TableHeading"/>
              <w:keepNext w:val="0"/>
              <w:rPr>
                <w:rFonts w:asciiTheme="minorHAnsi" w:hAnsiTheme="minorHAnsi" w:cstheme="minorHAnsi"/>
              </w:rPr>
            </w:pPr>
            <w:r>
              <w:rPr>
                <w:rFonts w:ascii="Arial" w:hAnsi="Arial" w:cs="Arial"/>
                <w:lang w:eastAsia="en-AU"/>
              </w:rPr>
              <w:t>1.</w:t>
            </w:r>
            <w:r w:rsidR="002C6424">
              <w:rPr>
                <w:rFonts w:ascii="Arial" w:hAnsi="Arial" w:cs="Arial"/>
                <w:lang w:eastAsia="en-AU"/>
              </w:rPr>
              <w:t>5</w:t>
            </w:r>
            <w:r>
              <w:rPr>
                <w:rFonts w:ascii="Arial" w:hAnsi="Arial" w:cs="Arial"/>
                <w:lang w:eastAsia="en-AU"/>
              </w:rPr>
              <w:t xml:space="preserve"> to 2.</w:t>
            </w:r>
            <w:r w:rsidR="00EF7B03">
              <w:rPr>
                <w:rFonts w:ascii="Arial" w:hAnsi="Arial" w:cs="Arial"/>
                <w:lang w:eastAsia="en-AU"/>
              </w:rPr>
              <w:t>4</w:t>
            </w:r>
          </w:p>
        </w:tc>
        <w:tc>
          <w:tcPr>
            <w:tcW w:w="847" w:type="pct"/>
            <w:shd w:val="clear" w:color="auto" w:fill="034EA2" w:themeFill="accent1"/>
            <w:vAlign w:val="center"/>
            <w:hideMark/>
          </w:tcPr>
          <w:p w14:paraId="4FAAA3E7" w14:textId="4DB9DD35" w:rsidR="003024D8" w:rsidRPr="00D24290" w:rsidRDefault="003024D8" w:rsidP="003024D8">
            <w:pPr>
              <w:pStyle w:val="TableHeading"/>
              <w:keepNext w:val="0"/>
              <w:rPr>
                <w:rFonts w:asciiTheme="minorHAnsi" w:hAnsiTheme="minorHAnsi" w:cstheme="minorHAnsi"/>
              </w:rPr>
            </w:pPr>
            <w:r>
              <w:rPr>
                <w:rFonts w:ascii="Arial" w:hAnsi="Arial" w:cs="Arial"/>
                <w:lang w:eastAsia="en-AU"/>
              </w:rPr>
              <w:t>1</w:t>
            </w:r>
            <w:r w:rsidR="00FF5339">
              <w:rPr>
                <w:rFonts w:ascii="Arial" w:hAnsi="Arial" w:cs="Arial"/>
                <w:lang w:eastAsia="en-AU"/>
              </w:rPr>
              <w:t>6.2</w:t>
            </w:r>
            <w:r w:rsidR="002E3B22">
              <w:rPr>
                <w:rFonts w:ascii="Arial" w:hAnsi="Arial" w:cs="Arial"/>
                <w:lang w:eastAsia="en-AU"/>
              </w:rPr>
              <w:t xml:space="preserve"> </w:t>
            </w:r>
            <w:r>
              <w:rPr>
                <w:rFonts w:ascii="Arial" w:hAnsi="Arial" w:cs="Arial"/>
                <w:lang w:eastAsia="en-AU"/>
              </w:rPr>
              <w:t>to 2</w:t>
            </w:r>
            <w:r w:rsidR="00397300">
              <w:rPr>
                <w:rFonts w:ascii="Arial" w:hAnsi="Arial" w:cs="Arial"/>
                <w:lang w:eastAsia="en-AU"/>
              </w:rPr>
              <w:t>5.2</w:t>
            </w:r>
          </w:p>
        </w:tc>
        <w:tc>
          <w:tcPr>
            <w:tcW w:w="917" w:type="pct"/>
            <w:shd w:val="clear" w:color="auto" w:fill="034EA2" w:themeFill="accent1"/>
            <w:vAlign w:val="center"/>
            <w:hideMark/>
          </w:tcPr>
          <w:p w14:paraId="605EC6CF" w14:textId="37724527" w:rsidR="003024D8" w:rsidRPr="00D24290" w:rsidRDefault="003024D8" w:rsidP="003024D8">
            <w:pPr>
              <w:pStyle w:val="TableHeading"/>
              <w:keepNext w:val="0"/>
              <w:rPr>
                <w:rFonts w:asciiTheme="minorHAnsi" w:hAnsiTheme="minorHAnsi" w:cstheme="minorHAnsi"/>
              </w:rPr>
            </w:pPr>
            <w:r>
              <w:rPr>
                <w:rFonts w:ascii="Arial" w:hAnsi="Arial" w:cs="Arial"/>
                <w:lang w:eastAsia="en-AU"/>
              </w:rPr>
              <w:t>100</w:t>
            </w:r>
            <w:r w:rsidR="00FF5339">
              <w:rPr>
                <w:rFonts w:ascii="Arial" w:hAnsi="Arial" w:cs="Arial"/>
                <w:lang w:eastAsia="en-AU"/>
              </w:rPr>
              <w:t>.0</w:t>
            </w:r>
          </w:p>
        </w:tc>
      </w:tr>
    </w:tbl>
    <w:p w14:paraId="7524C679" w14:textId="1AF936DA" w:rsidR="00AD6A3B" w:rsidRPr="00AD6A3B" w:rsidRDefault="00AD6A3B" w:rsidP="00BA7EFE">
      <w:pPr>
        <w:pStyle w:val="BodyText"/>
        <w:spacing w:before="240"/>
      </w:pPr>
      <w:r w:rsidRPr="00AD6A3B">
        <w:t xml:space="preserve">The industry submissions also indicated the type of expenditure expected to be incurred. The allocation of cost between labour effort, capital and operating costs is provided in </w:t>
      </w:r>
      <w:r w:rsidR="004D7DD7">
        <w:t>the table below</w:t>
      </w:r>
      <w:r w:rsidRPr="00AD6A3B">
        <w:t>.</w:t>
      </w:r>
      <w:r w:rsidR="00106A39">
        <w:t xml:space="preserve"> </w:t>
      </w:r>
      <w:r w:rsidRPr="00AD6A3B">
        <w:lastRenderedPageBreak/>
        <w:t xml:space="preserve">The analysis shows that </w:t>
      </w:r>
      <w:r w:rsidR="00EC5F02">
        <w:t>2</w:t>
      </w:r>
      <w:r w:rsidR="005B2A4E">
        <w:t>7.5</w:t>
      </w:r>
      <w:r w:rsidRPr="00AD6A3B">
        <w:t xml:space="preserve">% of one-off costs and </w:t>
      </w:r>
      <w:r w:rsidR="002B3D70">
        <w:t>9.</w:t>
      </w:r>
      <w:r w:rsidR="005B2A4E">
        <w:t>2</w:t>
      </w:r>
      <w:r w:rsidRPr="00AD6A3B">
        <w:t xml:space="preserve">% of ongoing costs are expected to be invested in capital. A relatively small share of </w:t>
      </w:r>
      <w:r w:rsidR="00EC5F02">
        <w:t xml:space="preserve">one-off </w:t>
      </w:r>
      <w:r w:rsidRPr="00AD6A3B">
        <w:t>costs are associated with labour effort (</w:t>
      </w:r>
      <w:r w:rsidR="002B3D70">
        <w:t>1</w:t>
      </w:r>
      <w:r w:rsidR="005B2A4E">
        <w:t>6</w:t>
      </w:r>
      <w:r w:rsidR="002B3D70">
        <w:t>.1</w:t>
      </w:r>
      <w:r w:rsidRPr="00AD6A3B">
        <w:t>% of one-off costs</w:t>
      </w:r>
      <w:r w:rsidR="00EC5F02">
        <w:t xml:space="preserve"> and </w:t>
      </w:r>
      <w:r w:rsidRPr="00AD6A3B">
        <w:t>2</w:t>
      </w:r>
      <w:r w:rsidR="005B2A4E">
        <w:t>2</w:t>
      </w:r>
      <w:r w:rsidR="002B3D70">
        <w:t>.</w:t>
      </w:r>
      <w:r w:rsidR="005B2A4E">
        <w:t>9</w:t>
      </w:r>
      <w:r w:rsidRPr="00AD6A3B">
        <w:t xml:space="preserve">% of ongoing costs) with operating costs being the largest component of </w:t>
      </w:r>
      <w:r w:rsidR="00087B61">
        <w:t xml:space="preserve">one-off and </w:t>
      </w:r>
      <w:r w:rsidRPr="00AD6A3B">
        <w:t>ongoing costs (</w:t>
      </w:r>
      <w:r w:rsidR="002B3D70">
        <w:t>5</w:t>
      </w:r>
      <w:r w:rsidR="005B2A4E">
        <w:t>6</w:t>
      </w:r>
      <w:r w:rsidR="002B3D70">
        <w:t>.</w:t>
      </w:r>
      <w:r w:rsidR="005B2A4E">
        <w:t>4</w:t>
      </w:r>
      <w:r w:rsidR="00087B61">
        <w:t xml:space="preserve">% of one-off costs and </w:t>
      </w:r>
      <w:r w:rsidR="002B3D70">
        <w:t>6</w:t>
      </w:r>
      <w:r w:rsidR="005B2A4E">
        <w:t>8</w:t>
      </w:r>
      <w:r w:rsidR="002B3D70">
        <w:t>.</w:t>
      </w:r>
      <w:r w:rsidR="005B2A4E">
        <w:t>0</w:t>
      </w:r>
      <w:r w:rsidRPr="00AD6A3B">
        <w:t xml:space="preserve">% of total ongoing costs). </w:t>
      </w:r>
    </w:p>
    <w:p w14:paraId="1EDF1688" w14:textId="4DB81D48" w:rsidR="00AD6A3B" w:rsidRPr="00AD6A3B" w:rsidRDefault="00AD6A3B" w:rsidP="0021240B">
      <w:pPr>
        <w:pStyle w:val="Caption"/>
        <w:rPr>
          <w:sz w:val="22"/>
        </w:rPr>
      </w:pPr>
      <w:r w:rsidRPr="00AD6A3B">
        <w:t xml:space="preserve">Expected one-off and ongoing costs by cost type for critical </w:t>
      </w:r>
      <w:r w:rsidR="000728EE">
        <w:t>broadcasting</w:t>
      </w:r>
      <w:r w:rsidRPr="00AD6A3B">
        <w:t xml:space="preserve"> assets </w:t>
      </w:r>
      <w:r w:rsidR="003024D8">
        <w:t xml:space="preserve">and critical domain name systems </w:t>
      </w:r>
      <w:r w:rsidRPr="00AD6A3B">
        <w:t>nationally</w:t>
      </w:r>
    </w:p>
    <w:tbl>
      <w:tblPr>
        <w:tblStyle w:val="TableGrid1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221"/>
        <w:gridCol w:w="2159"/>
        <w:gridCol w:w="1675"/>
        <w:gridCol w:w="1833"/>
        <w:gridCol w:w="1750"/>
      </w:tblGrid>
      <w:tr w:rsidR="00AD6A3B" w:rsidRPr="00F21422" w14:paraId="0B4A35CA" w14:textId="77777777" w:rsidTr="006361FE">
        <w:trPr>
          <w:trHeight w:val="601"/>
        </w:trPr>
        <w:tc>
          <w:tcPr>
            <w:tcW w:w="1152" w:type="pct"/>
            <w:vMerge w:val="restart"/>
            <w:shd w:val="clear" w:color="auto" w:fill="034EA2" w:themeFill="accent1"/>
            <w:hideMark/>
          </w:tcPr>
          <w:p w14:paraId="6F701B92" w14:textId="77777777" w:rsidR="00AD6A3B" w:rsidRPr="00F21422" w:rsidRDefault="00AD6A3B" w:rsidP="006361FE">
            <w:pPr>
              <w:pStyle w:val="TableHeading"/>
              <w:rPr>
                <w:rFonts w:asciiTheme="minorHAnsi" w:hAnsiTheme="minorHAnsi" w:cstheme="minorHAnsi"/>
                <w:lang w:eastAsia="en-AU"/>
              </w:rPr>
            </w:pPr>
            <w:r w:rsidRPr="00F21422">
              <w:rPr>
                <w:rFonts w:asciiTheme="minorHAnsi" w:hAnsiTheme="minorHAnsi" w:cstheme="minorHAnsi"/>
                <w:lang w:eastAsia="en-AU"/>
              </w:rPr>
              <w:t>Cost Type</w:t>
            </w:r>
          </w:p>
        </w:tc>
        <w:tc>
          <w:tcPr>
            <w:tcW w:w="3848" w:type="pct"/>
            <w:gridSpan w:val="4"/>
            <w:shd w:val="clear" w:color="auto" w:fill="034EA2" w:themeFill="accent1"/>
            <w:vAlign w:val="center"/>
            <w:hideMark/>
          </w:tcPr>
          <w:p w14:paraId="3ADEAAC6" w14:textId="77777777" w:rsidR="00AD6A3B" w:rsidRPr="00F21422" w:rsidRDefault="00AD6A3B" w:rsidP="00F21422">
            <w:pPr>
              <w:pStyle w:val="TableHeading"/>
              <w:rPr>
                <w:rFonts w:asciiTheme="minorHAnsi" w:hAnsiTheme="minorHAnsi" w:cstheme="minorHAnsi"/>
                <w:lang w:eastAsia="en-AU"/>
              </w:rPr>
            </w:pPr>
            <w:r w:rsidRPr="00F21422">
              <w:rPr>
                <w:rFonts w:asciiTheme="minorHAnsi" w:hAnsiTheme="minorHAnsi" w:cstheme="minorHAnsi"/>
                <w:lang w:eastAsia="en-AU"/>
              </w:rPr>
              <w:t xml:space="preserve">Costs </w:t>
            </w:r>
          </w:p>
        </w:tc>
      </w:tr>
      <w:tr w:rsidR="00340241" w:rsidRPr="00F21422" w14:paraId="0248F56B" w14:textId="77777777" w:rsidTr="00F54115">
        <w:trPr>
          <w:trHeight w:val="601"/>
        </w:trPr>
        <w:tc>
          <w:tcPr>
            <w:tcW w:w="1152" w:type="pct"/>
            <w:vMerge/>
            <w:shd w:val="clear" w:color="auto" w:fill="007BC3" w:themeFill="accent2"/>
            <w:vAlign w:val="center"/>
            <w:hideMark/>
          </w:tcPr>
          <w:p w14:paraId="38FE4147" w14:textId="77777777" w:rsidR="00AD6A3B" w:rsidRPr="00F21422" w:rsidRDefault="00AD6A3B" w:rsidP="00F21422">
            <w:pPr>
              <w:pStyle w:val="TableBody"/>
              <w:rPr>
                <w:rFonts w:asciiTheme="minorHAnsi" w:hAnsiTheme="minorHAnsi" w:cstheme="minorHAnsi"/>
                <w:lang w:eastAsia="en-AU"/>
              </w:rPr>
            </w:pPr>
          </w:p>
        </w:tc>
        <w:tc>
          <w:tcPr>
            <w:tcW w:w="1120" w:type="pct"/>
            <w:shd w:val="clear" w:color="auto" w:fill="DEEAF6"/>
            <w:vAlign w:val="center"/>
            <w:hideMark/>
          </w:tcPr>
          <w:p w14:paraId="0D1B11CB" w14:textId="77777777" w:rsidR="00AD6A3B" w:rsidRPr="00F21422" w:rsidRDefault="00AD6A3B" w:rsidP="00F21422">
            <w:pPr>
              <w:pStyle w:val="TableBody"/>
              <w:rPr>
                <w:rFonts w:asciiTheme="minorHAnsi" w:hAnsiTheme="minorHAnsi" w:cstheme="minorHAnsi"/>
                <w:lang w:eastAsia="en-AU"/>
              </w:rPr>
            </w:pPr>
            <w:r w:rsidRPr="00F21422">
              <w:rPr>
                <w:rFonts w:asciiTheme="minorHAnsi" w:hAnsiTheme="minorHAnsi" w:cstheme="minorHAnsi"/>
                <w:lang w:eastAsia="en-AU"/>
              </w:rPr>
              <w:t xml:space="preserve">One-off </w:t>
            </w:r>
            <w:r w:rsidRPr="00F21422">
              <w:rPr>
                <w:rFonts w:asciiTheme="minorHAnsi" w:hAnsiTheme="minorHAnsi" w:cstheme="minorHAnsi"/>
                <w:color w:val="000000"/>
                <w:lang w:eastAsia="en-AU"/>
              </w:rPr>
              <w:t>($ million)</w:t>
            </w:r>
          </w:p>
        </w:tc>
        <w:tc>
          <w:tcPr>
            <w:tcW w:w="869" w:type="pct"/>
            <w:shd w:val="clear" w:color="auto" w:fill="DEEAF6"/>
            <w:vAlign w:val="center"/>
            <w:hideMark/>
          </w:tcPr>
          <w:p w14:paraId="628659C8" w14:textId="77777777" w:rsidR="00AD6A3B" w:rsidRPr="00F21422" w:rsidRDefault="00AD6A3B" w:rsidP="00F21422">
            <w:pPr>
              <w:pStyle w:val="TableBody"/>
              <w:rPr>
                <w:rFonts w:asciiTheme="minorHAnsi" w:hAnsiTheme="minorHAnsi" w:cstheme="minorHAnsi"/>
                <w:lang w:eastAsia="en-AU"/>
              </w:rPr>
            </w:pPr>
            <w:r w:rsidRPr="00F21422">
              <w:rPr>
                <w:rFonts w:asciiTheme="minorHAnsi" w:hAnsiTheme="minorHAnsi" w:cstheme="minorHAnsi"/>
                <w:lang w:eastAsia="en-AU"/>
              </w:rPr>
              <w:t>One-off</w:t>
            </w:r>
            <w:r w:rsidRPr="00F21422">
              <w:rPr>
                <w:rFonts w:asciiTheme="minorHAnsi" w:hAnsiTheme="minorHAnsi" w:cstheme="minorHAnsi"/>
                <w:lang w:eastAsia="en-AU"/>
              </w:rPr>
              <w:br/>
              <w:t>(%)</w:t>
            </w:r>
          </w:p>
        </w:tc>
        <w:tc>
          <w:tcPr>
            <w:tcW w:w="951" w:type="pct"/>
            <w:shd w:val="clear" w:color="auto" w:fill="DEEAF6"/>
            <w:vAlign w:val="center"/>
            <w:hideMark/>
          </w:tcPr>
          <w:p w14:paraId="572F40F8" w14:textId="77777777" w:rsidR="00AD6A3B" w:rsidRPr="00F21422" w:rsidRDefault="00AD6A3B" w:rsidP="00F21422">
            <w:pPr>
              <w:pStyle w:val="TableBody"/>
              <w:rPr>
                <w:rFonts w:asciiTheme="minorHAnsi" w:hAnsiTheme="minorHAnsi" w:cstheme="minorHAnsi"/>
                <w:lang w:eastAsia="en-AU"/>
              </w:rPr>
            </w:pPr>
            <w:r w:rsidRPr="00F21422">
              <w:rPr>
                <w:rFonts w:asciiTheme="minorHAnsi" w:hAnsiTheme="minorHAnsi" w:cstheme="minorHAnsi"/>
                <w:lang w:eastAsia="en-AU"/>
              </w:rPr>
              <w:t>Ongoing</w:t>
            </w:r>
            <w:r w:rsidRPr="00F21422">
              <w:rPr>
                <w:rFonts w:asciiTheme="minorHAnsi" w:hAnsiTheme="minorHAnsi" w:cstheme="minorHAnsi"/>
                <w:lang w:eastAsia="en-AU"/>
              </w:rPr>
              <w:br/>
              <w:t>(per year)</w:t>
            </w:r>
          </w:p>
        </w:tc>
        <w:tc>
          <w:tcPr>
            <w:tcW w:w="908" w:type="pct"/>
            <w:shd w:val="clear" w:color="auto" w:fill="DEEAF6"/>
            <w:vAlign w:val="center"/>
            <w:hideMark/>
          </w:tcPr>
          <w:p w14:paraId="4ADC58D6" w14:textId="77777777" w:rsidR="00AD6A3B" w:rsidRPr="00F21422" w:rsidRDefault="00AD6A3B" w:rsidP="00F21422">
            <w:pPr>
              <w:pStyle w:val="TableBody"/>
              <w:rPr>
                <w:rFonts w:asciiTheme="minorHAnsi" w:hAnsiTheme="minorHAnsi" w:cstheme="minorHAnsi"/>
                <w:lang w:eastAsia="en-AU"/>
              </w:rPr>
            </w:pPr>
            <w:r w:rsidRPr="00F21422">
              <w:rPr>
                <w:rFonts w:asciiTheme="minorHAnsi" w:hAnsiTheme="minorHAnsi" w:cstheme="minorHAnsi"/>
                <w:lang w:eastAsia="en-AU"/>
              </w:rPr>
              <w:t>Ongoing</w:t>
            </w:r>
            <w:r w:rsidRPr="00F21422">
              <w:rPr>
                <w:rFonts w:asciiTheme="minorHAnsi" w:hAnsiTheme="minorHAnsi" w:cstheme="minorHAnsi"/>
                <w:lang w:eastAsia="en-AU"/>
              </w:rPr>
              <w:br/>
              <w:t>(%)</w:t>
            </w:r>
          </w:p>
        </w:tc>
      </w:tr>
      <w:tr w:rsidR="00F54115" w:rsidRPr="00F21422" w14:paraId="781224CE" w14:textId="77777777" w:rsidTr="00F54115">
        <w:trPr>
          <w:trHeight w:val="331"/>
        </w:trPr>
        <w:tc>
          <w:tcPr>
            <w:tcW w:w="1152" w:type="pct"/>
            <w:shd w:val="clear" w:color="auto" w:fill="F2F2F2" w:themeFill="background1" w:themeFillShade="F2"/>
            <w:vAlign w:val="center"/>
            <w:hideMark/>
          </w:tcPr>
          <w:p w14:paraId="43FBBE05" w14:textId="77777777" w:rsidR="00F54115" w:rsidRPr="00F21422" w:rsidRDefault="00F54115" w:rsidP="00F54115">
            <w:pPr>
              <w:pStyle w:val="TableBody"/>
              <w:rPr>
                <w:rFonts w:asciiTheme="minorHAnsi" w:hAnsiTheme="minorHAnsi" w:cstheme="minorHAnsi"/>
                <w:lang w:eastAsia="en-AU"/>
              </w:rPr>
            </w:pPr>
            <w:r w:rsidRPr="00F21422">
              <w:rPr>
                <w:rFonts w:asciiTheme="minorHAnsi" w:hAnsiTheme="minorHAnsi" w:cstheme="minorHAnsi"/>
                <w:lang w:eastAsia="en-AU"/>
              </w:rPr>
              <w:t>Labour effort</w:t>
            </w:r>
          </w:p>
        </w:tc>
        <w:tc>
          <w:tcPr>
            <w:tcW w:w="1120" w:type="pct"/>
            <w:shd w:val="clear" w:color="auto" w:fill="auto"/>
            <w:vAlign w:val="center"/>
          </w:tcPr>
          <w:p w14:paraId="2BB5AFD8" w14:textId="7ABD4DB4" w:rsidR="00F54115" w:rsidRPr="00F21422" w:rsidRDefault="00F54115" w:rsidP="00F54115">
            <w:pPr>
              <w:pStyle w:val="TableBody"/>
              <w:rPr>
                <w:rFonts w:asciiTheme="minorHAnsi" w:hAnsiTheme="minorHAnsi" w:cstheme="minorHAnsi"/>
                <w:highlight w:val="yellow"/>
                <w:lang w:eastAsia="en-AU"/>
              </w:rPr>
            </w:pPr>
            <w:r>
              <w:rPr>
                <w:rFonts w:ascii="Arial" w:hAnsi="Arial" w:cs="Arial"/>
              </w:rPr>
              <w:t>0.3</w:t>
            </w:r>
          </w:p>
        </w:tc>
        <w:tc>
          <w:tcPr>
            <w:tcW w:w="869" w:type="pct"/>
            <w:shd w:val="clear" w:color="auto" w:fill="auto"/>
            <w:vAlign w:val="center"/>
          </w:tcPr>
          <w:p w14:paraId="7427BCC5" w14:textId="2ECB19DE" w:rsidR="00F54115" w:rsidRPr="00F21422" w:rsidRDefault="006D794E" w:rsidP="00F54115">
            <w:pPr>
              <w:pStyle w:val="TableBody"/>
              <w:rPr>
                <w:rFonts w:asciiTheme="minorHAnsi" w:hAnsiTheme="minorHAnsi" w:cstheme="minorHAnsi"/>
                <w:highlight w:val="yellow"/>
                <w:lang w:eastAsia="en-AU"/>
              </w:rPr>
            </w:pPr>
            <w:r>
              <w:rPr>
                <w:rFonts w:ascii="Arial" w:hAnsi="Arial" w:cs="Arial"/>
                <w:lang w:eastAsia="en-AU"/>
              </w:rPr>
              <w:t>1</w:t>
            </w:r>
            <w:r w:rsidR="00415632">
              <w:rPr>
                <w:rFonts w:ascii="Arial" w:hAnsi="Arial" w:cs="Arial"/>
                <w:lang w:eastAsia="en-AU"/>
              </w:rPr>
              <w:t>6.1</w:t>
            </w:r>
          </w:p>
        </w:tc>
        <w:tc>
          <w:tcPr>
            <w:tcW w:w="951" w:type="pct"/>
            <w:shd w:val="clear" w:color="auto" w:fill="auto"/>
            <w:vAlign w:val="center"/>
          </w:tcPr>
          <w:p w14:paraId="3381C076" w14:textId="40AC2E2B" w:rsidR="00F54115" w:rsidRPr="00F21422" w:rsidRDefault="00F54115" w:rsidP="00F54115">
            <w:pPr>
              <w:pStyle w:val="TableBody"/>
              <w:rPr>
                <w:rFonts w:asciiTheme="minorHAnsi" w:hAnsiTheme="minorHAnsi" w:cstheme="minorHAnsi"/>
                <w:highlight w:val="yellow"/>
                <w:lang w:eastAsia="en-AU"/>
              </w:rPr>
            </w:pPr>
            <w:r>
              <w:rPr>
                <w:rFonts w:ascii="Arial" w:hAnsi="Arial" w:cs="Arial"/>
              </w:rPr>
              <w:t>0.</w:t>
            </w:r>
            <w:r w:rsidR="002B3D70">
              <w:rPr>
                <w:rFonts w:ascii="Arial" w:hAnsi="Arial" w:cs="Arial"/>
              </w:rPr>
              <w:t>4</w:t>
            </w:r>
          </w:p>
        </w:tc>
        <w:tc>
          <w:tcPr>
            <w:tcW w:w="908" w:type="pct"/>
            <w:shd w:val="clear" w:color="auto" w:fill="auto"/>
            <w:vAlign w:val="center"/>
          </w:tcPr>
          <w:p w14:paraId="13C1421E" w14:textId="03A0A6A6" w:rsidR="00F54115" w:rsidRPr="00CE4B35" w:rsidRDefault="002B3D70" w:rsidP="00F54115">
            <w:pPr>
              <w:pStyle w:val="TableBody"/>
              <w:rPr>
                <w:rFonts w:ascii="Arial" w:hAnsi="Arial" w:cs="Arial"/>
                <w:lang w:eastAsia="en-AU"/>
              </w:rPr>
            </w:pPr>
            <w:r>
              <w:rPr>
                <w:rFonts w:ascii="Arial" w:hAnsi="Arial" w:cs="Arial"/>
                <w:lang w:eastAsia="en-AU"/>
              </w:rPr>
              <w:t>2</w:t>
            </w:r>
            <w:r w:rsidR="00E70814">
              <w:rPr>
                <w:rFonts w:ascii="Arial" w:hAnsi="Arial" w:cs="Arial"/>
                <w:lang w:eastAsia="en-AU"/>
              </w:rPr>
              <w:t>2.9</w:t>
            </w:r>
          </w:p>
        </w:tc>
      </w:tr>
      <w:tr w:rsidR="00F54115" w:rsidRPr="00F21422" w14:paraId="33FDF1BE" w14:textId="77777777" w:rsidTr="00F54115">
        <w:trPr>
          <w:trHeight w:val="265"/>
        </w:trPr>
        <w:tc>
          <w:tcPr>
            <w:tcW w:w="1152" w:type="pct"/>
            <w:shd w:val="clear" w:color="auto" w:fill="F2F2F2" w:themeFill="background1" w:themeFillShade="F2"/>
            <w:vAlign w:val="center"/>
            <w:hideMark/>
          </w:tcPr>
          <w:p w14:paraId="6B1ADD9B" w14:textId="77777777" w:rsidR="00F54115" w:rsidRPr="00F21422" w:rsidRDefault="00F54115" w:rsidP="00F54115">
            <w:pPr>
              <w:pStyle w:val="TableBody"/>
              <w:rPr>
                <w:rFonts w:asciiTheme="minorHAnsi" w:hAnsiTheme="minorHAnsi" w:cstheme="minorHAnsi"/>
                <w:lang w:eastAsia="en-AU"/>
              </w:rPr>
            </w:pPr>
            <w:r w:rsidRPr="00F21422">
              <w:rPr>
                <w:rFonts w:asciiTheme="minorHAnsi" w:hAnsiTheme="minorHAnsi" w:cstheme="minorHAnsi"/>
                <w:lang w:eastAsia="en-AU"/>
              </w:rPr>
              <w:t>Capital</w:t>
            </w:r>
          </w:p>
        </w:tc>
        <w:tc>
          <w:tcPr>
            <w:tcW w:w="1120" w:type="pct"/>
            <w:shd w:val="clear" w:color="auto" w:fill="auto"/>
            <w:vAlign w:val="center"/>
          </w:tcPr>
          <w:p w14:paraId="00B47D5F" w14:textId="77777777" w:rsidR="00F54115" w:rsidRPr="00F21422" w:rsidRDefault="00F54115" w:rsidP="00F54115">
            <w:pPr>
              <w:pStyle w:val="TableBody"/>
              <w:rPr>
                <w:rFonts w:asciiTheme="minorHAnsi" w:hAnsiTheme="minorHAnsi" w:cstheme="minorHAnsi"/>
                <w:highlight w:val="yellow"/>
                <w:lang w:eastAsia="en-AU"/>
              </w:rPr>
            </w:pPr>
            <w:r>
              <w:rPr>
                <w:rFonts w:ascii="Arial" w:hAnsi="Arial" w:cs="Arial"/>
              </w:rPr>
              <w:t>0.6</w:t>
            </w:r>
          </w:p>
        </w:tc>
        <w:tc>
          <w:tcPr>
            <w:tcW w:w="869" w:type="pct"/>
            <w:shd w:val="clear" w:color="auto" w:fill="auto"/>
            <w:vAlign w:val="center"/>
          </w:tcPr>
          <w:p w14:paraId="273A54F1" w14:textId="1FA9547D" w:rsidR="00F54115" w:rsidRPr="00F21422" w:rsidRDefault="00F54115" w:rsidP="00F54115">
            <w:pPr>
              <w:pStyle w:val="TableBody"/>
              <w:rPr>
                <w:rFonts w:asciiTheme="minorHAnsi" w:hAnsiTheme="minorHAnsi" w:cstheme="minorHAnsi"/>
                <w:highlight w:val="yellow"/>
                <w:lang w:eastAsia="en-AU"/>
              </w:rPr>
            </w:pPr>
            <w:r w:rsidRPr="002462A2">
              <w:rPr>
                <w:rFonts w:ascii="Arial" w:hAnsi="Arial" w:cs="Arial"/>
                <w:lang w:eastAsia="en-AU"/>
              </w:rPr>
              <w:t>2</w:t>
            </w:r>
            <w:r w:rsidR="009C3D03">
              <w:rPr>
                <w:rFonts w:ascii="Arial" w:hAnsi="Arial" w:cs="Arial"/>
                <w:lang w:eastAsia="en-AU"/>
              </w:rPr>
              <w:t>7.5</w:t>
            </w:r>
          </w:p>
        </w:tc>
        <w:tc>
          <w:tcPr>
            <w:tcW w:w="951" w:type="pct"/>
            <w:shd w:val="clear" w:color="auto" w:fill="auto"/>
            <w:vAlign w:val="center"/>
          </w:tcPr>
          <w:p w14:paraId="03D97A92" w14:textId="77777777" w:rsidR="00F54115" w:rsidRPr="00F21422" w:rsidRDefault="00F54115" w:rsidP="00F54115">
            <w:pPr>
              <w:pStyle w:val="TableBody"/>
              <w:rPr>
                <w:rFonts w:asciiTheme="minorHAnsi" w:hAnsiTheme="minorHAnsi" w:cstheme="minorHAnsi"/>
                <w:highlight w:val="yellow"/>
                <w:lang w:eastAsia="en-AU"/>
              </w:rPr>
            </w:pPr>
            <w:r>
              <w:rPr>
                <w:rFonts w:ascii="Arial" w:hAnsi="Arial" w:cs="Arial"/>
              </w:rPr>
              <w:t>0.1</w:t>
            </w:r>
          </w:p>
        </w:tc>
        <w:tc>
          <w:tcPr>
            <w:tcW w:w="908" w:type="pct"/>
            <w:shd w:val="clear" w:color="auto" w:fill="auto"/>
            <w:vAlign w:val="center"/>
          </w:tcPr>
          <w:p w14:paraId="493FE9EC" w14:textId="2D79E265" w:rsidR="00F54115" w:rsidRPr="00F21422" w:rsidRDefault="002B3D70" w:rsidP="00F54115">
            <w:pPr>
              <w:pStyle w:val="TableBody"/>
              <w:rPr>
                <w:rFonts w:asciiTheme="minorHAnsi" w:hAnsiTheme="minorHAnsi" w:cstheme="minorHAnsi"/>
                <w:highlight w:val="yellow"/>
                <w:lang w:eastAsia="en-AU"/>
              </w:rPr>
            </w:pPr>
            <w:r>
              <w:rPr>
                <w:rFonts w:ascii="Arial" w:hAnsi="Arial" w:cs="Arial"/>
                <w:lang w:eastAsia="en-AU"/>
              </w:rPr>
              <w:t>9.</w:t>
            </w:r>
            <w:r w:rsidR="00E70814">
              <w:rPr>
                <w:rFonts w:ascii="Arial" w:hAnsi="Arial" w:cs="Arial"/>
                <w:lang w:eastAsia="en-AU"/>
              </w:rPr>
              <w:t>2</w:t>
            </w:r>
          </w:p>
        </w:tc>
      </w:tr>
      <w:tr w:rsidR="00F54115" w:rsidRPr="00F21422" w14:paraId="6D66ECC8" w14:textId="77777777" w:rsidTr="00F54115">
        <w:trPr>
          <w:trHeight w:val="283"/>
        </w:trPr>
        <w:tc>
          <w:tcPr>
            <w:tcW w:w="1152" w:type="pct"/>
            <w:shd w:val="clear" w:color="auto" w:fill="F2F2F2" w:themeFill="background1" w:themeFillShade="F2"/>
            <w:vAlign w:val="center"/>
            <w:hideMark/>
          </w:tcPr>
          <w:p w14:paraId="302FD081" w14:textId="77777777" w:rsidR="00F54115" w:rsidRPr="00F21422" w:rsidRDefault="00F54115" w:rsidP="00F54115">
            <w:pPr>
              <w:pStyle w:val="TableBody"/>
              <w:rPr>
                <w:rFonts w:asciiTheme="minorHAnsi" w:hAnsiTheme="minorHAnsi" w:cstheme="minorHAnsi"/>
                <w:lang w:eastAsia="en-AU"/>
              </w:rPr>
            </w:pPr>
            <w:r w:rsidRPr="00F21422">
              <w:rPr>
                <w:rFonts w:asciiTheme="minorHAnsi" w:hAnsiTheme="minorHAnsi" w:cstheme="minorHAnsi"/>
                <w:lang w:eastAsia="en-AU"/>
              </w:rPr>
              <w:t>Operating</w:t>
            </w:r>
          </w:p>
        </w:tc>
        <w:tc>
          <w:tcPr>
            <w:tcW w:w="1120" w:type="pct"/>
            <w:shd w:val="clear" w:color="auto" w:fill="auto"/>
            <w:vAlign w:val="center"/>
          </w:tcPr>
          <w:p w14:paraId="355EAD78" w14:textId="661E60AB" w:rsidR="00F54115" w:rsidRPr="00F21422" w:rsidRDefault="00F54115" w:rsidP="00F54115">
            <w:pPr>
              <w:pStyle w:val="TableBody"/>
              <w:rPr>
                <w:rFonts w:asciiTheme="minorHAnsi" w:hAnsiTheme="minorHAnsi" w:cstheme="minorHAnsi"/>
                <w:highlight w:val="yellow"/>
                <w:lang w:eastAsia="en-AU"/>
              </w:rPr>
            </w:pPr>
            <w:r w:rsidRPr="002462A2">
              <w:rPr>
                <w:rFonts w:ascii="Arial" w:hAnsi="Arial" w:cs="Arial"/>
                <w:lang w:eastAsia="en-AU"/>
              </w:rPr>
              <w:t>1.</w:t>
            </w:r>
            <w:r w:rsidR="009C3D03">
              <w:rPr>
                <w:rFonts w:ascii="Arial" w:hAnsi="Arial" w:cs="Arial"/>
                <w:lang w:eastAsia="en-AU"/>
              </w:rPr>
              <w:t>2</w:t>
            </w:r>
          </w:p>
        </w:tc>
        <w:tc>
          <w:tcPr>
            <w:tcW w:w="869" w:type="pct"/>
            <w:shd w:val="clear" w:color="auto" w:fill="auto"/>
            <w:vAlign w:val="center"/>
          </w:tcPr>
          <w:p w14:paraId="0C31AED0" w14:textId="4A60D3F0" w:rsidR="00F54115" w:rsidRPr="00F21422" w:rsidRDefault="00F54115" w:rsidP="00F54115">
            <w:pPr>
              <w:pStyle w:val="TableBody"/>
              <w:rPr>
                <w:rFonts w:asciiTheme="minorHAnsi" w:hAnsiTheme="minorHAnsi" w:cstheme="minorHAnsi"/>
                <w:highlight w:val="yellow"/>
                <w:lang w:eastAsia="en-AU"/>
              </w:rPr>
            </w:pPr>
            <w:r w:rsidRPr="002462A2">
              <w:rPr>
                <w:rFonts w:ascii="Arial" w:hAnsi="Arial" w:cs="Arial"/>
                <w:lang w:eastAsia="en-AU"/>
              </w:rPr>
              <w:t>5</w:t>
            </w:r>
            <w:r w:rsidR="009C3D03">
              <w:rPr>
                <w:rFonts w:ascii="Arial" w:hAnsi="Arial" w:cs="Arial"/>
                <w:lang w:eastAsia="en-AU"/>
              </w:rPr>
              <w:t>6</w:t>
            </w:r>
            <w:r w:rsidR="006D794E">
              <w:rPr>
                <w:rFonts w:ascii="Arial" w:hAnsi="Arial" w:cs="Arial"/>
                <w:lang w:eastAsia="en-AU"/>
              </w:rPr>
              <w:t>.</w:t>
            </w:r>
            <w:r w:rsidR="009C3D03">
              <w:rPr>
                <w:rFonts w:ascii="Arial" w:hAnsi="Arial" w:cs="Arial"/>
                <w:lang w:eastAsia="en-AU"/>
              </w:rPr>
              <w:t>4</w:t>
            </w:r>
          </w:p>
        </w:tc>
        <w:tc>
          <w:tcPr>
            <w:tcW w:w="951" w:type="pct"/>
            <w:shd w:val="clear" w:color="auto" w:fill="auto"/>
            <w:vAlign w:val="center"/>
          </w:tcPr>
          <w:p w14:paraId="690C0959" w14:textId="7FAF8369" w:rsidR="00F54115" w:rsidRPr="00F21422" w:rsidRDefault="00F54115" w:rsidP="00F54115">
            <w:pPr>
              <w:pStyle w:val="TableBody"/>
              <w:rPr>
                <w:rFonts w:asciiTheme="minorHAnsi" w:hAnsiTheme="minorHAnsi" w:cstheme="minorHAnsi"/>
                <w:highlight w:val="yellow"/>
                <w:lang w:eastAsia="en-AU"/>
              </w:rPr>
            </w:pPr>
            <w:r w:rsidRPr="002462A2">
              <w:rPr>
                <w:rFonts w:ascii="Arial" w:hAnsi="Arial" w:cs="Arial"/>
                <w:lang w:eastAsia="en-AU"/>
              </w:rPr>
              <w:t>1.</w:t>
            </w:r>
            <w:r w:rsidR="002B3D70">
              <w:rPr>
                <w:rFonts w:ascii="Arial" w:hAnsi="Arial" w:cs="Arial"/>
                <w:lang w:eastAsia="en-AU"/>
              </w:rPr>
              <w:t>0</w:t>
            </w:r>
          </w:p>
        </w:tc>
        <w:tc>
          <w:tcPr>
            <w:tcW w:w="908" w:type="pct"/>
            <w:shd w:val="clear" w:color="auto" w:fill="auto"/>
            <w:vAlign w:val="center"/>
          </w:tcPr>
          <w:p w14:paraId="0DCF867C" w14:textId="217A6A4D" w:rsidR="00F54115" w:rsidRPr="00F21422" w:rsidRDefault="002B3D70" w:rsidP="00F54115">
            <w:pPr>
              <w:pStyle w:val="TableBody"/>
              <w:rPr>
                <w:rFonts w:asciiTheme="minorHAnsi" w:hAnsiTheme="minorHAnsi" w:cstheme="minorHAnsi"/>
                <w:highlight w:val="yellow"/>
                <w:lang w:eastAsia="en-AU"/>
              </w:rPr>
            </w:pPr>
            <w:r>
              <w:rPr>
                <w:rFonts w:ascii="Arial" w:hAnsi="Arial" w:cs="Arial"/>
                <w:lang w:eastAsia="en-AU"/>
              </w:rPr>
              <w:t>6</w:t>
            </w:r>
            <w:r w:rsidR="00E70814">
              <w:rPr>
                <w:rFonts w:ascii="Arial" w:hAnsi="Arial" w:cs="Arial"/>
                <w:lang w:eastAsia="en-AU"/>
              </w:rPr>
              <w:t>8</w:t>
            </w:r>
            <w:r>
              <w:rPr>
                <w:rFonts w:ascii="Arial" w:hAnsi="Arial" w:cs="Arial"/>
                <w:lang w:eastAsia="en-AU"/>
              </w:rPr>
              <w:t>.</w:t>
            </w:r>
            <w:r w:rsidR="00E70814">
              <w:rPr>
                <w:rFonts w:ascii="Arial" w:hAnsi="Arial" w:cs="Arial"/>
                <w:lang w:eastAsia="en-AU"/>
              </w:rPr>
              <w:t>0</w:t>
            </w:r>
          </w:p>
        </w:tc>
      </w:tr>
      <w:tr w:rsidR="00F54115" w:rsidRPr="00F21422" w14:paraId="5E426740" w14:textId="77777777" w:rsidTr="00F54115">
        <w:trPr>
          <w:trHeight w:val="297"/>
        </w:trPr>
        <w:tc>
          <w:tcPr>
            <w:tcW w:w="1152" w:type="pct"/>
            <w:shd w:val="clear" w:color="auto" w:fill="034EA2" w:themeFill="accent1"/>
            <w:vAlign w:val="center"/>
            <w:hideMark/>
          </w:tcPr>
          <w:p w14:paraId="2096952B" w14:textId="77777777" w:rsidR="00F54115" w:rsidRPr="00F21422" w:rsidRDefault="00F54115" w:rsidP="00F54115">
            <w:pPr>
              <w:pStyle w:val="TableHeading"/>
              <w:rPr>
                <w:rFonts w:asciiTheme="minorHAnsi" w:hAnsiTheme="minorHAnsi" w:cstheme="minorHAnsi"/>
                <w:lang w:eastAsia="en-AU"/>
              </w:rPr>
            </w:pPr>
            <w:r w:rsidRPr="00F21422">
              <w:rPr>
                <w:rFonts w:asciiTheme="minorHAnsi" w:hAnsiTheme="minorHAnsi" w:cstheme="minorHAnsi"/>
                <w:lang w:eastAsia="en-AU"/>
              </w:rPr>
              <w:t>Total critical broadcasting assets</w:t>
            </w:r>
          </w:p>
        </w:tc>
        <w:tc>
          <w:tcPr>
            <w:tcW w:w="1120" w:type="pct"/>
            <w:shd w:val="clear" w:color="auto" w:fill="034EA2" w:themeFill="accent1"/>
            <w:vAlign w:val="center"/>
          </w:tcPr>
          <w:p w14:paraId="4BE5444C" w14:textId="4E0591AB" w:rsidR="00F54115" w:rsidRPr="00F21422" w:rsidRDefault="00F54115" w:rsidP="00F54115">
            <w:pPr>
              <w:pStyle w:val="TableHeading"/>
              <w:rPr>
                <w:rFonts w:asciiTheme="minorHAnsi" w:hAnsiTheme="minorHAnsi" w:cstheme="minorHAnsi"/>
              </w:rPr>
            </w:pPr>
            <w:r>
              <w:rPr>
                <w:rFonts w:ascii="Arial" w:hAnsi="Arial" w:cs="Arial"/>
                <w:lang w:eastAsia="en-AU"/>
              </w:rPr>
              <w:t>2.</w:t>
            </w:r>
            <w:r w:rsidR="00E70814">
              <w:rPr>
                <w:rFonts w:ascii="Arial" w:hAnsi="Arial" w:cs="Arial"/>
                <w:lang w:eastAsia="en-AU"/>
              </w:rPr>
              <w:t>1</w:t>
            </w:r>
          </w:p>
        </w:tc>
        <w:tc>
          <w:tcPr>
            <w:tcW w:w="869" w:type="pct"/>
            <w:shd w:val="clear" w:color="auto" w:fill="034EA2" w:themeFill="accent1"/>
            <w:vAlign w:val="center"/>
            <w:hideMark/>
          </w:tcPr>
          <w:p w14:paraId="357A01DC" w14:textId="77777777" w:rsidR="00F54115" w:rsidRPr="00F54115" w:rsidRDefault="00F54115" w:rsidP="00F54115">
            <w:pPr>
              <w:pStyle w:val="TableHeading"/>
              <w:rPr>
                <w:rFonts w:asciiTheme="minorHAnsi" w:hAnsiTheme="minorHAnsi" w:cstheme="minorHAnsi"/>
              </w:rPr>
            </w:pPr>
            <w:r w:rsidRPr="00F54115">
              <w:rPr>
                <w:rFonts w:ascii="Arial" w:hAnsi="Arial" w:cs="Arial"/>
                <w:bCs/>
                <w:szCs w:val="20"/>
              </w:rPr>
              <w:t>100.0</w:t>
            </w:r>
          </w:p>
        </w:tc>
        <w:tc>
          <w:tcPr>
            <w:tcW w:w="951" w:type="pct"/>
            <w:shd w:val="clear" w:color="auto" w:fill="034EA2" w:themeFill="accent1"/>
            <w:vAlign w:val="center"/>
          </w:tcPr>
          <w:p w14:paraId="24A61E21" w14:textId="3CFBD10B" w:rsidR="00F54115" w:rsidRPr="00F54115" w:rsidRDefault="00F54115" w:rsidP="00F54115">
            <w:pPr>
              <w:pStyle w:val="TableHeading"/>
              <w:rPr>
                <w:rFonts w:asciiTheme="minorHAnsi" w:hAnsiTheme="minorHAnsi" w:cstheme="minorHAnsi"/>
              </w:rPr>
            </w:pPr>
            <w:r w:rsidRPr="00F54115">
              <w:rPr>
                <w:rFonts w:ascii="Arial" w:hAnsi="Arial" w:cs="Arial"/>
                <w:lang w:eastAsia="en-AU"/>
              </w:rPr>
              <w:t>1.5</w:t>
            </w:r>
          </w:p>
        </w:tc>
        <w:tc>
          <w:tcPr>
            <w:tcW w:w="908" w:type="pct"/>
            <w:shd w:val="clear" w:color="auto" w:fill="034EA2" w:themeFill="accent1"/>
            <w:vAlign w:val="center"/>
            <w:hideMark/>
          </w:tcPr>
          <w:p w14:paraId="13DE9D3A" w14:textId="77777777" w:rsidR="00F54115" w:rsidRPr="00F54115" w:rsidRDefault="00F54115" w:rsidP="00F54115">
            <w:pPr>
              <w:pStyle w:val="TableHeading"/>
              <w:rPr>
                <w:rFonts w:asciiTheme="minorHAnsi" w:hAnsiTheme="minorHAnsi" w:cstheme="minorHAnsi"/>
              </w:rPr>
            </w:pPr>
            <w:r w:rsidRPr="00F54115">
              <w:rPr>
                <w:rFonts w:ascii="Arial" w:hAnsi="Arial" w:cs="Arial"/>
                <w:bCs/>
                <w:szCs w:val="20"/>
              </w:rPr>
              <w:t>100.0</w:t>
            </w:r>
          </w:p>
        </w:tc>
      </w:tr>
    </w:tbl>
    <w:p w14:paraId="2B362CFB" w14:textId="77777777" w:rsidR="00AD6A3B" w:rsidRPr="00AD6A3B" w:rsidRDefault="00AD6A3B" w:rsidP="0021240B">
      <w:pPr>
        <w:pStyle w:val="AppendixH2"/>
      </w:pPr>
      <w:r w:rsidRPr="00AD6A3B">
        <w:t>Benefits of option 2</w:t>
      </w:r>
    </w:p>
    <w:p w14:paraId="58686E4D" w14:textId="77777777" w:rsidR="00AD6A3B" w:rsidRPr="00AD6A3B" w:rsidRDefault="00AD6A3B" w:rsidP="0021240B">
      <w:pPr>
        <w:pStyle w:val="BodyText"/>
      </w:pPr>
      <w:r w:rsidRPr="00AD6A3B">
        <w:t xml:space="preserve">A reliable continuous </w:t>
      </w:r>
      <w:r w:rsidR="0069237B" w:rsidRPr="00687561">
        <w:rPr>
          <w:color w:val="000000" w:themeColor="text1"/>
        </w:rPr>
        <w:t>broadcasting service</w:t>
      </w:r>
      <w:r w:rsidRPr="00687561">
        <w:rPr>
          <w:color w:val="000000" w:themeColor="text1"/>
        </w:rPr>
        <w:t xml:space="preserve"> </w:t>
      </w:r>
      <w:r w:rsidRPr="00AD6A3B">
        <w:t xml:space="preserve">is central to Australia’s prosperity. Further, disruption to </w:t>
      </w:r>
      <w:r w:rsidR="0069237B">
        <w:t>broadcasting services</w:t>
      </w:r>
      <w:r w:rsidRPr="00AD6A3B">
        <w:t xml:space="preserve"> can be a significant cost to the economy. The risk management program framework aims to reduce the frequency and impact of any disruption to supply and so its primary benefit is to avoid the incidents that may otherwise disrupt supply and cause economic loss.</w:t>
      </w:r>
    </w:p>
    <w:p w14:paraId="395C6700" w14:textId="77777777" w:rsidR="00AD6A3B" w:rsidRPr="00AD6A3B" w:rsidRDefault="00AD6A3B" w:rsidP="0021240B">
      <w:pPr>
        <w:pStyle w:val="AppendixH3"/>
        <w:rPr>
          <w:rFonts w:eastAsia="Calibri"/>
        </w:rPr>
      </w:pPr>
      <w:r w:rsidRPr="00AD6A3B">
        <w:rPr>
          <w:rFonts w:eastAsia="Calibri"/>
        </w:rPr>
        <w:t xml:space="preserve">Economic impacts of disruptions to </w:t>
      </w:r>
      <w:r w:rsidR="0069237B" w:rsidRPr="0069237B">
        <w:rPr>
          <w:rFonts w:eastAsia="Calibri"/>
        </w:rPr>
        <w:t>broadcasting</w:t>
      </w:r>
      <w:r w:rsidRPr="00AD6A3B">
        <w:rPr>
          <w:rFonts w:eastAsia="Calibri"/>
        </w:rPr>
        <w:t xml:space="preserve"> </w:t>
      </w:r>
    </w:p>
    <w:p w14:paraId="28E83B7A" w14:textId="77777777" w:rsidR="00AD6A3B" w:rsidRPr="00AD6A3B" w:rsidRDefault="006C45A8" w:rsidP="00AD6A3B">
      <w:pPr>
        <w:spacing w:after="160"/>
        <w:rPr>
          <w:rFonts w:ascii="Arial" w:eastAsia="Calibri" w:hAnsi="Arial" w:cs="Arial"/>
          <w:sz w:val="22"/>
        </w:rPr>
      </w:pPr>
      <w:r>
        <w:rPr>
          <w:rFonts w:ascii="Arial" w:eastAsia="Calibri" w:hAnsi="Arial" w:cs="Arial"/>
          <w:sz w:val="22"/>
        </w:rPr>
        <w:t>Disruptions that affect</w:t>
      </w:r>
      <w:r w:rsidR="00AD6A3B" w:rsidRPr="00AD6A3B">
        <w:rPr>
          <w:rFonts w:ascii="Arial" w:eastAsia="Calibri" w:hAnsi="Arial" w:cs="Arial"/>
          <w:sz w:val="22"/>
        </w:rPr>
        <w:t xml:space="preserve"> critical </w:t>
      </w:r>
      <w:r w:rsidR="0069237B">
        <w:rPr>
          <w:rFonts w:ascii="Arial" w:eastAsia="Calibri" w:hAnsi="Arial" w:cs="Arial"/>
          <w:sz w:val="22"/>
        </w:rPr>
        <w:t>broadcasting</w:t>
      </w:r>
      <w:r w:rsidR="00AD6A3B" w:rsidRPr="00AD6A3B">
        <w:rPr>
          <w:rFonts w:ascii="Arial" w:eastAsia="Calibri" w:hAnsi="Arial" w:cs="Arial"/>
          <w:sz w:val="22"/>
        </w:rPr>
        <w:t xml:space="preserve"> assets can subsequently disrupt </w:t>
      </w:r>
      <w:r w:rsidR="00487D4A">
        <w:rPr>
          <w:rFonts w:ascii="Arial" w:eastAsia="Calibri" w:hAnsi="Arial" w:cs="Arial"/>
          <w:sz w:val="22"/>
        </w:rPr>
        <w:t>ability to broadcast</w:t>
      </w:r>
      <w:r w:rsidR="00891A93">
        <w:rPr>
          <w:rFonts w:ascii="Arial" w:eastAsia="Calibri" w:hAnsi="Arial" w:cs="Arial"/>
          <w:sz w:val="22"/>
        </w:rPr>
        <w:t xml:space="preserve"> radio or television programming</w:t>
      </w:r>
      <w:r w:rsidR="00AD6A3B" w:rsidRPr="00AD6A3B">
        <w:rPr>
          <w:rFonts w:ascii="Arial" w:eastAsia="Calibri" w:hAnsi="Arial" w:cs="Arial"/>
          <w:sz w:val="22"/>
        </w:rPr>
        <w:t xml:space="preserve"> to businesses and households. These events can generate costly immediate and longer-term impacts </w:t>
      </w:r>
      <w:r w:rsidR="00AD6A3B" w:rsidRPr="0069237B">
        <w:rPr>
          <w:rFonts w:ascii="Arial" w:eastAsia="Calibri" w:hAnsi="Arial" w:cs="Arial"/>
          <w:color w:val="000000" w:themeColor="text1"/>
          <w:sz w:val="22"/>
        </w:rPr>
        <w:t>on the Australian economy. The immediate</w:t>
      </w:r>
      <w:r w:rsidR="00AD6A3B" w:rsidRPr="0069237B">
        <w:rPr>
          <w:rFonts w:ascii="Arial" w:eastAsia="Arial" w:hAnsi="Arial" w:cs="Arial"/>
          <w:color w:val="000000" w:themeColor="text1"/>
          <w:sz w:val="22"/>
        </w:rPr>
        <w:t xml:space="preserve"> impacts of </w:t>
      </w:r>
      <w:r w:rsidR="0069237B" w:rsidRPr="0069237B">
        <w:rPr>
          <w:rFonts w:ascii="Arial" w:eastAsia="Arial" w:hAnsi="Arial" w:cs="Arial"/>
          <w:color w:val="000000" w:themeColor="text1"/>
          <w:sz w:val="22"/>
        </w:rPr>
        <w:t>a</w:t>
      </w:r>
      <w:r w:rsidR="00AD6A3B" w:rsidRPr="0069237B">
        <w:rPr>
          <w:rFonts w:ascii="Arial" w:eastAsia="Arial" w:hAnsi="Arial" w:cs="Arial"/>
          <w:color w:val="000000" w:themeColor="text1"/>
          <w:sz w:val="22"/>
        </w:rPr>
        <w:t xml:space="preserve"> </w:t>
      </w:r>
      <w:r w:rsidR="0069237B" w:rsidRPr="0069237B">
        <w:rPr>
          <w:rFonts w:ascii="Arial" w:eastAsia="Arial" w:hAnsi="Arial" w:cs="Arial"/>
          <w:color w:val="000000" w:themeColor="text1"/>
          <w:sz w:val="22"/>
        </w:rPr>
        <w:t>broadcasting</w:t>
      </w:r>
      <w:r w:rsidR="00AD6A3B" w:rsidRPr="00AD6A3B">
        <w:rPr>
          <w:rFonts w:ascii="Arial" w:eastAsia="Arial" w:hAnsi="Arial" w:cs="Arial"/>
          <w:sz w:val="22"/>
        </w:rPr>
        <w:t xml:space="preserve"> outage are those associated with loss of access to </w:t>
      </w:r>
      <w:r w:rsidR="0069237B">
        <w:rPr>
          <w:rFonts w:ascii="Arial" w:eastAsia="Arial" w:hAnsi="Arial" w:cs="Arial"/>
          <w:sz w:val="22"/>
        </w:rPr>
        <w:t>broadcasting</w:t>
      </w:r>
      <w:r w:rsidR="00AD6A3B" w:rsidRPr="00AD6A3B">
        <w:rPr>
          <w:rFonts w:ascii="Arial" w:eastAsia="Calibri" w:hAnsi="Arial" w:cs="Arial"/>
          <w:sz w:val="22"/>
        </w:rPr>
        <w:t xml:space="preserve"> or increased </w:t>
      </w:r>
      <w:r w:rsidR="0069237B" w:rsidRPr="0069237B">
        <w:rPr>
          <w:rFonts w:ascii="Arial" w:eastAsia="Calibri" w:hAnsi="Arial" w:cs="Arial"/>
          <w:color w:val="000000" w:themeColor="text1"/>
          <w:sz w:val="22"/>
        </w:rPr>
        <w:t>broadcasting</w:t>
      </w:r>
      <w:r w:rsidR="00AD6A3B" w:rsidRPr="0069237B">
        <w:rPr>
          <w:rFonts w:ascii="Arial" w:eastAsia="Calibri" w:hAnsi="Arial" w:cs="Arial"/>
          <w:color w:val="000000" w:themeColor="text1"/>
          <w:sz w:val="22"/>
        </w:rPr>
        <w:t xml:space="preserve"> </w:t>
      </w:r>
      <w:r w:rsidR="00AD6A3B" w:rsidRPr="00AD6A3B">
        <w:rPr>
          <w:rFonts w:ascii="Arial" w:eastAsia="Calibri" w:hAnsi="Arial" w:cs="Arial"/>
          <w:sz w:val="22"/>
        </w:rPr>
        <w:t>costs, such as:</w:t>
      </w:r>
    </w:p>
    <w:p w14:paraId="703E6DF1" w14:textId="77777777" w:rsidR="00687561" w:rsidRPr="00687561" w:rsidRDefault="0069237B" w:rsidP="0021240B">
      <w:pPr>
        <w:pStyle w:val="Bullet1stlevel"/>
      </w:pPr>
      <w:r>
        <w:t>Disrupted economic activity</w:t>
      </w:r>
      <w:r w:rsidR="00AD6A3B" w:rsidRPr="00AD6A3B">
        <w:t xml:space="preserve"> (e.g. </w:t>
      </w:r>
      <w:r>
        <w:t>disruption of business operations</w:t>
      </w:r>
      <w:r w:rsidR="009A016E">
        <w:t xml:space="preserve"> or systems caused by a </w:t>
      </w:r>
      <w:r w:rsidR="00891A93">
        <w:t>disruption</w:t>
      </w:r>
      <w:r w:rsidR="009A016E">
        <w:t xml:space="preserve"> to broadcasting services</w:t>
      </w:r>
      <w:r>
        <w:t>)</w:t>
      </w:r>
      <w:r w:rsidR="009A016E">
        <w:t>;</w:t>
      </w:r>
    </w:p>
    <w:p w14:paraId="260CA05A" w14:textId="77777777" w:rsidR="00733268" w:rsidRPr="00733268" w:rsidRDefault="00AD6A3B" w:rsidP="0021240B">
      <w:pPr>
        <w:pStyle w:val="Bullet1stlevel"/>
      </w:pPr>
      <w:r w:rsidRPr="00AD6A3B">
        <w:t xml:space="preserve">Lost productivity </w:t>
      </w:r>
      <w:r w:rsidR="00121A68">
        <w:t xml:space="preserve">as a result of disrupted economic activity </w:t>
      </w:r>
      <w:r w:rsidRPr="00AD6A3B">
        <w:t>(e.g. workers may be idle whilst continuing to receive wages);</w:t>
      </w:r>
      <w:r w:rsidR="00733268">
        <w:t xml:space="preserve"> and</w:t>
      </w:r>
    </w:p>
    <w:p w14:paraId="4D706274" w14:textId="77777777" w:rsidR="0069237B" w:rsidRDefault="00AD6A3B" w:rsidP="0021240B">
      <w:pPr>
        <w:pStyle w:val="Bullet1stlevel"/>
      </w:pPr>
      <w:r w:rsidRPr="00AD6A3B">
        <w:t>Lost wages (e.g. workers may be sent home or unable to go to work)</w:t>
      </w:r>
      <w:r w:rsidR="00733268">
        <w:t>.</w:t>
      </w:r>
    </w:p>
    <w:p w14:paraId="267A9634" w14:textId="77777777" w:rsidR="00087B61" w:rsidRDefault="00087B61" w:rsidP="00087B61">
      <w:pPr>
        <w:pStyle w:val="BodyText"/>
      </w:pPr>
      <w:r>
        <w:t xml:space="preserve">One of the most severe impacts of a disruption to broadcasting services is disruption to emergency telecommunications arrangements, and by extension community safety arrangements, in times of crisis. This scenario was realised during the summer of 2020 where radio and television networks were affected by the bushfire crisis, including an ABC transmission site in the South Coast being completely burnt out and rendered unusable. </w:t>
      </w:r>
    </w:p>
    <w:p w14:paraId="63B6DA50" w14:textId="77777777" w:rsidR="00087B61" w:rsidRPr="00E9705C" w:rsidRDefault="00087B61" w:rsidP="00087B61">
      <w:pPr>
        <w:pStyle w:val="AppendixH3"/>
        <w:rPr>
          <w:rFonts w:eastAsia="Calibri"/>
        </w:rPr>
      </w:pPr>
      <w:r w:rsidRPr="00E9705C">
        <w:rPr>
          <w:rFonts w:eastAsia="Calibri"/>
        </w:rPr>
        <w:t xml:space="preserve">Economic impacts of disruptions to </w:t>
      </w:r>
      <w:r>
        <w:rPr>
          <w:rFonts w:eastAsia="Calibri"/>
        </w:rPr>
        <w:t>domain name systems</w:t>
      </w:r>
      <w:r w:rsidRPr="00E9705C">
        <w:rPr>
          <w:rFonts w:eastAsia="Calibri"/>
        </w:rPr>
        <w:t xml:space="preserve"> </w:t>
      </w:r>
    </w:p>
    <w:p w14:paraId="78E20B72" w14:textId="77777777" w:rsidR="00087B61" w:rsidRDefault="00087B61" w:rsidP="00087B61">
      <w:pPr>
        <w:pStyle w:val="BodyText"/>
        <w:rPr>
          <w:lang w:eastAsia="en-AU"/>
        </w:rPr>
      </w:pPr>
      <w:r>
        <w:rPr>
          <w:lang w:eastAsia="en-AU"/>
        </w:rPr>
        <w:t>The fundamental impact of a disruption to domain name systems is reduced ability or inability to navigate the internet and access data online, which in turn can affect economic activity (e.g. e-commerce, business operations dependent on access to the internet). Such disruptions can have costly immediate and longer-term impacts on the economy. The immediate impacts of a disruption to domain name systems are those associated with reduced ability or inability to navigate the internet or access data online and increased costs, such as:</w:t>
      </w:r>
    </w:p>
    <w:p w14:paraId="12DE1332" w14:textId="77777777" w:rsidR="00087B61" w:rsidRDefault="00087B61" w:rsidP="00087B61">
      <w:pPr>
        <w:pStyle w:val="Bullet1stlevel"/>
      </w:pPr>
      <w:r>
        <w:lastRenderedPageBreak/>
        <w:t>Reduced economic activity</w:t>
      </w:r>
      <w:r w:rsidRPr="00AD6A3B">
        <w:t xml:space="preserve"> (e.g. </w:t>
      </w:r>
      <w:r>
        <w:t>inability to navigate internet disrupting e-commerce or inability to access data affecting business operations);</w:t>
      </w:r>
    </w:p>
    <w:p w14:paraId="6C932586" w14:textId="77777777" w:rsidR="00087B61" w:rsidRPr="00733268" w:rsidRDefault="00087B61" w:rsidP="00087B61">
      <w:pPr>
        <w:pStyle w:val="Bullet1stlevel"/>
      </w:pPr>
      <w:r w:rsidRPr="00AD6A3B">
        <w:t xml:space="preserve">Lost productivity </w:t>
      </w:r>
      <w:r>
        <w:t xml:space="preserve">as a result of reduced economic activity </w:t>
      </w:r>
      <w:r w:rsidRPr="00AD6A3B">
        <w:t>(e.g. workers may be idle whilst continuing to receive wages);</w:t>
      </w:r>
      <w:r>
        <w:t xml:space="preserve"> and</w:t>
      </w:r>
    </w:p>
    <w:p w14:paraId="64138701" w14:textId="77777777" w:rsidR="00087B61" w:rsidRDefault="00087B61" w:rsidP="00087B61">
      <w:pPr>
        <w:pStyle w:val="Bullet1stlevel"/>
      </w:pPr>
      <w:r w:rsidRPr="00AD6A3B">
        <w:t>Lost wages (e.g. workers may be sent home or unable to go to work)</w:t>
      </w:r>
      <w:r>
        <w:t>.</w:t>
      </w:r>
    </w:p>
    <w:p w14:paraId="5624E8BE" w14:textId="46E668A0" w:rsidR="00AD6A3B" w:rsidRPr="00087B61" w:rsidRDefault="00AD6A3B" w:rsidP="00087B61">
      <w:pPr>
        <w:pStyle w:val="BodyText"/>
      </w:pPr>
      <w:r w:rsidRPr="00087B61">
        <w:t xml:space="preserve">Computable General Equilibrium (CGE) modelling was used to illustrate how costly </w:t>
      </w:r>
      <w:r w:rsidR="008D5091">
        <w:t>a disruption to critical assets in the communications sector could potentially</w:t>
      </w:r>
      <w:r w:rsidRPr="00087B61">
        <w:t xml:space="preserve"> be by examining a hypothetical supply shock (i.e. </w:t>
      </w:r>
      <w:r w:rsidR="00121A68" w:rsidRPr="00087B61">
        <w:t>reduced broadcasting services are</w:t>
      </w:r>
      <w:r w:rsidRPr="00087B61">
        <w:t xml:space="preserve"> available to users) and an associated increase in input costs (i.e. an increase in the cost of </w:t>
      </w:r>
      <w:r w:rsidR="00121A68" w:rsidRPr="00087B61">
        <w:t>broadcasting services</w:t>
      </w:r>
      <w:r w:rsidRPr="00087B61">
        <w:t>). The advantage of using a CGE approach is that both the direct and indirect (i.e. flow-on) economic impacts of a power outage event can be quantified.</w:t>
      </w:r>
      <w:r w:rsidR="008D5091">
        <w:t xml:space="preserve"> </w:t>
      </w:r>
    </w:p>
    <w:p w14:paraId="61019E02" w14:textId="77777777" w:rsidR="00AD6A3B" w:rsidRPr="00AD6A3B" w:rsidRDefault="00AD6A3B" w:rsidP="0021240B">
      <w:pPr>
        <w:pStyle w:val="AppendixH3"/>
      </w:pPr>
      <w:r w:rsidRPr="00AD6A3B">
        <w:t xml:space="preserve">CGE Modelling Approach </w:t>
      </w:r>
    </w:p>
    <w:p w14:paraId="16179C87" w14:textId="3F2787FB" w:rsidR="00AD6A3B" w:rsidRPr="005D7DA1" w:rsidRDefault="008D5091" w:rsidP="0021240B">
      <w:pPr>
        <w:pStyle w:val="BodyText"/>
      </w:pPr>
      <w:r>
        <w:t xml:space="preserve">A scenario based on a disruption to a critical broadcasting asset was selected due to the availability of information and quantitative evidence. </w:t>
      </w:r>
      <w:r w:rsidR="00AD6A3B" w:rsidRPr="005D7DA1">
        <w:t xml:space="preserve">To analyse the direct and indirect economic contributions of </w:t>
      </w:r>
      <w:r w:rsidR="00121A68">
        <w:t>a broadcasting outage</w:t>
      </w:r>
      <w:r w:rsidR="00AD6A3B" w:rsidRPr="005D7DA1">
        <w:t xml:space="preserve"> due 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w:t>
      </w:r>
    </w:p>
    <w:p w14:paraId="22DCACCE" w14:textId="77777777" w:rsidR="00AD6A3B" w:rsidRPr="00AD6A3B" w:rsidRDefault="00AD6A3B" w:rsidP="0021240B">
      <w:pPr>
        <w:pStyle w:val="BodyText"/>
      </w:pPr>
      <w:r w:rsidRPr="00AD6A3B">
        <w:t xml:space="preserve">Defining features of the theoretical structure of the model are: </w:t>
      </w:r>
    </w:p>
    <w:p w14:paraId="06DE1270" w14:textId="77777777" w:rsidR="00AD6A3B" w:rsidRPr="00AD6A3B" w:rsidRDefault="00AD6A3B" w:rsidP="0021240B">
      <w:pPr>
        <w:pStyle w:val="Bullet1stlevel"/>
        <w:rPr>
          <w:rFonts w:ascii="Calibri" w:eastAsia="Times New Roman" w:hAnsi="Calibri" w:cs="Times New Roman"/>
        </w:rPr>
      </w:pPr>
      <w:r w:rsidRPr="00AD6A3B">
        <w:t xml:space="preserve">Optimising behaviour by households and businesses in the context of competitive markets with explicit resource and budget constraints; </w:t>
      </w:r>
    </w:p>
    <w:p w14:paraId="1075FDA0" w14:textId="77777777" w:rsidR="00AD6A3B" w:rsidRPr="00AD6A3B" w:rsidRDefault="00AD6A3B" w:rsidP="0021240B">
      <w:pPr>
        <w:pStyle w:val="Bullet1stlevel"/>
        <w:rPr>
          <w:rFonts w:ascii="Calibri" w:eastAsia="Times New Roman" w:hAnsi="Calibri" w:cs="Times New Roman"/>
        </w:rPr>
      </w:pPr>
      <w:r w:rsidRPr="00AD6A3B">
        <w:t xml:space="preserve">The price mechanism operates to clear markets for goods and factors such as labour and capital (i.e. prices adjust so that supply equals demand); and </w:t>
      </w:r>
    </w:p>
    <w:p w14:paraId="198F99AD" w14:textId="77777777" w:rsidR="00AD6A3B" w:rsidRPr="00AD6A3B" w:rsidRDefault="00AD6A3B" w:rsidP="0021240B">
      <w:pPr>
        <w:pStyle w:val="Bullet1stlevel"/>
      </w:pPr>
      <w:r w:rsidRPr="00AD6A3B">
        <w:t xml:space="preserve">At the margin, costs are equal to revenues in all economic activities. </w:t>
      </w:r>
    </w:p>
    <w:p w14:paraId="35073E51" w14:textId="77777777" w:rsidR="00AD6A3B" w:rsidRPr="00AD6A3B" w:rsidRDefault="00AD6A3B" w:rsidP="0021240B">
      <w:pPr>
        <w:pStyle w:val="BodyText"/>
      </w:pPr>
      <w:r w:rsidRPr="00AD6A3B">
        <w:t xml:space="preserve">The modelling framework is suited to analysing the economic impact of </w:t>
      </w:r>
      <w:r w:rsidR="00121A68">
        <w:t>a broadcasting outage</w:t>
      </w:r>
      <w:r w:rsidRPr="00AD6A3B">
        <w:t xml:space="preserve"> as it explicitly captures supply-chain linkages as well as other flow-on effects and feedback responses by all economic agents. The strength of CGE models is that they capture the upstream and </w:t>
      </w:r>
      <w:r w:rsidRPr="00121A68">
        <w:rPr>
          <w:color w:val="000000" w:themeColor="text1"/>
        </w:rPr>
        <w:t xml:space="preserve">downstream linkages between the activities induced by the </w:t>
      </w:r>
      <w:r w:rsidR="00121A68" w:rsidRPr="00121A68">
        <w:rPr>
          <w:rFonts w:eastAsia="Calibri"/>
          <w:color w:val="000000" w:themeColor="text1"/>
        </w:rPr>
        <w:t>outage</w:t>
      </w:r>
      <w:r w:rsidRPr="00AD6A3B">
        <w:t xml:space="preserve"> and the rest of the economy in a framework that combines detailed historical data with fundamental economic theory. </w:t>
      </w:r>
    </w:p>
    <w:p w14:paraId="71EE734D" w14:textId="77777777" w:rsidR="00AD6A3B" w:rsidRPr="00AD6A3B" w:rsidRDefault="00AD6A3B" w:rsidP="0021240B">
      <w:pPr>
        <w:pStyle w:val="AppendixH3"/>
      </w:pPr>
      <w:r w:rsidRPr="00225C16">
        <w:t>S</w:t>
      </w:r>
      <w:r w:rsidRPr="00AD6A3B">
        <w:t>cenarios</w:t>
      </w:r>
    </w:p>
    <w:p w14:paraId="5A598DAC" w14:textId="38049D6E" w:rsidR="00F21422" w:rsidRPr="00F21422" w:rsidRDefault="00AD6A3B" w:rsidP="00F21422">
      <w:pPr>
        <w:pStyle w:val="BodyText"/>
      </w:pPr>
      <w:r w:rsidRPr="00341BFB">
        <w:t xml:space="preserve">The CGE modelling provided estimates regarding how sensitive the Australian economy is to a shock to the </w:t>
      </w:r>
      <w:r w:rsidR="00121A68" w:rsidRPr="00341BFB">
        <w:t>broadcasting</w:t>
      </w:r>
      <w:r w:rsidRPr="00341BFB">
        <w:t xml:space="preserve"> system. This analysis was undertaken by </w:t>
      </w:r>
      <w:r w:rsidR="00F95A3B" w:rsidRPr="00341BFB">
        <w:t>deriving a set of hypothetical modelling scenarios based on assumptions about the impact of a disruption</w:t>
      </w:r>
      <w:r w:rsidRPr="00341BFB">
        <w:t xml:space="preserve"> to </w:t>
      </w:r>
      <w:r w:rsidR="00F95A3B" w:rsidRPr="00341BFB">
        <w:t>broadcasting services</w:t>
      </w:r>
      <w:r w:rsidR="00341BFB" w:rsidRPr="00341BFB">
        <w:t>.</w:t>
      </w:r>
      <w:r w:rsidRPr="00341BFB">
        <w:t xml:space="preserve"> The scope of the hypothetical scenarios was based on studies of major events which are discussed below. </w:t>
      </w:r>
    </w:p>
    <w:p w14:paraId="6428B6A0" w14:textId="173B55DC" w:rsidR="00AD6A3B" w:rsidRPr="00AD6A3B" w:rsidRDefault="00AD6A3B" w:rsidP="0021240B">
      <w:pPr>
        <w:pStyle w:val="AppendixH3"/>
        <w:rPr>
          <w:rFonts w:eastAsia="Arial"/>
        </w:rPr>
      </w:pPr>
      <w:r w:rsidRPr="00AD6A3B">
        <w:t>Case studies</w:t>
      </w:r>
    </w:p>
    <w:p w14:paraId="08F3109D" w14:textId="317E1424" w:rsidR="00AD6A3B" w:rsidRDefault="00AD6A3B" w:rsidP="00592337">
      <w:pPr>
        <w:pStyle w:val="BodyText"/>
      </w:pPr>
      <w:bookmarkStart w:id="652" w:name="_Toc79157119"/>
      <w:r w:rsidRPr="00AD6A3B">
        <w:t xml:space="preserve">The case studies provided in </w:t>
      </w:r>
      <w:r w:rsidR="00341BFB">
        <w:t>the table below</w:t>
      </w:r>
      <w:r>
        <w:t xml:space="preserve"> </w:t>
      </w:r>
      <w:r w:rsidRPr="00AD6A3B">
        <w:t xml:space="preserve">provide a basis for modelling hypothetical, but comparable </w:t>
      </w:r>
      <w:r w:rsidRPr="00225C16">
        <w:t>outages</w:t>
      </w:r>
      <w:r w:rsidRPr="00AD6A3B">
        <w:t xml:space="preserve">, in an economy-wide model and contextualising the results of that modelling. Case studies have been chosen to provide insights into the economy-wide costs to households </w:t>
      </w:r>
      <w:r w:rsidRPr="000D73D8">
        <w:rPr>
          <w:color w:val="000000" w:themeColor="text1"/>
        </w:rPr>
        <w:t xml:space="preserve">and businesses of large-scale and severe </w:t>
      </w:r>
      <w:r w:rsidR="000D73D8" w:rsidRPr="000D73D8">
        <w:rPr>
          <w:color w:val="000000" w:themeColor="text1"/>
        </w:rPr>
        <w:t>broadcasting outage</w:t>
      </w:r>
      <w:r w:rsidRPr="000D73D8">
        <w:rPr>
          <w:color w:val="000000" w:themeColor="text1"/>
        </w:rPr>
        <w:t xml:space="preserve"> disrupti</w:t>
      </w:r>
      <w:r w:rsidRPr="00AD6A3B">
        <w:t>on events.</w:t>
      </w:r>
    </w:p>
    <w:p w14:paraId="7F16D0EF" w14:textId="40105C82" w:rsidR="005B33CC" w:rsidRPr="00AD6A3B" w:rsidRDefault="005B33CC" w:rsidP="00592337">
      <w:pPr>
        <w:pStyle w:val="BodyText"/>
      </w:pPr>
      <w:r>
        <w:t>As stated above, for the purposes of this benefit analysis, incidents that affected broadcasting assets are being considered due to greater availability of information and quantitative evidence. Disruptions to domain name systems have occurred in the past</w:t>
      </w:r>
      <w:r w:rsidR="0084350E">
        <w:t xml:space="preserve"> and are described in Appendix </w:t>
      </w:r>
      <w:r w:rsidR="0030492E">
        <w:t>M</w:t>
      </w:r>
      <w:r w:rsidR="0084350E">
        <w:t>.</w:t>
      </w:r>
      <w:r>
        <w:t xml:space="preserve"> </w:t>
      </w:r>
    </w:p>
    <w:p w14:paraId="6FD10D81" w14:textId="77777777" w:rsidR="00AD6A3B" w:rsidRPr="00AD6A3B" w:rsidRDefault="008A0534" w:rsidP="0021240B">
      <w:pPr>
        <w:pStyle w:val="Caption"/>
      </w:pPr>
      <w:r>
        <w:lastRenderedPageBreak/>
        <w:t>Broadcasting</w:t>
      </w:r>
      <w:r w:rsidR="00AD6A3B" w:rsidRPr="00AD6A3B">
        <w:t xml:space="preserve"> outage case studies in Australia and globally</w:t>
      </w:r>
      <w:bookmarkEnd w:id="652"/>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843"/>
        <w:gridCol w:w="7795"/>
      </w:tblGrid>
      <w:tr w:rsidR="00AD6A3B" w:rsidRPr="00AD6A3B" w14:paraId="27641003" w14:textId="77777777" w:rsidTr="00F21422">
        <w:trPr>
          <w:trHeight w:val="279"/>
        </w:trPr>
        <w:tc>
          <w:tcPr>
            <w:tcW w:w="956" w:type="pct"/>
            <w:shd w:val="clear" w:color="auto" w:fill="034EA2" w:themeFill="accent1"/>
          </w:tcPr>
          <w:p w14:paraId="42001017" w14:textId="77777777" w:rsidR="00AD6A3B" w:rsidRPr="00AD6A3B" w:rsidRDefault="00AD6A3B" w:rsidP="00F21422">
            <w:pPr>
              <w:pStyle w:val="TableHeading"/>
            </w:pPr>
            <w:r w:rsidRPr="00AD6A3B">
              <w:t>Incident</w:t>
            </w:r>
          </w:p>
        </w:tc>
        <w:tc>
          <w:tcPr>
            <w:tcW w:w="4044" w:type="pct"/>
            <w:shd w:val="clear" w:color="auto" w:fill="034EA2" w:themeFill="accent1"/>
          </w:tcPr>
          <w:p w14:paraId="17761082" w14:textId="77777777" w:rsidR="00AD6A3B" w:rsidRPr="00AD6A3B" w:rsidRDefault="00AD6A3B" w:rsidP="00F21422">
            <w:pPr>
              <w:pStyle w:val="TableHeading"/>
            </w:pPr>
            <w:r w:rsidRPr="00AD6A3B">
              <w:t>Summary of incident</w:t>
            </w:r>
          </w:p>
        </w:tc>
      </w:tr>
      <w:tr w:rsidR="00AD6A3B" w:rsidRPr="00AD6A3B" w14:paraId="125633F5" w14:textId="77777777" w:rsidTr="00F21422">
        <w:tc>
          <w:tcPr>
            <w:tcW w:w="956" w:type="pct"/>
          </w:tcPr>
          <w:p w14:paraId="44C71330" w14:textId="77777777" w:rsidR="00AD6A3B" w:rsidRPr="00AC3AB1" w:rsidRDefault="00AC3AB1" w:rsidP="00F21422">
            <w:pPr>
              <w:pStyle w:val="TableBody"/>
              <w:rPr>
                <w:rFonts w:eastAsia="Calibri"/>
                <w:sz w:val="22"/>
              </w:rPr>
            </w:pPr>
            <w:r w:rsidRPr="00AC3AB1">
              <w:rPr>
                <w:rFonts w:eastAsia="Calibri"/>
                <w:sz w:val="22"/>
              </w:rPr>
              <w:t>Channel Nine cyber-attack (2021)</w:t>
            </w:r>
          </w:p>
        </w:tc>
        <w:tc>
          <w:tcPr>
            <w:tcW w:w="4044" w:type="pct"/>
            <w:shd w:val="clear" w:color="auto" w:fill="auto"/>
          </w:tcPr>
          <w:p w14:paraId="2437F8F2" w14:textId="02F10F61" w:rsidR="00AD6A3B" w:rsidRPr="00AD6A3B" w:rsidRDefault="003C0415" w:rsidP="00F21422">
            <w:pPr>
              <w:pStyle w:val="TableBody"/>
              <w:rPr>
                <w:vertAlign w:val="superscript"/>
              </w:rPr>
            </w:pPr>
            <w:r w:rsidRPr="003C0415">
              <w:t>On 29 March 2021, the Nine Network became the target of Australia's largest cyber-attack on a media company. For more than 24 hours, the cyberattack affected digital production systems and impaired Channel Nine's ability to broadcast from its Sydney studios, forcing the network to relocate operations to its Melbourne studios.</w:t>
            </w:r>
            <w:r>
              <w:t xml:space="preserve"> </w:t>
            </w:r>
            <w:r w:rsidRPr="003C0415">
              <w:t xml:space="preserve">As a result of the attack, data and production systems were temporarily unavailable. Additionally, the cyber-attack impacted regular news bulletins and </w:t>
            </w:r>
            <w:r w:rsidR="00B178F5">
              <w:t>impeded</w:t>
            </w:r>
            <w:r w:rsidR="00B178F5" w:rsidRPr="003C0415">
              <w:t xml:space="preserve"> </w:t>
            </w:r>
            <w:r w:rsidRPr="003C0415">
              <w:t xml:space="preserve">the Australian Financial Review, The Sydney Morning Herald, and The Age's </w:t>
            </w:r>
            <w:r w:rsidR="00B178F5">
              <w:t>ability</w:t>
            </w:r>
            <w:r w:rsidR="00B178F5" w:rsidRPr="003C0415">
              <w:t xml:space="preserve"> </w:t>
            </w:r>
            <w:r w:rsidRPr="003C0415">
              <w:t>to publish. According to estimates, the cyber-attack on the network is expected to cost the network more than $1 million dollars, in addition to significant recovery expenses</w:t>
            </w:r>
          </w:p>
        </w:tc>
      </w:tr>
      <w:tr w:rsidR="00AD6A3B" w:rsidRPr="00AD6A3B" w14:paraId="16C68B82" w14:textId="77777777" w:rsidTr="00F21422">
        <w:tc>
          <w:tcPr>
            <w:tcW w:w="956" w:type="pct"/>
          </w:tcPr>
          <w:p w14:paraId="101401E4" w14:textId="77777777" w:rsidR="00AD6A3B" w:rsidRPr="00AC3AB1" w:rsidRDefault="00AC3AB1" w:rsidP="00F21422">
            <w:pPr>
              <w:pStyle w:val="TableBody"/>
              <w:rPr>
                <w:rFonts w:eastAsia="Calibri"/>
              </w:rPr>
            </w:pPr>
            <w:r w:rsidRPr="00AC3AB1">
              <w:rPr>
                <w:rFonts w:eastAsia="Calibri"/>
                <w:sz w:val="22"/>
              </w:rPr>
              <w:t>France TV5Monde cyber-attack (2015)</w:t>
            </w:r>
          </w:p>
        </w:tc>
        <w:tc>
          <w:tcPr>
            <w:tcW w:w="4044" w:type="pct"/>
            <w:shd w:val="clear" w:color="auto" w:fill="auto"/>
          </w:tcPr>
          <w:p w14:paraId="6A995108" w14:textId="63460CE6" w:rsidR="00AD6A3B" w:rsidRPr="00AD6A3B" w:rsidRDefault="003C0415" w:rsidP="00F21422">
            <w:pPr>
              <w:pStyle w:val="TableBody"/>
              <w:rPr>
                <w:vertAlign w:val="superscript"/>
              </w:rPr>
            </w:pPr>
            <w:r w:rsidRPr="003C0415">
              <w:rPr>
                <w:rFonts w:cs="Helvetica"/>
              </w:rPr>
              <w:t>In April 2015, TV5Monde, one of France's largest television networks with an international reach in more than 200 countries, experienced the largest cyberattack ever against a television network. Highly targeted malware was used to destroy the TV network’s systems, and all 12 of its channels were taken off the air.</w:t>
            </w:r>
            <w:r w:rsidRPr="003C0415">
              <w:rPr>
                <w:rStyle w:val="FootnoteReference"/>
                <w:rFonts w:cs="Helvetica"/>
              </w:rPr>
              <w:footnoteReference w:id="361"/>
            </w:r>
            <w:r w:rsidRPr="003C0415">
              <w:t xml:space="preserve"> The network was accessed on 23 January 2015, and the attackers remained hidden for months while conducting reconnaissance of the network, which is a common method for cyber-attacks looking for weaknesses in the network and associated systems.</w:t>
            </w:r>
            <w:r>
              <w:rPr>
                <w:b/>
                <w:bCs/>
              </w:rPr>
              <w:t xml:space="preserve"> </w:t>
            </w:r>
            <w:r w:rsidRPr="003C0415">
              <w:t>The Network had a three-hour outage during which it was unable to generate news programming. Additionally, the hackers posted documents and messages on TV5Monde's Facebook page pretending to be the families of French soldiers participating in anti-Islamic State Group operations, as well as posting threats against the troops. The cost of the attack was 5 million Euro in 2015 (8 million AUD) and 11 million Euro (18 million AUD) over the next three years – a total of more than 16 million Euro (26 million AUD).</w:t>
            </w:r>
            <w:r w:rsidRPr="003C0415">
              <w:rPr>
                <w:rStyle w:val="FootnoteReference"/>
                <w:rFonts w:ascii="Arial" w:hAnsi="Arial" w:cs="Arial"/>
              </w:rPr>
              <w:footnoteReference w:id="362"/>
            </w:r>
          </w:p>
        </w:tc>
      </w:tr>
      <w:tr w:rsidR="00AD6A3B" w:rsidRPr="00AD6A3B" w14:paraId="313E1463" w14:textId="77777777" w:rsidTr="00F21422">
        <w:tc>
          <w:tcPr>
            <w:tcW w:w="956" w:type="pct"/>
          </w:tcPr>
          <w:p w14:paraId="59E2A768" w14:textId="77777777" w:rsidR="00AD6A3B" w:rsidRPr="00AC3AB1" w:rsidRDefault="00AC3AB1" w:rsidP="00F21422">
            <w:pPr>
              <w:pStyle w:val="TableBody"/>
              <w:rPr>
                <w:rFonts w:eastAsia="Calibri"/>
                <w:sz w:val="22"/>
              </w:rPr>
            </w:pPr>
            <w:r w:rsidRPr="00AC3AB1">
              <w:rPr>
                <w:rFonts w:eastAsia="Calibri"/>
                <w:sz w:val="22"/>
              </w:rPr>
              <w:t>ABC’s south coast transmitter – Australia’s summer bushfires (2020)</w:t>
            </w:r>
          </w:p>
        </w:tc>
        <w:tc>
          <w:tcPr>
            <w:tcW w:w="4044" w:type="pct"/>
            <w:shd w:val="clear" w:color="auto" w:fill="auto"/>
          </w:tcPr>
          <w:p w14:paraId="673D2EEC" w14:textId="74E7A17A" w:rsidR="00AD6A3B" w:rsidRPr="00AD6A3B" w:rsidRDefault="0070160B" w:rsidP="00F21422">
            <w:pPr>
              <w:pStyle w:val="TableBody"/>
              <w:rPr>
                <w:vertAlign w:val="superscript"/>
              </w:rPr>
            </w:pPr>
            <w:r w:rsidRPr="0070160B">
              <w:t>The Australian bushfires that devastated the South Coast of New South Wales (NSW) in the summer of 2020 caused widespread devastation and panic, as the transmitter in the region melted. Communications with residents in the community were impaired by the inability to receive or transmit radio coverage.</w:t>
            </w:r>
            <w:r w:rsidRPr="0070160B">
              <w:rPr>
                <w:rStyle w:val="FootnoteReference"/>
                <w:rFonts w:ascii="Arial" w:hAnsi="Arial" w:cs="Arial"/>
              </w:rPr>
              <w:footnoteReference w:id="363"/>
            </w:r>
            <w:r>
              <w:rPr>
                <w:b/>
                <w:bCs/>
              </w:rPr>
              <w:t xml:space="preserve"> </w:t>
            </w:r>
            <w:r w:rsidRPr="0070160B">
              <w:t xml:space="preserve">The transmitter equipment </w:t>
            </w:r>
            <w:r w:rsidR="00B178F5">
              <w:t>required months of repairs</w:t>
            </w:r>
            <w:r w:rsidRPr="0070160B">
              <w:t xml:space="preserve"> before it was completely operational again. The cost of restoring the infrastructure owned by BAI Communications Australia, which provides the broadcast towers to ABC on a commercial arrangement, was between $1.5 million and $2 million.</w:t>
            </w:r>
            <w:r w:rsidRPr="0070160B">
              <w:rPr>
                <w:rStyle w:val="FootnoteReference"/>
                <w:rFonts w:ascii="Arial" w:hAnsi="Arial" w:cs="Arial"/>
              </w:rPr>
              <w:footnoteReference w:id="364"/>
            </w:r>
          </w:p>
        </w:tc>
      </w:tr>
    </w:tbl>
    <w:p w14:paraId="35A0EF16" w14:textId="77777777" w:rsidR="00AD6A3B" w:rsidRPr="00AC3AB1" w:rsidRDefault="00AD6A3B" w:rsidP="00BA7EFE">
      <w:pPr>
        <w:pStyle w:val="BodyText"/>
        <w:spacing w:before="240"/>
      </w:pPr>
      <w:r w:rsidRPr="00AC3AB1">
        <w:t xml:space="preserve">These case studies highlight that </w:t>
      </w:r>
      <w:r w:rsidR="00D22A8C" w:rsidRPr="00AC3AB1">
        <w:t xml:space="preserve">disruptions to critical broadcasting assets can </w:t>
      </w:r>
      <w:r w:rsidRPr="00AC3AB1">
        <w:t>inflict substantial direct and indirect costs on firms and households alike</w:t>
      </w:r>
      <w:r w:rsidR="00497AF9" w:rsidRPr="00AC3AB1">
        <w:t xml:space="preserve">. The Channel Nine cyberattack disrupted digital production systems for over 24 hours, requiring the network to relocate operations and </w:t>
      </w:r>
      <w:r w:rsidR="00AC3AB1" w:rsidRPr="00AC3AB1">
        <w:t>costing an estimate</w:t>
      </w:r>
      <w:r w:rsidR="00AC3AB1">
        <w:t xml:space="preserve">d </w:t>
      </w:r>
      <w:r w:rsidR="00AC3AB1" w:rsidRPr="00AC3AB1">
        <w:t xml:space="preserve">$1 million. The France </w:t>
      </w:r>
      <w:r w:rsidR="00AC3AB1">
        <w:t xml:space="preserve">TV5Monde cyber-attack </w:t>
      </w:r>
      <w:r w:rsidR="00AC3AB1" w:rsidRPr="00AC3AB1">
        <w:t>scenario involved the use of social engineering techniques to affect programming through use of a Trojan horse virus</w:t>
      </w:r>
      <w:r w:rsidR="00AC3AB1">
        <w:t xml:space="preserve">, with substantial costs over the next three years reaching approximately $26 million. </w:t>
      </w:r>
      <w:r w:rsidR="00AC3AB1" w:rsidRPr="00AC3AB1">
        <w:t>The ABC’s south coast transmitter was rendered completely unusable by extreme conditions leading to significant repair costs and impacting the ability for emergency communications to be broadcast in the surrounding area.</w:t>
      </w:r>
    </w:p>
    <w:p w14:paraId="7A00DFA7" w14:textId="77777777" w:rsidR="00AD6A3B" w:rsidRPr="00D22A8C" w:rsidRDefault="00AD6A3B" w:rsidP="0021240B">
      <w:pPr>
        <w:pStyle w:val="BodyText"/>
      </w:pPr>
      <w:r w:rsidRPr="00D22A8C">
        <w:t xml:space="preserve">For the purposes of the modelling of the cost of avoided future incidents in Australia, </w:t>
      </w:r>
      <w:r w:rsidR="00D22A8C" w:rsidRPr="00D22A8C">
        <w:t xml:space="preserve">the </w:t>
      </w:r>
      <w:r w:rsidR="00497AF9">
        <w:t>South Coast transmitter bushfire</w:t>
      </w:r>
      <w:r w:rsidR="00D22A8C" w:rsidRPr="00D22A8C">
        <w:t xml:space="preserve"> incident</w:t>
      </w:r>
      <w:r w:rsidRPr="00D22A8C">
        <w:t xml:space="preserve"> was used as the baseline (moderate) risk scenario. The use of an actual event as the baseline risk point of comparison is important because it ensures the benefits analysis is grounded in reality. The scale of the event is not theoretical and there is sufficient information about the event to support modelling. </w:t>
      </w:r>
      <w:r w:rsidR="00A303EB">
        <w:t>News media e</w:t>
      </w:r>
      <w:r w:rsidR="00AC3AB1">
        <w:t>stimate</w:t>
      </w:r>
      <w:r w:rsidR="00A303EB">
        <w:t xml:space="preserve">d the repair work cost between $1.5 million and $2 million. To ensure the scenario is plausible benefits analysis has </w:t>
      </w:r>
      <w:r w:rsidR="00BB72FA">
        <w:lastRenderedPageBreak/>
        <w:t xml:space="preserve">been undertaken with a </w:t>
      </w:r>
      <w:r w:rsidR="00A303EB">
        <w:t xml:space="preserve">deliberately conservative approach, and </w:t>
      </w:r>
      <w:r w:rsidR="00BB72FA">
        <w:t xml:space="preserve">therefore </w:t>
      </w:r>
      <w:r w:rsidR="00A303EB">
        <w:t xml:space="preserve">has used the $1.5 million figure as the basis for direct costs.  </w:t>
      </w:r>
    </w:p>
    <w:p w14:paraId="0E910082" w14:textId="01CAF444" w:rsidR="00AD6A3B" w:rsidRPr="00AC3AB1" w:rsidRDefault="00AD6A3B" w:rsidP="0021240B">
      <w:pPr>
        <w:pStyle w:val="BodyText"/>
      </w:pPr>
      <w:r w:rsidRPr="00AC3AB1">
        <w:t xml:space="preserve">A framework for considering the potential impacts of </w:t>
      </w:r>
      <w:r w:rsidR="00AC3AB1" w:rsidRPr="00AC3AB1">
        <w:t>the broadcasting outage</w:t>
      </w:r>
      <w:r w:rsidRPr="00AC3AB1">
        <w:t xml:space="preserve"> following failure of critical infrastructure is provided in </w:t>
      </w:r>
      <w:r w:rsidR="0090425C">
        <w:t xml:space="preserve">the table </w:t>
      </w:r>
      <w:r w:rsidRPr="00AC3AB1">
        <w:t>below.</w:t>
      </w:r>
    </w:p>
    <w:p w14:paraId="6BCD31FF" w14:textId="77777777" w:rsidR="00AD6A3B" w:rsidRPr="00AD6A3B" w:rsidRDefault="00AD6A3B" w:rsidP="0021240B">
      <w:pPr>
        <w:pStyle w:val="Caption"/>
      </w:pPr>
      <w:bookmarkStart w:id="653" w:name="_Toc79157120"/>
      <w:r w:rsidRPr="00AD6A3B">
        <w:t>Framework for scenario development and sensitivity analysis</w:t>
      </w:r>
      <w:bookmarkEnd w:id="653"/>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20" w:firstRow="1" w:lastRow="0" w:firstColumn="0" w:lastColumn="0" w:noHBand="0" w:noVBand="1"/>
      </w:tblPr>
      <w:tblGrid>
        <w:gridCol w:w="1560"/>
        <w:gridCol w:w="2345"/>
        <w:gridCol w:w="3455"/>
        <w:gridCol w:w="2278"/>
      </w:tblGrid>
      <w:tr w:rsidR="00AD6A3B" w:rsidRPr="00AD6A3B" w14:paraId="432081EF" w14:textId="77777777" w:rsidTr="00F21422">
        <w:trPr>
          <w:cnfStyle w:val="100000000000" w:firstRow="1" w:lastRow="0" w:firstColumn="0" w:lastColumn="0" w:oddVBand="0" w:evenVBand="0" w:oddHBand="0" w:evenHBand="0" w:firstRowFirstColumn="0" w:firstRowLastColumn="0" w:lastRowFirstColumn="0" w:lastRowLastColumn="0"/>
          <w:trHeight w:val="420"/>
        </w:trPr>
        <w:tc>
          <w:tcPr>
            <w:tcW w:w="809" w:type="pct"/>
          </w:tcPr>
          <w:p w14:paraId="3A03FB5F" w14:textId="77777777" w:rsidR="00AD6A3B" w:rsidRPr="00AD6A3B" w:rsidRDefault="00AD6A3B" w:rsidP="00F21422">
            <w:pPr>
              <w:pStyle w:val="TableBody"/>
            </w:pPr>
            <w:r w:rsidRPr="00AD6A3B">
              <w:t xml:space="preserve"> </w:t>
            </w:r>
          </w:p>
        </w:tc>
        <w:tc>
          <w:tcPr>
            <w:tcW w:w="1216" w:type="pct"/>
          </w:tcPr>
          <w:p w14:paraId="45CF4F8A" w14:textId="77777777" w:rsidR="00AD6A3B" w:rsidRPr="000F20CF" w:rsidRDefault="00AD6A3B" w:rsidP="00F21422">
            <w:pPr>
              <w:pStyle w:val="TableBody"/>
              <w:rPr>
                <w:color w:val="FFFFFF"/>
              </w:rPr>
            </w:pPr>
            <w:r w:rsidRPr="0091785B">
              <w:rPr>
                <w:color w:val="FFFFFF"/>
              </w:rPr>
              <w:t>Severe scenario</w:t>
            </w:r>
          </w:p>
        </w:tc>
        <w:tc>
          <w:tcPr>
            <w:tcW w:w="1792" w:type="pct"/>
          </w:tcPr>
          <w:p w14:paraId="3D2B4DC8" w14:textId="77777777" w:rsidR="00AD6A3B" w:rsidRPr="000F20CF" w:rsidRDefault="00AD6A3B" w:rsidP="00F21422">
            <w:pPr>
              <w:pStyle w:val="TableBody"/>
              <w:rPr>
                <w:color w:val="FFFFFF"/>
              </w:rPr>
            </w:pPr>
            <w:r w:rsidRPr="0091785B">
              <w:rPr>
                <w:color w:val="FFFFFF"/>
              </w:rPr>
              <w:t>Moderate scenario</w:t>
            </w:r>
          </w:p>
        </w:tc>
        <w:tc>
          <w:tcPr>
            <w:tcW w:w="1182" w:type="pct"/>
          </w:tcPr>
          <w:p w14:paraId="4153B3AB" w14:textId="77777777" w:rsidR="00AD6A3B" w:rsidRPr="000F20CF" w:rsidRDefault="00AD6A3B" w:rsidP="00F21422">
            <w:pPr>
              <w:pStyle w:val="TableBody"/>
              <w:rPr>
                <w:color w:val="FFFFFF"/>
              </w:rPr>
            </w:pPr>
            <w:r w:rsidRPr="0091785B">
              <w:rPr>
                <w:color w:val="FFFFFF"/>
              </w:rPr>
              <w:t>Low scenario</w:t>
            </w:r>
          </w:p>
        </w:tc>
      </w:tr>
      <w:tr w:rsidR="00AD6A3B" w:rsidRPr="00AD6A3B" w14:paraId="2B8D6688" w14:textId="77777777" w:rsidTr="00F21422">
        <w:trPr>
          <w:cnfStyle w:val="000000100000" w:firstRow="0" w:lastRow="0" w:firstColumn="0" w:lastColumn="0" w:oddVBand="0" w:evenVBand="0" w:oddHBand="1" w:evenHBand="0" w:firstRowFirstColumn="0" w:firstRowLastColumn="0" w:lastRowFirstColumn="0" w:lastRowLastColumn="0"/>
          <w:trHeight w:val="570"/>
        </w:trPr>
        <w:tc>
          <w:tcPr>
            <w:tcW w:w="809" w:type="pct"/>
            <w:shd w:val="clear" w:color="auto" w:fill="F2F2F2" w:themeFill="background1" w:themeFillShade="F2"/>
          </w:tcPr>
          <w:p w14:paraId="51258D5B" w14:textId="77777777" w:rsidR="00AD6A3B" w:rsidRPr="000F20CF" w:rsidRDefault="00AD6A3B" w:rsidP="00F21422">
            <w:pPr>
              <w:pStyle w:val="TableBody"/>
              <w:rPr>
                <w:color w:val="FFFFFF"/>
              </w:rPr>
            </w:pPr>
            <w:r w:rsidRPr="0091785B">
              <w:t>Intensity of event</w:t>
            </w:r>
          </w:p>
        </w:tc>
        <w:tc>
          <w:tcPr>
            <w:tcW w:w="1216" w:type="pct"/>
          </w:tcPr>
          <w:p w14:paraId="28ACCC9A" w14:textId="77777777" w:rsidR="00AD6A3B" w:rsidRPr="00AD6A3B" w:rsidRDefault="00BB72FA" w:rsidP="00F21422">
            <w:pPr>
              <w:pStyle w:val="TableBody"/>
            </w:pPr>
            <w:r>
              <w:t>200</w:t>
            </w:r>
            <w:r w:rsidR="00AD6A3B" w:rsidRPr="00AD6A3B">
              <w:t>% of moderate scenario costs</w:t>
            </w:r>
          </w:p>
        </w:tc>
        <w:tc>
          <w:tcPr>
            <w:tcW w:w="1792" w:type="pct"/>
          </w:tcPr>
          <w:p w14:paraId="0832030B" w14:textId="77777777" w:rsidR="00AD6A3B" w:rsidRPr="00BB72FA" w:rsidRDefault="00BB72FA" w:rsidP="00F21422">
            <w:pPr>
              <w:pStyle w:val="TableBody"/>
              <w:rPr>
                <w:rFonts w:eastAsia="Arial"/>
              </w:rPr>
            </w:pPr>
            <w:r w:rsidRPr="00BB72FA">
              <w:rPr>
                <w:rFonts w:eastAsia="Arial"/>
              </w:rPr>
              <w:t>ABC’s south coast transmitter bushfire incident (2020)</w:t>
            </w:r>
          </w:p>
        </w:tc>
        <w:tc>
          <w:tcPr>
            <w:tcW w:w="1182" w:type="pct"/>
          </w:tcPr>
          <w:p w14:paraId="01AB8156" w14:textId="77777777" w:rsidR="00AD6A3B" w:rsidRPr="00AD6A3B" w:rsidRDefault="00BB72FA" w:rsidP="00F21422">
            <w:pPr>
              <w:pStyle w:val="TableBody"/>
            </w:pPr>
            <w:r>
              <w:t>50</w:t>
            </w:r>
            <w:r w:rsidR="00AD6A3B" w:rsidRPr="00AD6A3B">
              <w:t>% of moderate scenario costs</w:t>
            </w:r>
          </w:p>
        </w:tc>
      </w:tr>
    </w:tbl>
    <w:p w14:paraId="6AA34247" w14:textId="77777777" w:rsidR="00AD6A3B" w:rsidRPr="00AD6A3B" w:rsidRDefault="00AD6A3B" w:rsidP="00BA7EFE">
      <w:pPr>
        <w:pStyle w:val="BodyText"/>
        <w:spacing w:before="240"/>
      </w:pPr>
      <w:r w:rsidRPr="00AD6A3B">
        <w:t xml:space="preserve">The rationale for a more severe scenario than experienced in </w:t>
      </w:r>
      <w:r w:rsidR="00BB72FA" w:rsidRPr="00CC0E91">
        <w:rPr>
          <w:rFonts w:eastAsia="Arial"/>
        </w:rPr>
        <w:t>the south coast transmitter incident</w:t>
      </w:r>
      <w:r w:rsidRPr="00AD6A3B">
        <w:t xml:space="preserve"> reflects the complexity of the scenarios that could occur. As noted above, the economic impact of an incident will vary due to a range of factors including the location of a disruption, the month and time of day at which the disruption occurs, the day of the week on which the disruption takes place and the duration of disruption. Accounting for an incident that has a greater economic impact than the </w:t>
      </w:r>
      <w:r w:rsidR="008B687B">
        <w:t>south coast transmitter incident</w:t>
      </w:r>
      <w:r w:rsidRPr="00AD6A3B">
        <w:t xml:space="preserve"> is necessary to reflect the possibility that a disruption of </w:t>
      </w:r>
      <w:r w:rsidR="008B687B">
        <w:t>a similar scal</w:t>
      </w:r>
      <w:r w:rsidRPr="00AD6A3B">
        <w:t xml:space="preserve">e could impact areas where there would be greater economic impact than in </w:t>
      </w:r>
      <w:r w:rsidR="008B687B" w:rsidRPr="00CC0E91">
        <w:rPr>
          <w:rFonts w:eastAsia="Arial"/>
        </w:rPr>
        <w:t>the south case incident.</w:t>
      </w:r>
      <w:r w:rsidRPr="00CC0E91">
        <w:rPr>
          <w:rFonts w:eastAsia="Arial"/>
        </w:rPr>
        <w:t xml:space="preserve"> </w:t>
      </w:r>
      <w:r w:rsidRPr="00AD6A3B">
        <w:t>While an incident with a much greater impact than the severe scenario is conceivable, the defined scenarios and subsequent benefits analysis has taken a deliberately conservative approach to ensure the severe scenario remains demonstrably plausible.</w:t>
      </w:r>
    </w:p>
    <w:p w14:paraId="5E141CFF" w14:textId="46B23725" w:rsidR="00323D0C" w:rsidRDefault="00AD6A3B" w:rsidP="0084350E">
      <w:pPr>
        <w:pStyle w:val="BodyText"/>
      </w:pPr>
      <w:r w:rsidRPr="00AD6A3B">
        <w:t xml:space="preserve">A summary of the economic impact of each scenario is provided in </w:t>
      </w:r>
      <w:r w:rsidR="00CC3755">
        <w:t>the table below</w:t>
      </w:r>
      <w:r w:rsidRPr="00AD6A3B">
        <w:t xml:space="preserve">. Direct avoided costs refer to the financial costs directly incurred as a result of an incident, while indirect costs refer to flow-on costs to the economy due to supply chain linkages and other feedback responses by all economic agents (e.g., households, businesses). A break-even analysis of these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 </w:t>
      </w:r>
    </w:p>
    <w:p w14:paraId="71FB92CD" w14:textId="77777777" w:rsidR="00AD6A3B" w:rsidRPr="00AD6A3B" w:rsidRDefault="00AD6A3B" w:rsidP="0021240B">
      <w:pPr>
        <w:pStyle w:val="Caption"/>
      </w:pPr>
      <w:r w:rsidRPr="00AD6A3B">
        <w:t>Summary of benefits scenarios</w:t>
      </w:r>
    </w:p>
    <w:tbl>
      <w:tblPr>
        <w:tblStyle w:val="TableGrid112"/>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409"/>
        <w:gridCol w:w="2409"/>
        <w:gridCol w:w="2410"/>
        <w:gridCol w:w="2410"/>
      </w:tblGrid>
      <w:tr w:rsidR="00340241" w:rsidRPr="00AD6A3B" w14:paraId="0F38DEA1" w14:textId="77777777" w:rsidTr="00323D0C">
        <w:trPr>
          <w:cantSplit/>
          <w:trHeight w:val="409"/>
        </w:trPr>
        <w:tc>
          <w:tcPr>
            <w:tcW w:w="1250" w:type="pct"/>
            <w:shd w:val="clear" w:color="auto" w:fill="034EA2" w:themeFill="accent1"/>
          </w:tcPr>
          <w:p w14:paraId="5B3BBB68" w14:textId="77777777" w:rsidR="00AD6A3B" w:rsidRPr="00AD6A3B" w:rsidRDefault="00AD6A3B" w:rsidP="00323D0C">
            <w:pPr>
              <w:pStyle w:val="TableHeading"/>
            </w:pPr>
          </w:p>
        </w:tc>
        <w:tc>
          <w:tcPr>
            <w:tcW w:w="1250" w:type="pct"/>
            <w:shd w:val="clear" w:color="auto" w:fill="034EA2" w:themeFill="accent1"/>
          </w:tcPr>
          <w:p w14:paraId="1D916537" w14:textId="77777777" w:rsidR="00AD6A3B" w:rsidRPr="00AD6A3B" w:rsidRDefault="00AD6A3B" w:rsidP="00323D0C">
            <w:pPr>
              <w:pStyle w:val="TableHeading"/>
            </w:pPr>
            <w:r w:rsidRPr="00AD6A3B">
              <w:t>Scenario 1</w:t>
            </w:r>
            <w:r w:rsidRPr="00AD6A3B">
              <w:rPr>
                <w:rFonts w:ascii="Calibri" w:hAnsi="Calibri"/>
              </w:rPr>
              <w:br/>
            </w:r>
            <w:r w:rsidRPr="00AD6A3B">
              <w:t>(Severe), $ million</w:t>
            </w:r>
          </w:p>
        </w:tc>
        <w:tc>
          <w:tcPr>
            <w:tcW w:w="1250" w:type="pct"/>
            <w:shd w:val="clear" w:color="auto" w:fill="034EA2" w:themeFill="accent1"/>
          </w:tcPr>
          <w:p w14:paraId="6DE4C00D" w14:textId="77777777" w:rsidR="00AD6A3B" w:rsidRPr="00AD6A3B" w:rsidRDefault="00AD6A3B" w:rsidP="00323D0C">
            <w:pPr>
              <w:pStyle w:val="TableHeading"/>
            </w:pPr>
            <w:r w:rsidRPr="00AD6A3B">
              <w:t>Scenario 2</w:t>
            </w:r>
            <w:r w:rsidRPr="00AD6A3B">
              <w:br/>
              <w:t>(Moderate), $ million</w:t>
            </w:r>
          </w:p>
        </w:tc>
        <w:tc>
          <w:tcPr>
            <w:tcW w:w="1250" w:type="pct"/>
            <w:shd w:val="clear" w:color="auto" w:fill="034EA2" w:themeFill="accent1"/>
          </w:tcPr>
          <w:p w14:paraId="7BA8A117" w14:textId="77777777" w:rsidR="00AD6A3B" w:rsidRPr="00AD6A3B" w:rsidRDefault="00AD6A3B" w:rsidP="00323D0C">
            <w:pPr>
              <w:pStyle w:val="TableHeading"/>
            </w:pPr>
            <w:r w:rsidRPr="00AD6A3B">
              <w:t>Scenario 3</w:t>
            </w:r>
            <w:r w:rsidRPr="00AD6A3B">
              <w:rPr>
                <w:rFonts w:ascii="Calibri" w:hAnsi="Calibri"/>
              </w:rPr>
              <w:br/>
            </w:r>
            <w:r w:rsidRPr="00AD6A3B">
              <w:t>(Low), $ million</w:t>
            </w:r>
          </w:p>
        </w:tc>
      </w:tr>
      <w:tr w:rsidR="00AD6A3B" w:rsidRPr="00AD6A3B" w14:paraId="038D66C8" w14:textId="77777777" w:rsidTr="00323D0C">
        <w:trPr>
          <w:cantSplit/>
        </w:trPr>
        <w:tc>
          <w:tcPr>
            <w:tcW w:w="1250" w:type="pct"/>
            <w:vAlign w:val="center"/>
          </w:tcPr>
          <w:p w14:paraId="13C16FED" w14:textId="77777777" w:rsidR="00AD6A3B" w:rsidRPr="00AD6A3B" w:rsidRDefault="00AD6A3B" w:rsidP="00323D0C">
            <w:pPr>
              <w:pStyle w:val="TableBody"/>
            </w:pPr>
            <w:r w:rsidRPr="00AD6A3B">
              <w:t>Direct avoided cost</w:t>
            </w:r>
          </w:p>
        </w:tc>
        <w:tc>
          <w:tcPr>
            <w:tcW w:w="1250" w:type="pct"/>
            <w:vAlign w:val="center"/>
          </w:tcPr>
          <w:p w14:paraId="7EEF9BBA" w14:textId="533DDA34" w:rsidR="00AD6A3B" w:rsidRPr="00AD6A3B" w:rsidRDefault="00BB191B" w:rsidP="00323D0C">
            <w:pPr>
              <w:pStyle w:val="TableBody"/>
            </w:pPr>
            <w:r>
              <w:t>3.9</w:t>
            </w:r>
          </w:p>
        </w:tc>
        <w:tc>
          <w:tcPr>
            <w:tcW w:w="1250" w:type="pct"/>
            <w:vAlign w:val="center"/>
          </w:tcPr>
          <w:p w14:paraId="49363D75" w14:textId="06E8CF3E" w:rsidR="00AD6A3B" w:rsidRPr="00D2623D" w:rsidRDefault="00BB2B5C" w:rsidP="00323D0C">
            <w:pPr>
              <w:pStyle w:val="TableBody"/>
            </w:pPr>
            <w:r>
              <w:t>2.0</w:t>
            </w:r>
          </w:p>
        </w:tc>
        <w:tc>
          <w:tcPr>
            <w:tcW w:w="1250" w:type="pct"/>
            <w:vAlign w:val="center"/>
          </w:tcPr>
          <w:p w14:paraId="40E09A54" w14:textId="7230D7A1" w:rsidR="00AD6A3B" w:rsidRPr="00AD6A3B" w:rsidRDefault="00BB2B5C" w:rsidP="00323D0C">
            <w:pPr>
              <w:pStyle w:val="TableBody"/>
            </w:pPr>
            <w:r>
              <w:t>1.0</w:t>
            </w:r>
          </w:p>
        </w:tc>
      </w:tr>
      <w:tr w:rsidR="00AD6A3B" w:rsidRPr="00AD6A3B" w14:paraId="1FE642E2" w14:textId="77777777" w:rsidTr="00323D0C">
        <w:trPr>
          <w:cantSplit/>
        </w:trPr>
        <w:tc>
          <w:tcPr>
            <w:tcW w:w="1250" w:type="pct"/>
            <w:vAlign w:val="center"/>
          </w:tcPr>
          <w:p w14:paraId="62ACA719" w14:textId="77777777" w:rsidR="00AD6A3B" w:rsidRPr="00AD6A3B" w:rsidRDefault="00AD6A3B" w:rsidP="00323D0C">
            <w:pPr>
              <w:pStyle w:val="TableBody"/>
            </w:pPr>
            <w:r w:rsidRPr="00AD6A3B">
              <w:t>Indirect avoided costs</w:t>
            </w:r>
          </w:p>
        </w:tc>
        <w:tc>
          <w:tcPr>
            <w:tcW w:w="1250" w:type="pct"/>
            <w:vAlign w:val="center"/>
          </w:tcPr>
          <w:p w14:paraId="14935CE0" w14:textId="18DCB978" w:rsidR="00AD6A3B" w:rsidRPr="009C2005" w:rsidRDefault="00BB191B" w:rsidP="00323D0C">
            <w:pPr>
              <w:pStyle w:val="TableBody"/>
            </w:pPr>
            <w:r>
              <w:t>3.6</w:t>
            </w:r>
          </w:p>
        </w:tc>
        <w:tc>
          <w:tcPr>
            <w:tcW w:w="1250" w:type="pct"/>
            <w:vAlign w:val="center"/>
          </w:tcPr>
          <w:p w14:paraId="745EBB56" w14:textId="66C3F17B" w:rsidR="00AD6A3B" w:rsidRPr="00D2623D" w:rsidRDefault="00BB2B5C" w:rsidP="00323D0C">
            <w:pPr>
              <w:pStyle w:val="TableBody"/>
            </w:pPr>
            <w:r>
              <w:t>1.8</w:t>
            </w:r>
          </w:p>
        </w:tc>
        <w:tc>
          <w:tcPr>
            <w:tcW w:w="1250" w:type="pct"/>
            <w:vAlign w:val="center"/>
          </w:tcPr>
          <w:p w14:paraId="7145DAC2" w14:textId="0613E111" w:rsidR="00AD6A3B" w:rsidRPr="009C2005" w:rsidRDefault="00BB2B5C" w:rsidP="00323D0C">
            <w:pPr>
              <w:pStyle w:val="TableBody"/>
            </w:pPr>
            <w:r>
              <w:t>0.9</w:t>
            </w:r>
          </w:p>
        </w:tc>
      </w:tr>
      <w:tr w:rsidR="00340241" w:rsidRPr="00AD6A3B" w14:paraId="1947E3B5" w14:textId="77777777" w:rsidTr="00323D0C">
        <w:trPr>
          <w:cantSplit/>
        </w:trPr>
        <w:tc>
          <w:tcPr>
            <w:tcW w:w="1250" w:type="pct"/>
            <w:shd w:val="clear" w:color="auto" w:fill="F2F2F2" w:themeFill="background1" w:themeFillShade="F2"/>
            <w:vAlign w:val="center"/>
          </w:tcPr>
          <w:p w14:paraId="5FA09C0F" w14:textId="77777777" w:rsidR="00AD6A3B" w:rsidRPr="00AD6A3B" w:rsidRDefault="00AD6A3B" w:rsidP="00323D0C">
            <w:pPr>
              <w:pStyle w:val="TableBody"/>
              <w:rPr>
                <w:b/>
              </w:rPr>
            </w:pPr>
            <w:r w:rsidRPr="00AD6A3B">
              <w:rPr>
                <w:b/>
              </w:rPr>
              <w:t>Total avoided cost to the economy of the incident</w:t>
            </w:r>
          </w:p>
        </w:tc>
        <w:tc>
          <w:tcPr>
            <w:tcW w:w="1250" w:type="pct"/>
            <w:shd w:val="clear" w:color="auto" w:fill="F2F2F2" w:themeFill="background1" w:themeFillShade="F2"/>
            <w:vAlign w:val="center"/>
          </w:tcPr>
          <w:p w14:paraId="2F8FE1FD" w14:textId="43ADF36F" w:rsidR="00AD6A3B" w:rsidRPr="00AD6A3B" w:rsidRDefault="00BB191B" w:rsidP="00323D0C">
            <w:pPr>
              <w:pStyle w:val="TableBody"/>
              <w:rPr>
                <w:b/>
              </w:rPr>
            </w:pPr>
            <w:r>
              <w:rPr>
                <w:b/>
              </w:rPr>
              <w:t>7.7</w:t>
            </w:r>
          </w:p>
        </w:tc>
        <w:tc>
          <w:tcPr>
            <w:tcW w:w="1250" w:type="pct"/>
            <w:shd w:val="clear" w:color="auto" w:fill="F2F2F2" w:themeFill="background1" w:themeFillShade="F2"/>
            <w:vAlign w:val="center"/>
          </w:tcPr>
          <w:p w14:paraId="3DDD6806" w14:textId="0360D440" w:rsidR="00AD6A3B" w:rsidRPr="00AD6A3B" w:rsidRDefault="00BB2B5C" w:rsidP="00323D0C">
            <w:pPr>
              <w:pStyle w:val="TableBody"/>
              <w:rPr>
                <w:b/>
              </w:rPr>
            </w:pPr>
            <w:r>
              <w:rPr>
                <w:b/>
              </w:rPr>
              <w:t>3.8</w:t>
            </w:r>
          </w:p>
        </w:tc>
        <w:tc>
          <w:tcPr>
            <w:tcW w:w="1250" w:type="pct"/>
            <w:shd w:val="clear" w:color="auto" w:fill="F2F2F2" w:themeFill="background1" w:themeFillShade="F2"/>
            <w:vAlign w:val="center"/>
          </w:tcPr>
          <w:p w14:paraId="71EC8219" w14:textId="11F019ED" w:rsidR="00AD6A3B" w:rsidRPr="00AD6A3B" w:rsidRDefault="00BB2B5C" w:rsidP="00323D0C">
            <w:pPr>
              <w:pStyle w:val="TableBody"/>
              <w:rPr>
                <w:b/>
              </w:rPr>
            </w:pPr>
            <w:r>
              <w:rPr>
                <w:b/>
              </w:rPr>
              <w:t>1.9</w:t>
            </w:r>
          </w:p>
        </w:tc>
      </w:tr>
      <w:tr w:rsidR="00AD6A3B" w:rsidRPr="00AD6A3B" w14:paraId="08CFBFB0" w14:textId="77777777" w:rsidTr="00323D0C">
        <w:trPr>
          <w:cantSplit/>
        </w:trPr>
        <w:tc>
          <w:tcPr>
            <w:tcW w:w="1250" w:type="pct"/>
            <w:vAlign w:val="center"/>
          </w:tcPr>
          <w:p w14:paraId="75F75C82" w14:textId="77777777" w:rsidR="00AD6A3B" w:rsidRPr="00AD6A3B" w:rsidRDefault="00AD6A3B" w:rsidP="00323D0C">
            <w:pPr>
              <w:pStyle w:val="TableBody"/>
            </w:pPr>
            <w:r w:rsidRPr="00AD6A3B">
              <w:t>Approximate number of avoided incidents per annum required for a net benefit</w:t>
            </w:r>
          </w:p>
        </w:tc>
        <w:tc>
          <w:tcPr>
            <w:tcW w:w="1250" w:type="pct"/>
            <w:vAlign w:val="center"/>
          </w:tcPr>
          <w:p w14:paraId="2DA4EB8D" w14:textId="431F49A7" w:rsidR="00AD6A3B" w:rsidRPr="00AD6A3B" w:rsidRDefault="00ED45A1" w:rsidP="00323D0C">
            <w:pPr>
              <w:pStyle w:val="TableBody"/>
            </w:pPr>
            <w:r>
              <w:t>0.</w:t>
            </w:r>
            <w:r w:rsidR="0064649F">
              <w:t>9</w:t>
            </w:r>
          </w:p>
        </w:tc>
        <w:tc>
          <w:tcPr>
            <w:tcW w:w="1250" w:type="pct"/>
            <w:vAlign w:val="center"/>
          </w:tcPr>
          <w:p w14:paraId="2AED51AC" w14:textId="58E3118E" w:rsidR="00AD6A3B" w:rsidRPr="00AD6A3B" w:rsidRDefault="0064649F" w:rsidP="00323D0C">
            <w:pPr>
              <w:pStyle w:val="TableBody"/>
            </w:pPr>
            <w:r>
              <w:t>1.8</w:t>
            </w:r>
          </w:p>
        </w:tc>
        <w:tc>
          <w:tcPr>
            <w:tcW w:w="1250" w:type="pct"/>
            <w:vAlign w:val="center"/>
          </w:tcPr>
          <w:p w14:paraId="6D62F7F7" w14:textId="1A255A91" w:rsidR="00AD6A3B" w:rsidRPr="00AD6A3B" w:rsidRDefault="00ED2059" w:rsidP="00323D0C">
            <w:pPr>
              <w:pStyle w:val="TableBody"/>
            </w:pPr>
            <w:r>
              <w:t>3.6</w:t>
            </w:r>
          </w:p>
        </w:tc>
      </w:tr>
    </w:tbl>
    <w:p w14:paraId="0EFBEC4F" w14:textId="544EAC94" w:rsidR="00AD6A3B" w:rsidRPr="00AD6A3B" w:rsidRDefault="00AD6A3B" w:rsidP="00323D0C">
      <w:pPr>
        <w:pStyle w:val="BodyText"/>
        <w:spacing w:before="240" w:after="80"/>
      </w:pPr>
      <w:r w:rsidRPr="00AD6A3B">
        <w:t>As noted above, the total direct ongoing cost for option 2 is expected to be $</w:t>
      </w:r>
      <w:r w:rsidR="005A050F">
        <w:t>1.5</w:t>
      </w:r>
      <w:r w:rsidRPr="00AD6A3B">
        <w:rPr>
          <w:color w:val="FF9933"/>
        </w:rPr>
        <w:t xml:space="preserve"> </w:t>
      </w:r>
      <w:r w:rsidRPr="00AD6A3B">
        <w:t>million per annum plus direct one-off costs of $</w:t>
      </w:r>
      <w:r w:rsidR="005A050F">
        <w:t>2.</w:t>
      </w:r>
      <w:r w:rsidR="00F802D9">
        <w:t>1</w:t>
      </w:r>
      <w:r w:rsidR="002B3D70" w:rsidRPr="00AD6A3B">
        <w:t xml:space="preserve"> </w:t>
      </w:r>
      <w:r w:rsidRPr="00AD6A3B">
        <w:t xml:space="preserve">million. However, the cost of the risk management program framework would also have other indirect costs flowing from increased prices passed onto consumers from the framework’s implementation. </w:t>
      </w:r>
    </w:p>
    <w:p w14:paraId="71A53A2F" w14:textId="64A8D2EF" w:rsidR="00AD6A3B" w:rsidRPr="00F66EC0" w:rsidRDefault="3AEB0E4B" w:rsidP="00323D0C">
      <w:pPr>
        <w:pStyle w:val="BodyText"/>
        <w:spacing w:before="80" w:after="80"/>
        <w:rPr>
          <w:color w:val="000000" w:themeColor="text1"/>
        </w:rPr>
      </w:pPr>
      <w:r w:rsidRPr="00F66EC0">
        <w:rPr>
          <w:color w:val="000000" w:themeColor="text1"/>
        </w:rPr>
        <w:t xml:space="preserve">After considering the economy-wide impact of this change to the cost of providing </w:t>
      </w:r>
      <w:r w:rsidR="33BB066E" w:rsidRPr="00F66EC0">
        <w:rPr>
          <w:color w:val="000000" w:themeColor="text1"/>
        </w:rPr>
        <w:t>b</w:t>
      </w:r>
      <w:r w:rsidRPr="00F66EC0">
        <w:rPr>
          <w:color w:val="000000" w:themeColor="text1"/>
        </w:rPr>
        <w:t>roadcasting</w:t>
      </w:r>
      <w:r w:rsidR="006712E2">
        <w:rPr>
          <w:color w:val="000000" w:themeColor="text1"/>
        </w:rPr>
        <w:t xml:space="preserve"> and domain name system services</w:t>
      </w:r>
      <w:r w:rsidRPr="00F66EC0">
        <w:rPr>
          <w:color w:val="000000" w:themeColor="text1"/>
        </w:rPr>
        <w:t xml:space="preserve">, the total economic cost of the regulatory changes, including </w:t>
      </w:r>
      <w:r w:rsidRPr="00F66EC0">
        <w:rPr>
          <w:color w:val="000000" w:themeColor="text1"/>
        </w:rPr>
        <w:lastRenderedPageBreak/>
        <w:t>direct and indirect costs would be approximately $</w:t>
      </w:r>
      <w:r w:rsidR="0064649F">
        <w:rPr>
          <w:color w:val="000000" w:themeColor="text1"/>
        </w:rPr>
        <w:t>6.8</w:t>
      </w:r>
      <w:r w:rsidRPr="00F66EC0">
        <w:rPr>
          <w:color w:val="000000" w:themeColor="text1"/>
        </w:rPr>
        <w:t>million per year.</w:t>
      </w:r>
      <w:r w:rsidR="00AD6A3B" w:rsidRPr="00F66EC0">
        <w:rPr>
          <w:color w:val="000000" w:themeColor="text1"/>
          <w:vertAlign w:val="superscript"/>
        </w:rPr>
        <w:footnoteReference w:id="365"/>
      </w:r>
      <w:r w:rsidRPr="00F66EC0">
        <w:rPr>
          <w:color w:val="000000" w:themeColor="text1"/>
        </w:rPr>
        <w:t xml:space="preserve"> In order for the regulatory changes to generate a net benefit, the proposed risk management program framework would need to contribute to the prevention of approximately </w:t>
      </w:r>
      <w:r w:rsidR="002B3D70">
        <w:rPr>
          <w:color w:val="000000" w:themeColor="text1"/>
        </w:rPr>
        <w:t>3</w:t>
      </w:r>
      <w:r w:rsidRPr="00F66EC0">
        <w:rPr>
          <w:color w:val="000000" w:themeColor="text1"/>
        </w:rPr>
        <w:t xml:space="preserve"> low scenario incidents every </w:t>
      </w:r>
      <w:r>
        <w:rPr>
          <w:color w:val="000000" w:themeColor="text1"/>
        </w:rPr>
        <w:t>y</w:t>
      </w:r>
      <w:r w:rsidRPr="00F66EC0">
        <w:rPr>
          <w:color w:val="000000" w:themeColor="text1"/>
        </w:rPr>
        <w:t xml:space="preserve">ear, </w:t>
      </w:r>
      <w:r w:rsidR="00B16F85">
        <w:rPr>
          <w:color w:val="000000" w:themeColor="text1"/>
        </w:rPr>
        <w:t xml:space="preserve">approximately </w:t>
      </w:r>
      <w:r w:rsidR="00A7726C">
        <w:rPr>
          <w:color w:val="000000" w:themeColor="text1"/>
        </w:rPr>
        <w:t>2</w:t>
      </w:r>
      <w:r w:rsidR="002B3D70" w:rsidRPr="00F66EC0">
        <w:rPr>
          <w:color w:val="000000" w:themeColor="text1"/>
        </w:rPr>
        <w:t xml:space="preserve"> </w:t>
      </w:r>
      <w:r w:rsidRPr="00F66EC0">
        <w:rPr>
          <w:color w:val="000000" w:themeColor="text1"/>
        </w:rPr>
        <w:t xml:space="preserve">moderate scenario incidents every year or </w:t>
      </w:r>
      <w:r w:rsidR="00B16F85">
        <w:rPr>
          <w:color w:val="000000" w:themeColor="text1"/>
        </w:rPr>
        <w:t xml:space="preserve">approximately </w:t>
      </w:r>
      <w:r w:rsidR="00306BC3">
        <w:rPr>
          <w:color w:val="000000" w:themeColor="text1"/>
        </w:rPr>
        <w:t>1</w:t>
      </w:r>
      <w:r w:rsidR="002B3D70" w:rsidRPr="00F66EC0">
        <w:rPr>
          <w:color w:val="000000" w:themeColor="text1"/>
        </w:rPr>
        <w:t xml:space="preserve"> </w:t>
      </w:r>
      <w:r w:rsidRPr="00F66EC0">
        <w:rPr>
          <w:color w:val="000000" w:themeColor="text1"/>
        </w:rPr>
        <w:t xml:space="preserve">severe scenario every </w:t>
      </w:r>
      <w:r w:rsidR="169A436C" w:rsidRPr="00F66EC0">
        <w:rPr>
          <w:color w:val="000000" w:themeColor="text1"/>
        </w:rPr>
        <w:t>year</w:t>
      </w:r>
      <w:r w:rsidRPr="00F66EC0">
        <w:rPr>
          <w:color w:val="000000" w:themeColor="text1"/>
        </w:rPr>
        <w:t xml:space="preserve"> to generate a net benefit. </w:t>
      </w:r>
    </w:p>
    <w:p w14:paraId="6AB612B6" w14:textId="77777777" w:rsidR="00AD6A3B" w:rsidRDefault="00AD6A3B" w:rsidP="00323D0C">
      <w:pPr>
        <w:pStyle w:val="BodyText"/>
        <w:spacing w:before="80" w:after="80"/>
        <w:rPr>
          <w:rFonts w:eastAsia="Arial"/>
        </w:rPr>
      </w:pPr>
      <w:r w:rsidRPr="00AD6A3B">
        <w:t xml:space="preserve">It is important to note that the economic analysis of the above scenarios does not incorporate all direct avoided costs incurred by all future incidents. The avoided costs included are only those which were directly and immediately incurred as a result of the </w:t>
      </w:r>
      <w:r w:rsidR="007B43F8">
        <w:t>south coast transmitter incident</w:t>
      </w:r>
      <w:r w:rsidRPr="00AD6A3B">
        <w:t xml:space="preserve">. In the broader context of a potential future disruption, in addition to the above estimate of benefits would be the avoided costs of recovery (repair costs, costs of resulting mitigations) from high value, specific circumstances which were not experienced during the </w:t>
      </w:r>
      <w:r w:rsidR="007B43F8">
        <w:t xml:space="preserve">south coast </w:t>
      </w:r>
      <w:r w:rsidR="003F2949">
        <w:t>transmitter</w:t>
      </w:r>
      <w:r>
        <w:t xml:space="preserve"> event</w:t>
      </w:r>
      <w:r w:rsidRPr="00AD6A3B">
        <w:t xml:space="preserve">.  </w:t>
      </w:r>
      <w:r w:rsidRPr="00AD6A3B">
        <w:rPr>
          <w:rFonts w:eastAsia="Arial"/>
        </w:rPr>
        <w:t xml:space="preserve">Consequently, the moderate case of </w:t>
      </w:r>
      <w:r w:rsidR="003F2949">
        <w:rPr>
          <w:rFonts w:eastAsia="Arial"/>
        </w:rPr>
        <w:t>the south coast transmitter incident</w:t>
      </w:r>
      <w:r w:rsidRPr="00AD6A3B">
        <w:rPr>
          <w:rFonts w:eastAsia="Arial"/>
        </w:rPr>
        <w:t xml:space="preserve"> is not likely to be the worst-case incident and an incident of the same scale in terms of </w:t>
      </w:r>
      <w:r w:rsidR="003F2949" w:rsidRPr="003F2949">
        <w:rPr>
          <w:rFonts w:eastAsia="Arial"/>
          <w:color w:val="000000" w:themeColor="text1"/>
        </w:rPr>
        <w:t>broadcasting</w:t>
      </w:r>
      <w:r w:rsidRPr="003F2949">
        <w:rPr>
          <w:rFonts w:eastAsia="Arial"/>
          <w:color w:val="000000" w:themeColor="text1"/>
        </w:rPr>
        <w:t xml:space="preserve"> </w:t>
      </w:r>
      <w:r w:rsidRPr="00AD6A3B">
        <w:rPr>
          <w:rFonts w:eastAsia="Arial"/>
        </w:rPr>
        <w:t>disruption could have a greater impact if it occurred in other locations.</w:t>
      </w:r>
    </w:p>
    <w:p w14:paraId="65F8B0D9" w14:textId="77777777" w:rsidR="005D7DA1" w:rsidRPr="00323D0C" w:rsidRDefault="00AD6A3B" w:rsidP="00323D0C">
      <w:pPr>
        <w:pStyle w:val="BodyText"/>
        <w:spacing w:before="80" w:after="80"/>
        <w:rPr>
          <w:rFonts w:eastAsia="Calibri"/>
          <w:spacing w:val="-4"/>
        </w:rPr>
      </w:pPr>
      <w:r w:rsidRPr="00323D0C">
        <w:rPr>
          <w:spacing w:val="-4"/>
        </w:rPr>
        <w:t xml:space="preserve">Further, the increasing frequency of incidents as described in section 1.1 makes the proposed risk management program framework more certain over time to exceed the anticipated costs. </w:t>
      </w:r>
      <w:r w:rsidRPr="00323D0C">
        <w:rPr>
          <w:rFonts w:eastAsia="Calibri"/>
          <w:spacing w:val="-4"/>
        </w:rPr>
        <w:t xml:space="preserve">The examples referred to in that section demonstrate the increasing need for adequate protections against the security and resilience of critical </w:t>
      </w:r>
      <w:r w:rsidR="003F2949" w:rsidRPr="00323D0C">
        <w:rPr>
          <w:rFonts w:eastAsia="Calibri"/>
          <w:spacing w:val="-4"/>
        </w:rPr>
        <w:t>broadcasting</w:t>
      </w:r>
      <w:r w:rsidRPr="00323D0C">
        <w:rPr>
          <w:rFonts w:eastAsia="Calibri"/>
          <w:spacing w:val="-4"/>
        </w:rPr>
        <w:t xml:space="preserve"> assets, and the increased likelihood that the benefits of the draft risk management program framework will exceed the costs outlined in this section.</w:t>
      </w:r>
    </w:p>
    <w:p w14:paraId="10A561C8" w14:textId="77777777" w:rsidR="00AD6A3B" w:rsidRPr="00AD6A3B" w:rsidRDefault="00AD6A3B" w:rsidP="0021240B">
      <w:pPr>
        <w:pStyle w:val="AppendixH2"/>
        <w:rPr>
          <w:rFonts w:eastAsia="Calibri"/>
        </w:rPr>
      </w:pPr>
      <w:r w:rsidRPr="00AD6A3B">
        <w:t>Assessment of likely net benefit</w:t>
      </w:r>
    </w:p>
    <w:p w14:paraId="33A4ED2E" w14:textId="1AF0AEAC" w:rsidR="00AD6A3B" w:rsidRPr="00AD6A3B" w:rsidRDefault="00AD6A3B" w:rsidP="0021240B">
      <w:pPr>
        <w:pStyle w:val="BodyText"/>
      </w:pPr>
      <w:r w:rsidRPr="00AD6A3B">
        <w:t xml:space="preserve">The likely benefits of option 2 will be at least (and are expected to be more than) the costs of the regulation. This is primarily because, as described above and throughout this RIS, the frequency and severity of all hazard risks for critical </w:t>
      </w:r>
      <w:r w:rsidR="00601281">
        <w:t>broadcasting</w:t>
      </w:r>
      <w:r w:rsidRPr="00AD6A3B">
        <w:t xml:space="preserve"> assets</w:t>
      </w:r>
      <w:r w:rsidR="0040087B">
        <w:t xml:space="preserve"> and critical domain name systems</w:t>
      </w:r>
      <w:r w:rsidRPr="00AD6A3B">
        <w:t xml:space="preserve">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 </w:t>
      </w:r>
    </w:p>
    <w:p w14:paraId="592BC80A" w14:textId="77777777" w:rsidR="00AD6A3B" w:rsidRPr="00AD6A3B" w:rsidRDefault="00AD6A3B" w:rsidP="0021240B">
      <w:pPr>
        <w:pStyle w:val="BodyText"/>
      </w:pPr>
      <w:r w:rsidRPr="00AD6A3B">
        <w:t>Further, through pursuit of option 2, the identification, mitigation and remediation of such hazards, should they occur, will be improved through:</w:t>
      </w:r>
    </w:p>
    <w:p w14:paraId="7FA608A9" w14:textId="2E44E5A5" w:rsidR="00AD6A3B" w:rsidRPr="00AD6A3B" w:rsidRDefault="00AD6A3B" w:rsidP="0021240B">
      <w:pPr>
        <w:pStyle w:val="Bullet1stlevel"/>
      </w:pPr>
      <w:r w:rsidRPr="00AD6A3B">
        <w:t xml:space="preserve">Lowering the material risk of hazards and subsequent impacts of those hazards, as they manifest for critical </w:t>
      </w:r>
      <w:r w:rsidR="00601281">
        <w:t>broadcasting</w:t>
      </w:r>
      <w:r w:rsidRPr="00AD6A3B">
        <w:t xml:space="preserve"> assets</w:t>
      </w:r>
      <w:r w:rsidR="0040087B">
        <w:t xml:space="preserve"> and critical domain name systems</w:t>
      </w:r>
      <w:r w:rsidRPr="00AD6A3B">
        <w:t xml:space="preserve">; </w:t>
      </w:r>
    </w:p>
    <w:p w14:paraId="1FA74437" w14:textId="53CE423E" w:rsidR="00AD6A3B" w:rsidRPr="00AD6A3B" w:rsidRDefault="00AD6A3B" w:rsidP="0021240B">
      <w:pPr>
        <w:pStyle w:val="Bullet1stlevel"/>
      </w:pPr>
      <w:r w:rsidRPr="00AD6A3B">
        <w:t xml:space="preserve">Ensuring that adoption of the risk management program framework for critical </w:t>
      </w:r>
      <w:r w:rsidR="00601281">
        <w:t>broadcasting</w:t>
      </w:r>
      <w:r w:rsidRPr="00AD6A3B">
        <w:t xml:space="preserve"> assets </w:t>
      </w:r>
      <w:r w:rsidR="0040087B">
        <w:t xml:space="preserve">and critical domain name systems </w:t>
      </w:r>
      <w:r w:rsidRPr="00AD6A3B">
        <w:t xml:space="preserve">is reasonable and proportionate to the purpose of the program; </w:t>
      </w:r>
    </w:p>
    <w:p w14:paraId="6EF0BF87" w14:textId="77777777" w:rsidR="00AD6A3B" w:rsidRPr="00AD6A3B" w:rsidRDefault="00AD6A3B" w:rsidP="0021240B">
      <w:pPr>
        <w:pStyle w:val="Bullet1stlevel"/>
      </w:pPr>
      <w:r w:rsidRPr="00AD6A3B">
        <w:t xml:space="preserve">Avoiding regulatory duplication and facilitating a coordinated uplift in responsible entities’ compliance with relevant standards; and </w:t>
      </w:r>
    </w:p>
    <w:p w14:paraId="24F09E2C" w14:textId="6CF73F2C" w:rsidR="00AD6A3B" w:rsidRPr="00AD6A3B" w:rsidRDefault="00AD6A3B" w:rsidP="0021240B">
      <w:pPr>
        <w:pStyle w:val="Bullet1stlevel"/>
      </w:pPr>
      <w:r w:rsidRPr="00AD6A3B">
        <w:lastRenderedPageBreak/>
        <w:t xml:space="preserve">Improving Government’s visibility over the security and resilience of critical </w:t>
      </w:r>
      <w:r w:rsidR="00601281">
        <w:t>broadcasting</w:t>
      </w:r>
      <w:r w:rsidRPr="00AD6A3B">
        <w:t xml:space="preserve"> assets</w:t>
      </w:r>
      <w:r w:rsidR="0040087B">
        <w:t xml:space="preserve"> and critical domain name systems</w:t>
      </w:r>
      <w:r w:rsidRPr="00AD6A3B">
        <w:t xml:space="preserve">. </w:t>
      </w:r>
    </w:p>
    <w:p w14:paraId="3DF0C8D7" w14:textId="77777777" w:rsidR="00080D85" w:rsidRPr="00601281" w:rsidRDefault="00AD6A3B" w:rsidP="0021240B">
      <w:pPr>
        <w:pStyle w:val="BodyText"/>
        <w:rPr>
          <w:rFonts w:eastAsia="Times New Roman"/>
        </w:rPr>
      </w:pPr>
      <w:r w:rsidRPr="00AD6A3B">
        <w:t xml:space="preserve">Overall, these factors and the specific costs and benefits described above mean the likely net benefit associated with option 2 is high. </w:t>
      </w:r>
    </w:p>
    <w:p w14:paraId="67C8A22A" w14:textId="3CE54DFA" w:rsidR="00925E1F" w:rsidRPr="00E33A2A" w:rsidRDefault="00925E1F" w:rsidP="0021240B">
      <w:pPr>
        <w:pStyle w:val="AppendixH1"/>
      </w:pPr>
      <w:bookmarkStart w:id="654" w:name="_Toc121397430"/>
      <w:r w:rsidRPr="65BD1ADF">
        <w:lastRenderedPageBreak/>
        <w:t xml:space="preserve">Detailed costing information for critical </w:t>
      </w:r>
      <w:r w:rsidR="00A60801">
        <w:t>payment system</w:t>
      </w:r>
      <w:r>
        <w:t xml:space="preserve"> </w:t>
      </w:r>
      <w:r w:rsidRPr="65BD1ADF">
        <w:t>assets</w:t>
      </w:r>
      <w:bookmarkEnd w:id="654"/>
    </w:p>
    <w:p w14:paraId="1702252A" w14:textId="77777777" w:rsidR="00925E1F" w:rsidRPr="00D450CF" w:rsidRDefault="00925E1F" w:rsidP="00323D0C">
      <w:pPr>
        <w:pStyle w:val="AppendixH2"/>
      </w:pPr>
      <w:r w:rsidRPr="00D450CF">
        <w:t xml:space="preserve">Costing process completed by responsible entities for critical </w:t>
      </w:r>
      <w:r w:rsidR="008D20EE">
        <w:t>payment system</w:t>
      </w:r>
      <w:r w:rsidRPr="00D450CF">
        <w:t xml:space="preserve"> assets</w:t>
      </w:r>
    </w:p>
    <w:p w14:paraId="4858720E" w14:textId="77777777" w:rsidR="00925E1F" w:rsidRDefault="00C27D3D" w:rsidP="00323D0C">
      <w:pPr>
        <w:pStyle w:val="BodyText"/>
      </w:pPr>
      <w:r>
        <w:t xml:space="preserve">Cost submissions were received from </w:t>
      </w:r>
      <w:r w:rsidR="000728EE">
        <w:t>2</w:t>
      </w:r>
      <w:r w:rsidR="00925E1F">
        <w:t xml:space="preserve"> responsible entities for critical </w:t>
      </w:r>
      <w:r w:rsidR="000728EE">
        <w:t>payment system</w:t>
      </w:r>
      <w:r w:rsidR="00925E1F">
        <w:t xml:space="preserve"> assets. </w:t>
      </w:r>
      <w:r w:rsidR="0047055C">
        <w:t xml:space="preserve">This represented </w:t>
      </w:r>
      <w:r w:rsidR="0047055C" w:rsidRPr="00323D0C">
        <w:t>approximately</w:t>
      </w:r>
      <w:r w:rsidR="0047055C">
        <w:t xml:space="preserve"> 32.2% of the total critical payment system asset market.</w:t>
      </w:r>
    </w:p>
    <w:p w14:paraId="041C6CF7" w14:textId="77777777" w:rsidR="00C20457" w:rsidRPr="006B61BA" w:rsidRDefault="00C20457" w:rsidP="00323D0C">
      <w:pPr>
        <w:pStyle w:val="AppendixH2"/>
      </w:pPr>
      <w:bookmarkStart w:id="655" w:name="_Toc90545742"/>
      <w:r w:rsidRPr="006B61BA">
        <w:t>Likely net benefit</w:t>
      </w:r>
      <w:bookmarkEnd w:id="655"/>
      <w:r w:rsidR="0069237B">
        <w:t xml:space="preserve"> – option </w:t>
      </w:r>
      <w:r w:rsidRPr="006B61BA">
        <w:t xml:space="preserve">2 </w:t>
      </w:r>
    </w:p>
    <w:p w14:paraId="518CE618" w14:textId="77777777" w:rsidR="00C20457" w:rsidRPr="00E9705C" w:rsidRDefault="00C20457" w:rsidP="00323D0C">
      <w:pPr>
        <w:pStyle w:val="BodyText"/>
        <w:rPr>
          <w:rFonts w:eastAsia="Calibri"/>
        </w:rPr>
      </w:pPr>
      <w:r w:rsidRPr="00E9705C">
        <w:t xml:space="preserve">The following section details the costs and benefits associated with option 2 (the regulatory option), before assessing the overall likely net benefit presented by this option. </w:t>
      </w:r>
    </w:p>
    <w:p w14:paraId="2564008F" w14:textId="77777777" w:rsidR="00C20457" w:rsidRPr="002F1B2B" w:rsidRDefault="00C20457" w:rsidP="00323D0C">
      <w:pPr>
        <w:pStyle w:val="AppendixH2"/>
      </w:pPr>
      <w:r w:rsidRPr="002F1B2B">
        <w:t>Costs of option 2</w:t>
      </w:r>
    </w:p>
    <w:p w14:paraId="08763FA0" w14:textId="77777777" w:rsidR="00C20457" w:rsidRPr="00E9705C" w:rsidRDefault="00C20457" w:rsidP="00323D0C">
      <w:pPr>
        <w:pStyle w:val="BodyText"/>
      </w:pPr>
      <w:r w:rsidRPr="00E9705C">
        <w:t xml:space="preserve">There are multiple factors affecting the regulatory burden for each entity, including their existing risk management practices and capabilities, the nature of the </w:t>
      </w:r>
      <w:r>
        <w:t>critical payment system</w:t>
      </w:r>
      <w:r w:rsidRPr="00E9705C">
        <w:t xml:space="preserve">s they operate and the size of their operations. In collecting cost information from entities across </w:t>
      </w:r>
      <w:r>
        <w:t>critical payment system</w:t>
      </w:r>
      <w:r w:rsidRPr="00E9705C">
        <w:t xml:space="preserve">s, this variance in cost impact has been captured and reflected in the estimates of total cost across critical </w:t>
      </w:r>
      <w:r w:rsidR="00C518ED">
        <w:t>payment system</w:t>
      </w:r>
      <w:r w:rsidRPr="00E9705C">
        <w:t xml:space="preserve"> assets included in this RIS.</w:t>
      </w:r>
    </w:p>
    <w:p w14:paraId="3B739027" w14:textId="77777777" w:rsidR="002B2409" w:rsidRPr="00E31954" w:rsidRDefault="002B2409" w:rsidP="00323D0C">
      <w:pPr>
        <w:pStyle w:val="BodyText"/>
      </w:pPr>
      <w:r w:rsidRPr="00E31954">
        <w:t xml:space="preserve">When estimating the cost of compliance with option 2, critical </w:t>
      </w:r>
      <w:r w:rsidR="00C518ED">
        <w:t>payment systems</w:t>
      </w:r>
      <w:r w:rsidRPr="00E31954">
        <w:t xml:space="preserve"> asset entities provided both an expected and a high-cost estimate. The high-cost estimate was provided as a way to measure the uncertainty associated with their estimates and the highest feasible cost of option 2. The expected estimate was used as the basis for determining the net benefit of option 2 in section 4. </w:t>
      </w:r>
    </w:p>
    <w:p w14:paraId="5B6DF664" w14:textId="77777777" w:rsidR="002B2409" w:rsidRPr="00E31954" w:rsidRDefault="002B2409" w:rsidP="00323D0C">
      <w:pPr>
        <w:pStyle w:val="BodyText"/>
      </w:pPr>
      <w:r w:rsidRPr="00E31954">
        <w:t xml:space="preserve">Using the expected and the high estimate as a range, the cost of compliance is as follows: </w:t>
      </w:r>
    </w:p>
    <w:p w14:paraId="24924C72" w14:textId="77777777" w:rsidR="002B2409" w:rsidRDefault="002B2409" w:rsidP="00323D0C">
      <w:pPr>
        <w:pStyle w:val="BodyText"/>
      </w:pPr>
      <w:r w:rsidRPr="00E31954">
        <w:t>A one-off regulatory cost of between $</w:t>
      </w:r>
      <w:r>
        <w:t xml:space="preserve">0.6 </w:t>
      </w:r>
      <w:r w:rsidRPr="00E31954">
        <w:t>(expected) and $</w:t>
      </w:r>
      <w:r w:rsidR="00C518ED">
        <w:t>1</w:t>
      </w:r>
      <w:r>
        <w:t>.</w:t>
      </w:r>
      <w:r w:rsidR="00C518ED">
        <w:t>1</w:t>
      </w:r>
      <w:r>
        <w:t xml:space="preserve"> </w:t>
      </w:r>
      <w:r w:rsidRPr="00E31954">
        <w:t xml:space="preserve">million (high estimate), across critical </w:t>
      </w:r>
      <w:r w:rsidR="00C518ED">
        <w:t>payment systems</w:t>
      </w:r>
      <w:r w:rsidRPr="00E31954">
        <w:t xml:space="preserve"> assets nationally; and </w:t>
      </w:r>
    </w:p>
    <w:p w14:paraId="1B8B7D65" w14:textId="464DC67A" w:rsidR="002B2409" w:rsidRPr="00562B85" w:rsidRDefault="002B2409" w:rsidP="00323D0C">
      <w:pPr>
        <w:pStyle w:val="BodyText"/>
      </w:pPr>
      <w:r w:rsidRPr="00562B85">
        <w:t>An ongoing cost of between $</w:t>
      </w:r>
      <w:r>
        <w:t>5</w:t>
      </w:r>
      <w:r w:rsidRPr="00562B85">
        <w:t>.</w:t>
      </w:r>
      <w:r w:rsidR="00F910E7">
        <w:t>7</w:t>
      </w:r>
      <w:r w:rsidR="00F910E7" w:rsidRPr="00562B85">
        <w:t xml:space="preserve"> </w:t>
      </w:r>
      <w:r w:rsidRPr="00562B85">
        <w:t>(expected) and $</w:t>
      </w:r>
      <w:r w:rsidR="00F910E7">
        <w:t>8.2</w:t>
      </w:r>
      <w:r>
        <w:t xml:space="preserve"> </w:t>
      </w:r>
      <w:r w:rsidRPr="00562B85">
        <w:t xml:space="preserve">million (high estimate) per year, across critical </w:t>
      </w:r>
      <w:r w:rsidR="00C518ED">
        <w:t>payment systems</w:t>
      </w:r>
      <w:r w:rsidRPr="00562B85">
        <w:t xml:space="preserve"> assets nationally. </w:t>
      </w:r>
    </w:p>
    <w:p w14:paraId="75D05A22" w14:textId="30C40A51" w:rsidR="000E3E32" w:rsidRPr="000E3E32" w:rsidRDefault="000E3E32" w:rsidP="00323D0C">
      <w:pPr>
        <w:pStyle w:val="BodyText"/>
      </w:pPr>
      <w:r w:rsidRPr="000E3E32">
        <w:t>The average cost of compliance for each entity is estimated at $0.1 million in one-off costs and $1.</w:t>
      </w:r>
      <w:r w:rsidR="00C37B81">
        <w:t>4</w:t>
      </w:r>
      <w:r w:rsidR="00C37B81" w:rsidRPr="000E3E32">
        <w:t xml:space="preserve"> </w:t>
      </w:r>
      <w:r w:rsidRPr="000E3E32">
        <w:t>million per year in ongoing costs.</w:t>
      </w:r>
    </w:p>
    <w:p w14:paraId="551EC65B" w14:textId="77777777" w:rsidR="00C20457" w:rsidRPr="00C11852" w:rsidRDefault="00C20457" w:rsidP="00323D0C">
      <w:pPr>
        <w:pStyle w:val="BodyText"/>
      </w:pPr>
      <w:r w:rsidRPr="00C11852">
        <w:t xml:space="preserve">The cost of regulation will be borne by entities responsible for </w:t>
      </w:r>
      <w:r>
        <w:t>critical payment system</w:t>
      </w:r>
      <w:r w:rsidRPr="00C11852">
        <w:t xml:space="preserve">s who meet the relevant thresholds. Community organisations and individuals will not be directly affected but there will likely be indirect costs passed onto consumers. For the purposes of this RIS, the cost of regulation in </w:t>
      </w:r>
      <w:r w:rsidR="0016183D">
        <w:t>the table below</w:t>
      </w:r>
      <w:r w:rsidRPr="00C11852">
        <w:t xml:space="preserve"> will only include the initial costs associated with regulation</w:t>
      </w:r>
      <w:r w:rsidRPr="00827F58">
        <w:rPr>
          <w:rStyle w:val="FootnoteReference"/>
          <w:rFonts w:ascii="Arial" w:eastAsia="Calibri" w:hAnsi="Arial" w:cs="Arial"/>
        </w:rPr>
        <w:footnoteReference w:id="366"/>
      </w:r>
      <w:r w:rsidRPr="00C11852">
        <w:t xml:space="preserve">. </w:t>
      </w:r>
      <w:r w:rsidRPr="00C11852">
        <w:rPr>
          <w:rFonts w:eastAsia="Times New Roman"/>
        </w:rPr>
        <w:t xml:space="preserve">The indirect cost to consumers and communities has been addressed in the economic analysis through consideration of indirect cost to the wider economy as a result of the proposed </w:t>
      </w:r>
      <w:r>
        <w:rPr>
          <w:rFonts w:eastAsia="Times New Roman"/>
        </w:rPr>
        <w:t>RMP</w:t>
      </w:r>
      <w:r w:rsidRPr="00C11852">
        <w:rPr>
          <w:rFonts w:eastAsia="Times New Roman"/>
        </w:rPr>
        <w:t xml:space="preserve"> framework.</w:t>
      </w:r>
    </w:p>
    <w:p w14:paraId="18AC8294" w14:textId="77777777" w:rsidR="000E759E" w:rsidRDefault="000E759E">
      <w:pPr>
        <w:spacing w:before="80" w:after="80"/>
        <w:rPr>
          <w:rFonts w:ascii="Arial" w:eastAsia="Calibri" w:hAnsi="Arial" w:cs="Arial"/>
          <w:i/>
          <w:iCs/>
          <w:color w:val="44546A"/>
          <w:sz w:val="18"/>
          <w:szCs w:val="18"/>
        </w:rPr>
      </w:pPr>
      <w:bookmarkStart w:id="656" w:name="_Toc90479760"/>
      <w:r>
        <w:rPr>
          <w:rFonts w:ascii="Arial" w:eastAsia="Calibri" w:hAnsi="Arial" w:cs="Arial"/>
          <w:i/>
          <w:iCs/>
          <w:color w:val="44546A"/>
          <w:sz w:val="18"/>
          <w:szCs w:val="18"/>
        </w:rPr>
        <w:br w:type="page"/>
      </w:r>
    </w:p>
    <w:p w14:paraId="2D1A225C" w14:textId="77777777" w:rsidR="00C20457" w:rsidRPr="00E9705C" w:rsidRDefault="00C20457" w:rsidP="00323D0C">
      <w:pPr>
        <w:pStyle w:val="Caption"/>
      </w:pPr>
      <w:r w:rsidRPr="00E9705C">
        <w:lastRenderedPageBreak/>
        <w:t>Regulatory cost estimate</w:t>
      </w:r>
      <w:bookmarkEnd w:id="656"/>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119"/>
        <w:gridCol w:w="1968"/>
        <w:gridCol w:w="1696"/>
        <w:gridCol w:w="1638"/>
        <w:gridCol w:w="2217"/>
      </w:tblGrid>
      <w:tr w:rsidR="00C20457" w:rsidRPr="003C713B" w14:paraId="3263F713" w14:textId="77777777" w:rsidTr="006361FE">
        <w:tc>
          <w:tcPr>
            <w:tcW w:w="1099" w:type="pct"/>
            <w:vMerge w:val="restart"/>
            <w:shd w:val="clear" w:color="auto" w:fill="034EA2" w:themeFill="accent1"/>
            <w:hideMark/>
          </w:tcPr>
          <w:p w14:paraId="5EA4FEE8" w14:textId="77777777" w:rsidR="00C20457" w:rsidRPr="003C713B" w:rsidRDefault="00C20457" w:rsidP="006361FE">
            <w:pPr>
              <w:pStyle w:val="TableHeading"/>
              <w:rPr>
                <w:rFonts w:asciiTheme="minorHAnsi" w:hAnsiTheme="minorHAnsi" w:cstheme="minorHAnsi"/>
                <w:lang w:eastAsia="en-AU"/>
              </w:rPr>
            </w:pPr>
            <w:r w:rsidRPr="003C713B">
              <w:rPr>
                <w:rFonts w:asciiTheme="minorHAnsi" w:hAnsiTheme="minorHAnsi" w:cstheme="minorHAnsi"/>
                <w:lang w:eastAsia="en-AU"/>
              </w:rPr>
              <w:t>Cost Type</w:t>
            </w:r>
          </w:p>
        </w:tc>
        <w:tc>
          <w:tcPr>
            <w:tcW w:w="3901" w:type="pct"/>
            <w:gridSpan w:val="4"/>
            <w:shd w:val="clear" w:color="auto" w:fill="034EA2" w:themeFill="accent1"/>
            <w:vAlign w:val="center"/>
            <w:hideMark/>
          </w:tcPr>
          <w:p w14:paraId="7AD4022A" w14:textId="77777777" w:rsidR="00C20457" w:rsidRPr="003C713B" w:rsidRDefault="00C20457" w:rsidP="00323D0C">
            <w:pPr>
              <w:pStyle w:val="TableHeading"/>
              <w:rPr>
                <w:rFonts w:asciiTheme="minorHAnsi" w:hAnsiTheme="minorHAnsi" w:cstheme="minorHAnsi"/>
                <w:lang w:eastAsia="en-AU"/>
              </w:rPr>
            </w:pPr>
            <w:r w:rsidRPr="003C713B">
              <w:rPr>
                <w:rFonts w:asciiTheme="minorHAnsi" w:hAnsiTheme="minorHAnsi" w:cstheme="minorHAnsi"/>
                <w:lang w:eastAsia="en-AU"/>
              </w:rPr>
              <w:t>Costs ($ million)</w:t>
            </w:r>
          </w:p>
        </w:tc>
      </w:tr>
      <w:tr w:rsidR="00340241" w:rsidRPr="003C713B" w14:paraId="332B9605" w14:textId="77777777" w:rsidTr="00323D0C">
        <w:tc>
          <w:tcPr>
            <w:tcW w:w="1099" w:type="pct"/>
            <w:vMerge/>
            <w:vAlign w:val="center"/>
            <w:hideMark/>
          </w:tcPr>
          <w:p w14:paraId="400A6A72" w14:textId="77777777" w:rsidR="00C20457" w:rsidRPr="003C713B" w:rsidRDefault="00C20457" w:rsidP="00323D0C">
            <w:pPr>
              <w:pStyle w:val="TableBody"/>
              <w:rPr>
                <w:rFonts w:asciiTheme="minorHAnsi" w:hAnsiTheme="minorHAnsi" w:cstheme="minorHAnsi"/>
                <w:lang w:eastAsia="en-AU"/>
              </w:rPr>
            </w:pPr>
          </w:p>
        </w:tc>
        <w:tc>
          <w:tcPr>
            <w:tcW w:w="1021" w:type="pct"/>
            <w:shd w:val="clear" w:color="auto" w:fill="DEEAF6"/>
            <w:vAlign w:val="center"/>
            <w:hideMark/>
          </w:tcPr>
          <w:p w14:paraId="6AA26962"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Business</w:t>
            </w:r>
          </w:p>
        </w:tc>
        <w:tc>
          <w:tcPr>
            <w:tcW w:w="880" w:type="pct"/>
            <w:shd w:val="clear" w:color="auto" w:fill="DEEAF6"/>
            <w:vAlign w:val="center"/>
            <w:hideMark/>
          </w:tcPr>
          <w:p w14:paraId="73B1C9DD"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Community</w:t>
            </w:r>
          </w:p>
        </w:tc>
        <w:tc>
          <w:tcPr>
            <w:tcW w:w="850" w:type="pct"/>
            <w:shd w:val="clear" w:color="auto" w:fill="DEEAF6"/>
            <w:vAlign w:val="center"/>
            <w:hideMark/>
          </w:tcPr>
          <w:p w14:paraId="069A0765"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Individuals</w:t>
            </w:r>
          </w:p>
        </w:tc>
        <w:tc>
          <w:tcPr>
            <w:tcW w:w="1150" w:type="pct"/>
            <w:shd w:val="clear" w:color="auto" w:fill="DEEAF6"/>
            <w:vAlign w:val="center"/>
            <w:hideMark/>
          </w:tcPr>
          <w:p w14:paraId="5E1A5494"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 xml:space="preserve">Total cost </w:t>
            </w:r>
          </w:p>
        </w:tc>
      </w:tr>
      <w:tr w:rsidR="00C20457" w:rsidRPr="003C713B" w14:paraId="6C52AF97" w14:textId="77777777" w:rsidTr="00323D0C">
        <w:tc>
          <w:tcPr>
            <w:tcW w:w="1099" w:type="pct"/>
            <w:shd w:val="clear" w:color="auto" w:fill="F2F2F2" w:themeFill="background1" w:themeFillShade="F2"/>
            <w:vAlign w:val="center"/>
            <w:hideMark/>
          </w:tcPr>
          <w:p w14:paraId="2A271901"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One-off</w:t>
            </w:r>
          </w:p>
        </w:tc>
        <w:tc>
          <w:tcPr>
            <w:tcW w:w="1021" w:type="pct"/>
            <w:vAlign w:val="center"/>
            <w:hideMark/>
          </w:tcPr>
          <w:p w14:paraId="38F71760"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0.6</w:t>
            </w:r>
            <w:r w:rsidR="00A160A3" w:rsidRPr="003C713B">
              <w:rPr>
                <w:rFonts w:asciiTheme="minorHAnsi" w:hAnsiTheme="minorHAnsi" w:cstheme="minorHAnsi"/>
                <w:lang w:eastAsia="en-AU"/>
              </w:rPr>
              <w:t xml:space="preserve"> to 1.1</w:t>
            </w:r>
          </w:p>
        </w:tc>
        <w:tc>
          <w:tcPr>
            <w:tcW w:w="880" w:type="pct"/>
            <w:vAlign w:val="center"/>
            <w:hideMark/>
          </w:tcPr>
          <w:p w14:paraId="7A4899CF"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Nil</w:t>
            </w:r>
          </w:p>
        </w:tc>
        <w:tc>
          <w:tcPr>
            <w:tcW w:w="850" w:type="pct"/>
            <w:vAlign w:val="center"/>
            <w:hideMark/>
          </w:tcPr>
          <w:p w14:paraId="4E419588"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Nil</w:t>
            </w:r>
          </w:p>
        </w:tc>
        <w:tc>
          <w:tcPr>
            <w:tcW w:w="1150" w:type="pct"/>
            <w:vAlign w:val="center"/>
            <w:hideMark/>
          </w:tcPr>
          <w:p w14:paraId="45125BA5" w14:textId="77777777" w:rsidR="00C20457" w:rsidRPr="003C713B" w:rsidRDefault="00C20457" w:rsidP="00323D0C">
            <w:pPr>
              <w:pStyle w:val="TableBody"/>
              <w:rPr>
                <w:rFonts w:asciiTheme="minorHAnsi" w:hAnsiTheme="minorHAnsi" w:cstheme="minorHAnsi"/>
              </w:rPr>
            </w:pPr>
            <w:r w:rsidRPr="003C713B">
              <w:rPr>
                <w:rFonts w:asciiTheme="minorHAnsi" w:hAnsiTheme="minorHAnsi" w:cstheme="minorHAnsi"/>
              </w:rPr>
              <w:t>0.6</w:t>
            </w:r>
            <w:r w:rsidR="00A160A3" w:rsidRPr="003C713B">
              <w:rPr>
                <w:rFonts w:asciiTheme="minorHAnsi" w:hAnsiTheme="minorHAnsi" w:cstheme="minorHAnsi"/>
              </w:rPr>
              <w:t xml:space="preserve"> to 1.1</w:t>
            </w:r>
          </w:p>
        </w:tc>
      </w:tr>
      <w:tr w:rsidR="00C20457" w:rsidRPr="003C713B" w14:paraId="14D20492" w14:textId="77777777" w:rsidTr="00323D0C">
        <w:tc>
          <w:tcPr>
            <w:tcW w:w="1099" w:type="pct"/>
            <w:shd w:val="clear" w:color="auto" w:fill="F2F2F2" w:themeFill="background1" w:themeFillShade="F2"/>
            <w:vAlign w:val="center"/>
            <w:hideMark/>
          </w:tcPr>
          <w:p w14:paraId="6924BF48" w14:textId="7FF5C74B"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Ongoing (per year)</w:t>
            </w:r>
          </w:p>
        </w:tc>
        <w:tc>
          <w:tcPr>
            <w:tcW w:w="1021" w:type="pct"/>
            <w:vAlign w:val="center"/>
            <w:hideMark/>
          </w:tcPr>
          <w:p w14:paraId="41CB1C0D" w14:textId="5BC776E9"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5.</w:t>
            </w:r>
            <w:r w:rsidR="007D243C">
              <w:rPr>
                <w:rFonts w:asciiTheme="minorHAnsi" w:hAnsiTheme="minorHAnsi" w:cstheme="minorHAnsi"/>
                <w:lang w:eastAsia="en-AU"/>
              </w:rPr>
              <w:t>7</w:t>
            </w:r>
            <w:r w:rsidR="00A160A3" w:rsidRPr="003C713B">
              <w:rPr>
                <w:rFonts w:asciiTheme="minorHAnsi" w:hAnsiTheme="minorHAnsi" w:cstheme="minorHAnsi"/>
                <w:lang w:eastAsia="en-AU"/>
              </w:rPr>
              <w:t xml:space="preserve"> to </w:t>
            </w:r>
            <w:r w:rsidR="007D243C">
              <w:rPr>
                <w:rFonts w:asciiTheme="minorHAnsi" w:hAnsiTheme="minorHAnsi" w:cstheme="minorHAnsi"/>
                <w:lang w:eastAsia="en-AU"/>
              </w:rPr>
              <w:t>8.2</w:t>
            </w:r>
          </w:p>
        </w:tc>
        <w:tc>
          <w:tcPr>
            <w:tcW w:w="880" w:type="pct"/>
            <w:vAlign w:val="center"/>
            <w:hideMark/>
          </w:tcPr>
          <w:p w14:paraId="27FFF1F8"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Nil</w:t>
            </w:r>
          </w:p>
        </w:tc>
        <w:tc>
          <w:tcPr>
            <w:tcW w:w="850" w:type="pct"/>
            <w:vAlign w:val="center"/>
            <w:hideMark/>
          </w:tcPr>
          <w:p w14:paraId="20F2895E" w14:textId="77777777" w:rsidR="00C20457" w:rsidRPr="003C713B" w:rsidRDefault="00C20457" w:rsidP="00323D0C">
            <w:pPr>
              <w:pStyle w:val="TableBody"/>
              <w:rPr>
                <w:rFonts w:asciiTheme="minorHAnsi" w:hAnsiTheme="minorHAnsi" w:cstheme="minorHAnsi"/>
                <w:lang w:eastAsia="en-AU"/>
              </w:rPr>
            </w:pPr>
            <w:r w:rsidRPr="003C713B">
              <w:rPr>
                <w:rFonts w:asciiTheme="minorHAnsi" w:hAnsiTheme="minorHAnsi" w:cstheme="minorHAnsi"/>
                <w:lang w:eastAsia="en-AU"/>
              </w:rPr>
              <w:t>Nil</w:t>
            </w:r>
          </w:p>
        </w:tc>
        <w:tc>
          <w:tcPr>
            <w:tcW w:w="1150" w:type="pct"/>
            <w:vAlign w:val="center"/>
            <w:hideMark/>
          </w:tcPr>
          <w:p w14:paraId="138C9F90" w14:textId="0EDDD54D" w:rsidR="00C20457" w:rsidRPr="003C713B" w:rsidRDefault="00C20457" w:rsidP="00323D0C">
            <w:pPr>
              <w:pStyle w:val="TableBody"/>
              <w:rPr>
                <w:rFonts w:asciiTheme="minorHAnsi" w:hAnsiTheme="minorHAnsi" w:cstheme="minorHAnsi"/>
              </w:rPr>
            </w:pPr>
            <w:r w:rsidRPr="003C713B">
              <w:rPr>
                <w:rFonts w:asciiTheme="minorHAnsi" w:hAnsiTheme="minorHAnsi" w:cstheme="minorHAnsi"/>
              </w:rPr>
              <w:t>5.</w:t>
            </w:r>
            <w:r w:rsidR="007D243C">
              <w:rPr>
                <w:rFonts w:asciiTheme="minorHAnsi" w:hAnsiTheme="minorHAnsi" w:cstheme="minorHAnsi"/>
              </w:rPr>
              <w:t>7</w:t>
            </w:r>
            <w:r w:rsidR="00A160A3" w:rsidRPr="003C713B">
              <w:rPr>
                <w:rFonts w:asciiTheme="minorHAnsi" w:hAnsiTheme="minorHAnsi" w:cstheme="minorHAnsi"/>
              </w:rPr>
              <w:t xml:space="preserve"> to </w:t>
            </w:r>
            <w:r w:rsidR="007D243C">
              <w:rPr>
                <w:rFonts w:asciiTheme="minorHAnsi" w:hAnsiTheme="minorHAnsi" w:cstheme="minorHAnsi"/>
              </w:rPr>
              <w:t>8.2</w:t>
            </w:r>
          </w:p>
        </w:tc>
      </w:tr>
    </w:tbl>
    <w:p w14:paraId="580623CA" w14:textId="77777777" w:rsidR="0016183D" w:rsidRPr="000E3E32" w:rsidRDefault="00C20457" w:rsidP="00323D0C">
      <w:pPr>
        <w:pStyle w:val="Note"/>
      </w:pPr>
      <w:r w:rsidRPr="00386A14">
        <w:rPr>
          <w:b/>
        </w:rPr>
        <w:t>Note:</w:t>
      </w:r>
      <w:r>
        <w:t xml:space="preserve"> There will be no direct costs to individuals and communities although price rises may reflect the increased cost of operations as a result of the proposed RMP framework. </w:t>
      </w:r>
    </w:p>
    <w:p w14:paraId="7E97D28C" w14:textId="21D63E98" w:rsidR="006B61BA" w:rsidRDefault="00C20457" w:rsidP="00323D0C">
      <w:pPr>
        <w:pStyle w:val="BodyText"/>
      </w:pPr>
      <w:r w:rsidRPr="0046371E">
        <w:t xml:space="preserve">Based on the industry submissions made during consultations, total regulatory costs will be highest for rules and </w:t>
      </w:r>
      <w:r w:rsidRPr="0057692F">
        <w:t>obligations associated with addressing material risk rules. These costs represent approximately 28.</w:t>
      </w:r>
      <w:r w:rsidR="00E53B51">
        <w:t>7</w:t>
      </w:r>
      <w:r w:rsidRPr="0057692F">
        <w:t>% of the total cost of implementing the RMP framework. The cost associated with cyber and information security hazards (18.</w:t>
      </w:r>
      <w:r w:rsidR="00E53B51">
        <w:t>0</w:t>
      </w:r>
      <w:r w:rsidRPr="0057692F">
        <w:t xml:space="preserve">% of total cost), RMP obligations </w:t>
      </w:r>
      <w:r w:rsidR="000E759E">
        <w:t xml:space="preserve">in the </w:t>
      </w:r>
      <w:r w:rsidR="002E1CA9">
        <w:t>Act</w:t>
      </w:r>
      <w:r w:rsidR="000E759E">
        <w:t xml:space="preserve"> </w:t>
      </w:r>
      <w:r w:rsidRPr="0057692F">
        <w:t>(17.</w:t>
      </w:r>
      <w:r w:rsidR="00E53B51">
        <w:t>2</w:t>
      </w:r>
      <w:r w:rsidRPr="0057692F">
        <w:t>% of total cost) and physical and natural hazard rules (14.</w:t>
      </w:r>
      <w:r w:rsidR="00E53B51">
        <w:t>4</w:t>
      </w:r>
      <w:r w:rsidRPr="0057692F">
        <w:t xml:space="preserve">% of total cost) are less significant but remain material. Compliance costs associated with </w:t>
      </w:r>
      <w:r w:rsidR="00913535">
        <w:t>general</w:t>
      </w:r>
      <w:r w:rsidR="00913535" w:rsidRPr="0057692F">
        <w:t xml:space="preserve"> </w:t>
      </w:r>
      <w:r w:rsidRPr="0057692F">
        <w:t>rules, personnel hazards and supply chain hazards were the least costly aspects of the RMP framework, representing in total approximately 2</w:t>
      </w:r>
      <w:r w:rsidR="00BE5B8D">
        <w:t>1.7</w:t>
      </w:r>
      <w:r w:rsidRPr="0057692F">
        <w:t xml:space="preserve">% of costs in total. The total regulatory cost by rule/obligation is set out in </w:t>
      </w:r>
      <w:r w:rsidR="000E3E32">
        <w:t>the table</w:t>
      </w:r>
      <w:r w:rsidRPr="0057692F">
        <w:t xml:space="preserve"> below.</w:t>
      </w:r>
      <w:bookmarkStart w:id="657" w:name="_Toc90479761"/>
    </w:p>
    <w:p w14:paraId="217540B8" w14:textId="77777777" w:rsidR="00C20457" w:rsidRPr="006B61BA" w:rsidRDefault="00C20457" w:rsidP="00323D0C">
      <w:pPr>
        <w:pStyle w:val="Caption"/>
        <w:rPr>
          <w:sz w:val="22"/>
        </w:rPr>
      </w:pPr>
      <w:r w:rsidRPr="00E9705C">
        <w:t xml:space="preserve">Regulatory burden estimate by rule and obligation for </w:t>
      </w:r>
      <w:r>
        <w:t>critical payment system</w:t>
      </w:r>
      <w:r w:rsidRPr="00E9705C">
        <w:t>s nationally</w:t>
      </w:r>
      <w:bookmarkEnd w:id="657"/>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545"/>
        <w:gridCol w:w="1774"/>
        <w:gridCol w:w="1773"/>
        <w:gridCol w:w="1773"/>
        <w:gridCol w:w="1773"/>
      </w:tblGrid>
      <w:tr w:rsidR="00C95933" w:rsidRPr="003C713B" w14:paraId="7698530A" w14:textId="77777777" w:rsidTr="006361FE">
        <w:tc>
          <w:tcPr>
            <w:tcW w:w="1320" w:type="pct"/>
            <w:vMerge w:val="restart"/>
            <w:shd w:val="clear" w:color="auto" w:fill="034EA2" w:themeFill="accent1"/>
            <w:hideMark/>
          </w:tcPr>
          <w:p w14:paraId="2A409010" w14:textId="77777777" w:rsidR="00C20457" w:rsidRPr="003C713B" w:rsidRDefault="00C20457" w:rsidP="006361FE">
            <w:pPr>
              <w:pStyle w:val="TableHeading"/>
              <w:rPr>
                <w:rFonts w:asciiTheme="minorHAnsi" w:hAnsiTheme="minorHAnsi" w:cstheme="minorHAnsi"/>
                <w:lang w:eastAsia="en-AU"/>
              </w:rPr>
            </w:pPr>
            <w:r w:rsidRPr="003C713B">
              <w:rPr>
                <w:rFonts w:asciiTheme="minorHAnsi" w:hAnsiTheme="minorHAnsi" w:cstheme="minorHAnsi"/>
                <w:lang w:eastAsia="en-AU"/>
              </w:rPr>
              <w:t>Rule / obligation</w:t>
            </w:r>
          </w:p>
        </w:tc>
        <w:tc>
          <w:tcPr>
            <w:tcW w:w="3680" w:type="pct"/>
            <w:gridSpan w:val="4"/>
            <w:shd w:val="clear" w:color="auto" w:fill="034EA2" w:themeFill="accent1"/>
            <w:vAlign w:val="center"/>
            <w:hideMark/>
          </w:tcPr>
          <w:p w14:paraId="09E378A7" w14:textId="77777777" w:rsidR="00C20457" w:rsidRPr="003C713B" w:rsidRDefault="00C20457" w:rsidP="003C713B">
            <w:pPr>
              <w:pStyle w:val="TableHeading"/>
              <w:rPr>
                <w:rFonts w:asciiTheme="minorHAnsi" w:hAnsiTheme="minorHAnsi" w:cstheme="minorHAnsi"/>
                <w:lang w:eastAsia="en-AU"/>
              </w:rPr>
            </w:pPr>
            <w:r w:rsidRPr="003C713B">
              <w:rPr>
                <w:rFonts w:asciiTheme="minorHAnsi" w:hAnsiTheme="minorHAnsi" w:cstheme="minorHAnsi"/>
                <w:lang w:eastAsia="en-AU"/>
              </w:rPr>
              <w:t>Costs</w:t>
            </w:r>
            <w:r w:rsidR="00C27D3D" w:rsidRPr="003C713B">
              <w:rPr>
                <w:rFonts w:asciiTheme="minorHAnsi" w:hAnsiTheme="minorHAnsi" w:cstheme="minorHAnsi"/>
                <w:lang w:eastAsia="en-AU"/>
              </w:rPr>
              <w:t xml:space="preserve"> (Expected and High)</w:t>
            </w:r>
          </w:p>
        </w:tc>
      </w:tr>
      <w:tr w:rsidR="00340241" w:rsidRPr="003C713B" w14:paraId="7EE4CE72" w14:textId="77777777" w:rsidTr="003C713B">
        <w:tc>
          <w:tcPr>
            <w:tcW w:w="1320" w:type="pct"/>
            <w:vMerge/>
            <w:vAlign w:val="center"/>
            <w:hideMark/>
          </w:tcPr>
          <w:p w14:paraId="4CB6A590" w14:textId="77777777" w:rsidR="00C20457" w:rsidRPr="003C713B" w:rsidRDefault="00C20457" w:rsidP="003C713B">
            <w:pPr>
              <w:pStyle w:val="TableBody"/>
              <w:rPr>
                <w:rFonts w:asciiTheme="minorHAnsi" w:hAnsiTheme="minorHAnsi" w:cstheme="minorHAnsi"/>
                <w:lang w:eastAsia="en-AU"/>
              </w:rPr>
            </w:pPr>
          </w:p>
        </w:tc>
        <w:tc>
          <w:tcPr>
            <w:tcW w:w="920" w:type="pct"/>
            <w:shd w:val="clear" w:color="auto" w:fill="DEEAF6"/>
            <w:vAlign w:val="center"/>
            <w:hideMark/>
          </w:tcPr>
          <w:p w14:paraId="15FA53C4" w14:textId="77777777" w:rsidR="00C20457" w:rsidRPr="003C713B" w:rsidRDefault="00C20457" w:rsidP="003C713B">
            <w:pPr>
              <w:pStyle w:val="TableBody"/>
              <w:rPr>
                <w:rFonts w:asciiTheme="minorHAnsi" w:hAnsiTheme="minorHAnsi" w:cstheme="minorHAnsi"/>
                <w:color w:val="000000"/>
                <w:lang w:eastAsia="en-AU"/>
              </w:rPr>
            </w:pPr>
            <w:r w:rsidRPr="003C713B">
              <w:rPr>
                <w:rFonts w:asciiTheme="minorHAnsi" w:hAnsiTheme="minorHAnsi" w:cstheme="minorHAnsi"/>
                <w:color w:val="000000"/>
                <w:lang w:eastAsia="en-AU"/>
              </w:rPr>
              <w:t>One-off ($ million)</w:t>
            </w:r>
          </w:p>
        </w:tc>
        <w:tc>
          <w:tcPr>
            <w:tcW w:w="920" w:type="pct"/>
            <w:shd w:val="clear" w:color="auto" w:fill="DEEAF6"/>
            <w:vAlign w:val="center"/>
            <w:hideMark/>
          </w:tcPr>
          <w:p w14:paraId="3F6C407F" w14:textId="77777777" w:rsidR="00C20457" w:rsidRPr="003C713B" w:rsidRDefault="00C20457" w:rsidP="003C713B">
            <w:pPr>
              <w:pStyle w:val="TableBody"/>
              <w:rPr>
                <w:rFonts w:asciiTheme="minorHAnsi" w:hAnsiTheme="minorHAnsi" w:cstheme="minorHAnsi"/>
                <w:color w:val="000000"/>
                <w:lang w:eastAsia="en-AU"/>
              </w:rPr>
            </w:pPr>
            <w:r w:rsidRPr="003C713B">
              <w:rPr>
                <w:rFonts w:asciiTheme="minorHAnsi" w:hAnsiTheme="minorHAnsi" w:cstheme="minorHAnsi"/>
                <w:color w:val="000000"/>
                <w:lang w:eastAsia="en-AU"/>
              </w:rPr>
              <w:t>Ongoing</w:t>
            </w:r>
            <w:r w:rsidRPr="003C713B">
              <w:rPr>
                <w:rFonts w:asciiTheme="minorHAnsi" w:hAnsiTheme="minorHAnsi" w:cstheme="minorHAnsi"/>
                <w:color w:val="000000"/>
                <w:lang w:eastAsia="en-AU"/>
              </w:rPr>
              <w:br/>
              <w:t>(per year, $ million)</w:t>
            </w:r>
          </w:p>
        </w:tc>
        <w:tc>
          <w:tcPr>
            <w:tcW w:w="920" w:type="pct"/>
            <w:shd w:val="clear" w:color="auto" w:fill="DEEAF6"/>
            <w:vAlign w:val="center"/>
            <w:hideMark/>
          </w:tcPr>
          <w:p w14:paraId="36F32E1D" w14:textId="294DCAD5" w:rsidR="00C20457" w:rsidRPr="003C713B" w:rsidRDefault="00C20457" w:rsidP="003C713B">
            <w:pPr>
              <w:pStyle w:val="TableBody"/>
              <w:rPr>
                <w:rFonts w:asciiTheme="minorHAnsi" w:hAnsiTheme="minorHAnsi" w:cstheme="minorHAnsi"/>
                <w:color w:val="000000"/>
                <w:lang w:eastAsia="en-AU"/>
              </w:rPr>
            </w:pPr>
            <w:r w:rsidRPr="003C713B">
              <w:rPr>
                <w:rFonts w:asciiTheme="minorHAnsi" w:hAnsiTheme="minorHAnsi" w:cstheme="minorHAnsi"/>
                <w:color w:val="000000"/>
                <w:lang w:eastAsia="en-AU"/>
              </w:rPr>
              <w:t xml:space="preserve">Total cost </w:t>
            </w:r>
            <w:r w:rsidRPr="003C713B">
              <w:rPr>
                <w:rFonts w:asciiTheme="minorHAnsi" w:hAnsiTheme="minorHAnsi" w:cstheme="minorHAnsi"/>
                <w:color w:val="000000"/>
                <w:lang w:eastAsia="en-AU"/>
              </w:rPr>
              <w:br/>
              <w:t xml:space="preserve">over 10 years </w:t>
            </w:r>
            <w:r w:rsidR="003C713B">
              <w:rPr>
                <w:rFonts w:asciiTheme="minorHAnsi" w:hAnsiTheme="minorHAnsi" w:cstheme="minorHAnsi"/>
                <w:color w:val="000000"/>
                <w:lang w:eastAsia="en-AU"/>
              </w:rPr>
              <w:br/>
            </w:r>
            <w:r w:rsidRPr="003C713B">
              <w:rPr>
                <w:rFonts w:asciiTheme="minorHAnsi" w:hAnsiTheme="minorHAnsi" w:cstheme="minorHAnsi"/>
                <w:color w:val="000000"/>
                <w:lang w:eastAsia="en-AU"/>
              </w:rPr>
              <w:t xml:space="preserve">($ million) </w:t>
            </w:r>
            <w:r w:rsidRPr="003C713B">
              <w:rPr>
                <w:rFonts w:asciiTheme="minorHAnsi" w:hAnsiTheme="minorHAnsi" w:cstheme="minorHAnsi"/>
                <w:color w:val="000000"/>
                <w:vertAlign w:val="superscript"/>
                <w:lang w:eastAsia="en-AU"/>
              </w:rPr>
              <w:footnoteReference w:id="367"/>
            </w:r>
          </w:p>
        </w:tc>
        <w:tc>
          <w:tcPr>
            <w:tcW w:w="920" w:type="pct"/>
            <w:shd w:val="clear" w:color="auto" w:fill="DEEAF6"/>
            <w:vAlign w:val="center"/>
            <w:hideMark/>
          </w:tcPr>
          <w:p w14:paraId="2A3CF08B" w14:textId="77777777" w:rsidR="00C20457" w:rsidRPr="003C713B" w:rsidRDefault="000E759E" w:rsidP="003C713B">
            <w:pPr>
              <w:pStyle w:val="TableBody"/>
              <w:rPr>
                <w:rFonts w:asciiTheme="minorHAnsi" w:hAnsiTheme="minorHAnsi" w:cstheme="minorHAnsi"/>
                <w:color w:val="000000"/>
                <w:lang w:eastAsia="en-AU"/>
              </w:rPr>
            </w:pPr>
            <w:r w:rsidRPr="003C713B">
              <w:rPr>
                <w:rFonts w:asciiTheme="minorHAnsi" w:hAnsiTheme="minorHAnsi" w:cstheme="minorHAnsi"/>
                <w:color w:val="000000"/>
                <w:lang w:eastAsia="en-AU"/>
              </w:rPr>
              <w:t>Expected estimate as p</w:t>
            </w:r>
            <w:r w:rsidR="00C20457" w:rsidRPr="003C713B">
              <w:rPr>
                <w:rFonts w:asciiTheme="minorHAnsi" w:hAnsiTheme="minorHAnsi" w:cstheme="minorHAnsi"/>
                <w:color w:val="000000"/>
                <w:lang w:eastAsia="en-AU"/>
              </w:rPr>
              <w:t>ercentage of total (%)</w:t>
            </w:r>
          </w:p>
        </w:tc>
      </w:tr>
      <w:tr w:rsidR="00C95933" w:rsidRPr="003C713B" w14:paraId="2F932CA3" w14:textId="77777777" w:rsidTr="003C713B">
        <w:tc>
          <w:tcPr>
            <w:tcW w:w="1320" w:type="pct"/>
            <w:shd w:val="clear" w:color="auto" w:fill="F2F2F2" w:themeFill="background1" w:themeFillShade="F2"/>
            <w:vAlign w:val="center"/>
            <w:hideMark/>
          </w:tcPr>
          <w:p w14:paraId="2AD0F655" w14:textId="332C24A9" w:rsidR="00126A05" w:rsidRPr="006361FE" w:rsidRDefault="00126A05" w:rsidP="006361FE">
            <w:pPr>
              <w:pStyle w:val="TableBody"/>
              <w:rPr>
                <w:rFonts w:asciiTheme="minorHAnsi" w:hAnsiTheme="minorHAnsi" w:cstheme="minorHAnsi"/>
              </w:rPr>
            </w:pPr>
            <w:r w:rsidRPr="006361FE">
              <w:rPr>
                <w:rFonts w:asciiTheme="minorHAnsi" w:hAnsiTheme="minorHAnsi" w:cstheme="minorHAnsi"/>
              </w:rPr>
              <w:t xml:space="preserve">RMP obligations in the </w:t>
            </w:r>
            <w:r w:rsidR="008643A5">
              <w:rPr>
                <w:rFonts w:asciiTheme="minorHAnsi" w:hAnsiTheme="minorHAnsi" w:cstheme="minorHAnsi"/>
              </w:rPr>
              <w:t>Act</w:t>
            </w:r>
          </w:p>
        </w:tc>
        <w:tc>
          <w:tcPr>
            <w:tcW w:w="920" w:type="pct"/>
            <w:shd w:val="clear" w:color="auto" w:fill="auto"/>
            <w:vAlign w:val="center"/>
            <w:hideMark/>
          </w:tcPr>
          <w:p w14:paraId="2D86EBBA" w14:textId="77777777" w:rsidR="00126A05" w:rsidRPr="003C713B" w:rsidRDefault="00126A05" w:rsidP="003C713B">
            <w:pPr>
              <w:pStyle w:val="TableBody"/>
              <w:rPr>
                <w:rFonts w:asciiTheme="minorHAnsi" w:hAnsiTheme="minorHAnsi" w:cstheme="minorHAnsi"/>
                <w:lang w:eastAsia="en-AU"/>
              </w:rPr>
            </w:pPr>
            <w:r w:rsidRPr="003C713B">
              <w:rPr>
                <w:rFonts w:asciiTheme="minorHAnsi" w:hAnsiTheme="minorHAnsi" w:cstheme="minorHAnsi"/>
              </w:rPr>
              <w:t>0.1 to 0.2</w:t>
            </w:r>
          </w:p>
        </w:tc>
        <w:tc>
          <w:tcPr>
            <w:tcW w:w="920" w:type="pct"/>
            <w:shd w:val="clear" w:color="auto" w:fill="auto"/>
            <w:vAlign w:val="center"/>
            <w:hideMark/>
          </w:tcPr>
          <w:p w14:paraId="2C0E1809" w14:textId="2EDF6EE4" w:rsidR="00126A05" w:rsidRPr="003C713B" w:rsidRDefault="00841FA8" w:rsidP="003C713B">
            <w:pPr>
              <w:pStyle w:val="TableBody"/>
              <w:rPr>
                <w:rFonts w:asciiTheme="minorHAnsi" w:hAnsiTheme="minorHAnsi" w:cstheme="minorHAnsi"/>
                <w:lang w:eastAsia="en-AU"/>
              </w:rPr>
            </w:pPr>
            <w:r>
              <w:rPr>
                <w:rFonts w:asciiTheme="minorHAnsi" w:hAnsiTheme="minorHAnsi" w:cstheme="minorHAnsi"/>
              </w:rPr>
              <w:t>1.</w:t>
            </w:r>
            <w:r w:rsidR="00126A05" w:rsidRPr="003C713B">
              <w:rPr>
                <w:rFonts w:asciiTheme="minorHAnsi" w:hAnsiTheme="minorHAnsi" w:cstheme="minorHAnsi"/>
              </w:rPr>
              <w:t>0 to 1.</w:t>
            </w:r>
            <w:r>
              <w:rPr>
                <w:rFonts w:asciiTheme="minorHAnsi" w:hAnsiTheme="minorHAnsi" w:cstheme="minorHAnsi"/>
              </w:rPr>
              <w:t>5</w:t>
            </w:r>
          </w:p>
        </w:tc>
        <w:tc>
          <w:tcPr>
            <w:tcW w:w="920" w:type="pct"/>
            <w:shd w:val="clear" w:color="auto" w:fill="auto"/>
            <w:vAlign w:val="center"/>
            <w:hideMark/>
          </w:tcPr>
          <w:p w14:paraId="33BCE677" w14:textId="4159D509" w:rsidR="00126A05" w:rsidRPr="003C713B" w:rsidRDefault="00841FA8" w:rsidP="003C713B">
            <w:pPr>
              <w:pStyle w:val="TableBody"/>
              <w:rPr>
                <w:rFonts w:asciiTheme="minorHAnsi" w:hAnsiTheme="minorHAnsi" w:cstheme="minorHAnsi"/>
                <w:lang w:eastAsia="en-AU"/>
              </w:rPr>
            </w:pPr>
            <w:r>
              <w:rPr>
                <w:rFonts w:asciiTheme="minorHAnsi" w:hAnsiTheme="minorHAnsi" w:cstheme="minorHAnsi"/>
              </w:rPr>
              <w:t>9.2</w:t>
            </w:r>
            <w:r w:rsidR="00126A05" w:rsidRPr="003C713B">
              <w:rPr>
                <w:rFonts w:asciiTheme="minorHAnsi" w:hAnsiTheme="minorHAnsi" w:cstheme="minorHAnsi"/>
              </w:rPr>
              <w:t xml:space="preserve"> to 1</w:t>
            </w:r>
            <w:r>
              <w:rPr>
                <w:rFonts w:asciiTheme="minorHAnsi" w:hAnsiTheme="minorHAnsi" w:cstheme="minorHAnsi"/>
              </w:rPr>
              <w:t>3.6</w:t>
            </w:r>
          </w:p>
        </w:tc>
        <w:tc>
          <w:tcPr>
            <w:tcW w:w="920" w:type="pct"/>
            <w:shd w:val="clear" w:color="auto" w:fill="auto"/>
            <w:vAlign w:val="center"/>
            <w:hideMark/>
          </w:tcPr>
          <w:p w14:paraId="70E22ADC" w14:textId="63418C2B" w:rsidR="00126A05" w:rsidRPr="003C713B" w:rsidRDefault="00126A05" w:rsidP="003C713B">
            <w:pPr>
              <w:pStyle w:val="TableBody"/>
              <w:rPr>
                <w:rFonts w:asciiTheme="minorHAnsi" w:hAnsiTheme="minorHAnsi" w:cstheme="minorHAnsi"/>
                <w:lang w:eastAsia="en-AU"/>
              </w:rPr>
            </w:pPr>
            <w:r w:rsidRPr="003C713B">
              <w:rPr>
                <w:rFonts w:asciiTheme="minorHAnsi" w:hAnsiTheme="minorHAnsi" w:cstheme="minorHAnsi"/>
              </w:rPr>
              <w:t>17.</w:t>
            </w:r>
            <w:r w:rsidR="00EC3078">
              <w:rPr>
                <w:rFonts w:asciiTheme="minorHAnsi" w:hAnsiTheme="minorHAnsi" w:cstheme="minorHAnsi"/>
              </w:rPr>
              <w:t>2</w:t>
            </w:r>
          </w:p>
        </w:tc>
      </w:tr>
      <w:tr w:rsidR="00C95933" w:rsidRPr="003C713B" w14:paraId="60DCDC79" w14:textId="77777777" w:rsidTr="003C713B">
        <w:tc>
          <w:tcPr>
            <w:tcW w:w="1320" w:type="pct"/>
            <w:shd w:val="clear" w:color="auto" w:fill="F2F2F2" w:themeFill="background1" w:themeFillShade="F2"/>
            <w:vAlign w:val="center"/>
            <w:hideMark/>
          </w:tcPr>
          <w:p w14:paraId="3C2446A7" w14:textId="3F874043" w:rsidR="00126A05" w:rsidRPr="006361FE" w:rsidRDefault="00126A05" w:rsidP="006361FE">
            <w:pPr>
              <w:pStyle w:val="TableBody"/>
              <w:rPr>
                <w:rFonts w:asciiTheme="minorHAnsi" w:hAnsiTheme="minorHAnsi" w:cstheme="minorHAnsi"/>
              </w:rPr>
            </w:pPr>
            <w:r w:rsidRPr="006361FE">
              <w:rPr>
                <w:rFonts w:asciiTheme="minorHAnsi" w:hAnsiTheme="minorHAnsi" w:cstheme="minorHAnsi"/>
              </w:rPr>
              <w:t>G</w:t>
            </w:r>
            <w:r w:rsidR="008643A5">
              <w:rPr>
                <w:rFonts w:asciiTheme="minorHAnsi" w:hAnsiTheme="minorHAnsi" w:cstheme="minorHAnsi"/>
              </w:rPr>
              <w:t>eneral</w:t>
            </w:r>
            <w:r w:rsidRPr="006361FE">
              <w:rPr>
                <w:rFonts w:asciiTheme="minorHAnsi" w:hAnsiTheme="minorHAnsi" w:cstheme="minorHAnsi"/>
              </w:rPr>
              <w:t xml:space="preserve"> rules</w:t>
            </w:r>
          </w:p>
        </w:tc>
        <w:tc>
          <w:tcPr>
            <w:tcW w:w="920" w:type="pct"/>
            <w:shd w:val="clear" w:color="auto" w:fill="auto"/>
            <w:vAlign w:val="center"/>
            <w:hideMark/>
          </w:tcPr>
          <w:p w14:paraId="56B73B8D" w14:textId="77777777" w:rsidR="00126A05" w:rsidRPr="003C713B" w:rsidRDefault="00126A05" w:rsidP="003C713B">
            <w:pPr>
              <w:pStyle w:val="TableBody"/>
              <w:rPr>
                <w:rFonts w:asciiTheme="minorHAnsi" w:hAnsiTheme="minorHAnsi" w:cstheme="minorHAnsi"/>
                <w:lang w:eastAsia="en-AU"/>
              </w:rPr>
            </w:pPr>
            <w:r w:rsidRPr="003C713B">
              <w:rPr>
                <w:rFonts w:asciiTheme="minorHAnsi" w:hAnsiTheme="minorHAnsi" w:cstheme="minorHAnsi"/>
              </w:rPr>
              <w:t>0.0 to 0.0</w:t>
            </w:r>
          </w:p>
        </w:tc>
        <w:tc>
          <w:tcPr>
            <w:tcW w:w="920" w:type="pct"/>
            <w:shd w:val="clear" w:color="auto" w:fill="auto"/>
            <w:vAlign w:val="center"/>
            <w:hideMark/>
          </w:tcPr>
          <w:p w14:paraId="4E74639E" w14:textId="47683B76" w:rsidR="00126A05" w:rsidRPr="003C713B" w:rsidRDefault="00126A05" w:rsidP="003C713B">
            <w:pPr>
              <w:pStyle w:val="TableBody"/>
              <w:rPr>
                <w:rFonts w:asciiTheme="minorHAnsi" w:hAnsiTheme="minorHAnsi" w:cstheme="minorHAnsi"/>
                <w:lang w:eastAsia="en-AU"/>
              </w:rPr>
            </w:pPr>
            <w:r w:rsidRPr="003C713B">
              <w:rPr>
                <w:rFonts w:asciiTheme="minorHAnsi" w:hAnsiTheme="minorHAnsi" w:cstheme="minorHAnsi"/>
              </w:rPr>
              <w:t>0.5 to 0.</w:t>
            </w:r>
            <w:r w:rsidR="00841FA8">
              <w:rPr>
                <w:rFonts w:asciiTheme="minorHAnsi" w:hAnsiTheme="minorHAnsi" w:cstheme="minorHAnsi"/>
              </w:rPr>
              <w:t>8</w:t>
            </w:r>
          </w:p>
        </w:tc>
        <w:tc>
          <w:tcPr>
            <w:tcW w:w="920" w:type="pct"/>
            <w:shd w:val="clear" w:color="auto" w:fill="auto"/>
            <w:vAlign w:val="center"/>
            <w:hideMark/>
          </w:tcPr>
          <w:p w14:paraId="621E849B" w14:textId="37392301" w:rsidR="00126A05" w:rsidRPr="003C713B" w:rsidRDefault="00126A05" w:rsidP="003C713B">
            <w:pPr>
              <w:pStyle w:val="TableBody"/>
              <w:rPr>
                <w:rFonts w:asciiTheme="minorHAnsi" w:hAnsiTheme="minorHAnsi" w:cstheme="minorHAnsi"/>
                <w:lang w:eastAsia="en-AU"/>
              </w:rPr>
            </w:pPr>
            <w:r w:rsidRPr="003C713B">
              <w:rPr>
                <w:rFonts w:asciiTheme="minorHAnsi" w:hAnsiTheme="minorHAnsi" w:cstheme="minorHAnsi"/>
              </w:rPr>
              <w:t>4.</w:t>
            </w:r>
            <w:r w:rsidR="00841FA8">
              <w:rPr>
                <w:rFonts w:asciiTheme="minorHAnsi" w:hAnsiTheme="minorHAnsi" w:cstheme="minorHAnsi"/>
              </w:rPr>
              <w:t>9</w:t>
            </w:r>
            <w:r w:rsidRPr="003C713B">
              <w:rPr>
                <w:rFonts w:asciiTheme="minorHAnsi" w:hAnsiTheme="minorHAnsi" w:cstheme="minorHAnsi"/>
              </w:rPr>
              <w:t xml:space="preserve"> to 7</w:t>
            </w:r>
            <w:r w:rsidR="00841FA8">
              <w:rPr>
                <w:rFonts w:asciiTheme="minorHAnsi" w:hAnsiTheme="minorHAnsi" w:cstheme="minorHAnsi"/>
              </w:rPr>
              <w:t>.3</w:t>
            </w:r>
          </w:p>
        </w:tc>
        <w:tc>
          <w:tcPr>
            <w:tcW w:w="920" w:type="pct"/>
            <w:shd w:val="clear" w:color="auto" w:fill="auto"/>
            <w:vAlign w:val="center"/>
            <w:hideMark/>
          </w:tcPr>
          <w:p w14:paraId="47D210D7" w14:textId="15B6A44D" w:rsidR="00126A05" w:rsidRPr="003C713B" w:rsidRDefault="00126A05" w:rsidP="003C713B">
            <w:pPr>
              <w:pStyle w:val="TableBody"/>
              <w:rPr>
                <w:rFonts w:asciiTheme="minorHAnsi" w:hAnsiTheme="minorHAnsi" w:cstheme="minorHAnsi"/>
                <w:lang w:eastAsia="en-AU"/>
              </w:rPr>
            </w:pPr>
            <w:r w:rsidRPr="003C713B">
              <w:rPr>
                <w:rFonts w:asciiTheme="minorHAnsi" w:hAnsiTheme="minorHAnsi" w:cstheme="minorHAnsi"/>
              </w:rPr>
              <w:t>9.</w:t>
            </w:r>
            <w:r w:rsidR="00EC3078">
              <w:rPr>
                <w:rFonts w:asciiTheme="minorHAnsi" w:hAnsiTheme="minorHAnsi" w:cstheme="minorHAnsi"/>
              </w:rPr>
              <w:t>1</w:t>
            </w:r>
          </w:p>
        </w:tc>
      </w:tr>
      <w:tr w:rsidR="00C20457" w:rsidRPr="003C713B" w14:paraId="518B6BDD" w14:textId="77777777" w:rsidTr="003C713B">
        <w:tc>
          <w:tcPr>
            <w:tcW w:w="5000" w:type="pct"/>
            <w:gridSpan w:val="5"/>
            <w:shd w:val="clear" w:color="auto" w:fill="F2F2F2" w:themeFill="background1" w:themeFillShade="F2"/>
            <w:vAlign w:val="center"/>
          </w:tcPr>
          <w:p w14:paraId="1402FC08" w14:textId="77777777" w:rsidR="00C20457" w:rsidRPr="006361FE" w:rsidRDefault="00C20457" w:rsidP="006361FE">
            <w:pPr>
              <w:pStyle w:val="TableBody"/>
              <w:rPr>
                <w:rFonts w:asciiTheme="minorHAnsi" w:hAnsiTheme="minorHAnsi" w:cstheme="minorHAnsi"/>
              </w:rPr>
            </w:pPr>
            <w:r w:rsidRPr="006361FE">
              <w:rPr>
                <w:rFonts w:asciiTheme="minorHAnsi" w:hAnsiTheme="minorHAnsi" w:cstheme="minorHAnsi"/>
              </w:rPr>
              <w:t>RMP rules</w:t>
            </w:r>
          </w:p>
        </w:tc>
      </w:tr>
      <w:tr w:rsidR="00C95933" w:rsidRPr="003C713B" w14:paraId="26D626C9" w14:textId="77777777" w:rsidTr="003C713B">
        <w:tc>
          <w:tcPr>
            <w:tcW w:w="1320" w:type="pct"/>
            <w:shd w:val="clear" w:color="auto" w:fill="F2F2F2" w:themeFill="background1" w:themeFillShade="F2"/>
            <w:vAlign w:val="center"/>
            <w:hideMark/>
          </w:tcPr>
          <w:p w14:paraId="6CB5D686" w14:textId="77777777" w:rsidR="000D4162" w:rsidRPr="006361FE" w:rsidRDefault="000D4162" w:rsidP="006361FE">
            <w:pPr>
              <w:pStyle w:val="TableBody"/>
              <w:rPr>
                <w:rFonts w:asciiTheme="minorHAnsi" w:hAnsiTheme="minorHAnsi" w:cstheme="minorHAnsi"/>
              </w:rPr>
            </w:pPr>
            <w:r w:rsidRPr="006361FE">
              <w:rPr>
                <w:rFonts w:asciiTheme="minorHAnsi" w:hAnsiTheme="minorHAnsi" w:cstheme="minorHAnsi"/>
              </w:rPr>
              <w:t xml:space="preserve">Cyber and information security hazard </w:t>
            </w:r>
          </w:p>
        </w:tc>
        <w:tc>
          <w:tcPr>
            <w:tcW w:w="920" w:type="pct"/>
            <w:shd w:val="clear" w:color="auto" w:fill="auto"/>
            <w:vAlign w:val="center"/>
            <w:hideMark/>
          </w:tcPr>
          <w:p w14:paraId="16F3B956" w14:textId="77777777"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0.2 to 0.4</w:t>
            </w:r>
          </w:p>
        </w:tc>
        <w:tc>
          <w:tcPr>
            <w:tcW w:w="920" w:type="pct"/>
            <w:shd w:val="clear" w:color="auto" w:fill="auto"/>
            <w:vAlign w:val="center"/>
            <w:hideMark/>
          </w:tcPr>
          <w:p w14:paraId="1F19C607" w14:textId="04CC63D6"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1.0 to 1.</w:t>
            </w:r>
            <w:r w:rsidR="00841FA8">
              <w:rPr>
                <w:rFonts w:asciiTheme="minorHAnsi" w:hAnsiTheme="minorHAnsi" w:cstheme="minorHAnsi"/>
              </w:rPr>
              <w:t>5</w:t>
            </w:r>
          </w:p>
        </w:tc>
        <w:tc>
          <w:tcPr>
            <w:tcW w:w="920" w:type="pct"/>
            <w:shd w:val="clear" w:color="auto" w:fill="auto"/>
            <w:vAlign w:val="center"/>
            <w:hideMark/>
          </w:tcPr>
          <w:p w14:paraId="3ACEAD58" w14:textId="4965B3CC"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9.</w:t>
            </w:r>
            <w:r w:rsidR="00841FA8">
              <w:rPr>
                <w:rFonts w:asciiTheme="minorHAnsi" w:hAnsiTheme="minorHAnsi" w:cstheme="minorHAnsi"/>
              </w:rPr>
              <w:t>7</w:t>
            </w:r>
            <w:r w:rsidRPr="003C713B">
              <w:rPr>
                <w:rFonts w:asciiTheme="minorHAnsi" w:hAnsiTheme="minorHAnsi" w:cstheme="minorHAnsi"/>
              </w:rPr>
              <w:t xml:space="preserve"> to 1</w:t>
            </w:r>
            <w:r w:rsidR="00EC3078">
              <w:rPr>
                <w:rFonts w:asciiTheme="minorHAnsi" w:hAnsiTheme="minorHAnsi" w:cstheme="minorHAnsi"/>
              </w:rPr>
              <w:t>4.2</w:t>
            </w:r>
          </w:p>
        </w:tc>
        <w:tc>
          <w:tcPr>
            <w:tcW w:w="920" w:type="pct"/>
            <w:shd w:val="clear" w:color="auto" w:fill="auto"/>
            <w:vAlign w:val="center"/>
            <w:hideMark/>
          </w:tcPr>
          <w:p w14:paraId="25DCE8A7" w14:textId="4B4CBC42"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18.</w:t>
            </w:r>
            <w:r w:rsidR="00EC3078">
              <w:rPr>
                <w:rFonts w:asciiTheme="minorHAnsi" w:hAnsiTheme="minorHAnsi" w:cstheme="minorHAnsi"/>
              </w:rPr>
              <w:t>0</w:t>
            </w:r>
          </w:p>
        </w:tc>
      </w:tr>
      <w:tr w:rsidR="00C95933" w:rsidRPr="003C713B" w14:paraId="7468A2A8" w14:textId="77777777" w:rsidTr="003C713B">
        <w:tc>
          <w:tcPr>
            <w:tcW w:w="1320" w:type="pct"/>
            <w:shd w:val="clear" w:color="auto" w:fill="F2F2F2" w:themeFill="background1" w:themeFillShade="F2"/>
            <w:vAlign w:val="center"/>
            <w:hideMark/>
          </w:tcPr>
          <w:p w14:paraId="009AB7E1" w14:textId="77777777" w:rsidR="000D4162" w:rsidRPr="006361FE" w:rsidRDefault="000D4162" w:rsidP="006361FE">
            <w:pPr>
              <w:pStyle w:val="TableBody"/>
              <w:rPr>
                <w:rFonts w:asciiTheme="minorHAnsi" w:hAnsiTheme="minorHAnsi" w:cstheme="minorHAnsi"/>
              </w:rPr>
            </w:pPr>
            <w:r w:rsidRPr="006361FE">
              <w:rPr>
                <w:rFonts w:asciiTheme="minorHAnsi" w:hAnsiTheme="minorHAnsi" w:cstheme="minorHAnsi"/>
              </w:rPr>
              <w:t>Personnel hazard</w:t>
            </w:r>
          </w:p>
        </w:tc>
        <w:tc>
          <w:tcPr>
            <w:tcW w:w="920" w:type="pct"/>
            <w:shd w:val="clear" w:color="auto" w:fill="auto"/>
            <w:vAlign w:val="center"/>
            <w:hideMark/>
          </w:tcPr>
          <w:p w14:paraId="4A8CD175" w14:textId="77777777"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0.0 to 0.1</w:t>
            </w:r>
          </w:p>
        </w:tc>
        <w:tc>
          <w:tcPr>
            <w:tcW w:w="920" w:type="pct"/>
            <w:shd w:val="clear" w:color="auto" w:fill="auto"/>
            <w:vAlign w:val="center"/>
            <w:hideMark/>
          </w:tcPr>
          <w:p w14:paraId="174C617B" w14:textId="77777777"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0.2 to 0.2</w:t>
            </w:r>
          </w:p>
        </w:tc>
        <w:tc>
          <w:tcPr>
            <w:tcW w:w="920" w:type="pct"/>
            <w:shd w:val="clear" w:color="auto" w:fill="auto"/>
            <w:vAlign w:val="center"/>
            <w:hideMark/>
          </w:tcPr>
          <w:p w14:paraId="684460CE" w14:textId="3143AA25"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2.1 to 2.</w:t>
            </w:r>
            <w:r w:rsidR="00EC3078">
              <w:rPr>
                <w:rFonts w:asciiTheme="minorHAnsi" w:hAnsiTheme="minorHAnsi" w:cstheme="minorHAnsi"/>
              </w:rPr>
              <w:t>1</w:t>
            </w:r>
          </w:p>
        </w:tc>
        <w:tc>
          <w:tcPr>
            <w:tcW w:w="920" w:type="pct"/>
            <w:shd w:val="clear" w:color="auto" w:fill="auto"/>
            <w:vAlign w:val="center"/>
            <w:hideMark/>
          </w:tcPr>
          <w:p w14:paraId="2242B6B9" w14:textId="7995A7C7" w:rsidR="000D4162" w:rsidRPr="003C713B" w:rsidRDefault="00EC3078" w:rsidP="003C713B">
            <w:pPr>
              <w:pStyle w:val="TableBody"/>
              <w:rPr>
                <w:rFonts w:asciiTheme="minorHAnsi" w:hAnsiTheme="minorHAnsi" w:cstheme="minorHAnsi"/>
                <w:lang w:eastAsia="en-AU"/>
              </w:rPr>
            </w:pPr>
            <w:r>
              <w:rPr>
                <w:rFonts w:asciiTheme="minorHAnsi" w:hAnsiTheme="minorHAnsi" w:cstheme="minorHAnsi"/>
              </w:rPr>
              <w:t>3.9</w:t>
            </w:r>
          </w:p>
        </w:tc>
      </w:tr>
      <w:tr w:rsidR="00C95933" w:rsidRPr="003C713B" w14:paraId="661FF3C6" w14:textId="77777777" w:rsidTr="003C713B">
        <w:tc>
          <w:tcPr>
            <w:tcW w:w="1320" w:type="pct"/>
            <w:shd w:val="clear" w:color="auto" w:fill="F2F2F2" w:themeFill="background1" w:themeFillShade="F2"/>
            <w:vAlign w:val="center"/>
            <w:hideMark/>
          </w:tcPr>
          <w:p w14:paraId="6D3503DC" w14:textId="77777777" w:rsidR="000D4162" w:rsidRPr="006361FE" w:rsidRDefault="000D4162" w:rsidP="006361FE">
            <w:pPr>
              <w:pStyle w:val="TableBody"/>
              <w:rPr>
                <w:rFonts w:asciiTheme="minorHAnsi" w:hAnsiTheme="minorHAnsi" w:cstheme="minorHAnsi"/>
              </w:rPr>
            </w:pPr>
            <w:r w:rsidRPr="006361FE">
              <w:rPr>
                <w:rFonts w:asciiTheme="minorHAnsi" w:hAnsiTheme="minorHAnsi" w:cstheme="minorHAnsi"/>
              </w:rPr>
              <w:t xml:space="preserve">Supply chain hazard </w:t>
            </w:r>
          </w:p>
        </w:tc>
        <w:tc>
          <w:tcPr>
            <w:tcW w:w="920" w:type="pct"/>
            <w:shd w:val="clear" w:color="auto" w:fill="auto"/>
            <w:vAlign w:val="center"/>
            <w:hideMark/>
          </w:tcPr>
          <w:p w14:paraId="25E20071" w14:textId="77777777"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0.2 to 0.4</w:t>
            </w:r>
          </w:p>
        </w:tc>
        <w:tc>
          <w:tcPr>
            <w:tcW w:w="920" w:type="pct"/>
            <w:shd w:val="clear" w:color="auto" w:fill="auto"/>
            <w:vAlign w:val="center"/>
            <w:hideMark/>
          </w:tcPr>
          <w:p w14:paraId="6A37A9B8" w14:textId="28A2C570"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0.</w:t>
            </w:r>
            <w:r w:rsidR="00841FA8">
              <w:rPr>
                <w:rFonts w:asciiTheme="minorHAnsi" w:hAnsiTheme="minorHAnsi" w:cstheme="minorHAnsi"/>
              </w:rPr>
              <w:t>5</w:t>
            </w:r>
            <w:r w:rsidRPr="003C713B">
              <w:rPr>
                <w:rFonts w:asciiTheme="minorHAnsi" w:hAnsiTheme="minorHAnsi" w:cstheme="minorHAnsi"/>
              </w:rPr>
              <w:t xml:space="preserve"> to 0.9</w:t>
            </w:r>
          </w:p>
        </w:tc>
        <w:tc>
          <w:tcPr>
            <w:tcW w:w="920" w:type="pct"/>
            <w:shd w:val="clear" w:color="auto" w:fill="auto"/>
            <w:vAlign w:val="center"/>
            <w:hideMark/>
          </w:tcPr>
          <w:p w14:paraId="7476DA4C" w14:textId="134004DB"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4.</w:t>
            </w:r>
            <w:r w:rsidR="00841FA8">
              <w:rPr>
                <w:rFonts w:asciiTheme="minorHAnsi" w:hAnsiTheme="minorHAnsi" w:cstheme="minorHAnsi"/>
              </w:rPr>
              <w:t>7</w:t>
            </w:r>
            <w:r w:rsidRPr="003C713B">
              <w:rPr>
                <w:rFonts w:asciiTheme="minorHAnsi" w:hAnsiTheme="minorHAnsi" w:cstheme="minorHAnsi"/>
              </w:rPr>
              <w:t xml:space="preserve"> to 9</w:t>
            </w:r>
            <w:r w:rsidR="00EC3078">
              <w:rPr>
                <w:rFonts w:asciiTheme="minorHAnsi" w:hAnsiTheme="minorHAnsi" w:cstheme="minorHAnsi"/>
              </w:rPr>
              <w:t>.4</w:t>
            </w:r>
          </w:p>
        </w:tc>
        <w:tc>
          <w:tcPr>
            <w:tcW w:w="920" w:type="pct"/>
            <w:shd w:val="clear" w:color="auto" w:fill="auto"/>
            <w:vAlign w:val="center"/>
            <w:hideMark/>
          </w:tcPr>
          <w:p w14:paraId="0EA18960" w14:textId="407AFCEF" w:rsidR="000D4162" w:rsidRPr="003C713B" w:rsidRDefault="00EC3078" w:rsidP="003C713B">
            <w:pPr>
              <w:pStyle w:val="TableBody"/>
              <w:rPr>
                <w:rFonts w:asciiTheme="minorHAnsi" w:hAnsiTheme="minorHAnsi" w:cstheme="minorHAnsi"/>
                <w:lang w:eastAsia="en-AU"/>
              </w:rPr>
            </w:pPr>
            <w:r>
              <w:rPr>
                <w:rFonts w:asciiTheme="minorHAnsi" w:hAnsiTheme="minorHAnsi" w:cstheme="minorHAnsi"/>
              </w:rPr>
              <w:t>8.7</w:t>
            </w:r>
          </w:p>
        </w:tc>
      </w:tr>
      <w:tr w:rsidR="00C95933" w:rsidRPr="003C713B" w14:paraId="74A95654" w14:textId="77777777" w:rsidTr="003C713B">
        <w:tc>
          <w:tcPr>
            <w:tcW w:w="1320" w:type="pct"/>
            <w:shd w:val="clear" w:color="auto" w:fill="F2F2F2" w:themeFill="background1" w:themeFillShade="F2"/>
            <w:vAlign w:val="center"/>
            <w:hideMark/>
          </w:tcPr>
          <w:p w14:paraId="72D7F334" w14:textId="77777777" w:rsidR="000D4162" w:rsidRPr="006361FE" w:rsidRDefault="000D4162" w:rsidP="006361FE">
            <w:pPr>
              <w:pStyle w:val="TableBody"/>
              <w:rPr>
                <w:rFonts w:asciiTheme="minorHAnsi" w:hAnsiTheme="minorHAnsi" w:cstheme="minorHAnsi"/>
              </w:rPr>
            </w:pPr>
            <w:r w:rsidRPr="006361FE">
              <w:rPr>
                <w:rFonts w:asciiTheme="minorHAnsi" w:hAnsiTheme="minorHAnsi" w:cstheme="minorHAnsi"/>
              </w:rPr>
              <w:t>Physical and natural hazard</w:t>
            </w:r>
          </w:p>
        </w:tc>
        <w:tc>
          <w:tcPr>
            <w:tcW w:w="920" w:type="pct"/>
            <w:shd w:val="clear" w:color="auto" w:fill="auto"/>
            <w:vAlign w:val="center"/>
            <w:hideMark/>
          </w:tcPr>
          <w:p w14:paraId="619A10E4" w14:textId="77777777"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0.0 to 0.0</w:t>
            </w:r>
          </w:p>
        </w:tc>
        <w:tc>
          <w:tcPr>
            <w:tcW w:w="920" w:type="pct"/>
            <w:shd w:val="clear" w:color="auto" w:fill="auto"/>
            <w:vAlign w:val="center"/>
            <w:hideMark/>
          </w:tcPr>
          <w:p w14:paraId="6E86F688" w14:textId="2261172D"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0.</w:t>
            </w:r>
            <w:r w:rsidR="00841FA8">
              <w:rPr>
                <w:rFonts w:asciiTheme="minorHAnsi" w:hAnsiTheme="minorHAnsi" w:cstheme="minorHAnsi"/>
              </w:rPr>
              <w:t>8</w:t>
            </w:r>
            <w:r w:rsidRPr="003C713B">
              <w:rPr>
                <w:rFonts w:asciiTheme="minorHAnsi" w:hAnsiTheme="minorHAnsi" w:cstheme="minorHAnsi"/>
              </w:rPr>
              <w:t xml:space="preserve"> to 1.</w:t>
            </w:r>
            <w:r w:rsidR="00841FA8">
              <w:rPr>
                <w:rFonts w:asciiTheme="minorHAnsi" w:hAnsiTheme="minorHAnsi" w:cstheme="minorHAnsi"/>
              </w:rPr>
              <w:t>1</w:t>
            </w:r>
          </w:p>
        </w:tc>
        <w:tc>
          <w:tcPr>
            <w:tcW w:w="920" w:type="pct"/>
            <w:shd w:val="clear" w:color="auto" w:fill="auto"/>
            <w:vAlign w:val="center"/>
            <w:hideMark/>
          </w:tcPr>
          <w:p w14:paraId="4AACBB56" w14:textId="653B51AB"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7.</w:t>
            </w:r>
            <w:r w:rsidR="00841FA8">
              <w:rPr>
                <w:rFonts w:asciiTheme="minorHAnsi" w:hAnsiTheme="minorHAnsi" w:cstheme="minorHAnsi"/>
              </w:rPr>
              <w:t>7</w:t>
            </w:r>
            <w:r w:rsidRPr="003C713B">
              <w:rPr>
                <w:rFonts w:asciiTheme="minorHAnsi" w:hAnsiTheme="minorHAnsi" w:cstheme="minorHAnsi"/>
              </w:rPr>
              <w:t xml:space="preserve"> to </w:t>
            </w:r>
            <w:r w:rsidR="00EC3078">
              <w:rPr>
                <w:rFonts w:asciiTheme="minorHAnsi" w:hAnsiTheme="minorHAnsi" w:cstheme="minorHAnsi"/>
              </w:rPr>
              <w:t>10.3</w:t>
            </w:r>
          </w:p>
        </w:tc>
        <w:tc>
          <w:tcPr>
            <w:tcW w:w="920" w:type="pct"/>
            <w:shd w:val="clear" w:color="auto" w:fill="auto"/>
            <w:vAlign w:val="center"/>
            <w:hideMark/>
          </w:tcPr>
          <w:p w14:paraId="5F9BBCDD" w14:textId="25E566D8"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14.</w:t>
            </w:r>
            <w:r w:rsidR="00EC3078">
              <w:rPr>
                <w:rFonts w:asciiTheme="minorHAnsi" w:hAnsiTheme="minorHAnsi" w:cstheme="minorHAnsi"/>
              </w:rPr>
              <w:t>4</w:t>
            </w:r>
          </w:p>
        </w:tc>
      </w:tr>
      <w:tr w:rsidR="00C95933" w:rsidRPr="003C713B" w14:paraId="57A7EC46" w14:textId="77777777" w:rsidTr="003C713B">
        <w:tc>
          <w:tcPr>
            <w:tcW w:w="1320" w:type="pct"/>
            <w:shd w:val="clear" w:color="auto" w:fill="F2F2F2" w:themeFill="background1" w:themeFillShade="F2"/>
            <w:vAlign w:val="center"/>
            <w:hideMark/>
          </w:tcPr>
          <w:p w14:paraId="1F61D1DF" w14:textId="77777777" w:rsidR="000D4162" w:rsidRPr="006361FE" w:rsidRDefault="000D4162" w:rsidP="006361FE">
            <w:pPr>
              <w:pStyle w:val="TableBody"/>
              <w:rPr>
                <w:rFonts w:asciiTheme="minorHAnsi" w:hAnsiTheme="minorHAnsi" w:cstheme="minorHAnsi"/>
              </w:rPr>
            </w:pPr>
            <w:r w:rsidRPr="006361FE">
              <w:rPr>
                <w:rFonts w:asciiTheme="minorHAnsi" w:hAnsiTheme="minorHAnsi" w:cstheme="minorHAnsi"/>
              </w:rPr>
              <w:t>Material risk</w:t>
            </w:r>
          </w:p>
        </w:tc>
        <w:tc>
          <w:tcPr>
            <w:tcW w:w="920" w:type="pct"/>
            <w:shd w:val="clear" w:color="auto" w:fill="auto"/>
            <w:vAlign w:val="center"/>
            <w:hideMark/>
          </w:tcPr>
          <w:p w14:paraId="06BD2D82" w14:textId="77777777"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0.0 to 0.0</w:t>
            </w:r>
          </w:p>
        </w:tc>
        <w:tc>
          <w:tcPr>
            <w:tcW w:w="920" w:type="pct"/>
            <w:shd w:val="clear" w:color="auto" w:fill="auto"/>
            <w:vAlign w:val="center"/>
            <w:hideMark/>
          </w:tcPr>
          <w:p w14:paraId="2287915F" w14:textId="1A091817"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1.</w:t>
            </w:r>
            <w:r w:rsidR="00841FA8">
              <w:rPr>
                <w:rFonts w:asciiTheme="minorHAnsi" w:hAnsiTheme="minorHAnsi" w:cstheme="minorHAnsi"/>
              </w:rPr>
              <w:t>6</w:t>
            </w:r>
            <w:r w:rsidRPr="003C713B">
              <w:rPr>
                <w:rFonts w:asciiTheme="minorHAnsi" w:hAnsiTheme="minorHAnsi" w:cstheme="minorHAnsi"/>
              </w:rPr>
              <w:t xml:space="preserve"> to 2.</w:t>
            </w:r>
            <w:r w:rsidR="00841FA8">
              <w:rPr>
                <w:rFonts w:asciiTheme="minorHAnsi" w:hAnsiTheme="minorHAnsi" w:cstheme="minorHAnsi"/>
              </w:rPr>
              <w:t>2</w:t>
            </w:r>
          </w:p>
        </w:tc>
        <w:tc>
          <w:tcPr>
            <w:tcW w:w="920" w:type="pct"/>
            <w:shd w:val="clear" w:color="auto" w:fill="auto"/>
            <w:vAlign w:val="center"/>
            <w:hideMark/>
          </w:tcPr>
          <w:p w14:paraId="45E0A561" w14:textId="712D0E1A"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1</w:t>
            </w:r>
            <w:r w:rsidR="00841FA8">
              <w:rPr>
                <w:rFonts w:asciiTheme="minorHAnsi" w:hAnsiTheme="minorHAnsi" w:cstheme="minorHAnsi"/>
              </w:rPr>
              <w:t>5.4</w:t>
            </w:r>
            <w:r w:rsidRPr="003C713B">
              <w:rPr>
                <w:rFonts w:asciiTheme="minorHAnsi" w:hAnsiTheme="minorHAnsi" w:cstheme="minorHAnsi"/>
              </w:rPr>
              <w:t xml:space="preserve"> to </w:t>
            </w:r>
            <w:r w:rsidR="00EC3078">
              <w:rPr>
                <w:rFonts w:asciiTheme="minorHAnsi" w:hAnsiTheme="minorHAnsi" w:cstheme="minorHAnsi"/>
              </w:rPr>
              <w:t>20.6</w:t>
            </w:r>
          </w:p>
        </w:tc>
        <w:tc>
          <w:tcPr>
            <w:tcW w:w="920" w:type="pct"/>
            <w:shd w:val="clear" w:color="auto" w:fill="auto"/>
            <w:vAlign w:val="center"/>
            <w:hideMark/>
          </w:tcPr>
          <w:p w14:paraId="56355919" w14:textId="675560F9" w:rsidR="000D4162" w:rsidRPr="003C713B" w:rsidRDefault="000D4162" w:rsidP="003C713B">
            <w:pPr>
              <w:pStyle w:val="TableBody"/>
              <w:rPr>
                <w:rFonts w:asciiTheme="minorHAnsi" w:hAnsiTheme="minorHAnsi" w:cstheme="minorHAnsi"/>
                <w:lang w:eastAsia="en-AU"/>
              </w:rPr>
            </w:pPr>
            <w:r w:rsidRPr="003C713B">
              <w:rPr>
                <w:rFonts w:asciiTheme="minorHAnsi" w:hAnsiTheme="minorHAnsi" w:cstheme="minorHAnsi"/>
              </w:rPr>
              <w:t>28.</w:t>
            </w:r>
            <w:r w:rsidR="00EC3078">
              <w:rPr>
                <w:rFonts w:asciiTheme="minorHAnsi" w:hAnsiTheme="minorHAnsi" w:cstheme="minorHAnsi"/>
              </w:rPr>
              <w:t>7</w:t>
            </w:r>
          </w:p>
        </w:tc>
      </w:tr>
      <w:tr w:rsidR="000C0B14" w:rsidRPr="003C713B" w14:paraId="445C80E6" w14:textId="77777777" w:rsidTr="003C713B">
        <w:tc>
          <w:tcPr>
            <w:tcW w:w="1320" w:type="pct"/>
            <w:shd w:val="clear" w:color="auto" w:fill="034EA2" w:themeFill="accent1"/>
            <w:vAlign w:val="center"/>
            <w:hideMark/>
          </w:tcPr>
          <w:p w14:paraId="60200B40" w14:textId="77777777" w:rsidR="00C20457" w:rsidRPr="003C713B" w:rsidRDefault="00C20457" w:rsidP="003C713B">
            <w:pPr>
              <w:pStyle w:val="TableHeading"/>
              <w:rPr>
                <w:rFonts w:asciiTheme="minorHAnsi" w:hAnsiTheme="minorHAnsi" w:cstheme="minorHAnsi"/>
                <w:lang w:eastAsia="en-AU"/>
              </w:rPr>
            </w:pPr>
            <w:r w:rsidRPr="003C713B">
              <w:rPr>
                <w:rFonts w:asciiTheme="minorHAnsi" w:hAnsiTheme="minorHAnsi" w:cstheme="minorHAnsi"/>
                <w:lang w:eastAsia="en-AU"/>
              </w:rPr>
              <w:t>Total critical payment systems assets</w:t>
            </w:r>
          </w:p>
        </w:tc>
        <w:tc>
          <w:tcPr>
            <w:tcW w:w="920" w:type="pct"/>
            <w:shd w:val="clear" w:color="auto" w:fill="034EA2" w:themeFill="accent1"/>
            <w:vAlign w:val="center"/>
            <w:hideMark/>
          </w:tcPr>
          <w:p w14:paraId="485C7D93" w14:textId="77777777" w:rsidR="00C20457" w:rsidRPr="003C713B" w:rsidRDefault="00C20457" w:rsidP="003C713B">
            <w:pPr>
              <w:pStyle w:val="TableHeading"/>
              <w:rPr>
                <w:rFonts w:asciiTheme="minorHAnsi" w:hAnsiTheme="minorHAnsi" w:cstheme="minorHAnsi"/>
                <w:lang w:eastAsia="en-AU"/>
              </w:rPr>
            </w:pPr>
            <w:r w:rsidRPr="003C713B">
              <w:rPr>
                <w:rFonts w:asciiTheme="minorHAnsi" w:hAnsiTheme="minorHAnsi" w:cstheme="minorHAnsi"/>
                <w:lang w:eastAsia="en-AU"/>
              </w:rPr>
              <w:t>0.6</w:t>
            </w:r>
            <w:r w:rsidR="000D4162" w:rsidRPr="003C713B">
              <w:rPr>
                <w:rFonts w:asciiTheme="minorHAnsi" w:hAnsiTheme="minorHAnsi" w:cstheme="minorHAnsi"/>
                <w:lang w:eastAsia="en-AU"/>
              </w:rPr>
              <w:t xml:space="preserve"> to 1.1</w:t>
            </w:r>
          </w:p>
        </w:tc>
        <w:tc>
          <w:tcPr>
            <w:tcW w:w="920" w:type="pct"/>
            <w:shd w:val="clear" w:color="auto" w:fill="034EA2" w:themeFill="accent1"/>
            <w:vAlign w:val="center"/>
            <w:hideMark/>
          </w:tcPr>
          <w:p w14:paraId="1F4A5CC0" w14:textId="3FB4ADC4" w:rsidR="00C20457" w:rsidRPr="003C713B" w:rsidRDefault="00C20457" w:rsidP="003C713B">
            <w:pPr>
              <w:pStyle w:val="TableHeading"/>
              <w:rPr>
                <w:rFonts w:asciiTheme="minorHAnsi" w:hAnsiTheme="minorHAnsi" w:cstheme="minorHAnsi"/>
                <w:lang w:eastAsia="en-AU"/>
              </w:rPr>
            </w:pPr>
            <w:r w:rsidRPr="003C713B">
              <w:rPr>
                <w:rFonts w:asciiTheme="minorHAnsi" w:hAnsiTheme="minorHAnsi" w:cstheme="minorHAnsi"/>
                <w:lang w:eastAsia="en-AU"/>
              </w:rPr>
              <w:t>5.</w:t>
            </w:r>
            <w:r w:rsidR="00841FA8">
              <w:rPr>
                <w:rFonts w:asciiTheme="minorHAnsi" w:hAnsiTheme="minorHAnsi" w:cstheme="minorHAnsi"/>
                <w:lang w:eastAsia="en-AU"/>
              </w:rPr>
              <w:t>7</w:t>
            </w:r>
            <w:r w:rsidR="000D4162" w:rsidRPr="003C713B">
              <w:rPr>
                <w:rFonts w:asciiTheme="minorHAnsi" w:hAnsiTheme="minorHAnsi" w:cstheme="minorHAnsi"/>
                <w:lang w:eastAsia="en-AU"/>
              </w:rPr>
              <w:t xml:space="preserve"> to </w:t>
            </w:r>
            <w:r w:rsidR="00841FA8">
              <w:rPr>
                <w:rFonts w:asciiTheme="minorHAnsi" w:hAnsiTheme="minorHAnsi" w:cstheme="minorHAnsi"/>
                <w:lang w:eastAsia="en-AU"/>
              </w:rPr>
              <w:t>8.2</w:t>
            </w:r>
          </w:p>
        </w:tc>
        <w:tc>
          <w:tcPr>
            <w:tcW w:w="920" w:type="pct"/>
            <w:shd w:val="clear" w:color="auto" w:fill="034EA2" w:themeFill="accent1"/>
            <w:vAlign w:val="center"/>
            <w:hideMark/>
          </w:tcPr>
          <w:p w14:paraId="02D4FE41" w14:textId="288966E7" w:rsidR="00C20457" w:rsidRPr="003C713B" w:rsidRDefault="00841FA8" w:rsidP="003C713B">
            <w:pPr>
              <w:pStyle w:val="TableHeading"/>
              <w:rPr>
                <w:rFonts w:asciiTheme="minorHAnsi" w:hAnsiTheme="minorHAnsi" w:cstheme="minorHAnsi"/>
                <w:lang w:eastAsia="en-AU"/>
              </w:rPr>
            </w:pPr>
            <w:r>
              <w:rPr>
                <w:rFonts w:asciiTheme="minorHAnsi" w:hAnsiTheme="minorHAnsi" w:cstheme="minorHAnsi"/>
                <w:lang w:eastAsia="en-AU"/>
              </w:rPr>
              <w:t>53.7</w:t>
            </w:r>
            <w:r w:rsidR="00CD039C" w:rsidRPr="003C713B">
              <w:rPr>
                <w:rFonts w:asciiTheme="minorHAnsi" w:hAnsiTheme="minorHAnsi" w:cstheme="minorHAnsi"/>
                <w:lang w:eastAsia="en-AU"/>
              </w:rPr>
              <w:t xml:space="preserve"> to </w:t>
            </w:r>
            <w:r w:rsidR="00EC3078">
              <w:rPr>
                <w:rFonts w:asciiTheme="minorHAnsi" w:hAnsiTheme="minorHAnsi" w:cstheme="minorHAnsi"/>
                <w:lang w:eastAsia="en-AU"/>
              </w:rPr>
              <w:t>77.4</w:t>
            </w:r>
          </w:p>
        </w:tc>
        <w:tc>
          <w:tcPr>
            <w:tcW w:w="920" w:type="pct"/>
            <w:shd w:val="clear" w:color="auto" w:fill="034EA2" w:themeFill="accent1"/>
            <w:vAlign w:val="center"/>
            <w:hideMark/>
          </w:tcPr>
          <w:p w14:paraId="402AC88C" w14:textId="77777777" w:rsidR="00C20457" w:rsidRPr="003C713B" w:rsidRDefault="00C20457" w:rsidP="003C713B">
            <w:pPr>
              <w:pStyle w:val="TableHeading"/>
              <w:rPr>
                <w:rFonts w:asciiTheme="minorHAnsi" w:hAnsiTheme="minorHAnsi" w:cstheme="minorHAnsi"/>
                <w:lang w:eastAsia="en-AU"/>
              </w:rPr>
            </w:pPr>
            <w:r w:rsidRPr="003C713B">
              <w:rPr>
                <w:rFonts w:asciiTheme="minorHAnsi" w:hAnsiTheme="minorHAnsi" w:cstheme="minorHAnsi"/>
                <w:lang w:eastAsia="en-AU"/>
              </w:rPr>
              <w:t>100</w:t>
            </w:r>
          </w:p>
        </w:tc>
      </w:tr>
    </w:tbl>
    <w:p w14:paraId="2D2C164D" w14:textId="77777777" w:rsidR="003C713B" w:rsidRDefault="003C713B" w:rsidP="00323D0C">
      <w:pPr>
        <w:pStyle w:val="BodyText"/>
      </w:pPr>
    </w:p>
    <w:p w14:paraId="75E93E97" w14:textId="09D5F90D" w:rsidR="00C20457" w:rsidRPr="00827F58" w:rsidRDefault="00C20457" w:rsidP="00323D0C">
      <w:pPr>
        <w:pStyle w:val="BodyText"/>
      </w:pPr>
      <w:r w:rsidRPr="00827F58">
        <w:t>The industry submissions also indicated the type of expenditure expected to be incurred. The allocation of cost between labour effort, capital and operating costs is provided in</w:t>
      </w:r>
      <w:r>
        <w:t xml:space="preserve"> </w:t>
      </w:r>
      <w:r w:rsidR="000E3E32">
        <w:t>the table below</w:t>
      </w:r>
      <w:r w:rsidR="00324539">
        <w:t>.</w:t>
      </w:r>
      <w:r>
        <w:t xml:space="preserve"> </w:t>
      </w:r>
      <w:r w:rsidRPr="00827F58">
        <w:t xml:space="preserve">The analysis shows that </w:t>
      </w:r>
      <w:r w:rsidR="00CA5609">
        <w:t>14</w:t>
      </w:r>
      <w:r w:rsidRPr="000770E4">
        <w:t xml:space="preserve">.1% of one-off costs and 0% of ongoing costs are expected to be invested in capital. A relatively small share of </w:t>
      </w:r>
      <w:r w:rsidR="000E759E">
        <w:t xml:space="preserve">one-off </w:t>
      </w:r>
      <w:r w:rsidRPr="000770E4">
        <w:t>costs is associated with labour effort (</w:t>
      </w:r>
      <w:r w:rsidR="00CE3641">
        <w:t>14.1</w:t>
      </w:r>
      <w:r w:rsidRPr="000770E4">
        <w:t>%)</w:t>
      </w:r>
      <w:r>
        <w:t xml:space="preserve">. </w:t>
      </w:r>
      <w:r w:rsidR="000E759E">
        <w:lastRenderedPageBreak/>
        <w:t xml:space="preserve">Labour effort is the largest component of </w:t>
      </w:r>
      <w:r w:rsidRPr="000770E4">
        <w:t>ongoing costs</w:t>
      </w:r>
      <w:r>
        <w:t xml:space="preserve"> </w:t>
      </w:r>
      <w:r w:rsidR="000E759E">
        <w:t>with</w:t>
      </w:r>
      <w:r w:rsidRPr="000770E4">
        <w:t xml:space="preserve"> 8</w:t>
      </w:r>
      <w:r w:rsidR="00CE3641">
        <w:t>6.0</w:t>
      </w:r>
      <w:r w:rsidRPr="000770E4">
        <w:t xml:space="preserve">% of </w:t>
      </w:r>
      <w:r>
        <w:t>the total</w:t>
      </w:r>
      <w:r w:rsidRPr="000770E4">
        <w:t xml:space="preserve">. Operating costs are the </w:t>
      </w:r>
      <w:r w:rsidRPr="005C5970">
        <w:t>largest component of one-off costs</w:t>
      </w:r>
      <w:r w:rsidRPr="000770E4">
        <w:t xml:space="preserve"> (7</w:t>
      </w:r>
      <w:r w:rsidR="003B2A25">
        <w:t>1.8</w:t>
      </w:r>
      <w:r w:rsidRPr="000770E4">
        <w:t xml:space="preserve">% of total ongoing costs). </w:t>
      </w:r>
    </w:p>
    <w:p w14:paraId="10130AE3" w14:textId="77777777" w:rsidR="00C20457" w:rsidRPr="00324539" w:rsidRDefault="00C20457" w:rsidP="00323D0C">
      <w:pPr>
        <w:pStyle w:val="Caption"/>
        <w:rPr>
          <w:b/>
          <w:bCs/>
        </w:rPr>
      </w:pPr>
      <w:bookmarkStart w:id="658" w:name="_Toc90479763"/>
      <w:r w:rsidRPr="00827F58">
        <w:t xml:space="preserve">Expected one-off and ongoing costs by cost type for critical </w:t>
      </w:r>
      <w:r w:rsidR="00124326">
        <w:t>payment systems</w:t>
      </w:r>
      <w:r w:rsidRPr="00827F58">
        <w:t xml:space="preserve"> assets nationally</w:t>
      </w:r>
      <w:bookmarkEnd w:id="658"/>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410"/>
        <w:gridCol w:w="1970"/>
        <w:gridCol w:w="1675"/>
        <w:gridCol w:w="1833"/>
        <w:gridCol w:w="1750"/>
      </w:tblGrid>
      <w:tr w:rsidR="00C20457" w:rsidRPr="0013613A" w14:paraId="189E548C" w14:textId="77777777" w:rsidTr="0013613A">
        <w:tc>
          <w:tcPr>
            <w:tcW w:w="1250" w:type="pct"/>
            <w:vMerge w:val="restart"/>
            <w:shd w:val="clear" w:color="auto" w:fill="034EA2" w:themeFill="accent1"/>
            <w:hideMark/>
          </w:tcPr>
          <w:p w14:paraId="45956CD3" w14:textId="77777777" w:rsidR="00C20457" w:rsidRPr="0013613A" w:rsidRDefault="00C20457" w:rsidP="0013613A">
            <w:pPr>
              <w:pStyle w:val="TableHeading"/>
              <w:rPr>
                <w:rFonts w:asciiTheme="minorHAnsi" w:hAnsiTheme="minorHAnsi" w:cstheme="minorHAnsi"/>
                <w:lang w:eastAsia="en-AU"/>
              </w:rPr>
            </w:pPr>
            <w:r w:rsidRPr="0013613A">
              <w:rPr>
                <w:rFonts w:asciiTheme="minorHAnsi" w:hAnsiTheme="minorHAnsi" w:cstheme="minorHAnsi"/>
                <w:lang w:eastAsia="en-AU"/>
              </w:rPr>
              <w:t>Cost Type</w:t>
            </w:r>
          </w:p>
        </w:tc>
        <w:tc>
          <w:tcPr>
            <w:tcW w:w="3750" w:type="pct"/>
            <w:gridSpan w:val="4"/>
            <w:shd w:val="clear" w:color="auto" w:fill="034EA2" w:themeFill="accent1"/>
            <w:vAlign w:val="center"/>
            <w:hideMark/>
          </w:tcPr>
          <w:p w14:paraId="107CA3A3" w14:textId="77777777" w:rsidR="00C20457" w:rsidRPr="0013613A" w:rsidRDefault="00C20457" w:rsidP="0013613A">
            <w:pPr>
              <w:pStyle w:val="TableHeading"/>
              <w:rPr>
                <w:rFonts w:asciiTheme="minorHAnsi" w:hAnsiTheme="minorHAnsi" w:cstheme="minorHAnsi"/>
                <w:lang w:eastAsia="en-AU"/>
              </w:rPr>
            </w:pPr>
            <w:r w:rsidRPr="0013613A">
              <w:rPr>
                <w:rFonts w:asciiTheme="minorHAnsi" w:hAnsiTheme="minorHAnsi" w:cstheme="minorHAnsi"/>
                <w:lang w:eastAsia="en-AU"/>
              </w:rPr>
              <w:t xml:space="preserve">Costs </w:t>
            </w:r>
          </w:p>
        </w:tc>
      </w:tr>
      <w:tr w:rsidR="00340241" w:rsidRPr="0013613A" w14:paraId="2416E20C" w14:textId="77777777" w:rsidTr="0013613A">
        <w:tc>
          <w:tcPr>
            <w:tcW w:w="1250" w:type="pct"/>
            <w:vMerge/>
            <w:shd w:val="clear" w:color="auto" w:fill="007BC3" w:themeFill="accent2"/>
            <w:vAlign w:val="center"/>
            <w:hideMark/>
          </w:tcPr>
          <w:p w14:paraId="0D1E3868" w14:textId="77777777" w:rsidR="00C20457" w:rsidRPr="0013613A" w:rsidRDefault="00C20457" w:rsidP="003C713B">
            <w:pPr>
              <w:pStyle w:val="TableBody"/>
              <w:rPr>
                <w:rFonts w:asciiTheme="minorHAnsi" w:hAnsiTheme="minorHAnsi" w:cstheme="minorHAnsi"/>
                <w:lang w:eastAsia="en-AU"/>
              </w:rPr>
            </w:pPr>
          </w:p>
        </w:tc>
        <w:tc>
          <w:tcPr>
            <w:tcW w:w="1022" w:type="pct"/>
            <w:shd w:val="clear" w:color="auto" w:fill="DEEAF6"/>
            <w:vAlign w:val="center"/>
            <w:hideMark/>
          </w:tcPr>
          <w:p w14:paraId="5B66B470" w14:textId="77777777" w:rsidR="00C20457" w:rsidRPr="0013613A" w:rsidRDefault="00C20457" w:rsidP="003C713B">
            <w:pPr>
              <w:pStyle w:val="TableBody"/>
              <w:rPr>
                <w:rFonts w:asciiTheme="minorHAnsi" w:hAnsiTheme="minorHAnsi" w:cstheme="minorHAnsi"/>
                <w:lang w:eastAsia="en-AU"/>
              </w:rPr>
            </w:pPr>
            <w:r w:rsidRPr="0013613A">
              <w:rPr>
                <w:rFonts w:asciiTheme="minorHAnsi" w:hAnsiTheme="minorHAnsi" w:cstheme="minorHAnsi"/>
                <w:lang w:eastAsia="en-AU"/>
              </w:rPr>
              <w:t xml:space="preserve">One-off </w:t>
            </w:r>
            <w:r w:rsidRPr="0013613A">
              <w:rPr>
                <w:rFonts w:asciiTheme="minorHAnsi" w:hAnsiTheme="minorHAnsi" w:cstheme="minorHAnsi"/>
                <w:color w:val="000000"/>
                <w:lang w:eastAsia="en-AU"/>
              </w:rPr>
              <w:t>($ million)</w:t>
            </w:r>
          </w:p>
        </w:tc>
        <w:tc>
          <w:tcPr>
            <w:tcW w:w="869" w:type="pct"/>
            <w:shd w:val="clear" w:color="auto" w:fill="DEEAF6"/>
            <w:vAlign w:val="center"/>
            <w:hideMark/>
          </w:tcPr>
          <w:p w14:paraId="0E25118B" w14:textId="77777777" w:rsidR="00C20457" w:rsidRPr="0013613A" w:rsidRDefault="00C20457" w:rsidP="003C713B">
            <w:pPr>
              <w:pStyle w:val="TableBody"/>
              <w:rPr>
                <w:rFonts w:asciiTheme="minorHAnsi" w:hAnsiTheme="minorHAnsi" w:cstheme="minorHAnsi"/>
                <w:lang w:eastAsia="en-AU"/>
              </w:rPr>
            </w:pPr>
            <w:r w:rsidRPr="0013613A">
              <w:rPr>
                <w:rFonts w:asciiTheme="minorHAnsi" w:hAnsiTheme="minorHAnsi" w:cstheme="minorHAnsi"/>
                <w:lang w:eastAsia="en-AU"/>
              </w:rPr>
              <w:t>One-off</w:t>
            </w:r>
            <w:r w:rsidRPr="0013613A">
              <w:rPr>
                <w:rFonts w:asciiTheme="minorHAnsi" w:hAnsiTheme="minorHAnsi" w:cstheme="minorHAnsi"/>
                <w:lang w:eastAsia="en-AU"/>
              </w:rPr>
              <w:br/>
              <w:t>(%)</w:t>
            </w:r>
          </w:p>
        </w:tc>
        <w:tc>
          <w:tcPr>
            <w:tcW w:w="951" w:type="pct"/>
            <w:shd w:val="clear" w:color="auto" w:fill="DEEAF6"/>
            <w:vAlign w:val="center"/>
            <w:hideMark/>
          </w:tcPr>
          <w:p w14:paraId="3F1EC7B4" w14:textId="77777777" w:rsidR="00C20457" w:rsidRPr="0013613A" w:rsidRDefault="00C20457" w:rsidP="003C713B">
            <w:pPr>
              <w:pStyle w:val="TableBody"/>
              <w:rPr>
                <w:rFonts w:asciiTheme="minorHAnsi" w:hAnsiTheme="minorHAnsi" w:cstheme="minorHAnsi"/>
                <w:lang w:eastAsia="en-AU"/>
              </w:rPr>
            </w:pPr>
            <w:r w:rsidRPr="0013613A">
              <w:rPr>
                <w:rFonts w:asciiTheme="minorHAnsi" w:hAnsiTheme="minorHAnsi" w:cstheme="minorHAnsi"/>
                <w:lang w:eastAsia="en-AU"/>
              </w:rPr>
              <w:t>Ongoing</w:t>
            </w:r>
            <w:r w:rsidRPr="0013613A">
              <w:rPr>
                <w:rFonts w:asciiTheme="minorHAnsi" w:hAnsiTheme="minorHAnsi" w:cstheme="minorHAnsi"/>
                <w:lang w:eastAsia="en-AU"/>
              </w:rPr>
              <w:br/>
              <w:t>(per year)</w:t>
            </w:r>
          </w:p>
        </w:tc>
        <w:tc>
          <w:tcPr>
            <w:tcW w:w="908" w:type="pct"/>
            <w:shd w:val="clear" w:color="auto" w:fill="DEEAF6"/>
            <w:vAlign w:val="center"/>
            <w:hideMark/>
          </w:tcPr>
          <w:p w14:paraId="1AE025CD" w14:textId="77777777" w:rsidR="00C20457" w:rsidRPr="0013613A" w:rsidRDefault="00C20457" w:rsidP="003C713B">
            <w:pPr>
              <w:pStyle w:val="TableBody"/>
              <w:rPr>
                <w:rFonts w:asciiTheme="minorHAnsi" w:hAnsiTheme="minorHAnsi" w:cstheme="minorHAnsi"/>
                <w:lang w:eastAsia="en-AU"/>
              </w:rPr>
            </w:pPr>
            <w:r w:rsidRPr="0013613A">
              <w:rPr>
                <w:rFonts w:asciiTheme="minorHAnsi" w:hAnsiTheme="minorHAnsi" w:cstheme="minorHAnsi"/>
                <w:lang w:eastAsia="en-AU"/>
              </w:rPr>
              <w:t>Ongoing</w:t>
            </w:r>
            <w:r w:rsidRPr="0013613A">
              <w:rPr>
                <w:rFonts w:asciiTheme="minorHAnsi" w:hAnsiTheme="minorHAnsi" w:cstheme="minorHAnsi"/>
                <w:lang w:eastAsia="en-AU"/>
              </w:rPr>
              <w:br/>
              <w:t>(%)</w:t>
            </w:r>
          </w:p>
        </w:tc>
      </w:tr>
      <w:tr w:rsidR="00C20457" w:rsidRPr="0013613A" w14:paraId="655616A1" w14:textId="77777777" w:rsidTr="0013613A">
        <w:tc>
          <w:tcPr>
            <w:tcW w:w="1250" w:type="pct"/>
            <w:shd w:val="clear" w:color="auto" w:fill="F2F2F2" w:themeFill="background1" w:themeFillShade="F2"/>
            <w:vAlign w:val="center"/>
            <w:hideMark/>
          </w:tcPr>
          <w:p w14:paraId="1CEA9F28" w14:textId="77777777" w:rsidR="00C20457" w:rsidRPr="0013613A" w:rsidRDefault="00C20457" w:rsidP="003C713B">
            <w:pPr>
              <w:pStyle w:val="TableBody"/>
              <w:rPr>
                <w:rFonts w:asciiTheme="minorHAnsi" w:hAnsiTheme="minorHAnsi" w:cstheme="minorHAnsi"/>
                <w:lang w:eastAsia="en-AU"/>
              </w:rPr>
            </w:pPr>
            <w:r w:rsidRPr="0013613A">
              <w:rPr>
                <w:rFonts w:asciiTheme="minorHAnsi" w:hAnsiTheme="minorHAnsi" w:cstheme="minorHAnsi"/>
                <w:lang w:eastAsia="en-AU"/>
              </w:rPr>
              <w:t>Labour effort</w:t>
            </w:r>
          </w:p>
        </w:tc>
        <w:tc>
          <w:tcPr>
            <w:tcW w:w="1022" w:type="pct"/>
            <w:shd w:val="clear" w:color="auto" w:fill="auto"/>
            <w:vAlign w:val="center"/>
          </w:tcPr>
          <w:p w14:paraId="6FE88F3B" w14:textId="77777777"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0.1</w:t>
            </w:r>
          </w:p>
        </w:tc>
        <w:tc>
          <w:tcPr>
            <w:tcW w:w="869" w:type="pct"/>
            <w:shd w:val="clear" w:color="auto" w:fill="auto"/>
            <w:vAlign w:val="center"/>
          </w:tcPr>
          <w:p w14:paraId="47CBB222" w14:textId="4F0D8BB2" w:rsidR="00C20457" w:rsidRPr="0013613A" w:rsidRDefault="004B307D" w:rsidP="003C713B">
            <w:pPr>
              <w:pStyle w:val="TableBody"/>
              <w:rPr>
                <w:rFonts w:asciiTheme="minorHAnsi" w:hAnsiTheme="minorHAnsi" w:cstheme="minorHAnsi"/>
                <w:highlight w:val="yellow"/>
                <w:lang w:eastAsia="en-AU"/>
              </w:rPr>
            </w:pPr>
            <w:r>
              <w:rPr>
                <w:rFonts w:asciiTheme="minorHAnsi" w:hAnsiTheme="minorHAnsi" w:cstheme="minorHAnsi"/>
              </w:rPr>
              <w:t>14.1</w:t>
            </w:r>
            <w:r w:rsidR="00C20457" w:rsidRPr="0013613A">
              <w:rPr>
                <w:rFonts w:asciiTheme="minorHAnsi" w:hAnsiTheme="minorHAnsi" w:cstheme="minorHAnsi"/>
              </w:rPr>
              <w:t>%</w:t>
            </w:r>
          </w:p>
        </w:tc>
        <w:tc>
          <w:tcPr>
            <w:tcW w:w="951" w:type="pct"/>
            <w:shd w:val="clear" w:color="auto" w:fill="auto"/>
            <w:vAlign w:val="center"/>
          </w:tcPr>
          <w:p w14:paraId="6C7DAB2D" w14:textId="48FA0C68"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4.</w:t>
            </w:r>
            <w:r w:rsidR="004B307D">
              <w:rPr>
                <w:rFonts w:asciiTheme="minorHAnsi" w:hAnsiTheme="minorHAnsi" w:cstheme="minorHAnsi"/>
              </w:rPr>
              <w:t>9</w:t>
            </w:r>
          </w:p>
        </w:tc>
        <w:tc>
          <w:tcPr>
            <w:tcW w:w="908" w:type="pct"/>
            <w:shd w:val="clear" w:color="auto" w:fill="auto"/>
            <w:vAlign w:val="center"/>
          </w:tcPr>
          <w:p w14:paraId="2C1CBB9C" w14:textId="3960162F"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8</w:t>
            </w:r>
            <w:r w:rsidR="004B307D">
              <w:rPr>
                <w:rFonts w:asciiTheme="minorHAnsi" w:hAnsiTheme="minorHAnsi" w:cstheme="minorHAnsi"/>
              </w:rPr>
              <w:t>6.0</w:t>
            </w:r>
            <w:r w:rsidRPr="0013613A">
              <w:rPr>
                <w:rFonts w:asciiTheme="minorHAnsi" w:hAnsiTheme="minorHAnsi" w:cstheme="minorHAnsi"/>
              </w:rPr>
              <w:t>%</w:t>
            </w:r>
          </w:p>
        </w:tc>
      </w:tr>
      <w:tr w:rsidR="00C20457" w:rsidRPr="0013613A" w14:paraId="5F995F1D" w14:textId="77777777" w:rsidTr="0013613A">
        <w:tc>
          <w:tcPr>
            <w:tcW w:w="1250" w:type="pct"/>
            <w:shd w:val="clear" w:color="auto" w:fill="F2F2F2" w:themeFill="background1" w:themeFillShade="F2"/>
            <w:vAlign w:val="center"/>
            <w:hideMark/>
          </w:tcPr>
          <w:p w14:paraId="32AEF8DA" w14:textId="77777777" w:rsidR="00C20457" w:rsidRPr="0013613A" w:rsidRDefault="00C20457" w:rsidP="003C713B">
            <w:pPr>
              <w:pStyle w:val="TableBody"/>
              <w:rPr>
                <w:rFonts w:asciiTheme="minorHAnsi" w:hAnsiTheme="minorHAnsi" w:cstheme="minorHAnsi"/>
                <w:lang w:eastAsia="en-AU"/>
              </w:rPr>
            </w:pPr>
            <w:r w:rsidRPr="0013613A">
              <w:rPr>
                <w:rFonts w:asciiTheme="minorHAnsi" w:hAnsiTheme="minorHAnsi" w:cstheme="minorHAnsi"/>
                <w:lang w:eastAsia="en-AU"/>
              </w:rPr>
              <w:t>Capital</w:t>
            </w:r>
          </w:p>
        </w:tc>
        <w:tc>
          <w:tcPr>
            <w:tcW w:w="1022" w:type="pct"/>
            <w:shd w:val="clear" w:color="auto" w:fill="auto"/>
            <w:vAlign w:val="center"/>
          </w:tcPr>
          <w:p w14:paraId="7D8D9F47" w14:textId="77777777"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0.1</w:t>
            </w:r>
          </w:p>
        </w:tc>
        <w:tc>
          <w:tcPr>
            <w:tcW w:w="869" w:type="pct"/>
            <w:shd w:val="clear" w:color="auto" w:fill="auto"/>
            <w:vAlign w:val="center"/>
          </w:tcPr>
          <w:p w14:paraId="3D247010" w14:textId="1FD432AE"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1</w:t>
            </w:r>
            <w:r w:rsidR="004B307D">
              <w:rPr>
                <w:rFonts w:asciiTheme="minorHAnsi" w:hAnsiTheme="minorHAnsi" w:cstheme="minorHAnsi"/>
              </w:rPr>
              <w:t>4</w:t>
            </w:r>
            <w:r w:rsidRPr="0013613A">
              <w:rPr>
                <w:rFonts w:asciiTheme="minorHAnsi" w:hAnsiTheme="minorHAnsi" w:cstheme="minorHAnsi"/>
              </w:rPr>
              <w:t>.1%</w:t>
            </w:r>
          </w:p>
        </w:tc>
        <w:tc>
          <w:tcPr>
            <w:tcW w:w="951" w:type="pct"/>
            <w:shd w:val="clear" w:color="auto" w:fill="auto"/>
            <w:vAlign w:val="center"/>
          </w:tcPr>
          <w:p w14:paraId="39EBE6A9" w14:textId="77777777"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0.0</w:t>
            </w:r>
          </w:p>
        </w:tc>
        <w:tc>
          <w:tcPr>
            <w:tcW w:w="908" w:type="pct"/>
            <w:shd w:val="clear" w:color="auto" w:fill="auto"/>
            <w:vAlign w:val="center"/>
          </w:tcPr>
          <w:p w14:paraId="29FCBADC" w14:textId="77777777"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0.0%</w:t>
            </w:r>
          </w:p>
        </w:tc>
      </w:tr>
      <w:tr w:rsidR="00C20457" w:rsidRPr="0013613A" w14:paraId="0C24ACB7" w14:textId="77777777" w:rsidTr="0013613A">
        <w:tc>
          <w:tcPr>
            <w:tcW w:w="1250" w:type="pct"/>
            <w:shd w:val="clear" w:color="auto" w:fill="F2F2F2" w:themeFill="background1" w:themeFillShade="F2"/>
            <w:vAlign w:val="center"/>
            <w:hideMark/>
          </w:tcPr>
          <w:p w14:paraId="19E2C988" w14:textId="77777777" w:rsidR="00C20457" w:rsidRPr="0013613A" w:rsidRDefault="00C20457" w:rsidP="003C713B">
            <w:pPr>
              <w:pStyle w:val="TableBody"/>
              <w:rPr>
                <w:rFonts w:asciiTheme="minorHAnsi" w:hAnsiTheme="minorHAnsi" w:cstheme="minorHAnsi"/>
                <w:lang w:eastAsia="en-AU"/>
              </w:rPr>
            </w:pPr>
            <w:r w:rsidRPr="0013613A">
              <w:rPr>
                <w:rFonts w:asciiTheme="minorHAnsi" w:hAnsiTheme="minorHAnsi" w:cstheme="minorHAnsi"/>
                <w:lang w:eastAsia="en-AU"/>
              </w:rPr>
              <w:t>Operating</w:t>
            </w:r>
          </w:p>
        </w:tc>
        <w:tc>
          <w:tcPr>
            <w:tcW w:w="1022" w:type="pct"/>
            <w:shd w:val="clear" w:color="auto" w:fill="auto"/>
            <w:vAlign w:val="center"/>
          </w:tcPr>
          <w:p w14:paraId="2C5A32C2" w14:textId="77777777"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0.4</w:t>
            </w:r>
          </w:p>
        </w:tc>
        <w:tc>
          <w:tcPr>
            <w:tcW w:w="869" w:type="pct"/>
            <w:shd w:val="clear" w:color="auto" w:fill="auto"/>
            <w:vAlign w:val="center"/>
          </w:tcPr>
          <w:p w14:paraId="1B5A19D7" w14:textId="2E3778B3"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7</w:t>
            </w:r>
            <w:r w:rsidR="004B307D">
              <w:rPr>
                <w:rFonts w:asciiTheme="minorHAnsi" w:hAnsiTheme="minorHAnsi" w:cstheme="minorHAnsi"/>
              </w:rPr>
              <w:t>1.8</w:t>
            </w:r>
            <w:r w:rsidRPr="0013613A">
              <w:rPr>
                <w:rFonts w:asciiTheme="minorHAnsi" w:hAnsiTheme="minorHAnsi" w:cstheme="minorHAnsi"/>
              </w:rPr>
              <w:t>%</w:t>
            </w:r>
          </w:p>
        </w:tc>
        <w:tc>
          <w:tcPr>
            <w:tcW w:w="951" w:type="pct"/>
            <w:shd w:val="clear" w:color="auto" w:fill="auto"/>
            <w:vAlign w:val="center"/>
          </w:tcPr>
          <w:p w14:paraId="6A9E0D04" w14:textId="77777777"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0.8</w:t>
            </w:r>
          </w:p>
        </w:tc>
        <w:tc>
          <w:tcPr>
            <w:tcW w:w="908" w:type="pct"/>
            <w:shd w:val="clear" w:color="auto" w:fill="auto"/>
            <w:vAlign w:val="center"/>
          </w:tcPr>
          <w:p w14:paraId="4C665055" w14:textId="287E975F" w:rsidR="00C20457" w:rsidRPr="0013613A" w:rsidRDefault="00C20457" w:rsidP="003C713B">
            <w:pPr>
              <w:pStyle w:val="TableBody"/>
              <w:rPr>
                <w:rFonts w:asciiTheme="minorHAnsi" w:hAnsiTheme="minorHAnsi" w:cstheme="minorHAnsi"/>
                <w:highlight w:val="yellow"/>
                <w:lang w:eastAsia="en-AU"/>
              </w:rPr>
            </w:pPr>
            <w:r w:rsidRPr="0013613A">
              <w:rPr>
                <w:rFonts w:asciiTheme="minorHAnsi" w:hAnsiTheme="minorHAnsi" w:cstheme="minorHAnsi"/>
              </w:rPr>
              <w:t>1</w:t>
            </w:r>
            <w:r w:rsidR="004B307D">
              <w:rPr>
                <w:rFonts w:asciiTheme="minorHAnsi" w:hAnsiTheme="minorHAnsi" w:cstheme="minorHAnsi"/>
              </w:rPr>
              <w:t>4.0</w:t>
            </w:r>
            <w:r w:rsidRPr="0013613A">
              <w:rPr>
                <w:rFonts w:asciiTheme="minorHAnsi" w:hAnsiTheme="minorHAnsi" w:cstheme="minorHAnsi"/>
              </w:rPr>
              <w:t>%</w:t>
            </w:r>
          </w:p>
        </w:tc>
      </w:tr>
      <w:tr w:rsidR="00C20457" w:rsidRPr="0013613A" w14:paraId="5A3D2CC6" w14:textId="77777777" w:rsidTr="0013613A">
        <w:tc>
          <w:tcPr>
            <w:tcW w:w="1250" w:type="pct"/>
            <w:shd w:val="clear" w:color="auto" w:fill="034EA2" w:themeFill="accent1"/>
            <w:vAlign w:val="center"/>
            <w:hideMark/>
          </w:tcPr>
          <w:p w14:paraId="7602A82B" w14:textId="77777777" w:rsidR="00C20457" w:rsidRPr="0013613A" w:rsidRDefault="00C20457" w:rsidP="0013613A">
            <w:pPr>
              <w:pStyle w:val="TableHeading"/>
              <w:rPr>
                <w:rFonts w:asciiTheme="minorHAnsi" w:hAnsiTheme="minorHAnsi" w:cstheme="minorHAnsi"/>
              </w:rPr>
            </w:pPr>
            <w:r w:rsidRPr="0013613A">
              <w:rPr>
                <w:rFonts w:asciiTheme="minorHAnsi" w:hAnsiTheme="minorHAnsi" w:cstheme="minorHAnsi"/>
              </w:rPr>
              <w:t xml:space="preserve">Total critical </w:t>
            </w:r>
            <w:r w:rsidR="00D45F03" w:rsidRPr="0013613A">
              <w:rPr>
                <w:rFonts w:asciiTheme="minorHAnsi" w:hAnsiTheme="minorHAnsi" w:cstheme="minorHAnsi"/>
              </w:rPr>
              <w:t>payment system</w:t>
            </w:r>
            <w:r w:rsidRPr="0013613A">
              <w:rPr>
                <w:rFonts w:asciiTheme="minorHAnsi" w:hAnsiTheme="minorHAnsi" w:cstheme="minorHAnsi"/>
              </w:rPr>
              <w:t xml:space="preserve"> assets</w:t>
            </w:r>
          </w:p>
        </w:tc>
        <w:tc>
          <w:tcPr>
            <w:tcW w:w="1022" w:type="pct"/>
            <w:shd w:val="clear" w:color="auto" w:fill="034EA2" w:themeFill="accent1"/>
            <w:vAlign w:val="center"/>
          </w:tcPr>
          <w:p w14:paraId="5EFA6298" w14:textId="77777777" w:rsidR="00C20457" w:rsidRPr="0013613A" w:rsidRDefault="00C20457" w:rsidP="0013613A">
            <w:pPr>
              <w:pStyle w:val="TableHeading"/>
              <w:rPr>
                <w:rFonts w:asciiTheme="minorHAnsi" w:hAnsiTheme="minorHAnsi" w:cstheme="minorHAnsi"/>
              </w:rPr>
            </w:pPr>
            <w:r w:rsidRPr="0013613A">
              <w:rPr>
                <w:rFonts w:asciiTheme="minorHAnsi" w:hAnsiTheme="minorHAnsi" w:cstheme="minorHAnsi"/>
              </w:rPr>
              <w:t>0.6</w:t>
            </w:r>
          </w:p>
        </w:tc>
        <w:tc>
          <w:tcPr>
            <w:tcW w:w="869" w:type="pct"/>
            <w:shd w:val="clear" w:color="auto" w:fill="034EA2" w:themeFill="accent1"/>
            <w:vAlign w:val="center"/>
            <w:hideMark/>
          </w:tcPr>
          <w:p w14:paraId="46A54D7D" w14:textId="77777777" w:rsidR="00C20457" w:rsidRPr="0013613A" w:rsidRDefault="00C20457" w:rsidP="0013613A">
            <w:pPr>
              <w:pStyle w:val="TableHeading"/>
              <w:rPr>
                <w:rFonts w:asciiTheme="minorHAnsi" w:hAnsiTheme="minorHAnsi" w:cstheme="minorHAnsi"/>
              </w:rPr>
            </w:pPr>
            <w:r w:rsidRPr="0013613A">
              <w:rPr>
                <w:rFonts w:asciiTheme="minorHAnsi" w:hAnsiTheme="minorHAnsi" w:cstheme="minorHAnsi"/>
              </w:rPr>
              <w:t>100.0</w:t>
            </w:r>
          </w:p>
        </w:tc>
        <w:tc>
          <w:tcPr>
            <w:tcW w:w="951" w:type="pct"/>
            <w:shd w:val="clear" w:color="auto" w:fill="034EA2" w:themeFill="accent1"/>
            <w:vAlign w:val="center"/>
          </w:tcPr>
          <w:p w14:paraId="4E9AA04E" w14:textId="42B90E26" w:rsidR="00C20457" w:rsidRPr="0013613A" w:rsidRDefault="00C20457" w:rsidP="0013613A">
            <w:pPr>
              <w:pStyle w:val="TableHeading"/>
              <w:rPr>
                <w:rFonts w:asciiTheme="minorHAnsi" w:hAnsiTheme="minorHAnsi" w:cstheme="minorHAnsi"/>
              </w:rPr>
            </w:pPr>
            <w:r w:rsidRPr="0013613A">
              <w:rPr>
                <w:rFonts w:asciiTheme="minorHAnsi" w:hAnsiTheme="minorHAnsi" w:cstheme="minorHAnsi"/>
              </w:rPr>
              <w:t>5.</w:t>
            </w:r>
            <w:r w:rsidR="002518C1">
              <w:rPr>
                <w:rFonts w:asciiTheme="minorHAnsi" w:hAnsiTheme="minorHAnsi" w:cstheme="minorHAnsi"/>
              </w:rPr>
              <w:t>7</w:t>
            </w:r>
          </w:p>
        </w:tc>
        <w:tc>
          <w:tcPr>
            <w:tcW w:w="908" w:type="pct"/>
            <w:shd w:val="clear" w:color="auto" w:fill="034EA2" w:themeFill="accent1"/>
            <w:vAlign w:val="center"/>
            <w:hideMark/>
          </w:tcPr>
          <w:p w14:paraId="1D04BFC2" w14:textId="77777777" w:rsidR="00C20457" w:rsidRPr="0013613A" w:rsidRDefault="00C20457" w:rsidP="0013613A">
            <w:pPr>
              <w:pStyle w:val="TableHeading"/>
              <w:rPr>
                <w:rFonts w:asciiTheme="minorHAnsi" w:hAnsiTheme="minorHAnsi" w:cstheme="minorHAnsi"/>
              </w:rPr>
            </w:pPr>
            <w:r w:rsidRPr="0013613A">
              <w:rPr>
                <w:rFonts w:asciiTheme="minorHAnsi" w:hAnsiTheme="minorHAnsi" w:cstheme="minorHAnsi"/>
              </w:rPr>
              <w:t>100.0</w:t>
            </w:r>
          </w:p>
        </w:tc>
      </w:tr>
    </w:tbl>
    <w:p w14:paraId="2128F0E1" w14:textId="77777777" w:rsidR="00C20457" w:rsidRPr="002F1B2B" w:rsidRDefault="00C20457" w:rsidP="00323D0C">
      <w:pPr>
        <w:pStyle w:val="AppendixH2"/>
      </w:pPr>
      <w:r w:rsidRPr="002F1B2B">
        <w:t>Benefits of option 2</w:t>
      </w:r>
    </w:p>
    <w:p w14:paraId="3AADA2B5" w14:textId="77777777" w:rsidR="00C20457" w:rsidRPr="00E9705C" w:rsidRDefault="00C20457" w:rsidP="00C20457">
      <w:pPr>
        <w:spacing w:after="160"/>
        <w:rPr>
          <w:rFonts w:ascii="Arial" w:eastAsia="Calibri" w:hAnsi="Arial" w:cs="Arial"/>
          <w:sz w:val="22"/>
        </w:rPr>
      </w:pPr>
      <w:r w:rsidRPr="00E9705C">
        <w:rPr>
          <w:rFonts w:ascii="Arial" w:eastAsia="Calibri" w:hAnsi="Arial" w:cs="Arial"/>
          <w:sz w:val="22"/>
        </w:rPr>
        <w:t xml:space="preserve">A reliable </w:t>
      </w:r>
      <w:r w:rsidRPr="00236003">
        <w:rPr>
          <w:rFonts w:ascii="Arial" w:eastAsia="Calibri" w:hAnsi="Arial" w:cs="Arial"/>
          <w:sz w:val="22"/>
        </w:rPr>
        <w:t xml:space="preserve">continuous payment systems </w:t>
      </w:r>
      <w:r w:rsidRPr="00E9705C">
        <w:rPr>
          <w:rFonts w:ascii="Arial" w:eastAsia="Calibri" w:hAnsi="Arial" w:cs="Arial"/>
          <w:sz w:val="22"/>
        </w:rPr>
        <w:t xml:space="preserve">supply is central to Australia’s prosperity. Further, disruption to supply can be a significant cost to the economy. The </w:t>
      </w:r>
      <w:r>
        <w:rPr>
          <w:rFonts w:ascii="Arial" w:eastAsia="Calibri" w:hAnsi="Arial" w:cs="Arial"/>
          <w:sz w:val="22"/>
        </w:rPr>
        <w:t>RMP</w:t>
      </w:r>
      <w:r w:rsidRPr="00E9705C">
        <w:rPr>
          <w:rFonts w:ascii="Arial" w:eastAsia="Calibri" w:hAnsi="Arial" w:cs="Arial"/>
          <w:sz w:val="22"/>
        </w:rPr>
        <w:t xml:space="preserve"> framework aims to reduce the frequency and impact of any disruption to supply and so its primary benefit is to avoid the incidents that may otherwise disrupt supply and cause economic loss.</w:t>
      </w:r>
    </w:p>
    <w:p w14:paraId="3247D1B9" w14:textId="77777777" w:rsidR="00C20457" w:rsidRPr="00E9705C" w:rsidRDefault="00C20457" w:rsidP="00323D0C">
      <w:pPr>
        <w:pStyle w:val="AppendixH3"/>
        <w:rPr>
          <w:rFonts w:eastAsia="Calibri"/>
        </w:rPr>
      </w:pPr>
      <w:r w:rsidRPr="00E9705C">
        <w:rPr>
          <w:rFonts w:eastAsia="Calibri"/>
        </w:rPr>
        <w:t xml:space="preserve">Economic impacts of disruptions to </w:t>
      </w:r>
      <w:r w:rsidRPr="000B3CC0">
        <w:rPr>
          <w:rFonts w:eastAsia="Calibri"/>
        </w:rPr>
        <w:t xml:space="preserve">payment systems </w:t>
      </w:r>
      <w:r w:rsidRPr="00E9705C">
        <w:rPr>
          <w:rFonts w:eastAsia="Calibri"/>
        </w:rPr>
        <w:t xml:space="preserve">supply </w:t>
      </w:r>
    </w:p>
    <w:p w14:paraId="08456321" w14:textId="77777777" w:rsidR="00C20457" w:rsidRPr="00E9705C" w:rsidRDefault="00C20457" w:rsidP="00323D0C">
      <w:pPr>
        <w:pStyle w:val="BodyText"/>
      </w:pPr>
      <w:r w:rsidRPr="00E9705C">
        <w:t xml:space="preserve">Damage to </w:t>
      </w:r>
      <w:r>
        <w:t>critical payment system</w:t>
      </w:r>
      <w:r w:rsidRPr="00E9705C">
        <w:t>s can subsequently disrupt businesses and households. These events can generate costly immediate and longer-term impacts on the Australian economy. The immediate</w:t>
      </w:r>
      <w:r w:rsidRPr="00E9705C">
        <w:rPr>
          <w:rFonts w:eastAsia="Arial"/>
        </w:rPr>
        <w:t xml:space="preserve"> impacts of a </w:t>
      </w:r>
      <w:r w:rsidRPr="000E759E">
        <w:rPr>
          <w:rFonts w:eastAsia="Arial"/>
        </w:rPr>
        <w:t>payment systems</w:t>
      </w:r>
      <w:r w:rsidRPr="00E9705C">
        <w:rPr>
          <w:rFonts w:eastAsia="Arial"/>
        </w:rPr>
        <w:t xml:space="preserve"> outage are those </w:t>
      </w:r>
      <w:r w:rsidRPr="00323D0C">
        <w:t>associated</w:t>
      </w:r>
      <w:r w:rsidRPr="00E9705C">
        <w:rPr>
          <w:rFonts w:eastAsia="Arial"/>
        </w:rPr>
        <w:t xml:space="preserve"> with loss of access to </w:t>
      </w:r>
      <w:r w:rsidRPr="000E759E">
        <w:t>payment systems</w:t>
      </w:r>
      <w:r w:rsidRPr="00E9705C">
        <w:t xml:space="preserve"> or increased </w:t>
      </w:r>
      <w:r w:rsidR="00CA41DE">
        <w:t xml:space="preserve">cost of accessing </w:t>
      </w:r>
      <w:r w:rsidRPr="000E759E">
        <w:t>payment systems</w:t>
      </w:r>
      <w:r w:rsidRPr="00E9705C">
        <w:t xml:space="preserve"> </w:t>
      </w:r>
      <w:r w:rsidR="00CA41DE">
        <w:t>services</w:t>
      </w:r>
      <w:r w:rsidRPr="00E9705C">
        <w:t>, such as:</w:t>
      </w:r>
    </w:p>
    <w:p w14:paraId="68F88FF3" w14:textId="77777777" w:rsidR="00C20457" w:rsidRPr="00E9705C" w:rsidRDefault="00C20457" w:rsidP="00323D0C">
      <w:pPr>
        <w:pStyle w:val="Bullet1stlevel"/>
      </w:pPr>
      <w:r w:rsidRPr="00E9705C">
        <w:t xml:space="preserve">Lost </w:t>
      </w:r>
      <w:r w:rsidR="00CA41DE">
        <w:t>economic activity</w:t>
      </w:r>
      <w:r w:rsidRPr="00E9705C">
        <w:t xml:space="preserve"> (e.g. </w:t>
      </w:r>
      <w:r w:rsidR="00CA41DE">
        <w:t>ability to conduct business may cease due to inability to process payment</w:t>
      </w:r>
      <w:r w:rsidRPr="00E9705C">
        <w:t>);</w:t>
      </w:r>
    </w:p>
    <w:p w14:paraId="22B74880" w14:textId="77777777" w:rsidR="00C20457" w:rsidRPr="00E9705C" w:rsidRDefault="00C20457" w:rsidP="00323D0C">
      <w:pPr>
        <w:pStyle w:val="Bullet1stlevel"/>
      </w:pPr>
      <w:r w:rsidRPr="00E9705C">
        <w:t>Lost productivity (e.g. workers may be idle whilst continuing to receive wages);</w:t>
      </w:r>
    </w:p>
    <w:p w14:paraId="6C652D90" w14:textId="77777777" w:rsidR="00C20457" w:rsidRPr="00E9705C" w:rsidRDefault="00C20457" w:rsidP="00323D0C">
      <w:pPr>
        <w:pStyle w:val="Bullet1stlevel"/>
      </w:pPr>
      <w:r w:rsidRPr="00E9705C">
        <w:t xml:space="preserve">Lost wages (e.g. workers may be sent home or unable to go to work); </w:t>
      </w:r>
      <w:r>
        <w:t>and</w:t>
      </w:r>
    </w:p>
    <w:p w14:paraId="0091F011" w14:textId="77777777" w:rsidR="00C20457" w:rsidRDefault="00C20457" w:rsidP="00323D0C">
      <w:pPr>
        <w:pStyle w:val="AppendixH3"/>
      </w:pPr>
      <w:r w:rsidRPr="002F1B2B">
        <w:t xml:space="preserve">CGE Modelling Approach </w:t>
      </w:r>
    </w:p>
    <w:p w14:paraId="79B36E4D" w14:textId="77777777" w:rsidR="00C20457" w:rsidRPr="006B61BA" w:rsidRDefault="00C20457" w:rsidP="00323D0C">
      <w:pPr>
        <w:pStyle w:val="BodyText"/>
      </w:pPr>
      <w:r w:rsidRPr="006B61BA">
        <w:t xml:space="preserve">To analyse the direct and indirect economic contributions of </w:t>
      </w:r>
      <w:r w:rsidR="00814692">
        <w:t>a payment systems outage</w:t>
      </w:r>
      <w:r w:rsidRPr="006B61BA">
        <w:t xml:space="preserve"> due 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w:t>
      </w:r>
    </w:p>
    <w:p w14:paraId="739B6DAB" w14:textId="77777777" w:rsidR="00C20457" w:rsidRPr="00E9705C" w:rsidRDefault="00C20457" w:rsidP="00323D0C">
      <w:pPr>
        <w:pStyle w:val="BodyText"/>
      </w:pPr>
      <w:r w:rsidRPr="00E9705C">
        <w:t xml:space="preserve">Defining features of the theoretical structure of the model are: </w:t>
      </w:r>
    </w:p>
    <w:p w14:paraId="2CCB1B81" w14:textId="77777777" w:rsidR="00C20457" w:rsidRPr="00E9705C" w:rsidRDefault="00C20457" w:rsidP="00323D0C">
      <w:pPr>
        <w:pStyle w:val="Bullet1stlevel"/>
        <w:rPr>
          <w:rFonts w:ascii="Calibri" w:eastAsia="Times New Roman" w:hAnsi="Calibri" w:cs="Times New Roman"/>
        </w:rPr>
      </w:pPr>
      <w:r w:rsidRPr="00E9705C">
        <w:t xml:space="preserve">Optimising behaviour by households and businesses in the context of competitive markets with explicit resource and budget constraints; </w:t>
      </w:r>
    </w:p>
    <w:p w14:paraId="06EAEA60" w14:textId="77777777" w:rsidR="00C20457" w:rsidRPr="00E9705C" w:rsidRDefault="00C20457" w:rsidP="00323D0C">
      <w:pPr>
        <w:pStyle w:val="Bullet1stlevel"/>
        <w:rPr>
          <w:rFonts w:ascii="Calibri" w:eastAsia="Times New Roman" w:hAnsi="Calibri" w:cs="Times New Roman"/>
        </w:rPr>
      </w:pPr>
      <w:r w:rsidRPr="00E9705C">
        <w:t xml:space="preserve">The price mechanism operates to clear markets for goods and factors such as labour and capital (i.e. prices adjust so that supply equals demand); and </w:t>
      </w:r>
    </w:p>
    <w:p w14:paraId="7D2E156D" w14:textId="77777777" w:rsidR="00C20457" w:rsidRPr="00E9705C" w:rsidRDefault="00C20457" w:rsidP="00323D0C">
      <w:pPr>
        <w:pStyle w:val="Bullet1stlevel"/>
      </w:pPr>
      <w:r w:rsidRPr="00E9705C">
        <w:t xml:space="preserve">At the margin, costs are equal to revenues in all economic activities. </w:t>
      </w:r>
    </w:p>
    <w:p w14:paraId="6BF8EB69" w14:textId="77777777" w:rsidR="00814692" w:rsidRPr="00AD6A3B" w:rsidRDefault="00814692" w:rsidP="00814692">
      <w:pPr>
        <w:spacing w:after="160"/>
        <w:rPr>
          <w:rFonts w:ascii="Arial" w:eastAsia="Arial" w:hAnsi="Arial" w:cs="Arial"/>
          <w:sz w:val="22"/>
        </w:rPr>
      </w:pPr>
      <w:r w:rsidRPr="00AD6A3B">
        <w:rPr>
          <w:rFonts w:ascii="Arial" w:eastAsia="Arial" w:hAnsi="Arial" w:cs="Arial"/>
          <w:sz w:val="22"/>
        </w:rPr>
        <w:t xml:space="preserve">The modelling framework is suited to analysing the economic impact of </w:t>
      </w:r>
      <w:r>
        <w:rPr>
          <w:rFonts w:ascii="Arial" w:eastAsia="Arial" w:hAnsi="Arial" w:cs="Arial"/>
          <w:sz w:val="22"/>
        </w:rPr>
        <w:t>a payment systems outage</w:t>
      </w:r>
      <w:r w:rsidRPr="00AD6A3B">
        <w:rPr>
          <w:rFonts w:ascii="Arial" w:eastAsia="Arial" w:hAnsi="Arial" w:cs="Arial"/>
          <w:sz w:val="22"/>
        </w:rPr>
        <w:t xml:space="preserve"> as it explicitly captures supply-chain linkages as well as other flow-on effects and feedback responses by all economic agents. The strength of CGE models is that they capture the upstream </w:t>
      </w:r>
      <w:r w:rsidRPr="00AD6A3B">
        <w:rPr>
          <w:rFonts w:ascii="Arial" w:eastAsia="Arial" w:hAnsi="Arial" w:cs="Arial"/>
          <w:sz w:val="22"/>
        </w:rPr>
        <w:lastRenderedPageBreak/>
        <w:t xml:space="preserve">and </w:t>
      </w:r>
      <w:r w:rsidRPr="00121A68">
        <w:rPr>
          <w:rFonts w:ascii="Arial" w:eastAsia="Arial" w:hAnsi="Arial" w:cs="Arial"/>
          <w:color w:val="000000" w:themeColor="text1"/>
          <w:sz w:val="22"/>
        </w:rPr>
        <w:t xml:space="preserve">downstream linkages between the activities induced by the </w:t>
      </w:r>
      <w:r w:rsidRPr="00121A68">
        <w:rPr>
          <w:rFonts w:ascii="Arial" w:eastAsia="Calibri" w:hAnsi="Arial" w:cs="Arial"/>
          <w:color w:val="000000" w:themeColor="text1"/>
          <w:sz w:val="22"/>
        </w:rPr>
        <w:t>outage</w:t>
      </w:r>
      <w:r w:rsidRPr="00AD6A3B">
        <w:rPr>
          <w:rFonts w:ascii="Arial" w:eastAsia="Arial" w:hAnsi="Arial" w:cs="Arial"/>
          <w:sz w:val="22"/>
        </w:rPr>
        <w:t xml:space="preserve"> and the rest of the economy in a framework that combines detailed historical data with fundamental economic theory. </w:t>
      </w:r>
    </w:p>
    <w:p w14:paraId="476BFBE0" w14:textId="77777777" w:rsidR="00C20457" w:rsidRPr="00180A8F" w:rsidRDefault="00C20457" w:rsidP="00323D0C">
      <w:pPr>
        <w:pStyle w:val="AppendixH3"/>
      </w:pPr>
      <w:r w:rsidRPr="00CA41DE">
        <w:t>S</w:t>
      </w:r>
      <w:r w:rsidRPr="00180A8F">
        <w:t>cenarios</w:t>
      </w:r>
    </w:p>
    <w:p w14:paraId="14AAAD66" w14:textId="77777777" w:rsidR="00814692" w:rsidRPr="00341BFB" w:rsidRDefault="00814692" w:rsidP="00323D0C">
      <w:pPr>
        <w:pStyle w:val="BodyText"/>
      </w:pPr>
      <w:r w:rsidRPr="00341BFB">
        <w:t xml:space="preserve">The CGE modelling provided estimates regarding how sensitive the Australian economy is to a shock to the </w:t>
      </w:r>
      <w:r>
        <w:t>payment</w:t>
      </w:r>
      <w:r w:rsidRPr="00341BFB">
        <w:t xml:space="preserve"> system</w:t>
      </w:r>
      <w:r>
        <w:t xml:space="preserve"> ecosystem</w:t>
      </w:r>
      <w:r w:rsidRPr="00341BFB">
        <w:t xml:space="preserve">. This analysis was undertaken by deriving a set of hypothetical modelling scenarios based on assumptions about the impact of a disruption to </w:t>
      </w:r>
      <w:r>
        <w:t xml:space="preserve">payment systems </w:t>
      </w:r>
      <w:r w:rsidRPr="00341BFB">
        <w:t xml:space="preserve">services. The scope of the hypothetical scenarios was based on studies of </w:t>
      </w:r>
      <w:r>
        <w:t>real-world</w:t>
      </w:r>
      <w:r w:rsidRPr="00341BFB">
        <w:t xml:space="preserve"> events which are discussed below. </w:t>
      </w:r>
    </w:p>
    <w:p w14:paraId="72CAE08B" w14:textId="77777777" w:rsidR="00C20457" w:rsidRPr="00180A8F" w:rsidRDefault="00C20457" w:rsidP="00323D0C">
      <w:pPr>
        <w:pStyle w:val="AppendixH3"/>
      </w:pPr>
      <w:r w:rsidRPr="00180A8F">
        <w:t>Case studies</w:t>
      </w:r>
    </w:p>
    <w:p w14:paraId="6C152111" w14:textId="77777777" w:rsidR="00C20457" w:rsidRPr="00900EDD" w:rsidRDefault="00C20457" w:rsidP="00323D0C">
      <w:pPr>
        <w:pStyle w:val="BodyText"/>
      </w:pPr>
      <w:r w:rsidRPr="00900EDD">
        <w:t xml:space="preserve">The case studies provided </w:t>
      </w:r>
      <w:r w:rsidR="000241BD">
        <w:t>in the table below</w:t>
      </w:r>
      <w:r w:rsidRPr="00900EDD">
        <w:t xml:space="preserve"> provide a basis for modelling hypothetical, but comparable outages, in an economy-wide model and contextualising the results of that modelling. Case studies have been chosen to provide insights into the economy-wide costs to households and businesses of large-scale and severe payment systems disruption events. </w:t>
      </w:r>
    </w:p>
    <w:p w14:paraId="01A26AA9" w14:textId="77777777" w:rsidR="00C20457" w:rsidRPr="00E9705C" w:rsidRDefault="000241BD" w:rsidP="00323D0C">
      <w:pPr>
        <w:pStyle w:val="Caption"/>
      </w:pPr>
      <w:bookmarkStart w:id="659" w:name="_Toc90479764"/>
      <w:r>
        <w:t>Payment systems disruption</w:t>
      </w:r>
      <w:r w:rsidR="00C20457" w:rsidRPr="00E9705C">
        <w:t xml:space="preserve"> case studies in Australia and globally</w:t>
      </w:r>
      <w:bookmarkEnd w:id="659"/>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550"/>
        <w:gridCol w:w="8088"/>
      </w:tblGrid>
      <w:tr w:rsidR="00C20457" w:rsidRPr="00E9705C" w14:paraId="46AEB4B7" w14:textId="77777777" w:rsidTr="0013613A">
        <w:trPr>
          <w:trHeight w:val="279"/>
        </w:trPr>
        <w:tc>
          <w:tcPr>
            <w:tcW w:w="804" w:type="pct"/>
            <w:shd w:val="clear" w:color="auto" w:fill="034EA2" w:themeFill="accent1"/>
          </w:tcPr>
          <w:p w14:paraId="4EE29502" w14:textId="77777777" w:rsidR="00C20457" w:rsidRPr="000F20CF" w:rsidRDefault="00C20457" w:rsidP="0013613A">
            <w:pPr>
              <w:pStyle w:val="TableHeading"/>
            </w:pPr>
            <w:r w:rsidRPr="000F20CF">
              <w:t>Incident</w:t>
            </w:r>
          </w:p>
        </w:tc>
        <w:tc>
          <w:tcPr>
            <w:tcW w:w="4196" w:type="pct"/>
            <w:shd w:val="clear" w:color="auto" w:fill="034EA2" w:themeFill="accent1"/>
          </w:tcPr>
          <w:p w14:paraId="657B4FBB" w14:textId="77777777" w:rsidR="00C20457" w:rsidRPr="000F20CF" w:rsidRDefault="00C20457" w:rsidP="0013613A">
            <w:pPr>
              <w:pStyle w:val="TableHeading"/>
            </w:pPr>
            <w:r w:rsidRPr="000F20CF">
              <w:t>Summary of incident</w:t>
            </w:r>
          </w:p>
        </w:tc>
      </w:tr>
      <w:tr w:rsidR="00C20457" w:rsidRPr="00E9705C" w14:paraId="317CB552" w14:textId="77777777" w:rsidTr="0013613A">
        <w:tc>
          <w:tcPr>
            <w:tcW w:w="804" w:type="pct"/>
          </w:tcPr>
          <w:p w14:paraId="3757AD05" w14:textId="77777777" w:rsidR="00C20457" w:rsidRPr="000F20CF" w:rsidRDefault="00C46F30" w:rsidP="0013613A">
            <w:pPr>
              <w:pStyle w:val="TableBody"/>
              <w:rPr>
                <w:rFonts w:eastAsia="Calibri"/>
              </w:rPr>
            </w:pPr>
            <w:r w:rsidRPr="000F20CF">
              <w:rPr>
                <w:rFonts w:eastAsia="Calibri"/>
              </w:rPr>
              <w:t>Major Banks Denial of Service Attack (2021)</w:t>
            </w:r>
          </w:p>
        </w:tc>
        <w:tc>
          <w:tcPr>
            <w:tcW w:w="4196" w:type="pct"/>
            <w:shd w:val="clear" w:color="auto" w:fill="auto"/>
          </w:tcPr>
          <w:p w14:paraId="399558CE" w14:textId="77777777" w:rsidR="00C20457" w:rsidRPr="000F20CF" w:rsidRDefault="00B87B1A" w:rsidP="0013613A">
            <w:pPr>
              <w:pStyle w:val="TableBody"/>
              <w:rPr>
                <w:rFonts w:eastAsia="Arial"/>
              </w:rPr>
            </w:pPr>
            <w:r w:rsidRPr="000F20CF">
              <w:rPr>
                <w:rFonts w:eastAsia="Arial"/>
              </w:rPr>
              <w:t>Australia’s major banks internet services and payment terminals, as well as those of other major Australian brands, experienced outages on 17 June 2021. The outage was due to an issue with technology company Akamai’s distributed denial of service mitigation platform ‘Prolexic’. Enduring impacts were minimal, but essential payment, travel and postal service caused inconvenience to customers.</w:t>
            </w:r>
          </w:p>
        </w:tc>
      </w:tr>
      <w:tr w:rsidR="00C46F30" w:rsidRPr="00E9705C" w14:paraId="3EB6438D" w14:textId="77777777" w:rsidTr="0013613A">
        <w:tc>
          <w:tcPr>
            <w:tcW w:w="804" w:type="pct"/>
          </w:tcPr>
          <w:p w14:paraId="1844E681" w14:textId="77777777" w:rsidR="00C46F30" w:rsidRPr="000F20CF" w:rsidRDefault="00C46F30" w:rsidP="0013613A">
            <w:pPr>
              <w:pStyle w:val="TableBody"/>
              <w:rPr>
                <w:rFonts w:eastAsia="Calibri"/>
              </w:rPr>
            </w:pPr>
            <w:r w:rsidRPr="000F20CF">
              <w:rPr>
                <w:rFonts w:eastAsia="Calibri"/>
              </w:rPr>
              <w:t>Boxing Day Malfunctions (2018)</w:t>
            </w:r>
          </w:p>
        </w:tc>
        <w:tc>
          <w:tcPr>
            <w:tcW w:w="4196" w:type="pct"/>
            <w:shd w:val="clear" w:color="auto" w:fill="auto"/>
          </w:tcPr>
          <w:p w14:paraId="264BA2EE" w14:textId="77777777" w:rsidR="00C46F30" w:rsidRPr="000F20CF" w:rsidRDefault="00B87B1A" w:rsidP="0013613A">
            <w:pPr>
              <w:pStyle w:val="TableBody"/>
              <w:rPr>
                <w:vertAlign w:val="superscript"/>
              </w:rPr>
            </w:pPr>
            <w:r w:rsidRPr="000F20CF">
              <w:rPr>
                <w:rFonts w:eastAsia="Arial"/>
              </w:rPr>
              <w:t>On Boxing Day 2018 Westpac and ANZ eftpos and mobile banking applications experienced significant malfunctions throughout the day, while Coles-Myer gift cards were unable to be accepted. ANZ</w:t>
            </w:r>
            <w:r w:rsidR="001177B3" w:rsidRPr="000F20CF">
              <w:rPr>
                <w:rFonts w:eastAsia="Arial"/>
              </w:rPr>
              <w:t xml:space="preserve"> and Coles-Myer</w:t>
            </w:r>
            <w:r w:rsidRPr="000F20CF">
              <w:rPr>
                <w:rFonts w:eastAsia="Arial"/>
              </w:rPr>
              <w:t xml:space="preserve"> </w:t>
            </w:r>
            <w:r w:rsidR="001177B3" w:rsidRPr="000F20CF">
              <w:rPr>
                <w:rFonts w:eastAsia="Arial"/>
              </w:rPr>
              <w:t>were both</w:t>
            </w:r>
            <w:r w:rsidRPr="000F20CF">
              <w:rPr>
                <w:rFonts w:eastAsia="Arial"/>
              </w:rPr>
              <w:t xml:space="preserve"> able to restore services by Boxing Day evening, </w:t>
            </w:r>
            <w:r w:rsidR="001177B3" w:rsidRPr="000F20CF">
              <w:rPr>
                <w:rFonts w:eastAsia="Arial"/>
              </w:rPr>
              <w:t xml:space="preserve">while </w:t>
            </w:r>
            <w:r w:rsidRPr="000F20CF">
              <w:rPr>
                <w:rFonts w:eastAsia="Arial"/>
              </w:rPr>
              <w:t>Westpac’s issues weren’t resolved by the end of the day</w:t>
            </w:r>
            <w:r w:rsidR="001177B3" w:rsidRPr="000F20CF">
              <w:rPr>
                <w:rFonts w:eastAsia="Arial"/>
              </w:rPr>
              <w:t xml:space="preserve">. The outages came on a day when Australians were expected to spend as much as $2.62 billion as considering Boxing Day sales. </w:t>
            </w:r>
          </w:p>
        </w:tc>
      </w:tr>
      <w:tr w:rsidR="00C46F30" w:rsidRPr="00E9705C" w14:paraId="457462B7" w14:textId="77777777" w:rsidTr="0013613A">
        <w:tc>
          <w:tcPr>
            <w:tcW w:w="804" w:type="pct"/>
          </w:tcPr>
          <w:p w14:paraId="714A4FD0" w14:textId="77777777" w:rsidR="00C46F30" w:rsidRPr="000F20CF" w:rsidRDefault="00C46F30" w:rsidP="0013613A">
            <w:pPr>
              <w:pStyle w:val="TableBody"/>
              <w:rPr>
                <w:rFonts w:eastAsia="Calibri"/>
              </w:rPr>
            </w:pPr>
            <w:r w:rsidRPr="000F20CF">
              <w:rPr>
                <w:rFonts w:eastAsia="Calibri"/>
              </w:rPr>
              <w:t>NAB nationwide service outage (2018)</w:t>
            </w:r>
          </w:p>
        </w:tc>
        <w:tc>
          <w:tcPr>
            <w:tcW w:w="4196" w:type="pct"/>
            <w:shd w:val="clear" w:color="auto" w:fill="auto"/>
          </w:tcPr>
          <w:p w14:paraId="4AE4C55D" w14:textId="77777777" w:rsidR="00C46F30" w:rsidRPr="000F20CF" w:rsidRDefault="001177B3" w:rsidP="0013613A">
            <w:pPr>
              <w:pStyle w:val="TableBody"/>
              <w:rPr>
                <w:vertAlign w:val="superscript"/>
              </w:rPr>
            </w:pPr>
            <w:r w:rsidRPr="000F20CF">
              <w:rPr>
                <w:rFonts w:eastAsia="Arial"/>
              </w:rPr>
              <w:t xml:space="preserve">In early 2018, NAB experienced extended outages across its internet and mobile banking ATMs and eftpos, with disruptions lasting almost seven hours on a Saturday. The outage was caused by a power issue in the bank’s mainframe in Melbourne. Compensation payments to businesses for losses incurred as a result of the outage totalled $7.4 million. </w:t>
            </w:r>
          </w:p>
        </w:tc>
      </w:tr>
    </w:tbl>
    <w:p w14:paraId="1CFBEFD5" w14:textId="77777777" w:rsidR="00C20457" w:rsidRPr="001177B3" w:rsidRDefault="00C20457" w:rsidP="0013613A">
      <w:pPr>
        <w:pStyle w:val="BodyText"/>
        <w:spacing w:before="240"/>
      </w:pPr>
      <w:r w:rsidRPr="001177B3">
        <w:t xml:space="preserve">These three case studies highlight that </w:t>
      </w:r>
      <w:r w:rsidR="00900EDD" w:rsidRPr="001177B3">
        <w:t>payment systems disruptions</w:t>
      </w:r>
      <w:r w:rsidRPr="001177B3">
        <w:t xml:space="preserve"> inflict substantial direct and indirect costs on </w:t>
      </w:r>
      <w:r w:rsidR="00900EDD" w:rsidRPr="001177B3">
        <w:t>businesse</w:t>
      </w:r>
      <w:r w:rsidR="008418F9" w:rsidRPr="001177B3">
        <w:t>s</w:t>
      </w:r>
      <w:r w:rsidRPr="001177B3">
        <w:t xml:space="preserve"> and households alike</w:t>
      </w:r>
      <w:r w:rsidR="00CF7EE1" w:rsidRPr="001177B3">
        <w:t xml:space="preserve">. The </w:t>
      </w:r>
      <w:r w:rsidR="00A02AE6" w:rsidRPr="001177B3">
        <w:t xml:space="preserve">Boxing Day 2018 </w:t>
      </w:r>
      <w:r w:rsidR="000E7A7A" w:rsidRPr="001177B3">
        <w:t>thi</w:t>
      </w:r>
      <w:r w:rsidR="004A57E7" w:rsidRPr="001177B3">
        <w:t>r</w:t>
      </w:r>
      <w:r w:rsidR="000E7A7A" w:rsidRPr="001177B3">
        <w:t>d-party gift card prov</w:t>
      </w:r>
      <w:r w:rsidR="004A57E7" w:rsidRPr="001177B3">
        <w:t>i</w:t>
      </w:r>
      <w:r w:rsidR="000E7A7A" w:rsidRPr="001177B3">
        <w:t>der inci</w:t>
      </w:r>
      <w:r w:rsidR="004A57E7" w:rsidRPr="001177B3">
        <w:t>dent</w:t>
      </w:r>
      <w:r w:rsidR="00A02AE6" w:rsidRPr="001177B3">
        <w:t>,</w:t>
      </w:r>
      <w:r w:rsidR="004A57E7" w:rsidRPr="001177B3">
        <w:t xml:space="preserve"> which occurred during one of the busiest </w:t>
      </w:r>
      <w:r w:rsidR="00A02AE6" w:rsidRPr="001177B3">
        <w:t>shopping days of the year, shows the importance of con</w:t>
      </w:r>
      <w:r w:rsidR="00BB6D8E" w:rsidRPr="001177B3">
        <w:t xml:space="preserve">tingency arrangements </w:t>
      </w:r>
      <w:r w:rsidR="000E49AB" w:rsidRPr="001177B3">
        <w:t>in the event of an outage. The 2021</w:t>
      </w:r>
      <w:r w:rsidR="00EB6F0C" w:rsidRPr="001177B3">
        <w:t xml:space="preserve"> </w:t>
      </w:r>
      <w:r w:rsidR="00787AB5" w:rsidRPr="001177B3">
        <w:t>DDoS</w:t>
      </w:r>
      <w:r w:rsidR="00090F39" w:rsidRPr="001177B3">
        <w:t xml:space="preserve"> attacks on major banks and other organisations, while limited in </w:t>
      </w:r>
      <w:r w:rsidR="00613011" w:rsidRPr="001177B3">
        <w:t xml:space="preserve">enduring impacts, highlight </w:t>
      </w:r>
      <w:r w:rsidR="00F2440C" w:rsidRPr="001177B3">
        <w:t xml:space="preserve">the importance of </w:t>
      </w:r>
      <w:r w:rsidR="00950F79" w:rsidRPr="001177B3">
        <w:t>appropriate cyber mitigations</w:t>
      </w:r>
      <w:r w:rsidR="00BB7ED1" w:rsidRPr="001177B3">
        <w:t xml:space="preserve"> and network redundancy to </w:t>
      </w:r>
      <w:r w:rsidR="00E75DB6" w:rsidRPr="001177B3">
        <w:t xml:space="preserve">reduce the severity of </w:t>
      </w:r>
      <w:r w:rsidR="00787AB5" w:rsidRPr="001177B3">
        <w:t>DDoS attacks. The 2018 NAB service disruption demonstrates th</w:t>
      </w:r>
      <w:r w:rsidR="00214EF5" w:rsidRPr="001177B3">
        <w:t xml:space="preserve">e range of potential risk vectors that can affect the ability of payments to be processed, with a physical power issue </w:t>
      </w:r>
      <w:r w:rsidR="006A1B53" w:rsidRPr="001177B3">
        <w:t xml:space="preserve">causing </w:t>
      </w:r>
      <w:r w:rsidR="00EE6E62" w:rsidRPr="001177B3">
        <w:t>the</w:t>
      </w:r>
      <w:r w:rsidR="006A1B53" w:rsidRPr="001177B3">
        <w:t xml:space="preserve"> incident and </w:t>
      </w:r>
      <w:r w:rsidR="007B500A" w:rsidRPr="001177B3">
        <w:t>subsequent impacts for customers</w:t>
      </w:r>
      <w:r w:rsidR="001177B3">
        <w:t>.</w:t>
      </w:r>
    </w:p>
    <w:p w14:paraId="082C80B2" w14:textId="77777777" w:rsidR="00C20457" w:rsidRPr="00E9705C" w:rsidRDefault="00C20457" w:rsidP="00323D0C">
      <w:pPr>
        <w:pStyle w:val="BodyText"/>
      </w:pPr>
      <w:r w:rsidRPr="00E9705C">
        <w:t xml:space="preserve">For the purposes of the modelling of the cost of avoided future incidents in Australia, </w:t>
      </w:r>
      <w:r w:rsidR="001A4884">
        <w:t>the NAB service outage</w:t>
      </w:r>
      <w:r>
        <w:t xml:space="preserve"> </w:t>
      </w:r>
      <w:r w:rsidRPr="00E9705C">
        <w:t>was used as the baseline (</w:t>
      </w:r>
      <w:r w:rsidR="00ED45A1">
        <w:t>moderate</w:t>
      </w:r>
      <w:r w:rsidRPr="00E9705C">
        <w:t xml:space="preserve">) risk scenario. The use of an actual event as the baseline risk point of comparison is important because it ensures the benefits analysis is grounded in reality. The scale of the event is not theoretical and there is sufficient information about the event to support modelling. </w:t>
      </w:r>
      <w:r w:rsidR="00026C8B">
        <w:t xml:space="preserve">NAB </w:t>
      </w:r>
      <w:r w:rsidR="007B500A">
        <w:t xml:space="preserve">paid out compensation totalling $7.4 million to affected customers </w:t>
      </w:r>
      <w:r w:rsidR="004E52FF">
        <w:t xml:space="preserve">following </w:t>
      </w:r>
      <w:r w:rsidR="00EE6E62">
        <w:t xml:space="preserve">the incident. </w:t>
      </w:r>
    </w:p>
    <w:p w14:paraId="2E51D6A0" w14:textId="77777777" w:rsidR="00313B85" w:rsidRPr="00E9705C" w:rsidRDefault="00313B85" w:rsidP="00323D0C">
      <w:pPr>
        <w:pStyle w:val="BodyText"/>
      </w:pPr>
      <w:r>
        <w:t>It is noted that the selected baseline scenario affected an organisation which is not a proposed responsible ent</w:t>
      </w:r>
      <w:r w:rsidR="00A545DC">
        <w:t xml:space="preserve">ity within the critical financial market infrastructure (payment systems) asset class. The incident is appropriate to model as </w:t>
      </w:r>
      <w:r w:rsidR="008B1A9A">
        <w:t xml:space="preserve">the real-world impacts to consumers, businesses and the </w:t>
      </w:r>
      <w:r w:rsidR="008B1A9A">
        <w:lastRenderedPageBreak/>
        <w:t>economy of an outage affecting the products of the proposed responsible entities would be comparable to that which was experienced in 2018 when NAB was the affected entity.</w:t>
      </w:r>
    </w:p>
    <w:p w14:paraId="14A3872D" w14:textId="77777777" w:rsidR="00C20457" w:rsidRPr="00EA3041" w:rsidRDefault="00C20457" w:rsidP="00323D0C">
      <w:pPr>
        <w:pStyle w:val="BodyText"/>
      </w:pPr>
      <w:r w:rsidRPr="00EA3041">
        <w:t xml:space="preserve">A framework for considering the potential impacts of </w:t>
      </w:r>
      <w:r w:rsidR="00EA3041" w:rsidRPr="00EA3041">
        <w:t xml:space="preserve">a </w:t>
      </w:r>
      <w:r w:rsidR="007B500A" w:rsidRPr="00EA3041">
        <w:t>pay</w:t>
      </w:r>
      <w:r w:rsidR="00EA3041" w:rsidRPr="00EA3041">
        <w:t>ment systems outage</w:t>
      </w:r>
      <w:r w:rsidRPr="00EA3041">
        <w:t xml:space="preserve"> following failure of critical infrastructure is provided in </w:t>
      </w:r>
      <w:r w:rsidR="00EA3041">
        <w:t>the table</w:t>
      </w:r>
      <w:r>
        <w:t xml:space="preserve"> </w:t>
      </w:r>
      <w:r w:rsidRPr="00EA3041">
        <w:t>below.</w:t>
      </w:r>
    </w:p>
    <w:p w14:paraId="60859506" w14:textId="77777777" w:rsidR="00C20457" w:rsidRPr="00E9705C" w:rsidRDefault="00C20457" w:rsidP="00323D0C">
      <w:pPr>
        <w:pStyle w:val="Caption"/>
      </w:pPr>
      <w:bookmarkStart w:id="660" w:name="_Toc90479765"/>
      <w:r w:rsidRPr="00E9705C">
        <w:t>Framework for scenario development and sensitivity analysis</w:t>
      </w:r>
      <w:bookmarkEnd w:id="660"/>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400" w:firstRow="0" w:lastRow="0" w:firstColumn="0" w:lastColumn="0" w:noHBand="0" w:noVBand="1"/>
      </w:tblPr>
      <w:tblGrid>
        <w:gridCol w:w="1963"/>
        <w:gridCol w:w="2572"/>
        <w:gridCol w:w="2657"/>
        <w:gridCol w:w="2446"/>
      </w:tblGrid>
      <w:tr w:rsidR="00C20457" w:rsidRPr="00E9705C" w14:paraId="040BE347" w14:textId="77777777" w:rsidTr="0013613A">
        <w:trPr>
          <w:cnfStyle w:val="000000100000" w:firstRow="0" w:lastRow="0" w:firstColumn="0" w:lastColumn="0" w:oddVBand="0" w:evenVBand="0" w:oddHBand="1" w:evenHBand="0" w:firstRowFirstColumn="0" w:firstRowLastColumn="0" w:lastRowFirstColumn="0" w:lastRowLastColumn="0"/>
        </w:trPr>
        <w:tc>
          <w:tcPr>
            <w:tcW w:w="1018" w:type="pct"/>
            <w:shd w:val="clear" w:color="auto" w:fill="034EA2" w:themeFill="accent1"/>
          </w:tcPr>
          <w:p w14:paraId="7FB2F28C" w14:textId="77777777" w:rsidR="00C20457" w:rsidRPr="00E9705C" w:rsidRDefault="00C20457" w:rsidP="0013613A">
            <w:pPr>
              <w:pStyle w:val="TableHeading"/>
            </w:pPr>
            <w:r w:rsidRPr="00E9705C">
              <w:t xml:space="preserve"> </w:t>
            </w:r>
          </w:p>
        </w:tc>
        <w:tc>
          <w:tcPr>
            <w:tcW w:w="1334" w:type="pct"/>
            <w:shd w:val="clear" w:color="auto" w:fill="034EA2" w:themeFill="accent1"/>
          </w:tcPr>
          <w:p w14:paraId="0F0FF03B" w14:textId="77777777" w:rsidR="00C20457" w:rsidRPr="000F20CF" w:rsidRDefault="00C20457" w:rsidP="0013613A">
            <w:pPr>
              <w:pStyle w:val="TableHeading"/>
              <w:rPr>
                <w:color w:val="FFFFFF"/>
              </w:rPr>
            </w:pPr>
            <w:r w:rsidRPr="00680DD2">
              <w:rPr>
                <w:color w:val="FFFFFF"/>
              </w:rPr>
              <w:t>Severe scenario</w:t>
            </w:r>
          </w:p>
        </w:tc>
        <w:tc>
          <w:tcPr>
            <w:tcW w:w="1378" w:type="pct"/>
            <w:shd w:val="clear" w:color="auto" w:fill="034EA2" w:themeFill="accent1"/>
          </w:tcPr>
          <w:p w14:paraId="717FB536" w14:textId="77777777" w:rsidR="00C20457" w:rsidRPr="000F20CF" w:rsidRDefault="00C20457" w:rsidP="0013613A">
            <w:pPr>
              <w:pStyle w:val="TableHeading"/>
              <w:rPr>
                <w:color w:val="FFFFFF"/>
              </w:rPr>
            </w:pPr>
            <w:r w:rsidRPr="00680DD2">
              <w:rPr>
                <w:color w:val="FFFFFF"/>
              </w:rPr>
              <w:t>Moderate scenario</w:t>
            </w:r>
          </w:p>
        </w:tc>
        <w:tc>
          <w:tcPr>
            <w:tcW w:w="1269" w:type="pct"/>
            <w:shd w:val="clear" w:color="auto" w:fill="034EA2" w:themeFill="accent1"/>
          </w:tcPr>
          <w:p w14:paraId="4B57D825" w14:textId="77777777" w:rsidR="00C20457" w:rsidRPr="000F20CF" w:rsidRDefault="00C20457" w:rsidP="0013613A">
            <w:pPr>
              <w:pStyle w:val="TableHeading"/>
              <w:rPr>
                <w:color w:val="FFFFFF"/>
              </w:rPr>
            </w:pPr>
            <w:r w:rsidRPr="009807CA">
              <w:rPr>
                <w:color w:val="FFFFFF"/>
              </w:rPr>
              <w:t>Low</w:t>
            </w:r>
            <w:r w:rsidRPr="00680DD2">
              <w:rPr>
                <w:color w:val="FFFFFF"/>
              </w:rPr>
              <w:t xml:space="preserve"> scenario</w:t>
            </w:r>
          </w:p>
        </w:tc>
      </w:tr>
      <w:tr w:rsidR="00C20457" w:rsidRPr="00E9705C" w14:paraId="21BD9941" w14:textId="77777777" w:rsidTr="0013613A">
        <w:trPr>
          <w:cnfStyle w:val="000000010000" w:firstRow="0" w:lastRow="0" w:firstColumn="0" w:lastColumn="0" w:oddVBand="0" w:evenVBand="0" w:oddHBand="0" w:evenHBand="1" w:firstRowFirstColumn="0" w:firstRowLastColumn="0" w:lastRowFirstColumn="0" w:lastRowLastColumn="0"/>
        </w:trPr>
        <w:tc>
          <w:tcPr>
            <w:tcW w:w="1018" w:type="pct"/>
          </w:tcPr>
          <w:p w14:paraId="571ADA7B" w14:textId="77777777" w:rsidR="00C20457" w:rsidRPr="000F20CF" w:rsidRDefault="00C20457" w:rsidP="0013613A">
            <w:pPr>
              <w:pStyle w:val="TableBody"/>
              <w:rPr>
                <w:color w:val="FFFFFF"/>
              </w:rPr>
            </w:pPr>
            <w:r w:rsidRPr="00680DD2">
              <w:t>Intensity of event</w:t>
            </w:r>
          </w:p>
        </w:tc>
        <w:tc>
          <w:tcPr>
            <w:tcW w:w="1334" w:type="pct"/>
          </w:tcPr>
          <w:p w14:paraId="3C3C89A9" w14:textId="00BE1E6A" w:rsidR="00C20457" w:rsidRPr="00CA41DE" w:rsidRDefault="00F108C8" w:rsidP="0013613A">
            <w:pPr>
              <w:pStyle w:val="TableBody"/>
            </w:pPr>
            <w:r>
              <w:rPr>
                <w:rFonts w:eastAsia="Arial"/>
              </w:rPr>
              <w:t>200</w:t>
            </w:r>
            <w:r w:rsidRPr="00CA41DE">
              <w:rPr>
                <w:rFonts w:eastAsia="Arial"/>
              </w:rPr>
              <w:t>% of severe scenario</w:t>
            </w:r>
          </w:p>
        </w:tc>
        <w:tc>
          <w:tcPr>
            <w:tcW w:w="1378" w:type="pct"/>
          </w:tcPr>
          <w:p w14:paraId="7979DE39" w14:textId="18A173E5" w:rsidR="00C20457" w:rsidRPr="00CA41DE" w:rsidRDefault="00F108C8" w:rsidP="0013613A">
            <w:pPr>
              <w:pStyle w:val="TableBody"/>
              <w:rPr>
                <w:rFonts w:eastAsia="Arial"/>
              </w:rPr>
            </w:pPr>
            <w:r w:rsidRPr="00CA41DE">
              <w:rPr>
                <w:rFonts w:eastAsia="Arial"/>
              </w:rPr>
              <w:t>NAB service outage</w:t>
            </w:r>
            <w:r>
              <w:rPr>
                <w:rFonts w:eastAsia="Arial"/>
              </w:rPr>
              <w:t xml:space="preserve"> (2018)</w:t>
            </w:r>
          </w:p>
        </w:tc>
        <w:tc>
          <w:tcPr>
            <w:tcW w:w="1269" w:type="pct"/>
          </w:tcPr>
          <w:p w14:paraId="534F3BFF" w14:textId="04E7D231" w:rsidR="00C20457" w:rsidRPr="00CA41DE" w:rsidRDefault="00F108C8" w:rsidP="0013613A">
            <w:pPr>
              <w:pStyle w:val="TableBody"/>
            </w:pPr>
            <w:r>
              <w:rPr>
                <w:rFonts w:eastAsia="Arial"/>
              </w:rPr>
              <w:t>50</w:t>
            </w:r>
            <w:r w:rsidR="001A4884" w:rsidRPr="00CA41DE">
              <w:rPr>
                <w:rFonts w:eastAsia="Arial"/>
              </w:rPr>
              <w:t>% of severe scenario</w:t>
            </w:r>
          </w:p>
        </w:tc>
      </w:tr>
    </w:tbl>
    <w:p w14:paraId="01AD1082" w14:textId="77777777" w:rsidR="00C20457" w:rsidRPr="00292494" w:rsidRDefault="00C20457" w:rsidP="0013613A">
      <w:pPr>
        <w:pStyle w:val="BodyText"/>
        <w:spacing w:before="240"/>
      </w:pPr>
      <w:r w:rsidRPr="00292494">
        <w:t xml:space="preserve">The rationale for </w:t>
      </w:r>
      <w:r w:rsidR="00292494">
        <w:t xml:space="preserve">considering </w:t>
      </w:r>
      <w:r w:rsidR="00E72811" w:rsidRPr="00292494">
        <w:t>less</w:t>
      </w:r>
      <w:r w:rsidRPr="00292494">
        <w:t xml:space="preserve"> severe scenario</w:t>
      </w:r>
      <w:r w:rsidR="00E72811" w:rsidRPr="00292494">
        <w:t>s</w:t>
      </w:r>
      <w:r w:rsidRPr="00292494">
        <w:t xml:space="preserve"> than experienced in </w:t>
      </w:r>
      <w:r w:rsidR="00EA3041" w:rsidRPr="00292494">
        <w:t>the NAB service outage</w:t>
      </w:r>
      <w:r w:rsidRPr="00292494">
        <w:t xml:space="preserve"> reflects the complexity of the scenarios that could occur. As noted above, the economic impact of an incident will vary due to a range of factors including the location of a disruption, the month and time of day at which the disruption occurs, the day of the week on which the disruption takes place and the duration of disruption. Accounting for an incident that has a </w:t>
      </w:r>
      <w:r w:rsidR="00E72811" w:rsidRPr="00292494">
        <w:t>lesser</w:t>
      </w:r>
      <w:r w:rsidRPr="00292494">
        <w:t xml:space="preserve"> economic impact than the </w:t>
      </w:r>
      <w:r w:rsidR="00E72811" w:rsidRPr="00292494">
        <w:rPr>
          <w:rFonts w:eastAsia="Arial"/>
        </w:rPr>
        <w:t>NAB service outage</w:t>
      </w:r>
      <w:r w:rsidRPr="00292494">
        <w:t xml:space="preserve"> is necessary to reflect the possibility that a disruption of the same scale (in terms of </w:t>
      </w:r>
      <w:r w:rsidR="00292494" w:rsidRPr="00292494">
        <w:rPr>
          <w:rFonts w:eastAsia="Arial"/>
        </w:rPr>
        <w:t>a payment systems outage)</w:t>
      </w:r>
      <w:r w:rsidRPr="00292494">
        <w:t xml:space="preserve"> could impact </w:t>
      </w:r>
      <w:r w:rsidR="00292494">
        <w:t xml:space="preserve">at a time </w:t>
      </w:r>
      <w:r w:rsidR="00CE61D8">
        <w:t>when</w:t>
      </w:r>
      <w:r w:rsidRPr="00292494">
        <w:t xml:space="preserve"> there would be </w:t>
      </w:r>
      <w:r w:rsidR="00292494" w:rsidRPr="00292494">
        <w:t>lessened</w:t>
      </w:r>
      <w:r w:rsidRPr="00292494">
        <w:t xml:space="preserve"> economic impact than in </w:t>
      </w:r>
      <w:r w:rsidR="00292494" w:rsidRPr="00292494">
        <w:rPr>
          <w:rFonts w:eastAsia="Arial"/>
        </w:rPr>
        <w:t>the NAB incident</w:t>
      </w:r>
      <w:r w:rsidR="00CE61D8">
        <w:rPr>
          <w:rFonts w:eastAsia="Arial"/>
        </w:rPr>
        <w:t xml:space="preserve"> (which occurred on a Saturday, a busy trading day)</w:t>
      </w:r>
      <w:r w:rsidR="00292494" w:rsidRPr="00292494">
        <w:rPr>
          <w:rFonts w:eastAsia="Arial"/>
        </w:rPr>
        <w:t>.</w:t>
      </w:r>
      <w:r w:rsidRPr="00292494">
        <w:rPr>
          <w:rFonts w:eastAsia="Arial"/>
        </w:rPr>
        <w:t xml:space="preserve"> </w:t>
      </w:r>
      <w:r w:rsidRPr="00292494">
        <w:t xml:space="preserve">While an incident with a much greater impact than the severe scenario is </w:t>
      </w:r>
      <w:r w:rsidR="00AB2FA8">
        <w:t>possible</w:t>
      </w:r>
      <w:r w:rsidRPr="00292494">
        <w:t>, the defined scenarios and subsequent benefits analysis has taken a deliberately conservative approach to ensure the severe scenario remains demonstrably plausible.</w:t>
      </w:r>
    </w:p>
    <w:p w14:paraId="675F000D" w14:textId="101ECF14" w:rsidR="00C20457" w:rsidRDefault="00C20457" w:rsidP="00C20457">
      <w:pPr>
        <w:spacing w:before="160" w:after="160"/>
        <w:rPr>
          <w:rFonts w:ascii="Arial" w:eastAsia="Calibri" w:hAnsi="Arial" w:cs="Arial"/>
          <w:sz w:val="22"/>
        </w:rPr>
      </w:pPr>
      <w:r w:rsidRPr="00E9705C">
        <w:rPr>
          <w:rFonts w:ascii="Arial" w:eastAsia="Calibri" w:hAnsi="Arial" w:cs="Arial"/>
          <w:sz w:val="22"/>
        </w:rPr>
        <w:t>A summary of the economic impact of each scenario is provided in</w:t>
      </w:r>
      <w:r>
        <w:rPr>
          <w:rFonts w:ascii="Arial" w:eastAsia="Calibri" w:hAnsi="Arial" w:cs="Arial"/>
          <w:sz w:val="22"/>
        </w:rPr>
        <w:t xml:space="preserve"> </w:t>
      </w:r>
      <w:r w:rsidR="00AB2FA8">
        <w:rPr>
          <w:rFonts w:ascii="Arial" w:eastAsia="Calibri" w:hAnsi="Arial" w:cs="Arial"/>
          <w:sz w:val="22"/>
        </w:rPr>
        <w:t>the table below</w:t>
      </w:r>
      <w:r w:rsidRPr="00E9705C">
        <w:rPr>
          <w:rFonts w:ascii="Arial" w:eastAsia="Calibri" w:hAnsi="Arial" w:cs="Arial"/>
          <w:sz w:val="22"/>
        </w:rPr>
        <w:t xml:space="preserve">. Direct avoided costs refer to the financial costs directly incurred as a result of an incident, while indirect costs refer to flow-on costs to the economy due to supply chain linkages and other feedback responses by all economic agents (e.g., households, businesses). A break-even analysis of these benefits compared to the total estimated cost of the </w:t>
      </w:r>
      <w:r>
        <w:rPr>
          <w:rFonts w:ascii="Arial" w:eastAsia="Calibri" w:hAnsi="Arial" w:cs="Arial"/>
          <w:sz w:val="22"/>
        </w:rPr>
        <w:t>RMP</w:t>
      </w:r>
      <w:r w:rsidRPr="00E9705C">
        <w:rPr>
          <w:rFonts w:ascii="Arial" w:eastAsia="Calibri" w:hAnsi="Arial" w:cs="Arial"/>
          <w:sz w:val="22"/>
        </w:rPr>
        <w:t xml:space="preserve"> framework is also included in the table. This break-even analysis is expressed as the number of incidents that would need to be avoided in order for the benefits (that is, the avoided costs) of the </w:t>
      </w:r>
      <w:r>
        <w:rPr>
          <w:rFonts w:ascii="Arial" w:eastAsia="Calibri" w:hAnsi="Arial" w:cs="Arial"/>
          <w:sz w:val="22"/>
        </w:rPr>
        <w:t>RMP</w:t>
      </w:r>
      <w:r w:rsidRPr="00E9705C">
        <w:rPr>
          <w:rFonts w:ascii="Arial" w:eastAsia="Calibri" w:hAnsi="Arial" w:cs="Arial"/>
          <w:sz w:val="22"/>
        </w:rPr>
        <w:t xml:space="preserve"> framework to equal the costs of implementation and compliance. </w:t>
      </w:r>
    </w:p>
    <w:p w14:paraId="08FAE093" w14:textId="2DAD064E" w:rsidR="0013613A" w:rsidRDefault="0013613A" w:rsidP="00C20457">
      <w:pPr>
        <w:spacing w:before="160" w:after="160"/>
        <w:rPr>
          <w:rFonts w:ascii="Arial" w:eastAsia="Calibri" w:hAnsi="Arial" w:cs="Arial"/>
          <w:sz w:val="22"/>
        </w:rPr>
      </w:pPr>
    </w:p>
    <w:p w14:paraId="61D7AD3C" w14:textId="77777777" w:rsidR="006361FE" w:rsidRPr="00E9705C" w:rsidRDefault="006361FE" w:rsidP="00C20457">
      <w:pPr>
        <w:spacing w:before="160" w:after="160"/>
        <w:rPr>
          <w:rFonts w:ascii="Arial" w:eastAsia="Calibri" w:hAnsi="Arial" w:cs="Arial"/>
          <w:sz w:val="22"/>
        </w:rPr>
      </w:pPr>
    </w:p>
    <w:p w14:paraId="4291CEBD" w14:textId="77777777" w:rsidR="00C20457" w:rsidRPr="00E9705C" w:rsidRDefault="00C20457" w:rsidP="00323D0C">
      <w:pPr>
        <w:pStyle w:val="Caption"/>
      </w:pPr>
      <w:bookmarkStart w:id="661" w:name="_Toc90479766"/>
      <w:r w:rsidRPr="00E9705C">
        <w:t>Summary of benefits scenarios</w:t>
      </w:r>
      <w:bookmarkEnd w:id="661"/>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4678"/>
        <w:gridCol w:w="1716"/>
        <w:gridCol w:w="1818"/>
        <w:gridCol w:w="1426"/>
      </w:tblGrid>
      <w:tr w:rsidR="0013613A" w:rsidRPr="00E9705C" w14:paraId="3F2E5AC7" w14:textId="77777777" w:rsidTr="0013613A">
        <w:trPr>
          <w:trHeight w:val="409"/>
        </w:trPr>
        <w:tc>
          <w:tcPr>
            <w:tcW w:w="2427" w:type="pct"/>
            <w:shd w:val="clear" w:color="auto" w:fill="034EA2" w:themeFill="accent1"/>
          </w:tcPr>
          <w:p w14:paraId="6EB4F53C" w14:textId="77777777" w:rsidR="00C20457" w:rsidRPr="00E9705C" w:rsidRDefault="00C20457" w:rsidP="0013613A">
            <w:pPr>
              <w:pStyle w:val="TableHeading"/>
            </w:pPr>
          </w:p>
        </w:tc>
        <w:tc>
          <w:tcPr>
            <w:tcW w:w="890" w:type="pct"/>
            <w:shd w:val="clear" w:color="auto" w:fill="034EA2" w:themeFill="accent1"/>
          </w:tcPr>
          <w:p w14:paraId="2F30F110" w14:textId="77777777" w:rsidR="00C20457" w:rsidRPr="000F20CF" w:rsidRDefault="00C20457" w:rsidP="0013613A">
            <w:pPr>
              <w:pStyle w:val="TableHeading"/>
            </w:pPr>
            <w:r w:rsidRPr="00E9705C">
              <w:t>Scenario 1</w:t>
            </w:r>
            <w:r w:rsidRPr="00E9705C">
              <w:rPr>
                <w:rFonts w:ascii="Calibri" w:hAnsi="Calibri"/>
              </w:rPr>
              <w:br/>
            </w:r>
            <w:r w:rsidRPr="00E9705C">
              <w:t>(Severe), $ million</w:t>
            </w:r>
          </w:p>
        </w:tc>
        <w:tc>
          <w:tcPr>
            <w:tcW w:w="943" w:type="pct"/>
            <w:shd w:val="clear" w:color="auto" w:fill="034EA2" w:themeFill="accent1"/>
          </w:tcPr>
          <w:p w14:paraId="039CCCCE" w14:textId="77777777" w:rsidR="00C20457" w:rsidRPr="000F20CF" w:rsidRDefault="00C20457" w:rsidP="0013613A">
            <w:pPr>
              <w:pStyle w:val="TableHeading"/>
            </w:pPr>
            <w:r w:rsidRPr="00E9705C">
              <w:t>Scenario 2</w:t>
            </w:r>
            <w:r w:rsidRPr="00E9705C">
              <w:br/>
              <w:t>(Moderate), $ million</w:t>
            </w:r>
          </w:p>
        </w:tc>
        <w:tc>
          <w:tcPr>
            <w:tcW w:w="740" w:type="pct"/>
            <w:shd w:val="clear" w:color="auto" w:fill="034EA2" w:themeFill="accent1"/>
          </w:tcPr>
          <w:p w14:paraId="3169B415" w14:textId="77777777" w:rsidR="00C20457" w:rsidRPr="000F20CF" w:rsidRDefault="00C20457" w:rsidP="0013613A">
            <w:pPr>
              <w:pStyle w:val="TableHeading"/>
            </w:pPr>
            <w:r w:rsidRPr="00E9705C">
              <w:t>Scenario 3</w:t>
            </w:r>
            <w:r w:rsidRPr="00E9705C">
              <w:rPr>
                <w:rFonts w:ascii="Calibri" w:hAnsi="Calibri"/>
              </w:rPr>
              <w:br/>
            </w:r>
            <w:r w:rsidRPr="00E9705C">
              <w:t>(Low), $ million</w:t>
            </w:r>
          </w:p>
        </w:tc>
      </w:tr>
      <w:tr w:rsidR="00340241" w:rsidRPr="00E9705C" w14:paraId="1FDA43D8" w14:textId="77777777" w:rsidTr="0013613A">
        <w:tc>
          <w:tcPr>
            <w:tcW w:w="2427" w:type="pct"/>
            <w:shd w:val="clear" w:color="auto" w:fill="auto"/>
          </w:tcPr>
          <w:p w14:paraId="705D5344" w14:textId="77777777" w:rsidR="00C20457" w:rsidRPr="000F20CF" w:rsidRDefault="00C20457" w:rsidP="0013613A">
            <w:pPr>
              <w:pStyle w:val="TableBody"/>
            </w:pPr>
            <w:r w:rsidRPr="00E9705C">
              <w:t>Direct avoided cost</w:t>
            </w:r>
          </w:p>
        </w:tc>
        <w:tc>
          <w:tcPr>
            <w:tcW w:w="890" w:type="pct"/>
            <w:shd w:val="clear" w:color="auto" w:fill="auto"/>
          </w:tcPr>
          <w:p w14:paraId="475042C7" w14:textId="671203C4" w:rsidR="00C20457" w:rsidRPr="00E9705C" w:rsidRDefault="00B7556D" w:rsidP="0013613A">
            <w:pPr>
              <w:pStyle w:val="TableBody"/>
            </w:pPr>
            <w:r>
              <w:t>14.9</w:t>
            </w:r>
          </w:p>
        </w:tc>
        <w:tc>
          <w:tcPr>
            <w:tcW w:w="943" w:type="pct"/>
            <w:shd w:val="clear" w:color="auto" w:fill="auto"/>
          </w:tcPr>
          <w:p w14:paraId="6D1E957F" w14:textId="37612333" w:rsidR="00C20457" w:rsidRPr="003546B0" w:rsidRDefault="00B7556D" w:rsidP="0013613A">
            <w:pPr>
              <w:pStyle w:val="TableBody"/>
            </w:pPr>
            <w:r>
              <w:t>7.4</w:t>
            </w:r>
          </w:p>
        </w:tc>
        <w:tc>
          <w:tcPr>
            <w:tcW w:w="740" w:type="pct"/>
            <w:shd w:val="clear" w:color="auto" w:fill="auto"/>
          </w:tcPr>
          <w:p w14:paraId="495A14BC" w14:textId="499BBCFF" w:rsidR="00C20457" w:rsidRPr="00E9705C" w:rsidRDefault="006A182A" w:rsidP="0013613A">
            <w:pPr>
              <w:pStyle w:val="TableBody"/>
            </w:pPr>
            <w:r>
              <w:t>3.7</w:t>
            </w:r>
          </w:p>
        </w:tc>
      </w:tr>
      <w:tr w:rsidR="00340241" w:rsidRPr="00E9705C" w14:paraId="2E205744" w14:textId="77777777" w:rsidTr="0013613A">
        <w:tc>
          <w:tcPr>
            <w:tcW w:w="2427" w:type="pct"/>
            <w:shd w:val="clear" w:color="auto" w:fill="FFFFFF" w:themeFill="background1"/>
          </w:tcPr>
          <w:p w14:paraId="13697D41" w14:textId="77777777" w:rsidR="00C20457" w:rsidRPr="000F20CF" w:rsidRDefault="00C20457" w:rsidP="0013613A">
            <w:pPr>
              <w:pStyle w:val="TableBody"/>
            </w:pPr>
            <w:r w:rsidRPr="00E9705C">
              <w:t>Indirect avoided costs</w:t>
            </w:r>
          </w:p>
        </w:tc>
        <w:tc>
          <w:tcPr>
            <w:tcW w:w="890" w:type="pct"/>
            <w:shd w:val="clear" w:color="auto" w:fill="FFFFFF" w:themeFill="background1"/>
          </w:tcPr>
          <w:p w14:paraId="50F6DA8A" w14:textId="18A8D6CF" w:rsidR="00C20457" w:rsidRPr="003546B0" w:rsidRDefault="00B7556D" w:rsidP="0013613A">
            <w:pPr>
              <w:pStyle w:val="TableBody"/>
            </w:pPr>
            <w:r>
              <w:t>12.2</w:t>
            </w:r>
          </w:p>
        </w:tc>
        <w:tc>
          <w:tcPr>
            <w:tcW w:w="943" w:type="pct"/>
            <w:shd w:val="clear" w:color="auto" w:fill="FFFFFF" w:themeFill="background1"/>
          </w:tcPr>
          <w:p w14:paraId="292AB541" w14:textId="23A19FA0" w:rsidR="00C20457" w:rsidRPr="003546B0" w:rsidRDefault="00B7556D" w:rsidP="0013613A">
            <w:pPr>
              <w:pStyle w:val="TableBody"/>
            </w:pPr>
            <w:r>
              <w:t>6.1</w:t>
            </w:r>
          </w:p>
        </w:tc>
        <w:tc>
          <w:tcPr>
            <w:tcW w:w="740" w:type="pct"/>
            <w:shd w:val="clear" w:color="auto" w:fill="FFFFFF" w:themeFill="background1"/>
          </w:tcPr>
          <w:p w14:paraId="66783F46" w14:textId="59AF301D" w:rsidR="00C20457" w:rsidRPr="003546B0" w:rsidRDefault="006A182A" w:rsidP="0013613A">
            <w:pPr>
              <w:pStyle w:val="TableBody"/>
            </w:pPr>
            <w:r>
              <w:t>3.1</w:t>
            </w:r>
          </w:p>
        </w:tc>
      </w:tr>
      <w:tr w:rsidR="00340241" w:rsidRPr="00E9705C" w14:paraId="4E79B7AD" w14:textId="77777777" w:rsidTr="0013613A">
        <w:tc>
          <w:tcPr>
            <w:tcW w:w="2427" w:type="pct"/>
            <w:shd w:val="clear" w:color="auto" w:fill="F2F2F2" w:themeFill="background1" w:themeFillShade="F2"/>
          </w:tcPr>
          <w:p w14:paraId="29C0A8B1" w14:textId="77777777" w:rsidR="00C20457" w:rsidRPr="000F20CF" w:rsidRDefault="00C20457" w:rsidP="0013613A">
            <w:pPr>
              <w:pStyle w:val="TableBody"/>
            </w:pPr>
            <w:r w:rsidRPr="00680DD2">
              <w:t>Total avoided cost to the economy of the incident</w:t>
            </w:r>
          </w:p>
        </w:tc>
        <w:tc>
          <w:tcPr>
            <w:tcW w:w="890" w:type="pct"/>
            <w:shd w:val="clear" w:color="auto" w:fill="F2F2F2" w:themeFill="background1" w:themeFillShade="F2"/>
          </w:tcPr>
          <w:p w14:paraId="5F1451BC" w14:textId="0DD1996A" w:rsidR="00C20457" w:rsidRPr="00E9705C" w:rsidRDefault="00B7556D" w:rsidP="0013613A">
            <w:pPr>
              <w:pStyle w:val="TableBody"/>
            </w:pPr>
            <w:r>
              <w:t>27.1</w:t>
            </w:r>
          </w:p>
        </w:tc>
        <w:tc>
          <w:tcPr>
            <w:tcW w:w="943" w:type="pct"/>
            <w:shd w:val="clear" w:color="auto" w:fill="F2F2F2" w:themeFill="background1" w:themeFillShade="F2"/>
          </w:tcPr>
          <w:p w14:paraId="2990856C" w14:textId="714A1671" w:rsidR="00C20457" w:rsidRPr="00E9705C" w:rsidRDefault="006A182A" w:rsidP="0013613A">
            <w:pPr>
              <w:pStyle w:val="TableBody"/>
            </w:pPr>
            <w:r>
              <w:t>13.5</w:t>
            </w:r>
          </w:p>
        </w:tc>
        <w:tc>
          <w:tcPr>
            <w:tcW w:w="740" w:type="pct"/>
            <w:shd w:val="clear" w:color="auto" w:fill="F2F2F2" w:themeFill="background1" w:themeFillShade="F2"/>
          </w:tcPr>
          <w:p w14:paraId="285B37D5" w14:textId="424BD414" w:rsidR="00C20457" w:rsidRPr="00E9705C" w:rsidRDefault="006A182A" w:rsidP="0013613A">
            <w:pPr>
              <w:pStyle w:val="TableBody"/>
            </w:pPr>
            <w:r>
              <w:t>6.8</w:t>
            </w:r>
          </w:p>
        </w:tc>
      </w:tr>
      <w:tr w:rsidR="00340241" w:rsidRPr="00E9705C" w14:paraId="0DC23D84" w14:textId="77777777" w:rsidTr="0013613A">
        <w:tc>
          <w:tcPr>
            <w:tcW w:w="2427" w:type="pct"/>
            <w:shd w:val="clear" w:color="auto" w:fill="FFFFFF" w:themeFill="background1"/>
          </w:tcPr>
          <w:p w14:paraId="2E8844C3" w14:textId="77777777" w:rsidR="00C20457" w:rsidRPr="000F20CF" w:rsidRDefault="00C20457" w:rsidP="0013613A">
            <w:pPr>
              <w:pStyle w:val="TableBody"/>
            </w:pPr>
            <w:r w:rsidRPr="00E9705C">
              <w:t>Approximate number of avoided incidents per annum required for a net benefit</w:t>
            </w:r>
          </w:p>
        </w:tc>
        <w:tc>
          <w:tcPr>
            <w:tcW w:w="890" w:type="pct"/>
            <w:shd w:val="clear" w:color="auto" w:fill="FFFFFF" w:themeFill="background1"/>
          </w:tcPr>
          <w:p w14:paraId="3CC2A94F" w14:textId="3DFE60E3" w:rsidR="00C20457" w:rsidRPr="00E9705C" w:rsidRDefault="0059164A" w:rsidP="0013613A">
            <w:pPr>
              <w:pStyle w:val="TableBody"/>
            </w:pPr>
            <w:r>
              <w:t>0.</w:t>
            </w:r>
            <w:r w:rsidR="00E71B07">
              <w:t>4</w:t>
            </w:r>
          </w:p>
        </w:tc>
        <w:tc>
          <w:tcPr>
            <w:tcW w:w="943" w:type="pct"/>
            <w:shd w:val="clear" w:color="auto" w:fill="FFFFFF" w:themeFill="background1"/>
          </w:tcPr>
          <w:p w14:paraId="12E60595" w14:textId="62D7A7C0" w:rsidR="00C20457" w:rsidRPr="00E9705C" w:rsidRDefault="00E71B07" w:rsidP="0013613A">
            <w:pPr>
              <w:pStyle w:val="TableBody"/>
            </w:pPr>
            <w:r>
              <w:t>0.9</w:t>
            </w:r>
          </w:p>
        </w:tc>
        <w:tc>
          <w:tcPr>
            <w:tcW w:w="740" w:type="pct"/>
            <w:shd w:val="clear" w:color="auto" w:fill="FFFFFF" w:themeFill="background1"/>
          </w:tcPr>
          <w:p w14:paraId="1D70DC5A" w14:textId="064B4EF0" w:rsidR="00C20457" w:rsidRPr="00E9705C" w:rsidRDefault="00E71B07" w:rsidP="0013613A">
            <w:pPr>
              <w:pStyle w:val="TableBody"/>
            </w:pPr>
            <w:r>
              <w:t>1.7</w:t>
            </w:r>
          </w:p>
        </w:tc>
      </w:tr>
    </w:tbl>
    <w:p w14:paraId="034338C5" w14:textId="28424D7A" w:rsidR="00C20457" w:rsidRPr="009212A1" w:rsidRDefault="00C20457" w:rsidP="0013613A">
      <w:pPr>
        <w:pStyle w:val="BodyText"/>
        <w:spacing w:before="240"/>
      </w:pPr>
      <w:r w:rsidRPr="00E9705C">
        <w:t xml:space="preserve">As noted above, the total </w:t>
      </w:r>
      <w:r w:rsidRPr="009212A1">
        <w:t>direct ongoing cost for option 2 is expected to be $5.</w:t>
      </w:r>
      <w:r w:rsidR="00FE5760">
        <w:t>7</w:t>
      </w:r>
      <w:r w:rsidRPr="009212A1">
        <w:t xml:space="preserve"> million per annum plus direct one-off costs of $0.6 million. However, the cost of the RMP framework would also have other indirect costs flowing from increased payment systems prices passed onto consumers from the framework’s implementation. </w:t>
      </w:r>
    </w:p>
    <w:p w14:paraId="44E592D7" w14:textId="7DB1B683" w:rsidR="00C20457" w:rsidRPr="003615B5" w:rsidRDefault="00C20457" w:rsidP="00323D0C">
      <w:pPr>
        <w:pStyle w:val="BodyText"/>
      </w:pPr>
      <w:r w:rsidRPr="003615B5">
        <w:t xml:space="preserve">After considering the economy-wide impact of this change to the cost of providing payment systems, the total economic cost of the regulatory changes, including direct and indirect costs </w:t>
      </w:r>
      <w:r w:rsidRPr="003615B5">
        <w:lastRenderedPageBreak/>
        <w:t>would be approximately $</w:t>
      </w:r>
      <w:r w:rsidR="006A182A">
        <w:t>11.6</w:t>
      </w:r>
      <w:r w:rsidRPr="003615B5">
        <w:t xml:space="preserve"> million per year.</w:t>
      </w:r>
      <w:r w:rsidRPr="003615B5">
        <w:rPr>
          <w:vertAlign w:val="superscript"/>
        </w:rPr>
        <w:footnoteReference w:id="368"/>
      </w:r>
      <w:r w:rsidRPr="003615B5">
        <w:t xml:space="preserve"> In order for the regulatory changes to generate a net benefit, the proposed RMP framework would need to contribute to the prevention of approximately </w:t>
      </w:r>
      <w:r w:rsidR="00E71B07">
        <w:t>1.7</w:t>
      </w:r>
      <w:r w:rsidRPr="003615B5">
        <w:t xml:space="preserve"> low scenario incidents every year, </w:t>
      </w:r>
      <w:r w:rsidR="00E71B07">
        <w:t>1</w:t>
      </w:r>
      <w:r w:rsidRPr="003615B5">
        <w:t xml:space="preserve"> moderate scenario incidents every year or </w:t>
      </w:r>
      <w:r w:rsidR="00E71B07">
        <w:t>0.4</w:t>
      </w:r>
      <w:r w:rsidRPr="003615B5">
        <w:t xml:space="preserve"> severe scenario</w:t>
      </w:r>
      <w:r w:rsidR="00E71B07">
        <w:t>s</w:t>
      </w:r>
      <w:r w:rsidRPr="003615B5">
        <w:t xml:space="preserve"> every </w:t>
      </w:r>
      <w:r w:rsidR="00035FB0" w:rsidRPr="003615B5">
        <w:t>year</w:t>
      </w:r>
      <w:r w:rsidRPr="003615B5">
        <w:t xml:space="preserve"> to generate a net benefit. </w:t>
      </w:r>
    </w:p>
    <w:p w14:paraId="363F2191" w14:textId="77777777" w:rsidR="00C20457" w:rsidRPr="00E9705C" w:rsidRDefault="00C20457" w:rsidP="00323D0C">
      <w:pPr>
        <w:pStyle w:val="BodyText"/>
        <w:rPr>
          <w:rFonts w:eastAsia="Arial"/>
        </w:rPr>
      </w:pPr>
      <w:r w:rsidRPr="00E9705C">
        <w:t xml:space="preserve">It is important to note that the economic analysis of the above scenarios does not incorporate all direct avoided costs incurred by all future incidents. The avoided costs included are only those which were directly and immediately incurred as a result of the </w:t>
      </w:r>
      <w:r w:rsidR="003615B5">
        <w:t>NAB service outage</w:t>
      </w:r>
      <w:r w:rsidRPr="0BEF8EA5">
        <w:t>.</w:t>
      </w:r>
      <w:r w:rsidRPr="00E9705C">
        <w:t xml:space="preserve"> In the broader context of a potential future disruption, in addition to the above estimate of benefits would be the avoided costs of recovery (repair costs, costs of resulting mitigations) from high value, specific circumstances which were not experienced during the </w:t>
      </w:r>
      <w:r w:rsidR="003615B5">
        <w:t>NAB service outage.</w:t>
      </w:r>
      <w:r w:rsidRPr="0BEF8EA5">
        <w:t xml:space="preserve"> </w:t>
      </w:r>
      <w:r w:rsidRPr="0BEF8EA5">
        <w:rPr>
          <w:rFonts w:eastAsia="Arial"/>
        </w:rPr>
        <w:t xml:space="preserve">Consequently, the </w:t>
      </w:r>
      <w:r w:rsidR="003615B5">
        <w:rPr>
          <w:rFonts w:eastAsia="Arial"/>
        </w:rPr>
        <w:t>severe</w:t>
      </w:r>
      <w:r w:rsidRPr="0BEF8EA5">
        <w:rPr>
          <w:rFonts w:eastAsia="Arial"/>
        </w:rPr>
        <w:t xml:space="preserve"> case of </w:t>
      </w:r>
      <w:r w:rsidR="003615B5">
        <w:rPr>
          <w:rFonts w:eastAsia="Arial"/>
        </w:rPr>
        <w:t>the NAB service outage</w:t>
      </w:r>
      <w:r w:rsidRPr="00E9705C">
        <w:rPr>
          <w:rFonts w:eastAsia="Arial"/>
        </w:rPr>
        <w:t xml:space="preserve"> is not likely to be </w:t>
      </w:r>
      <w:r w:rsidR="003615B5">
        <w:rPr>
          <w:rFonts w:eastAsia="Arial"/>
        </w:rPr>
        <w:t>a best- or</w:t>
      </w:r>
      <w:r w:rsidRPr="00E9705C">
        <w:rPr>
          <w:rFonts w:eastAsia="Arial"/>
        </w:rPr>
        <w:t xml:space="preserve"> worst-case incident and an incident of the same scale in terms of </w:t>
      </w:r>
      <w:r w:rsidRPr="003615B5">
        <w:rPr>
          <w:rFonts w:eastAsia="Arial"/>
          <w:color w:val="000000" w:themeColor="text1"/>
        </w:rPr>
        <w:t xml:space="preserve">payment systems </w:t>
      </w:r>
      <w:r w:rsidRPr="00E9705C">
        <w:rPr>
          <w:rFonts w:eastAsia="Arial"/>
        </w:rPr>
        <w:t xml:space="preserve">disruption could have a greater </w:t>
      </w:r>
      <w:r w:rsidR="003615B5">
        <w:rPr>
          <w:rFonts w:eastAsia="Arial"/>
        </w:rPr>
        <w:t>or lesser</w:t>
      </w:r>
      <w:r w:rsidRPr="00E9705C">
        <w:rPr>
          <w:rFonts w:eastAsia="Arial"/>
        </w:rPr>
        <w:t xml:space="preserve"> impact if it occurred in other locations</w:t>
      </w:r>
      <w:r w:rsidR="003615B5">
        <w:rPr>
          <w:rFonts w:eastAsia="Arial"/>
        </w:rPr>
        <w:t xml:space="preserve"> or at other times</w:t>
      </w:r>
      <w:r w:rsidRPr="00E9705C">
        <w:rPr>
          <w:rFonts w:eastAsia="Arial"/>
        </w:rPr>
        <w:t>.</w:t>
      </w:r>
    </w:p>
    <w:p w14:paraId="2EF791E4" w14:textId="77777777" w:rsidR="00C20457" w:rsidRPr="00E9705C" w:rsidRDefault="00C20457" w:rsidP="00323D0C">
      <w:pPr>
        <w:pStyle w:val="BodyText"/>
        <w:rPr>
          <w:rFonts w:eastAsia="Calibri"/>
        </w:rPr>
      </w:pPr>
      <w:r w:rsidRPr="00E9705C">
        <w:t xml:space="preserve">Further, the increasing frequency of incidents as described in section 1.1 makes the proposed </w:t>
      </w:r>
      <w:r>
        <w:t>RMP</w:t>
      </w:r>
      <w:r w:rsidRPr="00E9705C">
        <w:t xml:space="preserve"> framework more certain over time to exceed the anticipated costs. </w:t>
      </w:r>
      <w:r w:rsidRPr="00E9705C">
        <w:rPr>
          <w:rFonts w:eastAsia="Calibri"/>
        </w:rPr>
        <w:t xml:space="preserve">The examples referred to in that section demonstrate the increasing need for adequate protections against the security and resilience of </w:t>
      </w:r>
      <w:r>
        <w:rPr>
          <w:rFonts w:eastAsia="Calibri"/>
        </w:rPr>
        <w:t>critical payment system</w:t>
      </w:r>
      <w:r w:rsidRPr="00E9705C">
        <w:rPr>
          <w:rFonts w:eastAsia="Calibri"/>
        </w:rPr>
        <w:t xml:space="preserve">s, and the increased likelihood that the benefits of the draft </w:t>
      </w:r>
      <w:r>
        <w:rPr>
          <w:rFonts w:eastAsia="Calibri"/>
        </w:rPr>
        <w:t>RMP</w:t>
      </w:r>
      <w:r w:rsidRPr="00E9705C">
        <w:rPr>
          <w:rFonts w:eastAsia="Calibri"/>
        </w:rPr>
        <w:t xml:space="preserve"> framework will exceed the costs outlined in this section.</w:t>
      </w:r>
    </w:p>
    <w:p w14:paraId="6AA4A5FA" w14:textId="77777777" w:rsidR="00C20457" w:rsidRPr="00180A8F" w:rsidRDefault="00C20457" w:rsidP="00323D0C">
      <w:pPr>
        <w:pStyle w:val="AppendixH2"/>
      </w:pPr>
      <w:r w:rsidRPr="00180A8F">
        <w:t>Assessment of likely net benefit</w:t>
      </w:r>
    </w:p>
    <w:p w14:paraId="498052F8" w14:textId="77777777" w:rsidR="00C20457" w:rsidRPr="00E9705C" w:rsidRDefault="00C20457" w:rsidP="00323D0C">
      <w:pPr>
        <w:pStyle w:val="BodyText"/>
      </w:pPr>
      <w:r w:rsidRPr="00E9705C">
        <w:t xml:space="preserve">The likely benefits of option 2 will be at least (and are expected to be more than) the costs of the regulation. This is primarily because, as described above and throughout this RIS, the frequency and severity of all hazard risks for </w:t>
      </w:r>
      <w:r>
        <w:t>critical payment system</w:t>
      </w:r>
      <w:r w:rsidRPr="00E9705C">
        <w:t xml:space="preserve">s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w:t>
      </w:r>
      <w:r w:rsidR="00307965">
        <w:t xml:space="preserve">high number of cybercrime incidents in the financial sector in particular (2,700 as reported by </w:t>
      </w:r>
      <w:r w:rsidR="006F579E">
        <w:t xml:space="preserve">the </w:t>
      </w:r>
      <w:r w:rsidR="00307965">
        <w:t>ACSC in 2020-21)</w:t>
      </w:r>
      <w:r w:rsidR="00307965">
        <w:rPr>
          <w:rStyle w:val="FootnoteReference"/>
          <w:rFonts w:ascii="Arial" w:eastAsia="Calibri" w:hAnsi="Arial" w:cs="Arial"/>
        </w:rPr>
        <w:footnoteReference w:id="369"/>
      </w:r>
      <w:r w:rsidR="00307965">
        <w:t xml:space="preserve"> </w:t>
      </w:r>
      <w:r w:rsidR="006F579E">
        <w:t xml:space="preserve">and the </w:t>
      </w:r>
      <w:r w:rsidRPr="00E9705C">
        <w:t xml:space="preserve">increasing frequency of incidents, as described above, makes the proposed </w:t>
      </w:r>
      <w:r>
        <w:t>RMP</w:t>
      </w:r>
      <w:r w:rsidRPr="00E9705C">
        <w:t xml:space="preserve"> framework more likely to exceed the anticipated costs over time. </w:t>
      </w:r>
    </w:p>
    <w:p w14:paraId="5AFBC431" w14:textId="77777777" w:rsidR="00C20457" w:rsidRPr="00E9705C" w:rsidRDefault="00C20457" w:rsidP="00323D0C">
      <w:pPr>
        <w:pStyle w:val="BodyText"/>
      </w:pPr>
      <w:r w:rsidRPr="00E9705C">
        <w:t>Further, through pursuit of option 2, the identification, mitigation and remediation of such hazards, should they occur, will be improved through:</w:t>
      </w:r>
    </w:p>
    <w:p w14:paraId="07A26C50" w14:textId="77777777" w:rsidR="00C20457" w:rsidRPr="00E9705C" w:rsidRDefault="00C20457" w:rsidP="00323D0C">
      <w:pPr>
        <w:pStyle w:val="Bullet1stlevel"/>
      </w:pPr>
      <w:r w:rsidRPr="00E9705C">
        <w:t xml:space="preserve">Lowering the material risk of hazards and subsequent impacts of those hazards, as they manifest for </w:t>
      </w:r>
      <w:r>
        <w:t>critical payment system</w:t>
      </w:r>
      <w:r w:rsidRPr="00E9705C">
        <w:t xml:space="preserve">s; </w:t>
      </w:r>
    </w:p>
    <w:p w14:paraId="7D21EABD" w14:textId="77777777" w:rsidR="00C20457" w:rsidRPr="00E9705C" w:rsidRDefault="00C20457" w:rsidP="00323D0C">
      <w:pPr>
        <w:pStyle w:val="Bullet1stlevel"/>
      </w:pPr>
      <w:r w:rsidRPr="00E9705C">
        <w:t xml:space="preserve">Ensuring that adoption of the </w:t>
      </w:r>
      <w:r>
        <w:t>RMP</w:t>
      </w:r>
      <w:r w:rsidRPr="00E9705C">
        <w:t xml:space="preserve"> framework for </w:t>
      </w:r>
      <w:r>
        <w:t>critical payment system</w:t>
      </w:r>
      <w:r w:rsidRPr="00E9705C">
        <w:t xml:space="preserve">s is reasonable and proportionate to the purpose of the program; </w:t>
      </w:r>
    </w:p>
    <w:p w14:paraId="19373EE9" w14:textId="77777777" w:rsidR="00C20457" w:rsidRPr="00E9705C" w:rsidRDefault="00C20457" w:rsidP="00323D0C">
      <w:pPr>
        <w:pStyle w:val="Bullet1stlevel"/>
      </w:pPr>
      <w:r w:rsidRPr="00E9705C">
        <w:t xml:space="preserve">Avoiding regulatory duplication and facilitating a coordinated uplift in responsible entities’ compliance with relevant standards; and </w:t>
      </w:r>
    </w:p>
    <w:p w14:paraId="777539FF" w14:textId="77777777" w:rsidR="00C20457" w:rsidRPr="00E9705C" w:rsidRDefault="00C20457" w:rsidP="00323D0C">
      <w:pPr>
        <w:pStyle w:val="Bullet1stlevel"/>
      </w:pPr>
      <w:r w:rsidRPr="00E9705C">
        <w:t xml:space="preserve">Improving Government’s visibility over the security and resilience of </w:t>
      </w:r>
      <w:r>
        <w:t>critical payment system</w:t>
      </w:r>
      <w:r w:rsidRPr="00E9705C">
        <w:t xml:space="preserve">s. </w:t>
      </w:r>
    </w:p>
    <w:p w14:paraId="57A47B3B" w14:textId="4B11A28D" w:rsidR="00A7399A" w:rsidRPr="003D3E80" w:rsidRDefault="00C20457" w:rsidP="003D3E80">
      <w:pPr>
        <w:pStyle w:val="BodyText"/>
        <w:rPr>
          <w:rFonts w:eastAsia="Calibri" w:cs="Times New Roman"/>
          <w:szCs w:val="24"/>
          <w:lang w:eastAsia="en-AU"/>
        </w:rPr>
      </w:pPr>
      <w:r w:rsidRPr="00E9705C">
        <w:lastRenderedPageBreak/>
        <w:t xml:space="preserve">Overall, these factors and the specific costs and benefits described above mean the likely net benefit associated with option 2 is high. </w:t>
      </w:r>
    </w:p>
    <w:p w14:paraId="404B9CDC" w14:textId="15C935C8" w:rsidR="00C83F80" w:rsidRPr="0070067F" w:rsidRDefault="00C83F80" w:rsidP="009B4B57">
      <w:pPr>
        <w:pStyle w:val="AppendixH1"/>
        <w:numPr>
          <w:ilvl w:val="0"/>
          <w:numId w:val="160"/>
        </w:numPr>
        <w:rPr>
          <w:szCs w:val="32"/>
        </w:rPr>
      </w:pPr>
      <w:bookmarkStart w:id="662" w:name="_Toc121397431"/>
      <w:r w:rsidRPr="008D154D">
        <w:lastRenderedPageBreak/>
        <w:t>Detailed costing information for critical liquid fuel assets</w:t>
      </w:r>
      <w:bookmarkEnd w:id="662"/>
    </w:p>
    <w:p w14:paraId="2FCD67A9" w14:textId="7D9D8BCC" w:rsidR="00C83F80" w:rsidRDefault="00A829BE" w:rsidP="00412F27">
      <w:pPr>
        <w:pStyle w:val="BodyText"/>
      </w:pPr>
      <w:r w:rsidRPr="00A829BE">
        <w:t>No</w:t>
      </w:r>
      <w:r w:rsidR="00C83F80" w:rsidRPr="00A829BE">
        <w:t xml:space="preserve"> responsible </w:t>
      </w:r>
      <w:r w:rsidR="00C83F80" w:rsidRPr="00412F27">
        <w:t>entity</w:t>
      </w:r>
      <w:r w:rsidR="00C83F80" w:rsidRPr="00A829BE">
        <w:t xml:space="preserve"> for critical </w:t>
      </w:r>
      <w:r w:rsidR="0094481D" w:rsidRPr="00A829BE">
        <w:t>liquid fuel</w:t>
      </w:r>
      <w:r w:rsidR="00C83F80" w:rsidRPr="00A829BE">
        <w:t xml:space="preserve"> assets submitted an estimated cost of compliance. </w:t>
      </w:r>
      <w:r w:rsidR="00104C2D">
        <w:t>T</w:t>
      </w:r>
      <w:r w:rsidR="00C83F80" w:rsidRPr="00A829BE">
        <w:t>o estimate the cost of compliance for the liquid fuels sector, the average cost of compliance</w:t>
      </w:r>
      <w:r w:rsidR="005E075C" w:rsidRPr="00A829BE">
        <w:t xml:space="preserve"> of similar </w:t>
      </w:r>
      <w:r w:rsidR="00CA166E" w:rsidRPr="00A829BE">
        <w:t>sized</w:t>
      </w:r>
      <w:r w:rsidR="005E075C" w:rsidRPr="00A829BE">
        <w:t xml:space="preserve"> entities in the </w:t>
      </w:r>
      <w:r w:rsidR="003D3D0A">
        <w:t>critical</w:t>
      </w:r>
      <w:r w:rsidR="005E075C" w:rsidRPr="00A829BE">
        <w:t xml:space="preserve"> </w:t>
      </w:r>
      <w:r w:rsidR="003D3D0A">
        <w:t>gas</w:t>
      </w:r>
      <w:r w:rsidR="005E075C" w:rsidRPr="00A829BE">
        <w:t xml:space="preserve"> sector</w:t>
      </w:r>
      <w:r w:rsidR="00C83F80" w:rsidRPr="00A829BE">
        <w:t xml:space="preserve"> was used as the base cost for liquid fuel entities</w:t>
      </w:r>
      <w:r w:rsidR="005E075C" w:rsidRPr="00A829BE">
        <w:t xml:space="preserve">. </w:t>
      </w:r>
      <w:r w:rsidR="00104C2D">
        <w:t xml:space="preserve">Critical </w:t>
      </w:r>
      <w:r w:rsidR="003D3D0A">
        <w:t>gas</w:t>
      </w:r>
      <w:r w:rsidR="00104C2D">
        <w:t xml:space="preserve"> asset entity submissions were used as the baseline as critical </w:t>
      </w:r>
      <w:r w:rsidR="00AE6B2F">
        <w:t>liquid fuels</w:t>
      </w:r>
      <w:r w:rsidR="00104C2D">
        <w:t xml:space="preserve"> asset entities operate comparable businesses with </w:t>
      </w:r>
      <w:r w:rsidR="00D925B6">
        <w:t>similar</w:t>
      </w:r>
      <w:r w:rsidR="00104C2D">
        <w:t xml:space="preserve"> assets, personnel and geography. </w:t>
      </w:r>
      <w:r w:rsidR="008E528B" w:rsidRPr="00A829BE">
        <w:t>The below analysis only focuses on the expected costs</w:t>
      </w:r>
      <w:r w:rsidR="00E32F77" w:rsidRPr="00A829BE">
        <w:t xml:space="preserve"> of the </w:t>
      </w:r>
      <w:r w:rsidR="00D925B6">
        <w:t>critical liquid fuels asset market.</w:t>
      </w:r>
    </w:p>
    <w:p w14:paraId="760E79A9" w14:textId="77777777" w:rsidR="00C83F80" w:rsidRPr="006B61BA" w:rsidRDefault="00C83F80" w:rsidP="002F6679">
      <w:pPr>
        <w:pStyle w:val="AppendixH2"/>
      </w:pPr>
      <w:r w:rsidRPr="006B61BA">
        <w:t>Likely net benefit</w:t>
      </w:r>
      <w:r>
        <w:t xml:space="preserve"> – option </w:t>
      </w:r>
      <w:r w:rsidRPr="006B61BA">
        <w:t xml:space="preserve">2 </w:t>
      </w:r>
    </w:p>
    <w:p w14:paraId="245E3C3C" w14:textId="77777777" w:rsidR="00C83F80" w:rsidRPr="00E9705C" w:rsidRDefault="00C83F80" w:rsidP="00412F27">
      <w:pPr>
        <w:pStyle w:val="BodyText"/>
        <w:rPr>
          <w:rFonts w:eastAsia="Calibri"/>
        </w:rPr>
      </w:pPr>
      <w:r w:rsidRPr="00E9705C">
        <w:t xml:space="preserve">The following section details the costs and benefits associated with option 2 (the regulatory option), before assessing the overall likely net benefit presented by this option. </w:t>
      </w:r>
    </w:p>
    <w:p w14:paraId="4E399CBE" w14:textId="77777777" w:rsidR="00C83F80" w:rsidRPr="002F1B2B" w:rsidRDefault="00C83F80" w:rsidP="002F6679">
      <w:pPr>
        <w:pStyle w:val="AppendixH2"/>
      </w:pPr>
      <w:r w:rsidRPr="002F1B2B">
        <w:t>Costs of option 2</w:t>
      </w:r>
    </w:p>
    <w:p w14:paraId="133F01CA" w14:textId="77777777" w:rsidR="00C83F80" w:rsidRPr="00E31954" w:rsidRDefault="005E075C" w:rsidP="00412F27">
      <w:pPr>
        <w:pStyle w:val="BodyText"/>
      </w:pPr>
      <w:r>
        <w:t>The</w:t>
      </w:r>
      <w:r w:rsidR="00C83F80" w:rsidRPr="00E31954">
        <w:t xml:space="preserve"> expected cost of compliance is as follows: </w:t>
      </w:r>
    </w:p>
    <w:p w14:paraId="733450E9" w14:textId="200910A4" w:rsidR="00C83F80" w:rsidRPr="00CB0109" w:rsidRDefault="00C83F80" w:rsidP="002F6679">
      <w:pPr>
        <w:pStyle w:val="Bullet1stlevel"/>
      </w:pPr>
      <w:r w:rsidRPr="00E31954">
        <w:t>A one-off regulatory cost of $</w:t>
      </w:r>
      <w:r w:rsidR="005E075C">
        <w:t>35</w:t>
      </w:r>
      <w:r>
        <w:t>.</w:t>
      </w:r>
      <w:r w:rsidR="003D3D0A">
        <w:t>8</w:t>
      </w:r>
      <w:r w:rsidR="005E075C">
        <w:t xml:space="preserve"> </w:t>
      </w:r>
      <w:r w:rsidRPr="00CB0109">
        <w:t>million</w:t>
      </w:r>
      <w:r w:rsidR="005E075C">
        <w:t>,</w:t>
      </w:r>
      <w:r w:rsidRPr="00CB0109">
        <w:t xml:space="preserve"> across critical </w:t>
      </w:r>
      <w:r w:rsidR="0094481D">
        <w:t>liquid fuel</w:t>
      </w:r>
      <w:r w:rsidRPr="00CB0109">
        <w:t xml:space="preserve"> assets nationally; and </w:t>
      </w:r>
    </w:p>
    <w:p w14:paraId="3910F321" w14:textId="16D01D0D" w:rsidR="00C83F80" w:rsidRPr="00562B85" w:rsidRDefault="00C83F80" w:rsidP="002F6679">
      <w:pPr>
        <w:pStyle w:val="Bullet1stlevel"/>
      </w:pPr>
      <w:r w:rsidRPr="00CB0109">
        <w:t xml:space="preserve">An ongoing cost of </w:t>
      </w:r>
      <w:r w:rsidR="005E075C">
        <w:t>$10</w:t>
      </w:r>
      <w:r>
        <w:t>.</w:t>
      </w:r>
      <w:r w:rsidR="003D3D0A">
        <w:t>5</w:t>
      </w:r>
      <w:r w:rsidRPr="00CB0109">
        <w:t xml:space="preserve"> </w:t>
      </w:r>
      <w:r w:rsidR="005E075C">
        <w:t>million</w:t>
      </w:r>
      <w:r w:rsidRPr="00562B85">
        <w:t xml:space="preserve"> per year, across critical </w:t>
      </w:r>
      <w:r w:rsidR="0094481D">
        <w:t>liquid fuel</w:t>
      </w:r>
      <w:r w:rsidRPr="00562B85">
        <w:t xml:space="preserve"> assets nationally. </w:t>
      </w:r>
    </w:p>
    <w:p w14:paraId="33EE1B84" w14:textId="77777777" w:rsidR="00C83F80" w:rsidRDefault="00C83F80" w:rsidP="00C83F80">
      <w:pPr>
        <w:rPr>
          <w:rFonts w:ascii="Arial" w:eastAsia="Calibri" w:hAnsi="Arial" w:cs="Arial"/>
          <w:sz w:val="22"/>
        </w:rPr>
      </w:pPr>
      <w:r w:rsidRPr="000E3E32">
        <w:rPr>
          <w:rFonts w:ascii="Arial" w:eastAsia="Calibri" w:hAnsi="Arial" w:cs="Arial"/>
          <w:sz w:val="22"/>
        </w:rPr>
        <w:t xml:space="preserve">The average </w:t>
      </w:r>
      <w:r>
        <w:rPr>
          <w:rFonts w:ascii="Arial" w:eastAsia="Calibri" w:hAnsi="Arial" w:cs="Arial"/>
          <w:sz w:val="22"/>
        </w:rPr>
        <w:t xml:space="preserve">expected </w:t>
      </w:r>
      <w:r w:rsidRPr="000E3E32">
        <w:rPr>
          <w:rFonts w:ascii="Arial" w:eastAsia="Calibri" w:hAnsi="Arial" w:cs="Arial"/>
          <w:sz w:val="22"/>
        </w:rPr>
        <w:t xml:space="preserve">cost of compliance for each entity </w:t>
      </w:r>
      <w:r w:rsidR="00104C2D">
        <w:rPr>
          <w:rFonts w:ascii="Arial" w:eastAsia="Calibri" w:hAnsi="Arial" w:cs="Arial"/>
          <w:sz w:val="22"/>
        </w:rPr>
        <w:t>wa</w:t>
      </w:r>
      <w:r w:rsidRPr="000E3E32">
        <w:rPr>
          <w:rFonts w:ascii="Arial" w:eastAsia="Calibri" w:hAnsi="Arial" w:cs="Arial"/>
          <w:sz w:val="22"/>
        </w:rPr>
        <w:t>s estimated at $</w:t>
      </w:r>
      <w:r w:rsidR="005E075C">
        <w:rPr>
          <w:rFonts w:ascii="Arial" w:eastAsia="Calibri" w:hAnsi="Arial" w:cs="Arial"/>
          <w:sz w:val="22"/>
        </w:rPr>
        <w:t>8</w:t>
      </w:r>
      <w:r w:rsidRPr="000E3E32">
        <w:rPr>
          <w:rFonts w:ascii="Arial" w:eastAsia="Calibri" w:hAnsi="Arial" w:cs="Arial"/>
          <w:sz w:val="22"/>
        </w:rPr>
        <w:t>.</w:t>
      </w:r>
      <w:r w:rsidR="005E075C">
        <w:rPr>
          <w:rFonts w:ascii="Arial" w:eastAsia="Calibri" w:hAnsi="Arial" w:cs="Arial"/>
          <w:sz w:val="22"/>
        </w:rPr>
        <w:t>9</w:t>
      </w:r>
      <w:r w:rsidRPr="000E3E32">
        <w:rPr>
          <w:rFonts w:ascii="Arial" w:eastAsia="Calibri" w:hAnsi="Arial" w:cs="Arial"/>
          <w:sz w:val="22"/>
        </w:rPr>
        <w:t xml:space="preserve"> million in one-off costs and $</w:t>
      </w:r>
      <w:r w:rsidR="005E075C">
        <w:rPr>
          <w:rFonts w:ascii="Arial" w:eastAsia="Calibri" w:hAnsi="Arial" w:cs="Arial"/>
          <w:sz w:val="22"/>
        </w:rPr>
        <w:t>2</w:t>
      </w:r>
      <w:r w:rsidRPr="000E3E32">
        <w:rPr>
          <w:rFonts w:ascii="Arial" w:eastAsia="Calibri" w:hAnsi="Arial" w:cs="Arial"/>
          <w:sz w:val="22"/>
        </w:rPr>
        <w:t>.</w:t>
      </w:r>
      <w:r w:rsidR="005E075C">
        <w:rPr>
          <w:rFonts w:ascii="Arial" w:eastAsia="Calibri" w:hAnsi="Arial" w:cs="Arial"/>
          <w:sz w:val="22"/>
        </w:rPr>
        <w:t>6</w:t>
      </w:r>
      <w:r w:rsidRPr="000E3E32">
        <w:rPr>
          <w:rFonts w:ascii="Arial" w:eastAsia="Calibri" w:hAnsi="Arial" w:cs="Arial"/>
          <w:sz w:val="22"/>
        </w:rPr>
        <w:t xml:space="preserve"> million per year in ongoing costs.</w:t>
      </w:r>
    </w:p>
    <w:p w14:paraId="0107C1DB" w14:textId="77777777" w:rsidR="00C83F80" w:rsidRDefault="00C83F80" w:rsidP="00412F27">
      <w:pPr>
        <w:pStyle w:val="BodyText"/>
        <w:rPr>
          <w:i/>
          <w:iCs/>
          <w:color w:val="44546A"/>
          <w:sz w:val="18"/>
          <w:szCs w:val="18"/>
        </w:rPr>
      </w:pPr>
      <w:r w:rsidRPr="00C11852">
        <w:t xml:space="preserve">The cost of regulation will be borne by entities responsible for </w:t>
      </w:r>
      <w:r>
        <w:t xml:space="preserve">critical </w:t>
      </w:r>
      <w:r w:rsidR="0094481D">
        <w:t>liquid fuel</w:t>
      </w:r>
      <w:r w:rsidR="00237444">
        <w:t xml:space="preserve"> assets</w:t>
      </w:r>
      <w:r w:rsidRPr="00C11852">
        <w:t xml:space="preserve"> who meet the relevant thresholds. Community organisations and individuals will not be directly affected but there will likely be indirect costs passed onto consumers. For the purposes of this RIS, the cost of regulation in </w:t>
      </w:r>
      <w:r>
        <w:t>the table below</w:t>
      </w:r>
      <w:r w:rsidRPr="00C11852">
        <w:t xml:space="preserve"> will only include the initial costs associated with regulation</w:t>
      </w:r>
      <w:r w:rsidRPr="00827F58">
        <w:rPr>
          <w:rStyle w:val="FootnoteReference"/>
          <w:rFonts w:ascii="Arial" w:eastAsia="Calibri" w:hAnsi="Arial" w:cs="Arial"/>
        </w:rPr>
        <w:footnoteReference w:id="370"/>
      </w:r>
      <w:r w:rsidRPr="00C11852">
        <w:t xml:space="preserve">. </w:t>
      </w:r>
      <w:r w:rsidRPr="00C11852">
        <w:rPr>
          <w:rFonts w:eastAsia="Times New Roman"/>
        </w:rPr>
        <w:t xml:space="preserve">The indirect cost to consumers and communities has been addressed in the economic analysis through consideration of indirect cost to the wider economy as a result of the proposed </w:t>
      </w:r>
      <w:r>
        <w:rPr>
          <w:rFonts w:eastAsia="Times New Roman"/>
        </w:rPr>
        <w:t>RMP</w:t>
      </w:r>
      <w:r w:rsidRPr="00C11852">
        <w:rPr>
          <w:rFonts w:eastAsia="Times New Roman"/>
        </w:rPr>
        <w:t xml:space="preserve"> framework.</w:t>
      </w:r>
    </w:p>
    <w:p w14:paraId="43AF8787" w14:textId="77777777" w:rsidR="00C83F80" w:rsidRPr="00C83F80" w:rsidRDefault="00C83F80" w:rsidP="002F6679">
      <w:pPr>
        <w:pStyle w:val="Caption"/>
        <w:rPr>
          <w:sz w:val="22"/>
        </w:rPr>
      </w:pPr>
      <w:r w:rsidRPr="00E9705C">
        <w:t>Regulatory cost estimate</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125"/>
        <w:gridCol w:w="1878"/>
        <w:gridCol w:w="1877"/>
        <w:gridCol w:w="1877"/>
        <w:gridCol w:w="1881"/>
      </w:tblGrid>
      <w:tr w:rsidR="00C83F80" w:rsidRPr="003E3B28" w14:paraId="0D3751D2" w14:textId="77777777" w:rsidTr="006361FE">
        <w:tc>
          <w:tcPr>
            <w:tcW w:w="1102" w:type="pct"/>
            <w:vMerge w:val="restart"/>
            <w:shd w:val="clear" w:color="auto" w:fill="034EA2" w:themeFill="accent1"/>
            <w:hideMark/>
          </w:tcPr>
          <w:p w14:paraId="3FEF30A1" w14:textId="77777777" w:rsidR="00C83F80" w:rsidRPr="003E3B28" w:rsidRDefault="00C83F80" w:rsidP="006361FE">
            <w:pPr>
              <w:pStyle w:val="TableHeading"/>
              <w:rPr>
                <w:rFonts w:asciiTheme="majorHAnsi" w:hAnsiTheme="majorHAnsi" w:cstheme="majorHAnsi"/>
                <w:lang w:eastAsia="en-AU"/>
              </w:rPr>
            </w:pPr>
            <w:r w:rsidRPr="003E3B28">
              <w:rPr>
                <w:rFonts w:asciiTheme="majorHAnsi" w:hAnsiTheme="majorHAnsi" w:cstheme="majorHAnsi"/>
                <w:lang w:eastAsia="en-AU"/>
              </w:rPr>
              <w:t>Cost Type</w:t>
            </w:r>
          </w:p>
        </w:tc>
        <w:tc>
          <w:tcPr>
            <w:tcW w:w="3898" w:type="pct"/>
            <w:gridSpan w:val="4"/>
            <w:shd w:val="clear" w:color="auto" w:fill="034EA2" w:themeFill="accent1"/>
            <w:vAlign w:val="center"/>
            <w:hideMark/>
          </w:tcPr>
          <w:p w14:paraId="562965E8" w14:textId="77777777" w:rsidR="00C83F80" w:rsidRPr="003E3B28" w:rsidRDefault="00C83F80" w:rsidP="003E3B28">
            <w:pPr>
              <w:pStyle w:val="TableHeading"/>
              <w:rPr>
                <w:rFonts w:asciiTheme="majorHAnsi" w:hAnsiTheme="majorHAnsi" w:cstheme="majorHAnsi"/>
                <w:lang w:eastAsia="en-AU"/>
              </w:rPr>
            </w:pPr>
            <w:r w:rsidRPr="003E3B28">
              <w:rPr>
                <w:rFonts w:asciiTheme="majorHAnsi" w:hAnsiTheme="majorHAnsi" w:cstheme="majorHAnsi"/>
                <w:lang w:eastAsia="en-AU"/>
              </w:rPr>
              <w:t>Costs ($ million)</w:t>
            </w:r>
          </w:p>
        </w:tc>
      </w:tr>
      <w:tr w:rsidR="00340241" w:rsidRPr="003E3B28" w14:paraId="048BD7C8" w14:textId="77777777" w:rsidTr="003E3B28">
        <w:tc>
          <w:tcPr>
            <w:tcW w:w="1102" w:type="pct"/>
            <w:vMerge/>
            <w:vAlign w:val="center"/>
            <w:hideMark/>
          </w:tcPr>
          <w:p w14:paraId="1E4AA548" w14:textId="77777777" w:rsidR="00C83F80" w:rsidRPr="003E3B28" w:rsidRDefault="00C83F80" w:rsidP="003E3B28">
            <w:pPr>
              <w:pStyle w:val="TableBody"/>
              <w:rPr>
                <w:rFonts w:asciiTheme="majorHAnsi" w:hAnsiTheme="majorHAnsi" w:cstheme="majorHAnsi"/>
                <w:lang w:eastAsia="en-AU"/>
              </w:rPr>
            </w:pPr>
          </w:p>
        </w:tc>
        <w:tc>
          <w:tcPr>
            <w:tcW w:w="974" w:type="pct"/>
            <w:shd w:val="clear" w:color="auto" w:fill="DEEAF6"/>
            <w:vAlign w:val="center"/>
            <w:hideMark/>
          </w:tcPr>
          <w:p w14:paraId="30B37347" w14:textId="77777777" w:rsidR="00C83F80" w:rsidRPr="003E3B28" w:rsidRDefault="00C83F80" w:rsidP="003E3B28">
            <w:pPr>
              <w:pStyle w:val="TableBody"/>
              <w:rPr>
                <w:rFonts w:asciiTheme="majorHAnsi" w:hAnsiTheme="majorHAnsi" w:cstheme="majorHAnsi"/>
                <w:lang w:eastAsia="en-AU"/>
              </w:rPr>
            </w:pPr>
            <w:r w:rsidRPr="003E3B28">
              <w:rPr>
                <w:rFonts w:asciiTheme="majorHAnsi" w:hAnsiTheme="majorHAnsi" w:cstheme="majorHAnsi"/>
                <w:lang w:eastAsia="en-AU"/>
              </w:rPr>
              <w:t>Business</w:t>
            </w:r>
          </w:p>
        </w:tc>
        <w:tc>
          <w:tcPr>
            <w:tcW w:w="974" w:type="pct"/>
            <w:shd w:val="clear" w:color="auto" w:fill="DEEAF6"/>
            <w:vAlign w:val="center"/>
            <w:hideMark/>
          </w:tcPr>
          <w:p w14:paraId="6F5A4681" w14:textId="77777777" w:rsidR="00C83F80" w:rsidRPr="003E3B28" w:rsidRDefault="00C83F80" w:rsidP="003E3B28">
            <w:pPr>
              <w:pStyle w:val="TableBody"/>
              <w:rPr>
                <w:rFonts w:asciiTheme="majorHAnsi" w:hAnsiTheme="majorHAnsi" w:cstheme="majorHAnsi"/>
                <w:lang w:eastAsia="en-AU"/>
              </w:rPr>
            </w:pPr>
            <w:r w:rsidRPr="003E3B28">
              <w:rPr>
                <w:rFonts w:asciiTheme="majorHAnsi" w:hAnsiTheme="majorHAnsi" w:cstheme="majorHAnsi"/>
                <w:lang w:eastAsia="en-AU"/>
              </w:rPr>
              <w:t>Community</w:t>
            </w:r>
          </w:p>
        </w:tc>
        <w:tc>
          <w:tcPr>
            <w:tcW w:w="974" w:type="pct"/>
            <w:shd w:val="clear" w:color="auto" w:fill="DEEAF6"/>
            <w:vAlign w:val="center"/>
            <w:hideMark/>
          </w:tcPr>
          <w:p w14:paraId="754FA94A" w14:textId="77777777" w:rsidR="00C83F80" w:rsidRPr="003E3B28" w:rsidRDefault="00C83F80" w:rsidP="003E3B28">
            <w:pPr>
              <w:pStyle w:val="TableBody"/>
              <w:rPr>
                <w:rFonts w:asciiTheme="majorHAnsi" w:hAnsiTheme="majorHAnsi" w:cstheme="majorHAnsi"/>
                <w:lang w:eastAsia="en-AU"/>
              </w:rPr>
            </w:pPr>
            <w:r w:rsidRPr="003E3B28">
              <w:rPr>
                <w:rFonts w:asciiTheme="majorHAnsi" w:hAnsiTheme="majorHAnsi" w:cstheme="majorHAnsi"/>
                <w:lang w:eastAsia="en-AU"/>
              </w:rPr>
              <w:t>Individuals</w:t>
            </w:r>
          </w:p>
        </w:tc>
        <w:tc>
          <w:tcPr>
            <w:tcW w:w="975" w:type="pct"/>
            <w:shd w:val="clear" w:color="auto" w:fill="DEEAF6"/>
            <w:vAlign w:val="center"/>
            <w:hideMark/>
          </w:tcPr>
          <w:p w14:paraId="0C1E616A" w14:textId="77777777" w:rsidR="00C83F80" w:rsidRPr="003E3B28" w:rsidRDefault="00C83F80" w:rsidP="003E3B28">
            <w:pPr>
              <w:pStyle w:val="TableBody"/>
              <w:rPr>
                <w:rFonts w:asciiTheme="majorHAnsi" w:hAnsiTheme="majorHAnsi" w:cstheme="majorHAnsi"/>
                <w:lang w:eastAsia="en-AU"/>
              </w:rPr>
            </w:pPr>
            <w:r w:rsidRPr="003E3B28">
              <w:rPr>
                <w:rFonts w:asciiTheme="majorHAnsi" w:hAnsiTheme="majorHAnsi" w:cstheme="majorHAnsi"/>
                <w:lang w:eastAsia="en-AU"/>
              </w:rPr>
              <w:t xml:space="preserve">Total cost </w:t>
            </w:r>
          </w:p>
        </w:tc>
      </w:tr>
      <w:tr w:rsidR="00237444" w:rsidRPr="003E3B28" w14:paraId="6B036CBD" w14:textId="77777777" w:rsidTr="003E3B28">
        <w:tc>
          <w:tcPr>
            <w:tcW w:w="1102" w:type="pct"/>
            <w:shd w:val="clear" w:color="auto" w:fill="F2F2F2" w:themeFill="background1" w:themeFillShade="F2"/>
            <w:vAlign w:val="center"/>
            <w:hideMark/>
          </w:tcPr>
          <w:p w14:paraId="03E1D6F2" w14:textId="77777777" w:rsidR="00237444" w:rsidRPr="003E3B28" w:rsidRDefault="00237444" w:rsidP="003E3B28">
            <w:pPr>
              <w:pStyle w:val="TableBody"/>
              <w:rPr>
                <w:rFonts w:asciiTheme="majorHAnsi" w:hAnsiTheme="majorHAnsi" w:cstheme="majorHAnsi"/>
                <w:lang w:eastAsia="en-AU"/>
              </w:rPr>
            </w:pPr>
            <w:r w:rsidRPr="003E3B28">
              <w:rPr>
                <w:rFonts w:asciiTheme="majorHAnsi" w:hAnsiTheme="majorHAnsi" w:cstheme="majorHAnsi"/>
                <w:lang w:eastAsia="en-AU"/>
              </w:rPr>
              <w:t>One-off</w:t>
            </w:r>
          </w:p>
        </w:tc>
        <w:tc>
          <w:tcPr>
            <w:tcW w:w="974" w:type="pct"/>
            <w:vAlign w:val="center"/>
            <w:hideMark/>
          </w:tcPr>
          <w:p w14:paraId="09FFB9BD" w14:textId="48F73B69" w:rsidR="00237444" w:rsidRPr="003E3B28" w:rsidRDefault="00237444" w:rsidP="003E3B28">
            <w:pPr>
              <w:pStyle w:val="TableBody"/>
              <w:rPr>
                <w:rFonts w:asciiTheme="majorHAnsi" w:hAnsiTheme="majorHAnsi" w:cstheme="majorHAnsi"/>
                <w:lang w:eastAsia="en-AU"/>
              </w:rPr>
            </w:pPr>
            <w:r w:rsidRPr="003E3B28">
              <w:rPr>
                <w:rFonts w:asciiTheme="majorHAnsi" w:hAnsiTheme="majorHAnsi" w:cstheme="majorHAnsi"/>
                <w:lang w:eastAsia="en-AU"/>
              </w:rPr>
              <w:t>35.</w:t>
            </w:r>
            <w:r w:rsidR="003D3D0A">
              <w:rPr>
                <w:rFonts w:asciiTheme="majorHAnsi" w:hAnsiTheme="majorHAnsi" w:cstheme="majorHAnsi"/>
                <w:lang w:eastAsia="en-AU"/>
              </w:rPr>
              <w:t>8</w:t>
            </w:r>
          </w:p>
        </w:tc>
        <w:tc>
          <w:tcPr>
            <w:tcW w:w="974" w:type="pct"/>
            <w:vAlign w:val="center"/>
            <w:hideMark/>
          </w:tcPr>
          <w:p w14:paraId="32854780" w14:textId="77777777" w:rsidR="00237444" w:rsidRPr="003E3B28" w:rsidRDefault="00237444" w:rsidP="003E3B28">
            <w:pPr>
              <w:pStyle w:val="TableBody"/>
              <w:rPr>
                <w:rFonts w:asciiTheme="majorHAnsi" w:hAnsiTheme="majorHAnsi" w:cstheme="majorHAnsi"/>
                <w:lang w:eastAsia="en-AU"/>
              </w:rPr>
            </w:pPr>
            <w:r w:rsidRPr="003E3B28">
              <w:rPr>
                <w:rFonts w:asciiTheme="majorHAnsi" w:hAnsiTheme="majorHAnsi" w:cstheme="majorHAnsi"/>
                <w:lang w:eastAsia="en-AU"/>
              </w:rPr>
              <w:t>Nil</w:t>
            </w:r>
          </w:p>
        </w:tc>
        <w:tc>
          <w:tcPr>
            <w:tcW w:w="974" w:type="pct"/>
            <w:vAlign w:val="center"/>
            <w:hideMark/>
          </w:tcPr>
          <w:p w14:paraId="3E14CA0C" w14:textId="77777777" w:rsidR="00237444" w:rsidRPr="003E3B28" w:rsidRDefault="00237444" w:rsidP="003E3B28">
            <w:pPr>
              <w:pStyle w:val="TableBody"/>
              <w:rPr>
                <w:rFonts w:asciiTheme="majorHAnsi" w:hAnsiTheme="majorHAnsi" w:cstheme="majorHAnsi"/>
                <w:lang w:eastAsia="en-AU"/>
              </w:rPr>
            </w:pPr>
            <w:r w:rsidRPr="003E3B28">
              <w:rPr>
                <w:rFonts w:asciiTheme="majorHAnsi" w:hAnsiTheme="majorHAnsi" w:cstheme="majorHAnsi"/>
                <w:lang w:eastAsia="en-AU"/>
              </w:rPr>
              <w:t>Nil</w:t>
            </w:r>
          </w:p>
        </w:tc>
        <w:tc>
          <w:tcPr>
            <w:tcW w:w="975" w:type="pct"/>
            <w:vAlign w:val="center"/>
            <w:hideMark/>
          </w:tcPr>
          <w:p w14:paraId="3E981250" w14:textId="4FAF141E" w:rsidR="00237444" w:rsidRPr="003E3B28" w:rsidRDefault="00237444" w:rsidP="003E3B28">
            <w:pPr>
              <w:pStyle w:val="TableBody"/>
              <w:rPr>
                <w:rFonts w:asciiTheme="majorHAnsi" w:hAnsiTheme="majorHAnsi" w:cstheme="majorHAnsi"/>
              </w:rPr>
            </w:pPr>
            <w:r w:rsidRPr="003E3B28">
              <w:rPr>
                <w:rFonts w:asciiTheme="majorHAnsi" w:hAnsiTheme="majorHAnsi" w:cstheme="majorHAnsi"/>
                <w:lang w:eastAsia="en-AU"/>
              </w:rPr>
              <w:t>35.</w:t>
            </w:r>
            <w:r w:rsidR="003D3D0A">
              <w:rPr>
                <w:rFonts w:asciiTheme="majorHAnsi" w:hAnsiTheme="majorHAnsi" w:cstheme="majorHAnsi"/>
                <w:lang w:eastAsia="en-AU"/>
              </w:rPr>
              <w:t>8</w:t>
            </w:r>
          </w:p>
        </w:tc>
      </w:tr>
      <w:tr w:rsidR="00237444" w:rsidRPr="003E3B28" w14:paraId="78EBFA92" w14:textId="77777777" w:rsidTr="003E3B28">
        <w:tc>
          <w:tcPr>
            <w:tcW w:w="1102" w:type="pct"/>
            <w:shd w:val="clear" w:color="auto" w:fill="F2F2F2" w:themeFill="background1" w:themeFillShade="F2"/>
            <w:vAlign w:val="center"/>
            <w:hideMark/>
          </w:tcPr>
          <w:p w14:paraId="38D487F8" w14:textId="7EE8B168" w:rsidR="00237444" w:rsidRPr="003E3B28" w:rsidRDefault="00237444" w:rsidP="003E3B28">
            <w:pPr>
              <w:pStyle w:val="TableBody"/>
              <w:rPr>
                <w:rFonts w:asciiTheme="majorHAnsi" w:hAnsiTheme="majorHAnsi" w:cstheme="majorHAnsi"/>
                <w:lang w:eastAsia="en-AU"/>
              </w:rPr>
            </w:pPr>
            <w:r w:rsidRPr="003E3B28">
              <w:rPr>
                <w:rFonts w:asciiTheme="majorHAnsi" w:hAnsiTheme="majorHAnsi" w:cstheme="majorHAnsi"/>
                <w:lang w:eastAsia="en-AU"/>
              </w:rPr>
              <w:t>Ongoing (per year)</w:t>
            </w:r>
          </w:p>
        </w:tc>
        <w:tc>
          <w:tcPr>
            <w:tcW w:w="974" w:type="pct"/>
            <w:vAlign w:val="center"/>
            <w:hideMark/>
          </w:tcPr>
          <w:p w14:paraId="4C711839" w14:textId="0AA3AF19" w:rsidR="00237444" w:rsidRPr="003E3B28" w:rsidRDefault="00237444" w:rsidP="003E3B28">
            <w:pPr>
              <w:pStyle w:val="TableBody"/>
              <w:rPr>
                <w:rFonts w:asciiTheme="majorHAnsi" w:hAnsiTheme="majorHAnsi" w:cstheme="majorHAnsi"/>
                <w:lang w:eastAsia="en-AU"/>
              </w:rPr>
            </w:pPr>
            <w:r w:rsidRPr="003E3B28">
              <w:rPr>
                <w:rFonts w:asciiTheme="majorHAnsi" w:hAnsiTheme="majorHAnsi" w:cstheme="majorHAnsi"/>
                <w:lang w:eastAsia="en-AU"/>
              </w:rPr>
              <w:t>10.</w:t>
            </w:r>
            <w:r w:rsidR="003D3D0A">
              <w:rPr>
                <w:rFonts w:asciiTheme="majorHAnsi" w:hAnsiTheme="majorHAnsi" w:cstheme="majorHAnsi"/>
                <w:lang w:eastAsia="en-AU"/>
              </w:rPr>
              <w:t>5</w:t>
            </w:r>
          </w:p>
        </w:tc>
        <w:tc>
          <w:tcPr>
            <w:tcW w:w="974" w:type="pct"/>
            <w:vAlign w:val="center"/>
            <w:hideMark/>
          </w:tcPr>
          <w:p w14:paraId="29BB2876" w14:textId="77777777" w:rsidR="00237444" w:rsidRPr="003E3B28" w:rsidRDefault="00237444" w:rsidP="003E3B28">
            <w:pPr>
              <w:pStyle w:val="TableBody"/>
              <w:rPr>
                <w:rFonts w:asciiTheme="majorHAnsi" w:hAnsiTheme="majorHAnsi" w:cstheme="majorHAnsi"/>
                <w:lang w:eastAsia="en-AU"/>
              </w:rPr>
            </w:pPr>
            <w:r w:rsidRPr="003E3B28">
              <w:rPr>
                <w:rFonts w:asciiTheme="majorHAnsi" w:hAnsiTheme="majorHAnsi" w:cstheme="majorHAnsi"/>
                <w:lang w:eastAsia="en-AU"/>
              </w:rPr>
              <w:t>Nil</w:t>
            </w:r>
          </w:p>
        </w:tc>
        <w:tc>
          <w:tcPr>
            <w:tcW w:w="974" w:type="pct"/>
            <w:vAlign w:val="center"/>
            <w:hideMark/>
          </w:tcPr>
          <w:p w14:paraId="0C0C03F9" w14:textId="77777777" w:rsidR="00237444" w:rsidRPr="003E3B28" w:rsidRDefault="00237444" w:rsidP="003E3B28">
            <w:pPr>
              <w:pStyle w:val="TableBody"/>
              <w:rPr>
                <w:rFonts w:asciiTheme="majorHAnsi" w:hAnsiTheme="majorHAnsi" w:cstheme="majorHAnsi"/>
                <w:lang w:eastAsia="en-AU"/>
              </w:rPr>
            </w:pPr>
            <w:r w:rsidRPr="003E3B28">
              <w:rPr>
                <w:rFonts w:asciiTheme="majorHAnsi" w:hAnsiTheme="majorHAnsi" w:cstheme="majorHAnsi"/>
                <w:lang w:eastAsia="en-AU"/>
              </w:rPr>
              <w:t>Nil</w:t>
            </w:r>
          </w:p>
        </w:tc>
        <w:tc>
          <w:tcPr>
            <w:tcW w:w="975" w:type="pct"/>
            <w:vAlign w:val="center"/>
            <w:hideMark/>
          </w:tcPr>
          <w:p w14:paraId="44011769" w14:textId="448110A6" w:rsidR="00237444" w:rsidRPr="003E3B28" w:rsidRDefault="00237444" w:rsidP="003E3B28">
            <w:pPr>
              <w:pStyle w:val="TableBody"/>
              <w:rPr>
                <w:rFonts w:asciiTheme="majorHAnsi" w:hAnsiTheme="majorHAnsi" w:cstheme="majorHAnsi"/>
              </w:rPr>
            </w:pPr>
            <w:r w:rsidRPr="003E3B28">
              <w:rPr>
                <w:rFonts w:asciiTheme="majorHAnsi" w:hAnsiTheme="majorHAnsi" w:cstheme="majorHAnsi"/>
                <w:lang w:eastAsia="en-AU"/>
              </w:rPr>
              <w:t>10.</w:t>
            </w:r>
            <w:r w:rsidR="003D3D0A">
              <w:rPr>
                <w:rFonts w:asciiTheme="majorHAnsi" w:hAnsiTheme="majorHAnsi" w:cstheme="majorHAnsi"/>
                <w:lang w:eastAsia="en-AU"/>
              </w:rPr>
              <w:t>5</w:t>
            </w:r>
          </w:p>
        </w:tc>
      </w:tr>
    </w:tbl>
    <w:p w14:paraId="0FF8B4AB" w14:textId="77777777" w:rsidR="00C83F80" w:rsidRPr="000E3E32" w:rsidRDefault="00C83F80" w:rsidP="003E3B28">
      <w:pPr>
        <w:pStyle w:val="Note"/>
      </w:pPr>
      <w:r w:rsidRPr="00386A14">
        <w:rPr>
          <w:b/>
        </w:rPr>
        <w:t>Note:</w:t>
      </w:r>
      <w:r>
        <w:t xml:space="preserve"> There will be no direct costs to individuals and communities although price rises may reflect the increased cost of operations as a result of the proposed RMP framework. </w:t>
      </w:r>
    </w:p>
    <w:p w14:paraId="5337C0E3" w14:textId="11A2B4F9" w:rsidR="00C83F80" w:rsidRDefault="00C83F80" w:rsidP="00412F27">
      <w:pPr>
        <w:pStyle w:val="BodyText"/>
      </w:pPr>
      <w:r w:rsidRPr="0046371E">
        <w:t xml:space="preserve">Based on the industry submissions made during consultations, total regulatory costs will be highest for rules and </w:t>
      </w:r>
      <w:r w:rsidRPr="0057692F">
        <w:t xml:space="preserve">obligations associated with addressing </w:t>
      </w:r>
      <w:r>
        <w:t xml:space="preserve">risk RMP obligations in the </w:t>
      </w:r>
      <w:r w:rsidR="00FF547C">
        <w:t>Act</w:t>
      </w:r>
      <w:r>
        <w:t>.</w:t>
      </w:r>
      <w:r w:rsidRPr="0057692F">
        <w:t xml:space="preserve"> These costs represent approximately 2</w:t>
      </w:r>
      <w:r>
        <w:t>7</w:t>
      </w:r>
      <w:r w:rsidRPr="0057692F">
        <w:t xml:space="preserve">.4% of the total cost of implementing the RMP framework. The cost associated with </w:t>
      </w:r>
      <w:r>
        <w:t>supply chain</w:t>
      </w:r>
      <w:r w:rsidRPr="0057692F">
        <w:t xml:space="preserve"> hazards (</w:t>
      </w:r>
      <w:r>
        <w:t>22.8</w:t>
      </w:r>
      <w:r w:rsidRPr="0057692F">
        <w:t xml:space="preserve">% of total cost), </w:t>
      </w:r>
      <w:r>
        <w:t>cyber and information security hazards</w:t>
      </w:r>
      <w:r w:rsidRPr="0057692F">
        <w:t xml:space="preserve"> (17.</w:t>
      </w:r>
      <w:r>
        <w:t>1</w:t>
      </w:r>
      <w:r w:rsidRPr="0057692F">
        <w:t xml:space="preserve">% of total cost) and </w:t>
      </w:r>
      <w:r>
        <w:t>material risk</w:t>
      </w:r>
      <w:r w:rsidRPr="0057692F">
        <w:t xml:space="preserve"> rules (1</w:t>
      </w:r>
      <w:r>
        <w:t>2</w:t>
      </w:r>
      <w:r w:rsidRPr="0057692F">
        <w:t>.</w:t>
      </w:r>
      <w:r>
        <w:t>5</w:t>
      </w:r>
      <w:r w:rsidRPr="0057692F">
        <w:t xml:space="preserve">% of total cost) are less significant but remain material. Compliance costs associated with </w:t>
      </w:r>
      <w:r w:rsidR="00913535">
        <w:t>general</w:t>
      </w:r>
      <w:r w:rsidR="00913535" w:rsidRPr="0057692F">
        <w:t xml:space="preserve"> </w:t>
      </w:r>
      <w:r w:rsidRPr="0057692F">
        <w:t xml:space="preserve">rules, personnel hazards and </w:t>
      </w:r>
      <w:r>
        <w:t>physical and natural</w:t>
      </w:r>
      <w:r w:rsidRPr="0057692F">
        <w:t xml:space="preserve"> hazards were the least costly aspects of the RMP framework, representing in total </w:t>
      </w:r>
      <w:r w:rsidRPr="0057692F">
        <w:lastRenderedPageBreak/>
        <w:t>approximately 2</w:t>
      </w:r>
      <w:r>
        <w:t>0</w:t>
      </w:r>
      <w:r w:rsidRPr="0057692F">
        <w:t>.</w:t>
      </w:r>
      <w:r>
        <w:t>2</w:t>
      </w:r>
      <w:r w:rsidRPr="0057692F">
        <w:t xml:space="preserve">% of costs in total. The total regulatory cost by rule/obligation is set out in </w:t>
      </w:r>
      <w:r>
        <w:t>the table</w:t>
      </w:r>
      <w:r w:rsidRPr="0057692F">
        <w:t xml:space="preserve"> below.</w:t>
      </w:r>
    </w:p>
    <w:p w14:paraId="1CEFAA38" w14:textId="77777777" w:rsidR="00C83F80" w:rsidRPr="006B61BA" w:rsidRDefault="00C83F80" w:rsidP="002F6679">
      <w:pPr>
        <w:pStyle w:val="Caption"/>
        <w:rPr>
          <w:sz w:val="22"/>
        </w:rPr>
      </w:pPr>
      <w:r w:rsidRPr="00E9705C">
        <w:t xml:space="preserve">Regulatory burden estimate by rule and obligation for </w:t>
      </w:r>
      <w:r>
        <w:t xml:space="preserve">critical </w:t>
      </w:r>
      <w:r w:rsidR="0094481D">
        <w:t>liquid fuel</w:t>
      </w:r>
      <w:r w:rsidRPr="00E9705C">
        <w:t xml:space="preserve"> nationally</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835"/>
        <w:gridCol w:w="1700"/>
        <w:gridCol w:w="1561"/>
        <w:gridCol w:w="1558"/>
        <w:gridCol w:w="1984"/>
      </w:tblGrid>
      <w:tr w:rsidR="00340241" w:rsidRPr="00C11956" w14:paraId="4938135D" w14:textId="77777777" w:rsidTr="00C11956">
        <w:tc>
          <w:tcPr>
            <w:tcW w:w="1471" w:type="pct"/>
            <w:vMerge w:val="restart"/>
            <w:shd w:val="clear" w:color="auto" w:fill="034EA2" w:themeFill="accent1"/>
            <w:hideMark/>
          </w:tcPr>
          <w:p w14:paraId="3161F372" w14:textId="77777777" w:rsidR="00C83F80" w:rsidRPr="00C11956" w:rsidRDefault="00C83F80" w:rsidP="00C11956">
            <w:pPr>
              <w:pStyle w:val="TableHeading"/>
              <w:rPr>
                <w:rFonts w:asciiTheme="minorHAnsi" w:hAnsiTheme="minorHAnsi" w:cstheme="minorHAnsi"/>
                <w:lang w:eastAsia="en-AU"/>
              </w:rPr>
            </w:pPr>
            <w:r w:rsidRPr="00C11956">
              <w:rPr>
                <w:rFonts w:asciiTheme="minorHAnsi" w:hAnsiTheme="minorHAnsi" w:cstheme="minorHAnsi"/>
                <w:lang w:eastAsia="en-AU"/>
              </w:rPr>
              <w:t>Rule / obligation</w:t>
            </w:r>
          </w:p>
        </w:tc>
        <w:tc>
          <w:tcPr>
            <w:tcW w:w="3529" w:type="pct"/>
            <w:gridSpan w:val="4"/>
            <w:shd w:val="clear" w:color="auto" w:fill="034EA2" w:themeFill="accent1"/>
            <w:hideMark/>
          </w:tcPr>
          <w:p w14:paraId="15C532BC" w14:textId="77777777" w:rsidR="00C83F80" w:rsidRPr="00C11956" w:rsidRDefault="00C83F80" w:rsidP="00C11956">
            <w:pPr>
              <w:pStyle w:val="TableHeading"/>
              <w:rPr>
                <w:rFonts w:asciiTheme="minorHAnsi" w:hAnsiTheme="minorHAnsi" w:cstheme="minorHAnsi"/>
                <w:lang w:eastAsia="en-AU"/>
              </w:rPr>
            </w:pPr>
            <w:r w:rsidRPr="00C11956">
              <w:rPr>
                <w:rFonts w:asciiTheme="minorHAnsi" w:hAnsiTheme="minorHAnsi" w:cstheme="minorHAnsi"/>
                <w:lang w:eastAsia="en-AU"/>
              </w:rPr>
              <w:t>Costs</w:t>
            </w:r>
            <w:r w:rsidR="00841B44" w:rsidRPr="00C11956">
              <w:rPr>
                <w:rFonts w:asciiTheme="minorHAnsi" w:hAnsiTheme="minorHAnsi" w:cstheme="minorHAnsi"/>
                <w:lang w:eastAsia="en-AU"/>
              </w:rPr>
              <w:t xml:space="preserve"> (Expected)</w:t>
            </w:r>
          </w:p>
        </w:tc>
      </w:tr>
      <w:tr w:rsidR="009E6DAB" w:rsidRPr="00C11956" w14:paraId="407AF081" w14:textId="77777777" w:rsidTr="00C11956">
        <w:tc>
          <w:tcPr>
            <w:tcW w:w="1471" w:type="pct"/>
            <w:vMerge/>
            <w:hideMark/>
          </w:tcPr>
          <w:p w14:paraId="074BB20D" w14:textId="77777777" w:rsidR="00C83F80" w:rsidRPr="00C11956" w:rsidRDefault="00C83F80" w:rsidP="00C11956">
            <w:pPr>
              <w:pStyle w:val="TableBody"/>
              <w:rPr>
                <w:rFonts w:asciiTheme="minorHAnsi" w:hAnsiTheme="minorHAnsi" w:cstheme="minorHAnsi"/>
                <w:lang w:eastAsia="en-AU"/>
              </w:rPr>
            </w:pPr>
          </w:p>
        </w:tc>
        <w:tc>
          <w:tcPr>
            <w:tcW w:w="882" w:type="pct"/>
            <w:shd w:val="clear" w:color="auto" w:fill="DEEAF6"/>
            <w:hideMark/>
          </w:tcPr>
          <w:p w14:paraId="7DFA5956" w14:textId="02CE0992" w:rsidR="00C83F80" w:rsidRPr="00C11956" w:rsidRDefault="00C83F80" w:rsidP="00C11956">
            <w:pPr>
              <w:pStyle w:val="TableBody"/>
              <w:rPr>
                <w:rFonts w:asciiTheme="minorHAnsi" w:hAnsiTheme="minorHAnsi" w:cstheme="minorHAnsi"/>
                <w:color w:val="000000"/>
                <w:lang w:eastAsia="en-AU"/>
              </w:rPr>
            </w:pPr>
            <w:r w:rsidRPr="00C11956">
              <w:rPr>
                <w:rFonts w:asciiTheme="minorHAnsi" w:hAnsiTheme="minorHAnsi" w:cstheme="minorHAnsi"/>
                <w:color w:val="000000"/>
                <w:lang w:eastAsia="en-AU"/>
              </w:rPr>
              <w:t xml:space="preserve">One-off </w:t>
            </w:r>
            <w:r w:rsidR="00C11956">
              <w:rPr>
                <w:rFonts w:asciiTheme="minorHAnsi" w:hAnsiTheme="minorHAnsi" w:cstheme="minorHAnsi"/>
                <w:color w:val="000000"/>
                <w:lang w:eastAsia="en-AU"/>
              </w:rPr>
              <w:br/>
            </w:r>
            <w:r w:rsidRPr="00C11956">
              <w:rPr>
                <w:rFonts w:asciiTheme="minorHAnsi" w:hAnsiTheme="minorHAnsi" w:cstheme="minorHAnsi"/>
                <w:color w:val="000000"/>
                <w:lang w:eastAsia="en-AU"/>
              </w:rPr>
              <w:t>($ million)</w:t>
            </w:r>
          </w:p>
        </w:tc>
        <w:tc>
          <w:tcPr>
            <w:tcW w:w="810" w:type="pct"/>
            <w:shd w:val="clear" w:color="auto" w:fill="DEEAF6"/>
            <w:hideMark/>
          </w:tcPr>
          <w:p w14:paraId="0842366D" w14:textId="77777777" w:rsidR="00C83F80" w:rsidRPr="00C11956" w:rsidRDefault="00C83F80" w:rsidP="00C11956">
            <w:pPr>
              <w:pStyle w:val="TableBody"/>
              <w:rPr>
                <w:rFonts w:asciiTheme="minorHAnsi" w:hAnsiTheme="minorHAnsi" w:cstheme="minorHAnsi"/>
                <w:color w:val="000000"/>
                <w:lang w:eastAsia="en-AU"/>
              </w:rPr>
            </w:pPr>
            <w:r w:rsidRPr="00C11956">
              <w:rPr>
                <w:rFonts w:asciiTheme="minorHAnsi" w:hAnsiTheme="minorHAnsi" w:cstheme="minorHAnsi"/>
                <w:color w:val="000000"/>
                <w:lang w:eastAsia="en-AU"/>
              </w:rPr>
              <w:t>Ongoing</w:t>
            </w:r>
            <w:r w:rsidRPr="00C11956">
              <w:rPr>
                <w:rFonts w:asciiTheme="minorHAnsi" w:hAnsiTheme="minorHAnsi" w:cstheme="minorHAnsi"/>
                <w:color w:val="000000"/>
                <w:lang w:eastAsia="en-AU"/>
              </w:rPr>
              <w:br/>
              <w:t>(per year, $ million)</w:t>
            </w:r>
          </w:p>
        </w:tc>
        <w:tc>
          <w:tcPr>
            <w:tcW w:w="808" w:type="pct"/>
            <w:shd w:val="clear" w:color="auto" w:fill="DEEAF6"/>
            <w:hideMark/>
          </w:tcPr>
          <w:p w14:paraId="6F2EA293" w14:textId="77777777" w:rsidR="00C83F80" w:rsidRPr="00C11956" w:rsidRDefault="00C83F80" w:rsidP="00C11956">
            <w:pPr>
              <w:pStyle w:val="TableBody"/>
              <w:rPr>
                <w:rFonts w:asciiTheme="minorHAnsi" w:hAnsiTheme="minorHAnsi" w:cstheme="minorHAnsi"/>
                <w:color w:val="000000"/>
                <w:lang w:eastAsia="en-AU"/>
              </w:rPr>
            </w:pPr>
            <w:r w:rsidRPr="00C11956">
              <w:rPr>
                <w:rFonts w:asciiTheme="minorHAnsi" w:hAnsiTheme="minorHAnsi" w:cstheme="minorHAnsi"/>
                <w:color w:val="000000"/>
                <w:lang w:eastAsia="en-AU"/>
              </w:rPr>
              <w:t xml:space="preserve">Total cost </w:t>
            </w:r>
            <w:r w:rsidRPr="00C11956">
              <w:rPr>
                <w:rFonts w:asciiTheme="minorHAnsi" w:hAnsiTheme="minorHAnsi" w:cstheme="minorHAnsi"/>
                <w:color w:val="000000"/>
                <w:lang w:eastAsia="en-AU"/>
              </w:rPr>
              <w:br/>
              <w:t xml:space="preserve">over 10 years ($ million) </w:t>
            </w:r>
            <w:r w:rsidRPr="00C11956">
              <w:rPr>
                <w:rFonts w:asciiTheme="minorHAnsi" w:hAnsiTheme="minorHAnsi" w:cstheme="minorHAnsi"/>
                <w:color w:val="000000"/>
                <w:vertAlign w:val="superscript"/>
                <w:lang w:eastAsia="en-AU"/>
              </w:rPr>
              <w:footnoteReference w:id="371"/>
            </w:r>
          </w:p>
        </w:tc>
        <w:tc>
          <w:tcPr>
            <w:tcW w:w="1029" w:type="pct"/>
            <w:shd w:val="clear" w:color="auto" w:fill="DEEAF6"/>
            <w:hideMark/>
          </w:tcPr>
          <w:p w14:paraId="6B1FDD55" w14:textId="77777777" w:rsidR="00C83F80" w:rsidRPr="00C11956" w:rsidRDefault="00C83F80" w:rsidP="00C11956">
            <w:pPr>
              <w:pStyle w:val="TableBody"/>
              <w:rPr>
                <w:rFonts w:asciiTheme="minorHAnsi" w:hAnsiTheme="minorHAnsi" w:cstheme="minorHAnsi"/>
                <w:color w:val="000000"/>
                <w:lang w:eastAsia="en-AU"/>
              </w:rPr>
            </w:pPr>
            <w:r w:rsidRPr="00C11956">
              <w:rPr>
                <w:rFonts w:asciiTheme="minorHAnsi" w:hAnsiTheme="minorHAnsi" w:cstheme="minorHAnsi"/>
                <w:color w:val="000000"/>
                <w:lang w:eastAsia="en-AU"/>
              </w:rPr>
              <w:t>Expected estimate as percentage of total (%)</w:t>
            </w:r>
          </w:p>
        </w:tc>
      </w:tr>
      <w:tr w:rsidR="00824B94" w:rsidRPr="00C11956" w14:paraId="22BEC6B9" w14:textId="77777777" w:rsidTr="00C11956">
        <w:tc>
          <w:tcPr>
            <w:tcW w:w="1471" w:type="pct"/>
            <w:shd w:val="clear" w:color="auto" w:fill="F2F2F2" w:themeFill="background1" w:themeFillShade="F2"/>
            <w:hideMark/>
          </w:tcPr>
          <w:p w14:paraId="47694A9F" w14:textId="2A056D67" w:rsidR="00824B94" w:rsidRPr="00C11956" w:rsidRDefault="00824B94" w:rsidP="00C11956">
            <w:pPr>
              <w:pStyle w:val="TableBody"/>
              <w:rPr>
                <w:rFonts w:asciiTheme="minorHAnsi" w:hAnsiTheme="minorHAnsi" w:cstheme="minorHAnsi"/>
              </w:rPr>
            </w:pPr>
            <w:r w:rsidRPr="00C11956">
              <w:rPr>
                <w:rFonts w:asciiTheme="minorHAnsi" w:hAnsiTheme="minorHAnsi" w:cstheme="minorHAnsi"/>
              </w:rPr>
              <w:t xml:space="preserve">RMP obligations in the </w:t>
            </w:r>
            <w:r w:rsidR="00FF547C">
              <w:rPr>
                <w:rFonts w:asciiTheme="minorHAnsi" w:hAnsiTheme="minorHAnsi" w:cstheme="minorHAnsi"/>
              </w:rPr>
              <w:t>Act</w:t>
            </w:r>
          </w:p>
        </w:tc>
        <w:tc>
          <w:tcPr>
            <w:tcW w:w="882" w:type="pct"/>
            <w:shd w:val="clear" w:color="auto" w:fill="auto"/>
          </w:tcPr>
          <w:p w14:paraId="2D6093B9"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2.1</w:t>
            </w:r>
          </w:p>
        </w:tc>
        <w:tc>
          <w:tcPr>
            <w:tcW w:w="810" w:type="pct"/>
            <w:shd w:val="clear" w:color="auto" w:fill="auto"/>
          </w:tcPr>
          <w:p w14:paraId="6D0FF180"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0.8</w:t>
            </w:r>
          </w:p>
        </w:tc>
        <w:tc>
          <w:tcPr>
            <w:tcW w:w="808" w:type="pct"/>
            <w:shd w:val="clear" w:color="auto" w:fill="auto"/>
          </w:tcPr>
          <w:p w14:paraId="17B0BEC7" w14:textId="2D42E40F"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rPr>
              <w:t>9.</w:t>
            </w:r>
            <w:r w:rsidR="0058414C">
              <w:rPr>
                <w:rFonts w:asciiTheme="minorHAnsi" w:hAnsiTheme="minorHAnsi" w:cstheme="minorHAnsi"/>
              </w:rPr>
              <w:t>2</w:t>
            </w:r>
          </w:p>
        </w:tc>
        <w:tc>
          <w:tcPr>
            <w:tcW w:w="1029" w:type="pct"/>
            <w:shd w:val="clear" w:color="auto" w:fill="auto"/>
          </w:tcPr>
          <w:p w14:paraId="729394C2" w14:textId="7A33CC8B" w:rsidR="00824B94" w:rsidRPr="00C11956" w:rsidRDefault="0058414C" w:rsidP="00C11956">
            <w:pPr>
              <w:pStyle w:val="TableBody"/>
              <w:rPr>
                <w:rFonts w:asciiTheme="minorHAnsi" w:hAnsiTheme="minorHAnsi" w:cstheme="minorHAnsi"/>
                <w:lang w:eastAsia="en-AU"/>
              </w:rPr>
            </w:pPr>
            <w:r>
              <w:rPr>
                <w:rFonts w:asciiTheme="minorHAnsi" w:hAnsiTheme="minorHAnsi" w:cstheme="minorHAnsi"/>
                <w:color w:val="000000"/>
              </w:rPr>
              <w:t>7.0</w:t>
            </w:r>
            <w:r w:rsidR="00824B94" w:rsidRPr="00C11956">
              <w:rPr>
                <w:rFonts w:asciiTheme="minorHAnsi" w:hAnsiTheme="minorHAnsi" w:cstheme="minorHAnsi"/>
                <w:color w:val="000000"/>
              </w:rPr>
              <w:t>%</w:t>
            </w:r>
          </w:p>
        </w:tc>
      </w:tr>
      <w:tr w:rsidR="00824B94" w:rsidRPr="00C11956" w14:paraId="77D20426" w14:textId="77777777" w:rsidTr="00C11956">
        <w:tc>
          <w:tcPr>
            <w:tcW w:w="1471" w:type="pct"/>
            <w:shd w:val="clear" w:color="auto" w:fill="F2F2F2" w:themeFill="background1" w:themeFillShade="F2"/>
            <w:hideMark/>
          </w:tcPr>
          <w:p w14:paraId="0BDA5E95" w14:textId="303ADA12" w:rsidR="00824B94" w:rsidRPr="00C11956" w:rsidRDefault="00824B94" w:rsidP="00C11956">
            <w:pPr>
              <w:pStyle w:val="TableBody"/>
              <w:rPr>
                <w:rFonts w:asciiTheme="minorHAnsi" w:hAnsiTheme="minorHAnsi" w:cstheme="minorHAnsi"/>
              </w:rPr>
            </w:pPr>
            <w:r w:rsidRPr="00C11956">
              <w:rPr>
                <w:rFonts w:asciiTheme="minorHAnsi" w:hAnsiTheme="minorHAnsi" w:cstheme="minorHAnsi"/>
              </w:rPr>
              <w:t>G</w:t>
            </w:r>
            <w:r w:rsidR="00FF547C">
              <w:rPr>
                <w:rFonts w:asciiTheme="minorHAnsi" w:hAnsiTheme="minorHAnsi" w:cstheme="minorHAnsi"/>
              </w:rPr>
              <w:t>eneral</w:t>
            </w:r>
            <w:r w:rsidRPr="00C11956">
              <w:rPr>
                <w:rFonts w:asciiTheme="minorHAnsi" w:hAnsiTheme="minorHAnsi" w:cstheme="minorHAnsi"/>
              </w:rPr>
              <w:t xml:space="preserve"> rules</w:t>
            </w:r>
          </w:p>
        </w:tc>
        <w:tc>
          <w:tcPr>
            <w:tcW w:w="882" w:type="pct"/>
            <w:shd w:val="clear" w:color="auto" w:fill="auto"/>
          </w:tcPr>
          <w:p w14:paraId="536B3685"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1.2</w:t>
            </w:r>
          </w:p>
        </w:tc>
        <w:tc>
          <w:tcPr>
            <w:tcW w:w="810" w:type="pct"/>
            <w:shd w:val="clear" w:color="auto" w:fill="auto"/>
          </w:tcPr>
          <w:p w14:paraId="53177597"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0.3</w:t>
            </w:r>
          </w:p>
        </w:tc>
        <w:tc>
          <w:tcPr>
            <w:tcW w:w="808" w:type="pct"/>
            <w:shd w:val="clear" w:color="auto" w:fill="auto"/>
          </w:tcPr>
          <w:p w14:paraId="46070390"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rPr>
              <w:t>3.6</w:t>
            </w:r>
          </w:p>
        </w:tc>
        <w:tc>
          <w:tcPr>
            <w:tcW w:w="1029" w:type="pct"/>
            <w:shd w:val="clear" w:color="auto" w:fill="auto"/>
          </w:tcPr>
          <w:p w14:paraId="16207FC2" w14:textId="5CCCBBD4"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2.</w:t>
            </w:r>
            <w:r w:rsidR="0058414C">
              <w:rPr>
                <w:rFonts w:asciiTheme="minorHAnsi" w:hAnsiTheme="minorHAnsi" w:cstheme="minorHAnsi"/>
                <w:color w:val="000000"/>
              </w:rPr>
              <w:t>8</w:t>
            </w:r>
            <w:r w:rsidRPr="00C11956">
              <w:rPr>
                <w:rFonts w:asciiTheme="minorHAnsi" w:hAnsiTheme="minorHAnsi" w:cstheme="minorHAnsi"/>
                <w:color w:val="000000"/>
              </w:rPr>
              <w:t>%</w:t>
            </w:r>
          </w:p>
        </w:tc>
      </w:tr>
      <w:tr w:rsidR="00824B94" w:rsidRPr="00C11956" w14:paraId="5284BED6" w14:textId="77777777" w:rsidTr="00C11956">
        <w:tc>
          <w:tcPr>
            <w:tcW w:w="5000" w:type="pct"/>
            <w:gridSpan w:val="5"/>
            <w:shd w:val="clear" w:color="auto" w:fill="F2F2F2" w:themeFill="background1" w:themeFillShade="F2"/>
          </w:tcPr>
          <w:p w14:paraId="4EF61B5E" w14:textId="77777777" w:rsidR="00824B94" w:rsidRPr="00C11956" w:rsidRDefault="007E5A25" w:rsidP="00C11956">
            <w:pPr>
              <w:pStyle w:val="TableBody"/>
              <w:rPr>
                <w:rFonts w:asciiTheme="minorHAnsi" w:hAnsiTheme="minorHAnsi" w:cstheme="minorHAnsi"/>
              </w:rPr>
            </w:pPr>
            <w:r w:rsidRPr="00C11956">
              <w:rPr>
                <w:rFonts w:asciiTheme="minorHAnsi" w:hAnsiTheme="minorHAnsi" w:cstheme="minorHAnsi"/>
              </w:rPr>
              <w:t>RMP</w:t>
            </w:r>
            <w:r w:rsidR="00824B94" w:rsidRPr="00C11956">
              <w:rPr>
                <w:rFonts w:asciiTheme="minorHAnsi" w:hAnsiTheme="minorHAnsi" w:cstheme="minorHAnsi"/>
              </w:rPr>
              <w:t xml:space="preserve"> Rules</w:t>
            </w:r>
          </w:p>
        </w:tc>
      </w:tr>
      <w:tr w:rsidR="00824B94" w:rsidRPr="00C11956" w14:paraId="753EBEA4" w14:textId="77777777" w:rsidTr="00C11956">
        <w:tc>
          <w:tcPr>
            <w:tcW w:w="1471" w:type="pct"/>
            <w:shd w:val="clear" w:color="auto" w:fill="F2F2F2" w:themeFill="background1" w:themeFillShade="F2"/>
            <w:hideMark/>
          </w:tcPr>
          <w:p w14:paraId="499A01D7" w14:textId="77777777" w:rsidR="00824B94" w:rsidRPr="00C11956" w:rsidRDefault="00824B94" w:rsidP="00C11956">
            <w:pPr>
              <w:pStyle w:val="TableBody"/>
              <w:rPr>
                <w:rFonts w:asciiTheme="minorHAnsi" w:hAnsiTheme="minorHAnsi" w:cstheme="minorHAnsi"/>
              </w:rPr>
            </w:pPr>
            <w:r w:rsidRPr="00C11956">
              <w:rPr>
                <w:rFonts w:asciiTheme="minorHAnsi" w:hAnsiTheme="minorHAnsi" w:cstheme="minorHAnsi"/>
              </w:rPr>
              <w:t xml:space="preserve">Cyber and information security hazard </w:t>
            </w:r>
          </w:p>
        </w:tc>
        <w:tc>
          <w:tcPr>
            <w:tcW w:w="882" w:type="pct"/>
            <w:shd w:val="clear" w:color="auto" w:fill="auto"/>
          </w:tcPr>
          <w:p w14:paraId="344576BD" w14:textId="252893C1" w:rsidR="00824B94" w:rsidRPr="00C11956" w:rsidRDefault="00824B94" w:rsidP="00CE4B35">
            <w:pPr>
              <w:pStyle w:val="TableBody"/>
              <w:tabs>
                <w:tab w:val="left" w:pos="936"/>
              </w:tabs>
              <w:rPr>
                <w:rFonts w:asciiTheme="minorHAnsi" w:hAnsiTheme="minorHAnsi" w:cstheme="minorHAnsi"/>
                <w:lang w:eastAsia="en-AU"/>
              </w:rPr>
            </w:pPr>
            <w:r w:rsidRPr="00C11956">
              <w:rPr>
                <w:rFonts w:asciiTheme="minorHAnsi" w:hAnsiTheme="minorHAnsi" w:cstheme="minorHAnsi"/>
                <w:color w:val="000000"/>
              </w:rPr>
              <w:t>10.</w:t>
            </w:r>
            <w:r w:rsidR="003D3D0A">
              <w:rPr>
                <w:rFonts w:asciiTheme="minorHAnsi" w:hAnsiTheme="minorHAnsi" w:cstheme="minorHAnsi"/>
                <w:color w:val="000000"/>
              </w:rPr>
              <w:t>2</w:t>
            </w:r>
          </w:p>
        </w:tc>
        <w:tc>
          <w:tcPr>
            <w:tcW w:w="810" w:type="pct"/>
            <w:shd w:val="clear" w:color="auto" w:fill="auto"/>
          </w:tcPr>
          <w:p w14:paraId="67E8FE22" w14:textId="20B9149A"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3.</w:t>
            </w:r>
            <w:r w:rsidR="0058414C">
              <w:rPr>
                <w:rFonts w:asciiTheme="minorHAnsi" w:hAnsiTheme="minorHAnsi" w:cstheme="minorHAnsi"/>
                <w:color w:val="000000"/>
              </w:rPr>
              <w:t>3</w:t>
            </w:r>
          </w:p>
        </w:tc>
        <w:tc>
          <w:tcPr>
            <w:tcW w:w="808" w:type="pct"/>
            <w:shd w:val="clear" w:color="auto" w:fill="auto"/>
          </w:tcPr>
          <w:p w14:paraId="706A5782" w14:textId="7758285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rPr>
              <w:t>37.</w:t>
            </w:r>
            <w:r w:rsidR="0058414C">
              <w:rPr>
                <w:rFonts w:asciiTheme="minorHAnsi" w:hAnsiTheme="minorHAnsi" w:cstheme="minorHAnsi"/>
              </w:rPr>
              <w:t>8</w:t>
            </w:r>
          </w:p>
        </w:tc>
        <w:tc>
          <w:tcPr>
            <w:tcW w:w="1029" w:type="pct"/>
            <w:shd w:val="clear" w:color="auto" w:fill="auto"/>
          </w:tcPr>
          <w:p w14:paraId="3AAC0B6A" w14:textId="0C108DFD"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28.</w:t>
            </w:r>
            <w:r w:rsidR="0058414C">
              <w:rPr>
                <w:rFonts w:asciiTheme="minorHAnsi" w:hAnsiTheme="minorHAnsi" w:cstheme="minorHAnsi"/>
                <w:color w:val="000000"/>
              </w:rPr>
              <w:t>8</w:t>
            </w:r>
            <w:r w:rsidRPr="00C11956">
              <w:rPr>
                <w:rFonts w:asciiTheme="minorHAnsi" w:hAnsiTheme="minorHAnsi" w:cstheme="minorHAnsi"/>
                <w:color w:val="000000"/>
              </w:rPr>
              <w:t>%</w:t>
            </w:r>
          </w:p>
        </w:tc>
      </w:tr>
      <w:tr w:rsidR="00824B94" w:rsidRPr="00C11956" w14:paraId="4BAC55E7" w14:textId="77777777" w:rsidTr="00C11956">
        <w:tc>
          <w:tcPr>
            <w:tcW w:w="1471" w:type="pct"/>
            <w:shd w:val="clear" w:color="auto" w:fill="F2F2F2" w:themeFill="background1" w:themeFillShade="F2"/>
            <w:hideMark/>
          </w:tcPr>
          <w:p w14:paraId="03249151" w14:textId="77777777" w:rsidR="00824B94" w:rsidRPr="00C11956" w:rsidRDefault="00824B94" w:rsidP="00C11956">
            <w:pPr>
              <w:pStyle w:val="TableBody"/>
              <w:rPr>
                <w:rFonts w:asciiTheme="minorHAnsi" w:hAnsiTheme="minorHAnsi" w:cstheme="minorHAnsi"/>
              </w:rPr>
            </w:pPr>
            <w:r w:rsidRPr="00C11956">
              <w:rPr>
                <w:rFonts w:asciiTheme="minorHAnsi" w:hAnsiTheme="minorHAnsi" w:cstheme="minorHAnsi"/>
              </w:rPr>
              <w:t>Personnel hazard</w:t>
            </w:r>
          </w:p>
        </w:tc>
        <w:tc>
          <w:tcPr>
            <w:tcW w:w="882" w:type="pct"/>
            <w:shd w:val="clear" w:color="auto" w:fill="auto"/>
          </w:tcPr>
          <w:p w14:paraId="2CE78E18"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2.9</w:t>
            </w:r>
          </w:p>
        </w:tc>
        <w:tc>
          <w:tcPr>
            <w:tcW w:w="810" w:type="pct"/>
            <w:shd w:val="clear" w:color="auto" w:fill="auto"/>
          </w:tcPr>
          <w:p w14:paraId="4A42F501"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1.3</w:t>
            </w:r>
          </w:p>
        </w:tc>
        <w:tc>
          <w:tcPr>
            <w:tcW w:w="808" w:type="pct"/>
            <w:shd w:val="clear" w:color="auto" w:fill="auto"/>
          </w:tcPr>
          <w:p w14:paraId="05BE0062" w14:textId="7223EA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rPr>
              <w:t>15.</w:t>
            </w:r>
            <w:r w:rsidR="0058414C">
              <w:rPr>
                <w:rFonts w:asciiTheme="minorHAnsi" w:hAnsiTheme="minorHAnsi" w:cstheme="minorHAnsi"/>
              </w:rPr>
              <w:t>5</w:t>
            </w:r>
          </w:p>
        </w:tc>
        <w:tc>
          <w:tcPr>
            <w:tcW w:w="1029" w:type="pct"/>
            <w:shd w:val="clear" w:color="auto" w:fill="auto"/>
          </w:tcPr>
          <w:p w14:paraId="65215AFC"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11.8%</w:t>
            </w:r>
          </w:p>
        </w:tc>
      </w:tr>
      <w:tr w:rsidR="00824B94" w:rsidRPr="00C11956" w14:paraId="06A3865B" w14:textId="77777777" w:rsidTr="00C11956">
        <w:tc>
          <w:tcPr>
            <w:tcW w:w="1471" w:type="pct"/>
            <w:shd w:val="clear" w:color="auto" w:fill="F2F2F2" w:themeFill="background1" w:themeFillShade="F2"/>
            <w:hideMark/>
          </w:tcPr>
          <w:p w14:paraId="2D686F63" w14:textId="77777777" w:rsidR="00824B94" w:rsidRPr="00C11956" w:rsidRDefault="00824B94" w:rsidP="00C11956">
            <w:pPr>
              <w:pStyle w:val="TableBody"/>
              <w:rPr>
                <w:rFonts w:asciiTheme="minorHAnsi" w:hAnsiTheme="minorHAnsi" w:cstheme="minorHAnsi"/>
              </w:rPr>
            </w:pPr>
            <w:r w:rsidRPr="00C11956">
              <w:rPr>
                <w:rFonts w:asciiTheme="minorHAnsi" w:hAnsiTheme="minorHAnsi" w:cstheme="minorHAnsi"/>
              </w:rPr>
              <w:t xml:space="preserve">Supply chain hazard </w:t>
            </w:r>
          </w:p>
        </w:tc>
        <w:tc>
          <w:tcPr>
            <w:tcW w:w="882" w:type="pct"/>
            <w:shd w:val="clear" w:color="auto" w:fill="auto"/>
          </w:tcPr>
          <w:p w14:paraId="1A85F518" w14:textId="66E6C2FA"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6.</w:t>
            </w:r>
            <w:r w:rsidR="003D3D0A">
              <w:rPr>
                <w:rFonts w:asciiTheme="minorHAnsi" w:hAnsiTheme="minorHAnsi" w:cstheme="minorHAnsi"/>
                <w:color w:val="000000"/>
              </w:rPr>
              <w:t>3</w:t>
            </w:r>
          </w:p>
        </w:tc>
        <w:tc>
          <w:tcPr>
            <w:tcW w:w="810" w:type="pct"/>
            <w:shd w:val="clear" w:color="auto" w:fill="auto"/>
          </w:tcPr>
          <w:p w14:paraId="2018622D"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1.8</w:t>
            </w:r>
          </w:p>
        </w:tc>
        <w:tc>
          <w:tcPr>
            <w:tcW w:w="808" w:type="pct"/>
            <w:shd w:val="clear" w:color="auto" w:fill="auto"/>
          </w:tcPr>
          <w:p w14:paraId="627B249F" w14:textId="3DD2D274"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rPr>
              <w:t>23.</w:t>
            </w:r>
            <w:r w:rsidR="0058414C">
              <w:rPr>
                <w:rFonts w:asciiTheme="minorHAnsi" w:hAnsiTheme="minorHAnsi" w:cstheme="minorHAnsi"/>
              </w:rPr>
              <w:t>6</w:t>
            </w:r>
          </w:p>
        </w:tc>
        <w:tc>
          <w:tcPr>
            <w:tcW w:w="1029" w:type="pct"/>
            <w:shd w:val="clear" w:color="auto" w:fill="auto"/>
          </w:tcPr>
          <w:p w14:paraId="2938E485"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17.9%</w:t>
            </w:r>
          </w:p>
        </w:tc>
      </w:tr>
      <w:tr w:rsidR="00824B94" w:rsidRPr="00C11956" w14:paraId="58DF5B34" w14:textId="77777777" w:rsidTr="00C11956">
        <w:tc>
          <w:tcPr>
            <w:tcW w:w="1471" w:type="pct"/>
            <w:shd w:val="clear" w:color="auto" w:fill="F2F2F2" w:themeFill="background1" w:themeFillShade="F2"/>
            <w:hideMark/>
          </w:tcPr>
          <w:p w14:paraId="4A6601D6" w14:textId="77777777" w:rsidR="00824B94" w:rsidRPr="00C11956" w:rsidRDefault="00824B94" w:rsidP="00C11956">
            <w:pPr>
              <w:pStyle w:val="TableBody"/>
              <w:rPr>
                <w:rFonts w:asciiTheme="minorHAnsi" w:hAnsiTheme="minorHAnsi" w:cstheme="minorHAnsi"/>
              </w:rPr>
            </w:pPr>
            <w:r w:rsidRPr="00C11956">
              <w:rPr>
                <w:rFonts w:asciiTheme="minorHAnsi" w:hAnsiTheme="minorHAnsi" w:cstheme="minorHAnsi"/>
              </w:rPr>
              <w:t>Physical and natural hazard</w:t>
            </w:r>
          </w:p>
        </w:tc>
        <w:tc>
          <w:tcPr>
            <w:tcW w:w="882" w:type="pct"/>
            <w:shd w:val="clear" w:color="auto" w:fill="auto"/>
          </w:tcPr>
          <w:p w14:paraId="46615219"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11.5</w:t>
            </w:r>
          </w:p>
        </w:tc>
        <w:tc>
          <w:tcPr>
            <w:tcW w:w="810" w:type="pct"/>
            <w:shd w:val="clear" w:color="auto" w:fill="auto"/>
          </w:tcPr>
          <w:p w14:paraId="1E975D61"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2.1</w:t>
            </w:r>
          </w:p>
        </w:tc>
        <w:tc>
          <w:tcPr>
            <w:tcW w:w="808" w:type="pct"/>
            <w:shd w:val="clear" w:color="auto" w:fill="auto"/>
          </w:tcPr>
          <w:p w14:paraId="2FE612FA"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rPr>
              <w:t>31.3</w:t>
            </w:r>
          </w:p>
        </w:tc>
        <w:tc>
          <w:tcPr>
            <w:tcW w:w="1029" w:type="pct"/>
            <w:shd w:val="clear" w:color="auto" w:fill="auto"/>
          </w:tcPr>
          <w:p w14:paraId="2872D843" w14:textId="4DA67532"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2</w:t>
            </w:r>
            <w:r w:rsidR="0058414C">
              <w:rPr>
                <w:rFonts w:asciiTheme="minorHAnsi" w:hAnsiTheme="minorHAnsi" w:cstheme="minorHAnsi"/>
                <w:color w:val="000000"/>
              </w:rPr>
              <w:t>3</w:t>
            </w:r>
            <w:r w:rsidRPr="00C11956">
              <w:rPr>
                <w:rFonts w:asciiTheme="minorHAnsi" w:hAnsiTheme="minorHAnsi" w:cstheme="minorHAnsi"/>
                <w:color w:val="000000"/>
              </w:rPr>
              <w:t>.</w:t>
            </w:r>
            <w:r w:rsidR="0058414C">
              <w:rPr>
                <w:rFonts w:asciiTheme="minorHAnsi" w:hAnsiTheme="minorHAnsi" w:cstheme="minorHAnsi"/>
                <w:color w:val="000000"/>
              </w:rPr>
              <w:t>8</w:t>
            </w:r>
            <w:r w:rsidRPr="00C11956">
              <w:rPr>
                <w:rFonts w:asciiTheme="minorHAnsi" w:hAnsiTheme="minorHAnsi" w:cstheme="minorHAnsi"/>
                <w:color w:val="000000"/>
              </w:rPr>
              <w:t>%</w:t>
            </w:r>
          </w:p>
        </w:tc>
      </w:tr>
      <w:tr w:rsidR="00824B94" w:rsidRPr="00C11956" w14:paraId="2060A6BB" w14:textId="77777777" w:rsidTr="00C11956">
        <w:tc>
          <w:tcPr>
            <w:tcW w:w="1471" w:type="pct"/>
            <w:shd w:val="clear" w:color="auto" w:fill="F2F2F2" w:themeFill="background1" w:themeFillShade="F2"/>
            <w:hideMark/>
          </w:tcPr>
          <w:p w14:paraId="0BBAC411" w14:textId="77777777" w:rsidR="00824B94" w:rsidRPr="00C11956" w:rsidRDefault="00824B94" w:rsidP="00C11956">
            <w:pPr>
              <w:pStyle w:val="TableBody"/>
              <w:rPr>
                <w:rFonts w:asciiTheme="minorHAnsi" w:hAnsiTheme="minorHAnsi" w:cstheme="minorHAnsi"/>
              </w:rPr>
            </w:pPr>
            <w:r w:rsidRPr="00C11956">
              <w:rPr>
                <w:rFonts w:asciiTheme="minorHAnsi" w:hAnsiTheme="minorHAnsi" w:cstheme="minorHAnsi"/>
              </w:rPr>
              <w:t>Material risk</w:t>
            </w:r>
          </w:p>
        </w:tc>
        <w:tc>
          <w:tcPr>
            <w:tcW w:w="882" w:type="pct"/>
            <w:shd w:val="clear" w:color="auto" w:fill="auto"/>
          </w:tcPr>
          <w:p w14:paraId="1700826A"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1.6</w:t>
            </w:r>
          </w:p>
        </w:tc>
        <w:tc>
          <w:tcPr>
            <w:tcW w:w="810" w:type="pct"/>
            <w:shd w:val="clear" w:color="auto" w:fill="auto"/>
          </w:tcPr>
          <w:p w14:paraId="0997E5DE" w14:textId="77777777"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color w:val="000000"/>
              </w:rPr>
              <w:t>0.9</w:t>
            </w:r>
          </w:p>
        </w:tc>
        <w:tc>
          <w:tcPr>
            <w:tcW w:w="808" w:type="pct"/>
            <w:shd w:val="clear" w:color="auto" w:fill="auto"/>
          </w:tcPr>
          <w:p w14:paraId="235A2275" w14:textId="05EACDFE" w:rsidR="00824B94" w:rsidRPr="00C11956" w:rsidRDefault="00824B94" w:rsidP="00C11956">
            <w:pPr>
              <w:pStyle w:val="TableBody"/>
              <w:rPr>
                <w:rFonts w:asciiTheme="minorHAnsi" w:hAnsiTheme="minorHAnsi" w:cstheme="minorHAnsi"/>
                <w:lang w:eastAsia="en-AU"/>
              </w:rPr>
            </w:pPr>
            <w:r w:rsidRPr="00C11956">
              <w:rPr>
                <w:rFonts w:asciiTheme="minorHAnsi" w:hAnsiTheme="minorHAnsi" w:cstheme="minorHAnsi"/>
              </w:rPr>
              <w:t>10.</w:t>
            </w:r>
            <w:r w:rsidR="0058414C">
              <w:rPr>
                <w:rFonts w:asciiTheme="minorHAnsi" w:hAnsiTheme="minorHAnsi" w:cstheme="minorHAnsi"/>
              </w:rPr>
              <w:t>5</w:t>
            </w:r>
          </w:p>
        </w:tc>
        <w:tc>
          <w:tcPr>
            <w:tcW w:w="1029" w:type="pct"/>
            <w:shd w:val="clear" w:color="auto" w:fill="auto"/>
          </w:tcPr>
          <w:p w14:paraId="53E8ADCE" w14:textId="77BEDDBA" w:rsidR="00824B94" w:rsidRPr="00C11956" w:rsidRDefault="0058414C" w:rsidP="00C11956">
            <w:pPr>
              <w:pStyle w:val="TableBody"/>
              <w:rPr>
                <w:rFonts w:asciiTheme="minorHAnsi" w:hAnsiTheme="minorHAnsi" w:cstheme="minorHAnsi"/>
                <w:lang w:eastAsia="en-AU"/>
              </w:rPr>
            </w:pPr>
            <w:r>
              <w:rPr>
                <w:rFonts w:asciiTheme="minorHAnsi" w:hAnsiTheme="minorHAnsi" w:cstheme="minorHAnsi"/>
                <w:color w:val="000000"/>
              </w:rPr>
              <w:t>8</w:t>
            </w:r>
            <w:r w:rsidR="00824B94" w:rsidRPr="00C11956">
              <w:rPr>
                <w:rFonts w:asciiTheme="minorHAnsi" w:hAnsiTheme="minorHAnsi" w:cstheme="minorHAnsi"/>
                <w:color w:val="000000"/>
              </w:rPr>
              <w:t>.</w:t>
            </w:r>
            <w:r>
              <w:rPr>
                <w:rFonts w:asciiTheme="minorHAnsi" w:hAnsiTheme="minorHAnsi" w:cstheme="minorHAnsi"/>
                <w:color w:val="000000"/>
              </w:rPr>
              <w:t>0</w:t>
            </w:r>
            <w:r w:rsidR="00824B94" w:rsidRPr="00C11956">
              <w:rPr>
                <w:rFonts w:asciiTheme="minorHAnsi" w:hAnsiTheme="minorHAnsi" w:cstheme="minorHAnsi"/>
                <w:color w:val="000000"/>
              </w:rPr>
              <w:t>%</w:t>
            </w:r>
          </w:p>
        </w:tc>
      </w:tr>
      <w:tr w:rsidR="00C11956" w:rsidRPr="00C11956" w14:paraId="7045BD9D" w14:textId="77777777" w:rsidTr="00C11956">
        <w:tc>
          <w:tcPr>
            <w:tcW w:w="1471" w:type="pct"/>
            <w:shd w:val="clear" w:color="auto" w:fill="034EA2" w:themeFill="accent1"/>
            <w:hideMark/>
          </w:tcPr>
          <w:p w14:paraId="36E9272E" w14:textId="77777777" w:rsidR="00824B94" w:rsidRPr="00C11956" w:rsidRDefault="00824B94" w:rsidP="00C11956">
            <w:pPr>
              <w:pStyle w:val="TableHeading"/>
              <w:rPr>
                <w:rFonts w:asciiTheme="minorHAnsi" w:hAnsiTheme="minorHAnsi" w:cstheme="minorHAnsi"/>
              </w:rPr>
            </w:pPr>
            <w:r w:rsidRPr="00C11956">
              <w:rPr>
                <w:rFonts w:asciiTheme="minorHAnsi" w:hAnsiTheme="minorHAnsi" w:cstheme="minorHAnsi"/>
              </w:rPr>
              <w:t>Total critical liquid fuel assets</w:t>
            </w:r>
          </w:p>
        </w:tc>
        <w:tc>
          <w:tcPr>
            <w:tcW w:w="882" w:type="pct"/>
            <w:shd w:val="clear" w:color="auto" w:fill="034EA2" w:themeFill="accent1"/>
          </w:tcPr>
          <w:p w14:paraId="2990E1FC" w14:textId="704D32CF" w:rsidR="00824B94" w:rsidRPr="00C11956" w:rsidRDefault="00824B94" w:rsidP="00C11956">
            <w:pPr>
              <w:pStyle w:val="TableHeading"/>
              <w:rPr>
                <w:rFonts w:asciiTheme="minorHAnsi" w:hAnsiTheme="minorHAnsi" w:cstheme="minorHAnsi"/>
              </w:rPr>
            </w:pPr>
            <w:r w:rsidRPr="00C11956">
              <w:rPr>
                <w:rFonts w:asciiTheme="minorHAnsi" w:hAnsiTheme="minorHAnsi" w:cstheme="minorHAnsi"/>
              </w:rPr>
              <w:t>35.</w:t>
            </w:r>
            <w:r w:rsidR="0058414C">
              <w:rPr>
                <w:rFonts w:asciiTheme="minorHAnsi" w:hAnsiTheme="minorHAnsi" w:cstheme="minorHAnsi"/>
              </w:rPr>
              <w:t>8</w:t>
            </w:r>
          </w:p>
        </w:tc>
        <w:tc>
          <w:tcPr>
            <w:tcW w:w="810" w:type="pct"/>
            <w:shd w:val="clear" w:color="auto" w:fill="034EA2" w:themeFill="accent1"/>
          </w:tcPr>
          <w:p w14:paraId="363A44F5" w14:textId="5CA33458" w:rsidR="00824B94" w:rsidRPr="00C11956" w:rsidRDefault="00824B94" w:rsidP="00C11956">
            <w:pPr>
              <w:pStyle w:val="TableHeading"/>
              <w:rPr>
                <w:rFonts w:asciiTheme="minorHAnsi" w:hAnsiTheme="minorHAnsi" w:cstheme="minorHAnsi"/>
              </w:rPr>
            </w:pPr>
            <w:r w:rsidRPr="00C11956">
              <w:rPr>
                <w:rFonts w:asciiTheme="minorHAnsi" w:hAnsiTheme="minorHAnsi" w:cstheme="minorHAnsi"/>
              </w:rPr>
              <w:t>10.</w:t>
            </w:r>
            <w:r w:rsidR="0058414C">
              <w:rPr>
                <w:rFonts w:asciiTheme="minorHAnsi" w:hAnsiTheme="minorHAnsi" w:cstheme="minorHAnsi"/>
              </w:rPr>
              <w:t>5</w:t>
            </w:r>
          </w:p>
        </w:tc>
        <w:tc>
          <w:tcPr>
            <w:tcW w:w="808" w:type="pct"/>
            <w:shd w:val="clear" w:color="auto" w:fill="034EA2" w:themeFill="accent1"/>
          </w:tcPr>
          <w:p w14:paraId="74743E9F" w14:textId="5AF6FC66" w:rsidR="00824B94" w:rsidRPr="00C11956" w:rsidRDefault="00824B94" w:rsidP="00C11956">
            <w:pPr>
              <w:pStyle w:val="TableHeading"/>
              <w:rPr>
                <w:rFonts w:asciiTheme="minorHAnsi" w:hAnsiTheme="minorHAnsi" w:cstheme="minorHAnsi"/>
              </w:rPr>
            </w:pPr>
            <w:r w:rsidRPr="00C11956">
              <w:rPr>
                <w:rFonts w:asciiTheme="minorHAnsi" w:hAnsiTheme="minorHAnsi" w:cstheme="minorHAnsi"/>
              </w:rPr>
              <w:t>13</w:t>
            </w:r>
            <w:r w:rsidR="0058414C">
              <w:rPr>
                <w:rFonts w:asciiTheme="minorHAnsi" w:hAnsiTheme="minorHAnsi" w:cstheme="minorHAnsi"/>
              </w:rPr>
              <w:t>1.5</w:t>
            </w:r>
          </w:p>
        </w:tc>
        <w:tc>
          <w:tcPr>
            <w:tcW w:w="1029" w:type="pct"/>
            <w:shd w:val="clear" w:color="auto" w:fill="034EA2" w:themeFill="accent1"/>
          </w:tcPr>
          <w:p w14:paraId="2A934EE0" w14:textId="77777777" w:rsidR="00824B94" w:rsidRPr="00C11956" w:rsidRDefault="00824B94" w:rsidP="00C11956">
            <w:pPr>
              <w:pStyle w:val="TableHeading"/>
              <w:rPr>
                <w:rFonts w:asciiTheme="minorHAnsi" w:hAnsiTheme="minorHAnsi" w:cstheme="minorHAnsi"/>
              </w:rPr>
            </w:pPr>
            <w:r w:rsidRPr="00C11956">
              <w:rPr>
                <w:rFonts w:asciiTheme="minorHAnsi" w:hAnsiTheme="minorHAnsi" w:cstheme="minorHAnsi"/>
              </w:rPr>
              <w:t>100.0%</w:t>
            </w:r>
          </w:p>
        </w:tc>
      </w:tr>
    </w:tbl>
    <w:p w14:paraId="3E8832DC" w14:textId="77777777" w:rsidR="00FE22FC" w:rsidRPr="009B296E" w:rsidRDefault="00FE22FC" w:rsidP="002F6679">
      <w:pPr>
        <w:pStyle w:val="AppendixH2"/>
      </w:pPr>
      <w:r>
        <w:t>Benefits of option 2</w:t>
      </w:r>
    </w:p>
    <w:p w14:paraId="0A140176" w14:textId="77777777" w:rsidR="00FE22FC" w:rsidRPr="00827F58" w:rsidRDefault="00FE22FC" w:rsidP="00412F27">
      <w:pPr>
        <w:pStyle w:val="BodyText"/>
      </w:pPr>
      <w:r w:rsidRPr="00827F58">
        <w:t xml:space="preserve">A reliable continuous </w:t>
      </w:r>
      <w:r w:rsidR="00AE6B2F">
        <w:t>liquid fuels</w:t>
      </w:r>
      <w:r w:rsidRPr="00827F58">
        <w:t xml:space="preserve"> supply is central to Australia’s prosperity. Further, disruption to supply can be a significant cost to the economy. The risk management program framework aims to reduce the frequency and impact of any disruption to supply and so its primary benefit is to avoid the incidents that may otherwise disrupt supply and cause economic loss.</w:t>
      </w:r>
    </w:p>
    <w:p w14:paraId="3C88AFAF" w14:textId="77777777" w:rsidR="00FE22FC" w:rsidRPr="00827F58" w:rsidRDefault="00FE22FC" w:rsidP="002F6679">
      <w:pPr>
        <w:pStyle w:val="AppendixH3"/>
        <w:rPr>
          <w:rFonts w:eastAsia="Calibri"/>
        </w:rPr>
      </w:pPr>
      <w:r w:rsidRPr="00827F58">
        <w:rPr>
          <w:rFonts w:eastAsia="Calibri"/>
        </w:rPr>
        <w:t xml:space="preserve">Economic impacts of disruptions to </w:t>
      </w:r>
      <w:r w:rsidR="002F37BE">
        <w:rPr>
          <w:rFonts w:eastAsia="Calibri"/>
        </w:rPr>
        <w:t>liquid fuels</w:t>
      </w:r>
      <w:r w:rsidRPr="00827F58">
        <w:rPr>
          <w:rFonts w:eastAsia="Calibri"/>
        </w:rPr>
        <w:t xml:space="preserve"> supply </w:t>
      </w:r>
    </w:p>
    <w:p w14:paraId="62C89FAB" w14:textId="77777777" w:rsidR="00FE22FC" w:rsidRPr="00827F58" w:rsidRDefault="00FE22FC" w:rsidP="00412F27">
      <w:pPr>
        <w:pStyle w:val="BodyText"/>
      </w:pPr>
      <w:r w:rsidRPr="00827F58">
        <w:t>Disruption to the</w:t>
      </w:r>
      <w:r w:rsidRPr="00827F58">
        <w:rPr>
          <w:color w:val="FF9933"/>
        </w:rPr>
        <w:t xml:space="preserve"> </w:t>
      </w:r>
      <w:r w:rsidRPr="00827F58">
        <w:t xml:space="preserve">production, storage and distribution of </w:t>
      </w:r>
      <w:r w:rsidR="002F37BE">
        <w:t>liquid fuels</w:t>
      </w:r>
      <w:r w:rsidRPr="00827F58">
        <w:t xml:space="preserve"> will adversely impact the </w:t>
      </w:r>
      <w:r w:rsidR="002F37BE">
        <w:t>liquid fuels</w:t>
      </w:r>
      <w:r w:rsidRPr="00827F58">
        <w:t xml:space="preserve"> industry and its customers, businesses and households. Such disruptions can have costly immediate and longer-term impacts on the Australian economy. The immediate</w:t>
      </w:r>
      <w:r w:rsidRPr="00827F58">
        <w:rPr>
          <w:rFonts w:eastAsia="Arial"/>
        </w:rPr>
        <w:t xml:space="preserve"> impacts of a </w:t>
      </w:r>
      <w:r w:rsidR="002F37BE">
        <w:rPr>
          <w:rFonts w:eastAsia="Arial"/>
        </w:rPr>
        <w:t>disruption to liquid fuels supply</w:t>
      </w:r>
      <w:r w:rsidRPr="00827F58">
        <w:rPr>
          <w:rFonts w:eastAsia="Arial"/>
        </w:rPr>
        <w:t xml:space="preserve"> are those associated with loss of access to </w:t>
      </w:r>
      <w:r w:rsidR="002F37BE">
        <w:t>the product</w:t>
      </w:r>
      <w:r w:rsidRPr="00827F58">
        <w:t xml:space="preserve"> or increased costs, such as:</w:t>
      </w:r>
    </w:p>
    <w:p w14:paraId="45A24DD2" w14:textId="77777777" w:rsidR="00FE22FC" w:rsidRPr="00827F58" w:rsidRDefault="00FE22FC" w:rsidP="002F6679">
      <w:pPr>
        <w:pStyle w:val="Bullet1stlevel"/>
      </w:pPr>
      <w:r w:rsidRPr="00827F58">
        <w:t>Lost production (e.g. production of goods and services may cease);</w:t>
      </w:r>
    </w:p>
    <w:p w14:paraId="7E903DF0" w14:textId="77777777" w:rsidR="00FE22FC" w:rsidRPr="00827F58" w:rsidRDefault="00FE22FC" w:rsidP="002F6679">
      <w:pPr>
        <w:pStyle w:val="Bullet1stlevel"/>
      </w:pPr>
      <w:r w:rsidRPr="00827F58">
        <w:t>Lost productivity (e.g. workers may be idle whilst continuing to receive wages);</w:t>
      </w:r>
    </w:p>
    <w:p w14:paraId="7EA5196B" w14:textId="77777777" w:rsidR="00FE22FC" w:rsidRPr="00827F58" w:rsidRDefault="00FE22FC" w:rsidP="002F6679">
      <w:pPr>
        <w:pStyle w:val="Bullet1stlevel"/>
      </w:pPr>
      <w:r w:rsidRPr="00827F58">
        <w:t xml:space="preserve">Lost wages (e.g. workers may be sent home or unable to go to work); </w:t>
      </w:r>
    </w:p>
    <w:p w14:paraId="1ECD1A2E" w14:textId="77777777" w:rsidR="00FE22FC" w:rsidRPr="00827F58" w:rsidRDefault="00FE22FC" w:rsidP="002F6679">
      <w:pPr>
        <w:pStyle w:val="Bullet1stlevel"/>
      </w:pPr>
      <w:r w:rsidRPr="00827F58">
        <w:t>Increased cost of production if switching to a substitute source of energy (e.g. backup generator).</w:t>
      </w:r>
    </w:p>
    <w:p w14:paraId="3D721760" w14:textId="77777777" w:rsidR="00FE22FC" w:rsidRPr="00827F58" w:rsidRDefault="00FE22FC" w:rsidP="00412F27">
      <w:pPr>
        <w:pStyle w:val="BodyText"/>
      </w:pPr>
      <w:r w:rsidRPr="00827F58">
        <w:t xml:space="preserve">Computable General Equilibrium (CGE) modelling was used to illustrate how costly </w:t>
      </w:r>
      <w:r w:rsidR="002F37BE">
        <w:t>liquid fuels</w:t>
      </w:r>
      <w:r w:rsidRPr="00827F58">
        <w:t xml:space="preserve"> disruptions could potentially be by examining a hypothetical supply shock (i.e. less </w:t>
      </w:r>
      <w:r w:rsidR="002F37BE">
        <w:t>liquid fuel</w:t>
      </w:r>
      <w:r w:rsidRPr="00827F58">
        <w:t xml:space="preserve"> </w:t>
      </w:r>
      <w:r w:rsidRPr="00827F58">
        <w:lastRenderedPageBreak/>
        <w:t xml:space="preserve">available to users) and an associated increase in input costs (i.e. an increase in the cost of </w:t>
      </w:r>
      <w:r w:rsidR="002F37BE">
        <w:t>liquid fuels</w:t>
      </w:r>
      <w:r w:rsidRPr="00827F58">
        <w:t xml:space="preserve">). The advantage of using a CGE approach is that both the direct and indirect (i.e. flow-on) economic impacts of a </w:t>
      </w:r>
      <w:r w:rsidR="00AE6B2F">
        <w:t>liquid fuels</w:t>
      </w:r>
      <w:r w:rsidRPr="00827F58">
        <w:t xml:space="preserve"> outage event can be quantified.</w:t>
      </w:r>
      <w:r w:rsidRPr="00827F58">
        <w:rPr>
          <w:rStyle w:val="FootnoteReference"/>
          <w:rFonts w:ascii="Arial" w:eastAsia="Calibri" w:hAnsi="Arial"/>
        </w:rPr>
        <w:footnoteReference w:id="372"/>
      </w:r>
    </w:p>
    <w:p w14:paraId="5CF78E59" w14:textId="77777777" w:rsidR="00FE22FC" w:rsidRPr="00936788" w:rsidRDefault="00FE22FC" w:rsidP="002F6679">
      <w:pPr>
        <w:pStyle w:val="AppendixH3"/>
      </w:pPr>
      <w:r w:rsidRPr="00936788">
        <w:t xml:space="preserve">Modelling Approach </w:t>
      </w:r>
    </w:p>
    <w:p w14:paraId="201CC952" w14:textId="77777777" w:rsidR="00FE22FC" w:rsidRPr="00827F58" w:rsidRDefault="00FE22FC" w:rsidP="00412F27">
      <w:pPr>
        <w:pStyle w:val="BodyText"/>
        <w:rPr>
          <w:color w:val="2F5496"/>
        </w:rPr>
      </w:pPr>
      <w:r w:rsidRPr="00827F58">
        <w:t xml:space="preserve">To analyse the direct and indirect economic impacts of unplanned outages in the </w:t>
      </w:r>
      <w:r w:rsidR="002F37BE">
        <w:t>liquid fuels</w:t>
      </w:r>
      <w:r w:rsidRPr="00827F58">
        <w:t xml:space="preserve"> network due 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w:t>
      </w:r>
    </w:p>
    <w:p w14:paraId="0B64123A" w14:textId="77777777" w:rsidR="00FE22FC" w:rsidRPr="00827F58" w:rsidRDefault="00FE22FC" w:rsidP="00412F27">
      <w:pPr>
        <w:pStyle w:val="BodyText"/>
      </w:pPr>
      <w:r w:rsidRPr="00827F58">
        <w:t xml:space="preserve">The modelling framework is suited to analysing the economic impact of a </w:t>
      </w:r>
      <w:r w:rsidR="00AE6B2F">
        <w:t>liquid fuels</w:t>
      </w:r>
      <w:r w:rsidRPr="00827F58">
        <w:t xml:space="preserve"> supply disruption as it explicitly captures supply-chain linkages as well as other flow-on effects and feedback responses by all economic agents. The strength of CGE models is that they capture the upstream and downstream linkages between the activities induced by the</w:t>
      </w:r>
      <w:r w:rsidRPr="00827F58">
        <w:rPr>
          <w:rFonts w:eastAsia="Calibri"/>
          <w:color w:val="FF9933"/>
        </w:rPr>
        <w:t xml:space="preserve"> </w:t>
      </w:r>
      <w:r w:rsidR="00AE6B2F">
        <w:rPr>
          <w:rFonts w:eastAsia="Calibri"/>
        </w:rPr>
        <w:t>liquid fuels</w:t>
      </w:r>
      <w:r w:rsidRPr="00827F58">
        <w:rPr>
          <w:rFonts w:eastAsia="Calibri"/>
        </w:rPr>
        <w:t xml:space="preserve"> disruption incident</w:t>
      </w:r>
      <w:r w:rsidRPr="00827F58">
        <w:t xml:space="preserve"> and the rest of the economy in a framework that combines detailed historical data with fundamental economic theory. </w:t>
      </w:r>
    </w:p>
    <w:p w14:paraId="191C00D5" w14:textId="77777777" w:rsidR="00FE22FC" w:rsidRPr="00936788" w:rsidRDefault="00FE22FC" w:rsidP="002F6679">
      <w:pPr>
        <w:pStyle w:val="AppendixH3"/>
      </w:pPr>
      <w:r w:rsidRPr="00936788">
        <w:t>Scenarios</w:t>
      </w:r>
    </w:p>
    <w:p w14:paraId="6258A2F9" w14:textId="6E119DB0" w:rsidR="00FE22FC" w:rsidRDefault="00FE22FC" w:rsidP="00412F27">
      <w:pPr>
        <w:pStyle w:val="BodyText"/>
      </w:pPr>
      <w:r w:rsidRPr="00827F58">
        <w:t xml:space="preserve">The CGE modelling provided estimates regarding how sensitive the Australian economy is to a shock to the </w:t>
      </w:r>
      <w:r w:rsidR="00AE6B2F">
        <w:t>liquid fuels</w:t>
      </w:r>
      <w:r w:rsidRPr="00827F58">
        <w:t xml:space="preserve"> system. This analysis was undertaken by deriving a set of hypothetical modelling scenarios based on assumptions about the intensity of a </w:t>
      </w:r>
      <w:r w:rsidR="00AE6B2F">
        <w:t>liquid fuels</w:t>
      </w:r>
      <w:r w:rsidRPr="00827F58">
        <w:t xml:space="preserve"> outage, with the initial impact calibrated as reduction in the quantity of </w:t>
      </w:r>
      <w:r w:rsidR="00AE6B2F">
        <w:t>liquid fuels</w:t>
      </w:r>
      <w:r w:rsidRPr="00827F58">
        <w:t xml:space="preserve"> supplied and the normalised insurance costs as a result of an event. The hypothetical scenarios were informed by studies of major events, which are discussed below. </w:t>
      </w:r>
    </w:p>
    <w:p w14:paraId="7D71221D" w14:textId="77777777" w:rsidR="00FE22FC" w:rsidRPr="00936788" w:rsidRDefault="00FE22FC" w:rsidP="002F6679">
      <w:pPr>
        <w:pStyle w:val="AppendixH3"/>
      </w:pPr>
      <w:r w:rsidRPr="00936788">
        <w:t>Case studies</w:t>
      </w:r>
    </w:p>
    <w:p w14:paraId="7836B5CE" w14:textId="31B1D867" w:rsidR="00FE22FC" w:rsidRDefault="00FE22FC" w:rsidP="00412F27">
      <w:pPr>
        <w:pStyle w:val="BodyText"/>
      </w:pPr>
      <w:r w:rsidRPr="00827F58">
        <w:t xml:space="preserve">The case studies provided in </w:t>
      </w:r>
      <w:r>
        <w:t>the table below</w:t>
      </w:r>
      <w:r w:rsidRPr="00827F58">
        <w:t xml:space="preserve"> provide a basis for modelling hypothetical, but comparable outages, in an economy-wide model and contextualising the results of that modelling. Case studies have been chosen to provide insights into the economy-wide costs to households and businesses of large-scale and severe </w:t>
      </w:r>
      <w:r w:rsidR="00AE6B2F">
        <w:t>liquid fuels</w:t>
      </w:r>
      <w:r w:rsidRPr="00827F58">
        <w:t xml:space="preserve"> disruption events. </w:t>
      </w:r>
      <w:r w:rsidR="002F37BE">
        <w:t xml:space="preserve">An example which affected the </w:t>
      </w:r>
      <w:r w:rsidR="00E92D97">
        <w:t>ga</w:t>
      </w:r>
      <w:r w:rsidR="007F6E38">
        <w:t>s</w:t>
      </w:r>
      <w:r w:rsidR="002F37BE">
        <w:t xml:space="preserve"> sector is included, the Varanus Island disruption, </w:t>
      </w:r>
      <w:r w:rsidR="000F2DFA">
        <w:t>due to the inherent similarities between the sectors.</w:t>
      </w:r>
    </w:p>
    <w:p w14:paraId="1B53E33B" w14:textId="2E965A53" w:rsidR="00A10AF5" w:rsidRDefault="00A10AF5" w:rsidP="00412F27">
      <w:pPr>
        <w:pStyle w:val="BodyText"/>
      </w:pPr>
    </w:p>
    <w:p w14:paraId="5913FE17" w14:textId="77777777" w:rsidR="006361FE" w:rsidRDefault="006361FE" w:rsidP="00412F27">
      <w:pPr>
        <w:pStyle w:val="BodyText"/>
      </w:pPr>
    </w:p>
    <w:p w14:paraId="3ACAC7C5" w14:textId="77777777" w:rsidR="00A10AF5" w:rsidRPr="00827F58" w:rsidRDefault="00A10AF5" w:rsidP="00412F27">
      <w:pPr>
        <w:pStyle w:val="BodyText"/>
      </w:pP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417"/>
        <w:gridCol w:w="8221"/>
      </w:tblGrid>
      <w:tr w:rsidR="00FE22FC" w:rsidRPr="00A84107" w14:paraId="1FE5197A" w14:textId="77777777" w:rsidTr="0018341E">
        <w:trPr>
          <w:trHeight w:val="279"/>
        </w:trPr>
        <w:tc>
          <w:tcPr>
            <w:tcW w:w="735" w:type="pct"/>
            <w:shd w:val="clear" w:color="auto" w:fill="034EA2" w:themeFill="accent1"/>
          </w:tcPr>
          <w:p w14:paraId="65E9A907" w14:textId="77777777" w:rsidR="00FE22FC" w:rsidRPr="000F20CF" w:rsidRDefault="00FE22FC" w:rsidP="0018341E">
            <w:pPr>
              <w:pStyle w:val="TableHeading"/>
            </w:pPr>
            <w:r w:rsidRPr="009807CA">
              <w:t>Incident</w:t>
            </w:r>
          </w:p>
        </w:tc>
        <w:tc>
          <w:tcPr>
            <w:tcW w:w="4265" w:type="pct"/>
            <w:shd w:val="clear" w:color="auto" w:fill="034EA2" w:themeFill="accent1"/>
          </w:tcPr>
          <w:p w14:paraId="500661DC" w14:textId="77777777" w:rsidR="00FE22FC" w:rsidRPr="000F20CF" w:rsidRDefault="00FE22FC" w:rsidP="0018341E">
            <w:pPr>
              <w:pStyle w:val="TableHeading"/>
            </w:pPr>
            <w:r w:rsidRPr="009807CA">
              <w:t>Summary of incident</w:t>
            </w:r>
          </w:p>
        </w:tc>
      </w:tr>
      <w:tr w:rsidR="00FE22FC" w:rsidRPr="00A84107" w14:paraId="0F88AA68" w14:textId="77777777" w:rsidTr="0018341E">
        <w:tc>
          <w:tcPr>
            <w:tcW w:w="735" w:type="pct"/>
            <w:shd w:val="clear" w:color="auto" w:fill="F2F2F2" w:themeFill="background1" w:themeFillShade="F2"/>
          </w:tcPr>
          <w:p w14:paraId="330F2E05" w14:textId="77777777" w:rsidR="00FE22FC" w:rsidRPr="00A84107" w:rsidRDefault="00FE22FC" w:rsidP="0018341E">
            <w:pPr>
              <w:pStyle w:val="TableBody"/>
              <w:rPr>
                <w:rFonts w:eastAsia="Calibri"/>
              </w:rPr>
            </w:pPr>
            <w:r w:rsidRPr="00A84107">
              <w:rPr>
                <w:rFonts w:eastAsia="Calibri"/>
              </w:rPr>
              <w:t>Varanus Island disruption, Western Australia (2008)</w:t>
            </w:r>
          </w:p>
        </w:tc>
        <w:tc>
          <w:tcPr>
            <w:tcW w:w="4265" w:type="pct"/>
            <w:shd w:val="clear" w:color="auto" w:fill="auto"/>
          </w:tcPr>
          <w:p w14:paraId="68654158" w14:textId="77777777" w:rsidR="00FE22FC" w:rsidRPr="00A84107" w:rsidRDefault="00FE22FC" w:rsidP="0018341E">
            <w:pPr>
              <w:pStyle w:val="TableBody"/>
              <w:rPr>
                <w:rFonts w:eastAsia="Calibri"/>
              </w:rPr>
            </w:pPr>
            <w:r w:rsidRPr="00A84107">
              <w:rPr>
                <w:rFonts w:eastAsia="Calibri"/>
              </w:rPr>
              <w:t>In June 2008, a major disruption to the natural gas supply in Western Australia occurred due to the rupture of a corroded pipeline and the subsequent explosion at a processing plant on Varanus Island, off the state's north west coast. The Apache Energy’s plant was shut down, reducing Western Australia’s gas supply by around 30% for over two months. Gas spot prices increased sharply, and several mining and industrial companies were forced to curtail production. Some electricity generators switched to emergency diesel stocks, and coal fired power plants that had been closed were also brought back online.</w:t>
            </w:r>
            <w:r w:rsidRPr="00A84107">
              <w:rPr>
                <w:vertAlign w:val="superscript"/>
              </w:rPr>
              <w:footnoteReference w:id="373"/>
            </w:r>
          </w:p>
        </w:tc>
      </w:tr>
      <w:tr w:rsidR="00FE22FC" w:rsidRPr="00A84107" w14:paraId="35163F60" w14:textId="77777777" w:rsidTr="0018341E">
        <w:tc>
          <w:tcPr>
            <w:tcW w:w="735" w:type="pct"/>
            <w:shd w:val="clear" w:color="auto" w:fill="F2F2F2" w:themeFill="background1" w:themeFillShade="F2"/>
          </w:tcPr>
          <w:p w14:paraId="08FE1EAB" w14:textId="77777777" w:rsidR="00FE22FC" w:rsidRPr="00A84107" w:rsidRDefault="00A84107" w:rsidP="0018341E">
            <w:pPr>
              <w:pStyle w:val="TableBody"/>
              <w:rPr>
                <w:rFonts w:eastAsia="Calibri"/>
              </w:rPr>
            </w:pPr>
            <w:r w:rsidRPr="00A84107">
              <w:rPr>
                <w:rFonts w:eastAsia="Calibri"/>
              </w:rPr>
              <w:lastRenderedPageBreak/>
              <w:t>Colonial Pipeline Cyber Attack (2021)</w:t>
            </w:r>
          </w:p>
        </w:tc>
        <w:tc>
          <w:tcPr>
            <w:tcW w:w="4265" w:type="pct"/>
            <w:shd w:val="clear" w:color="auto" w:fill="auto"/>
          </w:tcPr>
          <w:p w14:paraId="17EB3328" w14:textId="77777777" w:rsidR="00FE22FC" w:rsidRPr="00A84107" w:rsidRDefault="00A84107" w:rsidP="0018341E">
            <w:pPr>
              <w:pStyle w:val="TableBody"/>
              <w:rPr>
                <w:rFonts w:eastAsia="Calibri"/>
              </w:rPr>
            </w:pPr>
            <w:r w:rsidRPr="00A84107">
              <w:rPr>
                <w:rFonts w:eastAsia="Calibri"/>
              </w:rPr>
              <w:t>On May 7 2021 the Colonial Pipeline, the largest in the American oil pipeline system, was hit by the largest ransomware cyber-attack</w:t>
            </w:r>
            <w:r>
              <w:rPr>
                <w:rFonts w:eastAsia="Calibri"/>
              </w:rPr>
              <w:t xml:space="preserve"> in the liquid fuels industry. The attack affected the pipeline’s computerised equipment and provoked the shutdown of operations for five days. </w:t>
            </w:r>
            <w:r w:rsidR="002F37BE">
              <w:rPr>
                <w:rFonts w:eastAsia="Calibri"/>
              </w:rPr>
              <w:t>Colonial Pipeline paid a ransom of around US$5 million (AUD$6.49 million) to restore the system and recover stolen data.</w:t>
            </w:r>
          </w:p>
        </w:tc>
      </w:tr>
    </w:tbl>
    <w:p w14:paraId="318A2868" w14:textId="77777777" w:rsidR="00FE22FC" w:rsidRPr="00412F27" w:rsidRDefault="00FE22FC" w:rsidP="003E3B28">
      <w:pPr>
        <w:pStyle w:val="BodyText"/>
        <w:spacing w:before="240"/>
      </w:pPr>
      <w:r w:rsidRPr="00827F58">
        <w:t xml:space="preserve">These case studies highlight that </w:t>
      </w:r>
      <w:r w:rsidR="00AE6B2F">
        <w:t>liquid fuels</w:t>
      </w:r>
      <w:r w:rsidRPr="00827F58">
        <w:t xml:space="preserve"> outages inflict substantial direct and indirect costs on firms and households alike. Businesses bore the brunt of the damage across all case studies, mostly through lost income and </w:t>
      </w:r>
      <w:r w:rsidRPr="00412F27">
        <w:t>productivity.</w:t>
      </w:r>
    </w:p>
    <w:p w14:paraId="1C3CF227" w14:textId="77777777" w:rsidR="00FE22FC" w:rsidRDefault="00FE22FC" w:rsidP="00412F27">
      <w:pPr>
        <w:pStyle w:val="BodyText"/>
      </w:pPr>
      <w:r w:rsidRPr="00412F27">
        <w:t>For the purposes of the modelling of the cost of av</w:t>
      </w:r>
      <w:r w:rsidRPr="00827F58">
        <w:t>oided future incidents in Australia, the Varanus Island disruption</w:t>
      </w:r>
      <w:r w:rsidRPr="00827F58">
        <w:rPr>
          <w:color w:val="FF9933"/>
        </w:rPr>
        <w:t xml:space="preserve"> </w:t>
      </w:r>
      <w:r w:rsidRPr="00827F58">
        <w:t xml:space="preserve">was selected to be simulated due to the availability of sufficient information about its direct impact on </w:t>
      </w:r>
      <w:r w:rsidR="00AE6B2F">
        <w:t>liquid fuels</w:t>
      </w:r>
      <w:r w:rsidRPr="00827F58">
        <w:t xml:space="preserve"> supply to support the modelling. </w:t>
      </w:r>
      <w:r w:rsidR="000F2DFA">
        <w:t xml:space="preserve">As the gas and liquid fuels sectors are similar in terms of the types of equipment and infrastructure used in production and distribution, it was assessed that the scenario, while initially </w:t>
      </w:r>
      <w:r w:rsidR="000F2DFA" w:rsidRPr="00412F27">
        <w:t>simulated</w:t>
      </w:r>
      <w:r w:rsidR="000F2DFA">
        <w:t xml:space="preserve"> for the gas benefit analysis, was appropriate for this analysis also. </w:t>
      </w:r>
      <w:r w:rsidRPr="00827F58">
        <w:t>Given the major magnitude of damages, this incident is considered a severe risk scenario. The use of an actual event as a risk point of comparison is important because it ensures the benefits analysis is grounded in reality. The plant, which normally supplied a third of the state’s gas, was closed for almost two months. Supply from the plant partially resumed in late August. By mid-October, gas production was running at two-thirds of normal capacity with 85% of fully capacity restored by December 2008. It is estimated that approximately 40-50 Petajoules, or 4-5% of total national gas supply, was lost in 2008.</w:t>
      </w:r>
      <w:r w:rsidRPr="00827F58">
        <w:rPr>
          <w:rStyle w:val="FootnoteReference"/>
          <w:rFonts w:ascii="Arial" w:eastAsia="Arial" w:hAnsi="Arial"/>
        </w:rPr>
        <w:footnoteReference w:id="374"/>
      </w:r>
      <w:r w:rsidRPr="00827F58">
        <w:t xml:space="preserve"> According to the Insurance Council of Australia, the normalised insurance losses were about $279 million (in 2011 dollars) or $340 million (in 2021 dollars).</w:t>
      </w:r>
      <w:r w:rsidRPr="00827F58">
        <w:rPr>
          <w:rStyle w:val="FootnoteReference"/>
          <w:rFonts w:ascii="Arial" w:eastAsia="Arial" w:hAnsi="Arial"/>
        </w:rPr>
        <w:footnoteReference w:id="375"/>
      </w:r>
      <w:r w:rsidRPr="00827F58">
        <w:t xml:space="preserve"> The estimate of insurance losses should be interpreted with caution – a senate inquiry into matters relating to the explosion indicated that the relatively modest insurance impact reflected most companies choosing not to take out business disruption insurance, and in several cases, policies only allowing a claim if gas supply was completely cut off rather than just being reduced or subject to high deductibles.</w:t>
      </w:r>
      <w:r w:rsidRPr="00827F58">
        <w:rPr>
          <w:rStyle w:val="FootnoteReference"/>
          <w:rFonts w:ascii="Arial" w:eastAsia="Arial" w:hAnsi="Arial"/>
        </w:rPr>
        <w:footnoteReference w:id="376"/>
      </w:r>
      <w:r w:rsidRPr="00827F58">
        <w:t xml:space="preserve">  </w:t>
      </w:r>
    </w:p>
    <w:p w14:paraId="692289DF" w14:textId="77777777" w:rsidR="00AD3943" w:rsidRPr="00827F58" w:rsidRDefault="00AD3943" w:rsidP="00412F27">
      <w:pPr>
        <w:pStyle w:val="BodyText"/>
      </w:pPr>
      <w:r>
        <w:t xml:space="preserve">In addition to the Varanus Island example, </w:t>
      </w:r>
      <w:r w:rsidR="00AE07BF">
        <w:t xml:space="preserve">the Colonial Pipeline </w:t>
      </w:r>
      <w:r w:rsidR="009A1E3E">
        <w:t xml:space="preserve">cyber-attack </w:t>
      </w:r>
      <w:r w:rsidR="00AE07BF">
        <w:t>incident has been simulated as the</w:t>
      </w:r>
      <w:r w:rsidR="00A829BE">
        <w:t xml:space="preserve"> low</w:t>
      </w:r>
      <w:r w:rsidR="009A1E3E">
        <w:t>-</w:t>
      </w:r>
      <w:r w:rsidR="00A829BE">
        <w:t xml:space="preserve">risk scenario. </w:t>
      </w:r>
      <w:r w:rsidR="009A1E3E">
        <w:t xml:space="preserve">The direct cost of the incident able to be modelled includes the ransom paid </w:t>
      </w:r>
      <w:r w:rsidR="00255641">
        <w:t>to restore the system and recover stolen data but does not include other direct costs as a result of the fuel shortage caused by the incident. As full costs are likely not captured, the incident is treated as the low-risk scenario for the purposes of benefits analysis.</w:t>
      </w:r>
    </w:p>
    <w:p w14:paraId="6D1029B1" w14:textId="77777777" w:rsidR="00FE22FC" w:rsidRDefault="00FE22FC" w:rsidP="00412F27">
      <w:pPr>
        <w:pStyle w:val="BodyText"/>
      </w:pPr>
      <w:r w:rsidRPr="00827F58">
        <w:t xml:space="preserve">A framework for considering the potential impacts of Australian </w:t>
      </w:r>
      <w:r w:rsidR="00AE6B2F">
        <w:t>liquid fuels</w:t>
      </w:r>
      <w:r w:rsidRPr="00827F58">
        <w:t xml:space="preserve"> outages following failure of critical infrastructure is provided in</w:t>
      </w:r>
      <w:r>
        <w:t xml:space="preserve"> the table </w:t>
      </w:r>
      <w:r w:rsidRPr="00827F58">
        <w:t>below.</w:t>
      </w:r>
    </w:p>
    <w:p w14:paraId="201C6AE8" w14:textId="77777777" w:rsidR="00FE22FC" w:rsidRPr="00CE4FE0" w:rsidRDefault="00FE22FC" w:rsidP="002F6679">
      <w:pPr>
        <w:pStyle w:val="Caption"/>
      </w:pPr>
      <w:r w:rsidRPr="00827F58">
        <w:t>Framework for scenario development and sensitivity analysis</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1986"/>
        <w:gridCol w:w="2551"/>
        <w:gridCol w:w="2551"/>
        <w:gridCol w:w="2550"/>
      </w:tblGrid>
      <w:tr w:rsidR="00050B5C" w:rsidRPr="00827F58" w14:paraId="6947CB54" w14:textId="77777777" w:rsidTr="00050B5C">
        <w:trPr>
          <w:trHeight w:val="420"/>
        </w:trPr>
        <w:tc>
          <w:tcPr>
            <w:tcW w:w="1030" w:type="pct"/>
            <w:shd w:val="clear" w:color="auto" w:fill="034EA2" w:themeFill="accent1"/>
          </w:tcPr>
          <w:p w14:paraId="7D3E06A4" w14:textId="77777777" w:rsidR="000F2DFA" w:rsidRPr="00827F58" w:rsidRDefault="000F2DFA" w:rsidP="00050B5C">
            <w:pPr>
              <w:pStyle w:val="TableHeading"/>
            </w:pPr>
          </w:p>
        </w:tc>
        <w:tc>
          <w:tcPr>
            <w:tcW w:w="1323" w:type="pct"/>
            <w:shd w:val="clear" w:color="auto" w:fill="034EA2" w:themeFill="accent1"/>
          </w:tcPr>
          <w:p w14:paraId="4F91C2E7" w14:textId="77777777" w:rsidR="000F2DFA" w:rsidRPr="00827F58" w:rsidRDefault="000F2DFA" w:rsidP="00050B5C">
            <w:pPr>
              <w:pStyle w:val="TableHeading"/>
              <w:rPr>
                <w:color w:val="FFFFFF"/>
              </w:rPr>
            </w:pPr>
            <w:r w:rsidRPr="00827F58">
              <w:rPr>
                <w:color w:val="FFFFFF"/>
              </w:rPr>
              <w:t>Severe scenario</w:t>
            </w:r>
          </w:p>
        </w:tc>
        <w:tc>
          <w:tcPr>
            <w:tcW w:w="1323" w:type="pct"/>
            <w:shd w:val="clear" w:color="auto" w:fill="034EA2" w:themeFill="accent1"/>
          </w:tcPr>
          <w:p w14:paraId="25EF058A" w14:textId="77777777" w:rsidR="000F2DFA" w:rsidRPr="00827F58" w:rsidRDefault="000F2DFA" w:rsidP="00050B5C">
            <w:pPr>
              <w:pStyle w:val="TableHeading"/>
              <w:rPr>
                <w:color w:val="FFFFFF"/>
              </w:rPr>
            </w:pPr>
            <w:r w:rsidRPr="00827F58">
              <w:rPr>
                <w:color w:val="FFFFFF"/>
              </w:rPr>
              <w:t>Moderate scenario</w:t>
            </w:r>
          </w:p>
        </w:tc>
        <w:tc>
          <w:tcPr>
            <w:tcW w:w="1323" w:type="pct"/>
            <w:shd w:val="clear" w:color="auto" w:fill="034EA2" w:themeFill="accent1"/>
          </w:tcPr>
          <w:p w14:paraId="5DB44F01" w14:textId="77777777" w:rsidR="000F2DFA" w:rsidRPr="00827F58" w:rsidRDefault="000F2DFA" w:rsidP="00050B5C">
            <w:pPr>
              <w:pStyle w:val="TableHeading"/>
              <w:rPr>
                <w:color w:val="FFFFFF"/>
              </w:rPr>
            </w:pPr>
            <w:r w:rsidRPr="00827F58">
              <w:rPr>
                <w:color w:val="FFFFFF"/>
              </w:rPr>
              <w:t>Low scenario</w:t>
            </w:r>
          </w:p>
        </w:tc>
      </w:tr>
      <w:tr w:rsidR="00050B5C" w:rsidRPr="00827F58" w14:paraId="11C1AC52" w14:textId="77777777" w:rsidTr="00050B5C">
        <w:trPr>
          <w:trHeight w:val="570"/>
        </w:trPr>
        <w:tc>
          <w:tcPr>
            <w:tcW w:w="1030" w:type="pct"/>
            <w:shd w:val="clear" w:color="auto" w:fill="F2F2F2" w:themeFill="background1" w:themeFillShade="F2"/>
          </w:tcPr>
          <w:p w14:paraId="025039EC" w14:textId="77777777" w:rsidR="000F2DFA" w:rsidRPr="00827F58" w:rsidRDefault="000F2DFA" w:rsidP="00050B5C">
            <w:pPr>
              <w:pStyle w:val="TableBody"/>
              <w:rPr>
                <w:color w:val="FFFFFF"/>
              </w:rPr>
            </w:pPr>
            <w:r w:rsidRPr="00827F58">
              <w:t>Intensity of event</w:t>
            </w:r>
          </w:p>
        </w:tc>
        <w:tc>
          <w:tcPr>
            <w:tcW w:w="1323" w:type="pct"/>
            <w:shd w:val="clear" w:color="auto" w:fill="auto"/>
          </w:tcPr>
          <w:p w14:paraId="5ACAD57F" w14:textId="77777777" w:rsidR="000F2DFA" w:rsidRPr="00827F58" w:rsidRDefault="000F2DFA" w:rsidP="00050B5C">
            <w:pPr>
              <w:pStyle w:val="TableBody"/>
              <w:rPr>
                <w:rFonts w:eastAsia="Arial"/>
              </w:rPr>
            </w:pPr>
            <w:r w:rsidRPr="00827F58">
              <w:rPr>
                <w:rFonts w:eastAsia="Arial"/>
              </w:rPr>
              <w:t xml:space="preserve">Varanus Island disruption </w:t>
            </w:r>
            <w:r w:rsidR="00AD3943">
              <w:rPr>
                <w:rFonts w:eastAsia="Arial"/>
              </w:rPr>
              <w:t>(2008)</w:t>
            </w:r>
            <w:r w:rsidRPr="00827F58">
              <w:rPr>
                <w:rStyle w:val="FootnoteReference"/>
                <w:rFonts w:ascii="Arial" w:eastAsia="Arial" w:hAnsi="Arial"/>
                <w:sz w:val="22"/>
              </w:rPr>
              <w:footnoteReference w:id="377"/>
            </w:r>
          </w:p>
        </w:tc>
        <w:tc>
          <w:tcPr>
            <w:tcW w:w="1323" w:type="pct"/>
            <w:shd w:val="clear" w:color="auto" w:fill="auto"/>
          </w:tcPr>
          <w:p w14:paraId="326D3CE9" w14:textId="77777777" w:rsidR="000F2DFA" w:rsidRPr="00827F58" w:rsidRDefault="000F2DFA" w:rsidP="00050B5C">
            <w:pPr>
              <w:pStyle w:val="TableBody"/>
              <w:rPr>
                <w:rFonts w:eastAsia="Arial"/>
              </w:rPr>
            </w:pPr>
            <w:r w:rsidRPr="00827F58">
              <w:rPr>
                <w:rFonts w:eastAsia="Arial"/>
              </w:rPr>
              <w:t>50</w:t>
            </w:r>
            <w:r w:rsidRPr="00827F58">
              <w:t xml:space="preserve">% of severe scenario </w:t>
            </w:r>
            <w:r w:rsidR="00AE6B2F">
              <w:t>liquid fuels</w:t>
            </w:r>
            <w:r w:rsidRPr="00827F58">
              <w:t xml:space="preserve"> supply loss</w:t>
            </w:r>
          </w:p>
        </w:tc>
        <w:tc>
          <w:tcPr>
            <w:tcW w:w="1323" w:type="pct"/>
            <w:shd w:val="clear" w:color="auto" w:fill="auto"/>
          </w:tcPr>
          <w:p w14:paraId="23C683F9" w14:textId="77777777" w:rsidR="000F2DFA" w:rsidRPr="00827F58" w:rsidRDefault="000F2DFA" w:rsidP="00050B5C">
            <w:pPr>
              <w:pStyle w:val="TableBody"/>
            </w:pPr>
            <w:r>
              <w:t>Colonial Pipeline</w:t>
            </w:r>
            <w:r w:rsidR="00255641">
              <w:t xml:space="preserve"> ransomware attack</w:t>
            </w:r>
            <w:r>
              <w:t xml:space="preserve"> (2021)</w:t>
            </w:r>
          </w:p>
        </w:tc>
      </w:tr>
    </w:tbl>
    <w:p w14:paraId="4DFC767E" w14:textId="710E920F" w:rsidR="00FE22FC" w:rsidRPr="00827F58" w:rsidRDefault="00FE22FC" w:rsidP="003E3B28">
      <w:pPr>
        <w:pStyle w:val="BodyText"/>
        <w:spacing w:before="240"/>
      </w:pPr>
      <w:r w:rsidRPr="00827F58">
        <w:t xml:space="preserve">The rationale for a more </w:t>
      </w:r>
      <w:r w:rsidR="00255641">
        <w:t>severe</w:t>
      </w:r>
      <w:r w:rsidRPr="00827F58">
        <w:t xml:space="preserve"> scenario than experienced in the Varanus Island incident reflects the complexity of the scenarios that could occur. As noted above, the economic impact of an incident will vary due to a range of factors including the location of a disruption, as well as the timing and the duration of disruption. While an incident with a much greater impact than the severe </w:t>
      </w:r>
      <w:r w:rsidRPr="00827F58">
        <w:lastRenderedPageBreak/>
        <w:t>scenario is conceivable, the defined scenarios and subsequent benefits analysis are based on a deliberately conservative approach to ensure the severe scenario remains demonstrably plausible.</w:t>
      </w:r>
    </w:p>
    <w:p w14:paraId="695A9C28" w14:textId="77777777" w:rsidR="00FE22FC" w:rsidRPr="00827F58" w:rsidRDefault="00FE22FC" w:rsidP="00412F27">
      <w:pPr>
        <w:pStyle w:val="BodyText"/>
      </w:pPr>
      <w:r w:rsidRPr="00827F58">
        <w:t xml:space="preserve">A summary of the economic impact of each scenario is provided in </w:t>
      </w:r>
      <w:r>
        <w:t>the table below</w:t>
      </w:r>
      <w:r w:rsidRPr="00827F58">
        <w:t xml:space="preserve">. A break-even analysis of these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 </w:t>
      </w:r>
    </w:p>
    <w:p w14:paraId="5425A94F" w14:textId="77777777" w:rsidR="00FE22FC" w:rsidRPr="00827F58" w:rsidRDefault="00FE22FC" w:rsidP="002F6679">
      <w:pPr>
        <w:pStyle w:val="Caption"/>
      </w:pPr>
      <w:r w:rsidRPr="00827F58">
        <w:t>Summary of benefits scenarios</w:t>
      </w:r>
    </w:p>
    <w:tbl>
      <w:tblPr>
        <w:tblStyle w:val="TableGrid1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829"/>
        <w:gridCol w:w="2269"/>
        <w:gridCol w:w="2269"/>
        <w:gridCol w:w="2271"/>
      </w:tblGrid>
      <w:tr w:rsidR="00340241" w:rsidRPr="00050B5C" w14:paraId="55CE1DD4" w14:textId="77777777" w:rsidTr="00050B5C">
        <w:trPr>
          <w:cantSplit/>
        </w:trPr>
        <w:tc>
          <w:tcPr>
            <w:tcW w:w="1468" w:type="pct"/>
            <w:shd w:val="clear" w:color="auto" w:fill="034EA2" w:themeFill="accent1"/>
          </w:tcPr>
          <w:p w14:paraId="43DD226D" w14:textId="77777777" w:rsidR="00FE22FC" w:rsidRPr="00050B5C" w:rsidRDefault="00FE22FC" w:rsidP="00050B5C">
            <w:pPr>
              <w:pStyle w:val="TableHeading"/>
            </w:pPr>
          </w:p>
        </w:tc>
        <w:tc>
          <w:tcPr>
            <w:tcW w:w="1177" w:type="pct"/>
            <w:shd w:val="clear" w:color="auto" w:fill="034EA2" w:themeFill="accent1"/>
          </w:tcPr>
          <w:p w14:paraId="157E8A90" w14:textId="77777777" w:rsidR="00FE22FC" w:rsidRPr="00050B5C" w:rsidRDefault="00FE22FC" w:rsidP="00050B5C">
            <w:pPr>
              <w:pStyle w:val="TableHeading"/>
            </w:pPr>
            <w:r w:rsidRPr="00050B5C">
              <w:t>Scenario 1</w:t>
            </w:r>
            <w:r w:rsidRPr="00050B5C">
              <w:br/>
              <w:t>(</w:t>
            </w:r>
            <w:r w:rsidR="007E5A25" w:rsidRPr="00050B5C">
              <w:t>Severe</w:t>
            </w:r>
            <w:r w:rsidRPr="00050B5C">
              <w:t>), $ million</w:t>
            </w:r>
          </w:p>
        </w:tc>
        <w:tc>
          <w:tcPr>
            <w:tcW w:w="1177" w:type="pct"/>
            <w:shd w:val="clear" w:color="auto" w:fill="034EA2" w:themeFill="accent1"/>
          </w:tcPr>
          <w:p w14:paraId="32967D6C" w14:textId="77777777" w:rsidR="00FE22FC" w:rsidRPr="00050B5C" w:rsidRDefault="00FE22FC" w:rsidP="00050B5C">
            <w:pPr>
              <w:pStyle w:val="TableHeading"/>
            </w:pPr>
            <w:r w:rsidRPr="00050B5C">
              <w:t>Scenario 2</w:t>
            </w:r>
            <w:r w:rsidRPr="00050B5C">
              <w:br/>
              <w:t>(Moderate), $ million</w:t>
            </w:r>
          </w:p>
        </w:tc>
        <w:tc>
          <w:tcPr>
            <w:tcW w:w="1178" w:type="pct"/>
            <w:shd w:val="clear" w:color="auto" w:fill="034EA2" w:themeFill="accent1"/>
          </w:tcPr>
          <w:p w14:paraId="52565A2C" w14:textId="77777777" w:rsidR="00FE22FC" w:rsidRPr="00050B5C" w:rsidRDefault="00FE22FC" w:rsidP="00050B5C">
            <w:pPr>
              <w:pStyle w:val="TableHeading"/>
            </w:pPr>
            <w:r w:rsidRPr="00050B5C">
              <w:t>Scenario 3</w:t>
            </w:r>
            <w:r w:rsidRPr="00050B5C">
              <w:br/>
              <w:t>(</w:t>
            </w:r>
            <w:r w:rsidR="007E5A25" w:rsidRPr="00050B5C">
              <w:t>Low</w:t>
            </w:r>
            <w:r w:rsidRPr="00050B5C">
              <w:t>), $ million</w:t>
            </w:r>
          </w:p>
        </w:tc>
      </w:tr>
      <w:tr w:rsidR="008F15C5" w:rsidRPr="00050B5C" w14:paraId="7BF72AE7" w14:textId="77777777" w:rsidTr="00050B5C">
        <w:trPr>
          <w:cantSplit/>
        </w:trPr>
        <w:tc>
          <w:tcPr>
            <w:tcW w:w="1468" w:type="pct"/>
            <w:shd w:val="clear" w:color="auto" w:fill="F2F2F2" w:themeFill="background1" w:themeFillShade="F2"/>
            <w:vAlign w:val="center"/>
          </w:tcPr>
          <w:p w14:paraId="5F5B31AB" w14:textId="77777777" w:rsidR="00FE22FC" w:rsidRPr="00050B5C" w:rsidRDefault="00FE22FC" w:rsidP="00050B5C">
            <w:pPr>
              <w:pStyle w:val="TableBody"/>
            </w:pPr>
            <w:r w:rsidRPr="00050B5C">
              <w:t>Total avoided cost to the economy of the incident</w:t>
            </w:r>
          </w:p>
        </w:tc>
        <w:tc>
          <w:tcPr>
            <w:tcW w:w="1177" w:type="pct"/>
            <w:shd w:val="clear" w:color="auto" w:fill="F2F2F2" w:themeFill="background1" w:themeFillShade="F2"/>
            <w:vAlign w:val="center"/>
          </w:tcPr>
          <w:p w14:paraId="488D5D4A" w14:textId="6AC44958" w:rsidR="00FE22FC" w:rsidRPr="00050B5C" w:rsidRDefault="001D068F" w:rsidP="00050B5C">
            <w:pPr>
              <w:pStyle w:val="TableBody"/>
            </w:pPr>
            <w:r>
              <w:t>1,913.0</w:t>
            </w:r>
          </w:p>
        </w:tc>
        <w:tc>
          <w:tcPr>
            <w:tcW w:w="1177" w:type="pct"/>
            <w:shd w:val="clear" w:color="auto" w:fill="F2F2F2" w:themeFill="background1" w:themeFillShade="F2"/>
            <w:vAlign w:val="center"/>
          </w:tcPr>
          <w:p w14:paraId="7240B67F" w14:textId="56960ECE" w:rsidR="00FE22FC" w:rsidRPr="00050B5C" w:rsidRDefault="001D068F" w:rsidP="00050B5C">
            <w:pPr>
              <w:pStyle w:val="TableBody"/>
            </w:pPr>
            <w:r>
              <w:t>1,001.0</w:t>
            </w:r>
          </w:p>
        </w:tc>
        <w:tc>
          <w:tcPr>
            <w:tcW w:w="1178" w:type="pct"/>
            <w:shd w:val="clear" w:color="auto" w:fill="F2F2F2" w:themeFill="background1" w:themeFillShade="F2"/>
            <w:vAlign w:val="center"/>
          </w:tcPr>
          <w:p w14:paraId="37A62571" w14:textId="2DF28F59" w:rsidR="00FE22FC" w:rsidRPr="00050B5C" w:rsidRDefault="001B5641" w:rsidP="00050B5C">
            <w:pPr>
              <w:pStyle w:val="TableBody"/>
            </w:pPr>
            <w:r>
              <w:t>14.5</w:t>
            </w:r>
          </w:p>
        </w:tc>
      </w:tr>
      <w:tr w:rsidR="00FE22FC" w:rsidRPr="00050B5C" w14:paraId="636C5833" w14:textId="77777777" w:rsidTr="00050B5C">
        <w:trPr>
          <w:cantSplit/>
        </w:trPr>
        <w:tc>
          <w:tcPr>
            <w:tcW w:w="1468" w:type="pct"/>
            <w:vAlign w:val="center"/>
          </w:tcPr>
          <w:p w14:paraId="5435CB5D" w14:textId="77777777" w:rsidR="00FE22FC" w:rsidRPr="00050B5C" w:rsidRDefault="00FE22FC" w:rsidP="00050B5C">
            <w:pPr>
              <w:pStyle w:val="TableBody"/>
            </w:pPr>
            <w:r w:rsidRPr="00050B5C">
              <w:t>Approximate number of avoided incidents per annum required for a net benefit</w:t>
            </w:r>
          </w:p>
        </w:tc>
        <w:tc>
          <w:tcPr>
            <w:tcW w:w="1177" w:type="pct"/>
            <w:vAlign w:val="center"/>
          </w:tcPr>
          <w:p w14:paraId="2EC79AE8" w14:textId="7AF32C65" w:rsidR="00FE22FC" w:rsidRPr="00050B5C" w:rsidRDefault="00C81FCC" w:rsidP="00050B5C">
            <w:pPr>
              <w:pStyle w:val="TableBody"/>
            </w:pPr>
            <w:r>
              <w:t>Less than 0.1</w:t>
            </w:r>
          </w:p>
        </w:tc>
        <w:tc>
          <w:tcPr>
            <w:tcW w:w="1177" w:type="pct"/>
            <w:vAlign w:val="center"/>
          </w:tcPr>
          <w:p w14:paraId="3A8E943E" w14:textId="47D5CD5E" w:rsidR="00FE22FC" w:rsidRPr="00050B5C" w:rsidRDefault="00C81FCC" w:rsidP="00050B5C">
            <w:pPr>
              <w:pStyle w:val="TableBody"/>
            </w:pPr>
            <w:r>
              <w:t>Less than 0.1</w:t>
            </w:r>
          </w:p>
        </w:tc>
        <w:tc>
          <w:tcPr>
            <w:tcW w:w="1178" w:type="pct"/>
            <w:vAlign w:val="center"/>
          </w:tcPr>
          <w:p w14:paraId="0AD9DFD3" w14:textId="72C84BB1" w:rsidR="00FE22FC" w:rsidRPr="00050B5C" w:rsidRDefault="00BB4771" w:rsidP="00050B5C">
            <w:pPr>
              <w:pStyle w:val="TableBody"/>
            </w:pPr>
            <w:r w:rsidRPr="00CE4B35">
              <w:t>1.1</w:t>
            </w:r>
          </w:p>
        </w:tc>
      </w:tr>
    </w:tbl>
    <w:p w14:paraId="4E807F5B" w14:textId="342672EC" w:rsidR="00FE22FC" w:rsidRPr="00827F58" w:rsidRDefault="00FE22FC" w:rsidP="00050B5C">
      <w:pPr>
        <w:pStyle w:val="BodyText"/>
        <w:spacing w:before="240"/>
      </w:pPr>
      <w:r w:rsidRPr="00827F58">
        <w:t>As noted above in the cost of option 2, the total direct ongoing cost for option 2 is expected to be $</w:t>
      </w:r>
      <w:r w:rsidR="00FF21D5">
        <w:t>10.5</w:t>
      </w:r>
      <w:r w:rsidRPr="00827F58">
        <w:rPr>
          <w:color w:val="007BC3" w:themeColor="accent2"/>
        </w:rPr>
        <w:t xml:space="preserve"> </w:t>
      </w:r>
      <w:r w:rsidRPr="00827F58">
        <w:t xml:space="preserve">million per annum plus direct one-off costs </w:t>
      </w:r>
      <w:r w:rsidRPr="00107992">
        <w:t>of $</w:t>
      </w:r>
      <w:r w:rsidR="00FF21D5">
        <w:t>35.8</w:t>
      </w:r>
      <w:r w:rsidRPr="00827F58">
        <w:rPr>
          <w:color w:val="007BC3" w:themeColor="accent2"/>
        </w:rPr>
        <w:t xml:space="preserve"> </w:t>
      </w:r>
      <w:r w:rsidRPr="00827F58">
        <w:t xml:space="preserve">million. However, the cost of the risk management program framework would also have other indirect costs flowing from increased gas prices passed onto consumers from the framework’s implementation. </w:t>
      </w:r>
    </w:p>
    <w:p w14:paraId="32A2B64D" w14:textId="49EABA1D" w:rsidR="00FE22FC" w:rsidRPr="00827F58" w:rsidRDefault="00FE22FC" w:rsidP="00412F27">
      <w:pPr>
        <w:pStyle w:val="BodyText"/>
      </w:pPr>
      <w:r w:rsidRPr="00107992">
        <w:t xml:space="preserve">After considering the economy-wide impact of this change to the cost of providing </w:t>
      </w:r>
      <w:r w:rsidR="00AE6B2F">
        <w:t>liquid fuels</w:t>
      </w:r>
      <w:r w:rsidRPr="00107992">
        <w:t>, the total economic cost of the regulatory changes, including direct and indirect costs would be approximately $</w:t>
      </w:r>
      <w:r w:rsidR="009054B3">
        <w:t>15.9</w:t>
      </w:r>
      <w:r w:rsidR="00DD3410">
        <w:t xml:space="preserve"> </w:t>
      </w:r>
      <w:r w:rsidRPr="00107992">
        <w:t>million per year.</w:t>
      </w:r>
      <w:r w:rsidRPr="00107992">
        <w:rPr>
          <w:vertAlign w:val="superscript"/>
        </w:rPr>
        <w:footnoteReference w:id="378"/>
      </w:r>
      <w:r w:rsidRPr="00107992">
        <w:t xml:space="preserve"> In order for the regulatory changes to generate a net benefit, the proposed risk management program framework would need to contribute to the prevention of approximately 1 low scenario incident approximately every year, approximately 1 moderate scenario incident every 6</w:t>
      </w:r>
      <w:r w:rsidR="00654D51">
        <w:t>0</w:t>
      </w:r>
      <w:r w:rsidRPr="00107992">
        <w:t xml:space="preserve"> years or approximately 1 severe scenario every 12</w:t>
      </w:r>
      <w:r w:rsidR="00654D51">
        <w:t>0</w:t>
      </w:r>
      <w:r w:rsidRPr="00107992">
        <w:t xml:space="preserve"> years to generate a net benefit.</w:t>
      </w:r>
      <w:r w:rsidRPr="00827F58">
        <w:t xml:space="preserve"> </w:t>
      </w:r>
    </w:p>
    <w:p w14:paraId="2738858F" w14:textId="77E4D8F6" w:rsidR="00FE22FC" w:rsidRPr="00827F58" w:rsidRDefault="00FE22FC" w:rsidP="00412F27">
      <w:pPr>
        <w:pStyle w:val="BodyText"/>
        <w:rPr>
          <w:rFonts w:eastAsia="Arial"/>
        </w:rPr>
      </w:pPr>
      <w:r w:rsidRPr="00827F58">
        <w:t xml:space="preserve">It is important to note that the economic analysis of the above scenarios may not incorporate all direct avoided costs incurred by all future incidents. In the broader context of a potential future disruption, in addition to the above estimate of benefits would be the avoided costs of recovery (repair costs, costs of resulting mitigations, productivity loss due to attending to legal ramifications, intangible costs on the environment, health and wellbeing, loss of reputation </w:t>
      </w:r>
      <w:r w:rsidR="000D1D1E" w:rsidRPr="00827F58">
        <w:t>etc.</w:t>
      </w:r>
      <w:r w:rsidRPr="00827F58">
        <w:t>) from high value, specific circumstances which were not experienced during the Varanus Island event.  For example, the Enbridge incident in Canada forced 125 residents within a 2km radius of the explosion site to evacuate, and the Longford incident in 1998 caused two deaths and eight injuries</w:t>
      </w:r>
      <w:r w:rsidRPr="00827F58">
        <w:rPr>
          <w:rFonts w:eastAsia="Arial"/>
        </w:rPr>
        <w:t xml:space="preserve">. </w:t>
      </w:r>
    </w:p>
    <w:p w14:paraId="3E6893C5" w14:textId="77777777" w:rsidR="00FE22FC" w:rsidRPr="00827F58" w:rsidRDefault="00FE22FC" w:rsidP="00412F27">
      <w:pPr>
        <w:pStyle w:val="BodyText"/>
      </w:pPr>
      <w:r w:rsidRPr="00827F58">
        <w:t xml:space="preserve">Further, the increasing frequency of incidents as described in section 1.1 makes the proposed risk management program framework more certain over time to exceed the anticipated costs. </w:t>
      </w:r>
      <w:r w:rsidRPr="00827F58">
        <w:rPr>
          <w:rFonts w:eastAsia="Calibri"/>
        </w:rPr>
        <w:t xml:space="preserve">The examples referred to in that section demonstrate the increasing need for adequate protections against the security and resilience of critical </w:t>
      </w:r>
      <w:r w:rsidR="00F72FAC">
        <w:rPr>
          <w:rFonts w:eastAsia="Calibri"/>
        </w:rPr>
        <w:t>liquid fuel</w:t>
      </w:r>
      <w:r w:rsidR="00F72FAC" w:rsidRPr="00827F58">
        <w:rPr>
          <w:rFonts w:eastAsia="Calibri"/>
        </w:rPr>
        <w:t xml:space="preserve"> </w:t>
      </w:r>
      <w:r w:rsidRPr="00827F58">
        <w:rPr>
          <w:rFonts w:eastAsia="Calibri"/>
        </w:rPr>
        <w:t xml:space="preserve">assets, and the increased likelihood that the </w:t>
      </w:r>
      <w:r w:rsidRPr="00827F58">
        <w:rPr>
          <w:rFonts w:eastAsia="Calibri"/>
        </w:rPr>
        <w:lastRenderedPageBreak/>
        <w:t>benefits of the draft risk management program framework will exceed the costs outlined in this section.</w:t>
      </w:r>
    </w:p>
    <w:p w14:paraId="4CF9B7B8" w14:textId="77777777" w:rsidR="00FE22FC" w:rsidRPr="00936788" w:rsidRDefault="00FE22FC" w:rsidP="002F6679">
      <w:pPr>
        <w:pStyle w:val="AppendixH2"/>
      </w:pPr>
      <w:r w:rsidRPr="00936788">
        <w:t>Assessment of likely net benefit</w:t>
      </w:r>
    </w:p>
    <w:p w14:paraId="2309EECE" w14:textId="77777777" w:rsidR="00FE22FC" w:rsidRPr="00827F58" w:rsidRDefault="00FE22FC" w:rsidP="00412F27">
      <w:pPr>
        <w:pStyle w:val="BodyText"/>
      </w:pPr>
      <w:r w:rsidRPr="00827F58">
        <w:t xml:space="preserve">The likely benefits of option 2 will be at least (and are expected to be more than) the costs of the regulation. This is primarily because, as described above and throughout this RIS, the frequency and severity of all hazard risks for critical </w:t>
      </w:r>
      <w:r w:rsidR="00F72FAC">
        <w:t>liquid fuel</w:t>
      </w:r>
      <w:r w:rsidR="00F72FAC" w:rsidRPr="00827F58">
        <w:t xml:space="preserve"> </w:t>
      </w:r>
      <w:r w:rsidRPr="00827F58">
        <w:t xml:space="preserve">assets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 </w:t>
      </w:r>
    </w:p>
    <w:p w14:paraId="4F1B09F6" w14:textId="77777777" w:rsidR="00FE22FC" w:rsidRPr="00827F58" w:rsidRDefault="00FE22FC" w:rsidP="00412F27">
      <w:pPr>
        <w:pStyle w:val="BodyText"/>
      </w:pPr>
      <w:r w:rsidRPr="00827F58">
        <w:t>Further, through pursuit of option 2, the identification, mitigation and remediation of such hazards, should they occur, will be improved through:</w:t>
      </w:r>
    </w:p>
    <w:p w14:paraId="5B59F3E3" w14:textId="77777777" w:rsidR="00FE22FC" w:rsidRPr="00827F58" w:rsidRDefault="00FE22FC" w:rsidP="002F6679">
      <w:pPr>
        <w:pStyle w:val="Bullet1stlevel"/>
      </w:pPr>
      <w:r w:rsidRPr="00827F58">
        <w:t xml:space="preserve">Lowering the material risk of hazards and subsequent impacts of those hazards, as they manifest for critical </w:t>
      </w:r>
      <w:r w:rsidR="00AE6B2F">
        <w:t>liquid fuels</w:t>
      </w:r>
      <w:r w:rsidRPr="00827F58">
        <w:t xml:space="preserve"> assets; </w:t>
      </w:r>
    </w:p>
    <w:p w14:paraId="24EE3D48" w14:textId="77777777" w:rsidR="00FE22FC" w:rsidRPr="00827F58" w:rsidRDefault="00FE22FC" w:rsidP="002F6679">
      <w:pPr>
        <w:pStyle w:val="Bullet1stlevel"/>
      </w:pPr>
      <w:r w:rsidRPr="00827F58">
        <w:t xml:space="preserve">Ensuring that adoption of the risk management program framework for critical </w:t>
      </w:r>
      <w:r w:rsidR="00AE6B2F">
        <w:t>liquid fuels</w:t>
      </w:r>
      <w:r w:rsidRPr="00827F58">
        <w:t xml:space="preserve"> assets is reasonable and proportionate to the purpose of the program; </w:t>
      </w:r>
    </w:p>
    <w:p w14:paraId="62B1C99F" w14:textId="77777777" w:rsidR="00FE22FC" w:rsidRPr="00827F58" w:rsidRDefault="00FE22FC" w:rsidP="002F6679">
      <w:pPr>
        <w:pStyle w:val="Bullet1stlevel"/>
      </w:pPr>
      <w:r w:rsidRPr="00827F58">
        <w:t xml:space="preserve">Avoiding regulatory duplication and facilitating a coordinated uplift in responsible entities’ compliance with relevant standards; and </w:t>
      </w:r>
    </w:p>
    <w:p w14:paraId="5990CA21" w14:textId="77777777" w:rsidR="00FE22FC" w:rsidRPr="00827F58" w:rsidRDefault="00FE22FC" w:rsidP="002F6679">
      <w:pPr>
        <w:pStyle w:val="Bullet1stlevel"/>
      </w:pPr>
      <w:r w:rsidRPr="00827F58">
        <w:t xml:space="preserve">Improving Government’s visibility over the security and resilience of critical </w:t>
      </w:r>
      <w:r w:rsidR="00AE6B2F">
        <w:t>liquid fuels</w:t>
      </w:r>
      <w:r w:rsidRPr="00827F58">
        <w:t xml:space="preserve"> assets. </w:t>
      </w:r>
    </w:p>
    <w:p w14:paraId="59019E5A" w14:textId="4BB3278E" w:rsidR="002F6679" w:rsidRPr="002F6679" w:rsidRDefault="00FE22FC" w:rsidP="002F6679">
      <w:pPr>
        <w:pStyle w:val="BodyText"/>
      </w:pPr>
      <w:r w:rsidRPr="00827F58">
        <w:t xml:space="preserve">Overall, these factors and the specific costs and benefits described above mean the likely net benefit associated with option 2 is high. </w:t>
      </w:r>
    </w:p>
    <w:p w14:paraId="28DA3E4B" w14:textId="3B49B106" w:rsidR="00824B94" w:rsidRPr="00B248D1" w:rsidRDefault="00824B94" w:rsidP="00412F27">
      <w:pPr>
        <w:pStyle w:val="AppendixH1"/>
      </w:pPr>
      <w:bookmarkStart w:id="663" w:name="_Toc121397432"/>
      <w:r w:rsidRPr="65BD1ADF">
        <w:lastRenderedPageBreak/>
        <w:t xml:space="preserve">Detailed costing information for critical </w:t>
      </w:r>
      <w:r>
        <w:t xml:space="preserve">hospital </w:t>
      </w:r>
      <w:r w:rsidRPr="00B248D1">
        <w:t>assets</w:t>
      </w:r>
      <w:bookmarkEnd w:id="663"/>
    </w:p>
    <w:p w14:paraId="579481B3" w14:textId="02791EB9" w:rsidR="00824B94" w:rsidRDefault="00B8355F" w:rsidP="00FF1641">
      <w:pPr>
        <w:pStyle w:val="BodyText"/>
      </w:pPr>
      <w:r>
        <w:t xml:space="preserve">Cost submissions were received from </w:t>
      </w:r>
      <w:r w:rsidR="00824B94">
        <w:t>2</w:t>
      </w:r>
      <w:r w:rsidR="00D34D12">
        <w:t>3</w:t>
      </w:r>
      <w:r w:rsidR="00824B94">
        <w:t xml:space="preserve"> responsible entit</w:t>
      </w:r>
      <w:r w:rsidR="00D63518">
        <w:t>ies</w:t>
      </w:r>
      <w:r w:rsidR="00824B94">
        <w:t xml:space="preserve"> for critical hospital assets. This represented approximately </w:t>
      </w:r>
      <w:r w:rsidR="00D34D12">
        <w:t>90</w:t>
      </w:r>
      <w:r w:rsidR="00824B94">
        <w:t xml:space="preserve">% of the </w:t>
      </w:r>
      <w:r>
        <w:t>ICU bed capacity of</w:t>
      </w:r>
      <w:r w:rsidR="00824B94">
        <w:t xml:space="preserve"> critical </w:t>
      </w:r>
      <w:r w:rsidR="009B0FBE">
        <w:t>hospital</w:t>
      </w:r>
      <w:r w:rsidR="00824B94">
        <w:t xml:space="preserve"> asset</w:t>
      </w:r>
      <w:r>
        <w:t>s</w:t>
      </w:r>
      <w:r w:rsidR="00824B94">
        <w:t xml:space="preserve">. </w:t>
      </w:r>
    </w:p>
    <w:p w14:paraId="774085EE" w14:textId="77777777" w:rsidR="00824B94" w:rsidRPr="006B61BA" w:rsidRDefault="00824B94" w:rsidP="00FF1641">
      <w:pPr>
        <w:pStyle w:val="AppendixH2"/>
      </w:pPr>
      <w:r w:rsidRPr="006B61BA">
        <w:t>Likely net benefit</w:t>
      </w:r>
      <w:r>
        <w:t xml:space="preserve"> – option </w:t>
      </w:r>
      <w:r w:rsidRPr="006B61BA">
        <w:t xml:space="preserve">2 </w:t>
      </w:r>
    </w:p>
    <w:p w14:paraId="015EF227" w14:textId="77777777" w:rsidR="00824B94" w:rsidRPr="00E9705C" w:rsidRDefault="00824B94" w:rsidP="00FF1641">
      <w:pPr>
        <w:pStyle w:val="BodyText"/>
        <w:rPr>
          <w:rFonts w:eastAsia="Calibri"/>
        </w:rPr>
      </w:pPr>
      <w:r w:rsidRPr="00E9705C">
        <w:t xml:space="preserve">The following section details the costs and benefits associated with option 2 (the regulatory option), before assessing the overall likely net benefit presented by this option. </w:t>
      </w:r>
    </w:p>
    <w:p w14:paraId="327C6ADB" w14:textId="77777777" w:rsidR="00824B94" w:rsidRPr="002F1B2B" w:rsidRDefault="00824B94" w:rsidP="00FF1641">
      <w:pPr>
        <w:pStyle w:val="AppendixH2"/>
      </w:pPr>
      <w:r w:rsidRPr="002F1B2B">
        <w:t>Costs of option 2</w:t>
      </w:r>
    </w:p>
    <w:p w14:paraId="6A1C1F3C" w14:textId="77777777" w:rsidR="00824B94" w:rsidRPr="00E31954" w:rsidRDefault="00824B94" w:rsidP="00FF1641">
      <w:pPr>
        <w:pStyle w:val="BodyText"/>
      </w:pPr>
      <w:r w:rsidRPr="00E31954">
        <w:t xml:space="preserve">When estimating the cost of compliance with option 2, critical </w:t>
      </w:r>
      <w:r w:rsidR="009B0FBE">
        <w:t>hospital</w:t>
      </w:r>
      <w:r>
        <w:t>s</w:t>
      </w:r>
      <w:r w:rsidRPr="00E31954">
        <w:t xml:space="preserve"> asset entities provided both an expected and a high-cost estimate. The high-cost estimate was provided as a way to measure the uncertainty associated with their estimates</w:t>
      </w:r>
      <w:r w:rsidR="00586F81">
        <w:t>,</w:t>
      </w:r>
      <w:r w:rsidRPr="00E31954">
        <w:t xml:space="preserve"> and the highest feasible cost of option 2. The expected estimate was used as the basis for determining the net benefit of option 2 in section 4. </w:t>
      </w:r>
    </w:p>
    <w:p w14:paraId="53E737AB" w14:textId="77777777" w:rsidR="00824B94" w:rsidRPr="00E31954" w:rsidRDefault="00824B94" w:rsidP="00FF1641">
      <w:pPr>
        <w:pStyle w:val="BodyText"/>
      </w:pPr>
      <w:r w:rsidRPr="00E31954">
        <w:t xml:space="preserve">Using the expected and the high estimate as a range, the cost of compliance is as follows: </w:t>
      </w:r>
    </w:p>
    <w:p w14:paraId="684F8ECF" w14:textId="44708856" w:rsidR="00824B94" w:rsidRPr="00CB0109" w:rsidRDefault="00824B94" w:rsidP="00FF1641">
      <w:pPr>
        <w:pStyle w:val="Bullet1stlevel"/>
      </w:pPr>
      <w:r w:rsidRPr="00E31954">
        <w:t>A one-off regulatory cost of between $</w:t>
      </w:r>
      <w:r w:rsidR="006C2A1C">
        <w:t>3</w:t>
      </w:r>
      <w:r w:rsidR="007C6DD1">
        <w:t xml:space="preserve">42.6 </w:t>
      </w:r>
      <w:r w:rsidRPr="00E31954">
        <w:t>(expected) and $</w:t>
      </w:r>
      <w:r w:rsidR="000E51B4">
        <w:t>536.8</w:t>
      </w:r>
      <w:r w:rsidR="009B0FBE">
        <w:t xml:space="preserve"> </w:t>
      </w:r>
      <w:r w:rsidRPr="00CB0109">
        <w:t xml:space="preserve">million (high estimate), across critical </w:t>
      </w:r>
      <w:r w:rsidR="009B0FBE">
        <w:t>hospital</w:t>
      </w:r>
      <w:r w:rsidRPr="00CB0109">
        <w:t xml:space="preserve"> assets nationally; and </w:t>
      </w:r>
    </w:p>
    <w:p w14:paraId="4F26866C" w14:textId="57F2590E" w:rsidR="00824B94" w:rsidRPr="00562B85" w:rsidRDefault="00824B94" w:rsidP="00FF1641">
      <w:pPr>
        <w:pStyle w:val="Bullet1stlevel"/>
      </w:pPr>
      <w:r w:rsidRPr="00CB0109">
        <w:t>An ongoing cost of between $</w:t>
      </w:r>
      <w:r w:rsidR="00220D9C">
        <w:t>26</w:t>
      </w:r>
      <w:r w:rsidR="000E51B4">
        <w:t>5</w:t>
      </w:r>
      <w:r w:rsidR="00220D9C">
        <w:t>.</w:t>
      </w:r>
      <w:r w:rsidR="000E51B4">
        <w:t>1</w:t>
      </w:r>
      <w:r w:rsidRPr="00CB0109">
        <w:t xml:space="preserve"> (expected) and $</w:t>
      </w:r>
      <w:r w:rsidR="00EF5EBE">
        <w:t>3</w:t>
      </w:r>
      <w:r w:rsidR="000E51B4">
        <w:t>96</w:t>
      </w:r>
      <w:r w:rsidR="00EF5EBE">
        <w:t>.</w:t>
      </w:r>
      <w:r w:rsidR="000E51B4">
        <w:t>0</w:t>
      </w:r>
      <w:r w:rsidR="00220D9C">
        <w:t xml:space="preserve"> </w:t>
      </w:r>
      <w:r w:rsidRPr="00CB0109">
        <w:t>million</w:t>
      </w:r>
      <w:r w:rsidRPr="00562B85">
        <w:t xml:space="preserve"> (high estimate) per year, across critical </w:t>
      </w:r>
      <w:r w:rsidR="009B0FBE">
        <w:t>hospital</w:t>
      </w:r>
      <w:r w:rsidRPr="00562B85">
        <w:t xml:space="preserve"> assets nationally. </w:t>
      </w:r>
    </w:p>
    <w:p w14:paraId="53B4CA5C" w14:textId="66BEC1C6" w:rsidR="00824B94" w:rsidRDefault="00824B94" w:rsidP="00FF1641">
      <w:pPr>
        <w:pStyle w:val="BodyText"/>
      </w:pPr>
      <w:r w:rsidRPr="000E3E32">
        <w:t xml:space="preserve">The average </w:t>
      </w:r>
      <w:r>
        <w:t xml:space="preserve">expected </w:t>
      </w:r>
      <w:r w:rsidRPr="000E3E32">
        <w:t>cost of compliance for each entity is estimated at $</w:t>
      </w:r>
      <w:r w:rsidR="004B02E0">
        <w:t>1</w:t>
      </w:r>
      <w:r w:rsidR="00AB5FDA">
        <w:t>3</w:t>
      </w:r>
      <w:r w:rsidRPr="000E3E32">
        <w:t>.</w:t>
      </w:r>
      <w:r w:rsidR="00AB5FDA">
        <w:t>0</w:t>
      </w:r>
      <w:r w:rsidRPr="000E3E32">
        <w:t xml:space="preserve"> million in one-off costs and $</w:t>
      </w:r>
      <w:r w:rsidR="00AB5FDA">
        <w:t>10.1</w:t>
      </w:r>
      <w:r w:rsidRPr="000E3E32">
        <w:t xml:space="preserve"> million per year in ongoing costs.</w:t>
      </w:r>
    </w:p>
    <w:p w14:paraId="4FD40F78" w14:textId="77777777" w:rsidR="00824B94" w:rsidRDefault="00824B94" w:rsidP="00FF1641">
      <w:pPr>
        <w:pStyle w:val="BodyText"/>
        <w:rPr>
          <w:i/>
          <w:iCs/>
          <w:color w:val="44546A"/>
          <w:sz w:val="18"/>
          <w:szCs w:val="18"/>
        </w:rPr>
      </w:pPr>
      <w:r w:rsidRPr="00C11852">
        <w:t xml:space="preserve">The cost of regulation will be borne by entities responsible for </w:t>
      </w:r>
      <w:r>
        <w:t xml:space="preserve">critical </w:t>
      </w:r>
      <w:r w:rsidR="009B0FBE">
        <w:t>hospital</w:t>
      </w:r>
      <w:r w:rsidRPr="00C11852">
        <w:t xml:space="preserve"> who meet the relevant thresholds. Community organisations and individuals will not be directly affected but there will likely be indirect costs passed onto consumers. For the purposes of this RIS, the cost of regulation in </w:t>
      </w:r>
      <w:r>
        <w:t>the table below</w:t>
      </w:r>
      <w:r w:rsidRPr="00C11852">
        <w:t xml:space="preserve"> will only include the initial costs associated with regulation</w:t>
      </w:r>
      <w:r w:rsidR="00B8355F">
        <w:t>.</w:t>
      </w:r>
      <w:r w:rsidRPr="00827F58">
        <w:rPr>
          <w:rStyle w:val="FootnoteReference"/>
          <w:rFonts w:ascii="Arial" w:eastAsia="Calibri" w:hAnsi="Arial" w:cs="Arial"/>
        </w:rPr>
        <w:footnoteReference w:id="379"/>
      </w:r>
      <w:r w:rsidRPr="00C11852">
        <w:t xml:space="preserve"> </w:t>
      </w:r>
      <w:r w:rsidRPr="00C11852">
        <w:rPr>
          <w:rFonts w:eastAsia="Times New Roman"/>
        </w:rPr>
        <w:t xml:space="preserve">The indirect cost to consumers and communities has been addressed in the economic analysis through consideration of indirect cost to the wider economy as a result of the proposed </w:t>
      </w:r>
      <w:r>
        <w:rPr>
          <w:rFonts w:eastAsia="Times New Roman"/>
        </w:rPr>
        <w:t>RMP</w:t>
      </w:r>
      <w:r w:rsidRPr="00C11852">
        <w:rPr>
          <w:rFonts w:eastAsia="Times New Roman"/>
        </w:rPr>
        <w:t xml:space="preserve"> framework.</w:t>
      </w:r>
    </w:p>
    <w:p w14:paraId="76ACBA0E" w14:textId="77777777" w:rsidR="00824B94" w:rsidRPr="00C83F80" w:rsidRDefault="00824B94" w:rsidP="00FF1641">
      <w:pPr>
        <w:pStyle w:val="Caption"/>
        <w:rPr>
          <w:sz w:val="22"/>
        </w:rPr>
      </w:pPr>
      <w:r w:rsidRPr="00E9705C">
        <w:t>Regulatory cost estimate</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119"/>
        <w:gridCol w:w="1880"/>
        <w:gridCol w:w="1879"/>
        <w:gridCol w:w="1879"/>
        <w:gridCol w:w="1881"/>
      </w:tblGrid>
      <w:tr w:rsidR="00824B94" w:rsidRPr="00B05BF1" w14:paraId="3182B8DB" w14:textId="77777777" w:rsidTr="00B05BF1">
        <w:tc>
          <w:tcPr>
            <w:tcW w:w="1099" w:type="pct"/>
            <w:vMerge w:val="restart"/>
            <w:shd w:val="clear" w:color="auto" w:fill="034EA2" w:themeFill="accent1"/>
            <w:vAlign w:val="center"/>
            <w:hideMark/>
          </w:tcPr>
          <w:p w14:paraId="5B6A9363" w14:textId="77777777" w:rsidR="00824B94" w:rsidRPr="00B05BF1" w:rsidRDefault="00824B94" w:rsidP="00B05BF1">
            <w:pPr>
              <w:pStyle w:val="TableHeading"/>
              <w:rPr>
                <w:rFonts w:asciiTheme="minorHAnsi" w:hAnsiTheme="minorHAnsi" w:cstheme="minorHAnsi"/>
                <w:lang w:eastAsia="en-AU"/>
              </w:rPr>
            </w:pPr>
            <w:r w:rsidRPr="00B05BF1">
              <w:rPr>
                <w:rFonts w:asciiTheme="minorHAnsi" w:hAnsiTheme="minorHAnsi" w:cstheme="minorHAnsi"/>
                <w:lang w:eastAsia="en-AU"/>
              </w:rPr>
              <w:t>Cost Type</w:t>
            </w:r>
          </w:p>
        </w:tc>
        <w:tc>
          <w:tcPr>
            <w:tcW w:w="3901" w:type="pct"/>
            <w:gridSpan w:val="4"/>
            <w:shd w:val="clear" w:color="auto" w:fill="034EA2" w:themeFill="accent1"/>
            <w:vAlign w:val="center"/>
            <w:hideMark/>
          </w:tcPr>
          <w:p w14:paraId="22A510D0" w14:textId="77777777" w:rsidR="00824B94" w:rsidRPr="00B05BF1" w:rsidRDefault="00824B94" w:rsidP="00B05BF1">
            <w:pPr>
              <w:pStyle w:val="TableHeading"/>
              <w:rPr>
                <w:rFonts w:asciiTheme="minorHAnsi" w:hAnsiTheme="minorHAnsi" w:cstheme="minorHAnsi"/>
                <w:lang w:eastAsia="en-AU"/>
              </w:rPr>
            </w:pPr>
            <w:r w:rsidRPr="00B05BF1">
              <w:rPr>
                <w:rFonts w:asciiTheme="minorHAnsi" w:hAnsiTheme="minorHAnsi" w:cstheme="minorHAnsi"/>
                <w:lang w:eastAsia="en-AU"/>
              </w:rPr>
              <w:t>Costs ($ million)</w:t>
            </w:r>
          </w:p>
        </w:tc>
      </w:tr>
      <w:tr w:rsidR="00340241" w:rsidRPr="00B05BF1" w14:paraId="139E9476" w14:textId="77777777" w:rsidTr="00B05BF1">
        <w:tc>
          <w:tcPr>
            <w:tcW w:w="1099" w:type="pct"/>
            <w:vMerge/>
            <w:vAlign w:val="center"/>
            <w:hideMark/>
          </w:tcPr>
          <w:p w14:paraId="7EFA735C" w14:textId="77777777" w:rsidR="00824B94" w:rsidRPr="00B05BF1" w:rsidRDefault="00824B94" w:rsidP="00B05BF1">
            <w:pPr>
              <w:pStyle w:val="TableBody"/>
              <w:rPr>
                <w:rFonts w:asciiTheme="minorHAnsi" w:hAnsiTheme="minorHAnsi" w:cstheme="minorHAnsi"/>
                <w:lang w:eastAsia="en-AU"/>
              </w:rPr>
            </w:pPr>
          </w:p>
        </w:tc>
        <w:tc>
          <w:tcPr>
            <w:tcW w:w="975" w:type="pct"/>
            <w:shd w:val="clear" w:color="auto" w:fill="DEEAF6"/>
            <w:vAlign w:val="center"/>
            <w:hideMark/>
          </w:tcPr>
          <w:p w14:paraId="69288D66" w14:textId="77777777" w:rsidR="00824B94" w:rsidRPr="00B05BF1" w:rsidRDefault="00824B94" w:rsidP="00B05BF1">
            <w:pPr>
              <w:pStyle w:val="TableBody"/>
              <w:rPr>
                <w:rFonts w:asciiTheme="minorHAnsi" w:hAnsiTheme="minorHAnsi" w:cstheme="minorHAnsi"/>
                <w:lang w:eastAsia="en-AU"/>
              </w:rPr>
            </w:pPr>
            <w:r w:rsidRPr="00B05BF1">
              <w:rPr>
                <w:rFonts w:asciiTheme="minorHAnsi" w:hAnsiTheme="minorHAnsi" w:cstheme="minorHAnsi"/>
                <w:lang w:eastAsia="en-AU"/>
              </w:rPr>
              <w:t>Business</w:t>
            </w:r>
          </w:p>
        </w:tc>
        <w:tc>
          <w:tcPr>
            <w:tcW w:w="975" w:type="pct"/>
            <w:shd w:val="clear" w:color="auto" w:fill="DEEAF6"/>
            <w:vAlign w:val="center"/>
            <w:hideMark/>
          </w:tcPr>
          <w:p w14:paraId="53C5815B" w14:textId="77777777" w:rsidR="00824B94" w:rsidRPr="00B05BF1" w:rsidRDefault="00824B94" w:rsidP="00B05BF1">
            <w:pPr>
              <w:pStyle w:val="TableBody"/>
              <w:rPr>
                <w:rFonts w:asciiTheme="minorHAnsi" w:hAnsiTheme="minorHAnsi" w:cstheme="minorHAnsi"/>
                <w:lang w:eastAsia="en-AU"/>
              </w:rPr>
            </w:pPr>
            <w:r w:rsidRPr="00B05BF1">
              <w:rPr>
                <w:rFonts w:asciiTheme="minorHAnsi" w:hAnsiTheme="minorHAnsi" w:cstheme="minorHAnsi"/>
                <w:lang w:eastAsia="en-AU"/>
              </w:rPr>
              <w:t>Community</w:t>
            </w:r>
          </w:p>
        </w:tc>
        <w:tc>
          <w:tcPr>
            <w:tcW w:w="975" w:type="pct"/>
            <w:shd w:val="clear" w:color="auto" w:fill="DEEAF6"/>
            <w:vAlign w:val="center"/>
            <w:hideMark/>
          </w:tcPr>
          <w:p w14:paraId="5B007133" w14:textId="77777777" w:rsidR="00824B94" w:rsidRPr="00B05BF1" w:rsidRDefault="00824B94" w:rsidP="00B05BF1">
            <w:pPr>
              <w:pStyle w:val="TableBody"/>
              <w:rPr>
                <w:rFonts w:asciiTheme="minorHAnsi" w:hAnsiTheme="minorHAnsi" w:cstheme="minorHAnsi"/>
                <w:lang w:eastAsia="en-AU"/>
              </w:rPr>
            </w:pPr>
            <w:r w:rsidRPr="00B05BF1">
              <w:rPr>
                <w:rFonts w:asciiTheme="minorHAnsi" w:hAnsiTheme="minorHAnsi" w:cstheme="minorHAnsi"/>
                <w:lang w:eastAsia="en-AU"/>
              </w:rPr>
              <w:t>Individuals</w:t>
            </w:r>
          </w:p>
        </w:tc>
        <w:tc>
          <w:tcPr>
            <w:tcW w:w="975" w:type="pct"/>
            <w:shd w:val="clear" w:color="auto" w:fill="DEEAF6"/>
            <w:vAlign w:val="center"/>
            <w:hideMark/>
          </w:tcPr>
          <w:p w14:paraId="3B039602" w14:textId="77777777" w:rsidR="00824B94" w:rsidRPr="00B05BF1" w:rsidRDefault="00824B94" w:rsidP="00B05BF1">
            <w:pPr>
              <w:pStyle w:val="TableBody"/>
              <w:rPr>
                <w:rFonts w:asciiTheme="minorHAnsi" w:hAnsiTheme="minorHAnsi" w:cstheme="minorHAnsi"/>
                <w:lang w:eastAsia="en-AU"/>
              </w:rPr>
            </w:pPr>
            <w:r w:rsidRPr="00B05BF1">
              <w:rPr>
                <w:rFonts w:asciiTheme="minorHAnsi" w:hAnsiTheme="minorHAnsi" w:cstheme="minorHAnsi"/>
                <w:lang w:eastAsia="en-AU"/>
              </w:rPr>
              <w:t xml:space="preserve">Total cost </w:t>
            </w:r>
          </w:p>
        </w:tc>
      </w:tr>
      <w:tr w:rsidR="00F31E0A" w:rsidRPr="00B05BF1" w14:paraId="28EE8933" w14:textId="77777777" w:rsidTr="00E96B35">
        <w:tc>
          <w:tcPr>
            <w:tcW w:w="1099" w:type="pct"/>
            <w:shd w:val="clear" w:color="auto" w:fill="F2F2F2" w:themeFill="background1" w:themeFillShade="F2"/>
            <w:vAlign w:val="center"/>
            <w:hideMark/>
          </w:tcPr>
          <w:p w14:paraId="45B21C27" w14:textId="77777777" w:rsidR="00F31E0A" w:rsidRPr="00B05BF1" w:rsidRDefault="00F31E0A" w:rsidP="00B05BF1">
            <w:pPr>
              <w:pStyle w:val="TableBody"/>
              <w:rPr>
                <w:rFonts w:asciiTheme="minorHAnsi" w:hAnsiTheme="minorHAnsi" w:cstheme="minorHAnsi"/>
                <w:lang w:eastAsia="en-AU"/>
              </w:rPr>
            </w:pPr>
            <w:r w:rsidRPr="00B05BF1">
              <w:rPr>
                <w:rFonts w:asciiTheme="minorHAnsi" w:hAnsiTheme="minorHAnsi" w:cstheme="minorHAnsi"/>
                <w:lang w:eastAsia="en-AU"/>
              </w:rPr>
              <w:t>One-off</w:t>
            </w:r>
          </w:p>
        </w:tc>
        <w:tc>
          <w:tcPr>
            <w:tcW w:w="975" w:type="pct"/>
            <w:vAlign w:val="center"/>
          </w:tcPr>
          <w:p w14:paraId="5CEEE13A" w14:textId="1A4B34AC" w:rsidR="00F31E0A" w:rsidRPr="00B05BF1" w:rsidRDefault="00506E5B" w:rsidP="00E96B35">
            <w:pPr>
              <w:pStyle w:val="TableBody"/>
              <w:jc w:val="center"/>
              <w:rPr>
                <w:rFonts w:asciiTheme="minorHAnsi" w:hAnsiTheme="minorHAnsi" w:cstheme="minorHAnsi"/>
                <w:bCs/>
                <w:lang w:eastAsia="en-AU"/>
              </w:rPr>
            </w:pPr>
            <w:r>
              <w:rPr>
                <w:rFonts w:asciiTheme="minorHAnsi" w:hAnsiTheme="minorHAnsi" w:cstheme="minorHAnsi"/>
                <w:bCs/>
                <w:lang w:eastAsia="en-AU"/>
              </w:rPr>
              <w:t>342.6 to 536.8</w:t>
            </w:r>
          </w:p>
        </w:tc>
        <w:tc>
          <w:tcPr>
            <w:tcW w:w="975" w:type="pct"/>
            <w:vAlign w:val="center"/>
            <w:hideMark/>
          </w:tcPr>
          <w:p w14:paraId="53435ED6" w14:textId="77777777" w:rsidR="00F31E0A" w:rsidRPr="00B05BF1" w:rsidRDefault="00F31E0A" w:rsidP="00E96B35">
            <w:pPr>
              <w:pStyle w:val="TableBody"/>
              <w:jc w:val="center"/>
              <w:rPr>
                <w:rFonts w:asciiTheme="minorHAnsi" w:hAnsiTheme="minorHAnsi" w:cstheme="minorHAnsi"/>
                <w:lang w:eastAsia="en-AU"/>
              </w:rPr>
            </w:pPr>
            <w:r w:rsidRPr="00B05BF1">
              <w:rPr>
                <w:rFonts w:asciiTheme="minorHAnsi" w:hAnsiTheme="minorHAnsi" w:cstheme="minorHAnsi"/>
                <w:lang w:eastAsia="en-AU"/>
              </w:rPr>
              <w:t>Nil</w:t>
            </w:r>
          </w:p>
        </w:tc>
        <w:tc>
          <w:tcPr>
            <w:tcW w:w="975" w:type="pct"/>
            <w:vAlign w:val="center"/>
            <w:hideMark/>
          </w:tcPr>
          <w:p w14:paraId="5A9A1FBE" w14:textId="77777777" w:rsidR="00F31E0A" w:rsidRPr="00B05BF1" w:rsidRDefault="00F31E0A" w:rsidP="00E96B35">
            <w:pPr>
              <w:pStyle w:val="TableBody"/>
              <w:jc w:val="center"/>
              <w:rPr>
                <w:rFonts w:asciiTheme="minorHAnsi" w:hAnsiTheme="minorHAnsi" w:cstheme="minorHAnsi"/>
                <w:lang w:eastAsia="en-AU"/>
              </w:rPr>
            </w:pPr>
            <w:r w:rsidRPr="00B05BF1">
              <w:rPr>
                <w:rFonts w:asciiTheme="minorHAnsi" w:hAnsiTheme="minorHAnsi" w:cstheme="minorHAnsi"/>
                <w:lang w:eastAsia="en-AU"/>
              </w:rPr>
              <w:t>Nil</w:t>
            </w:r>
          </w:p>
        </w:tc>
        <w:tc>
          <w:tcPr>
            <w:tcW w:w="975" w:type="pct"/>
            <w:vAlign w:val="center"/>
          </w:tcPr>
          <w:p w14:paraId="65C09A5B" w14:textId="50D5AD8C" w:rsidR="00F31E0A" w:rsidRPr="00B05BF1" w:rsidRDefault="00506E5B" w:rsidP="00E96B35">
            <w:pPr>
              <w:pStyle w:val="TableBody"/>
              <w:jc w:val="center"/>
              <w:rPr>
                <w:rFonts w:asciiTheme="minorHAnsi" w:hAnsiTheme="minorHAnsi" w:cstheme="minorHAnsi"/>
              </w:rPr>
            </w:pPr>
            <w:r>
              <w:rPr>
                <w:rFonts w:asciiTheme="minorHAnsi" w:hAnsiTheme="minorHAnsi" w:cstheme="minorHAnsi"/>
                <w:bCs/>
                <w:lang w:eastAsia="en-AU"/>
              </w:rPr>
              <w:t>342.6 to 536.8</w:t>
            </w:r>
          </w:p>
        </w:tc>
      </w:tr>
      <w:tr w:rsidR="00F31E0A" w:rsidRPr="00B05BF1" w14:paraId="0088683B" w14:textId="77777777" w:rsidTr="00E96B35">
        <w:tc>
          <w:tcPr>
            <w:tcW w:w="1099" w:type="pct"/>
            <w:shd w:val="clear" w:color="auto" w:fill="F2F2F2" w:themeFill="background1" w:themeFillShade="F2"/>
            <w:vAlign w:val="center"/>
            <w:hideMark/>
          </w:tcPr>
          <w:p w14:paraId="6F0E9D14" w14:textId="0513C1BB" w:rsidR="00F31E0A" w:rsidRPr="00B05BF1" w:rsidRDefault="00F31E0A" w:rsidP="00B05BF1">
            <w:pPr>
              <w:pStyle w:val="TableBody"/>
              <w:rPr>
                <w:rFonts w:asciiTheme="minorHAnsi" w:hAnsiTheme="minorHAnsi" w:cstheme="minorHAnsi"/>
                <w:lang w:eastAsia="en-AU"/>
              </w:rPr>
            </w:pPr>
            <w:r w:rsidRPr="00B05BF1">
              <w:rPr>
                <w:rFonts w:asciiTheme="minorHAnsi" w:hAnsiTheme="minorHAnsi" w:cstheme="minorHAnsi"/>
                <w:lang w:eastAsia="en-AU"/>
              </w:rPr>
              <w:t>Ongoing (per year)</w:t>
            </w:r>
          </w:p>
        </w:tc>
        <w:tc>
          <w:tcPr>
            <w:tcW w:w="975" w:type="pct"/>
            <w:vAlign w:val="center"/>
          </w:tcPr>
          <w:p w14:paraId="1EAD0D44" w14:textId="44587A62" w:rsidR="00F31E0A" w:rsidRPr="00B05BF1" w:rsidRDefault="00506E5B" w:rsidP="00E96B35">
            <w:pPr>
              <w:pStyle w:val="TableBody"/>
              <w:jc w:val="center"/>
              <w:rPr>
                <w:rFonts w:asciiTheme="minorHAnsi" w:hAnsiTheme="minorHAnsi" w:cstheme="minorHAnsi"/>
                <w:bCs/>
                <w:lang w:eastAsia="en-AU"/>
              </w:rPr>
            </w:pPr>
            <w:r>
              <w:rPr>
                <w:rFonts w:asciiTheme="minorHAnsi" w:hAnsiTheme="minorHAnsi" w:cstheme="minorHAnsi"/>
                <w:bCs/>
                <w:lang w:eastAsia="en-AU"/>
              </w:rPr>
              <w:t>265.1 to 396.0</w:t>
            </w:r>
          </w:p>
        </w:tc>
        <w:tc>
          <w:tcPr>
            <w:tcW w:w="975" w:type="pct"/>
            <w:vAlign w:val="center"/>
            <w:hideMark/>
          </w:tcPr>
          <w:p w14:paraId="6FE2AD10" w14:textId="77777777" w:rsidR="00F31E0A" w:rsidRPr="00B05BF1" w:rsidRDefault="00F31E0A" w:rsidP="00E96B35">
            <w:pPr>
              <w:pStyle w:val="TableBody"/>
              <w:jc w:val="center"/>
              <w:rPr>
                <w:rFonts w:asciiTheme="minorHAnsi" w:hAnsiTheme="minorHAnsi" w:cstheme="minorHAnsi"/>
                <w:lang w:eastAsia="en-AU"/>
              </w:rPr>
            </w:pPr>
            <w:r w:rsidRPr="00B05BF1">
              <w:rPr>
                <w:rFonts w:asciiTheme="minorHAnsi" w:hAnsiTheme="minorHAnsi" w:cstheme="minorHAnsi"/>
                <w:lang w:eastAsia="en-AU"/>
              </w:rPr>
              <w:t>Nil</w:t>
            </w:r>
          </w:p>
        </w:tc>
        <w:tc>
          <w:tcPr>
            <w:tcW w:w="975" w:type="pct"/>
            <w:vAlign w:val="center"/>
            <w:hideMark/>
          </w:tcPr>
          <w:p w14:paraId="661623F7" w14:textId="77777777" w:rsidR="00F31E0A" w:rsidRPr="00B05BF1" w:rsidRDefault="00F31E0A" w:rsidP="00E96B35">
            <w:pPr>
              <w:pStyle w:val="TableBody"/>
              <w:jc w:val="center"/>
              <w:rPr>
                <w:rFonts w:asciiTheme="minorHAnsi" w:hAnsiTheme="minorHAnsi" w:cstheme="minorHAnsi"/>
                <w:lang w:eastAsia="en-AU"/>
              </w:rPr>
            </w:pPr>
            <w:r w:rsidRPr="00B05BF1">
              <w:rPr>
                <w:rFonts w:asciiTheme="minorHAnsi" w:hAnsiTheme="minorHAnsi" w:cstheme="minorHAnsi"/>
                <w:lang w:eastAsia="en-AU"/>
              </w:rPr>
              <w:t>Nil</w:t>
            </w:r>
          </w:p>
        </w:tc>
        <w:tc>
          <w:tcPr>
            <w:tcW w:w="975" w:type="pct"/>
            <w:vAlign w:val="center"/>
          </w:tcPr>
          <w:p w14:paraId="7A6E9CF5" w14:textId="7990AAC7" w:rsidR="00F31E0A" w:rsidRPr="00B05BF1" w:rsidRDefault="00506E5B" w:rsidP="00E96B35">
            <w:pPr>
              <w:pStyle w:val="TableBody"/>
              <w:jc w:val="center"/>
              <w:rPr>
                <w:rFonts w:asciiTheme="minorHAnsi" w:hAnsiTheme="minorHAnsi" w:cstheme="minorHAnsi"/>
              </w:rPr>
            </w:pPr>
            <w:r>
              <w:rPr>
                <w:rFonts w:asciiTheme="minorHAnsi" w:hAnsiTheme="minorHAnsi" w:cstheme="minorHAnsi"/>
                <w:bCs/>
                <w:lang w:eastAsia="en-AU"/>
              </w:rPr>
              <w:t>265.1 to 396.0</w:t>
            </w:r>
          </w:p>
        </w:tc>
      </w:tr>
    </w:tbl>
    <w:p w14:paraId="0C13516A" w14:textId="77777777" w:rsidR="00824B94" w:rsidRPr="000E3E32" w:rsidRDefault="00824B94" w:rsidP="00A10AF5">
      <w:pPr>
        <w:pStyle w:val="Note"/>
      </w:pPr>
      <w:r w:rsidRPr="00386A14">
        <w:rPr>
          <w:b/>
        </w:rPr>
        <w:t>Note:</w:t>
      </w:r>
      <w:r>
        <w:t xml:space="preserve"> There will be no direct costs to individuals and communities although price rises may reflect the increased cost of operations as a result of the proposed RMP framework. </w:t>
      </w:r>
    </w:p>
    <w:p w14:paraId="5C2708E7" w14:textId="4CF2CC9E" w:rsidR="00824B94" w:rsidRDefault="00824B94" w:rsidP="00FF1641">
      <w:pPr>
        <w:pStyle w:val="BodyText"/>
      </w:pPr>
      <w:r w:rsidRPr="0046371E">
        <w:t xml:space="preserve">Based on the industry submissions made during consultations, total regulatory costs will be highest for rules and </w:t>
      </w:r>
      <w:r w:rsidRPr="0057692F">
        <w:t xml:space="preserve">obligations associated with addressing </w:t>
      </w:r>
      <w:r w:rsidR="00374940">
        <w:t>cyber and information security hazards</w:t>
      </w:r>
      <w:r>
        <w:t>.</w:t>
      </w:r>
      <w:r w:rsidRPr="0057692F">
        <w:t xml:space="preserve"> These costs represent approximately </w:t>
      </w:r>
      <w:r w:rsidR="00CD70A5">
        <w:t>49</w:t>
      </w:r>
      <w:r w:rsidRPr="0057692F">
        <w:t>.</w:t>
      </w:r>
      <w:r w:rsidR="00CD70A5">
        <w:t>6</w:t>
      </w:r>
      <w:r w:rsidRPr="0057692F">
        <w:t xml:space="preserve">% of the total cost of implementing the RMP framework. The cost associated with </w:t>
      </w:r>
      <w:r w:rsidR="00281462">
        <w:t>personnel</w:t>
      </w:r>
      <w:r w:rsidR="000044D9">
        <w:t xml:space="preserve"> hazard</w:t>
      </w:r>
      <w:r w:rsidR="00A6021D">
        <w:t xml:space="preserve"> </w:t>
      </w:r>
      <w:r w:rsidR="00330A0E">
        <w:t>rules</w:t>
      </w:r>
      <w:r w:rsidR="00A6021D">
        <w:t xml:space="preserve"> </w:t>
      </w:r>
      <w:r w:rsidRPr="0057692F">
        <w:t>(</w:t>
      </w:r>
      <w:r w:rsidR="005F22E4">
        <w:t>13</w:t>
      </w:r>
      <w:r>
        <w:t>.</w:t>
      </w:r>
      <w:r w:rsidR="00C13DC0">
        <w:t>6</w:t>
      </w:r>
      <w:r w:rsidRPr="0057692F">
        <w:t xml:space="preserve">% of total cost) and </w:t>
      </w:r>
      <w:r w:rsidR="005F22E4">
        <w:t>p</w:t>
      </w:r>
      <w:r w:rsidR="000044D9">
        <w:t>hysical and natural</w:t>
      </w:r>
      <w:r w:rsidRPr="0057692F">
        <w:t xml:space="preserve"> </w:t>
      </w:r>
      <w:r w:rsidR="005F22E4">
        <w:t>hazard rules</w:t>
      </w:r>
      <w:r w:rsidRPr="0057692F">
        <w:t xml:space="preserve"> (1</w:t>
      </w:r>
      <w:r w:rsidR="000044D9">
        <w:t>1</w:t>
      </w:r>
      <w:r w:rsidRPr="0057692F">
        <w:t>.</w:t>
      </w:r>
      <w:r w:rsidR="000044D9">
        <w:t>3</w:t>
      </w:r>
      <w:r w:rsidRPr="0057692F">
        <w:t xml:space="preserve">% of total cost) are less significant but remain material. Compliance costs associated </w:t>
      </w:r>
      <w:r w:rsidRPr="0057692F">
        <w:lastRenderedPageBreak/>
        <w:t xml:space="preserve">with </w:t>
      </w:r>
      <w:r w:rsidR="005F22E4">
        <w:t xml:space="preserve">RMP obligations in the </w:t>
      </w:r>
      <w:r w:rsidR="00586F81">
        <w:t xml:space="preserve">SLACIP </w:t>
      </w:r>
      <w:r w:rsidR="00D721DC">
        <w:t>Act</w:t>
      </w:r>
      <w:r w:rsidR="005F22E4">
        <w:t xml:space="preserve">, </w:t>
      </w:r>
      <w:r w:rsidR="00913535">
        <w:t>general</w:t>
      </w:r>
      <w:r w:rsidR="00913535" w:rsidRPr="0057692F">
        <w:t xml:space="preserve"> </w:t>
      </w:r>
      <w:r w:rsidRPr="0057692F">
        <w:t xml:space="preserve">rules, </w:t>
      </w:r>
      <w:r w:rsidR="005F22E4">
        <w:t>supply chain</w:t>
      </w:r>
      <w:r w:rsidRPr="0057692F">
        <w:t xml:space="preserve"> hazards and </w:t>
      </w:r>
      <w:r w:rsidR="00034AD0">
        <w:t xml:space="preserve">material risk rules </w:t>
      </w:r>
      <w:r w:rsidRPr="0057692F">
        <w:t>were the least costly aspects of the RMP framework, representing in total approximately 2</w:t>
      </w:r>
      <w:r w:rsidR="009F0829">
        <w:t>5</w:t>
      </w:r>
      <w:r w:rsidRPr="0057692F">
        <w:t>.</w:t>
      </w:r>
      <w:r w:rsidR="00167CB2">
        <w:t>4</w:t>
      </w:r>
      <w:r w:rsidRPr="0057692F">
        <w:t xml:space="preserve">% of costs in total. The total regulatory cost by rule/obligation is set out in </w:t>
      </w:r>
      <w:r>
        <w:t>the table</w:t>
      </w:r>
      <w:r w:rsidRPr="0057692F">
        <w:t xml:space="preserve"> below.</w:t>
      </w:r>
    </w:p>
    <w:p w14:paraId="608D7080" w14:textId="77777777" w:rsidR="00824B94" w:rsidRPr="006B61BA" w:rsidRDefault="00824B94" w:rsidP="00E56A68">
      <w:pPr>
        <w:pStyle w:val="Caption"/>
        <w:rPr>
          <w:sz w:val="22"/>
        </w:rPr>
      </w:pPr>
      <w:r w:rsidRPr="00E9705C">
        <w:t xml:space="preserve">Regulatory burden estimate by rule and obligation for </w:t>
      </w:r>
      <w:r>
        <w:t xml:space="preserve">critical </w:t>
      </w:r>
      <w:r w:rsidR="009B0FBE">
        <w:t>hospital</w:t>
      </w:r>
      <w:r w:rsidRPr="00E9705C">
        <w:t xml:space="preserve"> </w:t>
      </w:r>
      <w:r w:rsidR="009B0FBE">
        <w:t xml:space="preserve">assets </w:t>
      </w:r>
      <w:r w:rsidRPr="00E9705C">
        <w:t>nationally</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698"/>
        <w:gridCol w:w="1735"/>
        <w:gridCol w:w="1735"/>
        <w:gridCol w:w="1735"/>
        <w:gridCol w:w="1735"/>
      </w:tblGrid>
      <w:tr w:rsidR="00824B94" w:rsidRPr="00B05BF1" w14:paraId="08E8E4A8" w14:textId="77777777" w:rsidTr="00B05BF1">
        <w:trPr>
          <w:trHeight w:val="389"/>
        </w:trPr>
        <w:tc>
          <w:tcPr>
            <w:tcW w:w="1400" w:type="pct"/>
            <w:vMerge w:val="restart"/>
            <w:shd w:val="clear" w:color="auto" w:fill="034EA2" w:themeFill="accent1"/>
            <w:hideMark/>
          </w:tcPr>
          <w:p w14:paraId="2D21DA48" w14:textId="77777777" w:rsidR="00824B94" w:rsidRPr="00B05BF1" w:rsidRDefault="00824B94" w:rsidP="00B05BF1">
            <w:pPr>
              <w:pStyle w:val="TableHeading"/>
              <w:rPr>
                <w:rFonts w:asciiTheme="minorHAnsi" w:hAnsiTheme="minorHAnsi" w:cstheme="minorHAnsi"/>
                <w:lang w:eastAsia="en-AU"/>
              </w:rPr>
            </w:pPr>
            <w:r w:rsidRPr="00B05BF1">
              <w:rPr>
                <w:rFonts w:asciiTheme="minorHAnsi" w:hAnsiTheme="minorHAnsi" w:cstheme="minorHAnsi"/>
                <w:lang w:eastAsia="en-AU"/>
              </w:rPr>
              <w:t>Rule / obligation</w:t>
            </w:r>
          </w:p>
        </w:tc>
        <w:tc>
          <w:tcPr>
            <w:tcW w:w="3600" w:type="pct"/>
            <w:gridSpan w:val="4"/>
            <w:shd w:val="clear" w:color="auto" w:fill="034EA2" w:themeFill="accent1"/>
            <w:hideMark/>
          </w:tcPr>
          <w:p w14:paraId="06BFD8B2" w14:textId="77777777" w:rsidR="00824B94" w:rsidRPr="00B05BF1" w:rsidRDefault="00824B94" w:rsidP="00B05BF1">
            <w:pPr>
              <w:pStyle w:val="TableHeading"/>
              <w:rPr>
                <w:rFonts w:asciiTheme="minorHAnsi" w:hAnsiTheme="minorHAnsi" w:cstheme="minorHAnsi"/>
                <w:lang w:eastAsia="en-AU"/>
              </w:rPr>
            </w:pPr>
            <w:r w:rsidRPr="00B05BF1">
              <w:rPr>
                <w:rFonts w:asciiTheme="minorHAnsi" w:hAnsiTheme="minorHAnsi" w:cstheme="minorHAnsi"/>
                <w:lang w:eastAsia="en-AU"/>
              </w:rPr>
              <w:t>Costs</w:t>
            </w:r>
            <w:r w:rsidR="00B8355F" w:rsidRPr="00B05BF1">
              <w:rPr>
                <w:rFonts w:asciiTheme="minorHAnsi" w:hAnsiTheme="minorHAnsi" w:cstheme="minorHAnsi"/>
                <w:lang w:eastAsia="en-AU"/>
              </w:rPr>
              <w:t xml:space="preserve"> (Expected and High)</w:t>
            </w:r>
          </w:p>
        </w:tc>
      </w:tr>
      <w:tr w:rsidR="002E5B4A" w:rsidRPr="00B05BF1" w14:paraId="7F6ABD8D" w14:textId="77777777" w:rsidTr="00B05BF1">
        <w:trPr>
          <w:trHeight w:val="601"/>
        </w:trPr>
        <w:tc>
          <w:tcPr>
            <w:tcW w:w="1400" w:type="pct"/>
            <w:vMerge/>
            <w:hideMark/>
          </w:tcPr>
          <w:p w14:paraId="6998B926" w14:textId="77777777" w:rsidR="00824B94" w:rsidRPr="00B05BF1" w:rsidRDefault="00824B94" w:rsidP="00B05BF1">
            <w:pPr>
              <w:pStyle w:val="TableBody"/>
              <w:rPr>
                <w:rFonts w:asciiTheme="minorHAnsi" w:hAnsiTheme="minorHAnsi" w:cstheme="minorHAnsi"/>
                <w:lang w:eastAsia="en-AU"/>
              </w:rPr>
            </w:pPr>
          </w:p>
        </w:tc>
        <w:tc>
          <w:tcPr>
            <w:tcW w:w="900" w:type="pct"/>
            <w:shd w:val="clear" w:color="auto" w:fill="DEEAF6"/>
            <w:hideMark/>
          </w:tcPr>
          <w:p w14:paraId="2303E8E2" w14:textId="77777777" w:rsidR="00824B94" w:rsidRPr="00B05BF1" w:rsidRDefault="00824B94" w:rsidP="00B05BF1">
            <w:pPr>
              <w:pStyle w:val="TableBody"/>
              <w:rPr>
                <w:rFonts w:asciiTheme="minorHAnsi" w:hAnsiTheme="minorHAnsi" w:cstheme="minorHAnsi"/>
                <w:color w:val="000000"/>
                <w:lang w:eastAsia="en-AU"/>
              </w:rPr>
            </w:pPr>
            <w:r w:rsidRPr="00B05BF1">
              <w:rPr>
                <w:rFonts w:asciiTheme="minorHAnsi" w:hAnsiTheme="minorHAnsi" w:cstheme="minorHAnsi"/>
                <w:color w:val="000000"/>
                <w:lang w:eastAsia="en-AU"/>
              </w:rPr>
              <w:t>One-off ($ million)</w:t>
            </w:r>
          </w:p>
        </w:tc>
        <w:tc>
          <w:tcPr>
            <w:tcW w:w="900" w:type="pct"/>
            <w:shd w:val="clear" w:color="auto" w:fill="DEEAF6"/>
            <w:hideMark/>
          </w:tcPr>
          <w:p w14:paraId="6809E62A" w14:textId="77777777" w:rsidR="00824B94" w:rsidRPr="00B05BF1" w:rsidRDefault="00824B94" w:rsidP="00B05BF1">
            <w:pPr>
              <w:pStyle w:val="TableBody"/>
              <w:rPr>
                <w:rFonts w:asciiTheme="minorHAnsi" w:hAnsiTheme="minorHAnsi" w:cstheme="minorHAnsi"/>
                <w:color w:val="000000"/>
                <w:lang w:eastAsia="en-AU"/>
              </w:rPr>
            </w:pPr>
            <w:r w:rsidRPr="00B05BF1">
              <w:rPr>
                <w:rFonts w:asciiTheme="minorHAnsi" w:hAnsiTheme="minorHAnsi" w:cstheme="minorHAnsi"/>
                <w:color w:val="000000"/>
                <w:lang w:eastAsia="en-AU"/>
              </w:rPr>
              <w:t>Ongoing</w:t>
            </w:r>
            <w:r w:rsidRPr="00B05BF1">
              <w:rPr>
                <w:rFonts w:asciiTheme="minorHAnsi" w:hAnsiTheme="minorHAnsi" w:cstheme="minorHAnsi"/>
                <w:color w:val="000000"/>
                <w:lang w:eastAsia="en-AU"/>
              </w:rPr>
              <w:br/>
              <w:t>(per year, $ million)</w:t>
            </w:r>
          </w:p>
        </w:tc>
        <w:tc>
          <w:tcPr>
            <w:tcW w:w="900" w:type="pct"/>
            <w:shd w:val="clear" w:color="auto" w:fill="DEEAF6"/>
            <w:hideMark/>
          </w:tcPr>
          <w:p w14:paraId="5ECFBEB6" w14:textId="77777777" w:rsidR="00824B94" w:rsidRPr="00B05BF1" w:rsidRDefault="00824B94" w:rsidP="00B05BF1">
            <w:pPr>
              <w:pStyle w:val="TableBody"/>
              <w:rPr>
                <w:rFonts w:asciiTheme="minorHAnsi" w:hAnsiTheme="minorHAnsi" w:cstheme="minorHAnsi"/>
                <w:color w:val="000000"/>
                <w:lang w:eastAsia="en-AU"/>
              </w:rPr>
            </w:pPr>
            <w:r w:rsidRPr="00B05BF1">
              <w:rPr>
                <w:rFonts w:asciiTheme="minorHAnsi" w:hAnsiTheme="minorHAnsi" w:cstheme="minorHAnsi"/>
                <w:color w:val="000000"/>
                <w:lang w:eastAsia="en-AU"/>
              </w:rPr>
              <w:t xml:space="preserve">Total cost </w:t>
            </w:r>
            <w:r w:rsidRPr="00B05BF1">
              <w:rPr>
                <w:rFonts w:asciiTheme="minorHAnsi" w:hAnsiTheme="minorHAnsi" w:cstheme="minorHAnsi"/>
                <w:color w:val="000000"/>
                <w:lang w:eastAsia="en-AU"/>
              </w:rPr>
              <w:br/>
              <w:t xml:space="preserve">over 10 years ($ million) </w:t>
            </w:r>
            <w:r w:rsidRPr="00B05BF1">
              <w:rPr>
                <w:rFonts w:asciiTheme="minorHAnsi" w:hAnsiTheme="minorHAnsi" w:cstheme="minorHAnsi"/>
                <w:color w:val="000000"/>
                <w:vertAlign w:val="superscript"/>
                <w:lang w:eastAsia="en-AU"/>
              </w:rPr>
              <w:footnoteReference w:id="380"/>
            </w:r>
          </w:p>
        </w:tc>
        <w:tc>
          <w:tcPr>
            <w:tcW w:w="900" w:type="pct"/>
            <w:shd w:val="clear" w:color="auto" w:fill="DEEAF6"/>
            <w:hideMark/>
          </w:tcPr>
          <w:p w14:paraId="62D423B5" w14:textId="77777777" w:rsidR="00824B94" w:rsidRPr="00B05BF1" w:rsidRDefault="00824B94" w:rsidP="00B05BF1">
            <w:pPr>
              <w:pStyle w:val="TableBody"/>
              <w:rPr>
                <w:rFonts w:asciiTheme="minorHAnsi" w:hAnsiTheme="minorHAnsi" w:cstheme="minorHAnsi"/>
                <w:color w:val="000000"/>
                <w:lang w:eastAsia="en-AU"/>
              </w:rPr>
            </w:pPr>
            <w:r w:rsidRPr="00B05BF1">
              <w:rPr>
                <w:rFonts w:asciiTheme="minorHAnsi" w:hAnsiTheme="minorHAnsi" w:cstheme="minorHAnsi"/>
                <w:color w:val="000000"/>
                <w:lang w:eastAsia="en-AU"/>
              </w:rPr>
              <w:t>Expected estimate as percentage of total (%)</w:t>
            </w:r>
          </w:p>
        </w:tc>
      </w:tr>
      <w:tr w:rsidR="00256D47" w:rsidRPr="00B05BF1" w14:paraId="5F58792E" w14:textId="77777777" w:rsidTr="00AF0A9F">
        <w:trPr>
          <w:trHeight w:val="397"/>
        </w:trPr>
        <w:tc>
          <w:tcPr>
            <w:tcW w:w="1400" w:type="pct"/>
            <w:shd w:val="clear" w:color="auto" w:fill="F2F2F2" w:themeFill="background1" w:themeFillShade="F2"/>
            <w:hideMark/>
          </w:tcPr>
          <w:p w14:paraId="3CF6D285" w14:textId="02E91CC6" w:rsidR="00256D47" w:rsidRPr="00B05BF1" w:rsidRDefault="00256D47">
            <w:pPr>
              <w:pStyle w:val="TableBody"/>
              <w:rPr>
                <w:rFonts w:asciiTheme="minorHAnsi" w:hAnsiTheme="minorHAnsi" w:cstheme="minorHAnsi"/>
              </w:rPr>
            </w:pPr>
            <w:r w:rsidRPr="00B05BF1">
              <w:rPr>
                <w:rFonts w:asciiTheme="minorHAnsi" w:hAnsiTheme="minorHAnsi" w:cstheme="minorHAnsi"/>
              </w:rPr>
              <w:t xml:space="preserve">RMP obligations in the SLACIP </w:t>
            </w:r>
            <w:r w:rsidR="00D721DC">
              <w:rPr>
                <w:rFonts w:asciiTheme="minorHAnsi" w:hAnsiTheme="minorHAnsi" w:cstheme="minorHAnsi"/>
              </w:rPr>
              <w:t>Act</w:t>
            </w:r>
          </w:p>
        </w:tc>
        <w:tc>
          <w:tcPr>
            <w:tcW w:w="900" w:type="pct"/>
            <w:tcBorders>
              <w:top w:val="nil"/>
              <w:left w:val="nil"/>
              <w:bottom w:val="nil"/>
              <w:right w:val="nil"/>
            </w:tcBorders>
            <w:shd w:val="clear" w:color="auto" w:fill="auto"/>
            <w:vAlign w:val="center"/>
          </w:tcPr>
          <w:p w14:paraId="63F6FB60" w14:textId="4C1A81F0" w:rsidR="00256D47" w:rsidRPr="00B05BF1" w:rsidRDefault="000C6399" w:rsidP="00ED654C">
            <w:pPr>
              <w:pStyle w:val="TableBody"/>
              <w:jc w:val="center"/>
              <w:rPr>
                <w:rFonts w:asciiTheme="minorHAnsi" w:hAnsiTheme="minorHAnsi" w:cstheme="minorHAnsi"/>
                <w:lang w:eastAsia="en-AU"/>
              </w:rPr>
            </w:pPr>
            <w:r>
              <w:rPr>
                <w:rFonts w:asciiTheme="minorHAnsi" w:hAnsiTheme="minorHAnsi" w:cstheme="minorHAnsi"/>
                <w:lang w:eastAsia="en-AU"/>
              </w:rPr>
              <w:t>28.3 to 51.7</w:t>
            </w:r>
          </w:p>
        </w:tc>
        <w:tc>
          <w:tcPr>
            <w:tcW w:w="900" w:type="pct"/>
            <w:tcBorders>
              <w:top w:val="nil"/>
              <w:left w:val="nil"/>
              <w:bottom w:val="nil"/>
              <w:right w:val="nil"/>
            </w:tcBorders>
            <w:shd w:val="clear" w:color="auto" w:fill="auto"/>
            <w:vAlign w:val="center"/>
          </w:tcPr>
          <w:p w14:paraId="15168185" w14:textId="34DFA589" w:rsidR="00256D47" w:rsidRPr="00B05BF1" w:rsidRDefault="00946432" w:rsidP="00ED654C">
            <w:pPr>
              <w:pStyle w:val="TableBody"/>
              <w:jc w:val="center"/>
              <w:rPr>
                <w:rFonts w:asciiTheme="minorHAnsi" w:hAnsiTheme="minorHAnsi" w:cstheme="minorHAnsi"/>
                <w:lang w:eastAsia="en-AU"/>
              </w:rPr>
            </w:pPr>
            <w:r>
              <w:rPr>
                <w:rFonts w:asciiTheme="minorHAnsi" w:hAnsiTheme="minorHAnsi" w:cstheme="minorHAnsi"/>
                <w:lang w:eastAsia="en-AU"/>
              </w:rPr>
              <w:t>18.3 to 34.3</w:t>
            </w:r>
          </w:p>
        </w:tc>
        <w:tc>
          <w:tcPr>
            <w:tcW w:w="900" w:type="pct"/>
            <w:tcBorders>
              <w:top w:val="nil"/>
              <w:left w:val="nil"/>
              <w:bottom w:val="nil"/>
              <w:right w:val="nil"/>
            </w:tcBorders>
            <w:shd w:val="clear" w:color="auto" w:fill="auto"/>
            <w:vAlign w:val="center"/>
          </w:tcPr>
          <w:p w14:paraId="1B739785" w14:textId="2CFE7321" w:rsidR="00256D47" w:rsidRPr="00B05BF1" w:rsidRDefault="00085757" w:rsidP="00ED654C">
            <w:pPr>
              <w:pStyle w:val="TableBody"/>
              <w:jc w:val="center"/>
              <w:rPr>
                <w:rFonts w:asciiTheme="minorHAnsi" w:hAnsiTheme="minorHAnsi" w:cstheme="minorHAnsi"/>
                <w:lang w:eastAsia="en-AU"/>
              </w:rPr>
            </w:pPr>
            <w:r>
              <w:rPr>
                <w:rFonts w:asciiTheme="minorHAnsi" w:hAnsiTheme="minorHAnsi" w:cstheme="minorHAnsi"/>
                <w:lang w:eastAsia="en-AU"/>
              </w:rPr>
              <w:t xml:space="preserve">192.7 to </w:t>
            </w:r>
            <w:r w:rsidR="0015543B">
              <w:rPr>
                <w:rFonts w:asciiTheme="minorHAnsi" w:hAnsiTheme="minorHAnsi" w:cstheme="minorHAnsi"/>
                <w:lang w:eastAsia="en-AU"/>
              </w:rPr>
              <w:t>360.8</w:t>
            </w:r>
          </w:p>
        </w:tc>
        <w:tc>
          <w:tcPr>
            <w:tcW w:w="900" w:type="pct"/>
            <w:tcBorders>
              <w:top w:val="nil"/>
              <w:left w:val="nil"/>
              <w:bottom w:val="nil"/>
              <w:right w:val="nil"/>
            </w:tcBorders>
            <w:shd w:val="clear" w:color="auto" w:fill="auto"/>
            <w:vAlign w:val="center"/>
          </w:tcPr>
          <w:p w14:paraId="3C8898BE" w14:textId="63F842A9" w:rsidR="00256D47" w:rsidRPr="00B05BF1" w:rsidRDefault="00CD70A5" w:rsidP="00ED654C">
            <w:pPr>
              <w:pStyle w:val="TableBody"/>
              <w:jc w:val="center"/>
              <w:rPr>
                <w:rFonts w:asciiTheme="minorHAnsi" w:hAnsiTheme="minorHAnsi" w:cstheme="minorHAnsi"/>
                <w:lang w:eastAsia="en-AU"/>
              </w:rPr>
            </w:pPr>
            <w:r>
              <w:rPr>
                <w:rFonts w:asciiTheme="minorHAnsi" w:hAnsiTheme="minorHAnsi" w:cstheme="minorHAnsi"/>
                <w:lang w:eastAsia="en-AU"/>
              </w:rPr>
              <w:t>7.0</w:t>
            </w:r>
          </w:p>
        </w:tc>
      </w:tr>
      <w:tr w:rsidR="00256D47" w:rsidRPr="00B05BF1" w14:paraId="35FC0387" w14:textId="77777777" w:rsidTr="00AF0A9F">
        <w:trPr>
          <w:trHeight w:val="397"/>
        </w:trPr>
        <w:tc>
          <w:tcPr>
            <w:tcW w:w="1400" w:type="pct"/>
            <w:shd w:val="clear" w:color="auto" w:fill="F2F2F2" w:themeFill="background1" w:themeFillShade="F2"/>
            <w:hideMark/>
          </w:tcPr>
          <w:p w14:paraId="602DB07A" w14:textId="19A09A53" w:rsidR="00256D47" w:rsidRPr="00B05BF1" w:rsidRDefault="00913535" w:rsidP="00256D47">
            <w:pPr>
              <w:pStyle w:val="TableBody"/>
              <w:rPr>
                <w:rFonts w:asciiTheme="minorHAnsi" w:hAnsiTheme="minorHAnsi" w:cstheme="minorHAnsi"/>
              </w:rPr>
            </w:pPr>
            <w:r>
              <w:rPr>
                <w:rFonts w:asciiTheme="minorHAnsi" w:hAnsiTheme="minorHAnsi" w:cstheme="minorHAnsi"/>
              </w:rPr>
              <w:t>General</w:t>
            </w:r>
            <w:r w:rsidRPr="00B05BF1">
              <w:rPr>
                <w:rFonts w:asciiTheme="minorHAnsi" w:hAnsiTheme="minorHAnsi" w:cstheme="minorHAnsi"/>
              </w:rPr>
              <w:t xml:space="preserve"> </w:t>
            </w:r>
            <w:r w:rsidR="00256D47" w:rsidRPr="00B05BF1">
              <w:rPr>
                <w:rFonts w:asciiTheme="minorHAnsi" w:hAnsiTheme="minorHAnsi" w:cstheme="minorHAnsi"/>
              </w:rPr>
              <w:t>rules</w:t>
            </w:r>
          </w:p>
        </w:tc>
        <w:tc>
          <w:tcPr>
            <w:tcW w:w="900" w:type="pct"/>
            <w:tcBorders>
              <w:top w:val="nil"/>
              <w:left w:val="nil"/>
              <w:bottom w:val="nil"/>
              <w:right w:val="nil"/>
            </w:tcBorders>
            <w:shd w:val="clear" w:color="auto" w:fill="auto"/>
            <w:vAlign w:val="center"/>
          </w:tcPr>
          <w:p w14:paraId="53D81F32" w14:textId="5F4B8E8F" w:rsidR="00256D47" w:rsidRPr="00B05BF1" w:rsidRDefault="000C6399" w:rsidP="00ED654C">
            <w:pPr>
              <w:pStyle w:val="TableBody"/>
              <w:jc w:val="center"/>
              <w:rPr>
                <w:rFonts w:asciiTheme="minorHAnsi" w:hAnsiTheme="minorHAnsi" w:cstheme="minorHAnsi"/>
                <w:lang w:eastAsia="en-AU"/>
              </w:rPr>
            </w:pPr>
            <w:r>
              <w:rPr>
                <w:rFonts w:asciiTheme="minorHAnsi" w:hAnsiTheme="minorHAnsi" w:cstheme="minorHAnsi"/>
                <w:lang w:eastAsia="en-AU"/>
              </w:rPr>
              <w:t>17.2 to 30.5</w:t>
            </w:r>
          </w:p>
        </w:tc>
        <w:tc>
          <w:tcPr>
            <w:tcW w:w="900" w:type="pct"/>
            <w:tcBorders>
              <w:top w:val="nil"/>
              <w:left w:val="nil"/>
              <w:bottom w:val="nil"/>
              <w:right w:val="nil"/>
            </w:tcBorders>
            <w:shd w:val="clear" w:color="auto" w:fill="auto"/>
            <w:vAlign w:val="center"/>
          </w:tcPr>
          <w:p w14:paraId="2531AA11" w14:textId="08D3552F" w:rsidR="00256D47" w:rsidRPr="00B05BF1" w:rsidRDefault="00E16B15" w:rsidP="00ED654C">
            <w:pPr>
              <w:pStyle w:val="TableBody"/>
              <w:jc w:val="center"/>
              <w:rPr>
                <w:rFonts w:asciiTheme="minorHAnsi" w:hAnsiTheme="minorHAnsi" w:cstheme="minorHAnsi"/>
                <w:lang w:eastAsia="en-AU"/>
              </w:rPr>
            </w:pPr>
            <w:r>
              <w:rPr>
                <w:rFonts w:asciiTheme="minorHAnsi" w:hAnsiTheme="minorHAnsi" w:cstheme="minorHAnsi"/>
                <w:lang w:eastAsia="en-AU"/>
              </w:rPr>
              <w:t>9.1 to 16.4</w:t>
            </w:r>
          </w:p>
        </w:tc>
        <w:tc>
          <w:tcPr>
            <w:tcW w:w="900" w:type="pct"/>
            <w:tcBorders>
              <w:top w:val="nil"/>
              <w:left w:val="nil"/>
              <w:bottom w:val="nil"/>
              <w:right w:val="nil"/>
            </w:tcBorders>
            <w:shd w:val="clear" w:color="auto" w:fill="auto"/>
            <w:vAlign w:val="center"/>
          </w:tcPr>
          <w:p w14:paraId="7D560D0A" w14:textId="0B7AF2B7" w:rsidR="00256D47" w:rsidRPr="00B05BF1" w:rsidRDefault="00085757" w:rsidP="00ED654C">
            <w:pPr>
              <w:pStyle w:val="TableBody"/>
              <w:jc w:val="center"/>
              <w:rPr>
                <w:rFonts w:asciiTheme="minorHAnsi" w:hAnsiTheme="minorHAnsi" w:cstheme="minorHAnsi"/>
                <w:lang w:eastAsia="en-AU"/>
              </w:rPr>
            </w:pPr>
            <w:r>
              <w:rPr>
                <w:rFonts w:asciiTheme="minorHAnsi" w:hAnsiTheme="minorHAnsi" w:cstheme="minorHAnsi"/>
                <w:lang w:eastAsia="en-AU"/>
              </w:rPr>
              <w:t>98.7</w:t>
            </w:r>
            <w:r w:rsidR="0015543B">
              <w:rPr>
                <w:rFonts w:asciiTheme="minorHAnsi" w:hAnsiTheme="minorHAnsi" w:cstheme="minorHAnsi"/>
                <w:lang w:eastAsia="en-AU"/>
              </w:rPr>
              <w:t xml:space="preserve"> to 177.7</w:t>
            </w:r>
          </w:p>
        </w:tc>
        <w:tc>
          <w:tcPr>
            <w:tcW w:w="900" w:type="pct"/>
            <w:tcBorders>
              <w:top w:val="nil"/>
              <w:left w:val="nil"/>
              <w:bottom w:val="nil"/>
              <w:right w:val="nil"/>
            </w:tcBorders>
            <w:shd w:val="clear" w:color="auto" w:fill="auto"/>
            <w:vAlign w:val="center"/>
          </w:tcPr>
          <w:p w14:paraId="693F21AE" w14:textId="373353EE" w:rsidR="00256D47" w:rsidRPr="00B05BF1" w:rsidRDefault="00CD70A5" w:rsidP="00ED654C">
            <w:pPr>
              <w:pStyle w:val="TableBody"/>
              <w:jc w:val="center"/>
              <w:rPr>
                <w:rFonts w:asciiTheme="minorHAnsi" w:hAnsiTheme="minorHAnsi" w:cstheme="minorHAnsi"/>
                <w:lang w:eastAsia="en-AU"/>
              </w:rPr>
            </w:pPr>
            <w:r>
              <w:rPr>
                <w:rFonts w:asciiTheme="minorHAnsi" w:hAnsiTheme="minorHAnsi" w:cstheme="minorHAnsi"/>
                <w:lang w:eastAsia="en-AU"/>
              </w:rPr>
              <w:t>3.6</w:t>
            </w:r>
          </w:p>
        </w:tc>
      </w:tr>
      <w:tr w:rsidR="00F31E0A" w:rsidRPr="00B05BF1" w14:paraId="0AA28CE9" w14:textId="77777777" w:rsidTr="00B05BF1">
        <w:trPr>
          <w:trHeight w:val="397"/>
        </w:trPr>
        <w:tc>
          <w:tcPr>
            <w:tcW w:w="5000" w:type="pct"/>
            <w:gridSpan w:val="5"/>
            <w:shd w:val="clear" w:color="auto" w:fill="F2F2F2" w:themeFill="background1" w:themeFillShade="F2"/>
          </w:tcPr>
          <w:p w14:paraId="20201A6D" w14:textId="77777777" w:rsidR="00F31E0A" w:rsidRPr="00B05BF1" w:rsidRDefault="00F31E0A" w:rsidP="00ED654C">
            <w:pPr>
              <w:pStyle w:val="TableBody"/>
              <w:rPr>
                <w:rFonts w:asciiTheme="minorHAnsi" w:hAnsiTheme="minorHAnsi" w:cstheme="minorHAnsi"/>
              </w:rPr>
            </w:pPr>
            <w:r w:rsidRPr="00B05BF1">
              <w:rPr>
                <w:rFonts w:asciiTheme="minorHAnsi" w:hAnsiTheme="minorHAnsi" w:cstheme="minorHAnsi"/>
              </w:rPr>
              <w:t>RMP Rules</w:t>
            </w:r>
          </w:p>
        </w:tc>
      </w:tr>
      <w:tr w:rsidR="009916B4" w:rsidRPr="00B05BF1" w14:paraId="3BDA21DD" w14:textId="77777777" w:rsidTr="00AF0A9F">
        <w:trPr>
          <w:trHeight w:val="397"/>
        </w:trPr>
        <w:tc>
          <w:tcPr>
            <w:tcW w:w="1400" w:type="pct"/>
            <w:shd w:val="clear" w:color="auto" w:fill="F2F2F2" w:themeFill="background1" w:themeFillShade="F2"/>
            <w:hideMark/>
          </w:tcPr>
          <w:p w14:paraId="19047ACC" w14:textId="77777777" w:rsidR="009916B4" w:rsidRPr="00B05BF1" w:rsidRDefault="009916B4" w:rsidP="009916B4">
            <w:pPr>
              <w:pStyle w:val="TableBody"/>
              <w:rPr>
                <w:rFonts w:asciiTheme="minorHAnsi" w:hAnsiTheme="minorHAnsi" w:cstheme="minorHAnsi"/>
              </w:rPr>
            </w:pPr>
            <w:r w:rsidRPr="00B05BF1">
              <w:rPr>
                <w:rFonts w:asciiTheme="minorHAnsi" w:hAnsiTheme="minorHAnsi" w:cstheme="minorHAnsi"/>
              </w:rPr>
              <w:t xml:space="preserve">Cyber and information security hazard </w:t>
            </w:r>
          </w:p>
        </w:tc>
        <w:tc>
          <w:tcPr>
            <w:tcW w:w="900" w:type="pct"/>
            <w:tcBorders>
              <w:top w:val="nil"/>
              <w:left w:val="nil"/>
              <w:bottom w:val="nil"/>
              <w:right w:val="nil"/>
            </w:tcBorders>
            <w:shd w:val="clear" w:color="auto" w:fill="auto"/>
            <w:vAlign w:val="center"/>
          </w:tcPr>
          <w:p w14:paraId="5BE7A7C5" w14:textId="3F9D07A5" w:rsidR="009916B4" w:rsidRPr="00B05BF1" w:rsidRDefault="00946432" w:rsidP="00946432">
            <w:pPr>
              <w:pStyle w:val="TableBody"/>
              <w:jc w:val="center"/>
              <w:rPr>
                <w:rFonts w:asciiTheme="minorHAnsi" w:hAnsiTheme="minorHAnsi" w:cstheme="minorHAnsi"/>
              </w:rPr>
            </w:pPr>
            <w:r w:rsidRPr="00946432">
              <w:rPr>
                <w:rFonts w:asciiTheme="minorHAnsi" w:hAnsiTheme="minorHAnsi" w:cstheme="minorHAnsi"/>
              </w:rPr>
              <w:t>170.1 to 243.2</w:t>
            </w:r>
          </w:p>
        </w:tc>
        <w:tc>
          <w:tcPr>
            <w:tcW w:w="900" w:type="pct"/>
            <w:tcBorders>
              <w:top w:val="nil"/>
              <w:left w:val="nil"/>
              <w:bottom w:val="nil"/>
              <w:right w:val="nil"/>
            </w:tcBorders>
            <w:shd w:val="clear" w:color="auto" w:fill="auto"/>
            <w:vAlign w:val="center"/>
          </w:tcPr>
          <w:p w14:paraId="611C0B3A" w14:textId="4DFA83C7" w:rsidR="009916B4" w:rsidRPr="00B05BF1" w:rsidRDefault="00E16B15" w:rsidP="00E16B15">
            <w:pPr>
              <w:pStyle w:val="TableBody"/>
              <w:jc w:val="center"/>
              <w:rPr>
                <w:rFonts w:asciiTheme="minorHAnsi" w:hAnsiTheme="minorHAnsi" w:cstheme="minorHAnsi"/>
              </w:rPr>
            </w:pPr>
            <w:r w:rsidRPr="00E16B15">
              <w:rPr>
                <w:rFonts w:asciiTheme="minorHAnsi" w:hAnsiTheme="minorHAnsi" w:cstheme="minorHAnsi"/>
              </w:rPr>
              <w:t>136.7 to 198.8</w:t>
            </w:r>
          </w:p>
        </w:tc>
        <w:tc>
          <w:tcPr>
            <w:tcW w:w="900" w:type="pct"/>
            <w:tcBorders>
              <w:top w:val="nil"/>
              <w:left w:val="nil"/>
              <w:bottom w:val="nil"/>
              <w:right w:val="nil"/>
            </w:tcBorders>
            <w:shd w:val="clear" w:color="auto" w:fill="auto"/>
            <w:vAlign w:val="center"/>
          </w:tcPr>
          <w:p w14:paraId="0BE7A809" w14:textId="389FF29E" w:rsidR="009916B4" w:rsidRPr="00B05BF1" w:rsidRDefault="00085757" w:rsidP="00ED654C">
            <w:pPr>
              <w:pStyle w:val="TableBody"/>
              <w:jc w:val="center"/>
              <w:rPr>
                <w:rFonts w:asciiTheme="minorHAnsi" w:hAnsiTheme="minorHAnsi" w:cstheme="minorHAnsi"/>
                <w:lang w:eastAsia="en-AU"/>
              </w:rPr>
            </w:pPr>
            <w:r>
              <w:rPr>
                <w:rFonts w:asciiTheme="minorHAnsi" w:hAnsiTheme="minorHAnsi" w:cstheme="minorHAnsi"/>
                <w:lang w:eastAsia="en-AU"/>
              </w:rPr>
              <w:t>1,358.9</w:t>
            </w:r>
            <w:r w:rsidR="0015543B">
              <w:rPr>
                <w:rFonts w:asciiTheme="minorHAnsi" w:hAnsiTheme="minorHAnsi" w:cstheme="minorHAnsi"/>
                <w:lang w:eastAsia="en-AU"/>
              </w:rPr>
              <w:t xml:space="preserve"> to 1,973.8</w:t>
            </w:r>
          </w:p>
        </w:tc>
        <w:tc>
          <w:tcPr>
            <w:tcW w:w="900" w:type="pct"/>
            <w:tcBorders>
              <w:top w:val="nil"/>
              <w:left w:val="nil"/>
              <w:bottom w:val="nil"/>
              <w:right w:val="nil"/>
            </w:tcBorders>
            <w:shd w:val="clear" w:color="auto" w:fill="auto"/>
            <w:vAlign w:val="center"/>
          </w:tcPr>
          <w:p w14:paraId="51260D54" w14:textId="60228289" w:rsidR="009916B4" w:rsidRPr="00B05BF1" w:rsidRDefault="00CD70A5" w:rsidP="00ED654C">
            <w:pPr>
              <w:pStyle w:val="TableBody"/>
              <w:jc w:val="center"/>
              <w:rPr>
                <w:rFonts w:asciiTheme="minorHAnsi" w:hAnsiTheme="minorHAnsi" w:cstheme="minorHAnsi"/>
                <w:lang w:eastAsia="en-AU"/>
              </w:rPr>
            </w:pPr>
            <w:r>
              <w:rPr>
                <w:rFonts w:asciiTheme="minorHAnsi" w:hAnsiTheme="minorHAnsi" w:cstheme="minorHAnsi"/>
                <w:lang w:eastAsia="en-AU"/>
              </w:rPr>
              <w:t>49.6</w:t>
            </w:r>
          </w:p>
        </w:tc>
      </w:tr>
      <w:tr w:rsidR="009916B4" w:rsidRPr="00B05BF1" w14:paraId="31E709B1" w14:textId="77777777" w:rsidTr="00AF0A9F">
        <w:trPr>
          <w:trHeight w:val="397"/>
        </w:trPr>
        <w:tc>
          <w:tcPr>
            <w:tcW w:w="1400" w:type="pct"/>
            <w:shd w:val="clear" w:color="auto" w:fill="F2F2F2" w:themeFill="background1" w:themeFillShade="F2"/>
            <w:hideMark/>
          </w:tcPr>
          <w:p w14:paraId="3A51E6AA" w14:textId="77777777" w:rsidR="009916B4" w:rsidRPr="00B05BF1" w:rsidRDefault="009916B4" w:rsidP="009916B4">
            <w:pPr>
              <w:pStyle w:val="TableBody"/>
              <w:rPr>
                <w:rFonts w:asciiTheme="minorHAnsi" w:hAnsiTheme="minorHAnsi" w:cstheme="minorHAnsi"/>
              </w:rPr>
            </w:pPr>
            <w:r w:rsidRPr="00B05BF1">
              <w:rPr>
                <w:rFonts w:asciiTheme="minorHAnsi" w:hAnsiTheme="minorHAnsi" w:cstheme="minorHAnsi"/>
              </w:rPr>
              <w:t>Personnel hazard</w:t>
            </w:r>
          </w:p>
        </w:tc>
        <w:tc>
          <w:tcPr>
            <w:tcW w:w="900" w:type="pct"/>
            <w:tcBorders>
              <w:top w:val="nil"/>
              <w:left w:val="nil"/>
              <w:bottom w:val="nil"/>
              <w:right w:val="nil"/>
            </w:tcBorders>
            <w:shd w:val="clear" w:color="auto" w:fill="auto"/>
            <w:vAlign w:val="center"/>
          </w:tcPr>
          <w:p w14:paraId="730AD741" w14:textId="2B4F6571" w:rsidR="009916B4" w:rsidRPr="00B05BF1" w:rsidRDefault="00946432" w:rsidP="00946432">
            <w:pPr>
              <w:pStyle w:val="TableBody"/>
              <w:jc w:val="center"/>
              <w:rPr>
                <w:rFonts w:asciiTheme="minorHAnsi" w:hAnsiTheme="minorHAnsi" w:cstheme="minorHAnsi"/>
              </w:rPr>
            </w:pPr>
            <w:r w:rsidRPr="00946432">
              <w:rPr>
                <w:rFonts w:asciiTheme="minorHAnsi" w:hAnsiTheme="minorHAnsi" w:cstheme="minorHAnsi"/>
              </w:rPr>
              <w:t>39.1 to 69.2</w:t>
            </w:r>
          </w:p>
        </w:tc>
        <w:tc>
          <w:tcPr>
            <w:tcW w:w="900" w:type="pct"/>
            <w:tcBorders>
              <w:top w:val="nil"/>
              <w:left w:val="nil"/>
              <w:bottom w:val="nil"/>
              <w:right w:val="nil"/>
            </w:tcBorders>
            <w:shd w:val="clear" w:color="auto" w:fill="auto"/>
            <w:vAlign w:val="center"/>
          </w:tcPr>
          <w:p w14:paraId="01F0CE1B" w14:textId="6F61B20A" w:rsidR="009916B4" w:rsidRPr="00B05BF1" w:rsidRDefault="00E16B15" w:rsidP="00E16B15">
            <w:pPr>
              <w:pStyle w:val="TableBody"/>
              <w:jc w:val="center"/>
              <w:rPr>
                <w:rFonts w:asciiTheme="minorHAnsi" w:hAnsiTheme="minorHAnsi" w:cstheme="minorHAnsi"/>
              </w:rPr>
            </w:pPr>
            <w:r w:rsidRPr="00E16B15">
              <w:rPr>
                <w:rFonts w:asciiTheme="minorHAnsi" w:hAnsiTheme="minorHAnsi" w:cstheme="minorHAnsi"/>
              </w:rPr>
              <w:t>35.1 to 49.0</w:t>
            </w:r>
          </w:p>
        </w:tc>
        <w:tc>
          <w:tcPr>
            <w:tcW w:w="900" w:type="pct"/>
            <w:tcBorders>
              <w:top w:val="nil"/>
              <w:left w:val="nil"/>
              <w:bottom w:val="nil"/>
              <w:right w:val="nil"/>
            </w:tcBorders>
            <w:shd w:val="clear" w:color="auto" w:fill="auto"/>
            <w:vAlign w:val="center"/>
          </w:tcPr>
          <w:p w14:paraId="0E1F8E18" w14:textId="2B66C699" w:rsidR="009916B4" w:rsidRPr="00B05BF1" w:rsidRDefault="00085757" w:rsidP="00085757">
            <w:pPr>
              <w:pStyle w:val="TableBody"/>
              <w:jc w:val="center"/>
              <w:rPr>
                <w:rFonts w:asciiTheme="minorHAnsi" w:hAnsiTheme="minorHAnsi" w:cstheme="minorHAnsi"/>
                <w:lang w:eastAsia="en-AU"/>
              </w:rPr>
            </w:pPr>
            <w:r w:rsidRPr="00085757">
              <w:rPr>
                <w:rFonts w:asciiTheme="minorHAnsi" w:hAnsiTheme="minorHAnsi" w:cstheme="minorHAnsi"/>
                <w:lang w:eastAsia="en-AU"/>
              </w:rPr>
              <w:t>372.6</w:t>
            </w:r>
            <w:r w:rsidR="0015543B">
              <w:rPr>
                <w:rFonts w:asciiTheme="minorHAnsi" w:hAnsiTheme="minorHAnsi" w:cstheme="minorHAnsi"/>
                <w:lang w:eastAsia="en-AU"/>
              </w:rPr>
              <w:t xml:space="preserve"> to 534.3</w:t>
            </w:r>
          </w:p>
        </w:tc>
        <w:tc>
          <w:tcPr>
            <w:tcW w:w="900" w:type="pct"/>
            <w:tcBorders>
              <w:top w:val="nil"/>
              <w:left w:val="nil"/>
              <w:bottom w:val="nil"/>
              <w:right w:val="nil"/>
            </w:tcBorders>
            <w:shd w:val="clear" w:color="auto" w:fill="auto"/>
            <w:vAlign w:val="center"/>
          </w:tcPr>
          <w:p w14:paraId="6B9AEF9B" w14:textId="514CD4B0" w:rsidR="009916B4" w:rsidRPr="00B05BF1" w:rsidRDefault="00CD70A5" w:rsidP="00ED654C">
            <w:pPr>
              <w:pStyle w:val="TableBody"/>
              <w:jc w:val="center"/>
              <w:rPr>
                <w:rFonts w:asciiTheme="minorHAnsi" w:hAnsiTheme="minorHAnsi" w:cstheme="minorHAnsi"/>
                <w:lang w:eastAsia="en-AU"/>
              </w:rPr>
            </w:pPr>
            <w:r>
              <w:rPr>
                <w:rFonts w:asciiTheme="minorHAnsi" w:hAnsiTheme="minorHAnsi" w:cstheme="minorHAnsi"/>
                <w:lang w:eastAsia="en-AU"/>
              </w:rPr>
              <w:t>13.6</w:t>
            </w:r>
          </w:p>
        </w:tc>
      </w:tr>
      <w:tr w:rsidR="009916B4" w:rsidRPr="00B05BF1" w14:paraId="2A4A822A" w14:textId="77777777" w:rsidTr="00AF0A9F">
        <w:trPr>
          <w:trHeight w:val="397"/>
        </w:trPr>
        <w:tc>
          <w:tcPr>
            <w:tcW w:w="1400" w:type="pct"/>
            <w:shd w:val="clear" w:color="auto" w:fill="F2F2F2" w:themeFill="background1" w:themeFillShade="F2"/>
            <w:hideMark/>
          </w:tcPr>
          <w:p w14:paraId="076B92DC" w14:textId="77777777" w:rsidR="009916B4" w:rsidRPr="00B05BF1" w:rsidRDefault="009916B4" w:rsidP="009916B4">
            <w:pPr>
              <w:pStyle w:val="TableBody"/>
              <w:rPr>
                <w:rFonts w:asciiTheme="minorHAnsi" w:hAnsiTheme="minorHAnsi" w:cstheme="minorHAnsi"/>
              </w:rPr>
            </w:pPr>
            <w:r w:rsidRPr="00B05BF1">
              <w:rPr>
                <w:rFonts w:asciiTheme="minorHAnsi" w:hAnsiTheme="minorHAnsi" w:cstheme="minorHAnsi"/>
              </w:rPr>
              <w:t xml:space="preserve">Supply chain hazard </w:t>
            </w:r>
          </w:p>
        </w:tc>
        <w:tc>
          <w:tcPr>
            <w:tcW w:w="900" w:type="pct"/>
            <w:tcBorders>
              <w:top w:val="nil"/>
              <w:left w:val="nil"/>
              <w:bottom w:val="nil"/>
              <w:right w:val="nil"/>
            </w:tcBorders>
            <w:shd w:val="clear" w:color="auto" w:fill="auto"/>
            <w:vAlign w:val="center"/>
          </w:tcPr>
          <w:p w14:paraId="44EDC74E" w14:textId="138BCBE0" w:rsidR="009916B4" w:rsidRPr="00B05BF1" w:rsidRDefault="00946432" w:rsidP="00946432">
            <w:pPr>
              <w:pStyle w:val="TableBody"/>
              <w:jc w:val="center"/>
              <w:rPr>
                <w:rFonts w:asciiTheme="minorHAnsi" w:hAnsiTheme="minorHAnsi" w:cstheme="minorHAnsi"/>
              </w:rPr>
            </w:pPr>
            <w:r w:rsidRPr="00946432">
              <w:rPr>
                <w:rFonts w:asciiTheme="minorHAnsi" w:hAnsiTheme="minorHAnsi" w:cstheme="minorHAnsi"/>
              </w:rPr>
              <w:t>29.4 to 52.1</w:t>
            </w:r>
          </w:p>
        </w:tc>
        <w:tc>
          <w:tcPr>
            <w:tcW w:w="900" w:type="pct"/>
            <w:tcBorders>
              <w:top w:val="nil"/>
              <w:left w:val="nil"/>
              <w:bottom w:val="nil"/>
              <w:right w:val="nil"/>
            </w:tcBorders>
            <w:shd w:val="clear" w:color="auto" w:fill="auto"/>
            <w:vAlign w:val="center"/>
          </w:tcPr>
          <w:p w14:paraId="7103DCD1" w14:textId="35AEBAE6" w:rsidR="009916B4" w:rsidRPr="00B05BF1" w:rsidRDefault="00E16B15" w:rsidP="00E16B15">
            <w:pPr>
              <w:pStyle w:val="TableBody"/>
              <w:jc w:val="center"/>
              <w:rPr>
                <w:rFonts w:asciiTheme="minorHAnsi" w:hAnsiTheme="minorHAnsi" w:cstheme="minorHAnsi"/>
              </w:rPr>
            </w:pPr>
            <w:r w:rsidRPr="00E16B15">
              <w:rPr>
                <w:rFonts w:asciiTheme="minorHAnsi" w:hAnsiTheme="minorHAnsi" w:cstheme="minorHAnsi"/>
              </w:rPr>
              <w:t>15.6 to 25.0</w:t>
            </w:r>
          </w:p>
        </w:tc>
        <w:tc>
          <w:tcPr>
            <w:tcW w:w="900" w:type="pct"/>
            <w:tcBorders>
              <w:top w:val="nil"/>
              <w:left w:val="nil"/>
              <w:bottom w:val="nil"/>
              <w:right w:val="nil"/>
            </w:tcBorders>
            <w:shd w:val="clear" w:color="auto" w:fill="auto"/>
            <w:vAlign w:val="center"/>
          </w:tcPr>
          <w:p w14:paraId="3C3B23D4" w14:textId="75247AAD" w:rsidR="009916B4" w:rsidRPr="00B05BF1" w:rsidRDefault="00085757" w:rsidP="00085757">
            <w:pPr>
              <w:pStyle w:val="TableBody"/>
              <w:jc w:val="center"/>
              <w:rPr>
                <w:rFonts w:asciiTheme="minorHAnsi" w:hAnsiTheme="minorHAnsi" w:cstheme="minorHAnsi"/>
                <w:lang w:eastAsia="en-AU"/>
              </w:rPr>
            </w:pPr>
            <w:r w:rsidRPr="00085757">
              <w:rPr>
                <w:rFonts w:asciiTheme="minorHAnsi" w:hAnsiTheme="minorHAnsi" w:cstheme="minorHAnsi"/>
                <w:lang w:eastAsia="en-AU"/>
              </w:rPr>
              <w:t>178.0</w:t>
            </w:r>
            <w:r w:rsidR="0015543B">
              <w:rPr>
                <w:rFonts w:asciiTheme="minorHAnsi" w:hAnsiTheme="minorHAnsi" w:cstheme="minorHAnsi"/>
                <w:lang w:eastAsia="en-AU"/>
              </w:rPr>
              <w:t xml:space="preserve"> to 289.6</w:t>
            </w:r>
          </w:p>
        </w:tc>
        <w:tc>
          <w:tcPr>
            <w:tcW w:w="900" w:type="pct"/>
            <w:tcBorders>
              <w:top w:val="nil"/>
              <w:left w:val="nil"/>
              <w:bottom w:val="nil"/>
              <w:right w:val="nil"/>
            </w:tcBorders>
            <w:shd w:val="clear" w:color="auto" w:fill="auto"/>
            <w:vAlign w:val="center"/>
          </w:tcPr>
          <w:p w14:paraId="43DA570E" w14:textId="0B311E51" w:rsidR="009916B4" w:rsidRPr="00B05BF1" w:rsidRDefault="00CD70A5" w:rsidP="00ED654C">
            <w:pPr>
              <w:pStyle w:val="TableBody"/>
              <w:jc w:val="center"/>
              <w:rPr>
                <w:rFonts w:asciiTheme="minorHAnsi" w:hAnsiTheme="minorHAnsi" w:cstheme="minorHAnsi"/>
                <w:lang w:eastAsia="en-AU"/>
              </w:rPr>
            </w:pPr>
            <w:r>
              <w:rPr>
                <w:rFonts w:asciiTheme="minorHAnsi" w:hAnsiTheme="minorHAnsi" w:cstheme="minorHAnsi"/>
                <w:lang w:eastAsia="en-AU"/>
              </w:rPr>
              <w:t>6.5</w:t>
            </w:r>
          </w:p>
        </w:tc>
      </w:tr>
      <w:tr w:rsidR="009916B4" w:rsidRPr="00B05BF1" w14:paraId="6B1BE5E7" w14:textId="77777777" w:rsidTr="00AF0A9F">
        <w:trPr>
          <w:trHeight w:val="397"/>
        </w:trPr>
        <w:tc>
          <w:tcPr>
            <w:tcW w:w="1400" w:type="pct"/>
            <w:shd w:val="clear" w:color="auto" w:fill="F2F2F2" w:themeFill="background1" w:themeFillShade="F2"/>
            <w:hideMark/>
          </w:tcPr>
          <w:p w14:paraId="07704314" w14:textId="77777777" w:rsidR="009916B4" w:rsidRPr="00B05BF1" w:rsidRDefault="009916B4" w:rsidP="009916B4">
            <w:pPr>
              <w:pStyle w:val="TableBody"/>
              <w:rPr>
                <w:rFonts w:asciiTheme="minorHAnsi" w:hAnsiTheme="minorHAnsi" w:cstheme="minorHAnsi"/>
              </w:rPr>
            </w:pPr>
            <w:r w:rsidRPr="00B05BF1">
              <w:rPr>
                <w:rFonts w:asciiTheme="minorHAnsi" w:hAnsiTheme="minorHAnsi" w:cstheme="minorHAnsi"/>
              </w:rPr>
              <w:t>Physical and natural hazard</w:t>
            </w:r>
          </w:p>
        </w:tc>
        <w:tc>
          <w:tcPr>
            <w:tcW w:w="900" w:type="pct"/>
            <w:tcBorders>
              <w:top w:val="nil"/>
              <w:left w:val="nil"/>
              <w:bottom w:val="nil"/>
              <w:right w:val="nil"/>
            </w:tcBorders>
            <w:shd w:val="clear" w:color="auto" w:fill="auto"/>
            <w:vAlign w:val="center"/>
          </w:tcPr>
          <w:p w14:paraId="78CA041E" w14:textId="14603420" w:rsidR="009916B4" w:rsidRPr="00B05BF1" w:rsidRDefault="00946432" w:rsidP="00946432">
            <w:pPr>
              <w:pStyle w:val="TableBody"/>
              <w:jc w:val="center"/>
              <w:rPr>
                <w:rFonts w:asciiTheme="minorHAnsi" w:hAnsiTheme="minorHAnsi" w:cstheme="minorHAnsi"/>
              </w:rPr>
            </w:pPr>
            <w:r w:rsidRPr="00946432">
              <w:rPr>
                <w:rFonts w:asciiTheme="minorHAnsi" w:hAnsiTheme="minorHAnsi" w:cstheme="minorHAnsi"/>
              </w:rPr>
              <w:t>37.7 to 50.1</w:t>
            </w:r>
          </w:p>
        </w:tc>
        <w:tc>
          <w:tcPr>
            <w:tcW w:w="900" w:type="pct"/>
            <w:tcBorders>
              <w:top w:val="nil"/>
              <w:left w:val="nil"/>
              <w:bottom w:val="nil"/>
              <w:right w:val="nil"/>
            </w:tcBorders>
            <w:shd w:val="clear" w:color="auto" w:fill="auto"/>
            <w:vAlign w:val="center"/>
          </w:tcPr>
          <w:p w14:paraId="790CF964" w14:textId="0834FE51" w:rsidR="009916B4" w:rsidRPr="00B05BF1" w:rsidRDefault="00E16B15" w:rsidP="00E16B15">
            <w:pPr>
              <w:pStyle w:val="TableBody"/>
              <w:jc w:val="center"/>
              <w:rPr>
                <w:rFonts w:asciiTheme="minorHAnsi" w:hAnsiTheme="minorHAnsi" w:cstheme="minorHAnsi"/>
              </w:rPr>
            </w:pPr>
            <w:r w:rsidRPr="00E16B15">
              <w:rPr>
                <w:rFonts w:asciiTheme="minorHAnsi" w:hAnsiTheme="minorHAnsi" w:cstheme="minorHAnsi"/>
              </w:rPr>
              <w:t>28.6 to 48.7</w:t>
            </w:r>
          </w:p>
        </w:tc>
        <w:tc>
          <w:tcPr>
            <w:tcW w:w="900" w:type="pct"/>
            <w:tcBorders>
              <w:top w:val="nil"/>
              <w:left w:val="nil"/>
              <w:bottom w:val="nil"/>
              <w:right w:val="nil"/>
            </w:tcBorders>
            <w:shd w:val="clear" w:color="auto" w:fill="auto"/>
            <w:vAlign w:val="center"/>
          </w:tcPr>
          <w:p w14:paraId="01C87355" w14:textId="0773F875" w:rsidR="009916B4" w:rsidRPr="00B05BF1" w:rsidRDefault="00085757" w:rsidP="00085757">
            <w:pPr>
              <w:pStyle w:val="TableBody"/>
              <w:jc w:val="center"/>
              <w:rPr>
                <w:rFonts w:asciiTheme="minorHAnsi" w:hAnsiTheme="minorHAnsi" w:cstheme="minorHAnsi"/>
                <w:lang w:eastAsia="en-AU"/>
              </w:rPr>
            </w:pPr>
            <w:r w:rsidRPr="00085757">
              <w:rPr>
                <w:rFonts w:asciiTheme="minorHAnsi" w:hAnsiTheme="minorHAnsi" w:cstheme="minorHAnsi"/>
                <w:lang w:eastAsia="en-AU"/>
              </w:rPr>
              <w:t>309.4</w:t>
            </w:r>
            <w:r w:rsidR="0015543B">
              <w:rPr>
                <w:rFonts w:asciiTheme="minorHAnsi" w:hAnsiTheme="minorHAnsi" w:cstheme="minorHAnsi"/>
                <w:lang w:eastAsia="en-AU"/>
              </w:rPr>
              <w:t xml:space="preserve"> to 512.9</w:t>
            </w:r>
          </w:p>
        </w:tc>
        <w:tc>
          <w:tcPr>
            <w:tcW w:w="900" w:type="pct"/>
            <w:tcBorders>
              <w:top w:val="nil"/>
              <w:left w:val="nil"/>
              <w:bottom w:val="nil"/>
              <w:right w:val="nil"/>
            </w:tcBorders>
            <w:shd w:val="clear" w:color="auto" w:fill="auto"/>
            <w:vAlign w:val="center"/>
          </w:tcPr>
          <w:p w14:paraId="01FD3D0E" w14:textId="5CA9BB1D" w:rsidR="009916B4" w:rsidRPr="00B05BF1" w:rsidRDefault="00CD70A5" w:rsidP="00ED654C">
            <w:pPr>
              <w:pStyle w:val="TableBody"/>
              <w:jc w:val="center"/>
              <w:rPr>
                <w:rFonts w:asciiTheme="minorHAnsi" w:hAnsiTheme="minorHAnsi" w:cstheme="minorHAnsi"/>
                <w:lang w:eastAsia="en-AU"/>
              </w:rPr>
            </w:pPr>
            <w:r>
              <w:rPr>
                <w:rFonts w:asciiTheme="minorHAnsi" w:hAnsiTheme="minorHAnsi" w:cstheme="minorHAnsi"/>
                <w:lang w:eastAsia="en-AU"/>
              </w:rPr>
              <w:t>11.3</w:t>
            </w:r>
          </w:p>
        </w:tc>
      </w:tr>
      <w:tr w:rsidR="009916B4" w:rsidRPr="00B05BF1" w14:paraId="2B14615A" w14:textId="77777777" w:rsidTr="00AF0A9F">
        <w:trPr>
          <w:trHeight w:val="397"/>
        </w:trPr>
        <w:tc>
          <w:tcPr>
            <w:tcW w:w="1400" w:type="pct"/>
            <w:shd w:val="clear" w:color="auto" w:fill="F2F2F2" w:themeFill="background1" w:themeFillShade="F2"/>
            <w:hideMark/>
          </w:tcPr>
          <w:p w14:paraId="284FB903" w14:textId="77777777" w:rsidR="009916B4" w:rsidRPr="00B05BF1" w:rsidRDefault="009916B4" w:rsidP="009916B4">
            <w:pPr>
              <w:pStyle w:val="TableBody"/>
              <w:rPr>
                <w:rFonts w:asciiTheme="minorHAnsi" w:hAnsiTheme="minorHAnsi" w:cstheme="minorHAnsi"/>
              </w:rPr>
            </w:pPr>
            <w:r w:rsidRPr="00B05BF1">
              <w:rPr>
                <w:rFonts w:asciiTheme="minorHAnsi" w:hAnsiTheme="minorHAnsi" w:cstheme="minorHAnsi"/>
              </w:rPr>
              <w:t>Material risk</w:t>
            </w:r>
          </w:p>
        </w:tc>
        <w:tc>
          <w:tcPr>
            <w:tcW w:w="900" w:type="pct"/>
            <w:tcBorders>
              <w:top w:val="nil"/>
              <w:left w:val="nil"/>
              <w:bottom w:val="nil"/>
              <w:right w:val="nil"/>
            </w:tcBorders>
            <w:shd w:val="clear" w:color="auto" w:fill="auto"/>
            <w:vAlign w:val="center"/>
          </w:tcPr>
          <w:p w14:paraId="1579823B" w14:textId="063B2275" w:rsidR="009916B4" w:rsidRPr="00B05BF1" w:rsidRDefault="00946432" w:rsidP="00ED654C">
            <w:pPr>
              <w:pStyle w:val="TableBody"/>
              <w:jc w:val="center"/>
              <w:rPr>
                <w:rFonts w:asciiTheme="minorHAnsi" w:hAnsiTheme="minorHAnsi" w:cstheme="minorHAnsi"/>
              </w:rPr>
            </w:pPr>
            <w:r w:rsidRPr="00946432">
              <w:rPr>
                <w:rFonts w:asciiTheme="minorHAnsi" w:hAnsiTheme="minorHAnsi" w:cstheme="minorHAnsi"/>
              </w:rPr>
              <w:t>20.9 to 40.0</w:t>
            </w:r>
          </w:p>
        </w:tc>
        <w:tc>
          <w:tcPr>
            <w:tcW w:w="900" w:type="pct"/>
            <w:tcBorders>
              <w:top w:val="nil"/>
              <w:left w:val="nil"/>
              <w:bottom w:val="nil"/>
              <w:right w:val="nil"/>
            </w:tcBorders>
            <w:shd w:val="clear" w:color="auto" w:fill="auto"/>
            <w:vAlign w:val="center"/>
          </w:tcPr>
          <w:p w14:paraId="7185D89D" w14:textId="1E9E3D37" w:rsidR="009916B4" w:rsidRPr="00B05BF1" w:rsidRDefault="00E16B15" w:rsidP="00ED654C">
            <w:pPr>
              <w:pStyle w:val="TableBody"/>
              <w:jc w:val="center"/>
              <w:rPr>
                <w:rFonts w:asciiTheme="minorHAnsi" w:hAnsiTheme="minorHAnsi" w:cstheme="minorHAnsi"/>
              </w:rPr>
            </w:pPr>
            <w:r w:rsidRPr="00E16B15">
              <w:rPr>
                <w:rFonts w:asciiTheme="minorHAnsi" w:hAnsiTheme="minorHAnsi" w:cstheme="minorHAnsi"/>
              </w:rPr>
              <w:t>21.7 to 23.8</w:t>
            </w:r>
          </w:p>
        </w:tc>
        <w:tc>
          <w:tcPr>
            <w:tcW w:w="900" w:type="pct"/>
            <w:tcBorders>
              <w:top w:val="nil"/>
              <w:left w:val="nil"/>
              <w:bottom w:val="nil"/>
              <w:right w:val="nil"/>
            </w:tcBorders>
            <w:shd w:val="clear" w:color="auto" w:fill="auto"/>
            <w:vAlign w:val="center"/>
          </w:tcPr>
          <w:p w14:paraId="36D3EE4E" w14:textId="67E935AD" w:rsidR="009916B4" w:rsidRPr="00B05BF1" w:rsidRDefault="00085757" w:rsidP="00ED654C">
            <w:pPr>
              <w:pStyle w:val="TableBody"/>
              <w:jc w:val="center"/>
              <w:rPr>
                <w:rFonts w:asciiTheme="minorHAnsi" w:hAnsiTheme="minorHAnsi" w:cstheme="minorHAnsi"/>
                <w:lang w:eastAsia="en-AU"/>
              </w:rPr>
            </w:pPr>
            <w:r w:rsidRPr="00085757">
              <w:rPr>
                <w:rFonts w:asciiTheme="minorHAnsi" w:hAnsiTheme="minorHAnsi" w:cstheme="minorHAnsi"/>
                <w:lang w:eastAsia="en-AU"/>
              </w:rPr>
              <w:t>227.1</w:t>
            </w:r>
            <w:r w:rsidR="0015543B">
              <w:rPr>
                <w:rFonts w:asciiTheme="minorHAnsi" w:hAnsiTheme="minorHAnsi" w:cstheme="minorHAnsi"/>
                <w:lang w:eastAsia="en-AU"/>
              </w:rPr>
              <w:t xml:space="preserve"> to 265.7</w:t>
            </w:r>
          </w:p>
        </w:tc>
        <w:tc>
          <w:tcPr>
            <w:tcW w:w="900" w:type="pct"/>
            <w:tcBorders>
              <w:top w:val="nil"/>
              <w:left w:val="nil"/>
              <w:bottom w:val="nil"/>
              <w:right w:val="nil"/>
            </w:tcBorders>
            <w:shd w:val="clear" w:color="auto" w:fill="auto"/>
            <w:vAlign w:val="center"/>
          </w:tcPr>
          <w:p w14:paraId="7B69F622" w14:textId="1E6DDFFC" w:rsidR="009916B4" w:rsidRPr="00B05BF1" w:rsidRDefault="00CD70A5" w:rsidP="00ED654C">
            <w:pPr>
              <w:pStyle w:val="TableBody"/>
              <w:jc w:val="center"/>
              <w:rPr>
                <w:rFonts w:asciiTheme="minorHAnsi" w:hAnsiTheme="minorHAnsi" w:cstheme="minorHAnsi"/>
                <w:lang w:eastAsia="en-AU"/>
              </w:rPr>
            </w:pPr>
            <w:r>
              <w:rPr>
                <w:rFonts w:asciiTheme="minorHAnsi" w:hAnsiTheme="minorHAnsi" w:cstheme="minorHAnsi"/>
                <w:lang w:eastAsia="en-AU"/>
              </w:rPr>
              <w:t>8.3</w:t>
            </w:r>
          </w:p>
        </w:tc>
      </w:tr>
      <w:tr w:rsidR="009916B4" w:rsidRPr="00B05BF1" w14:paraId="30FB9067" w14:textId="77777777" w:rsidTr="00D95A8E">
        <w:trPr>
          <w:trHeight w:val="397"/>
        </w:trPr>
        <w:tc>
          <w:tcPr>
            <w:tcW w:w="1400" w:type="pct"/>
            <w:shd w:val="clear" w:color="auto" w:fill="034EA2" w:themeFill="accent1"/>
            <w:hideMark/>
          </w:tcPr>
          <w:p w14:paraId="47E77BDB" w14:textId="77777777" w:rsidR="009916B4" w:rsidRPr="00B05BF1" w:rsidRDefault="009916B4" w:rsidP="009916B4">
            <w:pPr>
              <w:pStyle w:val="TableHeading"/>
              <w:rPr>
                <w:rFonts w:asciiTheme="minorHAnsi" w:hAnsiTheme="minorHAnsi" w:cstheme="minorHAnsi"/>
              </w:rPr>
            </w:pPr>
            <w:r w:rsidRPr="00B05BF1">
              <w:rPr>
                <w:rFonts w:asciiTheme="minorHAnsi" w:hAnsiTheme="minorHAnsi" w:cstheme="minorHAnsi"/>
              </w:rPr>
              <w:t>Total critical hospital assets</w:t>
            </w:r>
          </w:p>
        </w:tc>
        <w:tc>
          <w:tcPr>
            <w:tcW w:w="900" w:type="pct"/>
            <w:shd w:val="clear" w:color="auto" w:fill="034EA2" w:themeFill="accent1"/>
            <w:vAlign w:val="center"/>
          </w:tcPr>
          <w:p w14:paraId="16876950" w14:textId="18C324C7" w:rsidR="009916B4" w:rsidRPr="00B05BF1" w:rsidRDefault="00946432" w:rsidP="00D95A8E">
            <w:pPr>
              <w:pStyle w:val="TableHeading"/>
              <w:jc w:val="center"/>
              <w:rPr>
                <w:rFonts w:asciiTheme="minorHAnsi" w:hAnsiTheme="minorHAnsi" w:cstheme="minorHAnsi"/>
              </w:rPr>
            </w:pPr>
            <w:r>
              <w:rPr>
                <w:rFonts w:asciiTheme="minorHAnsi" w:hAnsiTheme="minorHAnsi" w:cstheme="minorHAnsi"/>
              </w:rPr>
              <w:t>342.6 to 536.8</w:t>
            </w:r>
          </w:p>
        </w:tc>
        <w:tc>
          <w:tcPr>
            <w:tcW w:w="900" w:type="pct"/>
            <w:shd w:val="clear" w:color="auto" w:fill="034EA2" w:themeFill="accent1"/>
            <w:vAlign w:val="center"/>
          </w:tcPr>
          <w:p w14:paraId="63DFD2FD" w14:textId="6B1A32E7" w:rsidR="009916B4" w:rsidRPr="00B05BF1" w:rsidRDefault="00E16B15" w:rsidP="00D95A8E">
            <w:pPr>
              <w:pStyle w:val="TableHeading"/>
              <w:jc w:val="center"/>
              <w:rPr>
                <w:rFonts w:asciiTheme="minorHAnsi" w:hAnsiTheme="minorHAnsi" w:cstheme="minorHAnsi"/>
              </w:rPr>
            </w:pPr>
            <w:r>
              <w:rPr>
                <w:rFonts w:asciiTheme="minorHAnsi" w:hAnsiTheme="minorHAnsi" w:cstheme="minorHAnsi"/>
              </w:rPr>
              <w:t>265.1 to 396.0</w:t>
            </w:r>
          </w:p>
        </w:tc>
        <w:tc>
          <w:tcPr>
            <w:tcW w:w="900" w:type="pct"/>
            <w:shd w:val="clear" w:color="auto" w:fill="034EA2" w:themeFill="accent1"/>
            <w:vAlign w:val="center"/>
          </w:tcPr>
          <w:p w14:paraId="1CAE2534" w14:textId="22F3549F" w:rsidR="009916B4" w:rsidRPr="00B05BF1" w:rsidRDefault="00085757" w:rsidP="00D95A8E">
            <w:pPr>
              <w:pStyle w:val="TableHeading"/>
              <w:jc w:val="center"/>
              <w:rPr>
                <w:rFonts w:asciiTheme="minorHAnsi" w:hAnsiTheme="minorHAnsi" w:cstheme="minorHAnsi"/>
              </w:rPr>
            </w:pPr>
            <w:r>
              <w:rPr>
                <w:rFonts w:asciiTheme="minorHAnsi" w:hAnsiTheme="minorHAnsi" w:cstheme="minorHAnsi"/>
              </w:rPr>
              <w:t xml:space="preserve">2,737.3 to </w:t>
            </w:r>
            <w:r w:rsidR="0015543B">
              <w:rPr>
                <w:rFonts w:asciiTheme="minorHAnsi" w:hAnsiTheme="minorHAnsi" w:cstheme="minorHAnsi"/>
              </w:rPr>
              <w:t>4,114.9</w:t>
            </w:r>
          </w:p>
        </w:tc>
        <w:tc>
          <w:tcPr>
            <w:tcW w:w="900" w:type="pct"/>
            <w:shd w:val="clear" w:color="auto" w:fill="034EA2" w:themeFill="accent1"/>
            <w:vAlign w:val="center"/>
          </w:tcPr>
          <w:p w14:paraId="5FD607F1" w14:textId="420B9A56" w:rsidR="009916B4" w:rsidRPr="00B05BF1" w:rsidRDefault="00CD70A5" w:rsidP="00D95A8E">
            <w:pPr>
              <w:pStyle w:val="TableHeading"/>
              <w:jc w:val="center"/>
              <w:rPr>
                <w:rFonts w:asciiTheme="minorHAnsi" w:hAnsiTheme="minorHAnsi" w:cstheme="minorHAnsi"/>
              </w:rPr>
            </w:pPr>
            <w:r>
              <w:rPr>
                <w:rFonts w:asciiTheme="minorHAnsi" w:hAnsiTheme="minorHAnsi" w:cstheme="minorHAnsi"/>
              </w:rPr>
              <w:t>100.0</w:t>
            </w:r>
          </w:p>
        </w:tc>
      </w:tr>
    </w:tbl>
    <w:p w14:paraId="3DDF8FD1" w14:textId="473B6169" w:rsidR="00824B94" w:rsidRDefault="00824B94" w:rsidP="00A10AF5">
      <w:pPr>
        <w:pStyle w:val="BodyText"/>
        <w:spacing w:before="240"/>
      </w:pPr>
      <w:r w:rsidRPr="00827F58">
        <w:t xml:space="preserve">The industry submissions also indicated the type of expenditure expected to be incurred. The allocation of </w:t>
      </w:r>
      <w:r>
        <w:t xml:space="preserve">expected </w:t>
      </w:r>
      <w:r w:rsidRPr="00827F58">
        <w:t>cost between labour effort, capital and operating costs is provided in</w:t>
      </w:r>
      <w:r>
        <w:t xml:space="preserve"> the table below. </w:t>
      </w:r>
      <w:r w:rsidRPr="00827F58">
        <w:t xml:space="preserve">The analysis shows that </w:t>
      </w:r>
      <w:r w:rsidR="00397BA7">
        <w:t>39.9</w:t>
      </w:r>
      <w:r w:rsidR="002E1A09">
        <w:t>% o</w:t>
      </w:r>
      <w:r w:rsidRPr="000770E4">
        <w:t xml:space="preserve">f one-off </w:t>
      </w:r>
      <w:r>
        <w:t>and</w:t>
      </w:r>
      <w:r w:rsidRPr="000770E4">
        <w:t xml:space="preserve"> </w:t>
      </w:r>
      <w:r w:rsidR="00397BA7">
        <w:t>39.7</w:t>
      </w:r>
      <w:r w:rsidR="00973A97">
        <w:t>% of</w:t>
      </w:r>
      <w:r w:rsidRPr="000770E4">
        <w:t xml:space="preserve"> ongoing costs are expected to be invested in capital. A relatively small share of costs is associated with labour effort for one-off </w:t>
      </w:r>
      <w:r>
        <w:t xml:space="preserve">and ongoing </w:t>
      </w:r>
      <w:r w:rsidRPr="000770E4">
        <w:t>costs (</w:t>
      </w:r>
      <w:r w:rsidR="00397BA7">
        <w:t>21</w:t>
      </w:r>
      <w:r w:rsidR="00973A97" w:rsidRPr="000046C2">
        <w:t>.</w:t>
      </w:r>
      <w:r w:rsidR="00397BA7">
        <w:t>2</w:t>
      </w:r>
      <w:r w:rsidRPr="000046C2">
        <w:t xml:space="preserve">% for one-off costs and </w:t>
      </w:r>
      <w:r w:rsidR="00397BA7">
        <w:t>20</w:t>
      </w:r>
      <w:r w:rsidRPr="000046C2">
        <w:t>.</w:t>
      </w:r>
      <w:r w:rsidR="00397BA7">
        <w:t>5</w:t>
      </w:r>
      <w:r w:rsidRPr="000046C2">
        <w:t xml:space="preserve">% for ongoing costs). Operating costs are the </w:t>
      </w:r>
      <w:r w:rsidR="000046C2" w:rsidRPr="000046C2">
        <w:t xml:space="preserve">account for </w:t>
      </w:r>
      <w:r w:rsidR="0092644D">
        <w:t>3</w:t>
      </w:r>
      <w:r w:rsidR="00397BA7">
        <w:t>9.8</w:t>
      </w:r>
      <w:r w:rsidRPr="000046C2">
        <w:t>% of</w:t>
      </w:r>
      <w:r>
        <w:t xml:space="preserve"> ongoing costs</w:t>
      </w:r>
      <w:r w:rsidR="000046C2">
        <w:t xml:space="preserve"> and </w:t>
      </w:r>
      <w:r w:rsidR="00397BA7">
        <w:t>38.9</w:t>
      </w:r>
      <w:r w:rsidR="008E40D5">
        <w:t>% of one-off costs.</w:t>
      </w:r>
      <w:r w:rsidRPr="000770E4">
        <w:t xml:space="preserve"> </w:t>
      </w:r>
    </w:p>
    <w:p w14:paraId="5FE6368D" w14:textId="77777777" w:rsidR="00B05BF1" w:rsidRPr="00827F58" w:rsidRDefault="00B05BF1" w:rsidP="00A10AF5">
      <w:pPr>
        <w:pStyle w:val="BodyText"/>
        <w:spacing w:before="240"/>
      </w:pPr>
    </w:p>
    <w:p w14:paraId="449D1AF2" w14:textId="77777777" w:rsidR="00824B94" w:rsidRPr="00324539" w:rsidRDefault="00824B94" w:rsidP="00E56A68">
      <w:pPr>
        <w:pStyle w:val="Caption"/>
        <w:rPr>
          <w:b/>
          <w:bCs/>
        </w:rPr>
      </w:pPr>
      <w:r w:rsidRPr="00827F58">
        <w:t xml:space="preserve">Expected one-off and ongoing costs by cost type for critical </w:t>
      </w:r>
      <w:r w:rsidR="009B0FBE">
        <w:t>hospital</w:t>
      </w:r>
      <w:r w:rsidRPr="00827F58">
        <w:t xml:space="preserve"> assets nationally</w:t>
      </w:r>
    </w:p>
    <w:tbl>
      <w:tblPr>
        <w:tblStyle w:val="TableGrid111"/>
        <w:tblW w:w="0" w:type="auto"/>
        <w:tblInd w:w="-5"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2552"/>
        <w:gridCol w:w="1736"/>
        <w:gridCol w:w="1671"/>
        <w:gridCol w:w="1802"/>
        <w:gridCol w:w="1737"/>
      </w:tblGrid>
      <w:tr w:rsidR="00A968D1" w:rsidRPr="00B05BF1" w14:paraId="509FFB16" w14:textId="77777777" w:rsidTr="00B05BF1">
        <w:tc>
          <w:tcPr>
            <w:tcW w:w="2552" w:type="dxa"/>
            <w:vMerge w:val="restart"/>
            <w:shd w:val="clear" w:color="auto" w:fill="034EA2" w:themeFill="accent1"/>
            <w:hideMark/>
          </w:tcPr>
          <w:p w14:paraId="5A1F7D78" w14:textId="77777777" w:rsidR="00824B94" w:rsidRPr="00B05BF1" w:rsidRDefault="00824B94" w:rsidP="00B05BF1">
            <w:pPr>
              <w:pStyle w:val="TableHeading"/>
              <w:rPr>
                <w:rFonts w:asciiTheme="minorHAnsi" w:hAnsiTheme="minorHAnsi" w:cstheme="minorHAnsi"/>
                <w:lang w:eastAsia="en-AU"/>
              </w:rPr>
            </w:pPr>
            <w:r w:rsidRPr="00B05BF1">
              <w:rPr>
                <w:rFonts w:asciiTheme="minorHAnsi" w:hAnsiTheme="minorHAnsi" w:cstheme="minorHAnsi"/>
                <w:lang w:eastAsia="en-AU"/>
              </w:rPr>
              <w:t>Cost Type</w:t>
            </w:r>
          </w:p>
        </w:tc>
        <w:tc>
          <w:tcPr>
            <w:tcW w:w="6946" w:type="dxa"/>
            <w:gridSpan w:val="4"/>
            <w:shd w:val="clear" w:color="auto" w:fill="034EA2" w:themeFill="accent1"/>
            <w:hideMark/>
          </w:tcPr>
          <w:p w14:paraId="051D5058" w14:textId="77777777" w:rsidR="00824B94" w:rsidRPr="00B05BF1" w:rsidRDefault="00824B94" w:rsidP="00B05BF1">
            <w:pPr>
              <w:pStyle w:val="TableHeading"/>
              <w:rPr>
                <w:rFonts w:asciiTheme="minorHAnsi" w:hAnsiTheme="minorHAnsi" w:cstheme="minorHAnsi"/>
                <w:lang w:eastAsia="en-AU"/>
              </w:rPr>
            </w:pPr>
            <w:r w:rsidRPr="00B05BF1">
              <w:rPr>
                <w:rFonts w:asciiTheme="minorHAnsi" w:hAnsiTheme="minorHAnsi" w:cstheme="minorHAnsi"/>
                <w:lang w:eastAsia="en-AU"/>
              </w:rPr>
              <w:t xml:space="preserve">Costs </w:t>
            </w:r>
          </w:p>
        </w:tc>
      </w:tr>
      <w:tr w:rsidR="001C1A15" w:rsidRPr="00B05BF1" w14:paraId="5DBCFE22" w14:textId="77777777" w:rsidTr="00B05BF1">
        <w:tc>
          <w:tcPr>
            <w:tcW w:w="2552" w:type="dxa"/>
            <w:vMerge/>
            <w:shd w:val="clear" w:color="auto" w:fill="007BC3" w:themeFill="accent2"/>
            <w:hideMark/>
          </w:tcPr>
          <w:p w14:paraId="247060E6" w14:textId="77777777" w:rsidR="00824B94" w:rsidRPr="00B05BF1" w:rsidRDefault="00824B94" w:rsidP="00B05BF1">
            <w:pPr>
              <w:pStyle w:val="TableBody"/>
              <w:rPr>
                <w:rFonts w:asciiTheme="minorHAnsi" w:hAnsiTheme="minorHAnsi" w:cstheme="minorHAnsi"/>
                <w:lang w:eastAsia="en-AU"/>
              </w:rPr>
            </w:pPr>
          </w:p>
        </w:tc>
        <w:tc>
          <w:tcPr>
            <w:tcW w:w="1736" w:type="dxa"/>
            <w:shd w:val="clear" w:color="auto" w:fill="DEEAF6"/>
            <w:hideMark/>
          </w:tcPr>
          <w:p w14:paraId="06420C3C" w14:textId="77777777" w:rsidR="00824B94" w:rsidRPr="00B05BF1" w:rsidRDefault="00824B94" w:rsidP="00B05BF1">
            <w:pPr>
              <w:pStyle w:val="TableBody"/>
              <w:rPr>
                <w:rFonts w:asciiTheme="minorHAnsi" w:hAnsiTheme="minorHAnsi" w:cstheme="minorHAnsi"/>
                <w:lang w:eastAsia="en-AU"/>
              </w:rPr>
            </w:pPr>
            <w:r w:rsidRPr="00B05BF1">
              <w:rPr>
                <w:rFonts w:asciiTheme="minorHAnsi" w:hAnsiTheme="minorHAnsi" w:cstheme="minorHAnsi"/>
                <w:lang w:eastAsia="en-AU"/>
              </w:rPr>
              <w:t xml:space="preserve">One-off </w:t>
            </w:r>
            <w:r w:rsidRPr="00B05BF1">
              <w:rPr>
                <w:rFonts w:asciiTheme="minorHAnsi" w:hAnsiTheme="minorHAnsi" w:cstheme="minorHAnsi"/>
                <w:color w:val="000000"/>
                <w:lang w:eastAsia="en-AU"/>
              </w:rPr>
              <w:t>($ million)</w:t>
            </w:r>
          </w:p>
        </w:tc>
        <w:tc>
          <w:tcPr>
            <w:tcW w:w="1671" w:type="dxa"/>
            <w:shd w:val="clear" w:color="auto" w:fill="DEEAF6"/>
            <w:hideMark/>
          </w:tcPr>
          <w:p w14:paraId="2EDC0183" w14:textId="3CAD97CC" w:rsidR="00824B94" w:rsidRPr="00B05BF1" w:rsidRDefault="00824B94" w:rsidP="00B05BF1">
            <w:pPr>
              <w:pStyle w:val="TableBody"/>
              <w:rPr>
                <w:rFonts w:asciiTheme="minorHAnsi" w:hAnsiTheme="minorHAnsi" w:cstheme="minorHAnsi"/>
                <w:lang w:eastAsia="en-AU"/>
              </w:rPr>
            </w:pPr>
            <w:r w:rsidRPr="00B05BF1">
              <w:rPr>
                <w:rFonts w:asciiTheme="minorHAnsi" w:hAnsiTheme="minorHAnsi" w:cstheme="minorHAnsi"/>
                <w:lang w:eastAsia="en-AU"/>
              </w:rPr>
              <w:t>One-off</w:t>
            </w:r>
            <w:r w:rsidR="00B05BF1" w:rsidRPr="00B05BF1">
              <w:rPr>
                <w:rFonts w:asciiTheme="minorHAnsi" w:hAnsiTheme="minorHAnsi" w:cstheme="minorHAnsi"/>
                <w:lang w:eastAsia="en-AU"/>
              </w:rPr>
              <w:t xml:space="preserve"> </w:t>
            </w:r>
            <w:r w:rsidRPr="00B05BF1">
              <w:rPr>
                <w:rFonts w:asciiTheme="minorHAnsi" w:hAnsiTheme="minorHAnsi" w:cstheme="minorHAnsi"/>
                <w:lang w:eastAsia="en-AU"/>
              </w:rPr>
              <w:t>(%)</w:t>
            </w:r>
          </w:p>
        </w:tc>
        <w:tc>
          <w:tcPr>
            <w:tcW w:w="1802" w:type="dxa"/>
            <w:shd w:val="clear" w:color="auto" w:fill="DEEAF6"/>
            <w:hideMark/>
          </w:tcPr>
          <w:p w14:paraId="4932BC68" w14:textId="62FE5A2B" w:rsidR="00824B94" w:rsidRPr="00B05BF1" w:rsidRDefault="00824B94" w:rsidP="00B05BF1">
            <w:pPr>
              <w:pStyle w:val="TableBody"/>
              <w:rPr>
                <w:rFonts w:asciiTheme="minorHAnsi" w:hAnsiTheme="minorHAnsi" w:cstheme="minorHAnsi"/>
                <w:lang w:eastAsia="en-AU"/>
              </w:rPr>
            </w:pPr>
            <w:r w:rsidRPr="00B05BF1">
              <w:rPr>
                <w:rFonts w:asciiTheme="minorHAnsi" w:hAnsiTheme="minorHAnsi" w:cstheme="minorHAnsi"/>
                <w:lang w:eastAsia="en-AU"/>
              </w:rPr>
              <w:t>Ongoing</w:t>
            </w:r>
            <w:r w:rsidR="00B05BF1" w:rsidRPr="00B05BF1">
              <w:rPr>
                <w:rFonts w:asciiTheme="minorHAnsi" w:hAnsiTheme="minorHAnsi" w:cstheme="minorHAnsi"/>
                <w:lang w:eastAsia="en-AU"/>
              </w:rPr>
              <w:t xml:space="preserve"> </w:t>
            </w:r>
            <w:r w:rsidRPr="00B05BF1">
              <w:rPr>
                <w:rFonts w:asciiTheme="minorHAnsi" w:hAnsiTheme="minorHAnsi" w:cstheme="minorHAnsi"/>
                <w:lang w:eastAsia="en-AU"/>
              </w:rPr>
              <w:t>(per year)</w:t>
            </w:r>
          </w:p>
        </w:tc>
        <w:tc>
          <w:tcPr>
            <w:tcW w:w="1737" w:type="dxa"/>
            <w:shd w:val="clear" w:color="auto" w:fill="DEEAF6"/>
            <w:hideMark/>
          </w:tcPr>
          <w:p w14:paraId="3A72B600" w14:textId="7B7CAF15" w:rsidR="00824B94" w:rsidRPr="00B05BF1" w:rsidRDefault="00824B94" w:rsidP="00B05BF1">
            <w:pPr>
              <w:pStyle w:val="TableBody"/>
              <w:rPr>
                <w:rFonts w:asciiTheme="minorHAnsi" w:hAnsiTheme="minorHAnsi" w:cstheme="minorHAnsi"/>
                <w:lang w:eastAsia="en-AU"/>
              </w:rPr>
            </w:pPr>
            <w:r w:rsidRPr="00B05BF1">
              <w:rPr>
                <w:rFonts w:asciiTheme="minorHAnsi" w:hAnsiTheme="minorHAnsi" w:cstheme="minorHAnsi"/>
                <w:lang w:eastAsia="en-AU"/>
              </w:rPr>
              <w:t>Ongoing</w:t>
            </w:r>
            <w:r w:rsidR="00B05BF1" w:rsidRPr="00B05BF1">
              <w:rPr>
                <w:rFonts w:asciiTheme="minorHAnsi" w:hAnsiTheme="minorHAnsi" w:cstheme="minorHAnsi"/>
                <w:lang w:eastAsia="en-AU"/>
              </w:rPr>
              <w:t xml:space="preserve"> </w:t>
            </w:r>
            <w:r w:rsidRPr="00B05BF1">
              <w:rPr>
                <w:rFonts w:asciiTheme="minorHAnsi" w:hAnsiTheme="minorHAnsi" w:cstheme="minorHAnsi"/>
                <w:lang w:eastAsia="en-AU"/>
              </w:rPr>
              <w:t>(%)</w:t>
            </w:r>
          </w:p>
        </w:tc>
      </w:tr>
      <w:tr w:rsidR="005F057A" w:rsidRPr="00B05BF1" w14:paraId="5627F937" w14:textId="77777777" w:rsidTr="00B05BF1">
        <w:tc>
          <w:tcPr>
            <w:tcW w:w="2552" w:type="dxa"/>
            <w:shd w:val="clear" w:color="auto" w:fill="F2F2F2" w:themeFill="background1" w:themeFillShade="F2"/>
            <w:hideMark/>
          </w:tcPr>
          <w:p w14:paraId="366E39EA" w14:textId="77777777" w:rsidR="00460667" w:rsidRPr="00B05BF1" w:rsidRDefault="00460667" w:rsidP="00B05BF1">
            <w:pPr>
              <w:pStyle w:val="TableBody"/>
              <w:rPr>
                <w:rFonts w:asciiTheme="minorHAnsi" w:hAnsiTheme="minorHAnsi" w:cstheme="minorHAnsi"/>
                <w:lang w:eastAsia="en-AU"/>
              </w:rPr>
            </w:pPr>
            <w:r w:rsidRPr="00B05BF1">
              <w:rPr>
                <w:rFonts w:asciiTheme="minorHAnsi" w:hAnsiTheme="minorHAnsi" w:cstheme="minorHAnsi"/>
                <w:lang w:eastAsia="en-AU"/>
              </w:rPr>
              <w:t>Labour effort</w:t>
            </w:r>
          </w:p>
        </w:tc>
        <w:tc>
          <w:tcPr>
            <w:tcW w:w="1736" w:type="dxa"/>
            <w:shd w:val="clear" w:color="auto" w:fill="auto"/>
          </w:tcPr>
          <w:p w14:paraId="3DB09E80" w14:textId="6D0378D2" w:rsidR="00460667" w:rsidRPr="00B05BF1" w:rsidRDefault="00FC0980" w:rsidP="00B05BF1">
            <w:pPr>
              <w:pStyle w:val="TableBody"/>
              <w:rPr>
                <w:rFonts w:asciiTheme="minorHAnsi" w:hAnsiTheme="minorHAnsi" w:cstheme="minorHAnsi"/>
                <w:highlight w:val="yellow"/>
                <w:lang w:eastAsia="en-AU"/>
              </w:rPr>
            </w:pPr>
            <w:r>
              <w:rPr>
                <w:rFonts w:asciiTheme="minorHAnsi" w:hAnsiTheme="minorHAnsi" w:cstheme="minorHAnsi"/>
              </w:rPr>
              <w:t>72.5</w:t>
            </w:r>
          </w:p>
        </w:tc>
        <w:tc>
          <w:tcPr>
            <w:tcW w:w="1671" w:type="dxa"/>
            <w:shd w:val="clear" w:color="auto" w:fill="auto"/>
          </w:tcPr>
          <w:p w14:paraId="3BBD5BD5" w14:textId="0EFFB62D" w:rsidR="00460667" w:rsidRPr="008F110B" w:rsidRDefault="008D07AE" w:rsidP="00B05BF1">
            <w:pPr>
              <w:pStyle w:val="TableBody"/>
              <w:rPr>
                <w:rFonts w:asciiTheme="minorHAnsi" w:hAnsiTheme="minorHAnsi" w:cstheme="minorHAnsi"/>
                <w:lang w:eastAsia="en-AU"/>
              </w:rPr>
            </w:pPr>
            <w:r w:rsidRPr="008F110B">
              <w:rPr>
                <w:rFonts w:asciiTheme="minorHAnsi" w:hAnsiTheme="minorHAnsi" w:cstheme="minorHAnsi"/>
                <w:lang w:eastAsia="en-AU"/>
              </w:rPr>
              <w:t>21.2</w:t>
            </w:r>
          </w:p>
        </w:tc>
        <w:tc>
          <w:tcPr>
            <w:tcW w:w="1802" w:type="dxa"/>
            <w:shd w:val="clear" w:color="auto" w:fill="auto"/>
          </w:tcPr>
          <w:p w14:paraId="6A78D138" w14:textId="6E8F1C47" w:rsidR="00460667" w:rsidRPr="00881C48" w:rsidRDefault="00FC0980" w:rsidP="00B05BF1">
            <w:pPr>
              <w:pStyle w:val="TableBody"/>
              <w:rPr>
                <w:rFonts w:asciiTheme="minorHAnsi" w:hAnsiTheme="minorHAnsi" w:cstheme="minorHAnsi"/>
                <w:lang w:eastAsia="en-AU"/>
              </w:rPr>
            </w:pPr>
            <w:r>
              <w:rPr>
                <w:rFonts w:asciiTheme="minorHAnsi" w:hAnsiTheme="minorHAnsi" w:cstheme="minorHAnsi"/>
                <w:lang w:eastAsia="en-AU"/>
              </w:rPr>
              <w:t>54.4</w:t>
            </w:r>
          </w:p>
        </w:tc>
        <w:tc>
          <w:tcPr>
            <w:tcW w:w="1737" w:type="dxa"/>
            <w:shd w:val="clear" w:color="auto" w:fill="auto"/>
          </w:tcPr>
          <w:p w14:paraId="37FF3F30" w14:textId="560C4504" w:rsidR="00460667" w:rsidRPr="00881C48" w:rsidRDefault="008D07AE" w:rsidP="00B05BF1">
            <w:pPr>
              <w:pStyle w:val="TableBody"/>
              <w:rPr>
                <w:rFonts w:asciiTheme="minorHAnsi" w:hAnsiTheme="minorHAnsi" w:cstheme="minorHAnsi"/>
                <w:lang w:eastAsia="en-AU"/>
              </w:rPr>
            </w:pPr>
            <w:r>
              <w:rPr>
                <w:rFonts w:asciiTheme="minorHAnsi" w:hAnsiTheme="minorHAnsi" w:cstheme="minorHAnsi"/>
                <w:lang w:eastAsia="en-AU"/>
              </w:rPr>
              <w:t>20.5</w:t>
            </w:r>
          </w:p>
        </w:tc>
      </w:tr>
      <w:tr w:rsidR="005F057A" w:rsidRPr="00B05BF1" w14:paraId="180B93BC" w14:textId="77777777" w:rsidTr="00B05BF1">
        <w:tc>
          <w:tcPr>
            <w:tcW w:w="2552" w:type="dxa"/>
            <w:shd w:val="clear" w:color="auto" w:fill="F2F2F2" w:themeFill="background1" w:themeFillShade="F2"/>
            <w:hideMark/>
          </w:tcPr>
          <w:p w14:paraId="56909895" w14:textId="77777777" w:rsidR="00460667" w:rsidRPr="00B05BF1" w:rsidRDefault="00460667" w:rsidP="00B05BF1">
            <w:pPr>
              <w:pStyle w:val="TableBody"/>
              <w:rPr>
                <w:rFonts w:asciiTheme="minorHAnsi" w:hAnsiTheme="minorHAnsi" w:cstheme="minorHAnsi"/>
                <w:lang w:eastAsia="en-AU"/>
              </w:rPr>
            </w:pPr>
            <w:r w:rsidRPr="00B05BF1">
              <w:rPr>
                <w:rFonts w:asciiTheme="minorHAnsi" w:hAnsiTheme="minorHAnsi" w:cstheme="minorHAnsi"/>
                <w:lang w:eastAsia="en-AU"/>
              </w:rPr>
              <w:t>Capital</w:t>
            </w:r>
          </w:p>
        </w:tc>
        <w:tc>
          <w:tcPr>
            <w:tcW w:w="1736" w:type="dxa"/>
            <w:shd w:val="clear" w:color="auto" w:fill="auto"/>
          </w:tcPr>
          <w:p w14:paraId="043A71A9" w14:textId="2B5934A2" w:rsidR="00460667" w:rsidRPr="00B05BF1" w:rsidRDefault="00D86CCA" w:rsidP="00B05BF1">
            <w:pPr>
              <w:pStyle w:val="TableBody"/>
              <w:rPr>
                <w:rFonts w:asciiTheme="minorHAnsi" w:hAnsiTheme="minorHAnsi" w:cstheme="minorHAnsi"/>
                <w:highlight w:val="yellow"/>
                <w:lang w:eastAsia="en-AU"/>
              </w:rPr>
            </w:pPr>
            <w:r>
              <w:rPr>
                <w:rFonts w:asciiTheme="minorHAnsi" w:hAnsiTheme="minorHAnsi" w:cstheme="minorHAnsi"/>
              </w:rPr>
              <w:t xml:space="preserve">136.6 </w:t>
            </w:r>
          </w:p>
        </w:tc>
        <w:tc>
          <w:tcPr>
            <w:tcW w:w="1671" w:type="dxa"/>
            <w:shd w:val="clear" w:color="auto" w:fill="auto"/>
          </w:tcPr>
          <w:p w14:paraId="51271897" w14:textId="6C256D9D" w:rsidR="00460667" w:rsidRPr="008F110B" w:rsidRDefault="008D07AE" w:rsidP="00B05BF1">
            <w:pPr>
              <w:pStyle w:val="TableBody"/>
              <w:rPr>
                <w:rFonts w:asciiTheme="minorHAnsi" w:hAnsiTheme="minorHAnsi" w:cstheme="minorHAnsi"/>
                <w:lang w:eastAsia="en-AU"/>
              </w:rPr>
            </w:pPr>
            <w:r w:rsidRPr="008F110B">
              <w:rPr>
                <w:rFonts w:asciiTheme="minorHAnsi" w:hAnsiTheme="minorHAnsi" w:cstheme="minorHAnsi"/>
                <w:lang w:eastAsia="en-AU"/>
              </w:rPr>
              <w:t>39.9</w:t>
            </w:r>
          </w:p>
        </w:tc>
        <w:tc>
          <w:tcPr>
            <w:tcW w:w="1802" w:type="dxa"/>
            <w:shd w:val="clear" w:color="auto" w:fill="auto"/>
          </w:tcPr>
          <w:p w14:paraId="63E73B89" w14:textId="714226D8" w:rsidR="00460667" w:rsidRPr="00881C48" w:rsidRDefault="00F81E1F" w:rsidP="00B05BF1">
            <w:pPr>
              <w:pStyle w:val="TableBody"/>
              <w:rPr>
                <w:rFonts w:asciiTheme="minorHAnsi" w:hAnsiTheme="minorHAnsi" w:cstheme="minorHAnsi"/>
                <w:lang w:eastAsia="en-AU"/>
              </w:rPr>
            </w:pPr>
            <w:r w:rsidRPr="00881C48">
              <w:rPr>
                <w:rFonts w:asciiTheme="minorHAnsi" w:hAnsiTheme="minorHAnsi" w:cstheme="minorHAnsi"/>
                <w:lang w:eastAsia="en-AU"/>
              </w:rPr>
              <w:t>105.4</w:t>
            </w:r>
          </w:p>
        </w:tc>
        <w:tc>
          <w:tcPr>
            <w:tcW w:w="1737" w:type="dxa"/>
            <w:shd w:val="clear" w:color="auto" w:fill="auto"/>
          </w:tcPr>
          <w:p w14:paraId="38E3D914" w14:textId="7D26E445" w:rsidR="00460667" w:rsidRPr="00881C48" w:rsidRDefault="008D07AE" w:rsidP="00B05BF1">
            <w:pPr>
              <w:pStyle w:val="TableBody"/>
              <w:rPr>
                <w:rFonts w:asciiTheme="minorHAnsi" w:hAnsiTheme="minorHAnsi" w:cstheme="minorHAnsi"/>
                <w:lang w:eastAsia="en-AU"/>
              </w:rPr>
            </w:pPr>
            <w:r>
              <w:rPr>
                <w:rFonts w:asciiTheme="minorHAnsi" w:hAnsiTheme="minorHAnsi" w:cstheme="minorHAnsi"/>
                <w:lang w:eastAsia="en-AU"/>
              </w:rPr>
              <w:t>39.7</w:t>
            </w:r>
          </w:p>
        </w:tc>
      </w:tr>
      <w:tr w:rsidR="005F057A" w:rsidRPr="00B05BF1" w14:paraId="3DEBC284" w14:textId="77777777" w:rsidTr="00B05BF1">
        <w:tc>
          <w:tcPr>
            <w:tcW w:w="2552" w:type="dxa"/>
            <w:shd w:val="clear" w:color="auto" w:fill="F2F2F2" w:themeFill="background1" w:themeFillShade="F2"/>
            <w:hideMark/>
          </w:tcPr>
          <w:p w14:paraId="0F2F4102" w14:textId="77777777" w:rsidR="00460667" w:rsidRPr="00B05BF1" w:rsidRDefault="00460667" w:rsidP="00B05BF1">
            <w:pPr>
              <w:pStyle w:val="TableBody"/>
              <w:rPr>
                <w:rFonts w:asciiTheme="minorHAnsi" w:hAnsiTheme="minorHAnsi" w:cstheme="minorHAnsi"/>
                <w:lang w:eastAsia="en-AU"/>
              </w:rPr>
            </w:pPr>
            <w:r w:rsidRPr="00B05BF1">
              <w:rPr>
                <w:rFonts w:asciiTheme="minorHAnsi" w:hAnsiTheme="minorHAnsi" w:cstheme="minorHAnsi"/>
                <w:lang w:eastAsia="en-AU"/>
              </w:rPr>
              <w:t>Operating</w:t>
            </w:r>
          </w:p>
        </w:tc>
        <w:tc>
          <w:tcPr>
            <w:tcW w:w="1736" w:type="dxa"/>
            <w:shd w:val="clear" w:color="auto" w:fill="auto"/>
          </w:tcPr>
          <w:p w14:paraId="22DD9590" w14:textId="0FB8D514" w:rsidR="00460667" w:rsidRPr="00B05BF1" w:rsidRDefault="00D86CCA" w:rsidP="00B05BF1">
            <w:pPr>
              <w:pStyle w:val="TableBody"/>
              <w:rPr>
                <w:rFonts w:asciiTheme="minorHAnsi" w:hAnsiTheme="minorHAnsi" w:cstheme="minorHAnsi"/>
                <w:highlight w:val="yellow"/>
                <w:lang w:eastAsia="en-AU"/>
              </w:rPr>
            </w:pPr>
            <w:r>
              <w:rPr>
                <w:rFonts w:asciiTheme="minorHAnsi" w:hAnsiTheme="minorHAnsi" w:cstheme="minorHAnsi"/>
              </w:rPr>
              <w:t>133.5</w:t>
            </w:r>
          </w:p>
        </w:tc>
        <w:tc>
          <w:tcPr>
            <w:tcW w:w="1671" w:type="dxa"/>
            <w:shd w:val="clear" w:color="auto" w:fill="auto"/>
          </w:tcPr>
          <w:p w14:paraId="29BF72C1" w14:textId="5C8A5DA5" w:rsidR="00460667" w:rsidRPr="008F110B" w:rsidRDefault="008D07AE" w:rsidP="00B05BF1">
            <w:pPr>
              <w:pStyle w:val="TableBody"/>
              <w:rPr>
                <w:rFonts w:asciiTheme="minorHAnsi" w:hAnsiTheme="minorHAnsi" w:cstheme="minorHAnsi"/>
                <w:lang w:eastAsia="en-AU"/>
              </w:rPr>
            </w:pPr>
            <w:r w:rsidRPr="008F110B">
              <w:rPr>
                <w:rFonts w:asciiTheme="minorHAnsi" w:hAnsiTheme="minorHAnsi" w:cstheme="minorHAnsi"/>
                <w:lang w:eastAsia="en-AU"/>
              </w:rPr>
              <w:t>38.9</w:t>
            </w:r>
          </w:p>
        </w:tc>
        <w:tc>
          <w:tcPr>
            <w:tcW w:w="1802" w:type="dxa"/>
            <w:shd w:val="clear" w:color="auto" w:fill="auto"/>
          </w:tcPr>
          <w:p w14:paraId="30A22DDB" w14:textId="018FECDD" w:rsidR="00460667" w:rsidRPr="00881C48" w:rsidRDefault="00F81E1F" w:rsidP="00B05BF1">
            <w:pPr>
              <w:pStyle w:val="TableBody"/>
              <w:rPr>
                <w:rFonts w:asciiTheme="minorHAnsi" w:hAnsiTheme="minorHAnsi" w:cstheme="minorHAnsi"/>
                <w:lang w:eastAsia="en-AU"/>
              </w:rPr>
            </w:pPr>
            <w:r w:rsidRPr="00881C48">
              <w:rPr>
                <w:rFonts w:asciiTheme="minorHAnsi" w:hAnsiTheme="minorHAnsi" w:cstheme="minorHAnsi"/>
                <w:lang w:eastAsia="en-AU"/>
              </w:rPr>
              <w:t>105.4</w:t>
            </w:r>
          </w:p>
        </w:tc>
        <w:tc>
          <w:tcPr>
            <w:tcW w:w="1737" w:type="dxa"/>
            <w:shd w:val="clear" w:color="auto" w:fill="auto"/>
          </w:tcPr>
          <w:p w14:paraId="58C5F8EF" w14:textId="38171D92" w:rsidR="00460667" w:rsidRPr="00881C48" w:rsidRDefault="008F110B" w:rsidP="00B05BF1">
            <w:pPr>
              <w:pStyle w:val="TableBody"/>
              <w:rPr>
                <w:rFonts w:asciiTheme="minorHAnsi" w:hAnsiTheme="minorHAnsi" w:cstheme="minorHAnsi"/>
                <w:lang w:eastAsia="en-AU"/>
              </w:rPr>
            </w:pPr>
            <w:r>
              <w:rPr>
                <w:rFonts w:asciiTheme="minorHAnsi" w:hAnsiTheme="minorHAnsi" w:cstheme="minorHAnsi"/>
                <w:lang w:eastAsia="en-AU"/>
              </w:rPr>
              <w:t>39.8</w:t>
            </w:r>
          </w:p>
        </w:tc>
      </w:tr>
      <w:tr w:rsidR="001C1A15" w:rsidRPr="00B05BF1" w14:paraId="6A2BAA89" w14:textId="77777777" w:rsidTr="00B05BF1">
        <w:tc>
          <w:tcPr>
            <w:tcW w:w="2552" w:type="dxa"/>
            <w:shd w:val="clear" w:color="auto" w:fill="034EA2" w:themeFill="accent1"/>
            <w:hideMark/>
          </w:tcPr>
          <w:p w14:paraId="189205B1" w14:textId="77777777" w:rsidR="00460667" w:rsidRPr="00B05BF1" w:rsidRDefault="00460667" w:rsidP="00B05BF1">
            <w:pPr>
              <w:pStyle w:val="TableHeading"/>
              <w:rPr>
                <w:rFonts w:asciiTheme="minorHAnsi" w:hAnsiTheme="minorHAnsi" w:cstheme="minorHAnsi"/>
              </w:rPr>
            </w:pPr>
            <w:r w:rsidRPr="00B05BF1">
              <w:rPr>
                <w:rFonts w:asciiTheme="minorHAnsi" w:hAnsiTheme="minorHAnsi" w:cstheme="minorHAnsi"/>
              </w:rPr>
              <w:lastRenderedPageBreak/>
              <w:t>Total critical hospital assets</w:t>
            </w:r>
          </w:p>
        </w:tc>
        <w:tc>
          <w:tcPr>
            <w:tcW w:w="1736" w:type="dxa"/>
            <w:shd w:val="clear" w:color="auto" w:fill="034EA2" w:themeFill="accent1"/>
          </w:tcPr>
          <w:p w14:paraId="34F11292" w14:textId="51DB0FE7" w:rsidR="00460667" w:rsidRPr="00B05BF1" w:rsidRDefault="001B4C72" w:rsidP="00B05BF1">
            <w:pPr>
              <w:pStyle w:val="TableHeading"/>
              <w:rPr>
                <w:rFonts w:asciiTheme="minorHAnsi" w:hAnsiTheme="minorHAnsi" w:cstheme="minorHAnsi"/>
              </w:rPr>
            </w:pPr>
            <w:r>
              <w:rPr>
                <w:rFonts w:asciiTheme="minorHAnsi" w:hAnsiTheme="minorHAnsi" w:cstheme="minorHAnsi"/>
              </w:rPr>
              <w:t>342.6</w:t>
            </w:r>
          </w:p>
        </w:tc>
        <w:tc>
          <w:tcPr>
            <w:tcW w:w="1671" w:type="dxa"/>
            <w:shd w:val="clear" w:color="auto" w:fill="034EA2" w:themeFill="accent1"/>
          </w:tcPr>
          <w:p w14:paraId="1F623884" w14:textId="0C2CA7C3" w:rsidR="00460667" w:rsidRPr="00B05BF1" w:rsidRDefault="00460667" w:rsidP="00B05BF1">
            <w:pPr>
              <w:pStyle w:val="TableHeading"/>
              <w:rPr>
                <w:rFonts w:asciiTheme="minorHAnsi" w:hAnsiTheme="minorHAnsi" w:cstheme="minorHAnsi"/>
              </w:rPr>
            </w:pPr>
            <w:r w:rsidRPr="00B05BF1">
              <w:rPr>
                <w:rFonts w:asciiTheme="minorHAnsi" w:hAnsiTheme="minorHAnsi" w:cstheme="minorHAnsi"/>
              </w:rPr>
              <w:t>100</w:t>
            </w:r>
            <w:r w:rsidR="009F03E8" w:rsidRPr="00B05BF1">
              <w:rPr>
                <w:rFonts w:asciiTheme="minorHAnsi" w:hAnsiTheme="minorHAnsi" w:cstheme="minorHAnsi"/>
              </w:rPr>
              <w:t>.0</w:t>
            </w:r>
          </w:p>
        </w:tc>
        <w:tc>
          <w:tcPr>
            <w:tcW w:w="1802" w:type="dxa"/>
            <w:shd w:val="clear" w:color="auto" w:fill="034EA2" w:themeFill="accent1"/>
          </w:tcPr>
          <w:p w14:paraId="161EF2C0" w14:textId="3ECED94B" w:rsidR="00460667" w:rsidRPr="00B05BF1" w:rsidRDefault="001B4C72" w:rsidP="00B05BF1">
            <w:pPr>
              <w:pStyle w:val="TableHeading"/>
              <w:rPr>
                <w:rFonts w:asciiTheme="minorHAnsi" w:hAnsiTheme="minorHAnsi" w:cstheme="minorHAnsi"/>
              </w:rPr>
            </w:pPr>
            <w:r>
              <w:rPr>
                <w:rFonts w:asciiTheme="minorHAnsi" w:hAnsiTheme="minorHAnsi" w:cstheme="minorHAnsi"/>
              </w:rPr>
              <w:t>265.1</w:t>
            </w:r>
          </w:p>
        </w:tc>
        <w:tc>
          <w:tcPr>
            <w:tcW w:w="1737" w:type="dxa"/>
            <w:shd w:val="clear" w:color="auto" w:fill="034EA2" w:themeFill="accent1"/>
          </w:tcPr>
          <w:p w14:paraId="3C537E93" w14:textId="5228CAEC" w:rsidR="00460667" w:rsidRPr="00B05BF1" w:rsidRDefault="00460667" w:rsidP="00B05BF1">
            <w:pPr>
              <w:pStyle w:val="TableHeading"/>
              <w:rPr>
                <w:rFonts w:asciiTheme="minorHAnsi" w:hAnsiTheme="minorHAnsi" w:cstheme="minorHAnsi"/>
              </w:rPr>
            </w:pPr>
            <w:r w:rsidRPr="00B05BF1">
              <w:rPr>
                <w:rFonts w:asciiTheme="minorHAnsi" w:hAnsiTheme="minorHAnsi" w:cstheme="minorHAnsi"/>
              </w:rPr>
              <w:t>100.0</w:t>
            </w:r>
          </w:p>
        </w:tc>
      </w:tr>
    </w:tbl>
    <w:p w14:paraId="283A4182" w14:textId="77777777" w:rsidR="006912C4" w:rsidRDefault="006912C4" w:rsidP="00FF1641">
      <w:pPr>
        <w:pStyle w:val="AppendixH2"/>
      </w:pPr>
      <w:r>
        <w:t>Benefits of option 2</w:t>
      </w:r>
    </w:p>
    <w:p w14:paraId="5DEFD5BE" w14:textId="77777777" w:rsidR="006912C4" w:rsidRPr="00E9705C" w:rsidRDefault="006912C4" w:rsidP="00FF1641">
      <w:pPr>
        <w:pStyle w:val="BodyText"/>
        <w:rPr>
          <w:rFonts w:ascii="Arial" w:eastAsia="Calibri" w:hAnsi="Arial" w:cs="Arial"/>
        </w:rPr>
      </w:pPr>
      <w:r w:rsidRPr="00E9705C">
        <w:t xml:space="preserve">A reliable continuous </w:t>
      </w:r>
      <w:r>
        <w:t>hospital</w:t>
      </w:r>
      <w:r w:rsidRPr="00E9705C">
        <w:t xml:space="preserve"> s</w:t>
      </w:r>
      <w:r>
        <w:t>ystem</w:t>
      </w:r>
      <w:r w:rsidRPr="00E9705C">
        <w:t xml:space="preserve"> is central to Australia’s prosperity. The </w:t>
      </w:r>
      <w:r>
        <w:t>RMP</w:t>
      </w:r>
      <w:r w:rsidRPr="00E9705C">
        <w:t xml:space="preserve"> framework aims to reduce the frequency and impact of any disruption to </w:t>
      </w:r>
      <w:r w:rsidR="000C4E8A">
        <w:t>the hospital system</w:t>
      </w:r>
      <w:r w:rsidRPr="00E9705C">
        <w:t xml:space="preserve"> and so its primary benefit is to avoid the incidents that may otherwise disrupt supply and cause economic loss</w:t>
      </w:r>
      <w:r w:rsidR="00423416">
        <w:t xml:space="preserve"> and harm to </w:t>
      </w:r>
      <w:r w:rsidR="00AE6B2F">
        <w:t xml:space="preserve">human </w:t>
      </w:r>
      <w:r w:rsidR="00426CDE">
        <w:t>life</w:t>
      </w:r>
      <w:r w:rsidRPr="00E9705C">
        <w:t>.</w:t>
      </w:r>
    </w:p>
    <w:p w14:paraId="54E7B8BB" w14:textId="77777777" w:rsidR="006912C4" w:rsidRPr="00656632" w:rsidRDefault="006912C4" w:rsidP="00B05BF1">
      <w:pPr>
        <w:pStyle w:val="AppendixH3"/>
        <w:rPr>
          <w:rFonts w:eastAsia="Calibri"/>
        </w:rPr>
      </w:pPr>
      <w:r>
        <w:rPr>
          <w:rFonts w:eastAsia="Calibri"/>
        </w:rPr>
        <w:t>Economic i</w:t>
      </w:r>
      <w:r w:rsidRPr="00656632">
        <w:rPr>
          <w:rFonts w:eastAsia="Calibri"/>
        </w:rPr>
        <w:t xml:space="preserve">mpacts of disruptions to </w:t>
      </w:r>
      <w:r>
        <w:rPr>
          <w:rFonts w:eastAsia="Calibri"/>
        </w:rPr>
        <w:t>hospital</w:t>
      </w:r>
      <w:r w:rsidRPr="00656632">
        <w:rPr>
          <w:rFonts w:eastAsia="Calibri"/>
        </w:rPr>
        <w:t xml:space="preserve"> supply </w:t>
      </w:r>
    </w:p>
    <w:p w14:paraId="58A6CE8D" w14:textId="77777777" w:rsidR="006912C4" w:rsidRPr="00E9705C" w:rsidRDefault="006912C4" w:rsidP="00FF1641">
      <w:pPr>
        <w:pStyle w:val="BodyText"/>
      </w:pPr>
      <w:r w:rsidRPr="00E9705C">
        <w:t xml:space="preserve">Damage to </w:t>
      </w:r>
      <w:r>
        <w:t xml:space="preserve">critical </w:t>
      </w:r>
      <w:r w:rsidR="000C4E8A">
        <w:t>hospital</w:t>
      </w:r>
      <w:r>
        <w:t xml:space="preserve"> assets</w:t>
      </w:r>
      <w:r w:rsidRPr="00E9705C">
        <w:t xml:space="preserve"> can generate costly immediate and longer-term impacts on the Australian economy. </w:t>
      </w:r>
      <w:r>
        <w:t>T</w:t>
      </w:r>
      <w:r w:rsidRPr="00E9705C">
        <w:t>he immediate</w:t>
      </w:r>
      <w:r w:rsidRPr="00E9705C">
        <w:rPr>
          <w:rFonts w:eastAsia="Arial"/>
        </w:rPr>
        <w:t xml:space="preserve"> impacts of a </w:t>
      </w:r>
      <w:r>
        <w:rPr>
          <w:rFonts w:eastAsia="Arial"/>
        </w:rPr>
        <w:t>disruption to</w:t>
      </w:r>
      <w:r w:rsidRPr="00E9705C">
        <w:rPr>
          <w:rFonts w:eastAsia="Arial"/>
        </w:rPr>
        <w:t xml:space="preserve"> </w:t>
      </w:r>
      <w:r>
        <w:rPr>
          <w:rFonts w:eastAsia="Arial"/>
        </w:rPr>
        <w:t>hospital</w:t>
      </w:r>
      <w:r w:rsidRPr="00E9705C">
        <w:rPr>
          <w:rFonts w:eastAsia="Arial"/>
        </w:rPr>
        <w:t xml:space="preserve"> </w:t>
      </w:r>
      <w:r>
        <w:rPr>
          <w:rFonts w:eastAsia="Arial"/>
        </w:rPr>
        <w:t>supply include:</w:t>
      </w:r>
    </w:p>
    <w:p w14:paraId="124ED14A" w14:textId="77777777" w:rsidR="00E059AB" w:rsidRDefault="00E059AB" w:rsidP="00FF1641">
      <w:pPr>
        <w:pStyle w:val="Bullet1stlevel"/>
      </w:pPr>
      <w:r>
        <w:t>Disruption to procedures and surgeries putting patients and public safety at risk;</w:t>
      </w:r>
    </w:p>
    <w:p w14:paraId="74BFC418" w14:textId="77777777" w:rsidR="00E059AB" w:rsidRDefault="00E059AB" w:rsidP="00FF1641">
      <w:pPr>
        <w:pStyle w:val="Bullet1stlevel"/>
      </w:pPr>
      <w:r>
        <w:t>Significant delays in getting treatments;</w:t>
      </w:r>
    </w:p>
    <w:p w14:paraId="7BD2C01B" w14:textId="01FDB41A" w:rsidR="00E059AB" w:rsidRPr="00204367" w:rsidRDefault="00E059AB" w:rsidP="00FF1641">
      <w:pPr>
        <w:pStyle w:val="Bullet1stlevel"/>
      </w:pPr>
      <w:r>
        <w:t>Risk in increase</w:t>
      </w:r>
      <w:r w:rsidR="00586F81">
        <w:t>d</w:t>
      </w:r>
      <w:r>
        <w:t xml:space="preserve"> mortality rates and serious conditions</w:t>
      </w:r>
      <w:r w:rsidRPr="00204367">
        <w:t>;</w:t>
      </w:r>
    </w:p>
    <w:p w14:paraId="5F20C185" w14:textId="77777777" w:rsidR="00E059AB" w:rsidRDefault="00E059AB" w:rsidP="00FF1641">
      <w:pPr>
        <w:pStyle w:val="Bullet1stlevel"/>
      </w:pPr>
      <w:r>
        <w:t>S</w:t>
      </w:r>
      <w:r w:rsidRPr="00374A1D">
        <w:t>hortages in or destruction of essential medical supplies</w:t>
      </w:r>
      <w:r>
        <w:t>; and</w:t>
      </w:r>
    </w:p>
    <w:p w14:paraId="06ACF2F2" w14:textId="77777777" w:rsidR="00E059AB" w:rsidRDefault="00E059AB" w:rsidP="00FF1641">
      <w:pPr>
        <w:pStyle w:val="Bullet1stlevel"/>
      </w:pPr>
      <w:r>
        <w:t>Lack of accessible ICU capacity and hospital beds to meet high demands</w:t>
      </w:r>
    </w:p>
    <w:p w14:paraId="33F0E968" w14:textId="77777777" w:rsidR="006912C4" w:rsidRPr="00E9705C" w:rsidRDefault="006912C4" w:rsidP="00FF1641">
      <w:pPr>
        <w:pStyle w:val="BodyText"/>
      </w:pPr>
      <w:r w:rsidRPr="00E9705C">
        <w:t xml:space="preserve">Quantifying the economic impacts associated with </w:t>
      </w:r>
      <w:r>
        <w:t xml:space="preserve">a disruption to </w:t>
      </w:r>
      <w:r w:rsidR="00E059AB">
        <w:t>the hospital system</w:t>
      </w:r>
      <w:r w:rsidRPr="00E9705C">
        <w:t xml:space="preserve"> is complex. Data is relatively sparse, and the economic impacts vary as they are highly sensitive to factors including:  </w:t>
      </w:r>
    </w:p>
    <w:p w14:paraId="3C371D2A" w14:textId="7CF3004A" w:rsidR="006912C4" w:rsidRPr="00E9705C" w:rsidRDefault="006912C4" w:rsidP="00FF1641">
      <w:pPr>
        <w:pStyle w:val="Bullet1stlevel"/>
      </w:pPr>
      <w:r w:rsidRPr="00E9705C">
        <w:t xml:space="preserve">Duration of the </w:t>
      </w:r>
      <w:r>
        <w:t>disruption</w:t>
      </w:r>
      <w:r w:rsidR="00586F81">
        <w:t>;</w:t>
      </w:r>
      <w:r w:rsidRPr="00E9705C">
        <w:t xml:space="preserve"> for example short </w:t>
      </w:r>
      <w:r>
        <w:t>disruptions</w:t>
      </w:r>
      <w:r w:rsidRPr="00E9705C">
        <w:t xml:space="preserve"> are relatively manageable;</w:t>
      </w:r>
    </w:p>
    <w:p w14:paraId="29669AB1" w14:textId="77777777" w:rsidR="006912C4" w:rsidRPr="00E9705C" w:rsidRDefault="006912C4" w:rsidP="00FF1641">
      <w:pPr>
        <w:pStyle w:val="Bullet1stlevel"/>
      </w:pPr>
      <w:r w:rsidRPr="00E9705C">
        <w:t xml:space="preserve">Geographic spread of the outage, for example a localised </w:t>
      </w:r>
      <w:r>
        <w:t>disruption to supply</w:t>
      </w:r>
      <w:r w:rsidRPr="00E9705C">
        <w:t xml:space="preserve"> means that less users are affected and substitutable goods </w:t>
      </w:r>
      <w:r>
        <w:t>are available</w:t>
      </w:r>
      <w:r w:rsidR="00A12D1C">
        <w:t xml:space="preserve"> (e.g. </w:t>
      </w:r>
      <w:r w:rsidR="003E47BF">
        <w:t>ne</w:t>
      </w:r>
      <w:r w:rsidR="00A12D1C">
        <w:t>w patients are redirected to a nearby hospital)</w:t>
      </w:r>
      <w:r>
        <w:t>; and</w:t>
      </w:r>
    </w:p>
    <w:p w14:paraId="6049483F" w14:textId="77777777" w:rsidR="006912C4" w:rsidRPr="007B0C92" w:rsidRDefault="006912C4" w:rsidP="00FF1641">
      <w:pPr>
        <w:pStyle w:val="Bullet1stlevel"/>
      </w:pPr>
      <w:r w:rsidRPr="00E9705C">
        <w:t>Time of day/day of the week/time of the year that the outage occurs</w:t>
      </w:r>
      <w:r w:rsidR="0059694E">
        <w:t>.</w:t>
      </w:r>
      <w:r>
        <w:t xml:space="preserve"> </w:t>
      </w:r>
    </w:p>
    <w:p w14:paraId="766591D1" w14:textId="77777777" w:rsidR="006912C4" w:rsidRPr="00E9705C" w:rsidRDefault="006912C4" w:rsidP="00FF1641">
      <w:pPr>
        <w:pStyle w:val="BodyText"/>
      </w:pPr>
      <w:r w:rsidRPr="00C14890">
        <w:t xml:space="preserve">Computable </w:t>
      </w:r>
      <w:r w:rsidRPr="00FF1641">
        <w:t>General</w:t>
      </w:r>
      <w:r w:rsidRPr="00C14890">
        <w:t xml:space="preserve"> Equilibrium (CGE) modelling was used to illustrate how costly the incident could potentially be by examining the real-world cost of a data breach on a business in the </w:t>
      </w:r>
      <w:r w:rsidR="00565606">
        <w:t>hospital</w:t>
      </w:r>
      <w:r w:rsidRPr="00C14890">
        <w:t xml:space="preserve"> sector and an associated increase in input costs (i.e. an increase in the cost of </w:t>
      </w:r>
      <w:r>
        <w:t>hospital</w:t>
      </w:r>
      <w:r w:rsidRPr="00C14890">
        <w:t>). The advantage of using a CGE approach to determine quantitative benefit</w:t>
      </w:r>
      <w:r w:rsidR="00A606D6">
        <w:t>s</w:t>
      </w:r>
      <w:r w:rsidRPr="00C14890">
        <w:t xml:space="preserve"> is that both the direct and indirect (i.e. flow-on) economic impacts of an incident can be quantified.</w:t>
      </w:r>
    </w:p>
    <w:p w14:paraId="31980593" w14:textId="77777777" w:rsidR="006912C4" w:rsidRDefault="006912C4" w:rsidP="006C3242">
      <w:pPr>
        <w:pStyle w:val="AppendixH3"/>
        <w:spacing w:after="80"/>
      </w:pPr>
      <w:r w:rsidRPr="00386A14">
        <w:t xml:space="preserve">CGE Modelling Approach </w:t>
      </w:r>
    </w:p>
    <w:p w14:paraId="301A9B9D" w14:textId="77777777" w:rsidR="006912C4" w:rsidRPr="0018704F" w:rsidRDefault="006912C4" w:rsidP="006C3242">
      <w:pPr>
        <w:pStyle w:val="BodyText"/>
        <w:spacing w:before="80" w:after="80"/>
      </w:pPr>
      <w:r w:rsidRPr="0018704F">
        <w:t xml:space="preserve">To analyse the direct and indirect economic contributions of </w:t>
      </w:r>
      <w:r w:rsidRPr="0018704F">
        <w:rPr>
          <w:rFonts w:eastAsia="Calibri"/>
        </w:rPr>
        <w:t xml:space="preserve">an incident on a critical </w:t>
      </w:r>
      <w:r w:rsidR="00565606">
        <w:rPr>
          <w:rFonts w:eastAsia="Calibri"/>
        </w:rPr>
        <w:t>hospital</w:t>
      </w:r>
      <w:r w:rsidRPr="0018704F">
        <w:rPr>
          <w:rFonts w:eastAsia="Calibri"/>
        </w:rPr>
        <w:t xml:space="preserve"> asset</w:t>
      </w:r>
      <w:r w:rsidRPr="0018704F">
        <w:t xml:space="preserve"> in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w:t>
      </w:r>
    </w:p>
    <w:p w14:paraId="07D0AD41" w14:textId="77777777" w:rsidR="006912C4" w:rsidRPr="00E9705C" w:rsidRDefault="006912C4" w:rsidP="006C3242">
      <w:pPr>
        <w:pStyle w:val="BodyText"/>
        <w:spacing w:before="80" w:after="80"/>
      </w:pPr>
      <w:r w:rsidRPr="00E9705C">
        <w:t xml:space="preserve">Defining features of the theoretical structure of the model are: </w:t>
      </w:r>
    </w:p>
    <w:p w14:paraId="6B935A92" w14:textId="77777777" w:rsidR="006912C4" w:rsidRPr="00E9705C" w:rsidRDefault="006912C4" w:rsidP="006C3242">
      <w:pPr>
        <w:pStyle w:val="Bullet1stlevel"/>
        <w:spacing w:before="80" w:after="80"/>
        <w:rPr>
          <w:rFonts w:ascii="Calibri" w:eastAsia="Times New Roman" w:hAnsi="Calibri" w:cs="Times New Roman"/>
        </w:rPr>
      </w:pPr>
      <w:r w:rsidRPr="00E9705C">
        <w:t xml:space="preserve">Optimising behaviour by households and businesses in the context of competitive markets with explicit resource and budget constraints; </w:t>
      </w:r>
    </w:p>
    <w:p w14:paraId="0F068994" w14:textId="77777777" w:rsidR="006912C4" w:rsidRPr="00E9705C" w:rsidRDefault="006912C4" w:rsidP="006C3242">
      <w:pPr>
        <w:pStyle w:val="Bullet1stlevel"/>
        <w:spacing w:before="80" w:after="80"/>
        <w:rPr>
          <w:rFonts w:ascii="Calibri" w:eastAsia="Times New Roman" w:hAnsi="Calibri" w:cs="Times New Roman"/>
        </w:rPr>
      </w:pPr>
      <w:r w:rsidRPr="00E9705C">
        <w:t xml:space="preserve">The price mechanism operates to clear markets for goods and factors such as labour and capital (i.e. prices adjust so that supply equals demand); and </w:t>
      </w:r>
    </w:p>
    <w:p w14:paraId="08D8B408" w14:textId="77777777" w:rsidR="006912C4" w:rsidRPr="00E9705C" w:rsidRDefault="006912C4" w:rsidP="006C3242">
      <w:pPr>
        <w:pStyle w:val="Bullet1stlevel"/>
        <w:spacing w:before="80" w:after="80"/>
      </w:pPr>
      <w:r w:rsidRPr="00E9705C">
        <w:t xml:space="preserve">At the margin, costs are equal to revenues in all economic activities. </w:t>
      </w:r>
    </w:p>
    <w:p w14:paraId="7C7F5265" w14:textId="77777777" w:rsidR="006912C4" w:rsidRDefault="006912C4" w:rsidP="006C3242">
      <w:pPr>
        <w:pStyle w:val="BodyText"/>
        <w:spacing w:before="80" w:after="80"/>
      </w:pPr>
      <w:r w:rsidRPr="00E9705C">
        <w:t xml:space="preserve">The modelling framework is suited to analysing the economic impact of </w:t>
      </w:r>
      <w:r>
        <w:t xml:space="preserve">an incident on a critical </w:t>
      </w:r>
      <w:r w:rsidR="00A12D1C">
        <w:t>hospital</w:t>
      </w:r>
      <w:r>
        <w:t xml:space="preserve"> asset</w:t>
      </w:r>
      <w:r w:rsidRPr="00E9705C">
        <w:t xml:space="preserve"> as it explicitly captures supply-chain linkages as well as other flow-on effects and </w:t>
      </w:r>
      <w:r w:rsidRPr="00E9705C">
        <w:lastRenderedPageBreak/>
        <w:t xml:space="preserve">feedback responses by all economic agents. The strength of CGE models is that they capture the upstream and downstream linkages between the activities induced by the </w:t>
      </w:r>
      <w:r>
        <w:t>data breach scenario</w:t>
      </w:r>
      <w:r w:rsidRPr="00E9705C">
        <w:t xml:space="preserve"> and the rest of the economy in a framework that combines detailed historical data with fundamental economic theory. </w:t>
      </w:r>
    </w:p>
    <w:p w14:paraId="3B88F570" w14:textId="77777777" w:rsidR="006912C4" w:rsidRPr="00180A8F" w:rsidRDefault="006912C4" w:rsidP="006C3242">
      <w:pPr>
        <w:pStyle w:val="AppendixH3"/>
        <w:spacing w:after="80"/>
      </w:pPr>
      <w:r>
        <w:t>Scenario</w:t>
      </w:r>
    </w:p>
    <w:p w14:paraId="7E74A514" w14:textId="678938F2" w:rsidR="006912C4" w:rsidRPr="002301C9" w:rsidRDefault="006912C4" w:rsidP="006C3242">
      <w:pPr>
        <w:pStyle w:val="BodyText"/>
        <w:spacing w:before="80" w:after="80"/>
      </w:pPr>
      <w:r w:rsidRPr="00E9705C">
        <w:t xml:space="preserve">The CGE modelling provided estimates regarding how sensitive the Australian economy is to a shock </w:t>
      </w:r>
      <w:r>
        <w:t xml:space="preserve">as a result of an incident in the </w:t>
      </w:r>
      <w:r w:rsidR="00E73EC6">
        <w:t>hospital</w:t>
      </w:r>
      <w:r>
        <w:t xml:space="preserve"> sector</w:t>
      </w:r>
      <w:r w:rsidRPr="00E9705C">
        <w:t xml:space="preserve">. </w:t>
      </w:r>
      <w:r>
        <w:t xml:space="preserve">This analysis is undertaken by defining a set of hypothetical scenarios with varying magnitude of impact and resulting cost. The scope of the hypothetical scenarios is based on real-world case studies. </w:t>
      </w:r>
      <w:r w:rsidR="00586F81">
        <w:t xml:space="preserve">Discussed below is the case study which informed the scope of the hypothetical scenario. </w:t>
      </w:r>
    </w:p>
    <w:p w14:paraId="5BEDE514" w14:textId="77777777" w:rsidR="006912C4" w:rsidRPr="00386A14" w:rsidRDefault="006912C4" w:rsidP="006C3242">
      <w:pPr>
        <w:pStyle w:val="AppendixH3"/>
        <w:spacing w:after="80"/>
      </w:pPr>
      <w:r w:rsidRPr="00386A14">
        <w:t>Case studies</w:t>
      </w:r>
    </w:p>
    <w:p w14:paraId="507A10FF" w14:textId="77777777" w:rsidR="00006CD9" w:rsidRPr="002301C9" w:rsidRDefault="00006CD9" w:rsidP="00FF1641">
      <w:pPr>
        <w:pStyle w:val="BodyText"/>
      </w:pPr>
      <w:r w:rsidRPr="00827F58">
        <w:t>The case stud</w:t>
      </w:r>
      <w:r>
        <w:t>y</w:t>
      </w:r>
      <w:r w:rsidRPr="00827F58">
        <w:t xml:space="preserve"> in </w:t>
      </w:r>
      <w:r>
        <w:t>the table below</w:t>
      </w:r>
      <w:r w:rsidRPr="00827F58">
        <w:t xml:space="preserve"> </w:t>
      </w:r>
      <w:r w:rsidRPr="00E9705C">
        <w:t>provide</w:t>
      </w:r>
      <w:r>
        <w:t>s</w:t>
      </w:r>
      <w:r w:rsidRPr="00E9705C">
        <w:t xml:space="preserve"> a basis for modelling hypothetical, but comparable </w:t>
      </w:r>
      <w:r>
        <w:t>incidents</w:t>
      </w:r>
      <w:r w:rsidRPr="00E9705C">
        <w:t xml:space="preserve">, in an economy-wide model and contextualising the results of that modelling. </w:t>
      </w:r>
      <w:r>
        <w:t>The c</w:t>
      </w:r>
      <w:r w:rsidRPr="00E9705C">
        <w:t>ase stu</w:t>
      </w:r>
      <w:r>
        <w:t>dy</w:t>
      </w:r>
      <w:r w:rsidRPr="00E9705C">
        <w:t xml:space="preserve"> </w:t>
      </w:r>
      <w:r>
        <w:t>was</w:t>
      </w:r>
      <w:r w:rsidRPr="00E9705C">
        <w:t xml:space="preserve"> chosen to provide insights into the economy-wide costs to households and businesses of </w:t>
      </w:r>
      <w:r>
        <w:t>disruption</w:t>
      </w:r>
      <w:r w:rsidRPr="00E9705C">
        <w:t xml:space="preserve"> events</w:t>
      </w:r>
      <w:r w:rsidRPr="00827F58">
        <w:t xml:space="preserve">. </w:t>
      </w:r>
    </w:p>
    <w:p w14:paraId="518F7903" w14:textId="77777777" w:rsidR="006912C4" w:rsidRDefault="006912C4" w:rsidP="00B05BF1">
      <w:pPr>
        <w:pStyle w:val="Caption"/>
        <w:rPr>
          <w:rFonts w:eastAsia="Arial"/>
          <w:sz w:val="22"/>
        </w:rPr>
      </w:pPr>
      <w:r>
        <w:t xml:space="preserve">Incident case studies affecting </w:t>
      </w:r>
      <w:r w:rsidR="00E73EC6">
        <w:t>critical hospital</w:t>
      </w:r>
      <w:r>
        <w:t xml:space="preserve"> asset</w:t>
      </w:r>
      <w:r w:rsidRPr="00E9705C">
        <w:t>s in Australia and globally</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1511"/>
        <w:gridCol w:w="8127"/>
      </w:tblGrid>
      <w:tr w:rsidR="006912C4" w:rsidRPr="00E9705C" w14:paraId="2A239949" w14:textId="77777777" w:rsidTr="00A35924">
        <w:tc>
          <w:tcPr>
            <w:tcW w:w="784" w:type="pct"/>
            <w:shd w:val="clear" w:color="auto" w:fill="034EA2" w:themeFill="accent1"/>
          </w:tcPr>
          <w:p w14:paraId="082258DC" w14:textId="77777777" w:rsidR="006912C4" w:rsidRPr="000F20CF" w:rsidRDefault="006912C4" w:rsidP="00A35924">
            <w:pPr>
              <w:pStyle w:val="TableHeading"/>
            </w:pPr>
            <w:r w:rsidRPr="009807CA">
              <w:t>Incident</w:t>
            </w:r>
          </w:p>
        </w:tc>
        <w:tc>
          <w:tcPr>
            <w:tcW w:w="4216" w:type="pct"/>
            <w:shd w:val="clear" w:color="auto" w:fill="034EA2" w:themeFill="accent1"/>
          </w:tcPr>
          <w:p w14:paraId="28B7B190" w14:textId="77777777" w:rsidR="006912C4" w:rsidRPr="000F20CF" w:rsidRDefault="006912C4" w:rsidP="00A35924">
            <w:pPr>
              <w:pStyle w:val="TableHeading"/>
            </w:pPr>
            <w:r w:rsidRPr="009807CA">
              <w:t>Summary of incident</w:t>
            </w:r>
          </w:p>
        </w:tc>
      </w:tr>
      <w:tr w:rsidR="006912C4" w:rsidRPr="00E9705C" w14:paraId="557DBFB6" w14:textId="77777777" w:rsidTr="00A35924">
        <w:tc>
          <w:tcPr>
            <w:tcW w:w="784" w:type="pct"/>
          </w:tcPr>
          <w:p w14:paraId="32BC534C" w14:textId="77777777" w:rsidR="006912C4" w:rsidRPr="00656632" w:rsidRDefault="00E73EC6" w:rsidP="00B05BF1">
            <w:pPr>
              <w:pStyle w:val="TableBody"/>
              <w:rPr>
                <w:rFonts w:eastAsia="Calibri"/>
                <w:sz w:val="22"/>
              </w:rPr>
            </w:pPr>
            <w:r w:rsidRPr="009446DF">
              <w:t>WannaCry Cyber-attack on National Health Service (NHS)</w:t>
            </w:r>
          </w:p>
        </w:tc>
        <w:tc>
          <w:tcPr>
            <w:tcW w:w="4216" w:type="pct"/>
            <w:shd w:val="clear" w:color="auto" w:fill="auto"/>
          </w:tcPr>
          <w:p w14:paraId="7DD452E9" w14:textId="627A5967" w:rsidR="006912C4" w:rsidRPr="00E9705C" w:rsidRDefault="00E73EC6" w:rsidP="00A35924">
            <w:pPr>
              <w:pStyle w:val="TableBody"/>
              <w:rPr>
                <w:vertAlign w:val="superscript"/>
              </w:rPr>
            </w:pPr>
            <w:r w:rsidRPr="00E73EC6">
              <w:t xml:space="preserve">On 12 May 2017, a cyber-attack severely disrupted over 80 hospital trusts and 8% of GP </w:t>
            </w:r>
            <w:r w:rsidR="00A969C0" w:rsidRPr="00E73EC6">
              <w:t>practices</w:t>
            </w:r>
            <w:r w:rsidRPr="00E73EC6">
              <w:t xml:space="preserve"> in the NHS, after hospitals were locked down from a ransomware cyber-attack. Hospitals and GP surgeries across England and Scotland were forced to postpone appointments.</w:t>
            </w:r>
            <w:r w:rsidR="00B65405">
              <w:t xml:space="preserve"> </w:t>
            </w:r>
            <w:r w:rsidRPr="00E73EC6">
              <w:t>The ransomware worked by preventing users from accessing 200,000 computers via red-lettered error messages demanding Bitcoin.</w:t>
            </w:r>
            <w:r w:rsidRPr="00E73EC6">
              <w:rPr>
                <w:rStyle w:val="FootnoteReference"/>
              </w:rPr>
              <w:footnoteReference w:id="381"/>
            </w:r>
            <w:r>
              <w:t xml:space="preserve"> </w:t>
            </w:r>
            <w:r w:rsidRPr="00A35924">
              <w:t>Although the attack disrupted approximately 1% of NHS care, the Department of Health and Social Care (DHSC) report stated that the attack cost approximately £20 million ($36 million AUD) in lost output, followed by another £72 million (130 million AUD) in IT support to restore data and systems. The total cost to the NHS was £92 million (equivalent to more than $168 million AUD) due to services lost during the attack and IT costs in the aftermath.</w:t>
            </w:r>
            <w:r w:rsidRPr="00E73EC6">
              <w:rPr>
                <w:rStyle w:val="FootnoteReference"/>
                <w:bCs/>
              </w:rPr>
              <w:footnoteReference w:id="382"/>
            </w:r>
          </w:p>
        </w:tc>
      </w:tr>
    </w:tbl>
    <w:p w14:paraId="64D4BA66" w14:textId="77777777" w:rsidR="006912C4" w:rsidRDefault="006912C4" w:rsidP="00B05BF1">
      <w:pPr>
        <w:pStyle w:val="BodyText"/>
      </w:pPr>
      <w:r w:rsidRPr="00827F58">
        <w:t xml:space="preserve">For the purposes of the modelling of the cost of avoided future incidents in Australia, the </w:t>
      </w:r>
      <w:r w:rsidR="0058255D" w:rsidRPr="0058255D">
        <w:t>WannaCry Cyber-</w:t>
      </w:r>
      <w:r w:rsidR="00C81E7E">
        <w:t>attack</w:t>
      </w:r>
      <w:r w:rsidRPr="00827F58">
        <w:t xml:space="preserve"> </w:t>
      </w:r>
      <w:r w:rsidR="0058255D" w:rsidRPr="0058255D">
        <w:t>on the NHS</w:t>
      </w:r>
      <w:r w:rsidRPr="0058255D">
        <w:t xml:space="preserve"> </w:t>
      </w:r>
      <w:r w:rsidRPr="00827F58">
        <w:t xml:space="preserve">was selected to be simulated due to the availability of sufficient information about its direct </w:t>
      </w:r>
      <w:r>
        <w:t xml:space="preserve">cost </w:t>
      </w:r>
      <w:r w:rsidRPr="00827F58">
        <w:t>to support the modelling. Given the magnitude of damages</w:t>
      </w:r>
      <w:r>
        <w:t xml:space="preserve"> associated with the incident</w:t>
      </w:r>
      <w:r w:rsidR="00C81E7E">
        <w:t xml:space="preserve"> and the size of the UK health system</w:t>
      </w:r>
      <w:r w:rsidRPr="00827F58">
        <w:t xml:space="preserve">, this incident is considered a </w:t>
      </w:r>
      <w:r w:rsidR="00C81E7E">
        <w:t>severe</w:t>
      </w:r>
      <w:r w:rsidRPr="00827F58">
        <w:t xml:space="preserve">-risk scenario. The use of an actual event as a risk point of comparison is important because it ensures the benefits analysis is grounded in reality. </w:t>
      </w:r>
    </w:p>
    <w:p w14:paraId="4FFFB93D" w14:textId="77777777" w:rsidR="006912C4" w:rsidRDefault="006912C4" w:rsidP="00B05BF1">
      <w:pPr>
        <w:pStyle w:val="BodyText"/>
      </w:pPr>
      <w:r w:rsidRPr="00827F58">
        <w:t>A framework for considering the potential im</w:t>
      </w:r>
      <w:r>
        <w:t xml:space="preserve">pact of incidents in the Australian </w:t>
      </w:r>
      <w:r w:rsidR="00C81E7E">
        <w:t xml:space="preserve">hospital </w:t>
      </w:r>
      <w:r w:rsidR="00B65405">
        <w:t>system</w:t>
      </w:r>
      <w:r>
        <w:t xml:space="preserve"> </w:t>
      </w:r>
      <w:r w:rsidRPr="00827F58">
        <w:t>is provided in</w:t>
      </w:r>
      <w:r>
        <w:t xml:space="preserve"> the table </w:t>
      </w:r>
      <w:r w:rsidRPr="00827F58">
        <w:t>below.</w:t>
      </w:r>
    </w:p>
    <w:p w14:paraId="20723F5D" w14:textId="77777777" w:rsidR="006912C4" w:rsidRPr="00CE4FE0" w:rsidRDefault="006912C4" w:rsidP="00FF1641">
      <w:pPr>
        <w:pStyle w:val="Caption"/>
      </w:pPr>
      <w:r w:rsidRPr="00827F58">
        <w:t>Framework for scenario development and sensitivity analysis</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2409"/>
        <w:gridCol w:w="2409"/>
        <w:gridCol w:w="2410"/>
        <w:gridCol w:w="2410"/>
      </w:tblGrid>
      <w:tr w:rsidR="00340241" w:rsidRPr="00827F58" w14:paraId="18724B92" w14:textId="77777777" w:rsidTr="006C3242">
        <w:tc>
          <w:tcPr>
            <w:tcW w:w="1250" w:type="pct"/>
            <w:shd w:val="clear" w:color="auto" w:fill="034EA2" w:themeFill="accent1"/>
          </w:tcPr>
          <w:p w14:paraId="59F5A355" w14:textId="77777777" w:rsidR="003E47BF" w:rsidRPr="00827F58" w:rsidRDefault="003E47BF" w:rsidP="006C3242">
            <w:pPr>
              <w:pStyle w:val="TableHeading"/>
            </w:pPr>
          </w:p>
        </w:tc>
        <w:tc>
          <w:tcPr>
            <w:tcW w:w="1250" w:type="pct"/>
            <w:shd w:val="clear" w:color="auto" w:fill="034EA2" w:themeFill="accent1"/>
          </w:tcPr>
          <w:p w14:paraId="3F87D7D5" w14:textId="77777777" w:rsidR="003E47BF" w:rsidRPr="000F20CF" w:rsidRDefault="003E47BF" w:rsidP="006C3242">
            <w:pPr>
              <w:pStyle w:val="TableHeading"/>
              <w:rPr>
                <w:color w:val="FFFFFF"/>
              </w:rPr>
            </w:pPr>
            <w:r w:rsidRPr="009807CA">
              <w:rPr>
                <w:color w:val="FFFFFF"/>
              </w:rPr>
              <w:t>Severe scenario</w:t>
            </w:r>
          </w:p>
        </w:tc>
        <w:tc>
          <w:tcPr>
            <w:tcW w:w="1250" w:type="pct"/>
            <w:shd w:val="clear" w:color="auto" w:fill="034EA2" w:themeFill="accent1"/>
          </w:tcPr>
          <w:p w14:paraId="596FEC0E" w14:textId="77777777" w:rsidR="003E47BF" w:rsidRPr="000F20CF" w:rsidRDefault="003E47BF" w:rsidP="006C3242">
            <w:pPr>
              <w:pStyle w:val="TableHeading"/>
              <w:rPr>
                <w:color w:val="FFFFFF"/>
              </w:rPr>
            </w:pPr>
            <w:r w:rsidRPr="009807CA">
              <w:rPr>
                <w:color w:val="FFFFFF"/>
              </w:rPr>
              <w:t>Moderate scenario</w:t>
            </w:r>
          </w:p>
        </w:tc>
        <w:tc>
          <w:tcPr>
            <w:tcW w:w="1250" w:type="pct"/>
            <w:shd w:val="clear" w:color="auto" w:fill="034EA2" w:themeFill="accent1"/>
          </w:tcPr>
          <w:p w14:paraId="35BFC195" w14:textId="77777777" w:rsidR="003E47BF" w:rsidRPr="000F20CF" w:rsidRDefault="003E47BF" w:rsidP="006C3242">
            <w:pPr>
              <w:pStyle w:val="TableHeading"/>
              <w:rPr>
                <w:color w:val="FFFFFF"/>
              </w:rPr>
            </w:pPr>
            <w:r w:rsidRPr="009807CA">
              <w:rPr>
                <w:color w:val="FFFFFF"/>
              </w:rPr>
              <w:t>Low scenario</w:t>
            </w:r>
          </w:p>
        </w:tc>
      </w:tr>
      <w:tr w:rsidR="00340241" w:rsidRPr="00827F58" w14:paraId="0C41FDBE" w14:textId="77777777" w:rsidTr="006C3242">
        <w:tc>
          <w:tcPr>
            <w:tcW w:w="1250" w:type="pct"/>
          </w:tcPr>
          <w:p w14:paraId="73C9DCBA" w14:textId="77777777" w:rsidR="003E47BF" w:rsidRPr="000F20CF" w:rsidRDefault="003E47BF" w:rsidP="006C3242">
            <w:pPr>
              <w:pStyle w:val="TableBody"/>
              <w:rPr>
                <w:color w:val="FFFFFF"/>
              </w:rPr>
            </w:pPr>
            <w:r w:rsidRPr="009807CA">
              <w:t>Intensity of event</w:t>
            </w:r>
          </w:p>
        </w:tc>
        <w:tc>
          <w:tcPr>
            <w:tcW w:w="1250" w:type="pct"/>
            <w:shd w:val="clear" w:color="auto" w:fill="auto"/>
          </w:tcPr>
          <w:p w14:paraId="2225D0B8" w14:textId="77777777" w:rsidR="003E47BF" w:rsidRPr="00C81E7E" w:rsidRDefault="003E47BF" w:rsidP="006C3242">
            <w:pPr>
              <w:pStyle w:val="TableBody"/>
              <w:rPr>
                <w:rFonts w:eastAsia="Arial"/>
              </w:rPr>
            </w:pPr>
            <w:r>
              <w:t>NHS 2017 cyber attack</w:t>
            </w:r>
          </w:p>
        </w:tc>
        <w:tc>
          <w:tcPr>
            <w:tcW w:w="1250" w:type="pct"/>
            <w:shd w:val="clear" w:color="auto" w:fill="auto"/>
          </w:tcPr>
          <w:p w14:paraId="1FC4F425" w14:textId="77777777" w:rsidR="003E47BF" w:rsidRPr="00C81E7E" w:rsidRDefault="003E47BF" w:rsidP="006C3242">
            <w:pPr>
              <w:pStyle w:val="TableBody"/>
              <w:rPr>
                <w:rFonts w:eastAsia="Arial"/>
              </w:rPr>
            </w:pPr>
            <w:r w:rsidRPr="00C81E7E">
              <w:rPr>
                <w:rFonts w:eastAsia="Arial"/>
              </w:rPr>
              <w:t>50% of severe scenario</w:t>
            </w:r>
          </w:p>
        </w:tc>
        <w:tc>
          <w:tcPr>
            <w:tcW w:w="1250" w:type="pct"/>
            <w:shd w:val="clear" w:color="auto" w:fill="auto"/>
          </w:tcPr>
          <w:p w14:paraId="61D6E5FD" w14:textId="77777777" w:rsidR="003E47BF" w:rsidRPr="00827F58" w:rsidRDefault="00A61241" w:rsidP="006C3242">
            <w:pPr>
              <w:pStyle w:val="TableBody"/>
            </w:pPr>
            <w:r>
              <w:rPr>
                <w:rFonts w:eastAsia="Arial"/>
              </w:rPr>
              <w:t>10</w:t>
            </w:r>
            <w:r w:rsidR="003E47BF" w:rsidRPr="00C81E7E">
              <w:rPr>
                <w:rFonts w:eastAsia="Arial"/>
              </w:rPr>
              <w:t>% of severe scenario</w:t>
            </w:r>
          </w:p>
        </w:tc>
      </w:tr>
    </w:tbl>
    <w:p w14:paraId="5AB02BE7" w14:textId="77777777" w:rsidR="006912C4" w:rsidRDefault="006912C4" w:rsidP="00B05BF1">
      <w:pPr>
        <w:pStyle w:val="BodyText"/>
        <w:spacing w:before="240"/>
      </w:pPr>
      <w:r w:rsidRPr="00827F58">
        <w:t xml:space="preserve">The rationale for a </w:t>
      </w:r>
      <w:r w:rsidR="00B65405">
        <w:t>less</w:t>
      </w:r>
      <w:r w:rsidRPr="00827F58">
        <w:t xml:space="preserve"> severe scenario than experienced in the </w:t>
      </w:r>
      <w:r w:rsidR="00B65405">
        <w:t>NHS cyberattack</w:t>
      </w:r>
      <w:r w:rsidRPr="00827F58">
        <w:t xml:space="preserve"> incident reflects the complexity of the scenario that </w:t>
      </w:r>
      <w:r w:rsidR="00B65405" w:rsidRPr="00827F58">
        <w:t>occur</w:t>
      </w:r>
      <w:r w:rsidR="00B65405">
        <w:t>red</w:t>
      </w:r>
      <w:r w:rsidRPr="00827F58">
        <w:t xml:space="preserve">. </w:t>
      </w:r>
      <w:r>
        <w:t xml:space="preserve">For an incident like the one selected for modelling, the size of an organisation, existing security architecture, </w:t>
      </w:r>
      <w:r w:rsidR="00006CD9">
        <w:t xml:space="preserve">and </w:t>
      </w:r>
      <w:r>
        <w:t xml:space="preserve">time taken to detect and rectify an issue all contribute to uncertainty regarding potential cost. </w:t>
      </w:r>
    </w:p>
    <w:p w14:paraId="33911A81" w14:textId="77777777" w:rsidR="006912C4" w:rsidRPr="00827F58" w:rsidRDefault="006912C4" w:rsidP="00FF1641">
      <w:pPr>
        <w:pStyle w:val="BodyText"/>
      </w:pPr>
      <w:r w:rsidRPr="00827F58">
        <w:lastRenderedPageBreak/>
        <w:t>While an incident with a much greater impact than the severe scenario is conceivable, the defined scenarios and subsequent benefits analysis are based on a deliberately conservative approach to ensure the severe scenario remains demonstrably plausible.</w:t>
      </w:r>
    </w:p>
    <w:p w14:paraId="60B29BAE" w14:textId="77777777" w:rsidR="006912C4" w:rsidRPr="00827F58" w:rsidRDefault="006912C4" w:rsidP="00FF1641">
      <w:pPr>
        <w:pStyle w:val="BodyText"/>
      </w:pPr>
      <w:r w:rsidRPr="00827F58">
        <w:t>A summary of the economic impact of each scenario is provided i</w:t>
      </w:r>
      <w:r>
        <w:t>n the table below</w:t>
      </w:r>
      <w:r w:rsidRPr="00827F58">
        <w:t xml:space="preserve">. A break-even analysis of </w:t>
      </w:r>
      <w:r w:rsidRPr="00FF1641">
        <w:t>these</w:t>
      </w:r>
      <w:r w:rsidRPr="00827F58">
        <w:t xml:space="preserv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 </w:t>
      </w:r>
    </w:p>
    <w:p w14:paraId="3F0B53BA" w14:textId="77777777" w:rsidR="006912C4" w:rsidRPr="00827F58" w:rsidRDefault="006912C4" w:rsidP="00FF1641">
      <w:pPr>
        <w:pStyle w:val="Caption"/>
      </w:pPr>
      <w:r w:rsidRPr="00827F58">
        <w:t>Summary of benefits scenarios</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2969"/>
        <w:gridCol w:w="2223"/>
        <w:gridCol w:w="2223"/>
        <w:gridCol w:w="2223"/>
      </w:tblGrid>
      <w:tr w:rsidR="00340241" w:rsidRPr="006C3242" w14:paraId="76ECAF79" w14:textId="77777777" w:rsidTr="006C3242">
        <w:tc>
          <w:tcPr>
            <w:tcW w:w="1541" w:type="pct"/>
            <w:shd w:val="clear" w:color="auto" w:fill="034EA2" w:themeFill="accent1"/>
          </w:tcPr>
          <w:p w14:paraId="3097E787" w14:textId="77777777" w:rsidR="003E47BF" w:rsidRPr="006C3242" w:rsidRDefault="003E47BF" w:rsidP="006C3242">
            <w:pPr>
              <w:pStyle w:val="TableHeading"/>
            </w:pPr>
          </w:p>
        </w:tc>
        <w:tc>
          <w:tcPr>
            <w:tcW w:w="1153" w:type="pct"/>
            <w:shd w:val="clear" w:color="auto" w:fill="034EA2" w:themeFill="accent1"/>
          </w:tcPr>
          <w:p w14:paraId="4E9A0188" w14:textId="77777777" w:rsidR="003E47BF" w:rsidRPr="006C3242" w:rsidRDefault="003E47BF" w:rsidP="006C3242">
            <w:pPr>
              <w:pStyle w:val="TableHeading"/>
            </w:pPr>
            <w:r w:rsidRPr="006C3242">
              <w:t>Scenario 3</w:t>
            </w:r>
            <w:r w:rsidRPr="006C3242">
              <w:br/>
              <w:t>(Severe), $ million</w:t>
            </w:r>
          </w:p>
        </w:tc>
        <w:tc>
          <w:tcPr>
            <w:tcW w:w="1153" w:type="pct"/>
            <w:shd w:val="clear" w:color="auto" w:fill="034EA2" w:themeFill="accent1"/>
          </w:tcPr>
          <w:p w14:paraId="05398FEF" w14:textId="77777777" w:rsidR="003E47BF" w:rsidRPr="006C3242" w:rsidRDefault="003E47BF" w:rsidP="006C3242">
            <w:pPr>
              <w:pStyle w:val="TableHeading"/>
            </w:pPr>
            <w:r w:rsidRPr="006C3242">
              <w:t>Scenario 2</w:t>
            </w:r>
            <w:r w:rsidRPr="006C3242">
              <w:br/>
              <w:t>(Moderate), $ million</w:t>
            </w:r>
          </w:p>
        </w:tc>
        <w:tc>
          <w:tcPr>
            <w:tcW w:w="1153" w:type="pct"/>
            <w:shd w:val="clear" w:color="auto" w:fill="034EA2" w:themeFill="accent1"/>
          </w:tcPr>
          <w:p w14:paraId="0C5368EB" w14:textId="77777777" w:rsidR="003E47BF" w:rsidRPr="006C3242" w:rsidRDefault="003E47BF" w:rsidP="006C3242">
            <w:pPr>
              <w:pStyle w:val="TableHeading"/>
            </w:pPr>
            <w:r w:rsidRPr="006C3242">
              <w:t>Scenario 1</w:t>
            </w:r>
            <w:r w:rsidRPr="006C3242">
              <w:br/>
              <w:t>(Low), $ million</w:t>
            </w:r>
          </w:p>
        </w:tc>
      </w:tr>
      <w:tr w:rsidR="00340241" w:rsidRPr="006C3242" w14:paraId="29EBDB34" w14:textId="77777777" w:rsidTr="006C3242">
        <w:tc>
          <w:tcPr>
            <w:tcW w:w="1541" w:type="pct"/>
            <w:shd w:val="clear" w:color="auto" w:fill="auto"/>
            <w:vAlign w:val="center"/>
          </w:tcPr>
          <w:p w14:paraId="7114A652" w14:textId="77777777" w:rsidR="003E47BF" w:rsidRPr="006C3242" w:rsidRDefault="00423416" w:rsidP="006C3242">
            <w:pPr>
              <w:pStyle w:val="TableBody"/>
            </w:pPr>
            <w:r w:rsidRPr="006C3242">
              <w:t>Direct avoided cost</w:t>
            </w:r>
            <w:r w:rsidR="00FE283A" w:rsidRPr="006C3242">
              <w:t>s</w:t>
            </w:r>
          </w:p>
        </w:tc>
        <w:tc>
          <w:tcPr>
            <w:tcW w:w="1153" w:type="pct"/>
            <w:shd w:val="clear" w:color="auto" w:fill="auto"/>
            <w:vAlign w:val="center"/>
          </w:tcPr>
          <w:p w14:paraId="403D9140" w14:textId="464087C8" w:rsidR="00423416" w:rsidRPr="00D005CA" w:rsidRDefault="002A00DB" w:rsidP="006C3242">
            <w:pPr>
              <w:pStyle w:val="TableBody"/>
            </w:pPr>
            <w:r>
              <w:t>158.0</w:t>
            </w:r>
          </w:p>
        </w:tc>
        <w:tc>
          <w:tcPr>
            <w:tcW w:w="1153" w:type="pct"/>
            <w:shd w:val="clear" w:color="auto" w:fill="auto"/>
            <w:vAlign w:val="center"/>
          </w:tcPr>
          <w:p w14:paraId="14FA08AA" w14:textId="34A5CBAA" w:rsidR="00423416" w:rsidRPr="00D005CA" w:rsidRDefault="002A00DB" w:rsidP="006C3242">
            <w:pPr>
              <w:pStyle w:val="TableBody"/>
            </w:pPr>
            <w:r>
              <w:t>79.0</w:t>
            </w:r>
          </w:p>
        </w:tc>
        <w:tc>
          <w:tcPr>
            <w:tcW w:w="1153" w:type="pct"/>
            <w:shd w:val="clear" w:color="auto" w:fill="auto"/>
            <w:vAlign w:val="center"/>
          </w:tcPr>
          <w:p w14:paraId="572B0F03" w14:textId="57E0C69C" w:rsidR="003E47BF" w:rsidRPr="00D005CA" w:rsidRDefault="002A00DB" w:rsidP="006C3242">
            <w:pPr>
              <w:pStyle w:val="TableBody"/>
            </w:pPr>
            <w:r>
              <w:t>15.8</w:t>
            </w:r>
          </w:p>
        </w:tc>
      </w:tr>
      <w:tr w:rsidR="009E6DAB" w:rsidRPr="006C3242" w14:paraId="20BA8E4A" w14:textId="77777777" w:rsidTr="006C3242">
        <w:tc>
          <w:tcPr>
            <w:tcW w:w="1541" w:type="pct"/>
            <w:shd w:val="clear" w:color="auto" w:fill="auto"/>
            <w:vAlign w:val="center"/>
          </w:tcPr>
          <w:p w14:paraId="5845300F" w14:textId="77777777" w:rsidR="003E47BF" w:rsidRPr="006C3242" w:rsidRDefault="00423416" w:rsidP="006C3242">
            <w:pPr>
              <w:pStyle w:val="TableBody"/>
            </w:pPr>
            <w:r w:rsidRPr="006C3242">
              <w:t>Indirect avoided costs</w:t>
            </w:r>
          </w:p>
        </w:tc>
        <w:tc>
          <w:tcPr>
            <w:tcW w:w="1153" w:type="pct"/>
            <w:shd w:val="clear" w:color="auto" w:fill="auto"/>
            <w:vAlign w:val="center"/>
          </w:tcPr>
          <w:p w14:paraId="715184F1" w14:textId="05B40290" w:rsidR="00423416" w:rsidRPr="00D005CA" w:rsidRDefault="002A00DB" w:rsidP="006C3242">
            <w:pPr>
              <w:pStyle w:val="TableBody"/>
            </w:pPr>
            <w:r>
              <w:t>71.8</w:t>
            </w:r>
          </w:p>
        </w:tc>
        <w:tc>
          <w:tcPr>
            <w:tcW w:w="1153" w:type="pct"/>
            <w:shd w:val="clear" w:color="auto" w:fill="auto"/>
            <w:vAlign w:val="center"/>
          </w:tcPr>
          <w:p w14:paraId="5F65F50E" w14:textId="6DAD34E2" w:rsidR="00423416" w:rsidRPr="00D005CA" w:rsidRDefault="002A00DB" w:rsidP="006C3242">
            <w:pPr>
              <w:pStyle w:val="TableBody"/>
            </w:pPr>
            <w:r>
              <w:t>35.9</w:t>
            </w:r>
          </w:p>
        </w:tc>
        <w:tc>
          <w:tcPr>
            <w:tcW w:w="1153" w:type="pct"/>
            <w:shd w:val="clear" w:color="auto" w:fill="auto"/>
            <w:vAlign w:val="center"/>
          </w:tcPr>
          <w:p w14:paraId="6576FC51" w14:textId="73018A47" w:rsidR="003E47BF" w:rsidRPr="00D005CA" w:rsidRDefault="006015F2" w:rsidP="006C3242">
            <w:pPr>
              <w:pStyle w:val="TableBody"/>
            </w:pPr>
            <w:r>
              <w:t>7.2</w:t>
            </w:r>
          </w:p>
        </w:tc>
      </w:tr>
      <w:tr w:rsidR="009E6DAB" w:rsidRPr="006C3242" w14:paraId="29D67BB1" w14:textId="77777777" w:rsidTr="006C3242">
        <w:tc>
          <w:tcPr>
            <w:tcW w:w="1541" w:type="pct"/>
            <w:shd w:val="clear" w:color="auto" w:fill="F2F2F2" w:themeFill="background1" w:themeFillShade="F2"/>
          </w:tcPr>
          <w:p w14:paraId="2FF15EB6" w14:textId="77777777" w:rsidR="003E47BF" w:rsidRPr="006C3242" w:rsidRDefault="003E47BF" w:rsidP="006C3242">
            <w:pPr>
              <w:pStyle w:val="TableBody"/>
            </w:pPr>
            <w:r w:rsidRPr="006C3242">
              <w:t>Total avoided cost to the economy of the incident</w:t>
            </w:r>
          </w:p>
        </w:tc>
        <w:tc>
          <w:tcPr>
            <w:tcW w:w="1153" w:type="pct"/>
            <w:shd w:val="clear" w:color="auto" w:fill="F2F2F2" w:themeFill="background1" w:themeFillShade="F2"/>
            <w:vAlign w:val="center"/>
          </w:tcPr>
          <w:p w14:paraId="59CB3DF0" w14:textId="59F5DAAD" w:rsidR="003E47BF" w:rsidRPr="00D005CA" w:rsidRDefault="002A00DB" w:rsidP="006C3242">
            <w:pPr>
              <w:pStyle w:val="TableBody"/>
            </w:pPr>
            <w:r>
              <w:t>229.8</w:t>
            </w:r>
          </w:p>
        </w:tc>
        <w:tc>
          <w:tcPr>
            <w:tcW w:w="1153" w:type="pct"/>
            <w:shd w:val="clear" w:color="auto" w:fill="F2F2F2" w:themeFill="background1" w:themeFillShade="F2"/>
            <w:vAlign w:val="center"/>
          </w:tcPr>
          <w:p w14:paraId="65140783" w14:textId="05029973" w:rsidR="003E47BF" w:rsidRPr="00D005CA" w:rsidRDefault="002A00DB" w:rsidP="006C3242">
            <w:pPr>
              <w:pStyle w:val="TableBody"/>
            </w:pPr>
            <w:r>
              <w:t>114.9</w:t>
            </w:r>
          </w:p>
        </w:tc>
        <w:tc>
          <w:tcPr>
            <w:tcW w:w="1153" w:type="pct"/>
            <w:shd w:val="clear" w:color="auto" w:fill="F2F2F2" w:themeFill="background1" w:themeFillShade="F2"/>
            <w:vAlign w:val="center"/>
          </w:tcPr>
          <w:p w14:paraId="4C7118F0" w14:textId="4FC57365" w:rsidR="003E47BF" w:rsidRPr="00D005CA" w:rsidRDefault="002A00DB" w:rsidP="006C3242">
            <w:pPr>
              <w:pStyle w:val="TableBody"/>
            </w:pPr>
            <w:r>
              <w:t>23.0</w:t>
            </w:r>
          </w:p>
        </w:tc>
      </w:tr>
      <w:tr w:rsidR="009E6DAB" w:rsidRPr="006C3242" w14:paraId="38416F24" w14:textId="77777777" w:rsidTr="006C3242">
        <w:tc>
          <w:tcPr>
            <w:tcW w:w="1541" w:type="pct"/>
            <w:shd w:val="clear" w:color="auto" w:fill="auto"/>
          </w:tcPr>
          <w:p w14:paraId="2453FA3D" w14:textId="77777777" w:rsidR="003E47BF" w:rsidRPr="006C3242" w:rsidRDefault="003E47BF" w:rsidP="006C3242">
            <w:pPr>
              <w:pStyle w:val="TableBody"/>
            </w:pPr>
            <w:r w:rsidRPr="006C3242">
              <w:t>Approximate number of avoided incidents per annum required for a net benefit</w:t>
            </w:r>
          </w:p>
        </w:tc>
        <w:tc>
          <w:tcPr>
            <w:tcW w:w="1153" w:type="pct"/>
            <w:shd w:val="clear" w:color="auto" w:fill="auto"/>
            <w:vAlign w:val="center"/>
          </w:tcPr>
          <w:p w14:paraId="44B3ADD5" w14:textId="5BDC1B3F" w:rsidR="003E47BF" w:rsidRPr="006C3242" w:rsidRDefault="002A00DB" w:rsidP="006C3242">
            <w:pPr>
              <w:pStyle w:val="TableBody"/>
            </w:pPr>
            <w:r>
              <w:t>4.1</w:t>
            </w:r>
          </w:p>
        </w:tc>
        <w:tc>
          <w:tcPr>
            <w:tcW w:w="1153" w:type="pct"/>
            <w:shd w:val="clear" w:color="auto" w:fill="auto"/>
            <w:vAlign w:val="center"/>
          </w:tcPr>
          <w:p w14:paraId="3C209CA5" w14:textId="4619DFD7" w:rsidR="003E47BF" w:rsidRPr="006C3242" w:rsidRDefault="002A00DB" w:rsidP="006C3242">
            <w:pPr>
              <w:pStyle w:val="TableBody"/>
            </w:pPr>
            <w:r>
              <w:t>8.1</w:t>
            </w:r>
          </w:p>
        </w:tc>
        <w:tc>
          <w:tcPr>
            <w:tcW w:w="1153" w:type="pct"/>
            <w:shd w:val="clear" w:color="auto" w:fill="auto"/>
            <w:vAlign w:val="center"/>
          </w:tcPr>
          <w:p w14:paraId="4A263EBB" w14:textId="3C72C973" w:rsidR="003E47BF" w:rsidRPr="006C3242" w:rsidRDefault="00B1103C" w:rsidP="006C3242">
            <w:pPr>
              <w:pStyle w:val="TableBody"/>
            </w:pPr>
            <w:r>
              <w:t>40.7</w:t>
            </w:r>
          </w:p>
        </w:tc>
      </w:tr>
    </w:tbl>
    <w:p w14:paraId="41517E70" w14:textId="6FFDD56D" w:rsidR="006912C4" w:rsidRPr="00107992" w:rsidRDefault="006912C4" w:rsidP="00B05BF1">
      <w:pPr>
        <w:pStyle w:val="BodyText"/>
        <w:spacing w:before="240"/>
      </w:pPr>
      <w:r w:rsidRPr="007A7829">
        <w:t xml:space="preserve">As noted above in the cost of option 2, the total direct ongoing cost for option 2 is expected to be </w:t>
      </w:r>
      <w:r w:rsidRPr="009E0848">
        <w:t>$</w:t>
      </w:r>
      <w:r w:rsidR="00743E41" w:rsidRPr="00CE4B35">
        <w:t>26</w:t>
      </w:r>
      <w:r w:rsidR="00840B4A" w:rsidRPr="00CE4B35">
        <w:t>5</w:t>
      </w:r>
      <w:r w:rsidR="00743E41" w:rsidRPr="00CE4B35">
        <w:t>.</w:t>
      </w:r>
      <w:r w:rsidR="00840B4A" w:rsidRPr="00CE4B35">
        <w:t>1</w:t>
      </w:r>
      <w:r w:rsidRPr="009E0848">
        <w:rPr>
          <w:color w:val="007BC3" w:themeColor="accent2"/>
        </w:rPr>
        <w:t xml:space="preserve"> </w:t>
      </w:r>
      <w:r w:rsidRPr="009E0848">
        <w:t>million per annum plus direct one-off costs of $</w:t>
      </w:r>
      <w:r w:rsidR="005356B5" w:rsidRPr="00CE4B35">
        <w:t>3</w:t>
      </w:r>
      <w:r w:rsidR="00840B4A" w:rsidRPr="00CE4B35">
        <w:t>42</w:t>
      </w:r>
      <w:r w:rsidR="005356B5" w:rsidRPr="009E0848">
        <w:t>.6</w:t>
      </w:r>
      <w:r w:rsidR="00743E41" w:rsidRPr="009E0848">
        <w:t xml:space="preserve"> </w:t>
      </w:r>
      <w:r w:rsidRPr="009E0848">
        <w:t>million</w:t>
      </w:r>
      <w:r w:rsidRPr="007A7829">
        <w:t xml:space="preserve">. However, the cost of the risk management program framework would also have other indirect costs flowing from increased </w:t>
      </w:r>
      <w:r w:rsidR="00041702">
        <w:t>hospital</w:t>
      </w:r>
      <w:r w:rsidRPr="007A7829">
        <w:t xml:space="preserve"> prices passed onto consumers from the framework’s implementation.</w:t>
      </w:r>
      <w:r w:rsidRPr="00107992">
        <w:t xml:space="preserve"> </w:t>
      </w:r>
    </w:p>
    <w:p w14:paraId="6E6C57AA" w14:textId="7C602ADE" w:rsidR="00006CD9" w:rsidRPr="00827F58" w:rsidRDefault="006912C4" w:rsidP="00FF1641">
      <w:pPr>
        <w:pStyle w:val="BodyText"/>
      </w:pPr>
      <w:r w:rsidRPr="007A7829">
        <w:t xml:space="preserve">After considering the economy-wide impact of this change to the cost of providing </w:t>
      </w:r>
      <w:r w:rsidR="00041702">
        <w:t>critical hospital assets</w:t>
      </w:r>
      <w:r w:rsidRPr="007A7829">
        <w:t>, the total economic cost of the regulatory changes, including direct and indirect costs would be approximately $</w:t>
      </w:r>
      <w:r w:rsidR="00B11C8F">
        <w:t>935.3</w:t>
      </w:r>
      <w:r w:rsidRPr="007A7829">
        <w:t xml:space="preserve"> million per year.</w:t>
      </w:r>
      <w:r w:rsidRPr="007A7829">
        <w:rPr>
          <w:vertAlign w:val="superscript"/>
        </w:rPr>
        <w:footnoteReference w:id="383"/>
      </w:r>
      <w:r w:rsidRPr="007A7829">
        <w:t xml:space="preserve"> In order for the regulatory changes to generate a net benefit, the proposed risk management program framework would need to contribute to the prevention of approximately</w:t>
      </w:r>
      <w:r w:rsidRPr="00107992">
        <w:t xml:space="preserve"> </w:t>
      </w:r>
      <w:r w:rsidR="00946AFA">
        <w:t>40</w:t>
      </w:r>
      <w:r w:rsidR="00946AFA" w:rsidRPr="007A7829">
        <w:t xml:space="preserve"> </w:t>
      </w:r>
      <w:r w:rsidRPr="007A7829">
        <w:t xml:space="preserve">low scenario incidents every year, approximately </w:t>
      </w:r>
      <w:r w:rsidR="00D005CA">
        <w:t>8</w:t>
      </w:r>
      <w:r w:rsidR="00006CD9" w:rsidRPr="007A7829">
        <w:t xml:space="preserve"> moderate scenario incidents every year</w:t>
      </w:r>
      <w:r w:rsidR="00006CD9">
        <w:t>,</w:t>
      </w:r>
      <w:r w:rsidR="00006CD9" w:rsidRPr="007A7829">
        <w:t xml:space="preserve"> or approximately </w:t>
      </w:r>
      <w:r w:rsidR="00D005CA">
        <w:t>4</w:t>
      </w:r>
      <w:r w:rsidR="00006CD9" w:rsidRPr="007A7829">
        <w:t xml:space="preserve"> severe scenario</w:t>
      </w:r>
      <w:r w:rsidR="00006CD9">
        <w:t xml:space="preserve"> incidents</w:t>
      </w:r>
      <w:r w:rsidR="00006CD9" w:rsidRPr="007A7829">
        <w:t xml:space="preserve"> every </w:t>
      </w:r>
      <w:r w:rsidR="00006CD9">
        <w:t>year to generate a net benefit.</w:t>
      </w:r>
      <w:r w:rsidR="00006CD9" w:rsidRPr="00827F58">
        <w:t xml:space="preserve"> </w:t>
      </w:r>
    </w:p>
    <w:p w14:paraId="45F4388C" w14:textId="77777777" w:rsidR="006912C4" w:rsidRPr="00827F58" w:rsidRDefault="006912C4" w:rsidP="00FF1641">
      <w:pPr>
        <w:pStyle w:val="BodyText"/>
        <w:rPr>
          <w:rFonts w:eastAsia="Arial"/>
        </w:rPr>
      </w:pPr>
      <w:r w:rsidRPr="00827F58">
        <w:t>It is important to note that the economic analysis of the above scenarios may not incorporate all direct avoided costs incurred by all future incidents. In the broader context of a potential future disruption, in addition to the above estimate of benefits would be the avoided costs of recovery (repair costs, costs of resulting mitigations, productivity loss due to attending to legal ramifications, intangible costs on the environment, health and wellbeing, loss of reputation</w:t>
      </w:r>
      <w:r w:rsidR="007A7829">
        <w:t>,</w:t>
      </w:r>
      <w:r w:rsidRPr="00827F58">
        <w:t xml:space="preserve"> etc</w:t>
      </w:r>
      <w:r w:rsidR="007A7829">
        <w:t>.</w:t>
      </w:r>
      <w:r w:rsidRPr="00827F58">
        <w:t>)</w:t>
      </w:r>
      <w:r>
        <w:t>.</w:t>
      </w:r>
    </w:p>
    <w:p w14:paraId="452A207C" w14:textId="77777777" w:rsidR="006912C4" w:rsidRPr="00827F58" w:rsidRDefault="006912C4" w:rsidP="00FF1641">
      <w:pPr>
        <w:pStyle w:val="BodyText"/>
      </w:pPr>
      <w:r w:rsidRPr="00827F58">
        <w:t xml:space="preserve">Further, the increasing frequency of incidents as described in section 1.1 makes the proposed risk management program framework more certain over time to exceed the anticipated costs. </w:t>
      </w:r>
      <w:r w:rsidRPr="00827F58">
        <w:rPr>
          <w:rFonts w:eastAsia="Calibri"/>
        </w:rPr>
        <w:t xml:space="preserve">The examples referred to in that section demonstrate the increasing need for adequate protections against the security and resilience of critical </w:t>
      </w:r>
      <w:r w:rsidR="00E92178">
        <w:rPr>
          <w:rFonts w:eastAsia="Calibri"/>
        </w:rPr>
        <w:t>hospital</w:t>
      </w:r>
      <w:r w:rsidRPr="00827F58">
        <w:rPr>
          <w:rFonts w:eastAsia="Calibri"/>
        </w:rPr>
        <w:t xml:space="preserve"> assets, and the increased likelihood that the </w:t>
      </w:r>
      <w:r w:rsidRPr="00827F58">
        <w:rPr>
          <w:rFonts w:eastAsia="Calibri"/>
        </w:rPr>
        <w:lastRenderedPageBreak/>
        <w:t>benefits of the draft risk management program framework will exceed the costs outlined in this section.</w:t>
      </w:r>
    </w:p>
    <w:p w14:paraId="7C2D15C7" w14:textId="77777777" w:rsidR="006912C4" w:rsidRPr="00936788" w:rsidRDefault="006912C4" w:rsidP="00FF1641">
      <w:pPr>
        <w:pStyle w:val="AppendixH2"/>
      </w:pPr>
      <w:r w:rsidRPr="00936788">
        <w:t>Assessment of likely net benefit</w:t>
      </w:r>
    </w:p>
    <w:p w14:paraId="68A9603D" w14:textId="0396631E" w:rsidR="00006CD9" w:rsidRPr="00624E73" w:rsidRDefault="006912C4" w:rsidP="00FF1641">
      <w:pPr>
        <w:pStyle w:val="BodyText"/>
      </w:pPr>
      <w:r>
        <w:t>For this particular asset class, it is more challenging to justify the benefits of regulation through economic arguments alone</w:t>
      </w:r>
      <w:r w:rsidR="00C20798">
        <w:t>.</w:t>
      </w:r>
      <w:r>
        <w:t xml:space="preserve"> </w:t>
      </w:r>
      <w:r w:rsidR="00C20798">
        <w:t>The</w:t>
      </w:r>
      <w:r w:rsidRPr="00624E73">
        <w:t xml:space="preserve"> economic consequences of a disruption to </w:t>
      </w:r>
      <w:r>
        <w:t>hospital</w:t>
      </w:r>
      <w:r w:rsidRPr="00624E73">
        <w:t xml:space="preserve"> </w:t>
      </w:r>
      <w:r w:rsidR="007515D0">
        <w:t>operation</w:t>
      </w:r>
      <w:r w:rsidRPr="00624E73">
        <w:t xml:space="preserve"> </w:t>
      </w:r>
      <w:r>
        <w:t xml:space="preserve">could </w:t>
      </w:r>
      <w:r w:rsidR="001523B4">
        <w:t xml:space="preserve">be insignificant </w:t>
      </w:r>
      <w:r>
        <w:t>in comparison to the</w:t>
      </w:r>
      <w:r w:rsidRPr="00624E73">
        <w:t xml:space="preserve"> potential consequences for human life as a result</w:t>
      </w:r>
      <w:r>
        <w:t xml:space="preserve"> of</w:t>
      </w:r>
      <w:r w:rsidRPr="00624E73">
        <w:t xml:space="preserve"> reduced</w:t>
      </w:r>
      <w:r w:rsidR="00006CD9">
        <w:t>,</w:t>
      </w:r>
      <w:r w:rsidRPr="00624E73">
        <w:t xml:space="preserve"> or limited access to</w:t>
      </w:r>
      <w:r w:rsidR="00006CD9">
        <w:t>,</w:t>
      </w:r>
      <w:r w:rsidRPr="00624E73">
        <w:t xml:space="preserve"> </w:t>
      </w:r>
      <w:r>
        <w:t>hospital</w:t>
      </w:r>
      <w:r w:rsidR="007515D0">
        <w:t xml:space="preserve"> care</w:t>
      </w:r>
      <w:r>
        <w:t xml:space="preserve">. </w:t>
      </w:r>
      <w:r w:rsidR="001523B4">
        <w:t>L</w:t>
      </w:r>
      <w:r>
        <w:t xml:space="preserve">imited or reduced access to </w:t>
      </w:r>
      <w:r w:rsidR="00E92178">
        <w:t>hospital</w:t>
      </w:r>
      <w:r>
        <w:t xml:space="preserve"> can have grave consequences that </w:t>
      </w:r>
      <w:r w:rsidR="00006CD9">
        <w:t xml:space="preserve">can, </w:t>
      </w:r>
      <w:r>
        <w:t>in turn</w:t>
      </w:r>
      <w:r w:rsidR="00006CD9">
        <w:t>,</w:t>
      </w:r>
      <w:r>
        <w:t xml:space="preserve"> lead to heightened risk of disease, illness or death. </w:t>
      </w:r>
      <w:r w:rsidR="00E9246D">
        <w:t>The estimated value of a statistical life (the value society places on reducing the risk of dying) is $5.1 million, and the value of a statistical life year (the value society places on a year of life) is $222,000.</w:t>
      </w:r>
      <w:r w:rsidR="00E9246D">
        <w:rPr>
          <w:rStyle w:val="FootnoteReference"/>
          <w:rFonts w:ascii="Arial" w:eastAsia="Calibri" w:hAnsi="Arial" w:cs="Arial"/>
        </w:rPr>
        <w:footnoteReference w:id="384"/>
      </w:r>
      <w:r w:rsidR="00E9246D">
        <w:t xml:space="preserve"> As hospitals are critical to human life, any avoidance of a disruption to critical hospitals that could have otherwise increased the likelihood of disease, illness or death will have a benefit beyond that of the avoided cost to the economy able to be modelled.</w:t>
      </w:r>
    </w:p>
    <w:p w14:paraId="0F3B706F" w14:textId="77777777" w:rsidR="006912C4" w:rsidRPr="00C20457" w:rsidRDefault="006912C4" w:rsidP="00FF1641">
      <w:pPr>
        <w:pStyle w:val="BodyText"/>
      </w:pPr>
      <w:r w:rsidRPr="00376CF8">
        <w:t xml:space="preserve">The likely benefits of option 2 will be at least (and are expected to be more than) the costs of the regulation. This is primarily because, as described above and throughout this RIS, the frequency and severity of all hazard risks for critical </w:t>
      </w:r>
      <w:r w:rsidR="00FB1671">
        <w:t>hospital</w:t>
      </w:r>
      <w:r w:rsidRPr="00376CF8">
        <w:t xml:space="preserve"> assets </w:t>
      </w:r>
      <w:r w:rsidR="00FB1671">
        <w:t>is</w:t>
      </w:r>
      <w:r w:rsidRPr="00376CF8">
        <w:t xml:space="preserv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w:t>
      </w:r>
      <w:r w:rsidRPr="00827F58">
        <w:t xml:space="preserve"> </w:t>
      </w:r>
      <w:r w:rsidRPr="00376CF8">
        <w:t xml:space="preserve">In addition, </w:t>
      </w:r>
      <w:r>
        <w:t>the</w:t>
      </w:r>
      <w:r w:rsidRPr="00376CF8">
        <w:t xml:space="preserve"> potential </w:t>
      </w:r>
      <w:r>
        <w:t xml:space="preserve">risk </w:t>
      </w:r>
      <w:r w:rsidRPr="00376CF8">
        <w:t>to human life</w:t>
      </w:r>
      <w:r>
        <w:t xml:space="preserve"> (through illness, disease or death)</w:t>
      </w:r>
      <w:r w:rsidRPr="00376CF8">
        <w:t xml:space="preserve"> </w:t>
      </w:r>
      <w:r>
        <w:t xml:space="preserve">is heightened in this asset class due to the criticality of </w:t>
      </w:r>
      <w:r w:rsidR="00C20798">
        <w:t>hospitals</w:t>
      </w:r>
      <w:r>
        <w:t xml:space="preserve"> to human life itself</w:t>
      </w:r>
      <w:r w:rsidR="00C20798">
        <w:t>.</w:t>
      </w:r>
    </w:p>
    <w:p w14:paraId="765504BF" w14:textId="77777777" w:rsidR="006912C4" w:rsidRPr="00827F58" w:rsidRDefault="006912C4" w:rsidP="00FF1641">
      <w:pPr>
        <w:pStyle w:val="BodyText"/>
      </w:pPr>
      <w:r w:rsidRPr="00827F58">
        <w:t>Further, through pursuit of option 2, the identification, mitigation and remediation of such hazards, should they occur, will be improved through:</w:t>
      </w:r>
    </w:p>
    <w:p w14:paraId="36A41CF5" w14:textId="77777777" w:rsidR="006912C4" w:rsidRPr="00827F58" w:rsidRDefault="006912C4" w:rsidP="00FF1641">
      <w:pPr>
        <w:pStyle w:val="Bullet1stlevel"/>
      </w:pPr>
      <w:r w:rsidRPr="00827F58">
        <w:t xml:space="preserve">Lowering the material risk of hazards and subsequent impacts of those hazards, as they manifest for critical </w:t>
      </w:r>
      <w:r w:rsidR="00041702">
        <w:t>hospital</w:t>
      </w:r>
      <w:r w:rsidRPr="00827F58">
        <w:t xml:space="preserve"> assets; </w:t>
      </w:r>
    </w:p>
    <w:p w14:paraId="50F7A95C" w14:textId="77777777" w:rsidR="006912C4" w:rsidRPr="00827F58" w:rsidRDefault="006912C4" w:rsidP="00FF1641">
      <w:pPr>
        <w:pStyle w:val="Bullet1stlevel"/>
      </w:pPr>
      <w:r w:rsidRPr="00827F58">
        <w:t xml:space="preserve">Ensuring that adoption of the risk management program framework for critical </w:t>
      </w:r>
      <w:r w:rsidR="00041702">
        <w:t>hospital</w:t>
      </w:r>
      <w:r w:rsidRPr="00827F58">
        <w:t xml:space="preserve"> assets is reasonable and proportionate to the purpose of the program; </w:t>
      </w:r>
    </w:p>
    <w:p w14:paraId="48291DC4" w14:textId="77777777" w:rsidR="006912C4" w:rsidRPr="00827F58" w:rsidRDefault="006912C4" w:rsidP="00FF1641">
      <w:pPr>
        <w:pStyle w:val="Bullet1stlevel"/>
      </w:pPr>
      <w:r w:rsidRPr="00827F58">
        <w:t xml:space="preserve">Avoiding regulatory duplication and facilitating a coordinated uplift in responsible entities’ compliance with relevant standards; and </w:t>
      </w:r>
    </w:p>
    <w:p w14:paraId="6C67BEE5" w14:textId="77777777" w:rsidR="006912C4" w:rsidRPr="00827F58" w:rsidRDefault="006912C4" w:rsidP="006912C4">
      <w:pPr>
        <w:numPr>
          <w:ilvl w:val="0"/>
          <w:numId w:val="56"/>
        </w:numPr>
        <w:spacing w:after="160" w:line="259" w:lineRule="auto"/>
        <w:ind w:left="357" w:hanging="357"/>
        <w:rPr>
          <w:rFonts w:ascii="Arial" w:eastAsia="Calibri" w:hAnsi="Arial" w:cs="Arial"/>
          <w:sz w:val="22"/>
        </w:rPr>
      </w:pPr>
      <w:r w:rsidRPr="00827F58">
        <w:rPr>
          <w:rFonts w:ascii="Arial" w:eastAsia="Calibri" w:hAnsi="Arial" w:cs="Arial"/>
          <w:sz w:val="22"/>
        </w:rPr>
        <w:t xml:space="preserve">Improving Government’s visibility over the security and resilience of critical </w:t>
      </w:r>
      <w:r w:rsidR="00041702">
        <w:rPr>
          <w:rFonts w:ascii="Arial" w:eastAsia="Calibri" w:hAnsi="Arial" w:cs="Arial"/>
          <w:sz w:val="22"/>
        </w:rPr>
        <w:t>hospital</w:t>
      </w:r>
      <w:r w:rsidRPr="00827F58">
        <w:rPr>
          <w:rFonts w:ascii="Arial" w:eastAsia="Calibri" w:hAnsi="Arial" w:cs="Arial"/>
          <w:sz w:val="22"/>
        </w:rPr>
        <w:t xml:space="preserve"> assets. </w:t>
      </w:r>
    </w:p>
    <w:p w14:paraId="63133719" w14:textId="77777777" w:rsidR="006912C4" w:rsidRPr="006912C4" w:rsidRDefault="00DA538B" w:rsidP="00FF1641">
      <w:pPr>
        <w:pStyle w:val="BodyText"/>
        <w:rPr>
          <w:rFonts w:eastAsia="Times New Roman"/>
        </w:rPr>
      </w:pPr>
      <w:r>
        <w:t>These</w:t>
      </w:r>
      <w:r w:rsidR="006912C4" w:rsidRPr="00827F58">
        <w:t xml:space="preserve"> factors and the specific costs and benefits described above mean the likely net benefit associated with option 2 is high. </w:t>
      </w:r>
      <w:r w:rsidR="009E5E16">
        <w:rPr>
          <w:color w:val="034EA2" w:themeColor="accent1"/>
          <w:sz w:val="32"/>
          <w:szCs w:val="32"/>
        </w:rPr>
        <w:br w:type="page"/>
      </w:r>
    </w:p>
    <w:p w14:paraId="7335A71A" w14:textId="15190D8C" w:rsidR="00584221" w:rsidRPr="00B248D1" w:rsidRDefault="00584221" w:rsidP="00412F27">
      <w:pPr>
        <w:pStyle w:val="AppendixH1"/>
      </w:pPr>
      <w:bookmarkStart w:id="664" w:name="_Toc121397433"/>
      <w:r w:rsidRPr="65BD1ADF">
        <w:lastRenderedPageBreak/>
        <w:t xml:space="preserve">Detailed costing information for critical </w:t>
      </w:r>
      <w:r w:rsidR="00B835F5">
        <w:t>energy market operator</w:t>
      </w:r>
      <w:r w:rsidRPr="65BD1ADF">
        <w:t xml:space="preserve"> assets</w:t>
      </w:r>
      <w:bookmarkEnd w:id="664"/>
    </w:p>
    <w:p w14:paraId="6C58754C" w14:textId="77777777" w:rsidR="00584221" w:rsidRPr="00D450CF" w:rsidRDefault="00584221" w:rsidP="00FF1641">
      <w:pPr>
        <w:pStyle w:val="AppendixH2"/>
      </w:pPr>
      <w:r w:rsidRPr="00D450CF">
        <w:t xml:space="preserve">Costing process completed by responsible entities for critical </w:t>
      </w:r>
      <w:r w:rsidR="00810496">
        <w:t>energy market operator</w:t>
      </w:r>
      <w:r w:rsidRPr="00D450CF">
        <w:t xml:space="preserve"> assets</w:t>
      </w:r>
    </w:p>
    <w:p w14:paraId="1898D155" w14:textId="77777777" w:rsidR="00584221" w:rsidRDefault="001523B4" w:rsidP="00FF1641">
      <w:pPr>
        <w:pStyle w:val="BodyText"/>
      </w:pPr>
      <w:r>
        <w:t xml:space="preserve">Cost submissions were received from </w:t>
      </w:r>
      <w:r w:rsidR="00B835F5">
        <w:t>2</w:t>
      </w:r>
      <w:r w:rsidR="00584221">
        <w:t xml:space="preserve"> responsible entities for critical </w:t>
      </w:r>
      <w:r w:rsidR="00810496">
        <w:t>energy market operator</w:t>
      </w:r>
      <w:r w:rsidR="00584221">
        <w:t xml:space="preserve"> assets. </w:t>
      </w:r>
    </w:p>
    <w:p w14:paraId="39A372EF" w14:textId="77777777" w:rsidR="00584221" w:rsidRDefault="00584221" w:rsidP="00FF1641">
      <w:pPr>
        <w:pStyle w:val="AppendixH2"/>
      </w:pPr>
      <w:r>
        <w:t>Likely net benefit – option 2</w:t>
      </w:r>
    </w:p>
    <w:p w14:paraId="4E7D187C" w14:textId="77777777" w:rsidR="00584221" w:rsidRPr="00B835F5" w:rsidRDefault="00584221" w:rsidP="00FF1641">
      <w:pPr>
        <w:pStyle w:val="BodyText"/>
        <w:rPr>
          <w:rFonts w:eastAsia="Calibri"/>
        </w:rPr>
      </w:pPr>
      <w:r w:rsidRPr="00E9705C">
        <w:t xml:space="preserve">The following section details the costs and benefits associated with option 2 (the regulatory option), before assessing the overall likely net benefit presented by this option. </w:t>
      </w:r>
      <w:r w:rsidRPr="00EE40B8">
        <w:t xml:space="preserve"> </w:t>
      </w:r>
    </w:p>
    <w:p w14:paraId="302128D6" w14:textId="77777777" w:rsidR="00584221" w:rsidRPr="00015690" w:rsidRDefault="00584221" w:rsidP="00B05BF1">
      <w:pPr>
        <w:pStyle w:val="AppendixH2"/>
      </w:pPr>
      <w:r>
        <w:t>Costs of option 2</w:t>
      </w:r>
    </w:p>
    <w:p w14:paraId="032860C7" w14:textId="77777777" w:rsidR="00584221" w:rsidRPr="00487DC8" w:rsidRDefault="00584221" w:rsidP="00FF1641">
      <w:pPr>
        <w:pStyle w:val="BodyText"/>
        <w:rPr>
          <w:spacing w:val="-2"/>
        </w:rPr>
      </w:pPr>
      <w:r w:rsidRPr="00487DC8">
        <w:rPr>
          <w:spacing w:val="-2"/>
        </w:rPr>
        <w:t xml:space="preserve">There are multiple factors affecting the regulatory burden for each entity, including their existing risk management practices and capabilities, the nature of the critical </w:t>
      </w:r>
      <w:r w:rsidR="00A302C4" w:rsidRPr="00487DC8">
        <w:rPr>
          <w:spacing w:val="-2"/>
        </w:rPr>
        <w:t>energy market operator</w:t>
      </w:r>
      <w:r w:rsidR="00BA697A" w:rsidRPr="00487DC8">
        <w:rPr>
          <w:spacing w:val="-2"/>
        </w:rPr>
        <w:t xml:space="preserve"> assets</w:t>
      </w:r>
      <w:r w:rsidRPr="00487DC8">
        <w:rPr>
          <w:spacing w:val="-2"/>
        </w:rPr>
        <w:t xml:space="preserve"> they operate and the size of their operations. In collecting cost information from entities across critical </w:t>
      </w:r>
      <w:r w:rsidR="00A302C4" w:rsidRPr="00487DC8">
        <w:rPr>
          <w:spacing w:val="-2"/>
        </w:rPr>
        <w:t>energy market operator</w:t>
      </w:r>
      <w:r w:rsidRPr="00487DC8">
        <w:rPr>
          <w:spacing w:val="-2"/>
        </w:rPr>
        <w:t xml:space="preserve"> assets, this variance in cost impact has been captured and reflected in the estimates of total cost across critical </w:t>
      </w:r>
      <w:r w:rsidR="00A302C4" w:rsidRPr="00487DC8">
        <w:rPr>
          <w:spacing w:val="-2"/>
        </w:rPr>
        <w:t>energy market operator</w:t>
      </w:r>
      <w:r w:rsidRPr="00487DC8">
        <w:rPr>
          <w:spacing w:val="-2"/>
        </w:rPr>
        <w:t xml:space="preserve"> assets included in this RIS.</w:t>
      </w:r>
    </w:p>
    <w:p w14:paraId="3F156D43" w14:textId="77777777" w:rsidR="00584221" w:rsidRPr="00E31954" w:rsidRDefault="00584221" w:rsidP="00FF1641">
      <w:pPr>
        <w:pStyle w:val="BodyText"/>
      </w:pPr>
      <w:r w:rsidRPr="00E31954">
        <w:t xml:space="preserve">When estimating the cost of compliance with option 2, critical </w:t>
      </w:r>
      <w:r w:rsidR="00B835F5">
        <w:t>energy market operator</w:t>
      </w:r>
      <w:r w:rsidRPr="00E31954">
        <w:t xml:space="preserve"> asset entities provided both an expected and a high-cost estimate. The high-cost estimate was provided as a way to measure the uncertainty associated with their estimates and the highest feasible cost of option 2. The expected estimate was used as the basis for determining the net benefit of option 2 in section 4. </w:t>
      </w:r>
    </w:p>
    <w:p w14:paraId="340D7B4F" w14:textId="77777777" w:rsidR="00584221" w:rsidRPr="00E31954" w:rsidRDefault="00584221" w:rsidP="00FF1641">
      <w:pPr>
        <w:pStyle w:val="BodyText"/>
      </w:pPr>
      <w:r w:rsidRPr="00E31954">
        <w:t xml:space="preserve">Using the expected and the high estimate as a range, the cost of compliance is as follows: </w:t>
      </w:r>
    </w:p>
    <w:p w14:paraId="0440599F" w14:textId="6C18868A" w:rsidR="00584221" w:rsidRDefault="00584221" w:rsidP="00FF1641">
      <w:pPr>
        <w:pStyle w:val="Bullet1stlevel"/>
      </w:pPr>
      <w:r w:rsidRPr="00E31954">
        <w:t>A one-off regulatory cost of between $</w:t>
      </w:r>
      <w:r w:rsidR="00CD17AB">
        <w:t>88.</w:t>
      </w:r>
      <w:r w:rsidR="00C33A81">
        <w:t>3</w:t>
      </w:r>
      <w:r w:rsidRPr="00E31954">
        <w:t xml:space="preserve"> (expected) and $</w:t>
      </w:r>
      <w:r w:rsidR="00CD17AB">
        <w:t>230.</w:t>
      </w:r>
      <w:r w:rsidR="00CC40FD">
        <w:t>7</w:t>
      </w:r>
      <w:r>
        <w:t xml:space="preserve"> </w:t>
      </w:r>
      <w:r w:rsidRPr="00E31954">
        <w:t xml:space="preserve">million (high estimate), across critical </w:t>
      </w:r>
      <w:r w:rsidR="00B835F5">
        <w:t>energy market operator</w:t>
      </w:r>
      <w:r w:rsidRPr="00E31954">
        <w:t xml:space="preserve"> assets nationally; and </w:t>
      </w:r>
    </w:p>
    <w:p w14:paraId="33BAED06" w14:textId="32DB1B8C" w:rsidR="00584221" w:rsidRPr="00562B85" w:rsidRDefault="00584221" w:rsidP="00FF1641">
      <w:pPr>
        <w:pStyle w:val="Bullet1stlevel"/>
      </w:pPr>
      <w:r w:rsidRPr="00562B85">
        <w:t>An ongoing cost of between $</w:t>
      </w:r>
      <w:r w:rsidR="00CD17AB">
        <w:t>26.</w:t>
      </w:r>
      <w:r w:rsidR="00966E7C">
        <w:t>9</w:t>
      </w:r>
      <w:r w:rsidRPr="00562B85">
        <w:t xml:space="preserve"> (expected) and $</w:t>
      </w:r>
      <w:r w:rsidR="00CD17AB">
        <w:t>5</w:t>
      </w:r>
      <w:r w:rsidR="00966E7C">
        <w:t>7.2</w:t>
      </w:r>
      <w:r>
        <w:t xml:space="preserve"> </w:t>
      </w:r>
      <w:r w:rsidRPr="00562B85">
        <w:t xml:space="preserve">million (high estimate) per year, across critical </w:t>
      </w:r>
      <w:r w:rsidR="00B835F5">
        <w:t>energy market operator</w:t>
      </w:r>
      <w:r w:rsidRPr="00562B85">
        <w:t xml:space="preserve"> assets nationally. </w:t>
      </w:r>
    </w:p>
    <w:p w14:paraId="2523C4DD" w14:textId="77777777" w:rsidR="00584221" w:rsidRPr="00C11852" w:rsidRDefault="00584221" w:rsidP="00FF1641">
      <w:pPr>
        <w:pStyle w:val="BodyText"/>
      </w:pPr>
      <w:r w:rsidRPr="00C11852">
        <w:t xml:space="preserve">The cost of regulation will be borne by entities responsible for </w:t>
      </w:r>
      <w:r>
        <w:t xml:space="preserve">critical </w:t>
      </w:r>
      <w:r w:rsidR="00B835F5">
        <w:rPr>
          <w:bCs/>
        </w:rPr>
        <w:t>energy market operator</w:t>
      </w:r>
      <w:r>
        <w:rPr>
          <w:bCs/>
        </w:rPr>
        <w:t xml:space="preserve"> </w:t>
      </w:r>
      <w:r>
        <w:t>assets</w:t>
      </w:r>
      <w:r w:rsidRPr="00C11852">
        <w:t xml:space="preserve"> who meet the relevant thresholds. Community organisations and individuals will not be directly affected but there will likely be indirect costs passed onto consumers. For the purposes of this RIS, the cost of regulation in </w:t>
      </w:r>
      <w:r>
        <w:t>the table below</w:t>
      </w:r>
      <w:r w:rsidRPr="00C11852">
        <w:t xml:space="preserve"> will only include the initial costs associated with regulation</w:t>
      </w:r>
      <w:r w:rsidRPr="00827F58">
        <w:rPr>
          <w:rStyle w:val="FootnoteReference"/>
          <w:rFonts w:ascii="Arial" w:eastAsia="Calibri" w:hAnsi="Arial" w:cs="Arial"/>
        </w:rPr>
        <w:footnoteReference w:id="385"/>
      </w:r>
      <w:r w:rsidRPr="00C11852">
        <w:t xml:space="preserve">. </w:t>
      </w:r>
      <w:r w:rsidRPr="00C11852">
        <w:rPr>
          <w:rFonts w:eastAsia="Times New Roman"/>
        </w:rPr>
        <w:t xml:space="preserve">The indirect cost to consumers and communities has been addressed in the economic analysis through consideration of indirect cost to the wider economy as a result of the proposed </w:t>
      </w:r>
      <w:r>
        <w:rPr>
          <w:rFonts w:eastAsia="Times New Roman"/>
        </w:rPr>
        <w:t>RMP</w:t>
      </w:r>
      <w:r w:rsidRPr="00C11852">
        <w:rPr>
          <w:rFonts w:eastAsia="Times New Roman"/>
        </w:rPr>
        <w:t xml:space="preserve"> framework.</w:t>
      </w:r>
    </w:p>
    <w:p w14:paraId="68442946" w14:textId="330D760D" w:rsidR="00584221" w:rsidRPr="00E9705C" w:rsidRDefault="00584221" w:rsidP="00FF1641">
      <w:pPr>
        <w:pStyle w:val="BodyText"/>
      </w:pPr>
      <w:r w:rsidRPr="00066CEA">
        <w:t xml:space="preserve">The average cost of compliance for each entity is estimated at </w:t>
      </w:r>
      <w:r w:rsidRPr="00066CEA">
        <w:rPr>
          <w:bCs/>
        </w:rPr>
        <w:t>$</w:t>
      </w:r>
      <w:r w:rsidR="00E94049">
        <w:t>2</w:t>
      </w:r>
      <w:r w:rsidR="00F763AA">
        <w:t>2.1</w:t>
      </w:r>
      <w:r w:rsidRPr="00066CEA">
        <w:rPr>
          <w:bCs/>
        </w:rPr>
        <w:t xml:space="preserve"> million in one-off costs and $</w:t>
      </w:r>
      <w:r w:rsidR="002B79D3">
        <w:t>6.7</w:t>
      </w:r>
      <w:r w:rsidRPr="00066CEA">
        <w:rPr>
          <w:bCs/>
        </w:rPr>
        <w:t xml:space="preserve"> million per year in ongoing costs</w:t>
      </w:r>
      <w:r w:rsidRPr="00066CEA">
        <w:t xml:space="preserve">, noting that there is a wide range provided in submissions from industry. </w:t>
      </w:r>
    </w:p>
    <w:p w14:paraId="19F05E37" w14:textId="77777777" w:rsidR="00584221" w:rsidRPr="00E9705C" w:rsidRDefault="00584221" w:rsidP="00183608">
      <w:pPr>
        <w:pStyle w:val="Caption"/>
      </w:pPr>
      <w:r w:rsidRPr="00E9705C">
        <w:lastRenderedPageBreak/>
        <w:t>Regulatory cost estimate</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1928"/>
        <w:gridCol w:w="2159"/>
        <w:gridCol w:w="1696"/>
        <w:gridCol w:w="1638"/>
        <w:gridCol w:w="2217"/>
      </w:tblGrid>
      <w:tr w:rsidR="00584221" w:rsidRPr="001523D8" w14:paraId="45DD3CCD" w14:textId="77777777" w:rsidTr="001523D8">
        <w:tc>
          <w:tcPr>
            <w:tcW w:w="1000" w:type="pct"/>
            <w:vMerge w:val="restart"/>
            <w:shd w:val="clear" w:color="auto" w:fill="034EA2" w:themeFill="accent1"/>
            <w:hideMark/>
          </w:tcPr>
          <w:p w14:paraId="355B1A28" w14:textId="77777777" w:rsidR="00584221" w:rsidRPr="001523D8" w:rsidRDefault="00584221" w:rsidP="001523D8">
            <w:pPr>
              <w:pStyle w:val="TableHeading"/>
              <w:rPr>
                <w:rFonts w:asciiTheme="minorHAnsi" w:hAnsiTheme="minorHAnsi" w:cstheme="minorHAnsi"/>
                <w:lang w:eastAsia="en-AU"/>
              </w:rPr>
            </w:pPr>
            <w:r w:rsidRPr="001523D8">
              <w:rPr>
                <w:rFonts w:asciiTheme="minorHAnsi" w:hAnsiTheme="minorHAnsi" w:cstheme="minorHAnsi"/>
                <w:lang w:eastAsia="en-AU"/>
              </w:rPr>
              <w:t>Cost Type</w:t>
            </w:r>
          </w:p>
        </w:tc>
        <w:tc>
          <w:tcPr>
            <w:tcW w:w="4000" w:type="pct"/>
            <w:gridSpan w:val="4"/>
            <w:shd w:val="clear" w:color="auto" w:fill="034EA2" w:themeFill="accent1"/>
            <w:hideMark/>
          </w:tcPr>
          <w:p w14:paraId="03073086" w14:textId="77777777" w:rsidR="00584221" w:rsidRPr="001523D8" w:rsidRDefault="00584221" w:rsidP="001523D8">
            <w:pPr>
              <w:pStyle w:val="TableHeading"/>
              <w:rPr>
                <w:rFonts w:asciiTheme="minorHAnsi" w:hAnsiTheme="minorHAnsi" w:cstheme="minorHAnsi"/>
                <w:lang w:eastAsia="en-AU"/>
              </w:rPr>
            </w:pPr>
            <w:r w:rsidRPr="001523D8">
              <w:rPr>
                <w:rFonts w:asciiTheme="minorHAnsi" w:hAnsiTheme="minorHAnsi" w:cstheme="minorHAnsi"/>
                <w:lang w:eastAsia="en-AU"/>
              </w:rPr>
              <w:t>Costs ($ million)</w:t>
            </w:r>
          </w:p>
        </w:tc>
      </w:tr>
      <w:tr w:rsidR="00340241" w:rsidRPr="001523D8" w14:paraId="0ABEE266" w14:textId="77777777" w:rsidTr="001523D8">
        <w:tc>
          <w:tcPr>
            <w:tcW w:w="1000" w:type="pct"/>
            <w:vMerge/>
            <w:hideMark/>
          </w:tcPr>
          <w:p w14:paraId="53726030" w14:textId="77777777" w:rsidR="00584221" w:rsidRPr="001523D8" w:rsidRDefault="00584221" w:rsidP="001523D8">
            <w:pPr>
              <w:pStyle w:val="TableBody"/>
              <w:rPr>
                <w:rFonts w:asciiTheme="minorHAnsi" w:hAnsiTheme="minorHAnsi" w:cstheme="minorHAnsi"/>
                <w:lang w:eastAsia="en-AU"/>
              </w:rPr>
            </w:pPr>
          </w:p>
        </w:tc>
        <w:tc>
          <w:tcPr>
            <w:tcW w:w="1120" w:type="pct"/>
            <w:shd w:val="clear" w:color="auto" w:fill="DEEAF6"/>
            <w:hideMark/>
          </w:tcPr>
          <w:p w14:paraId="65E0E881"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Business</w:t>
            </w:r>
          </w:p>
        </w:tc>
        <w:tc>
          <w:tcPr>
            <w:tcW w:w="880" w:type="pct"/>
            <w:shd w:val="clear" w:color="auto" w:fill="DEEAF6"/>
            <w:hideMark/>
          </w:tcPr>
          <w:p w14:paraId="00447941"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Community</w:t>
            </w:r>
          </w:p>
        </w:tc>
        <w:tc>
          <w:tcPr>
            <w:tcW w:w="850" w:type="pct"/>
            <w:shd w:val="clear" w:color="auto" w:fill="DEEAF6"/>
            <w:hideMark/>
          </w:tcPr>
          <w:p w14:paraId="5DEC64AA"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Individuals</w:t>
            </w:r>
          </w:p>
        </w:tc>
        <w:tc>
          <w:tcPr>
            <w:tcW w:w="1151" w:type="pct"/>
            <w:shd w:val="clear" w:color="auto" w:fill="DEEAF6"/>
            <w:hideMark/>
          </w:tcPr>
          <w:p w14:paraId="50DEB47C"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Total cost ($ million)</w:t>
            </w:r>
          </w:p>
        </w:tc>
      </w:tr>
      <w:tr w:rsidR="00584221" w:rsidRPr="001523D8" w14:paraId="3D847063" w14:textId="77777777" w:rsidTr="00E47268">
        <w:tc>
          <w:tcPr>
            <w:tcW w:w="1000" w:type="pct"/>
            <w:shd w:val="clear" w:color="auto" w:fill="F2F2F2" w:themeFill="background1" w:themeFillShade="F2"/>
            <w:hideMark/>
          </w:tcPr>
          <w:p w14:paraId="5800255D"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One-off</w:t>
            </w:r>
          </w:p>
        </w:tc>
        <w:tc>
          <w:tcPr>
            <w:tcW w:w="1120" w:type="pct"/>
          </w:tcPr>
          <w:p w14:paraId="18A65779" w14:textId="094B50E7" w:rsidR="00584221" w:rsidRPr="001523D8" w:rsidRDefault="00E94049" w:rsidP="001523D8">
            <w:pPr>
              <w:pStyle w:val="TableBody"/>
              <w:rPr>
                <w:rFonts w:asciiTheme="minorHAnsi" w:hAnsiTheme="minorHAnsi" w:cstheme="minorHAnsi"/>
                <w:lang w:eastAsia="en-AU"/>
              </w:rPr>
            </w:pPr>
            <w:r w:rsidRPr="001523D8">
              <w:rPr>
                <w:rFonts w:asciiTheme="minorHAnsi" w:hAnsiTheme="minorHAnsi" w:cstheme="minorHAnsi"/>
                <w:lang w:eastAsia="en-AU"/>
              </w:rPr>
              <w:t>88.</w:t>
            </w:r>
            <w:r w:rsidR="00343C11">
              <w:rPr>
                <w:rFonts w:asciiTheme="minorHAnsi" w:hAnsiTheme="minorHAnsi" w:cstheme="minorHAnsi"/>
                <w:lang w:eastAsia="en-AU"/>
              </w:rPr>
              <w:t>3</w:t>
            </w:r>
            <w:r w:rsidRPr="001523D8">
              <w:rPr>
                <w:rFonts w:asciiTheme="minorHAnsi" w:hAnsiTheme="minorHAnsi" w:cstheme="minorHAnsi"/>
                <w:lang w:eastAsia="en-AU"/>
              </w:rPr>
              <w:t xml:space="preserve"> to 230.</w:t>
            </w:r>
            <w:r w:rsidR="000F3B17">
              <w:rPr>
                <w:rFonts w:asciiTheme="minorHAnsi" w:hAnsiTheme="minorHAnsi" w:cstheme="minorHAnsi"/>
                <w:lang w:eastAsia="en-AU"/>
              </w:rPr>
              <w:t>7</w:t>
            </w:r>
          </w:p>
        </w:tc>
        <w:tc>
          <w:tcPr>
            <w:tcW w:w="880" w:type="pct"/>
            <w:hideMark/>
          </w:tcPr>
          <w:p w14:paraId="40768C02"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Nil</w:t>
            </w:r>
          </w:p>
        </w:tc>
        <w:tc>
          <w:tcPr>
            <w:tcW w:w="850" w:type="pct"/>
            <w:hideMark/>
          </w:tcPr>
          <w:p w14:paraId="1EE5F468"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Nil</w:t>
            </w:r>
          </w:p>
        </w:tc>
        <w:tc>
          <w:tcPr>
            <w:tcW w:w="1151" w:type="pct"/>
          </w:tcPr>
          <w:p w14:paraId="76DDFECA" w14:textId="232E613C" w:rsidR="00584221" w:rsidRPr="001523D8" w:rsidRDefault="00E94049" w:rsidP="001523D8">
            <w:pPr>
              <w:pStyle w:val="TableBody"/>
              <w:rPr>
                <w:rFonts w:asciiTheme="minorHAnsi" w:hAnsiTheme="minorHAnsi" w:cstheme="minorHAnsi"/>
              </w:rPr>
            </w:pPr>
            <w:r w:rsidRPr="001523D8">
              <w:rPr>
                <w:rFonts w:asciiTheme="minorHAnsi" w:hAnsiTheme="minorHAnsi" w:cstheme="minorHAnsi"/>
                <w:lang w:eastAsia="en-AU"/>
              </w:rPr>
              <w:t>88.</w:t>
            </w:r>
            <w:r w:rsidR="000F3B17">
              <w:rPr>
                <w:rFonts w:asciiTheme="minorHAnsi" w:hAnsiTheme="minorHAnsi" w:cstheme="minorHAnsi"/>
                <w:lang w:eastAsia="en-AU"/>
              </w:rPr>
              <w:t>3</w:t>
            </w:r>
            <w:r w:rsidRPr="001523D8">
              <w:rPr>
                <w:rFonts w:asciiTheme="minorHAnsi" w:hAnsiTheme="minorHAnsi" w:cstheme="minorHAnsi"/>
                <w:lang w:eastAsia="en-AU"/>
              </w:rPr>
              <w:t xml:space="preserve"> to 230.</w:t>
            </w:r>
            <w:r w:rsidR="000F3B17">
              <w:rPr>
                <w:rFonts w:asciiTheme="minorHAnsi" w:hAnsiTheme="minorHAnsi" w:cstheme="minorHAnsi"/>
                <w:lang w:eastAsia="en-AU"/>
              </w:rPr>
              <w:t>7</w:t>
            </w:r>
          </w:p>
        </w:tc>
      </w:tr>
      <w:tr w:rsidR="00584221" w:rsidRPr="001523D8" w14:paraId="2EA8B7C6" w14:textId="77777777" w:rsidTr="00E47268">
        <w:tc>
          <w:tcPr>
            <w:tcW w:w="1000" w:type="pct"/>
            <w:shd w:val="clear" w:color="auto" w:fill="F2F2F2" w:themeFill="background1" w:themeFillShade="F2"/>
            <w:hideMark/>
          </w:tcPr>
          <w:p w14:paraId="3305BD56" w14:textId="631F06E0"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Ongoing (per year)</w:t>
            </w:r>
          </w:p>
        </w:tc>
        <w:tc>
          <w:tcPr>
            <w:tcW w:w="1120" w:type="pct"/>
          </w:tcPr>
          <w:p w14:paraId="7E3D6BEC" w14:textId="59D7F913" w:rsidR="00584221" w:rsidRPr="001523D8" w:rsidRDefault="00E94049" w:rsidP="001523D8">
            <w:pPr>
              <w:pStyle w:val="TableBody"/>
              <w:rPr>
                <w:rFonts w:asciiTheme="minorHAnsi" w:hAnsiTheme="minorHAnsi" w:cstheme="minorHAnsi"/>
                <w:lang w:eastAsia="en-AU"/>
              </w:rPr>
            </w:pPr>
            <w:r w:rsidRPr="001523D8">
              <w:rPr>
                <w:rFonts w:asciiTheme="minorHAnsi" w:hAnsiTheme="minorHAnsi" w:cstheme="minorHAnsi"/>
                <w:lang w:eastAsia="en-AU"/>
              </w:rPr>
              <w:t>26.</w:t>
            </w:r>
            <w:r w:rsidR="000F3B17">
              <w:rPr>
                <w:rFonts w:asciiTheme="minorHAnsi" w:hAnsiTheme="minorHAnsi" w:cstheme="minorHAnsi"/>
                <w:lang w:eastAsia="en-AU"/>
              </w:rPr>
              <w:t>9</w:t>
            </w:r>
            <w:r w:rsidRPr="001523D8">
              <w:rPr>
                <w:rFonts w:asciiTheme="minorHAnsi" w:hAnsiTheme="minorHAnsi" w:cstheme="minorHAnsi"/>
                <w:lang w:eastAsia="en-AU"/>
              </w:rPr>
              <w:t xml:space="preserve"> to 5</w:t>
            </w:r>
            <w:r w:rsidR="000F3B17">
              <w:rPr>
                <w:rFonts w:asciiTheme="minorHAnsi" w:hAnsiTheme="minorHAnsi" w:cstheme="minorHAnsi"/>
                <w:lang w:eastAsia="en-AU"/>
              </w:rPr>
              <w:t>7.2</w:t>
            </w:r>
          </w:p>
        </w:tc>
        <w:tc>
          <w:tcPr>
            <w:tcW w:w="880" w:type="pct"/>
            <w:hideMark/>
          </w:tcPr>
          <w:p w14:paraId="15623B37"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Nil</w:t>
            </w:r>
          </w:p>
        </w:tc>
        <w:tc>
          <w:tcPr>
            <w:tcW w:w="850" w:type="pct"/>
            <w:hideMark/>
          </w:tcPr>
          <w:p w14:paraId="748677D5" w14:textId="77777777" w:rsidR="00584221" w:rsidRPr="001523D8" w:rsidRDefault="00584221" w:rsidP="001523D8">
            <w:pPr>
              <w:pStyle w:val="TableBody"/>
              <w:rPr>
                <w:rFonts w:asciiTheme="minorHAnsi" w:hAnsiTheme="minorHAnsi" w:cstheme="minorHAnsi"/>
                <w:lang w:eastAsia="en-AU"/>
              </w:rPr>
            </w:pPr>
            <w:r w:rsidRPr="001523D8">
              <w:rPr>
                <w:rFonts w:asciiTheme="minorHAnsi" w:hAnsiTheme="minorHAnsi" w:cstheme="minorHAnsi"/>
                <w:lang w:eastAsia="en-AU"/>
              </w:rPr>
              <w:t>Nil</w:t>
            </w:r>
          </w:p>
        </w:tc>
        <w:tc>
          <w:tcPr>
            <w:tcW w:w="1151" w:type="pct"/>
          </w:tcPr>
          <w:p w14:paraId="65B011D3" w14:textId="7E598B4E" w:rsidR="00584221" w:rsidRPr="001523D8" w:rsidRDefault="00E94049" w:rsidP="001523D8">
            <w:pPr>
              <w:pStyle w:val="TableBody"/>
              <w:rPr>
                <w:rFonts w:asciiTheme="minorHAnsi" w:hAnsiTheme="minorHAnsi" w:cstheme="minorHAnsi"/>
              </w:rPr>
            </w:pPr>
            <w:r w:rsidRPr="001523D8">
              <w:rPr>
                <w:rFonts w:asciiTheme="minorHAnsi" w:hAnsiTheme="minorHAnsi" w:cstheme="minorHAnsi"/>
                <w:lang w:eastAsia="en-AU"/>
              </w:rPr>
              <w:t>26.</w:t>
            </w:r>
            <w:r w:rsidR="000F3B17">
              <w:rPr>
                <w:rFonts w:asciiTheme="minorHAnsi" w:hAnsiTheme="minorHAnsi" w:cstheme="minorHAnsi"/>
                <w:lang w:eastAsia="en-AU"/>
              </w:rPr>
              <w:t>9</w:t>
            </w:r>
            <w:r w:rsidRPr="001523D8">
              <w:rPr>
                <w:rFonts w:asciiTheme="minorHAnsi" w:hAnsiTheme="minorHAnsi" w:cstheme="minorHAnsi"/>
                <w:lang w:eastAsia="en-AU"/>
              </w:rPr>
              <w:t xml:space="preserve"> to </w:t>
            </w:r>
            <w:r w:rsidR="000F3B17" w:rsidRPr="001523D8">
              <w:rPr>
                <w:rFonts w:asciiTheme="minorHAnsi" w:hAnsiTheme="minorHAnsi" w:cstheme="minorHAnsi"/>
                <w:lang w:eastAsia="en-AU"/>
              </w:rPr>
              <w:t>5</w:t>
            </w:r>
            <w:r w:rsidR="000F3B17">
              <w:rPr>
                <w:rFonts w:asciiTheme="minorHAnsi" w:hAnsiTheme="minorHAnsi" w:cstheme="minorHAnsi"/>
                <w:lang w:eastAsia="en-AU"/>
              </w:rPr>
              <w:t>7.2</w:t>
            </w:r>
          </w:p>
        </w:tc>
      </w:tr>
    </w:tbl>
    <w:p w14:paraId="199F04E4" w14:textId="77777777" w:rsidR="00584221" w:rsidRPr="001C31F4" w:rsidRDefault="00584221" w:rsidP="006C3242">
      <w:pPr>
        <w:pStyle w:val="Note"/>
      </w:pPr>
      <w:r w:rsidRPr="00386A14">
        <w:rPr>
          <w:b/>
        </w:rPr>
        <w:t>Note:</w:t>
      </w:r>
      <w:r>
        <w:t xml:space="preserve"> There will be no direct costs to individuals and communities although price rises may reflect the increased cost of operations as a result of the proposed RMP framework. </w:t>
      </w:r>
    </w:p>
    <w:p w14:paraId="048B7021" w14:textId="26769463" w:rsidR="00584221" w:rsidRPr="00E9705C" w:rsidRDefault="00584221" w:rsidP="00FF1641">
      <w:pPr>
        <w:pStyle w:val="BodyText"/>
      </w:pPr>
      <w:r w:rsidRPr="00E9705C">
        <w:t xml:space="preserve">Based on the industry submissions made during consultations, total regulatory costs will be highest for rules and obligations associated with addressing </w:t>
      </w:r>
      <w:r w:rsidR="001C01C5">
        <w:t>cyber and information security</w:t>
      </w:r>
      <w:r w:rsidR="00482DE9">
        <w:t xml:space="preserve"> </w:t>
      </w:r>
      <w:r w:rsidR="00810496">
        <w:t>hazards</w:t>
      </w:r>
      <w:r w:rsidRPr="00E9705C">
        <w:t xml:space="preserve">. These costs represent approximately </w:t>
      </w:r>
      <w:r w:rsidR="001C01C5">
        <w:t>25.4</w:t>
      </w:r>
      <w:r w:rsidRPr="00E9705C">
        <w:t xml:space="preserve">% of the total cost of implementing the </w:t>
      </w:r>
      <w:r>
        <w:t>RMP</w:t>
      </w:r>
      <w:r w:rsidRPr="00E9705C">
        <w:t xml:space="preserve"> framework. The cost associated with </w:t>
      </w:r>
      <w:r w:rsidR="00AC5BF1">
        <w:t>physical</w:t>
      </w:r>
      <w:r w:rsidR="00482DE9">
        <w:t xml:space="preserve"> and </w:t>
      </w:r>
      <w:r w:rsidR="005F5C74">
        <w:t>natural</w:t>
      </w:r>
      <w:r w:rsidR="00482DE9">
        <w:t xml:space="preserve"> hazards (25.</w:t>
      </w:r>
      <w:r w:rsidR="00AC5BF1">
        <w:t>0</w:t>
      </w:r>
      <w:r w:rsidR="00482DE9">
        <w:t xml:space="preserve">% of total costs) and </w:t>
      </w:r>
      <w:r w:rsidR="00913535">
        <w:t xml:space="preserve">general </w:t>
      </w:r>
      <w:r w:rsidR="00482DE9">
        <w:t>rules</w:t>
      </w:r>
      <w:r w:rsidRPr="00E9705C">
        <w:t xml:space="preserve"> </w:t>
      </w:r>
      <w:r w:rsidRPr="3BF9FDF8">
        <w:t>(</w:t>
      </w:r>
      <w:r w:rsidR="00482DE9">
        <w:t>22</w:t>
      </w:r>
      <w:r>
        <w:t>.</w:t>
      </w:r>
      <w:r w:rsidR="00AC5BF1">
        <w:t>2</w:t>
      </w:r>
      <w:r w:rsidRPr="00E9705C">
        <w:t>% of total cost</w:t>
      </w:r>
      <w:r w:rsidR="00482DE9">
        <w:t>)</w:t>
      </w:r>
      <w:r>
        <w:t xml:space="preserve"> </w:t>
      </w:r>
      <w:r w:rsidR="00482DE9">
        <w:t>are</w:t>
      </w:r>
      <w:r w:rsidRPr="00E9705C">
        <w:t xml:space="preserve"> less significant but remain material. </w:t>
      </w:r>
      <w:r w:rsidRPr="5C5F2BA8">
        <w:t>Compliance costs associated with</w:t>
      </w:r>
      <w:r>
        <w:t xml:space="preserve"> RMP obligations</w:t>
      </w:r>
      <w:r w:rsidRPr="5C5F2BA8">
        <w:t xml:space="preserve">, </w:t>
      </w:r>
      <w:r>
        <w:t>personnel hazards, supply chain hazards</w:t>
      </w:r>
      <w:r w:rsidRPr="00E9705C">
        <w:t xml:space="preserve"> and </w:t>
      </w:r>
      <w:r>
        <w:t xml:space="preserve">material risk </w:t>
      </w:r>
      <w:r w:rsidRPr="000B1ED7">
        <w:t>rule</w:t>
      </w:r>
      <w:r>
        <w:t xml:space="preserve">s </w:t>
      </w:r>
      <w:r w:rsidRPr="00E9705C">
        <w:t xml:space="preserve">were the least costly aspects of the </w:t>
      </w:r>
      <w:r>
        <w:t>RMP</w:t>
      </w:r>
      <w:r w:rsidRPr="00E9705C">
        <w:t xml:space="preserve"> framework, representing in total approximately </w:t>
      </w:r>
      <w:r w:rsidR="00482DE9">
        <w:t>2</w:t>
      </w:r>
      <w:r w:rsidR="00AC5BF1">
        <w:t>7.4</w:t>
      </w:r>
      <w:r>
        <w:t xml:space="preserve">% </w:t>
      </w:r>
      <w:r w:rsidRPr="00E9705C">
        <w:t>of costs in total. The total regulatory cost by rule/obligation is set out in</w:t>
      </w:r>
      <w:r>
        <w:t xml:space="preserve"> the table below.</w:t>
      </w:r>
    </w:p>
    <w:p w14:paraId="74595889" w14:textId="77777777" w:rsidR="00584221" w:rsidRPr="00473B24" w:rsidRDefault="00584221" w:rsidP="00183608">
      <w:pPr>
        <w:pStyle w:val="Caption"/>
        <w:rPr>
          <w:b/>
          <w:bCs/>
        </w:rPr>
      </w:pPr>
      <w:r w:rsidRPr="00E9705C">
        <w:t xml:space="preserve">Regulatory burden estimate by rule and obligation for </w:t>
      </w:r>
      <w:r>
        <w:t xml:space="preserve">critical </w:t>
      </w:r>
      <w:r w:rsidR="00E94049">
        <w:t>energy market operator</w:t>
      </w:r>
      <w:r>
        <w:t xml:space="preserve"> assets</w:t>
      </w:r>
      <w:r w:rsidRPr="00E9705C">
        <w:t xml:space="preserve"> nationally</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834"/>
        <w:gridCol w:w="1700"/>
        <w:gridCol w:w="1702"/>
        <w:gridCol w:w="1571"/>
        <w:gridCol w:w="1831"/>
      </w:tblGrid>
      <w:tr w:rsidR="00584221" w:rsidRPr="001523D8" w14:paraId="7301971B" w14:textId="77777777" w:rsidTr="001523D8">
        <w:tc>
          <w:tcPr>
            <w:tcW w:w="1470" w:type="pct"/>
            <w:vMerge w:val="restart"/>
            <w:shd w:val="clear" w:color="auto" w:fill="034EA2" w:themeFill="accent1"/>
            <w:hideMark/>
          </w:tcPr>
          <w:p w14:paraId="22A6629A" w14:textId="77777777" w:rsidR="00584221" w:rsidRPr="001523D8" w:rsidRDefault="00584221" w:rsidP="001523D8">
            <w:pPr>
              <w:pStyle w:val="TableHeading"/>
              <w:rPr>
                <w:rFonts w:asciiTheme="minorHAnsi" w:hAnsiTheme="minorHAnsi" w:cstheme="minorHAnsi"/>
                <w:lang w:eastAsia="en-AU"/>
              </w:rPr>
            </w:pPr>
            <w:r w:rsidRPr="001523D8">
              <w:rPr>
                <w:rFonts w:asciiTheme="minorHAnsi" w:hAnsiTheme="minorHAnsi" w:cstheme="minorHAnsi"/>
                <w:lang w:eastAsia="en-AU"/>
              </w:rPr>
              <w:t>Rule / obligation</w:t>
            </w:r>
          </w:p>
        </w:tc>
        <w:tc>
          <w:tcPr>
            <w:tcW w:w="3530" w:type="pct"/>
            <w:gridSpan w:val="4"/>
            <w:shd w:val="clear" w:color="auto" w:fill="034EA2" w:themeFill="accent1"/>
            <w:hideMark/>
          </w:tcPr>
          <w:p w14:paraId="642177E6" w14:textId="77777777" w:rsidR="00584221" w:rsidRPr="001523D8" w:rsidRDefault="00584221" w:rsidP="001523D8">
            <w:pPr>
              <w:pStyle w:val="TableHeading"/>
              <w:rPr>
                <w:rFonts w:asciiTheme="minorHAnsi" w:hAnsiTheme="minorHAnsi" w:cstheme="minorHAnsi"/>
                <w:lang w:eastAsia="en-AU"/>
              </w:rPr>
            </w:pPr>
            <w:r w:rsidRPr="001523D8">
              <w:rPr>
                <w:rFonts w:asciiTheme="minorHAnsi" w:hAnsiTheme="minorHAnsi" w:cstheme="minorHAnsi"/>
                <w:lang w:eastAsia="en-AU"/>
              </w:rPr>
              <w:t>Costs</w:t>
            </w:r>
            <w:r w:rsidR="001523B4" w:rsidRPr="001523D8">
              <w:rPr>
                <w:rFonts w:asciiTheme="minorHAnsi" w:hAnsiTheme="minorHAnsi" w:cstheme="minorHAnsi"/>
                <w:lang w:eastAsia="en-AU"/>
              </w:rPr>
              <w:t xml:space="preserve"> (Expected and High)</w:t>
            </w:r>
          </w:p>
        </w:tc>
      </w:tr>
      <w:tr w:rsidR="00066E21" w:rsidRPr="001523D8" w14:paraId="5CBCFBB7" w14:textId="77777777" w:rsidTr="001523D8">
        <w:tc>
          <w:tcPr>
            <w:tcW w:w="1470" w:type="pct"/>
            <w:vMerge/>
            <w:hideMark/>
          </w:tcPr>
          <w:p w14:paraId="1F0EDDDF" w14:textId="77777777" w:rsidR="00584221" w:rsidRPr="001523D8" w:rsidRDefault="00584221" w:rsidP="001523D8">
            <w:pPr>
              <w:pStyle w:val="TableBody"/>
              <w:rPr>
                <w:rFonts w:asciiTheme="minorHAnsi" w:hAnsiTheme="minorHAnsi" w:cstheme="minorHAnsi"/>
                <w:lang w:eastAsia="en-AU"/>
              </w:rPr>
            </w:pPr>
          </w:p>
        </w:tc>
        <w:tc>
          <w:tcPr>
            <w:tcW w:w="882" w:type="pct"/>
            <w:shd w:val="clear" w:color="auto" w:fill="DEEAF6"/>
            <w:hideMark/>
          </w:tcPr>
          <w:p w14:paraId="18627F9E" w14:textId="77777777" w:rsidR="00584221" w:rsidRPr="001523D8" w:rsidRDefault="00584221" w:rsidP="001523D8">
            <w:pPr>
              <w:pStyle w:val="TableBody"/>
              <w:rPr>
                <w:rFonts w:asciiTheme="minorHAnsi" w:hAnsiTheme="minorHAnsi" w:cstheme="minorHAnsi"/>
                <w:color w:val="000000"/>
                <w:lang w:eastAsia="en-AU"/>
              </w:rPr>
            </w:pPr>
            <w:r w:rsidRPr="001523D8">
              <w:rPr>
                <w:rFonts w:asciiTheme="minorHAnsi" w:hAnsiTheme="minorHAnsi" w:cstheme="minorHAnsi"/>
                <w:color w:val="000000"/>
                <w:lang w:eastAsia="en-AU"/>
              </w:rPr>
              <w:t>One-off ($ million)</w:t>
            </w:r>
          </w:p>
        </w:tc>
        <w:tc>
          <w:tcPr>
            <w:tcW w:w="883" w:type="pct"/>
            <w:shd w:val="clear" w:color="auto" w:fill="DEEAF6"/>
            <w:hideMark/>
          </w:tcPr>
          <w:p w14:paraId="15C68E71" w14:textId="77777777" w:rsidR="00584221" w:rsidRPr="001523D8" w:rsidRDefault="00584221" w:rsidP="001523D8">
            <w:pPr>
              <w:pStyle w:val="TableBody"/>
              <w:rPr>
                <w:rFonts w:asciiTheme="minorHAnsi" w:hAnsiTheme="minorHAnsi" w:cstheme="minorHAnsi"/>
                <w:color w:val="000000"/>
                <w:lang w:eastAsia="en-AU"/>
              </w:rPr>
            </w:pPr>
            <w:r w:rsidRPr="001523D8">
              <w:rPr>
                <w:rFonts w:asciiTheme="minorHAnsi" w:hAnsiTheme="minorHAnsi" w:cstheme="minorHAnsi"/>
                <w:color w:val="000000"/>
                <w:lang w:eastAsia="en-AU"/>
              </w:rPr>
              <w:t>Ongoing</w:t>
            </w:r>
            <w:r w:rsidRPr="001523D8">
              <w:rPr>
                <w:rFonts w:asciiTheme="minorHAnsi" w:hAnsiTheme="minorHAnsi" w:cstheme="minorHAnsi"/>
                <w:color w:val="000000"/>
                <w:lang w:eastAsia="en-AU"/>
              </w:rPr>
              <w:br/>
              <w:t>(per year, $ million)</w:t>
            </w:r>
          </w:p>
        </w:tc>
        <w:tc>
          <w:tcPr>
            <w:tcW w:w="815" w:type="pct"/>
            <w:shd w:val="clear" w:color="auto" w:fill="DEEAF6"/>
            <w:hideMark/>
          </w:tcPr>
          <w:p w14:paraId="7D5347CF" w14:textId="77777777" w:rsidR="00584221" w:rsidRPr="001523D8" w:rsidRDefault="00584221" w:rsidP="001523D8">
            <w:pPr>
              <w:pStyle w:val="TableBody"/>
              <w:rPr>
                <w:rFonts w:asciiTheme="minorHAnsi" w:hAnsiTheme="minorHAnsi" w:cstheme="minorHAnsi"/>
                <w:color w:val="000000"/>
                <w:lang w:eastAsia="en-AU"/>
              </w:rPr>
            </w:pPr>
            <w:r w:rsidRPr="001523D8">
              <w:rPr>
                <w:rFonts w:asciiTheme="minorHAnsi" w:hAnsiTheme="minorHAnsi" w:cstheme="minorHAnsi"/>
                <w:color w:val="000000"/>
                <w:lang w:eastAsia="en-AU"/>
              </w:rPr>
              <w:t xml:space="preserve">Total cost </w:t>
            </w:r>
            <w:r w:rsidRPr="001523D8">
              <w:rPr>
                <w:rFonts w:asciiTheme="minorHAnsi" w:hAnsiTheme="minorHAnsi" w:cstheme="minorHAnsi"/>
                <w:color w:val="000000"/>
                <w:lang w:eastAsia="en-AU"/>
              </w:rPr>
              <w:br/>
              <w:t xml:space="preserve">over 10 years ($ million) </w:t>
            </w:r>
            <w:r w:rsidRPr="001523D8">
              <w:rPr>
                <w:rFonts w:asciiTheme="minorHAnsi" w:hAnsiTheme="minorHAnsi" w:cstheme="minorHAnsi"/>
                <w:color w:val="000000"/>
                <w:vertAlign w:val="superscript"/>
                <w:lang w:eastAsia="en-AU"/>
              </w:rPr>
              <w:footnoteReference w:id="386"/>
            </w:r>
          </w:p>
        </w:tc>
        <w:tc>
          <w:tcPr>
            <w:tcW w:w="950" w:type="pct"/>
            <w:shd w:val="clear" w:color="auto" w:fill="DEEAF6"/>
            <w:hideMark/>
          </w:tcPr>
          <w:p w14:paraId="7EF6CA54" w14:textId="77777777" w:rsidR="00584221" w:rsidRPr="001523D8" w:rsidRDefault="006B504B" w:rsidP="001523D8">
            <w:pPr>
              <w:pStyle w:val="TableBody"/>
              <w:rPr>
                <w:rFonts w:asciiTheme="minorHAnsi" w:hAnsiTheme="minorHAnsi" w:cstheme="minorHAnsi"/>
                <w:color w:val="000000"/>
                <w:lang w:eastAsia="en-AU"/>
              </w:rPr>
            </w:pPr>
            <w:r w:rsidRPr="001523D8">
              <w:rPr>
                <w:rFonts w:asciiTheme="minorHAnsi" w:hAnsiTheme="minorHAnsi" w:cstheme="minorHAnsi"/>
                <w:color w:val="000000"/>
                <w:lang w:eastAsia="en-AU"/>
              </w:rPr>
              <w:t>Expected estimate as p</w:t>
            </w:r>
            <w:r w:rsidR="00584221" w:rsidRPr="001523D8">
              <w:rPr>
                <w:rFonts w:asciiTheme="minorHAnsi" w:hAnsiTheme="minorHAnsi" w:cstheme="minorHAnsi"/>
                <w:color w:val="000000"/>
                <w:lang w:eastAsia="en-AU"/>
              </w:rPr>
              <w:t>ercentage of total (%)</w:t>
            </w:r>
          </w:p>
        </w:tc>
      </w:tr>
      <w:tr w:rsidR="00340241" w:rsidRPr="001523D8" w14:paraId="1F991B4D" w14:textId="77777777" w:rsidTr="001523D8">
        <w:tc>
          <w:tcPr>
            <w:tcW w:w="1470" w:type="pct"/>
            <w:shd w:val="clear" w:color="auto" w:fill="F2F2F2" w:themeFill="background1" w:themeFillShade="F2"/>
            <w:hideMark/>
          </w:tcPr>
          <w:p w14:paraId="5911776B" w14:textId="2E274E44" w:rsidR="00482DE9" w:rsidRPr="001523D8" w:rsidRDefault="00482DE9" w:rsidP="001523D8">
            <w:pPr>
              <w:pStyle w:val="TableBody"/>
              <w:rPr>
                <w:rFonts w:asciiTheme="minorHAnsi" w:hAnsiTheme="minorHAnsi" w:cstheme="minorHAnsi"/>
              </w:rPr>
            </w:pPr>
            <w:r w:rsidRPr="001523D8">
              <w:rPr>
                <w:rFonts w:asciiTheme="minorHAnsi" w:hAnsiTheme="minorHAnsi" w:cstheme="minorHAnsi"/>
              </w:rPr>
              <w:t xml:space="preserve">RMP obligations in </w:t>
            </w:r>
            <w:r w:rsidR="002437E1" w:rsidRPr="001523D8">
              <w:rPr>
                <w:rFonts w:asciiTheme="minorHAnsi" w:hAnsiTheme="minorHAnsi" w:cstheme="minorHAnsi"/>
              </w:rPr>
              <w:t xml:space="preserve">SLACIP </w:t>
            </w:r>
            <w:r w:rsidRPr="001523D8">
              <w:rPr>
                <w:rFonts w:asciiTheme="minorHAnsi" w:hAnsiTheme="minorHAnsi" w:cstheme="minorHAnsi"/>
              </w:rPr>
              <w:t xml:space="preserve">the </w:t>
            </w:r>
            <w:r w:rsidR="00E528EE">
              <w:rPr>
                <w:rFonts w:asciiTheme="minorHAnsi" w:hAnsiTheme="minorHAnsi" w:cstheme="minorHAnsi"/>
              </w:rPr>
              <w:t>Act</w:t>
            </w:r>
          </w:p>
        </w:tc>
        <w:tc>
          <w:tcPr>
            <w:tcW w:w="882" w:type="pct"/>
            <w:shd w:val="clear" w:color="auto" w:fill="auto"/>
          </w:tcPr>
          <w:p w14:paraId="0E1F18D8" w14:textId="31170C5D" w:rsidR="00482DE9" w:rsidRPr="001523D8" w:rsidRDefault="00482DE9" w:rsidP="001523D8">
            <w:pPr>
              <w:pStyle w:val="TableBody"/>
              <w:rPr>
                <w:rFonts w:asciiTheme="minorHAnsi" w:hAnsiTheme="minorHAnsi" w:cstheme="minorHAnsi"/>
              </w:rPr>
            </w:pPr>
            <w:r w:rsidRPr="001523D8">
              <w:rPr>
                <w:rFonts w:asciiTheme="minorHAnsi" w:hAnsiTheme="minorHAnsi" w:cstheme="minorHAnsi"/>
              </w:rPr>
              <w:t>2.0 to 4.</w:t>
            </w:r>
            <w:r w:rsidR="005E5104">
              <w:rPr>
                <w:rFonts w:asciiTheme="minorHAnsi" w:hAnsiTheme="minorHAnsi" w:cstheme="minorHAnsi"/>
              </w:rPr>
              <w:t>6</w:t>
            </w:r>
          </w:p>
        </w:tc>
        <w:tc>
          <w:tcPr>
            <w:tcW w:w="883" w:type="pct"/>
            <w:shd w:val="clear" w:color="auto" w:fill="auto"/>
          </w:tcPr>
          <w:p w14:paraId="5A08C932" w14:textId="207C0003" w:rsidR="00482DE9" w:rsidRPr="001523D8" w:rsidRDefault="00482DE9" w:rsidP="001523D8">
            <w:pPr>
              <w:pStyle w:val="TableBody"/>
              <w:rPr>
                <w:rFonts w:asciiTheme="minorHAnsi" w:hAnsiTheme="minorHAnsi" w:cstheme="minorHAnsi"/>
                <w:lang w:eastAsia="en-AU"/>
              </w:rPr>
            </w:pPr>
            <w:r w:rsidRPr="001523D8">
              <w:rPr>
                <w:rFonts w:asciiTheme="minorHAnsi" w:hAnsiTheme="minorHAnsi" w:cstheme="minorHAnsi"/>
              </w:rPr>
              <w:t>2.</w:t>
            </w:r>
            <w:r w:rsidR="00E9257A">
              <w:rPr>
                <w:rFonts w:asciiTheme="minorHAnsi" w:hAnsiTheme="minorHAnsi" w:cstheme="minorHAnsi"/>
              </w:rPr>
              <w:t>8</w:t>
            </w:r>
            <w:r w:rsidRPr="001523D8">
              <w:rPr>
                <w:rFonts w:asciiTheme="minorHAnsi" w:hAnsiTheme="minorHAnsi" w:cstheme="minorHAnsi"/>
              </w:rPr>
              <w:t xml:space="preserve"> to 6.</w:t>
            </w:r>
            <w:r w:rsidR="00E9257A">
              <w:rPr>
                <w:rFonts w:asciiTheme="minorHAnsi" w:hAnsiTheme="minorHAnsi" w:cstheme="minorHAnsi"/>
              </w:rPr>
              <w:t>4</w:t>
            </w:r>
          </w:p>
        </w:tc>
        <w:tc>
          <w:tcPr>
            <w:tcW w:w="815" w:type="pct"/>
            <w:shd w:val="clear" w:color="auto" w:fill="auto"/>
          </w:tcPr>
          <w:p w14:paraId="1E1B5BE2" w14:textId="24BF31B9" w:rsidR="00482DE9" w:rsidRPr="001523D8" w:rsidRDefault="00482DE9" w:rsidP="001523D8">
            <w:pPr>
              <w:pStyle w:val="TableBody"/>
              <w:rPr>
                <w:rFonts w:asciiTheme="minorHAnsi" w:hAnsiTheme="minorHAnsi" w:cstheme="minorHAnsi"/>
                <w:lang w:eastAsia="en-AU"/>
              </w:rPr>
            </w:pPr>
            <w:r w:rsidRPr="001523D8">
              <w:rPr>
                <w:rFonts w:asciiTheme="minorHAnsi" w:hAnsiTheme="minorHAnsi" w:cstheme="minorHAnsi"/>
              </w:rPr>
              <w:t>2</w:t>
            </w:r>
            <w:r w:rsidR="00053A03">
              <w:rPr>
                <w:rFonts w:asciiTheme="minorHAnsi" w:hAnsiTheme="minorHAnsi" w:cstheme="minorHAnsi"/>
              </w:rPr>
              <w:t>7.4</w:t>
            </w:r>
            <w:r w:rsidRPr="001523D8">
              <w:rPr>
                <w:rFonts w:asciiTheme="minorHAnsi" w:hAnsiTheme="minorHAnsi" w:cstheme="minorHAnsi"/>
              </w:rPr>
              <w:t xml:space="preserve"> to 6</w:t>
            </w:r>
            <w:r w:rsidR="00623A8D">
              <w:rPr>
                <w:rFonts w:asciiTheme="minorHAnsi" w:hAnsiTheme="minorHAnsi" w:cstheme="minorHAnsi"/>
              </w:rPr>
              <w:t>2.2</w:t>
            </w:r>
          </w:p>
        </w:tc>
        <w:tc>
          <w:tcPr>
            <w:tcW w:w="950" w:type="pct"/>
            <w:shd w:val="clear" w:color="auto" w:fill="auto"/>
          </w:tcPr>
          <w:p w14:paraId="1AA0A2FA" w14:textId="1B29BC7B" w:rsidR="00482DE9" w:rsidRPr="001523D8" w:rsidRDefault="00482DE9" w:rsidP="001523D8">
            <w:pPr>
              <w:pStyle w:val="TableBody"/>
              <w:rPr>
                <w:rFonts w:asciiTheme="minorHAnsi" w:hAnsiTheme="minorHAnsi" w:cstheme="minorHAnsi"/>
                <w:lang w:eastAsia="en-AU"/>
              </w:rPr>
            </w:pPr>
            <w:r w:rsidRPr="001523D8">
              <w:rPr>
                <w:rFonts w:asciiTheme="minorHAnsi" w:hAnsiTheme="minorHAnsi" w:cstheme="minorHAnsi"/>
              </w:rPr>
              <w:t>8.</w:t>
            </w:r>
            <w:r w:rsidR="00E17060">
              <w:rPr>
                <w:rFonts w:asciiTheme="minorHAnsi" w:hAnsiTheme="minorHAnsi" w:cstheme="minorHAnsi"/>
              </w:rPr>
              <w:t>3</w:t>
            </w:r>
          </w:p>
        </w:tc>
      </w:tr>
      <w:tr w:rsidR="00340241" w:rsidRPr="001523D8" w14:paraId="7AA0A315" w14:textId="77777777" w:rsidTr="001523D8">
        <w:tc>
          <w:tcPr>
            <w:tcW w:w="1470" w:type="pct"/>
            <w:shd w:val="clear" w:color="auto" w:fill="F2F2F2" w:themeFill="background1" w:themeFillShade="F2"/>
            <w:hideMark/>
          </w:tcPr>
          <w:p w14:paraId="4FB92194" w14:textId="34F2584D" w:rsidR="00482DE9" w:rsidRPr="001523D8" w:rsidRDefault="00482DE9" w:rsidP="001523D8">
            <w:pPr>
              <w:pStyle w:val="TableBody"/>
              <w:rPr>
                <w:rFonts w:asciiTheme="minorHAnsi" w:hAnsiTheme="minorHAnsi" w:cstheme="minorHAnsi"/>
              </w:rPr>
            </w:pPr>
            <w:r w:rsidRPr="001523D8">
              <w:rPr>
                <w:rFonts w:asciiTheme="minorHAnsi" w:hAnsiTheme="minorHAnsi" w:cstheme="minorHAnsi"/>
              </w:rPr>
              <w:t>G</w:t>
            </w:r>
            <w:r w:rsidR="00E528EE">
              <w:rPr>
                <w:rFonts w:asciiTheme="minorHAnsi" w:hAnsiTheme="minorHAnsi" w:cstheme="minorHAnsi"/>
              </w:rPr>
              <w:t>eneral</w:t>
            </w:r>
            <w:r w:rsidRPr="001523D8">
              <w:rPr>
                <w:rFonts w:asciiTheme="minorHAnsi" w:hAnsiTheme="minorHAnsi" w:cstheme="minorHAnsi"/>
              </w:rPr>
              <w:t xml:space="preserve"> rules</w:t>
            </w:r>
          </w:p>
        </w:tc>
        <w:tc>
          <w:tcPr>
            <w:tcW w:w="882" w:type="pct"/>
            <w:shd w:val="clear" w:color="auto" w:fill="auto"/>
          </w:tcPr>
          <w:p w14:paraId="0C4A04FC" w14:textId="4426AE22" w:rsidR="00482DE9" w:rsidRPr="001523D8" w:rsidRDefault="00482DE9" w:rsidP="001523D8">
            <w:pPr>
              <w:pStyle w:val="TableBody"/>
              <w:rPr>
                <w:rFonts w:asciiTheme="minorHAnsi" w:hAnsiTheme="minorHAnsi" w:cstheme="minorHAnsi"/>
              </w:rPr>
            </w:pPr>
            <w:r w:rsidRPr="001523D8">
              <w:rPr>
                <w:rFonts w:asciiTheme="minorHAnsi" w:hAnsiTheme="minorHAnsi" w:cstheme="minorHAnsi"/>
              </w:rPr>
              <w:t>1.4 to 2.</w:t>
            </w:r>
            <w:r w:rsidR="005E5104">
              <w:rPr>
                <w:rFonts w:asciiTheme="minorHAnsi" w:hAnsiTheme="minorHAnsi" w:cstheme="minorHAnsi"/>
              </w:rPr>
              <w:t>9</w:t>
            </w:r>
          </w:p>
        </w:tc>
        <w:tc>
          <w:tcPr>
            <w:tcW w:w="883" w:type="pct"/>
            <w:shd w:val="clear" w:color="auto" w:fill="auto"/>
          </w:tcPr>
          <w:p w14:paraId="0EADDF56" w14:textId="716419E4" w:rsidR="00482DE9" w:rsidRPr="001523D8" w:rsidRDefault="00E9257A" w:rsidP="001523D8">
            <w:pPr>
              <w:pStyle w:val="TableBody"/>
              <w:rPr>
                <w:rFonts w:asciiTheme="minorHAnsi" w:hAnsiTheme="minorHAnsi" w:cstheme="minorHAnsi"/>
                <w:lang w:eastAsia="en-AU"/>
              </w:rPr>
            </w:pPr>
            <w:r>
              <w:rPr>
                <w:rFonts w:asciiTheme="minorHAnsi" w:hAnsiTheme="minorHAnsi" w:cstheme="minorHAnsi"/>
              </w:rPr>
              <w:t>8.0</w:t>
            </w:r>
            <w:r w:rsidR="00482DE9" w:rsidRPr="001523D8">
              <w:rPr>
                <w:rFonts w:asciiTheme="minorHAnsi" w:hAnsiTheme="minorHAnsi" w:cstheme="minorHAnsi"/>
              </w:rPr>
              <w:t xml:space="preserve"> to 15.</w:t>
            </w:r>
            <w:r>
              <w:rPr>
                <w:rFonts w:asciiTheme="minorHAnsi" w:hAnsiTheme="minorHAnsi" w:cstheme="minorHAnsi"/>
              </w:rPr>
              <w:t>9</w:t>
            </w:r>
          </w:p>
        </w:tc>
        <w:tc>
          <w:tcPr>
            <w:tcW w:w="815" w:type="pct"/>
            <w:shd w:val="clear" w:color="auto" w:fill="auto"/>
          </w:tcPr>
          <w:p w14:paraId="3F5DAB07" w14:textId="10CE3D79" w:rsidR="00482DE9" w:rsidRPr="001523D8" w:rsidRDefault="00482DE9" w:rsidP="001523D8">
            <w:pPr>
              <w:pStyle w:val="TableBody"/>
              <w:rPr>
                <w:rFonts w:asciiTheme="minorHAnsi" w:hAnsiTheme="minorHAnsi" w:cstheme="minorHAnsi"/>
                <w:lang w:eastAsia="en-AU"/>
              </w:rPr>
            </w:pPr>
            <w:r w:rsidRPr="001523D8">
              <w:rPr>
                <w:rFonts w:asciiTheme="minorHAnsi" w:hAnsiTheme="minorHAnsi" w:cstheme="minorHAnsi"/>
              </w:rPr>
              <w:t>7</w:t>
            </w:r>
            <w:r w:rsidR="00053A03">
              <w:rPr>
                <w:rFonts w:asciiTheme="minorHAnsi" w:hAnsiTheme="minorHAnsi" w:cstheme="minorHAnsi"/>
              </w:rPr>
              <w:t>3.2</w:t>
            </w:r>
            <w:r w:rsidRPr="001523D8">
              <w:rPr>
                <w:rFonts w:asciiTheme="minorHAnsi" w:hAnsiTheme="minorHAnsi" w:cstheme="minorHAnsi"/>
              </w:rPr>
              <w:t xml:space="preserve"> to 145.</w:t>
            </w:r>
            <w:r w:rsidR="00623A8D">
              <w:rPr>
                <w:rFonts w:asciiTheme="minorHAnsi" w:hAnsiTheme="minorHAnsi" w:cstheme="minorHAnsi"/>
              </w:rPr>
              <w:t>9</w:t>
            </w:r>
          </w:p>
        </w:tc>
        <w:tc>
          <w:tcPr>
            <w:tcW w:w="950" w:type="pct"/>
            <w:shd w:val="clear" w:color="auto" w:fill="auto"/>
          </w:tcPr>
          <w:p w14:paraId="0776FBA5" w14:textId="732D17B0" w:rsidR="00482DE9" w:rsidRPr="001523D8" w:rsidRDefault="00482DE9" w:rsidP="001523D8">
            <w:pPr>
              <w:pStyle w:val="TableBody"/>
              <w:rPr>
                <w:rFonts w:asciiTheme="minorHAnsi" w:hAnsiTheme="minorHAnsi" w:cstheme="minorHAnsi"/>
                <w:lang w:eastAsia="en-AU"/>
              </w:rPr>
            </w:pPr>
            <w:r w:rsidRPr="001523D8">
              <w:rPr>
                <w:rFonts w:asciiTheme="minorHAnsi" w:hAnsiTheme="minorHAnsi" w:cstheme="minorHAnsi"/>
              </w:rPr>
              <w:t>22.</w:t>
            </w:r>
            <w:r w:rsidR="00E17060">
              <w:rPr>
                <w:rFonts w:asciiTheme="minorHAnsi" w:hAnsiTheme="minorHAnsi" w:cstheme="minorHAnsi"/>
              </w:rPr>
              <w:t>2</w:t>
            </w:r>
          </w:p>
        </w:tc>
      </w:tr>
      <w:tr w:rsidR="00810496" w:rsidRPr="001523D8" w14:paraId="52BA2C3B" w14:textId="77777777" w:rsidTr="001523D8">
        <w:tc>
          <w:tcPr>
            <w:tcW w:w="5000" w:type="pct"/>
            <w:gridSpan w:val="5"/>
            <w:shd w:val="clear" w:color="auto" w:fill="F2F2F2" w:themeFill="background1" w:themeFillShade="F2"/>
          </w:tcPr>
          <w:p w14:paraId="7F9D5B08" w14:textId="77777777" w:rsidR="00810496" w:rsidRPr="001523D8" w:rsidRDefault="00810496" w:rsidP="001523D8">
            <w:pPr>
              <w:pStyle w:val="TableBody"/>
              <w:rPr>
                <w:rFonts w:asciiTheme="minorHAnsi" w:hAnsiTheme="minorHAnsi" w:cstheme="minorHAnsi"/>
              </w:rPr>
            </w:pPr>
            <w:r w:rsidRPr="001523D8">
              <w:rPr>
                <w:rFonts w:asciiTheme="minorHAnsi" w:hAnsiTheme="minorHAnsi" w:cstheme="minorHAnsi"/>
              </w:rPr>
              <w:t>RMP rules</w:t>
            </w:r>
          </w:p>
        </w:tc>
      </w:tr>
      <w:tr w:rsidR="00810496" w:rsidRPr="001523D8" w14:paraId="230152CA" w14:textId="77777777" w:rsidTr="001523D8">
        <w:tc>
          <w:tcPr>
            <w:tcW w:w="1470" w:type="pct"/>
            <w:shd w:val="clear" w:color="auto" w:fill="F2F2F2" w:themeFill="background1" w:themeFillShade="F2"/>
            <w:hideMark/>
          </w:tcPr>
          <w:p w14:paraId="4B3FA3AE" w14:textId="77777777" w:rsidR="00810496" w:rsidRPr="001523D8" w:rsidRDefault="00810496" w:rsidP="001523D8">
            <w:pPr>
              <w:pStyle w:val="TableBody"/>
              <w:rPr>
                <w:rFonts w:asciiTheme="minorHAnsi" w:hAnsiTheme="minorHAnsi" w:cstheme="minorHAnsi"/>
              </w:rPr>
            </w:pPr>
            <w:r w:rsidRPr="001523D8">
              <w:rPr>
                <w:rFonts w:asciiTheme="minorHAnsi" w:hAnsiTheme="minorHAnsi" w:cstheme="minorHAnsi"/>
              </w:rPr>
              <w:t xml:space="preserve">Cyber and information security hazard </w:t>
            </w:r>
          </w:p>
        </w:tc>
        <w:tc>
          <w:tcPr>
            <w:tcW w:w="882" w:type="pct"/>
            <w:shd w:val="clear" w:color="auto" w:fill="auto"/>
          </w:tcPr>
          <w:p w14:paraId="637738A7" w14:textId="11483373"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11.</w:t>
            </w:r>
            <w:r w:rsidR="005E5104">
              <w:rPr>
                <w:rFonts w:asciiTheme="minorHAnsi" w:hAnsiTheme="minorHAnsi" w:cstheme="minorHAnsi"/>
              </w:rPr>
              <w:t>1</w:t>
            </w:r>
            <w:r w:rsidRPr="001523D8">
              <w:rPr>
                <w:rFonts w:asciiTheme="minorHAnsi" w:hAnsiTheme="minorHAnsi" w:cstheme="minorHAnsi"/>
              </w:rPr>
              <w:t xml:space="preserve"> to 19.</w:t>
            </w:r>
            <w:r w:rsidR="005E5104">
              <w:rPr>
                <w:rFonts w:asciiTheme="minorHAnsi" w:hAnsiTheme="minorHAnsi" w:cstheme="minorHAnsi"/>
              </w:rPr>
              <w:t>6</w:t>
            </w:r>
          </w:p>
        </w:tc>
        <w:tc>
          <w:tcPr>
            <w:tcW w:w="883" w:type="pct"/>
            <w:shd w:val="clear" w:color="auto" w:fill="auto"/>
          </w:tcPr>
          <w:p w14:paraId="6FC554D4" w14:textId="1686EE1E"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8.5 to 19.</w:t>
            </w:r>
            <w:r w:rsidR="00E9257A">
              <w:rPr>
                <w:rFonts w:asciiTheme="minorHAnsi" w:hAnsiTheme="minorHAnsi" w:cstheme="minorHAnsi"/>
              </w:rPr>
              <w:t>1</w:t>
            </w:r>
          </w:p>
        </w:tc>
        <w:tc>
          <w:tcPr>
            <w:tcW w:w="815" w:type="pct"/>
            <w:shd w:val="clear" w:color="auto" w:fill="auto"/>
          </w:tcPr>
          <w:p w14:paraId="00543404" w14:textId="49BCE72F"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83.</w:t>
            </w:r>
            <w:r w:rsidR="00053A03">
              <w:rPr>
                <w:rFonts w:asciiTheme="minorHAnsi" w:hAnsiTheme="minorHAnsi" w:cstheme="minorHAnsi"/>
              </w:rPr>
              <w:t>7</w:t>
            </w:r>
            <w:r w:rsidRPr="001523D8">
              <w:rPr>
                <w:rFonts w:asciiTheme="minorHAnsi" w:hAnsiTheme="minorHAnsi" w:cstheme="minorHAnsi"/>
              </w:rPr>
              <w:t xml:space="preserve"> to 19</w:t>
            </w:r>
            <w:r w:rsidR="00623A8D">
              <w:rPr>
                <w:rFonts w:asciiTheme="minorHAnsi" w:hAnsiTheme="minorHAnsi" w:cstheme="minorHAnsi"/>
              </w:rPr>
              <w:t>1</w:t>
            </w:r>
            <w:r w:rsidRPr="001523D8">
              <w:rPr>
                <w:rFonts w:asciiTheme="minorHAnsi" w:hAnsiTheme="minorHAnsi" w:cstheme="minorHAnsi"/>
              </w:rPr>
              <w:t>.4</w:t>
            </w:r>
          </w:p>
        </w:tc>
        <w:tc>
          <w:tcPr>
            <w:tcW w:w="950" w:type="pct"/>
            <w:shd w:val="clear" w:color="auto" w:fill="auto"/>
          </w:tcPr>
          <w:p w14:paraId="395C3F9E" w14:textId="5DC900B1"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25.</w:t>
            </w:r>
            <w:r w:rsidR="00E17060">
              <w:rPr>
                <w:rFonts w:asciiTheme="minorHAnsi" w:hAnsiTheme="minorHAnsi" w:cstheme="minorHAnsi"/>
              </w:rPr>
              <w:t>4</w:t>
            </w:r>
          </w:p>
        </w:tc>
      </w:tr>
      <w:tr w:rsidR="00810496" w:rsidRPr="001523D8" w14:paraId="49929FC9" w14:textId="77777777" w:rsidTr="001523D8">
        <w:tc>
          <w:tcPr>
            <w:tcW w:w="1470" w:type="pct"/>
            <w:shd w:val="clear" w:color="auto" w:fill="F2F2F2" w:themeFill="background1" w:themeFillShade="F2"/>
            <w:hideMark/>
          </w:tcPr>
          <w:p w14:paraId="04D1CEB3" w14:textId="77777777" w:rsidR="00810496" w:rsidRPr="001523D8" w:rsidRDefault="00810496" w:rsidP="001523D8">
            <w:pPr>
              <w:pStyle w:val="TableBody"/>
              <w:rPr>
                <w:rFonts w:asciiTheme="minorHAnsi" w:hAnsiTheme="minorHAnsi" w:cstheme="minorHAnsi"/>
              </w:rPr>
            </w:pPr>
            <w:r w:rsidRPr="001523D8">
              <w:rPr>
                <w:rFonts w:asciiTheme="minorHAnsi" w:hAnsiTheme="minorHAnsi" w:cstheme="minorHAnsi"/>
              </w:rPr>
              <w:t>Personnel hazard</w:t>
            </w:r>
          </w:p>
        </w:tc>
        <w:tc>
          <w:tcPr>
            <w:tcW w:w="882" w:type="pct"/>
            <w:shd w:val="clear" w:color="auto" w:fill="auto"/>
          </w:tcPr>
          <w:p w14:paraId="7FF36F28" w14:textId="00FE7F04"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2.</w:t>
            </w:r>
            <w:r w:rsidR="002B28A4">
              <w:rPr>
                <w:rFonts w:asciiTheme="minorHAnsi" w:hAnsiTheme="minorHAnsi" w:cstheme="minorHAnsi"/>
              </w:rPr>
              <w:t>8</w:t>
            </w:r>
            <w:r w:rsidRPr="001523D8">
              <w:rPr>
                <w:rFonts w:asciiTheme="minorHAnsi" w:hAnsiTheme="minorHAnsi" w:cstheme="minorHAnsi"/>
              </w:rPr>
              <w:t xml:space="preserve"> to 4.</w:t>
            </w:r>
            <w:r w:rsidR="002B28A4">
              <w:rPr>
                <w:rFonts w:asciiTheme="minorHAnsi" w:hAnsiTheme="minorHAnsi" w:cstheme="minorHAnsi"/>
              </w:rPr>
              <w:t>1</w:t>
            </w:r>
          </w:p>
        </w:tc>
        <w:tc>
          <w:tcPr>
            <w:tcW w:w="883" w:type="pct"/>
            <w:shd w:val="clear" w:color="auto" w:fill="auto"/>
          </w:tcPr>
          <w:p w14:paraId="38FC5255" w14:textId="0533EB24"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1.</w:t>
            </w:r>
            <w:r w:rsidR="00E9257A">
              <w:rPr>
                <w:rFonts w:asciiTheme="minorHAnsi" w:hAnsiTheme="minorHAnsi" w:cstheme="minorHAnsi"/>
              </w:rPr>
              <w:t>4</w:t>
            </w:r>
            <w:r w:rsidRPr="001523D8">
              <w:rPr>
                <w:rFonts w:asciiTheme="minorHAnsi" w:hAnsiTheme="minorHAnsi" w:cstheme="minorHAnsi"/>
              </w:rPr>
              <w:t xml:space="preserve"> to 2.</w:t>
            </w:r>
            <w:r w:rsidR="00E9257A">
              <w:rPr>
                <w:rFonts w:asciiTheme="minorHAnsi" w:hAnsiTheme="minorHAnsi" w:cstheme="minorHAnsi"/>
              </w:rPr>
              <w:t>4</w:t>
            </w:r>
          </w:p>
        </w:tc>
        <w:tc>
          <w:tcPr>
            <w:tcW w:w="815" w:type="pct"/>
            <w:shd w:val="clear" w:color="auto" w:fill="auto"/>
          </w:tcPr>
          <w:p w14:paraId="42EF6A02" w14:textId="2D505A05"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15.</w:t>
            </w:r>
            <w:r w:rsidR="00053A03">
              <w:rPr>
                <w:rFonts w:asciiTheme="minorHAnsi" w:hAnsiTheme="minorHAnsi" w:cstheme="minorHAnsi"/>
              </w:rPr>
              <w:t>9</w:t>
            </w:r>
            <w:r w:rsidRPr="001523D8">
              <w:rPr>
                <w:rFonts w:asciiTheme="minorHAnsi" w:hAnsiTheme="minorHAnsi" w:cstheme="minorHAnsi"/>
              </w:rPr>
              <w:t xml:space="preserve"> to 2</w:t>
            </w:r>
            <w:r w:rsidR="00623A8D">
              <w:rPr>
                <w:rFonts w:asciiTheme="minorHAnsi" w:hAnsiTheme="minorHAnsi" w:cstheme="minorHAnsi"/>
              </w:rPr>
              <w:t>5.3</w:t>
            </w:r>
          </w:p>
        </w:tc>
        <w:tc>
          <w:tcPr>
            <w:tcW w:w="950" w:type="pct"/>
            <w:shd w:val="clear" w:color="auto" w:fill="auto"/>
          </w:tcPr>
          <w:p w14:paraId="75C2B47A" w14:textId="61E013D7"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4.</w:t>
            </w:r>
            <w:r w:rsidR="00E17060">
              <w:rPr>
                <w:rFonts w:asciiTheme="minorHAnsi" w:hAnsiTheme="minorHAnsi" w:cstheme="minorHAnsi"/>
              </w:rPr>
              <w:t>8</w:t>
            </w:r>
          </w:p>
        </w:tc>
      </w:tr>
      <w:tr w:rsidR="00810496" w:rsidRPr="001523D8" w14:paraId="6BD5D3DE" w14:textId="77777777" w:rsidTr="001523D8">
        <w:tc>
          <w:tcPr>
            <w:tcW w:w="1470" w:type="pct"/>
            <w:shd w:val="clear" w:color="auto" w:fill="F2F2F2" w:themeFill="background1" w:themeFillShade="F2"/>
            <w:hideMark/>
          </w:tcPr>
          <w:p w14:paraId="1908B86A" w14:textId="77777777" w:rsidR="00810496" w:rsidRPr="001523D8" w:rsidRDefault="00810496" w:rsidP="001523D8">
            <w:pPr>
              <w:pStyle w:val="TableBody"/>
              <w:rPr>
                <w:rFonts w:asciiTheme="minorHAnsi" w:hAnsiTheme="minorHAnsi" w:cstheme="minorHAnsi"/>
              </w:rPr>
            </w:pPr>
            <w:r w:rsidRPr="001523D8">
              <w:rPr>
                <w:rFonts w:asciiTheme="minorHAnsi" w:hAnsiTheme="minorHAnsi" w:cstheme="minorHAnsi"/>
              </w:rPr>
              <w:t xml:space="preserve">Supply chain hazard </w:t>
            </w:r>
          </w:p>
        </w:tc>
        <w:tc>
          <w:tcPr>
            <w:tcW w:w="882" w:type="pct"/>
            <w:shd w:val="clear" w:color="auto" w:fill="auto"/>
          </w:tcPr>
          <w:p w14:paraId="7E977E8A" w14:textId="77777777"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1.5 to 3.0</w:t>
            </w:r>
          </w:p>
        </w:tc>
        <w:tc>
          <w:tcPr>
            <w:tcW w:w="883" w:type="pct"/>
            <w:shd w:val="clear" w:color="auto" w:fill="auto"/>
          </w:tcPr>
          <w:p w14:paraId="14DE71A4" w14:textId="77777777"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1.4 to 2.8</w:t>
            </w:r>
          </w:p>
        </w:tc>
        <w:tc>
          <w:tcPr>
            <w:tcW w:w="815" w:type="pct"/>
            <w:shd w:val="clear" w:color="auto" w:fill="auto"/>
          </w:tcPr>
          <w:p w14:paraId="34BA5DA5" w14:textId="33981CC0"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1</w:t>
            </w:r>
            <w:r w:rsidR="00053A03">
              <w:rPr>
                <w:rFonts w:asciiTheme="minorHAnsi" w:hAnsiTheme="minorHAnsi" w:cstheme="minorHAnsi"/>
              </w:rPr>
              <w:t>5.1</w:t>
            </w:r>
            <w:r w:rsidRPr="001523D8">
              <w:rPr>
                <w:rFonts w:asciiTheme="minorHAnsi" w:hAnsiTheme="minorHAnsi" w:cstheme="minorHAnsi"/>
              </w:rPr>
              <w:t xml:space="preserve"> to 2</w:t>
            </w:r>
            <w:r w:rsidR="00623A8D">
              <w:rPr>
                <w:rFonts w:asciiTheme="minorHAnsi" w:hAnsiTheme="minorHAnsi" w:cstheme="minorHAnsi"/>
              </w:rPr>
              <w:t>8.3</w:t>
            </w:r>
          </w:p>
        </w:tc>
        <w:tc>
          <w:tcPr>
            <w:tcW w:w="950" w:type="pct"/>
            <w:shd w:val="clear" w:color="auto" w:fill="auto"/>
          </w:tcPr>
          <w:p w14:paraId="6CA75E34" w14:textId="3A9D117B"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rPr>
              <w:t>4.</w:t>
            </w:r>
            <w:r w:rsidR="00425E84">
              <w:rPr>
                <w:rFonts w:asciiTheme="minorHAnsi" w:hAnsiTheme="minorHAnsi" w:cstheme="minorHAnsi"/>
              </w:rPr>
              <w:t>6</w:t>
            </w:r>
          </w:p>
        </w:tc>
      </w:tr>
      <w:tr w:rsidR="00810496" w:rsidRPr="001523D8" w14:paraId="367D71A1" w14:textId="77777777" w:rsidTr="001523D8">
        <w:tc>
          <w:tcPr>
            <w:tcW w:w="1470" w:type="pct"/>
            <w:shd w:val="clear" w:color="auto" w:fill="F2F2F2" w:themeFill="background1" w:themeFillShade="F2"/>
            <w:hideMark/>
          </w:tcPr>
          <w:p w14:paraId="052DE9E8" w14:textId="77777777" w:rsidR="00810496" w:rsidRPr="001523D8" w:rsidRDefault="00810496" w:rsidP="001523D8">
            <w:pPr>
              <w:pStyle w:val="TableBody"/>
              <w:rPr>
                <w:rFonts w:asciiTheme="minorHAnsi" w:hAnsiTheme="minorHAnsi" w:cstheme="minorHAnsi"/>
              </w:rPr>
            </w:pPr>
            <w:r w:rsidRPr="001523D8">
              <w:rPr>
                <w:rFonts w:asciiTheme="minorHAnsi" w:hAnsiTheme="minorHAnsi" w:cstheme="minorHAnsi"/>
              </w:rPr>
              <w:t>Physical and natural hazard</w:t>
            </w:r>
          </w:p>
        </w:tc>
        <w:tc>
          <w:tcPr>
            <w:tcW w:w="882" w:type="pct"/>
            <w:shd w:val="clear" w:color="auto" w:fill="auto"/>
          </w:tcPr>
          <w:p w14:paraId="4D731F4E" w14:textId="4E8F7BDD"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lang w:eastAsia="en-AU"/>
              </w:rPr>
              <w:t>6</w:t>
            </w:r>
            <w:r w:rsidR="00E51405">
              <w:rPr>
                <w:rFonts w:asciiTheme="minorHAnsi" w:hAnsiTheme="minorHAnsi" w:cstheme="minorHAnsi"/>
                <w:lang w:eastAsia="en-AU"/>
              </w:rPr>
              <w:t>7.1</w:t>
            </w:r>
            <w:r w:rsidRPr="001523D8">
              <w:rPr>
                <w:rFonts w:asciiTheme="minorHAnsi" w:hAnsiTheme="minorHAnsi" w:cstheme="minorHAnsi"/>
                <w:lang w:eastAsia="en-AU"/>
              </w:rPr>
              <w:t xml:space="preserve"> to 191.</w:t>
            </w:r>
            <w:r w:rsidR="00E51405">
              <w:rPr>
                <w:rFonts w:asciiTheme="minorHAnsi" w:hAnsiTheme="minorHAnsi" w:cstheme="minorHAnsi"/>
                <w:lang w:eastAsia="en-AU"/>
              </w:rPr>
              <w:t>6</w:t>
            </w:r>
          </w:p>
        </w:tc>
        <w:tc>
          <w:tcPr>
            <w:tcW w:w="883" w:type="pct"/>
            <w:shd w:val="clear" w:color="auto" w:fill="auto"/>
          </w:tcPr>
          <w:p w14:paraId="5484CBC0" w14:textId="2A4EDC81"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lang w:eastAsia="en-AU"/>
              </w:rPr>
              <w:t>3.7 to 8.</w:t>
            </w:r>
            <w:r w:rsidR="00053A03">
              <w:rPr>
                <w:rFonts w:asciiTheme="minorHAnsi" w:hAnsiTheme="minorHAnsi" w:cstheme="minorHAnsi"/>
                <w:lang w:eastAsia="en-AU"/>
              </w:rPr>
              <w:t>7</w:t>
            </w:r>
          </w:p>
        </w:tc>
        <w:tc>
          <w:tcPr>
            <w:tcW w:w="815" w:type="pct"/>
            <w:shd w:val="clear" w:color="auto" w:fill="auto"/>
          </w:tcPr>
          <w:p w14:paraId="05896B7B" w14:textId="1A9CF47F"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lang w:eastAsia="en-AU"/>
              </w:rPr>
              <w:t>10</w:t>
            </w:r>
            <w:r w:rsidR="00623A8D">
              <w:rPr>
                <w:rFonts w:asciiTheme="minorHAnsi" w:hAnsiTheme="minorHAnsi" w:cstheme="minorHAnsi"/>
                <w:lang w:eastAsia="en-AU"/>
              </w:rPr>
              <w:t>2.5</w:t>
            </w:r>
            <w:r w:rsidRPr="001523D8">
              <w:rPr>
                <w:rFonts w:asciiTheme="minorHAnsi" w:hAnsiTheme="minorHAnsi" w:cstheme="minorHAnsi"/>
                <w:lang w:eastAsia="en-AU"/>
              </w:rPr>
              <w:t xml:space="preserve"> to 26</w:t>
            </w:r>
            <w:r w:rsidR="00E17060">
              <w:rPr>
                <w:rFonts w:asciiTheme="minorHAnsi" w:hAnsiTheme="minorHAnsi" w:cstheme="minorHAnsi"/>
                <w:lang w:eastAsia="en-AU"/>
              </w:rPr>
              <w:t>9</w:t>
            </w:r>
            <w:r w:rsidRPr="001523D8">
              <w:rPr>
                <w:rFonts w:asciiTheme="minorHAnsi" w:hAnsiTheme="minorHAnsi" w:cstheme="minorHAnsi"/>
                <w:lang w:eastAsia="en-AU"/>
              </w:rPr>
              <w:t>.6</w:t>
            </w:r>
          </w:p>
        </w:tc>
        <w:tc>
          <w:tcPr>
            <w:tcW w:w="950" w:type="pct"/>
            <w:shd w:val="clear" w:color="auto" w:fill="auto"/>
          </w:tcPr>
          <w:p w14:paraId="03ED024A" w14:textId="6D7DB4A9"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lang w:eastAsia="en-AU"/>
              </w:rPr>
              <w:t>31.</w:t>
            </w:r>
            <w:r w:rsidR="00425E84">
              <w:rPr>
                <w:rFonts w:asciiTheme="minorHAnsi" w:hAnsiTheme="minorHAnsi" w:cstheme="minorHAnsi"/>
                <w:lang w:eastAsia="en-AU"/>
              </w:rPr>
              <w:t>1</w:t>
            </w:r>
          </w:p>
        </w:tc>
      </w:tr>
      <w:tr w:rsidR="00810496" w:rsidRPr="001523D8" w14:paraId="5B280E9D" w14:textId="77777777" w:rsidTr="001523D8">
        <w:tc>
          <w:tcPr>
            <w:tcW w:w="1470" w:type="pct"/>
            <w:shd w:val="clear" w:color="auto" w:fill="F2F2F2" w:themeFill="background1" w:themeFillShade="F2"/>
            <w:hideMark/>
          </w:tcPr>
          <w:p w14:paraId="057CEF6E" w14:textId="77777777" w:rsidR="00810496" w:rsidRPr="001523D8" w:rsidRDefault="00810496" w:rsidP="001523D8">
            <w:pPr>
              <w:pStyle w:val="TableBody"/>
              <w:rPr>
                <w:rFonts w:asciiTheme="minorHAnsi" w:hAnsiTheme="minorHAnsi" w:cstheme="minorHAnsi"/>
              </w:rPr>
            </w:pPr>
            <w:r w:rsidRPr="001523D8">
              <w:rPr>
                <w:rFonts w:asciiTheme="minorHAnsi" w:hAnsiTheme="minorHAnsi" w:cstheme="minorHAnsi"/>
              </w:rPr>
              <w:t>Material risk</w:t>
            </w:r>
          </w:p>
        </w:tc>
        <w:tc>
          <w:tcPr>
            <w:tcW w:w="882" w:type="pct"/>
            <w:shd w:val="clear" w:color="auto" w:fill="auto"/>
          </w:tcPr>
          <w:p w14:paraId="24F9FC72" w14:textId="316BDD62" w:rsidR="00810496" w:rsidRPr="001523D8" w:rsidRDefault="00810496" w:rsidP="001523D8">
            <w:pPr>
              <w:pStyle w:val="TableBody"/>
              <w:rPr>
                <w:rFonts w:asciiTheme="minorHAnsi" w:hAnsiTheme="minorHAnsi" w:cstheme="minorHAnsi"/>
              </w:rPr>
            </w:pPr>
            <w:r w:rsidRPr="001523D8">
              <w:rPr>
                <w:rFonts w:asciiTheme="minorHAnsi" w:hAnsiTheme="minorHAnsi" w:cstheme="minorHAnsi"/>
              </w:rPr>
              <w:t>2.</w:t>
            </w:r>
            <w:r w:rsidR="00E51405">
              <w:rPr>
                <w:rFonts w:asciiTheme="minorHAnsi" w:hAnsiTheme="minorHAnsi" w:cstheme="minorHAnsi"/>
              </w:rPr>
              <w:t>5</w:t>
            </w:r>
            <w:r w:rsidRPr="001523D8">
              <w:rPr>
                <w:rFonts w:asciiTheme="minorHAnsi" w:hAnsiTheme="minorHAnsi" w:cstheme="minorHAnsi"/>
              </w:rPr>
              <w:t xml:space="preserve"> to 4.9</w:t>
            </w:r>
          </w:p>
        </w:tc>
        <w:tc>
          <w:tcPr>
            <w:tcW w:w="883" w:type="pct"/>
            <w:shd w:val="clear" w:color="auto" w:fill="auto"/>
          </w:tcPr>
          <w:p w14:paraId="25565EB5" w14:textId="77777777"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lang w:eastAsia="en-AU"/>
              </w:rPr>
              <w:t>1.0 to 2.0</w:t>
            </w:r>
          </w:p>
        </w:tc>
        <w:tc>
          <w:tcPr>
            <w:tcW w:w="815" w:type="pct"/>
            <w:shd w:val="clear" w:color="auto" w:fill="auto"/>
          </w:tcPr>
          <w:p w14:paraId="7D7C0F8E" w14:textId="64C14028"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lang w:eastAsia="en-AU"/>
              </w:rPr>
              <w:t>1</w:t>
            </w:r>
            <w:r w:rsidR="00623A8D">
              <w:rPr>
                <w:rFonts w:asciiTheme="minorHAnsi" w:hAnsiTheme="minorHAnsi" w:cstheme="minorHAnsi"/>
                <w:lang w:eastAsia="en-AU"/>
              </w:rPr>
              <w:t>2.0</w:t>
            </w:r>
            <w:r w:rsidRPr="001523D8">
              <w:rPr>
                <w:rFonts w:asciiTheme="minorHAnsi" w:hAnsiTheme="minorHAnsi" w:cstheme="minorHAnsi"/>
                <w:lang w:eastAsia="en-AU"/>
              </w:rPr>
              <w:t xml:space="preserve"> to 22.</w:t>
            </w:r>
            <w:r w:rsidR="00E17060">
              <w:rPr>
                <w:rFonts w:asciiTheme="minorHAnsi" w:hAnsiTheme="minorHAnsi" w:cstheme="minorHAnsi"/>
                <w:lang w:eastAsia="en-AU"/>
              </w:rPr>
              <w:t>9</w:t>
            </w:r>
          </w:p>
        </w:tc>
        <w:tc>
          <w:tcPr>
            <w:tcW w:w="950" w:type="pct"/>
            <w:shd w:val="clear" w:color="auto" w:fill="auto"/>
          </w:tcPr>
          <w:p w14:paraId="1B6DB792" w14:textId="77777777" w:rsidR="00810496" w:rsidRPr="001523D8" w:rsidRDefault="00810496" w:rsidP="001523D8">
            <w:pPr>
              <w:pStyle w:val="TableBody"/>
              <w:rPr>
                <w:rFonts w:asciiTheme="minorHAnsi" w:hAnsiTheme="minorHAnsi" w:cstheme="minorHAnsi"/>
                <w:lang w:eastAsia="en-AU"/>
              </w:rPr>
            </w:pPr>
            <w:r w:rsidRPr="001523D8">
              <w:rPr>
                <w:rFonts w:asciiTheme="minorHAnsi" w:hAnsiTheme="minorHAnsi" w:cstheme="minorHAnsi"/>
                <w:lang w:eastAsia="en-AU"/>
              </w:rPr>
              <w:t>3.6</w:t>
            </w:r>
          </w:p>
        </w:tc>
      </w:tr>
      <w:tr w:rsidR="00340241" w:rsidRPr="001523D8" w14:paraId="19F2CA6F" w14:textId="77777777" w:rsidTr="001523D8">
        <w:tc>
          <w:tcPr>
            <w:tcW w:w="1470" w:type="pct"/>
            <w:shd w:val="clear" w:color="auto" w:fill="034EA2" w:themeFill="accent1"/>
            <w:hideMark/>
          </w:tcPr>
          <w:p w14:paraId="2AC58E2E" w14:textId="77777777" w:rsidR="00810496" w:rsidRPr="001523D8" w:rsidRDefault="00810496" w:rsidP="001523D8">
            <w:pPr>
              <w:pStyle w:val="TableHeading"/>
              <w:rPr>
                <w:rFonts w:asciiTheme="minorHAnsi" w:hAnsiTheme="minorHAnsi" w:cstheme="minorHAnsi"/>
                <w:lang w:eastAsia="en-AU"/>
              </w:rPr>
            </w:pPr>
            <w:r w:rsidRPr="001523D8">
              <w:rPr>
                <w:rFonts w:asciiTheme="minorHAnsi" w:hAnsiTheme="minorHAnsi" w:cstheme="minorHAnsi"/>
                <w:lang w:eastAsia="en-AU"/>
              </w:rPr>
              <w:t xml:space="preserve">Total critical </w:t>
            </w:r>
            <w:r w:rsidR="00E94049" w:rsidRPr="001523D8">
              <w:rPr>
                <w:rFonts w:asciiTheme="minorHAnsi" w:hAnsiTheme="minorHAnsi" w:cstheme="minorHAnsi"/>
                <w:lang w:eastAsia="en-AU"/>
              </w:rPr>
              <w:t>energy market operator</w:t>
            </w:r>
            <w:r w:rsidRPr="001523D8">
              <w:rPr>
                <w:rFonts w:asciiTheme="minorHAnsi" w:hAnsiTheme="minorHAnsi" w:cstheme="minorHAnsi"/>
                <w:lang w:eastAsia="en-AU"/>
              </w:rPr>
              <w:t xml:space="preserve"> assets</w:t>
            </w:r>
          </w:p>
        </w:tc>
        <w:tc>
          <w:tcPr>
            <w:tcW w:w="882" w:type="pct"/>
            <w:shd w:val="clear" w:color="auto" w:fill="034EA2" w:themeFill="accent1"/>
          </w:tcPr>
          <w:p w14:paraId="77EC38D3" w14:textId="05DED81D" w:rsidR="00810496" w:rsidRPr="001523D8" w:rsidRDefault="00810496" w:rsidP="001523D8">
            <w:pPr>
              <w:pStyle w:val="TableHeading"/>
              <w:rPr>
                <w:rFonts w:asciiTheme="minorHAnsi" w:hAnsiTheme="minorHAnsi" w:cstheme="minorHAnsi"/>
                <w:lang w:eastAsia="en-AU"/>
              </w:rPr>
            </w:pPr>
            <w:r w:rsidRPr="001523D8">
              <w:rPr>
                <w:rFonts w:asciiTheme="minorHAnsi" w:hAnsiTheme="minorHAnsi" w:cstheme="minorHAnsi"/>
                <w:lang w:eastAsia="en-AU"/>
              </w:rPr>
              <w:t>88.</w:t>
            </w:r>
            <w:r w:rsidR="00E51405">
              <w:rPr>
                <w:rFonts w:asciiTheme="minorHAnsi" w:hAnsiTheme="minorHAnsi" w:cstheme="minorHAnsi"/>
                <w:lang w:eastAsia="en-AU"/>
              </w:rPr>
              <w:t>3</w:t>
            </w:r>
            <w:r w:rsidRPr="001523D8">
              <w:rPr>
                <w:rFonts w:asciiTheme="minorHAnsi" w:hAnsiTheme="minorHAnsi" w:cstheme="minorHAnsi"/>
                <w:lang w:eastAsia="en-AU"/>
              </w:rPr>
              <w:t xml:space="preserve"> to 230.</w:t>
            </w:r>
            <w:r w:rsidR="00E51405">
              <w:rPr>
                <w:rFonts w:asciiTheme="minorHAnsi" w:hAnsiTheme="minorHAnsi" w:cstheme="minorHAnsi"/>
                <w:lang w:eastAsia="en-AU"/>
              </w:rPr>
              <w:t>7</w:t>
            </w:r>
          </w:p>
        </w:tc>
        <w:tc>
          <w:tcPr>
            <w:tcW w:w="883" w:type="pct"/>
            <w:shd w:val="clear" w:color="auto" w:fill="034EA2" w:themeFill="accent1"/>
          </w:tcPr>
          <w:p w14:paraId="3C4CE6BF" w14:textId="338BBDAD" w:rsidR="00810496" w:rsidRPr="001523D8" w:rsidRDefault="00810496" w:rsidP="001523D8">
            <w:pPr>
              <w:pStyle w:val="TableHeading"/>
              <w:rPr>
                <w:rFonts w:asciiTheme="minorHAnsi" w:hAnsiTheme="minorHAnsi" w:cstheme="minorHAnsi"/>
                <w:lang w:eastAsia="en-AU"/>
              </w:rPr>
            </w:pPr>
            <w:r w:rsidRPr="001523D8">
              <w:rPr>
                <w:rFonts w:asciiTheme="minorHAnsi" w:hAnsiTheme="minorHAnsi" w:cstheme="minorHAnsi"/>
                <w:lang w:eastAsia="en-AU"/>
              </w:rPr>
              <w:t>26.</w:t>
            </w:r>
            <w:r w:rsidR="00053A03">
              <w:rPr>
                <w:rFonts w:asciiTheme="minorHAnsi" w:hAnsiTheme="minorHAnsi" w:cstheme="minorHAnsi"/>
                <w:lang w:eastAsia="en-AU"/>
              </w:rPr>
              <w:t>9</w:t>
            </w:r>
            <w:r w:rsidRPr="001523D8">
              <w:rPr>
                <w:rFonts w:asciiTheme="minorHAnsi" w:hAnsiTheme="minorHAnsi" w:cstheme="minorHAnsi"/>
                <w:lang w:eastAsia="en-AU"/>
              </w:rPr>
              <w:t xml:space="preserve"> to 5</w:t>
            </w:r>
            <w:r w:rsidR="00053A03">
              <w:rPr>
                <w:rFonts w:asciiTheme="minorHAnsi" w:hAnsiTheme="minorHAnsi" w:cstheme="minorHAnsi"/>
                <w:lang w:eastAsia="en-AU"/>
              </w:rPr>
              <w:t>7.2</w:t>
            </w:r>
          </w:p>
        </w:tc>
        <w:tc>
          <w:tcPr>
            <w:tcW w:w="815" w:type="pct"/>
            <w:shd w:val="clear" w:color="auto" w:fill="034EA2" w:themeFill="accent1"/>
          </w:tcPr>
          <w:p w14:paraId="6D3CFD08" w14:textId="5A689449" w:rsidR="00810496" w:rsidRPr="001523D8" w:rsidRDefault="00810496" w:rsidP="001523D8">
            <w:pPr>
              <w:pStyle w:val="TableHeading"/>
              <w:rPr>
                <w:rFonts w:asciiTheme="minorHAnsi" w:hAnsiTheme="minorHAnsi" w:cstheme="minorHAnsi"/>
                <w:lang w:eastAsia="en-AU"/>
              </w:rPr>
            </w:pPr>
            <w:r w:rsidRPr="001523D8">
              <w:rPr>
                <w:rFonts w:asciiTheme="minorHAnsi" w:hAnsiTheme="minorHAnsi" w:cstheme="minorHAnsi"/>
                <w:lang w:eastAsia="en-AU"/>
              </w:rPr>
              <w:t>32</w:t>
            </w:r>
            <w:r w:rsidR="00623A8D">
              <w:rPr>
                <w:rFonts w:asciiTheme="minorHAnsi" w:hAnsiTheme="minorHAnsi" w:cstheme="minorHAnsi"/>
                <w:lang w:eastAsia="en-AU"/>
              </w:rPr>
              <w:t>9.7</w:t>
            </w:r>
            <w:r w:rsidRPr="001523D8">
              <w:rPr>
                <w:rFonts w:asciiTheme="minorHAnsi" w:hAnsiTheme="minorHAnsi" w:cstheme="minorHAnsi"/>
                <w:lang w:eastAsia="en-AU"/>
              </w:rPr>
              <w:t xml:space="preserve"> to 7</w:t>
            </w:r>
            <w:r w:rsidR="00E17060">
              <w:rPr>
                <w:rFonts w:asciiTheme="minorHAnsi" w:hAnsiTheme="minorHAnsi" w:cstheme="minorHAnsi"/>
                <w:lang w:eastAsia="en-AU"/>
              </w:rPr>
              <w:t>45.6</w:t>
            </w:r>
          </w:p>
        </w:tc>
        <w:tc>
          <w:tcPr>
            <w:tcW w:w="950" w:type="pct"/>
            <w:shd w:val="clear" w:color="auto" w:fill="034EA2" w:themeFill="accent1"/>
          </w:tcPr>
          <w:p w14:paraId="57C41F54" w14:textId="77777777" w:rsidR="00810496" w:rsidRPr="001523D8" w:rsidRDefault="00810496" w:rsidP="001523D8">
            <w:pPr>
              <w:pStyle w:val="TableHeading"/>
              <w:rPr>
                <w:rFonts w:asciiTheme="minorHAnsi" w:hAnsiTheme="minorHAnsi" w:cstheme="minorHAnsi"/>
                <w:lang w:eastAsia="en-AU"/>
              </w:rPr>
            </w:pPr>
            <w:r w:rsidRPr="001523D8">
              <w:rPr>
                <w:rFonts w:asciiTheme="minorHAnsi" w:hAnsiTheme="minorHAnsi" w:cstheme="minorHAnsi"/>
                <w:lang w:eastAsia="en-AU"/>
              </w:rPr>
              <w:t>100</w:t>
            </w:r>
          </w:p>
        </w:tc>
      </w:tr>
    </w:tbl>
    <w:p w14:paraId="124CD3E7" w14:textId="29B904A6" w:rsidR="00584221" w:rsidRPr="00827F58" w:rsidRDefault="00584221" w:rsidP="006C3242">
      <w:pPr>
        <w:pStyle w:val="BodyText"/>
        <w:spacing w:before="240"/>
      </w:pPr>
      <w:r w:rsidRPr="00827F58">
        <w:t>The industry submissions also indicated the type of expenditure expected to be incurred. The allocation of cost between labour effort, capital and operating costs is provided i</w:t>
      </w:r>
      <w:r>
        <w:t xml:space="preserve">n the table below. </w:t>
      </w:r>
      <w:r w:rsidRPr="00827F58">
        <w:t>The analysis shows that</w:t>
      </w:r>
      <w:r>
        <w:t xml:space="preserve"> </w:t>
      </w:r>
      <w:r w:rsidR="006B504B">
        <w:t>85</w:t>
      </w:r>
      <w:r>
        <w:t>.</w:t>
      </w:r>
      <w:r w:rsidR="00AE4140">
        <w:t>0</w:t>
      </w:r>
      <w:r w:rsidRPr="00CF0A48">
        <w:t xml:space="preserve">% of one-off costs and </w:t>
      </w:r>
      <w:r w:rsidR="006B504B">
        <w:t>6</w:t>
      </w:r>
      <w:r w:rsidR="007065C2">
        <w:t>3.3</w:t>
      </w:r>
      <w:r w:rsidRPr="00CF0A48">
        <w:t xml:space="preserve">% of ongoing costs are expected to be invested in capital. A relatively </w:t>
      </w:r>
      <w:r w:rsidR="006B504B">
        <w:t>small</w:t>
      </w:r>
      <w:r>
        <w:t xml:space="preserve"> </w:t>
      </w:r>
      <w:r w:rsidRPr="00CF0A48">
        <w:t>share of costs are associated with labour effort (</w:t>
      </w:r>
      <w:r w:rsidR="00AE4140">
        <w:t>5.2</w:t>
      </w:r>
      <w:r w:rsidRPr="00CF0A48">
        <w:t>% of one-off costs and</w:t>
      </w:r>
      <w:r>
        <w:t xml:space="preserve"> </w:t>
      </w:r>
      <w:r w:rsidR="006B504B">
        <w:t>1</w:t>
      </w:r>
      <w:r w:rsidR="00B01A33">
        <w:t>3</w:t>
      </w:r>
      <w:r>
        <w:t>.</w:t>
      </w:r>
      <w:r w:rsidR="006B504B">
        <w:t>6</w:t>
      </w:r>
      <w:r w:rsidRPr="00CF0A48">
        <w:t xml:space="preserve">% of ongoing costs) with operating costs </w:t>
      </w:r>
      <w:r>
        <w:t xml:space="preserve">accounting for </w:t>
      </w:r>
      <w:r w:rsidR="006B504B">
        <w:t>9</w:t>
      </w:r>
      <w:r>
        <w:t>.</w:t>
      </w:r>
      <w:r w:rsidR="006B504B">
        <w:t>8</w:t>
      </w:r>
      <w:r>
        <w:t>% of on</w:t>
      </w:r>
      <w:r w:rsidR="006B504B">
        <w:t>e</w:t>
      </w:r>
      <w:r>
        <w:t xml:space="preserve">-off costs and </w:t>
      </w:r>
      <w:r w:rsidR="001E68A9">
        <w:t>23</w:t>
      </w:r>
      <w:r>
        <w:t>.</w:t>
      </w:r>
      <w:r w:rsidR="00B01A33">
        <w:t>1</w:t>
      </w:r>
      <w:r>
        <w:t xml:space="preserve">% of ongoing costs. </w:t>
      </w:r>
    </w:p>
    <w:p w14:paraId="2869F4A6" w14:textId="77777777" w:rsidR="00584221" w:rsidRPr="00F57A71" w:rsidRDefault="00584221" w:rsidP="00183608">
      <w:pPr>
        <w:pStyle w:val="Caption"/>
        <w:rPr>
          <w:sz w:val="22"/>
        </w:rPr>
      </w:pPr>
      <w:r w:rsidRPr="00827F58">
        <w:lastRenderedPageBreak/>
        <w:t xml:space="preserve">Expected one-off and ongoing costs by cost type for critical </w:t>
      </w:r>
      <w:r w:rsidR="00B835F5">
        <w:t>energy market operator</w:t>
      </w:r>
      <w:r w:rsidRPr="00827F58">
        <w:t xml:space="preserve"> assets nationally</w:t>
      </w:r>
    </w:p>
    <w:tbl>
      <w:tblPr>
        <w:tblStyle w:val="TableGrid111"/>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830"/>
        <w:gridCol w:w="1702"/>
        <w:gridCol w:w="1702"/>
        <w:gridCol w:w="1702"/>
        <w:gridCol w:w="1702"/>
      </w:tblGrid>
      <w:tr w:rsidR="00340241" w:rsidRPr="004C0B4C" w14:paraId="3CA5536F" w14:textId="77777777" w:rsidTr="004C0B4C">
        <w:tc>
          <w:tcPr>
            <w:tcW w:w="1468" w:type="pct"/>
            <w:vMerge w:val="restart"/>
            <w:shd w:val="clear" w:color="auto" w:fill="034EA2" w:themeFill="accent1"/>
            <w:hideMark/>
          </w:tcPr>
          <w:p w14:paraId="03DB52D5" w14:textId="77777777" w:rsidR="00584221" w:rsidRPr="004C0B4C" w:rsidRDefault="00584221" w:rsidP="004C0B4C">
            <w:pPr>
              <w:pStyle w:val="TableHeading"/>
              <w:rPr>
                <w:rFonts w:asciiTheme="majorHAnsi" w:hAnsiTheme="majorHAnsi" w:cstheme="majorHAnsi"/>
              </w:rPr>
            </w:pPr>
            <w:r w:rsidRPr="004C0B4C">
              <w:rPr>
                <w:rFonts w:asciiTheme="majorHAnsi" w:hAnsiTheme="majorHAnsi" w:cstheme="majorHAnsi"/>
              </w:rPr>
              <w:t>Cost Type</w:t>
            </w:r>
          </w:p>
        </w:tc>
        <w:tc>
          <w:tcPr>
            <w:tcW w:w="3532" w:type="pct"/>
            <w:gridSpan w:val="4"/>
            <w:shd w:val="clear" w:color="auto" w:fill="034EA2" w:themeFill="accent1"/>
            <w:hideMark/>
          </w:tcPr>
          <w:p w14:paraId="100576A5" w14:textId="77777777" w:rsidR="00584221" w:rsidRPr="004C0B4C" w:rsidRDefault="00584221" w:rsidP="004C0B4C">
            <w:pPr>
              <w:pStyle w:val="TableHeading"/>
              <w:rPr>
                <w:rFonts w:asciiTheme="majorHAnsi" w:hAnsiTheme="majorHAnsi" w:cstheme="majorHAnsi"/>
              </w:rPr>
            </w:pPr>
            <w:r w:rsidRPr="004C0B4C">
              <w:rPr>
                <w:rFonts w:asciiTheme="majorHAnsi" w:hAnsiTheme="majorHAnsi" w:cstheme="majorHAnsi"/>
              </w:rPr>
              <w:t xml:space="preserve">Costs </w:t>
            </w:r>
            <w:r w:rsidR="00426CDE" w:rsidRPr="004C0B4C">
              <w:rPr>
                <w:rFonts w:asciiTheme="majorHAnsi" w:hAnsiTheme="majorHAnsi" w:cstheme="majorHAnsi"/>
              </w:rPr>
              <w:t>(Expected)</w:t>
            </w:r>
          </w:p>
        </w:tc>
      </w:tr>
      <w:tr w:rsidR="00066E21" w:rsidRPr="004C0B4C" w14:paraId="37C8101D" w14:textId="77777777" w:rsidTr="004C0B4C">
        <w:tc>
          <w:tcPr>
            <w:tcW w:w="1468" w:type="pct"/>
            <w:vMerge/>
            <w:shd w:val="clear" w:color="auto" w:fill="007BC3" w:themeFill="accent2"/>
            <w:hideMark/>
          </w:tcPr>
          <w:p w14:paraId="2D7EABB5" w14:textId="77777777" w:rsidR="00584221" w:rsidRPr="004C0B4C" w:rsidRDefault="00584221" w:rsidP="004C0B4C">
            <w:pPr>
              <w:pStyle w:val="TableBody"/>
              <w:rPr>
                <w:rFonts w:asciiTheme="majorHAnsi" w:hAnsiTheme="majorHAnsi" w:cstheme="majorHAnsi"/>
              </w:rPr>
            </w:pPr>
          </w:p>
        </w:tc>
        <w:tc>
          <w:tcPr>
            <w:tcW w:w="883" w:type="pct"/>
            <w:shd w:val="clear" w:color="auto" w:fill="DEEAF6"/>
            <w:hideMark/>
          </w:tcPr>
          <w:p w14:paraId="6F8E052F" w14:textId="77777777" w:rsidR="00584221" w:rsidRPr="004C0B4C" w:rsidRDefault="00584221" w:rsidP="004C0B4C">
            <w:pPr>
              <w:pStyle w:val="TableBody"/>
              <w:rPr>
                <w:rFonts w:asciiTheme="majorHAnsi" w:hAnsiTheme="majorHAnsi" w:cstheme="majorHAnsi"/>
              </w:rPr>
            </w:pPr>
            <w:r w:rsidRPr="004C0B4C">
              <w:rPr>
                <w:rFonts w:asciiTheme="majorHAnsi" w:hAnsiTheme="majorHAnsi" w:cstheme="majorHAnsi"/>
              </w:rPr>
              <w:t>One-off ($ million)</w:t>
            </w:r>
          </w:p>
        </w:tc>
        <w:tc>
          <w:tcPr>
            <w:tcW w:w="883" w:type="pct"/>
            <w:shd w:val="clear" w:color="auto" w:fill="DEEAF6"/>
            <w:hideMark/>
          </w:tcPr>
          <w:p w14:paraId="3669D263" w14:textId="77777777" w:rsidR="00584221" w:rsidRPr="004C0B4C" w:rsidRDefault="00584221" w:rsidP="004C0B4C">
            <w:pPr>
              <w:pStyle w:val="TableBody"/>
              <w:rPr>
                <w:rFonts w:asciiTheme="majorHAnsi" w:hAnsiTheme="majorHAnsi" w:cstheme="majorHAnsi"/>
              </w:rPr>
            </w:pPr>
            <w:r w:rsidRPr="004C0B4C">
              <w:rPr>
                <w:rFonts w:asciiTheme="majorHAnsi" w:hAnsiTheme="majorHAnsi" w:cstheme="majorHAnsi"/>
              </w:rPr>
              <w:t>One-off</w:t>
            </w:r>
            <w:r w:rsidRPr="004C0B4C">
              <w:rPr>
                <w:rFonts w:asciiTheme="majorHAnsi" w:hAnsiTheme="majorHAnsi" w:cstheme="majorHAnsi"/>
              </w:rPr>
              <w:br/>
              <w:t>(%)</w:t>
            </w:r>
          </w:p>
        </w:tc>
        <w:tc>
          <w:tcPr>
            <w:tcW w:w="883" w:type="pct"/>
            <w:shd w:val="clear" w:color="auto" w:fill="DEEAF6"/>
            <w:hideMark/>
          </w:tcPr>
          <w:p w14:paraId="14B8F29D" w14:textId="77777777" w:rsidR="00584221" w:rsidRPr="004C0B4C" w:rsidRDefault="00584221" w:rsidP="004C0B4C">
            <w:pPr>
              <w:pStyle w:val="TableBody"/>
              <w:rPr>
                <w:rFonts w:asciiTheme="majorHAnsi" w:hAnsiTheme="majorHAnsi" w:cstheme="majorHAnsi"/>
              </w:rPr>
            </w:pPr>
            <w:r w:rsidRPr="004C0B4C">
              <w:rPr>
                <w:rFonts w:asciiTheme="majorHAnsi" w:hAnsiTheme="majorHAnsi" w:cstheme="majorHAnsi"/>
              </w:rPr>
              <w:t>Ongoing</w:t>
            </w:r>
            <w:r w:rsidRPr="004C0B4C">
              <w:rPr>
                <w:rFonts w:asciiTheme="majorHAnsi" w:hAnsiTheme="majorHAnsi" w:cstheme="majorHAnsi"/>
              </w:rPr>
              <w:br/>
              <w:t>(per year)</w:t>
            </w:r>
          </w:p>
        </w:tc>
        <w:tc>
          <w:tcPr>
            <w:tcW w:w="883" w:type="pct"/>
            <w:shd w:val="clear" w:color="auto" w:fill="DEEAF6"/>
            <w:hideMark/>
          </w:tcPr>
          <w:p w14:paraId="164031ED" w14:textId="77777777" w:rsidR="00584221" w:rsidRPr="004C0B4C" w:rsidRDefault="00584221" w:rsidP="004C0B4C">
            <w:pPr>
              <w:pStyle w:val="TableBody"/>
              <w:rPr>
                <w:rFonts w:asciiTheme="majorHAnsi" w:hAnsiTheme="majorHAnsi" w:cstheme="majorHAnsi"/>
              </w:rPr>
            </w:pPr>
            <w:r w:rsidRPr="004C0B4C">
              <w:rPr>
                <w:rFonts w:asciiTheme="majorHAnsi" w:hAnsiTheme="majorHAnsi" w:cstheme="majorHAnsi"/>
              </w:rPr>
              <w:t>Ongoing</w:t>
            </w:r>
            <w:r w:rsidRPr="004C0B4C">
              <w:rPr>
                <w:rFonts w:asciiTheme="majorHAnsi" w:hAnsiTheme="majorHAnsi" w:cstheme="majorHAnsi"/>
              </w:rPr>
              <w:br/>
              <w:t>(%)</w:t>
            </w:r>
          </w:p>
        </w:tc>
      </w:tr>
      <w:tr w:rsidR="00482DE9" w:rsidRPr="004C0B4C" w14:paraId="0D7A562C" w14:textId="77777777" w:rsidTr="00E47268">
        <w:tc>
          <w:tcPr>
            <w:tcW w:w="1468" w:type="pct"/>
            <w:shd w:val="clear" w:color="auto" w:fill="F2F2F2" w:themeFill="background1" w:themeFillShade="F2"/>
            <w:hideMark/>
          </w:tcPr>
          <w:p w14:paraId="111EF929" w14:textId="77777777"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Labour effort</w:t>
            </w:r>
          </w:p>
        </w:tc>
        <w:tc>
          <w:tcPr>
            <w:tcW w:w="883" w:type="pct"/>
            <w:shd w:val="clear" w:color="auto" w:fill="auto"/>
          </w:tcPr>
          <w:p w14:paraId="6C495E74" w14:textId="6F28692C" w:rsidR="00482DE9" w:rsidRPr="004C0B4C" w:rsidRDefault="00482DE9" w:rsidP="004C0B4C">
            <w:pPr>
              <w:pStyle w:val="TableBody"/>
              <w:rPr>
                <w:rFonts w:asciiTheme="majorHAnsi" w:hAnsiTheme="majorHAnsi" w:cstheme="majorHAnsi"/>
                <w:highlight w:val="yellow"/>
              </w:rPr>
            </w:pPr>
            <w:r w:rsidRPr="004C0B4C">
              <w:rPr>
                <w:rFonts w:asciiTheme="majorHAnsi" w:hAnsiTheme="majorHAnsi" w:cstheme="majorHAnsi"/>
              </w:rPr>
              <w:t>4.</w:t>
            </w:r>
            <w:r w:rsidR="0009317E">
              <w:rPr>
                <w:rFonts w:asciiTheme="majorHAnsi" w:hAnsiTheme="majorHAnsi" w:cstheme="majorHAnsi"/>
              </w:rPr>
              <w:t>6</w:t>
            </w:r>
          </w:p>
        </w:tc>
        <w:tc>
          <w:tcPr>
            <w:tcW w:w="883" w:type="pct"/>
            <w:shd w:val="clear" w:color="auto" w:fill="auto"/>
          </w:tcPr>
          <w:p w14:paraId="55B969B2" w14:textId="72F75314" w:rsidR="00482DE9" w:rsidRPr="004C0B4C" w:rsidRDefault="0009317E" w:rsidP="004C0B4C">
            <w:pPr>
              <w:pStyle w:val="TableBody"/>
              <w:rPr>
                <w:rFonts w:asciiTheme="majorHAnsi" w:hAnsiTheme="majorHAnsi" w:cstheme="majorHAnsi"/>
              </w:rPr>
            </w:pPr>
            <w:r>
              <w:rPr>
                <w:rFonts w:asciiTheme="majorHAnsi" w:hAnsiTheme="majorHAnsi" w:cstheme="majorHAnsi"/>
              </w:rPr>
              <w:t>5.2</w:t>
            </w:r>
          </w:p>
        </w:tc>
        <w:tc>
          <w:tcPr>
            <w:tcW w:w="883" w:type="pct"/>
            <w:shd w:val="clear" w:color="auto" w:fill="auto"/>
          </w:tcPr>
          <w:p w14:paraId="4518BEAF" w14:textId="24175628"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3.</w:t>
            </w:r>
            <w:r w:rsidR="0009317E">
              <w:rPr>
                <w:rFonts w:asciiTheme="majorHAnsi" w:hAnsiTheme="majorHAnsi" w:cstheme="majorHAnsi"/>
              </w:rPr>
              <w:t>7</w:t>
            </w:r>
          </w:p>
        </w:tc>
        <w:tc>
          <w:tcPr>
            <w:tcW w:w="883" w:type="pct"/>
            <w:shd w:val="clear" w:color="auto" w:fill="auto"/>
          </w:tcPr>
          <w:p w14:paraId="6158246D" w14:textId="4AE05535"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1</w:t>
            </w:r>
            <w:r w:rsidR="007065C2">
              <w:rPr>
                <w:rFonts w:asciiTheme="majorHAnsi" w:hAnsiTheme="majorHAnsi" w:cstheme="majorHAnsi"/>
              </w:rPr>
              <w:t>3</w:t>
            </w:r>
            <w:r w:rsidRPr="004C0B4C">
              <w:rPr>
                <w:rFonts w:asciiTheme="majorHAnsi" w:hAnsiTheme="majorHAnsi" w:cstheme="majorHAnsi"/>
              </w:rPr>
              <w:t>.6%</w:t>
            </w:r>
          </w:p>
        </w:tc>
      </w:tr>
      <w:tr w:rsidR="00482DE9" w:rsidRPr="004C0B4C" w14:paraId="4F0244CC" w14:textId="77777777" w:rsidTr="00E47268">
        <w:tc>
          <w:tcPr>
            <w:tcW w:w="1468" w:type="pct"/>
            <w:shd w:val="clear" w:color="auto" w:fill="F2F2F2" w:themeFill="background1" w:themeFillShade="F2"/>
            <w:hideMark/>
          </w:tcPr>
          <w:p w14:paraId="29489108" w14:textId="77777777"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Capital</w:t>
            </w:r>
          </w:p>
        </w:tc>
        <w:tc>
          <w:tcPr>
            <w:tcW w:w="883" w:type="pct"/>
            <w:shd w:val="clear" w:color="auto" w:fill="auto"/>
          </w:tcPr>
          <w:p w14:paraId="5FF0987A" w14:textId="33934B71" w:rsidR="00482DE9" w:rsidRPr="004C0B4C" w:rsidRDefault="00482DE9" w:rsidP="004C0B4C">
            <w:pPr>
              <w:pStyle w:val="TableBody"/>
              <w:rPr>
                <w:rFonts w:asciiTheme="majorHAnsi" w:hAnsiTheme="majorHAnsi" w:cstheme="majorHAnsi"/>
                <w:highlight w:val="yellow"/>
              </w:rPr>
            </w:pPr>
            <w:r w:rsidRPr="004C0B4C">
              <w:rPr>
                <w:rFonts w:asciiTheme="majorHAnsi" w:hAnsiTheme="majorHAnsi" w:cstheme="majorHAnsi"/>
              </w:rPr>
              <w:t>75.1</w:t>
            </w:r>
          </w:p>
        </w:tc>
        <w:tc>
          <w:tcPr>
            <w:tcW w:w="883" w:type="pct"/>
            <w:shd w:val="clear" w:color="auto" w:fill="auto"/>
          </w:tcPr>
          <w:p w14:paraId="2C165F7B" w14:textId="1166A1A9"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85.</w:t>
            </w:r>
            <w:r w:rsidR="0009317E">
              <w:rPr>
                <w:rFonts w:asciiTheme="majorHAnsi" w:hAnsiTheme="majorHAnsi" w:cstheme="majorHAnsi"/>
              </w:rPr>
              <w:t>0</w:t>
            </w:r>
          </w:p>
        </w:tc>
        <w:tc>
          <w:tcPr>
            <w:tcW w:w="883" w:type="pct"/>
            <w:shd w:val="clear" w:color="auto" w:fill="auto"/>
          </w:tcPr>
          <w:p w14:paraId="7159BF62" w14:textId="77777777"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17.0</w:t>
            </w:r>
          </w:p>
        </w:tc>
        <w:tc>
          <w:tcPr>
            <w:tcW w:w="883" w:type="pct"/>
            <w:shd w:val="clear" w:color="auto" w:fill="auto"/>
          </w:tcPr>
          <w:p w14:paraId="1B0FFA4E" w14:textId="7D2A51B5"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6</w:t>
            </w:r>
            <w:r w:rsidR="007065C2">
              <w:rPr>
                <w:rFonts w:asciiTheme="majorHAnsi" w:hAnsiTheme="majorHAnsi" w:cstheme="majorHAnsi"/>
              </w:rPr>
              <w:t>3.3</w:t>
            </w:r>
            <w:r w:rsidRPr="004C0B4C">
              <w:rPr>
                <w:rFonts w:asciiTheme="majorHAnsi" w:hAnsiTheme="majorHAnsi" w:cstheme="majorHAnsi"/>
              </w:rPr>
              <w:t>%</w:t>
            </w:r>
          </w:p>
        </w:tc>
      </w:tr>
      <w:tr w:rsidR="00482DE9" w:rsidRPr="004C0B4C" w14:paraId="0C096874" w14:textId="77777777" w:rsidTr="00E47268">
        <w:tc>
          <w:tcPr>
            <w:tcW w:w="1468" w:type="pct"/>
            <w:shd w:val="clear" w:color="auto" w:fill="F2F2F2" w:themeFill="background1" w:themeFillShade="F2"/>
            <w:hideMark/>
          </w:tcPr>
          <w:p w14:paraId="2516245F" w14:textId="77777777"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Operating</w:t>
            </w:r>
          </w:p>
        </w:tc>
        <w:tc>
          <w:tcPr>
            <w:tcW w:w="883" w:type="pct"/>
            <w:shd w:val="clear" w:color="auto" w:fill="auto"/>
          </w:tcPr>
          <w:p w14:paraId="5D7E1751" w14:textId="4E49FA1C" w:rsidR="00482DE9" w:rsidRPr="004C0B4C" w:rsidRDefault="00482DE9" w:rsidP="004C0B4C">
            <w:pPr>
              <w:pStyle w:val="TableBody"/>
              <w:rPr>
                <w:rFonts w:asciiTheme="majorHAnsi" w:hAnsiTheme="majorHAnsi" w:cstheme="majorHAnsi"/>
                <w:highlight w:val="yellow"/>
              </w:rPr>
            </w:pPr>
            <w:r w:rsidRPr="004C0B4C">
              <w:rPr>
                <w:rFonts w:asciiTheme="majorHAnsi" w:hAnsiTheme="majorHAnsi" w:cstheme="majorHAnsi"/>
              </w:rPr>
              <w:t>8.6</w:t>
            </w:r>
          </w:p>
        </w:tc>
        <w:tc>
          <w:tcPr>
            <w:tcW w:w="883" w:type="pct"/>
            <w:shd w:val="clear" w:color="auto" w:fill="auto"/>
          </w:tcPr>
          <w:p w14:paraId="49517137" w14:textId="77777777"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9.8</w:t>
            </w:r>
          </w:p>
        </w:tc>
        <w:tc>
          <w:tcPr>
            <w:tcW w:w="883" w:type="pct"/>
            <w:shd w:val="clear" w:color="auto" w:fill="auto"/>
          </w:tcPr>
          <w:p w14:paraId="54712F4F" w14:textId="77777777"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6.2</w:t>
            </w:r>
          </w:p>
        </w:tc>
        <w:tc>
          <w:tcPr>
            <w:tcW w:w="883" w:type="pct"/>
            <w:shd w:val="clear" w:color="auto" w:fill="auto"/>
          </w:tcPr>
          <w:p w14:paraId="1530CBDC" w14:textId="4E8AB1C5" w:rsidR="00482DE9" w:rsidRPr="004C0B4C" w:rsidRDefault="00482DE9" w:rsidP="004C0B4C">
            <w:pPr>
              <w:pStyle w:val="TableBody"/>
              <w:rPr>
                <w:rFonts w:asciiTheme="majorHAnsi" w:hAnsiTheme="majorHAnsi" w:cstheme="majorHAnsi"/>
              </w:rPr>
            </w:pPr>
            <w:r w:rsidRPr="004C0B4C">
              <w:rPr>
                <w:rFonts w:asciiTheme="majorHAnsi" w:hAnsiTheme="majorHAnsi" w:cstheme="majorHAnsi"/>
              </w:rPr>
              <w:t>23.</w:t>
            </w:r>
            <w:r w:rsidR="007065C2">
              <w:rPr>
                <w:rFonts w:asciiTheme="majorHAnsi" w:hAnsiTheme="majorHAnsi" w:cstheme="majorHAnsi"/>
              </w:rPr>
              <w:t>1</w:t>
            </w:r>
            <w:r w:rsidRPr="004C0B4C">
              <w:rPr>
                <w:rFonts w:asciiTheme="majorHAnsi" w:hAnsiTheme="majorHAnsi" w:cstheme="majorHAnsi"/>
              </w:rPr>
              <w:t>%</w:t>
            </w:r>
          </w:p>
        </w:tc>
      </w:tr>
      <w:tr w:rsidR="00340241" w:rsidRPr="004C0B4C" w14:paraId="0E13C832" w14:textId="77777777" w:rsidTr="004C0B4C">
        <w:tc>
          <w:tcPr>
            <w:tcW w:w="1468" w:type="pct"/>
            <w:shd w:val="clear" w:color="auto" w:fill="034EA2" w:themeFill="accent1"/>
            <w:hideMark/>
          </w:tcPr>
          <w:p w14:paraId="5FF8E016" w14:textId="77777777" w:rsidR="00482DE9" w:rsidRPr="004C0B4C" w:rsidRDefault="00482DE9" w:rsidP="004C0B4C">
            <w:pPr>
              <w:pStyle w:val="TableHeading"/>
              <w:rPr>
                <w:rFonts w:asciiTheme="majorHAnsi" w:hAnsiTheme="majorHAnsi" w:cstheme="majorHAnsi"/>
              </w:rPr>
            </w:pPr>
            <w:r w:rsidRPr="004C0B4C">
              <w:rPr>
                <w:rFonts w:asciiTheme="majorHAnsi" w:hAnsiTheme="majorHAnsi" w:cstheme="majorHAnsi"/>
              </w:rPr>
              <w:t xml:space="preserve">Total critical </w:t>
            </w:r>
            <w:r w:rsidR="00E94049" w:rsidRPr="004C0B4C">
              <w:rPr>
                <w:rFonts w:asciiTheme="majorHAnsi" w:hAnsiTheme="majorHAnsi" w:cstheme="majorHAnsi"/>
              </w:rPr>
              <w:t>energy market operator</w:t>
            </w:r>
            <w:r w:rsidRPr="004C0B4C">
              <w:rPr>
                <w:rFonts w:asciiTheme="majorHAnsi" w:hAnsiTheme="majorHAnsi" w:cstheme="majorHAnsi"/>
              </w:rPr>
              <w:t xml:space="preserve"> assets</w:t>
            </w:r>
          </w:p>
        </w:tc>
        <w:tc>
          <w:tcPr>
            <w:tcW w:w="883" w:type="pct"/>
            <w:shd w:val="clear" w:color="auto" w:fill="034EA2" w:themeFill="accent1"/>
          </w:tcPr>
          <w:p w14:paraId="69B9A3CD" w14:textId="010E73A5" w:rsidR="00482DE9" w:rsidRPr="004C0B4C" w:rsidRDefault="00482DE9" w:rsidP="004C0B4C">
            <w:pPr>
              <w:pStyle w:val="TableHeading"/>
              <w:rPr>
                <w:rFonts w:asciiTheme="majorHAnsi" w:hAnsiTheme="majorHAnsi" w:cstheme="majorHAnsi"/>
                <w:highlight w:val="yellow"/>
              </w:rPr>
            </w:pPr>
            <w:r w:rsidRPr="004C0B4C">
              <w:rPr>
                <w:rFonts w:asciiTheme="majorHAnsi" w:hAnsiTheme="majorHAnsi" w:cstheme="majorHAnsi"/>
              </w:rPr>
              <w:t>88.</w:t>
            </w:r>
            <w:r w:rsidR="0009317E">
              <w:rPr>
                <w:rFonts w:asciiTheme="majorHAnsi" w:hAnsiTheme="majorHAnsi" w:cstheme="majorHAnsi"/>
              </w:rPr>
              <w:t>3</w:t>
            </w:r>
          </w:p>
        </w:tc>
        <w:tc>
          <w:tcPr>
            <w:tcW w:w="883" w:type="pct"/>
            <w:shd w:val="clear" w:color="auto" w:fill="034EA2" w:themeFill="accent1"/>
          </w:tcPr>
          <w:p w14:paraId="11CDDA53" w14:textId="77777777" w:rsidR="00482DE9" w:rsidRPr="004C0B4C" w:rsidRDefault="00482DE9" w:rsidP="004C0B4C">
            <w:pPr>
              <w:pStyle w:val="TableHeading"/>
              <w:rPr>
                <w:rFonts w:asciiTheme="majorHAnsi" w:hAnsiTheme="majorHAnsi" w:cstheme="majorHAnsi"/>
              </w:rPr>
            </w:pPr>
            <w:r w:rsidRPr="004C0B4C">
              <w:rPr>
                <w:rFonts w:asciiTheme="majorHAnsi" w:hAnsiTheme="majorHAnsi" w:cstheme="majorHAnsi"/>
              </w:rPr>
              <w:t>100</w:t>
            </w:r>
            <w:r w:rsidR="0013202C" w:rsidRPr="004C0B4C">
              <w:rPr>
                <w:rFonts w:asciiTheme="majorHAnsi" w:hAnsiTheme="majorHAnsi" w:cstheme="majorHAnsi"/>
              </w:rPr>
              <w:t>.0</w:t>
            </w:r>
          </w:p>
        </w:tc>
        <w:tc>
          <w:tcPr>
            <w:tcW w:w="883" w:type="pct"/>
            <w:shd w:val="clear" w:color="auto" w:fill="034EA2" w:themeFill="accent1"/>
          </w:tcPr>
          <w:p w14:paraId="213D5661" w14:textId="03FA9DF9" w:rsidR="00482DE9" w:rsidRPr="004C0B4C" w:rsidRDefault="00482DE9" w:rsidP="004C0B4C">
            <w:pPr>
              <w:pStyle w:val="TableHeading"/>
              <w:rPr>
                <w:rFonts w:asciiTheme="majorHAnsi" w:hAnsiTheme="majorHAnsi" w:cstheme="majorHAnsi"/>
              </w:rPr>
            </w:pPr>
            <w:r w:rsidRPr="004C0B4C">
              <w:rPr>
                <w:rFonts w:asciiTheme="majorHAnsi" w:hAnsiTheme="majorHAnsi" w:cstheme="majorHAnsi"/>
              </w:rPr>
              <w:t>26.</w:t>
            </w:r>
            <w:r w:rsidR="0009317E">
              <w:rPr>
                <w:rFonts w:asciiTheme="majorHAnsi" w:hAnsiTheme="majorHAnsi" w:cstheme="majorHAnsi"/>
              </w:rPr>
              <w:t>9</w:t>
            </w:r>
          </w:p>
        </w:tc>
        <w:tc>
          <w:tcPr>
            <w:tcW w:w="883" w:type="pct"/>
            <w:shd w:val="clear" w:color="auto" w:fill="034EA2" w:themeFill="accent1"/>
          </w:tcPr>
          <w:p w14:paraId="492791DE" w14:textId="77777777" w:rsidR="00482DE9" w:rsidRPr="004C0B4C" w:rsidRDefault="00482DE9" w:rsidP="004C0B4C">
            <w:pPr>
              <w:pStyle w:val="TableHeading"/>
              <w:rPr>
                <w:rFonts w:asciiTheme="majorHAnsi" w:hAnsiTheme="majorHAnsi" w:cstheme="majorHAnsi"/>
              </w:rPr>
            </w:pPr>
            <w:r w:rsidRPr="004C0B4C">
              <w:rPr>
                <w:rFonts w:asciiTheme="majorHAnsi" w:hAnsiTheme="majorHAnsi" w:cstheme="majorHAnsi"/>
              </w:rPr>
              <w:t>100</w:t>
            </w:r>
            <w:r w:rsidR="0013202C" w:rsidRPr="004C0B4C">
              <w:rPr>
                <w:rFonts w:asciiTheme="majorHAnsi" w:hAnsiTheme="majorHAnsi" w:cstheme="majorHAnsi"/>
              </w:rPr>
              <w:t>.0</w:t>
            </w:r>
          </w:p>
        </w:tc>
      </w:tr>
    </w:tbl>
    <w:p w14:paraId="27F3D1C6" w14:textId="77777777" w:rsidR="0013202C" w:rsidRPr="006507C0" w:rsidRDefault="0013202C" w:rsidP="00E47268">
      <w:pPr>
        <w:pStyle w:val="AppendixH2"/>
        <w:spacing w:before="240" w:after="120"/>
      </w:pPr>
      <w:r w:rsidRPr="006507C0">
        <w:t>Benefits of option 2</w:t>
      </w:r>
    </w:p>
    <w:p w14:paraId="4FC367D4" w14:textId="77777777" w:rsidR="0013202C" w:rsidRPr="00E9705C" w:rsidRDefault="0013202C" w:rsidP="00FF1641">
      <w:pPr>
        <w:pStyle w:val="BodyText"/>
      </w:pPr>
      <w:r w:rsidRPr="00E9705C">
        <w:t xml:space="preserve">A reliable continuous </w:t>
      </w:r>
      <w:r w:rsidR="00592764">
        <w:t>energy market operator and</w:t>
      </w:r>
      <w:r w:rsidRPr="00E9705C">
        <w:t xml:space="preserve"> electricity</w:t>
      </w:r>
      <w:r w:rsidR="004120CF">
        <w:t>/</w:t>
      </w:r>
      <w:r w:rsidR="00AE41BC">
        <w:t>gas</w:t>
      </w:r>
      <w:r w:rsidRPr="00E9705C">
        <w:t xml:space="preserve"> supply is central to Australia’s prosperity. Further, disruption to supply can be a significant cost to the economy. The risk management program framework aims to reduce the frequency and impact of any disruption to supply and so its primary benefit is to avoid the incidents that may otherwise disrupt supply and cause economic loss.</w:t>
      </w:r>
    </w:p>
    <w:p w14:paraId="1673141F" w14:textId="77777777" w:rsidR="0013202C" w:rsidRPr="00E9705C" w:rsidRDefault="0013202C" w:rsidP="00E47268">
      <w:pPr>
        <w:pStyle w:val="AppendixH3"/>
        <w:spacing w:after="80"/>
        <w:rPr>
          <w:rFonts w:eastAsia="Calibri"/>
        </w:rPr>
      </w:pPr>
      <w:r w:rsidRPr="00E9705C">
        <w:rPr>
          <w:rFonts w:eastAsia="Calibri"/>
        </w:rPr>
        <w:t xml:space="preserve">Economic impacts of disruptions to </w:t>
      </w:r>
      <w:r w:rsidR="00041702">
        <w:rPr>
          <w:rFonts w:eastAsia="Calibri"/>
        </w:rPr>
        <w:t>energy market operator</w:t>
      </w:r>
      <w:r w:rsidRPr="000B3CC0">
        <w:rPr>
          <w:rFonts w:eastAsia="Calibri"/>
        </w:rPr>
        <w:t xml:space="preserve"> </w:t>
      </w:r>
      <w:r w:rsidRPr="00E9705C">
        <w:rPr>
          <w:rFonts w:eastAsia="Calibri"/>
        </w:rPr>
        <w:t xml:space="preserve">supply </w:t>
      </w:r>
    </w:p>
    <w:p w14:paraId="57D7B683" w14:textId="77777777" w:rsidR="0013202C" w:rsidRPr="00261A2C" w:rsidRDefault="0013202C" w:rsidP="00BF7F5D">
      <w:pPr>
        <w:pStyle w:val="BodyText"/>
        <w:spacing w:before="80" w:after="80"/>
      </w:pPr>
      <w:r w:rsidRPr="00261A2C">
        <w:t>Damage to critical e</w:t>
      </w:r>
      <w:r w:rsidR="00C11DA4">
        <w:t>nergy market operator</w:t>
      </w:r>
      <w:r w:rsidRPr="00261A2C">
        <w:t xml:space="preserve"> assets can subsequently disrupt the generation, transmission and/or distribution of electricity </w:t>
      </w:r>
      <w:r w:rsidR="00AE41BC">
        <w:t>and gas</w:t>
      </w:r>
      <w:r w:rsidRPr="00261A2C">
        <w:t xml:space="preserve"> to businesses and households. These events can generate costly immediate and longer-term impacts on the Australian economy. The immediate</w:t>
      </w:r>
      <w:r w:rsidRPr="00261A2C">
        <w:rPr>
          <w:rFonts w:eastAsia="Arial"/>
        </w:rPr>
        <w:t xml:space="preserve"> impacts of an electricity </w:t>
      </w:r>
      <w:r w:rsidR="00AE41BC">
        <w:rPr>
          <w:rFonts w:eastAsia="Arial"/>
        </w:rPr>
        <w:t xml:space="preserve">or gas </w:t>
      </w:r>
      <w:r w:rsidRPr="00261A2C">
        <w:rPr>
          <w:rFonts w:eastAsia="Arial"/>
        </w:rPr>
        <w:t xml:space="preserve">outage are those associated with loss of access to </w:t>
      </w:r>
      <w:r w:rsidRPr="00261A2C">
        <w:t>electricity or increased electricity costs, such as:</w:t>
      </w:r>
    </w:p>
    <w:p w14:paraId="0981A3D9" w14:textId="77777777" w:rsidR="0013202C" w:rsidRPr="00E9705C" w:rsidRDefault="0013202C" w:rsidP="00BF7F5D">
      <w:pPr>
        <w:pStyle w:val="Bullet1stlevel"/>
        <w:spacing w:before="80" w:after="80"/>
      </w:pPr>
      <w:r w:rsidRPr="00E9705C">
        <w:t>Lost production (e.g. production of goods and services may cease);</w:t>
      </w:r>
    </w:p>
    <w:p w14:paraId="4D7770A8" w14:textId="77777777" w:rsidR="0013202C" w:rsidRPr="00E9705C" w:rsidRDefault="0013202C" w:rsidP="00BF7F5D">
      <w:pPr>
        <w:pStyle w:val="Bullet1stlevel"/>
        <w:spacing w:before="80" w:after="80"/>
      </w:pPr>
      <w:r w:rsidRPr="00E9705C">
        <w:t>Lost productivity (e.g. workers may be idle whilst continuing to receive wages);</w:t>
      </w:r>
    </w:p>
    <w:p w14:paraId="7A29B90A" w14:textId="77777777" w:rsidR="0013202C" w:rsidRPr="00E9705C" w:rsidRDefault="0013202C" w:rsidP="00BF7F5D">
      <w:pPr>
        <w:pStyle w:val="Bullet1stlevel"/>
        <w:spacing w:before="80" w:after="80"/>
      </w:pPr>
      <w:r w:rsidRPr="00E9705C">
        <w:t xml:space="preserve">Lost wages (e.g. workers may be sent home or unable to go to work); </w:t>
      </w:r>
    </w:p>
    <w:p w14:paraId="2DACB6EF" w14:textId="77777777" w:rsidR="0013202C" w:rsidRPr="00E9705C" w:rsidRDefault="0013202C" w:rsidP="00BF7F5D">
      <w:pPr>
        <w:pStyle w:val="Bullet1stlevel"/>
        <w:spacing w:before="80" w:after="80"/>
      </w:pPr>
      <w:r w:rsidRPr="00E9705C">
        <w:t>Spoiled goods (e.g. spoiled produce due to lack of refrigeration); and</w:t>
      </w:r>
    </w:p>
    <w:p w14:paraId="55F2C3DE" w14:textId="77777777" w:rsidR="0013202C" w:rsidRPr="00BF7F5D" w:rsidRDefault="0013202C" w:rsidP="00BF7F5D">
      <w:pPr>
        <w:pStyle w:val="Bullet1stlevel"/>
        <w:spacing w:before="80" w:after="80"/>
        <w:rPr>
          <w:spacing w:val="-4"/>
        </w:rPr>
      </w:pPr>
      <w:r w:rsidRPr="00BF7F5D">
        <w:rPr>
          <w:spacing w:val="-4"/>
        </w:rPr>
        <w:t>Increased cost of production if switching to a substitute source of energy (e.g. backup generator).</w:t>
      </w:r>
    </w:p>
    <w:p w14:paraId="5D50FBB4" w14:textId="77777777" w:rsidR="0013202C" w:rsidRPr="00E9705C" w:rsidRDefault="0013202C" w:rsidP="00BF7F5D">
      <w:pPr>
        <w:pStyle w:val="BodyText"/>
        <w:spacing w:before="80" w:after="80"/>
      </w:pPr>
      <w:r w:rsidRPr="00E9705C">
        <w:t xml:space="preserve">Quantifying the economic impacts associated with </w:t>
      </w:r>
      <w:r w:rsidR="00AE41BC">
        <w:t xml:space="preserve">the </w:t>
      </w:r>
      <w:r w:rsidRPr="00E9705C">
        <w:t>outage</w:t>
      </w:r>
      <w:r w:rsidR="00AE41BC">
        <w:t xml:space="preserve"> of energy market regulators</w:t>
      </w:r>
      <w:r w:rsidRPr="00E9705C">
        <w:t xml:space="preserve"> is complex. Data is relatively sparse, and the economic impacts vary as </w:t>
      </w:r>
      <w:r w:rsidR="00E9425D">
        <w:t>outages</w:t>
      </w:r>
      <w:r w:rsidRPr="00E9705C">
        <w:t xml:space="preserve"> are highly sensitive to factors including:  </w:t>
      </w:r>
    </w:p>
    <w:p w14:paraId="06D5235A" w14:textId="77777777" w:rsidR="0013202C" w:rsidRPr="00E9705C" w:rsidRDefault="0013202C" w:rsidP="00BF7F5D">
      <w:pPr>
        <w:pStyle w:val="Bullet1stlevel"/>
        <w:spacing w:before="80" w:after="80"/>
      </w:pPr>
      <w:r w:rsidRPr="00E9705C">
        <w:t>Duration of the outage, for example short power outages are relatively manageable;</w:t>
      </w:r>
    </w:p>
    <w:p w14:paraId="39B9E9F2" w14:textId="77777777" w:rsidR="0013202C" w:rsidRPr="00BF7F5D" w:rsidRDefault="0013202C" w:rsidP="00BF7F5D">
      <w:pPr>
        <w:pStyle w:val="Bullet1stlevel"/>
        <w:spacing w:before="80" w:after="80"/>
        <w:rPr>
          <w:spacing w:val="-4"/>
        </w:rPr>
      </w:pPr>
      <w:r w:rsidRPr="00BF7F5D">
        <w:rPr>
          <w:spacing w:val="-4"/>
        </w:rPr>
        <w:t>Geographic spread of the outage, for example a localised power outage means that less users are affected and that substitutable goods (such as takeaway food) may be within travelling distance;</w:t>
      </w:r>
    </w:p>
    <w:p w14:paraId="2C50AFDF" w14:textId="77777777" w:rsidR="0013202C" w:rsidRPr="00E9705C" w:rsidRDefault="0013202C" w:rsidP="00BF7F5D">
      <w:pPr>
        <w:pStyle w:val="Bullet1stlevel"/>
        <w:spacing w:before="80" w:after="80"/>
      </w:pPr>
      <w:r w:rsidRPr="00E9705C">
        <w:t xml:space="preserve">Time of day/day of the week/time of the year that the outage occurs for example a power outage during business hours in the summer months will likely result in a larger economic impact than the same outage occurring in the middle of the night in winter; and </w:t>
      </w:r>
    </w:p>
    <w:p w14:paraId="2E77D860" w14:textId="77777777" w:rsidR="0013202C" w:rsidRPr="00E9705C" w:rsidRDefault="0013202C" w:rsidP="00BF7F5D">
      <w:pPr>
        <w:pStyle w:val="Bullet1stlevel"/>
        <w:spacing w:before="80" w:after="80"/>
      </w:pPr>
      <w:r w:rsidRPr="00E9705C">
        <w:t xml:space="preserve">The existence of any pre-established solutions to substitute electricity during the outage. </w:t>
      </w:r>
    </w:p>
    <w:p w14:paraId="46B4B6F6" w14:textId="77777777" w:rsidR="0013202C" w:rsidRPr="00E9705C" w:rsidRDefault="0013202C" w:rsidP="00224163">
      <w:pPr>
        <w:pStyle w:val="BodyText"/>
        <w:spacing w:before="80" w:after="80"/>
      </w:pPr>
      <w:r w:rsidRPr="00E9705C">
        <w:t xml:space="preserve">Computable General Equilibrium (CGE) modelling was used to illustrate how costly </w:t>
      </w:r>
      <w:r w:rsidR="00E9425D">
        <w:t>a</w:t>
      </w:r>
      <w:r w:rsidRPr="00E9705C">
        <w:t xml:space="preserve"> disruption could potentially be by examining a hypothetical supply shock (i.e. less electricity is available to users) and an associated increase in input costs (i.e. an increase in the cost of electricity). The advantage of using a CGE approach is that both the direct and indirect (i.e. flow-on) economic impacts of a power outage event can be quantified.</w:t>
      </w:r>
    </w:p>
    <w:p w14:paraId="1DDBDE46" w14:textId="77777777" w:rsidR="0013202C" w:rsidRDefault="0013202C" w:rsidP="00853C30">
      <w:pPr>
        <w:pStyle w:val="AppendixH3"/>
        <w:spacing w:after="60"/>
      </w:pPr>
      <w:r w:rsidRPr="00386A14">
        <w:lastRenderedPageBreak/>
        <w:t xml:space="preserve">CGE Modelling Approach </w:t>
      </w:r>
    </w:p>
    <w:p w14:paraId="16EAF448" w14:textId="39711892" w:rsidR="0013202C" w:rsidRPr="00BD22B8" w:rsidRDefault="0013202C" w:rsidP="00853C30">
      <w:pPr>
        <w:pStyle w:val="BodyText"/>
        <w:spacing w:before="60" w:after="80"/>
        <w:rPr>
          <w:spacing w:val="-4"/>
        </w:rPr>
      </w:pPr>
      <w:r w:rsidRPr="00BD22B8">
        <w:rPr>
          <w:spacing w:val="-4"/>
        </w:rPr>
        <w:t xml:space="preserve">To analyse the direct and indirect economic contributions of power outages due 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w:t>
      </w:r>
      <w:r w:rsidR="002437E1" w:rsidRPr="00BD22B8">
        <w:rPr>
          <w:spacing w:val="-4"/>
        </w:rPr>
        <w:t>G</w:t>
      </w:r>
      <w:r w:rsidRPr="00BD22B8">
        <w:rPr>
          <w:spacing w:val="-4"/>
        </w:rPr>
        <w:t xml:space="preserve">overnments operating in domestic and foreign goods, capital and labour markets. </w:t>
      </w:r>
    </w:p>
    <w:p w14:paraId="4EAA2142" w14:textId="77777777" w:rsidR="0013202C" w:rsidRPr="00386A14" w:rsidRDefault="0013202C" w:rsidP="00224163">
      <w:pPr>
        <w:pStyle w:val="BodyText"/>
        <w:spacing w:before="80" w:after="80"/>
      </w:pPr>
      <w:r w:rsidRPr="00386A14">
        <w:t xml:space="preserve">Defining features of the theoretical structure of the model are: </w:t>
      </w:r>
    </w:p>
    <w:p w14:paraId="6FCAB62B" w14:textId="77777777" w:rsidR="0013202C" w:rsidRPr="00386A14" w:rsidRDefault="0013202C" w:rsidP="00853C30">
      <w:pPr>
        <w:pStyle w:val="Bullet1stlevel"/>
        <w:spacing w:before="60" w:after="60"/>
        <w:rPr>
          <w:rFonts w:eastAsia="Times New Roman"/>
        </w:rPr>
      </w:pPr>
      <w:r w:rsidRPr="00386A14">
        <w:t xml:space="preserve">Optimising behaviour by households and businesses in the context of competitive markets with explicit resource and budget constraints; </w:t>
      </w:r>
    </w:p>
    <w:p w14:paraId="4EBB7D9E" w14:textId="77777777" w:rsidR="0013202C" w:rsidRPr="00386A14" w:rsidRDefault="0013202C" w:rsidP="00853C30">
      <w:pPr>
        <w:pStyle w:val="Bullet1stlevel"/>
        <w:spacing w:before="60" w:after="60"/>
        <w:rPr>
          <w:rFonts w:eastAsia="Times New Roman"/>
        </w:rPr>
      </w:pPr>
      <w:r w:rsidRPr="00386A14">
        <w:t xml:space="preserve">The price mechanism operates to clear markets for goods and factors such as labour and capital (i.e. prices adjust so that supply equals demand); and </w:t>
      </w:r>
    </w:p>
    <w:p w14:paraId="09CEE2C1" w14:textId="77777777" w:rsidR="0013202C" w:rsidRPr="00386A14" w:rsidRDefault="0013202C" w:rsidP="00853C30">
      <w:pPr>
        <w:pStyle w:val="Bullet1stlevel"/>
        <w:spacing w:before="60" w:after="60"/>
      </w:pPr>
      <w:r w:rsidRPr="00386A14">
        <w:t xml:space="preserve">At the margin, costs are equal to revenues in all economic activities. </w:t>
      </w:r>
    </w:p>
    <w:p w14:paraId="60DDBD1C" w14:textId="77777777" w:rsidR="0013202C" w:rsidRPr="00386A14" w:rsidRDefault="0013202C" w:rsidP="00224163">
      <w:pPr>
        <w:pStyle w:val="BodyText"/>
        <w:spacing w:before="80" w:after="80"/>
      </w:pPr>
      <w:r w:rsidRPr="00386A14">
        <w:t xml:space="preserve">The modelling framework is suited to analysing the economic impact of power outages as it explicitly captures supply-chain linkages as well as other flow-on effects and feedback responses by all economic agents. The strength of CGE models is that they capture the upstream and downstream linkages between the activities induced by the outages and the rest of the economy in a framework that combines detailed historical data with fundamental economic theory. </w:t>
      </w:r>
    </w:p>
    <w:p w14:paraId="35ACC173" w14:textId="77777777" w:rsidR="0013202C" w:rsidRPr="00386A14" w:rsidRDefault="0013202C" w:rsidP="00853C30">
      <w:pPr>
        <w:pStyle w:val="AppendixH3"/>
        <w:spacing w:after="60"/>
      </w:pPr>
      <w:r w:rsidRPr="00386A14">
        <w:t>Power outage scenarios</w:t>
      </w:r>
    </w:p>
    <w:p w14:paraId="3F86304B" w14:textId="77777777" w:rsidR="0013202C" w:rsidRPr="00E9705C" w:rsidRDefault="0013202C" w:rsidP="00853C30">
      <w:pPr>
        <w:pStyle w:val="BodyText"/>
        <w:spacing w:before="60" w:after="80"/>
      </w:pPr>
      <w:r w:rsidRPr="00E9705C">
        <w:t xml:space="preserve">The CGE modelling provided estimates regarding how sensitive the Australian economy is to a shock to the electricity system. This analysis was undertaken by defining a set of hypothetical scenarios with varying magnitudes of power outages and price impacts associated with the power outage. The scope of the hypothetical scenarios was based on studies of major events which are discussed below. </w:t>
      </w:r>
    </w:p>
    <w:p w14:paraId="19F78D15" w14:textId="77777777" w:rsidR="0013202C" w:rsidRPr="00386A14" w:rsidRDefault="0013202C" w:rsidP="00853C30">
      <w:pPr>
        <w:pStyle w:val="AppendixH3"/>
        <w:spacing w:after="60"/>
      </w:pPr>
      <w:r w:rsidRPr="00386A14">
        <w:t>Case studies</w:t>
      </w:r>
    </w:p>
    <w:p w14:paraId="2D82549A" w14:textId="1898A37C" w:rsidR="00BF7F5D" w:rsidRDefault="0013202C" w:rsidP="00853C30">
      <w:pPr>
        <w:pStyle w:val="BodyText"/>
        <w:spacing w:before="60" w:after="80"/>
      </w:pPr>
      <w:r w:rsidRPr="00E9705C">
        <w:t xml:space="preserve">A series of case studies provides some context for how unplanned outages in the </w:t>
      </w:r>
      <w:r w:rsidR="00041702">
        <w:t>energy market operator</w:t>
      </w:r>
      <w:r w:rsidRPr="00E9705C">
        <w:t xml:space="preserve"> network impact the economy. These case studies provide a basis for modelling hypothetical, but comparable outages, in an economy-wide (CGE) model and contextualising the results of that modelling. Case studies have been chosen to provide insights into the economy-wide costs to households and businesses of large-scale and severe power outages. The table below provides a summary of </w:t>
      </w:r>
      <w:r w:rsidR="00AE6B03" w:rsidRPr="00E9705C">
        <w:t>the case</w:t>
      </w:r>
      <w:r w:rsidRPr="00E9705C">
        <w:t xml:space="preserve"> studies.</w:t>
      </w:r>
    </w:p>
    <w:p w14:paraId="2553F267" w14:textId="77777777" w:rsidR="0013202C" w:rsidRPr="00E9705C" w:rsidRDefault="0013202C" w:rsidP="00183608">
      <w:pPr>
        <w:pStyle w:val="Caption"/>
      </w:pPr>
      <w:r w:rsidRPr="00E9705C">
        <w:t>Power outage case studies in Australia and globally</w:t>
      </w:r>
    </w:p>
    <w:tbl>
      <w:tblPr>
        <w:tblStyle w:val="DHATable"/>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559"/>
        <w:gridCol w:w="8079"/>
      </w:tblGrid>
      <w:tr w:rsidR="0013202C" w:rsidRPr="00E9705C" w14:paraId="35A114E3" w14:textId="77777777" w:rsidTr="00CD6FF2">
        <w:trPr>
          <w:tblHeader/>
        </w:trPr>
        <w:tc>
          <w:tcPr>
            <w:tcW w:w="809" w:type="pct"/>
            <w:shd w:val="clear" w:color="auto" w:fill="034EA2" w:themeFill="accent1"/>
          </w:tcPr>
          <w:p w14:paraId="20871F41" w14:textId="77777777" w:rsidR="0013202C" w:rsidRPr="000F20CF" w:rsidRDefault="0013202C" w:rsidP="00FB584E">
            <w:pPr>
              <w:pStyle w:val="TableHeading"/>
            </w:pPr>
            <w:r w:rsidRPr="009807CA">
              <w:t>Incident</w:t>
            </w:r>
          </w:p>
        </w:tc>
        <w:tc>
          <w:tcPr>
            <w:tcW w:w="4191" w:type="pct"/>
            <w:shd w:val="clear" w:color="auto" w:fill="034EA2" w:themeFill="accent1"/>
          </w:tcPr>
          <w:p w14:paraId="7AC6BF2D" w14:textId="77777777" w:rsidR="0013202C" w:rsidRPr="000F20CF" w:rsidRDefault="0013202C" w:rsidP="00FB584E">
            <w:pPr>
              <w:pStyle w:val="TableHeading"/>
            </w:pPr>
            <w:r w:rsidRPr="009807CA">
              <w:t>Summary of incident</w:t>
            </w:r>
          </w:p>
        </w:tc>
      </w:tr>
      <w:tr w:rsidR="0013202C" w:rsidRPr="00E9705C" w14:paraId="36EBED05" w14:textId="77777777" w:rsidTr="00810690">
        <w:tc>
          <w:tcPr>
            <w:tcW w:w="809" w:type="pct"/>
          </w:tcPr>
          <w:p w14:paraId="7FAB25E6" w14:textId="77777777" w:rsidR="0013202C" w:rsidRPr="009807CA" w:rsidRDefault="0013202C" w:rsidP="004C0B4C">
            <w:pPr>
              <w:pStyle w:val="TableBody"/>
            </w:pPr>
            <w:r w:rsidRPr="009807CA">
              <w:t>South Australian Blackout (2016)</w:t>
            </w:r>
          </w:p>
        </w:tc>
        <w:tc>
          <w:tcPr>
            <w:tcW w:w="4191" w:type="pct"/>
            <w:shd w:val="clear" w:color="auto" w:fill="auto"/>
          </w:tcPr>
          <w:p w14:paraId="63D9D5CC" w14:textId="77777777" w:rsidR="0013202C" w:rsidRPr="00BF7F5D" w:rsidRDefault="0013202C" w:rsidP="004C0B4C">
            <w:pPr>
              <w:pStyle w:val="TableBody"/>
              <w:rPr>
                <w:spacing w:val="-2"/>
              </w:rPr>
            </w:pPr>
            <w:r w:rsidRPr="00BF7F5D">
              <w:rPr>
                <w:spacing w:val="-2"/>
              </w:rPr>
              <w:t>On 28 September 2016, South Australia experienced a state-wide blackout. This was triggered by severe weather that damaged transmission and distribution assets, followed by reduced wind farm output and a loss of synchronism causing the loss of the Heywood Interconnector. The subsequent imbalance in supply and demand resulted in the remaining electricity generation in the state shutting down. While most supplies were restored in 8 hours, the wholesale market in South Australia was suspended for 13 days.</w:t>
            </w:r>
            <w:r w:rsidRPr="00BF7F5D">
              <w:rPr>
                <w:spacing w:val="-2"/>
                <w:vertAlign w:val="superscript"/>
              </w:rPr>
              <w:footnoteReference w:id="387"/>
            </w:r>
          </w:p>
        </w:tc>
      </w:tr>
      <w:tr w:rsidR="0013202C" w:rsidRPr="00E9705C" w14:paraId="74C52B21" w14:textId="77777777" w:rsidTr="00810690">
        <w:tc>
          <w:tcPr>
            <w:tcW w:w="809" w:type="pct"/>
          </w:tcPr>
          <w:p w14:paraId="13F0A09A" w14:textId="77777777" w:rsidR="0013202C" w:rsidRPr="000F20CF" w:rsidRDefault="00E9425D" w:rsidP="004C0B4C">
            <w:pPr>
              <w:pStyle w:val="TableBody"/>
            </w:pPr>
            <w:r w:rsidRPr="009807CA">
              <w:t xml:space="preserve">Australia’s summer bushfires threaten </w:t>
            </w:r>
            <w:r w:rsidRPr="009807CA">
              <w:lastRenderedPageBreak/>
              <w:t>electricity grid (2020)</w:t>
            </w:r>
          </w:p>
        </w:tc>
        <w:tc>
          <w:tcPr>
            <w:tcW w:w="4191" w:type="pct"/>
            <w:shd w:val="clear" w:color="auto" w:fill="auto"/>
          </w:tcPr>
          <w:p w14:paraId="114DE7E0" w14:textId="77777777" w:rsidR="0013202C" w:rsidRPr="00E9425D" w:rsidRDefault="00E9425D" w:rsidP="004C0B4C">
            <w:pPr>
              <w:pStyle w:val="TableBody"/>
              <w:rPr>
                <w:b/>
              </w:rPr>
            </w:pPr>
            <w:r w:rsidRPr="00FB584E">
              <w:lastRenderedPageBreak/>
              <w:t>The Australian bushfires in the summer of 2020 saw unprecedented pressure on Australia’s electricity grid. While the biggest potential threat, that bushfires would strike the critical interconnector linking the Victorian and New South Wales electricity grids, was not realised, accompanying extreme hot weather saw significant increases in the demand for electricity.</w:t>
            </w:r>
            <w:r w:rsidRPr="00FB584E">
              <w:footnoteReference w:id="388"/>
            </w:r>
            <w:r w:rsidRPr="00FB584E">
              <w:t xml:space="preserve"> The combination of catastrophic bushfires and extreme weather </w:t>
            </w:r>
            <w:r w:rsidRPr="00FB584E">
              <w:lastRenderedPageBreak/>
              <w:t>conditions saw some Australian customers without electricity for an extended period. The Australian Energy Market Operator (AEMO) issued a level two ‘lack of reserve’ warning and signalled a potential need to call on emergency power reserves to avoid widespread blackouts. Approximately 10,000 customers in the Tumbarumba and South Coast regions, as well as an additional 5,800 were without electricity between New Years Eve of 2019 and early January 2020.</w:t>
            </w:r>
            <w:r w:rsidRPr="00FB584E">
              <w:rPr>
                <w:rStyle w:val="Style3Char"/>
                <w:b w:val="0"/>
                <w:vertAlign w:val="superscript"/>
              </w:rPr>
              <w:footnoteReference w:id="389"/>
            </w:r>
          </w:p>
        </w:tc>
      </w:tr>
    </w:tbl>
    <w:p w14:paraId="6B4D0200" w14:textId="7A8AB1CF" w:rsidR="0013202C" w:rsidRPr="00CD6FF2" w:rsidRDefault="0013202C" w:rsidP="00CD6FF2">
      <w:pPr>
        <w:pStyle w:val="BodyText"/>
        <w:spacing w:before="240"/>
      </w:pPr>
      <w:r>
        <w:lastRenderedPageBreak/>
        <w:t xml:space="preserve">While this RIS seeks to leverage the examples outlined above, it does not mean that a single, equivalent event is needed </w:t>
      </w:r>
      <w:r w:rsidRPr="00CD6FF2">
        <w:t>for costs and benefits to break</w:t>
      </w:r>
      <w:r w:rsidR="00AE6B03" w:rsidRPr="00CD6FF2">
        <w:t>-</w:t>
      </w:r>
      <w:r w:rsidRPr="00CD6FF2">
        <w:t xml:space="preserve">even. The chosen examples are intended to be demonstrative of potential costs only, rather than the specific events which may lead to disruption. It may be the case that a series of smaller, less significant disruptions occur over the course of a year and accumulate to result in disruption of a similar scale. </w:t>
      </w:r>
    </w:p>
    <w:p w14:paraId="04529DF5" w14:textId="77777777" w:rsidR="0013202C" w:rsidRPr="00CD6FF2" w:rsidRDefault="0013202C" w:rsidP="00CD6FF2">
      <w:pPr>
        <w:pStyle w:val="BodyText"/>
      </w:pPr>
      <w:r w:rsidRPr="00CD6FF2">
        <w:t>The above case studies highlight that widespread power outages inflict substantial direct and indirect costs on firms and households alike. Businesses bore the brunt of the damage across all th</w:t>
      </w:r>
      <w:r w:rsidR="006D13A2" w:rsidRPr="00CD6FF2">
        <w:t>ese</w:t>
      </w:r>
      <w:r w:rsidRPr="00CD6FF2">
        <w:t xml:space="preserve"> case studies, mostly through lost income and productivity. </w:t>
      </w:r>
    </w:p>
    <w:p w14:paraId="70827F77" w14:textId="77777777" w:rsidR="0013202C" w:rsidRPr="00CD6FF2" w:rsidRDefault="0013202C" w:rsidP="00CD6FF2">
      <w:pPr>
        <w:pStyle w:val="BodyText"/>
      </w:pPr>
      <w:r w:rsidRPr="00CD6FF2">
        <w:t>For the purposes of the modelling of the cost of avoided future incidents in Australia, the South Australian blackout of 2016 was used as the baseline (moderate) risk scenario. The use of an actual event as the baseline risk point of comparison is important because it ensures the benefits analysis is grounded in reality. The scale of the event is not theoretical and there is sufficient information about the event to support modelling. The 2016 South Australian blackout was estimated to have approximately 5-8 GWh of unserved energy (electricity that would otherwise have been used by customers but that was not available because of the supply interruption).</w:t>
      </w:r>
      <w:r w:rsidRPr="00CD6FF2">
        <w:footnoteReference w:id="390"/>
      </w:r>
      <w:r w:rsidRPr="00CD6FF2">
        <w:t xml:space="preserve"> Further, while an event of this magnitude has previously been considered to represent the worst-case power outage incident in Australia, the increasing severity and frequency of similar incidents detailed in section 1.1, particularly in the context of growing all hazards incidents, represents a risk to the whole economy. </w:t>
      </w:r>
    </w:p>
    <w:p w14:paraId="774A361A" w14:textId="0036D89B" w:rsidR="0037063F" w:rsidRPr="00183608" w:rsidRDefault="0013202C" w:rsidP="00CD6FF2">
      <w:pPr>
        <w:pStyle w:val="BodyText"/>
      </w:pPr>
      <w:r w:rsidRPr="00CD6FF2">
        <w:t>A framework for considering the</w:t>
      </w:r>
      <w:r w:rsidRPr="00E9705C">
        <w:t xml:space="preserve"> potential </w:t>
      </w:r>
      <w:r w:rsidRPr="00183608">
        <w:t>impacts of Australian power outages following failure of critical infrastructure is provided in the table below.</w:t>
      </w:r>
    </w:p>
    <w:p w14:paraId="750A752F" w14:textId="77777777" w:rsidR="0013202C" w:rsidRPr="00E9705C" w:rsidRDefault="0013202C" w:rsidP="00183608">
      <w:pPr>
        <w:pStyle w:val="Caption"/>
      </w:pPr>
      <w:r w:rsidRPr="00E9705C">
        <w:t>Framework for scenario development and sensitivity analysis</w:t>
      </w:r>
    </w:p>
    <w:tbl>
      <w:tblPr>
        <w:tblStyle w:val="DHATable"/>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2285"/>
        <w:gridCol w:w="2316"/>
        <w:gridCol w:w="2591"/>
        <w:gridCol w:w="2446"/>
      </w:tblGrid>
      <w:tr w:rsidR="00340241" w:rsidRPr="00E9705C" w14:paraId="0D0F4BB0" w14:textId="77777777" w:rsidTr="00FB584E">
        <w:trPr>
          <w:trHeight w:val="420"/>
        </w:trPr>
        <w:tc>
          <w:tcPr>
            <w:tcW w:w="1185" w:type="pct"/>
            <w:shd w:val="clear" w:color="auto" w:fill="034EA2" w:themeFill="accent1"/>
          </w:tcPr>
          <w:p w14:paraId="2D3E8216" w14:textId="77777777" w:rsidR="0013202C" w:rsidRPr="00E9705C" w:rsidRDefault="0013202C" w:rsidP="00FB584E">
            <w:pPr>
              <w:pStyle w:val="TableHeading"/>
            </w:pPr>
            <w:r w:rsidRPr="00E9705C">
              <w:t xml:space="preserve"> </w:t>
            </w:r>
          </w:p>
        </w:tc>
        <w:tc>
          <w:tcPr>
            <w:tcW w:w="1201" w:type="pct"/>
            <w:shd w:val="clear" w:color="auto" w:fill="034EA2" w:themeFill="accent1"/>
          </w:tcPr>
          <w:p w14:paraId="52116321" w14:textId="77777777" w:rsidR="0013202C" w:rsidRPr="000F20CF" w:rsidRDefault="0013202C" w:rsidP="00FB584E">
            <w:pPr>
              <w:pStyle w:val="TableHeading"/>
              <w:rPr>
                <w:color w:val="FFFFFF"/>
              </w:rPr>
            </w:pPr>
            <w:r w:rsidRPr="009807CA">
              <w:rPr>
                <w:color w:val="FFFFFF"/>
              </w:rPr>
              <w:t>Severe scenario</w:t>
            </w:r>
          </w:p>
        </w:tc>
        <w:tc>
          <w:tcPr>
            <w:tcW w:w="1344" w:type="pct"/>
            <w:shd w:val="clear" w:color="auto" w:fill="034EA2" w:themeFill="accent1"/>
          </w:tcPr>
          <w:p w14:paraId="0014BA5D" w14:textId="77777777" w:rsidR="0013202C" w:rsidRPr="000F20CF" w:rsidRDefault="0013202C" w:rsidP="00FB584E">
            <w:pPr>
              <w:pStyle w:val="TableHeading"/>
              <w:rPr>
                <w:color w:val="FFFFFF"/>
              </w:rPr>
            </w:pPr>
            <w:r w:rsidRPr="009807CA">
              <w:rPr>
                <w:color w:val="FFFFFF"/>
              </w:rPr>
              <w:t>Moderate scenario</w:t>
            </w:r>
          </w:p>
        </w:tc>
        <w:tc>
          <w:tcPr>
            <w:tcW w:w="1269" w:type="pct"/>
            <w:shd w:val="clear" w:color="auto" w:fill="034EA2" w:themeFill="accent1"/>
          </w:tcPr>
          <w:p w14:paraId="363E3F4D" w14:textId="77777777" w:rsidR="0013202C" w:rsidRPr="000F20CF" w:rsidRDefault="0013202C" w:rsidP="00FB584E">
            <w:pPr>
              <w:pStyle w:val="TableHeading"/>
              <w:rPr>
                <w:color w:val="FFFFFF"/>
              </w:rPr>
            </w:pPr>
            <w:r w:rsidRPr="009807CA">
              <w:rPr>
                <w:color w:val="FFFFFF"/>
              </w:rPr>
              <w:t>Low scenario</w:t>
            </w:r>
          </w:p>
        </w:tc>
      </w:tr>
      <w:tr w:rsidR="00340241" w:rsidRPr="00E9705C" w14:paraId="36315DA5" w14:textId="77777777" w:rsidTr="00FB584E">
        <w:trPr>
          <w:trHeight w:val="570"/>
        </w:trPr>
        <w:tc>
          <w:tcPr>
            <w:tcW w:w="1185" w:type="pct"/>
          </w:tcPr>
          <w:p w14:paraId="1ED75078" w14:textId="77777777" w:rsidR="0013202C" w:rsidRPr="00FB584E" w:rsidRDefault="0013202C" w:rsidP="00FB584E">
            <w:pPr>
              <w:pStyle w:val="TableBody"/>
            </w:pPr>
            <w:r w:rsidRPr="00FB584E">
              <w:t>Intensity of event</w:t>
            </w:r>
          </w:p>
        </w:tc>
        <w:tc>
          <w:tcPr>
            <w:tcW w:w="1201" w:type="pct"/>
            <w:shd w:val="clear" w:color="auto" w:fill="auto"/>
          </w:tcPr>
          <w:p w14:paraId="4536C18B" w14:textId="77777777" w:rsidR="0013202C" w:rsidRPr="00FB584E" w:rsidRDefault="0013202C" w:rsidP="00FB584E">
            <w:pPr>
              <w:pStyle w:val="TableBody"/>
            </w:pPr>
            <w:r w:rsidRPr="00FB584E">
              <w:t>150% of moderate scenario costs</w:t>
            </w:r>
          </w:p>
        </w:tc>
        <w:tc>
          <w:tcPr>
            <w:tcW w:w="1344" w:type="pct"/>
            <w:shd w:val="clear" w:color="auto" w:fill="auto"/>
          </w:tcPr>
          <w:p w14:paraId="60ABC2F1" w14:textId="77777777" w:rsidR="0013202C" w:rsidRPr="00FB584E" w:rsidRDefault="0013202C" w:rsidP="00FB584E">
            <w:pPr>
              <w:pStyle w:val="TableBody"/>
            </w:pPr>
            <w:r w:rsidRPr="00FB584E">
              <w:t>South Australian 2016 Blackout</w:t>
            </w:r>
          </w:p>
        </w:tc>
        <w:tc>
          <w:tcPr>
            <w:tcW w:w="1269" w:type="pct"/>
            <w:shd w:val="clear" w:color="auto" w:fill="auto"/>
          </w:tcPr>
          <w:p w14:paraId="38628266" w14:textId="77777777" w:rsidR="0013202C" w:rsidRPr="00FB584E" w:rsidRDefault="0013202C" w:rsidP="00FB584E">
            <w:pPr>
              <w:pStyle w:val="TableBody"/>
            </w:pPr>
            <w:r w:rsidRPr="00FB584E">
              <w:t>50% of moderate scenario costs</w:t>
            </w:r>
          </w:p>
        </w:tc>
      </w:tr>
    </w:tbl>
    <w:p w14:paraId="1EE24D93" w14:textId="77777777" w:rsidR="0013202C" w:rsidRPr="00E9705C" w:rsidRDefault="0013202C" w:rsidP="00CD6FF2">
      <w:pPr>
        <w:pStyle w:val="BodyText"/>
      </w:pPr>
      <w:r w:rsidRPr="00E9705C">
        <w:t xml:space="preserve">The rationale for a more severe scenario than experienced in South Australia reflects the complexity of the scenarios that could occur. As noted above, the economic impact of an incident will vary due to a range of factors including the location of a disruption, the month and time of day at which the disruption occurs, the day of the week on which the disruption takes place and the duration of disruption. Accounting for an incident that has a greater economic impact than the South Australian blackout is necessary to reflect the possibility that a disruption of the same scale (in terms of unserved energy) could impact areas where there would be greater economic impact than in South Australia in September at 4 pm. While an incident with a much greater impact than the severe </w:t>
      </w:r>
      <w:r w:rsidRPr="00CD6FF2">
        <w:t>scenario</w:t>
      </w:r>
      <w:r w:rsidRPr="00E9705C">
        <w:t xml:space="preserve"> is conceivable (for example, a cyber-caused outage could be highly disruptive, by impacting a number of critical assets in the grid simultaneously), the defined scenarios and subsequent benefits analysis has taken a deliberately conservative approach to ensure the severe scenario remains demonstrably plausible.</w:t>
      </w:r>
    </w:p>
    <w:p w14:paraId="6AC6B094" w14:textId="77777777" w:rsidR="0013202C" w:rsidRDefault="0013202C" w:rsidP="00CD6FF2">
      <w:pPr>
        <w:pStyle w:val="BodyText"/>
      </w:pPr>
      <w:r w:rsidRPr="00E9705C">
        <w:lastRenderedPageBreak/>
        <w:t>A summary of the economic impact of each scenario is provided in</w:t>
      </w:r>
      <w:r>
        <w:t xml:space="preserve"> </w:t>
      </w:r>
      <w:r w:rsidRPr="00A41055">
        <w:t>the table below.</w:t>
      </w:r>
      <w:r w:rsidRPr="00E9705C">
        <w:t xml:space="preserve"> Direct avoided costs refer to the financial costs directly incurred as a result of an incident, while indirect costs refer to flow-on costs to the economy due to supply chain linkages and other feedback responses by all economic agents (e.g., households, businesses). A break-even analysis of these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 </w:t>
      </w:r>
    </w:p>
    <w:p w14:paraId="63711619" w14:textId="77777777" w:rsidR="0013202C" w:rsidRPr="00E9705C" w:rsidRDefault="0013202C" w:rsidP="00183608">
      <w:pPr>
        <w:pStyle w:val="Caption"/>
      </w:pPr>
      <w:r w:rsidRPr="00E9705C">
        <w:t>Summary of benefits scenarios</w:t>
      </w:r>
    </w:p>
    <w:tbl>
      <w:tblPr>
        <w:tblStyle w:val="TableGrid1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835"/>
        <w:gridCol w:w="2267"/>
        <w:gridCol w:w="2267"/>
        <w:gridCol w:w="2269"/>
      </w:tblGrid>
      <w:tr w:rsidR="00340241" w:rsidRPr="00805190" w14:paraId="30F71129" w14:textId="77777777" w:rsidTr="00805190">
        <w:trPr>
          <w:cantSplit/>
        </w:trPr>
        <w:tc>
          <w:tcPr>
            <w:tcW w:w="1471" w:type="pct"/>
            <w:shd w:val="clear" w:color="auto" w:fill="034EA2" w:themeFill="accent1"/>
          </w:tcPr>
          <w:p w14:paraId="0469B280" w14:textId="77777777" w:rsidR="0013202C" w:rsidRPr="00805190" w:rsidRDefault="0013202C" w:rsidP="00805190">
            <w:pPr>
              <w:pStyle w:val="TableHeading"/>
            </w:pPr>
          </w:p>
        </w:tc>
        <w:tc>
          <w:tcPr>
            <w:tcW w:w="1176" w:type="pct"/>
            <w:shd w:val="clear" w:color="auto" w:fill="034EA2" w:themeFill="accent1"/>
          </w:tcPr>
          <w:p w14:paraId="65F17DD0" w14:textId="77777777" w:rsidR="0013202C" w:rsidRPr="00805190" w:rsidRDefault="0013202C" w:rsidP="00805190">
            <w:pPr>
              <w:pStyle w:val="TableHeading"/>
            </w:pPr>
            <w:r w:rsidRPr="00805190">
              <w:t>Scenario 1</w:t>
            </w:r>
            <w:r w:rsidRPr="00805190">
              <w:br/>
              <w:t>(Severe), $ million</w:t>
            </w:r>
          </w:p>
        </w:tc>
        <w:tc>
          <w:tcPr>
            <w:tcW w:w="1176" w:type="pct"/>
            <w:shd w:val="clear" w:color="auto" w:fill="034EA2" w:themeFill="accent1"/>
          </w:tcPr>
          <w:p w14:paraId="7C747FEE" w14:textId="77777777" w:rsidR="0013202C" w:rsidRPr="00805190" w:rsidRDefault="0013202C" w:rsidP="00805190">
            <w:pPr>
              <w:pStyle w:val="TableHeading"/>
            </w:pPr>
            <w:r w:rsidRPr="00805190">
              <w:t>Scenario 2</w:t>
            </w:r>
            <w:r w:rsidRPr="00805190">
              <w:br/>
              <w:t>(Moderate), $ million</w:t>
            </w:r>
          </w:p>
        </w:tc>
        <w:tc>
          <w:tcPr>
            <w:tcW w:w="1177" w:type="pct"/>
            <w:shd w:val="clear" w:color="auto" w:fill="034EA2" w:themeFill="accent1"/>
          </w:tcPr>
          <w:p w14:paraId="1C5CD8D4" w14:textId="77777777" w:rsidR="0013202C" w:rsidRPr="00805190" w:rsidRDefault="0013202C" w:rsidP="00805190">
            <w:pPr>
              <w:pStyle w:val="TableHeading"/>
            </w:pPr>
            <w:r w:rsidRPr="00805190">
              <w:t>Scenario 3</w:t>
            </w:r>
            <w:r w:rsidRPr="00805190">
              <w:br/>
              <w:t>(Low), $ million</w:t>
            </w:r>
          </w:p>
        </w:tc>
      </w:tr>
      <w:tr w:rsidR="0013202C" w:rsidRPr="00805190" w14:paraId="4C6314F0" w14:textId="77777777" w:rsidTr="00805190">
        <w:trPr>
          <w:cantSplit/>
        </w:trPr>
        <w:tc>
          <w:tcPr>
            <w:tcW w:w="1471" w:type="pct"/>
            <w:vAlign w:val="center"/>
          </w:tcPr>
          <w:p w14:paraId="115A2B10" w14:textId="77777777" w:rsidR="0013202C" w:rsidRPr="00805190" w:rsidRDefault="0013202C" w:rsidP="00805190">
            <w:pPr>
              <w:pStyle w:val="TableBody"/>
            </w:pPr>
            <w:r w:rsidRPr="00805190">
              <w:t>Direct avoided cost</w:t>
            </w:r>
          </w:p>
        </w:tc>
        <w:tc>
          <w:tcPr>
            <w:tcW w:w="1176" w:type="pct"/>
            <w:vAlign w:val="center"/>
          </w:tcPr>
          <w:p w14:paraId="4B32BE22" w14:textId="50325465" w:rsidR="0013202C" w:rsidRPr="00805190" w:rsidRDefault="005256A8" w:rsidP="00805190">
            <w:pPr>
              <w:pStyle w:val="TableBody"/>
            </w:pPr>
            <w:r>
              <w:t>585.0</w:t>
            </w:r>
          </w:p>
        </w:tc>
        <w:tc>
          <w:tcPr>
            <w:tcW w:w="1176" w:type="pct"/>
            <w:vAlign w:val="center"/>
          </w:tcPr>
          <w:p w14:paraId="74B4F677" w14:textId="35DC790A" w:rsidR="0013202C" w:rsidRPr="00805190" w:rsidRDefault="00D64F82" w:rsidP="00805190">
            <w:pPr>
              <w:pStyle w:val="TableBody"/>
            </w:pPr>
            <w:r>
              <w:t>390.0</w:t>
            </w:r>
            <w:r w:rsidR="0013202C" w:rsidRPr="00805190">
              <w:t xml:space="preserve"> (a)</w:t>
            </w:r>
          </w:p>
        </w:tc>
        <w:tc>
          <w:tcPr>
            <w:tcW w:w="1177" w:type="pct"/>
            <w:vAlign w:val="center"/>
          </w:tcPr>
          <w:p w14:paraId="5D602472" w14:textId="661C4002" w:rsidR="0013202C" w:rsidRPr="00805190" w:rsidRDefault="00D64F82" w:rsidP="00805190">
            <w:pPr>
              <w:pStyle w:val="TableBody"/>
            </w:pPr>
            <w:r>
              <w:t>195.0</w:t>
            </w:r>
          </w:p>
        </w:tc>
      </w:tr>
      <w:tr w:rsidR="0013202C" w:rsidRPr="00805190" w14:paraId="40DD622D" w14:textId="77777777" w:rsidTr="00805190">
        <w:trPr>
          <w:cantSplit/>
        </w:trPr>
        <w:tc>
          <w:tcPr>
            <w:tcW w:w="1471" w:type="pct"/>
            <w:vAlign w:val="center"/>
          </w:tcPr>
          <w:p w14:paraId="102707C4" w14:textId="77777777" w:rsidR="0013202C" w:rsidRPr="00805190" w:rsidRDefault="0013202C" w:rsidP="00805190">
            <w:pPr>
              <w:pStyle w:val="TableBody"/>
            </w:pPr>
            <w:r w:rsidRPr="00805190">
              <w:t>Indirect avoided costs</w:t>
            </w:r>
          </w:p>
        </w:tc>
        <w:tc>
          <w:tcPr>
            <w:tcW w:w="1176" w:type="pct"/>
            <w:vAlign w:val="center"/>
          </w:tcPr>
          <w:p w14:paraId="4461B61B" w14:textId="64D08296" w:rsidR="0013202C" w:rsidRPr="00805190" w:rsidRDefault="00D64F82" w:rsidP="00805190">
            <w:pPr>
              <w:pStyle w:val="TableBody"/>
            </w:pPr>
            <w:r>
              <w:t>695.0</w:t>
            </w:r>
            <w:r w:rsidR="0013202C" w:rsidRPr="00805190">
              <w:t xml:space="preserve"> (b)</w:t>
            </w:r>
          </w:p>
        </w:tc>
        <w:tc>
          <w:tcPr>
            <w:tcW w:w="1176" w:type="pct"/>
            <w:vAlign w:val="center"/>
          </w:tcPr>
          <w:p w14:paraId="739403B8" w14:textId="4F3BD4D4" w:rsidR="0013202C" w:rsidRPr="00805190" w:rsidRDefault="00D64F82" w:rsidP="00805190">
            <w:pPr>
              <w:pStyle w:val="TableBody"/>
            </w:pPr>
            <w:r>
              <w:t>460.0</w:t>
            </w:r>
            <w:r w:rsidR="0013202C" w:rsidRPr="00805190">
              <w:t xml:space="preserve"> (b)</w:t>
            </w:r>
          </w:p>
        </w:tc>
        <w:tc>
          <w:tcPr>
            <w:tcW w:w="1177" w:type="pct"/>
            <w:vAlign w:val="center"/>
          </w:tcPr>
          <w:p w14:paraId="105FA8DA" w14:textId="29570615" w:rsidR="0013202C" w:rsidRPr="00805190" w:rsidRDefault="00D64F82" w:rsidP="00805190">
            <w:pPr>
              <w:pStyle w:val="TableBody"/>
            </w:pPr>
            <w:r>
              <w:t>295.0</w:t>
            </w:r>
            <w:r w:rsidR="0013202C" w:rsidRPr="00805190">
              <w:t>(b)</w:t>
            </w:r>
          </w:p>
        </w:tc>
      </w:tr>
      <w:tr w:rsidR="00340241" w:rsidRPr="00805190" w14:paraId="7EAAA3ED" w14:textId="77777777" w:rsidTr="00805190">
        <w:trPr>
          <w:cantSplit/>
        </w:trPr>
        <w:tc>
          <w:tcPr>
            <w:tcW w:w="1471" w:type="pct"/>
            <w:shd w:val="clear" w:color="auto" w:fill="F2F2F2" w:themeFill="background1" w:themeFillShade="F2"/>
            <w:vAlign w:val="center"/>
          </w:tcPr>
          <w:p w14:paraId="080C2DEB" w14:textId="77777777" w:rsidR="0013202C" w:rsidRPr="00805190" w:rsidRDefault="0013202C" w:rsidP="00805190">
            <w:pPr>
              <w:pStyle w:val="TableBody"/>
            </w:pPr>
            <w:r w:rsidRPr="00805190">
              <w:t>Total avoided cost to the economy of the incident</w:t>
            </w:r>
          </w:p>
        </w:tc>
        <w:tc>
          <w:tcPr>
            <w:tcW w:w="1176" w:type="pct"/>
            <w:shd w:val="clear" w:color="auto" w:fill="F2F2F2" w:themeFill="background1" w:themeFillShade="F2"/>
            <w:vAlign w:val="center"/>
          </w:tcPr>
          <w:p w14:paraId="564A547B" w14:textId="7D28962B" w:rsidR="0013202C" w:rsidRPr="00805190" w:rsidRDefault="00D64F82" w:rsidP="00805190">
            <w:pPr>
              <w:pStyle w:val="TableBody"/>
            </w:pPr>
            <w:r>
              <w:t>1,280.0</w:t>
            </w:r>
          </w:p>
        </w:tc>
        <w:tc>
          <w:tcPr>
            <w:tcW w:w="1176" w:type="pct"/>
            <w:shd w:val="clear" w:color="auto" w:fill="F2F2F2" w:themeFill="background1" w:themeFillShade="F2"/>
            <w:vAlign w:val="center"/>
          </w:tcPr>
          <w:p w14:paraId="7C97D0CA" w14:textId="7AC65626" w:rsidR="0013202C" w:rsidRPr="00805190" w:rsidRDefault="00D64F82" w:rsidP="00805190">
            <w:pPr>
              <w:pStyle w:val="TableBody"/>
            </w:pPr>
            <w:r>
              <w:t>850.0</w:t>
            </w:r>
          </w:p>
        </w:tc>
        <w:tc>
          <w:tcPr>
            <w:tcW w:w="1177" w:type="pct"/>
            <w:shd w:val="clear" w:color="auto" w:fill="F2F2F2" w:themeFill="background1" w:themeFillShade="F2"/>
            <w:vAlign w:val="center"/>
          </w:tcPr>
          <w:p w14:paraId="6731DAFA" w14:textId="25E3FB06" w:rsidR="0013202C" w:rsidRPr="00805190" w:rsidRDefault="00D64F82" w:rsidP="00805190">
            <w:pPr>
              <w:pStyle w:val="TableBody"/>
            </w:pPr>
            <w:r>
              <w:t>490.0</w:t>
            </w:r>
          </w:p>
        </w:tc>
      </w:tr>
      <w:tr w:rsidR="0013202C" w:rsidRPr="00805190" w14:paraId="17441C38" w14:textId="77777777" w:rsidTr="00805190">
        <w:trPr>
          <w:cantSplit/>
        </w:trPr>
        <w:tc>
          <w:tcPr>
            <w:tcW w:w="1471" w:type="pct"/>
            <w:vAlign w:val="center"/>
          </w:tcPr>
          <w:p w14:paraId="735FA5A5" w14:textId="77777777" w:rsidR="0013202C" w:rsidRPr="00805190" w:rsidRDefault="0013202C" w:rsidP="00805190">
            <w:pPr>
              <w:pStyle w:val="TableBody"/>
            </w:pPr>
            <w:r w:rsidRPr="00805190">
              <w:t>Approximate number of avoided incidents per annum required for a net benefit</w:t>
            </w:r>
          </w:p>
        </w:tc>
        <w:tc>
          <w:tcPr>
            <w:tcW w:w="1176" w:type="pct"/>
            <w:vAlign w:val="center"/>
          </w:tcPr>
          <w:p w14:paraId="3762902C" w14:textId="77777777" w:rsidR="0013202C" w:rsidRPr="00805190" w:rsidRDefault="00C71D7C" w:rsidP="00805190">
            <w:pPr>
              <w:pStyle w:val="TableBody"/>
            </w:pPr>
            <w:r w:rsidRPr="00805190">
              <w:t xml:space="preserve">Less than </w:t>
            </w:r>
            <w:r w:rsidR="00E61C6B" w:rsidRPr="00805190">
              <w:t>0.</w:t>
            </w:r>
            <w:r w:rsidRPr="00805190">
              <w:t>1</w:t>
            </w:r>
          </w:p>
        </w:tc>
        <w:tc>
          <w:tcPr>
            <w:tcW w:w="1176" w:type="pct"/>
            <w:vAlign w:val="center"/>
          </w:tcPr>
          <w:p w14:paraId="5B41AABF" w14:textId="77777777" w:rsidR="0013202C" w:rsidRPr="00805190" w:rsidRDefault="00C71D7C" w:rsidP="00805190">
            <w:pPr>
              <w:pStyle w:val="TableBody"/>
            </w:pPr>
            <w:r w:rsidRPr="00805190">
              <w:t xml:space="preserve">Less than </w:t>
            </w:r>
            <w:r w:rsidR="00E61C6B" w:rsidRPr="00805190">
              <w:t>0.</w:t>
            </w:r>
            <w:r w:rsidRPr="00805190">
              <w:t>1</w:t>
            </w:r>
          </w:p>
        </w:tc>
        <w:tc>
          <w:tcPr>
            <w:tcW w:w="1177" w:type="pct"/>
            <w:vAlign w:val="center"/>
          </w:tcPr>
          <w:p w14:paraId="01403529" w14:textId="77777777" w:rsidR="0013202C" w:rsidRPr="00805190" w:rsidRDefault="00E61C6B" w:rsidP="00805190">
            <w:pPr>
              <w:pStyle w:val="TableBody"/>
            </w:pPr>
            <w:r w:rsidRPr="00805190">
              <w:t>0.1</w:t>
            </w:r>
          </w:p>
        </w:tc>
      </w:tr>
    </w:tbl>
    <w:p w14:paraId="5AAE164F" w14:textId="2C634BE4" w:rsidR="0013202C" w:rsidRPr="00E9705C" w:rsidRDefault="0013202C" w:rsidP="00CD6FF2">
      <w:pPr>
        <w:pStyle w:val="Note"/>
        <w:spacing w:before="60"/>
      </w:pPr>
      <w:r w:rsidRPr="00805190">
        <w:rPr>
          <w:b/>
          <w:bCs w:val="0"/>
        </w:rPr>
        <w:t>Notes:</w:t>
      </w:r>
      <w:r w:rsidR="00805190">
        <w:rPr>
          <w:b/>
          <w:bCs w:val="0"/>
        </w:rPr>
        <w:br/>
      </w:r>
      <w:r w:rsidR="00805190">
        <w:t xml:space="preserve">(a) </w:t>
      </w:r>
      <w:r w:rsidRPr="00E9705C">
        <w:t>According to Blackout Survey Results by Business South Australia (2016), total costs to South Australian businesses reached $390 million (inflated into 2020 Australian dollars) as a result of the power outage.</w:t>
      </w:r>
      <w:r w:rsidR="00805190">
        <w:br/>
        <w:t xml:space="preserve">(b) </w:t>
      </w:r>
      <w:r w:rsidRPr="00E9705C">
        <w:t xml:space="preserve">In response to the 2016 blackout, the South Australian government installed a Tesla battery to improve their resilience to future events. As a result, indirect costs include the capital cost for installing the battery ($90 million) and costs for provision of network services ($4 million per year over 10 years). </w:t>
      </w:r>
    </w:p>
    <w:p w14:paraId="410B3B90" w14:textId="6967B7A0" w:rsidR="0013202C" w:rsidRPr="000E080D" w:rsidRDefault="0013202C" w:rsidP="00CD6FF2">
      <w:pPr>
        <w:pStyle w:val="BodyText"/>
      </w:pPr>
      <w:r w:rsidRPr="000E080D">
        <w:t xml:space="preserve">As noted above, the total direct ongoing cost for option 2 is expected to be </w:t>
      </w:r>
      <w:r w:rsidRPr="006507C0">
        <w:t>$</w:t>
      </w:r>
      <w:r>
        <w:t>26.</w:t>
      </w:r>
      <w:r w:rsidR="00A628F8">
        <w:t>9</w:t>
      </w:r>
      <w:r w:rsidRPr="006507C0">
        <w:t xml:space="preserve"> million</w:t>
      </w:r>
      <w:r w:rsidRPr="000E080D">
        <w:t xml:space="preserve"> per annum plus direct one-off costs of $</w:t>
      </w:r>
      <w:r>
        <w:t>88</w:t>
      </w:r>
      <w:r w:rsidRPr="006507C0">
        <w:t>.</w:t>
      </w:r>
      <w:r w:rsidR="00A628F8">
        <w:t>3</w:t>
      </w:r>
      <w:r w:rsidRPr="006507C0">
        <w:t xml:space="preserve"> million</w:t>
      </w:r>
      <w:r w:rsidRPr="000E080D">
        <w:t xml:space="preserve">. However, the cost of the risk management program </w:t>
      </w:r>
      <w:r w:rsidRPr="00CD6FF2">
        <w:t>framework</w:t>
      </w:r>
      <w:r w:rsidRPr="000E080D">
        <w:t xml:space="preserve"> would also have other indirect costs flowing from increased </w:t>
      </w:r>
      <w:r w:rsidR="00041702">
        <w:t>energy</w:t>
      </w:r>
      <w:r w:rsidRPr="000E080D">
        <w:t xml:space="preserve"> prices passed onto consumers from the framework’s implementation. </w:t>
      </w:r>
    </w:p>
    <w:p w14:paraId="66F8CB77" w14:textId="52275D3A" w:rsidR="0013202C" w:rsidRPr="00E9705C" w:rsidRDefault="0013202C" w:rsidP="00CD6FF2">
      <w:pPr>
        <w:pStyle w:val="BodyText"/>
      </w:pPr>
      <w:r w:rsidRPr="006507C0">
        <w:t>After considering the economy-wide impact of this change to the cost of providing electricity</w:t>
      </w:r>
      <w:r w:rsidR="00811564">
        <w:t xml:space="preserve"> and/or gas</w:t>
      </w:r>
      <w:r w:rsidRPr="006507C0">
        <w:t xml:space="preserve">, the total economic cost of the regulatory changes, including direct and indirect costs would be approximately </w:t>
      </w:r>
      <w:r>
        <w:t>$</w:t>
      </w:r>
      <w:r w:rsidR="00D64F82">
        <w:t>68.6</w:t>
      </w:r>
      <w:r w:rsidRPr="006507C0">
        <w:t xml:space="preserve"> million per year.</w:t>
      </w:r>
      <w:r w:rsidRPr="006507C0">
        <w:rPr>
          <w:vertAlign w:val="superscript"/>
        </w:rPr>
        <w:footnoteReference w:id="391"/>
      </w:r>
      <w:r w:rsidRPr="006507C0">
        <w:t xml:space="preserve"> In order for the regulatory changes to generate a net benefit, the proposed risk management program framework would need to contribute to the prevention of approximately 1 low scenario incident every </w:t>
      </w:r>
      <w:r w:rsidR="00245FF7">
        <w:t>7</w:t>
      </w:r>
      <w:r w:rsidRPr="006507C0">
        <w:t xml:space="preserve"> year</w:t>
      </w:r>
      <w:r w:rsidR="00245FF7">
        <w:t>s</w:t>
      </w:r>
      <w:r w:rsidRPr="006507C0">
        <w:t xml:space="preserve">, </w:t>
      </w:r>
      <w:r w:rsidR="00245FF7">
        <w:t>1</w:t>
      </w:r>
      <w:r w:rsidRPr="006507C0">
        <w:t xml:space="preserve"> moderate scenario incident every </w:t>
      </w:r>
      <w:r w:rsidR="00245FF7">
        <w:t xml:space="preserve">12.5 </w:t>
      </w:r>
      <w:r w:rsidRPr="006507C0">
        <w:t>year</w:t>
      </w:r>
      <w:r w:rsidR="00245FF7">
        <w:t>s</w:t>
      </w:r>
      <w:r w:rsidRPr="006507C0">
        <w:t xml:space="preserve"> or 1 severe scenario every </w:t>
      </w:r>
      <w:r w:rsidR="00C54EE4">
        <w:t>20</w:t>
      </w:r>
      <w:r w:rsidRPr="006507C0">
        <w:t xml:space="preserve"> years to generate a net benefit.</w:t>
      </w:r>
      <w:r w:rsidRPr="00E9705C">
        <w:t xml:space="preserve"> </w:t>
      </w:r>
    </w:p>
    <w:p w14:paraId="71A2915C" w14:textId="77777777" w:rsidR="0013202C" w:rsidRPr="00E9705C" w:rsidRDefault="0013202C" w:rsidP="00CD6FF2">
      <w:pPr>
        <w:pStyle w:val="BodyText"/>
        <w:rPr>
          <w:rFonts w:eastAsia="Arial"/>
        </w:rPr>
      </w:pPr>
      <w:r w:rsidRPr="00E9705C">
        <w:t xml:space="preserve">It is important to note that the economic analysis of the above scenarios does not incorporate all direct avoided costs incurred by all future incidents. The avoided costs included are only those which were directly and immediately incurred as a result of the South Australian incident. In the broader context of a potential future disruption, in addition to the above estimate of benefits would be the avoided costs of recovery (repair costs, costs of resulting mitigations) from high value, specific circumstances which were not experienced during the South Australian blackout.  </w:t>
      </w:r>
    </w:p>
    <w:p w14:paraId="04AF5D4D" w14:textId="77777777" w:rsidR="0013202C" w:rsidRPr="00E9705C" w:rsidRDefault="0013202C" w:rsidP="00CD6FF2">
      <w:pPr>
        <w:pStyle w:val="BodyText"/>
        <w:rPr>
          <w:rFonts w:eastAsia="Calibri"/>
        </w:rPr>
      </w:pPr>
      <w:r w:rsidRPr="00E9705C">
        <w:lastRenderedPageBreak/>
        <w:t xml:space="preserve">Further, the increasing frequency of incidents as described in section 1.1 makes the proposed risk management program framework more certain over time to exceed the anticipated costs. </w:t>
      </w:r>
      <w:r w:rsidRPr="00E9705C">
        <w:rPr>
          <w:rFonts w:eastAsia="Calibri"/>
        </w:rPr>
        <w:t>The examples referred to in that section demonstrate the increasing need for adequate protections against the security and resilience of critical e</w:t>
      </w:r>
      <w:r w:rsidR="00811564">
        <w:rPr>
          <w:rFonts w:eastAsia="Calibri"/>
        </w:rPr>
        <w:t>nergy market operator</w:t>
      </w:r>
      <w:r w:rsidRPr="00E9705C">
        <w:rPr>
          <w:rFonts w:eastAsia="Calibri"/>
        </w:rPr>
        <w:t xml:space="preserve"> assets, and the increased likelihood that the benefits of the draft risk management program framework will exceed the costs outlined in this section.</w:t>
      </w:r>
    </w:p>
    <w:p w14:paraId="569B1595" w14:textId="77777777" w:rsidR="0013202C" w:rsidRPr="00180A8F" w:rsidRDefault="0013202C" w:rsidP="00CD6FF2">
      <w:pPr>
        <w:pStyle w:val="AppendixH2"/>
      </w:pPr>
      <w:r w:rsidRPr="00180A8F">
        <w:t>Assessment of likely net benefit</w:t>
      </w:r>
    </w:p>
    <w:p w14:paraId="1697E154" w14:textId="77777777" w:rsidR="0013202C" w:rsidRPr="00E9705C" w:rsidRDefault="0013202C" w:rsidP="00CD6FF2">
      <w:pPr>
        <w:pStyle w:val="BodyText"/>
      </w:pPr>
      <w:r w:rsidRPr="00E9705C">
        <w:t xml:space="preserve">The likely benefits of option 2 will be at least (and are expected to be more than) the costs of the regulation. This is primarily because, as described above and throughout this RIS, the frequency and severity of all hazard risks for critical </w:t>
      </w:r>
      <w:r w:rsidR="0037063F">
        <w:t>energy market operator</w:t>
      </w:r>
      <w:r w:rsidRPr="00E9705C">
        <w:t xml:space="preserve"> assets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 </w:t>
      </w:r>
    </w:p>
    <w:p w14:paraId="5BAC1214" w14:textId="77777777" w:rsidR="0013202C" w:rsidRPr="00E9705C" w:rsidRDefault="0013202C" w:rsidP="00B54B62">
      <w:pPr>
        <w:pStyle w:val="BodyText"/>
        <w:spacing w:before="60" w:after="60"/>
      </w:pPr>
      <w:r w:rsidRPr="00E9705C">
        <w:t>Further, through pursuit of option 2, the identification, mitigation and remediation of such hazards, should they occur, will be improved through:</w:t>
      </w:r>
    </w:p>
    <w:p w14:paraId="733E7CCD" w14:textId="77777777" w:rsidR="0013202C" w:rsidRPr="00CD6FF2" w:rsidRDefault="0013202C" w:rsidP="00CD6FF2">
      <w:pPr>
        <w:pStyle w:val="Bullet1stlevel"/>
      </w:pPr>
      <w:r w:rsidRPr="00CD6FF2">
        <w:t xml:space="preserve">Lowering the material risk of hazards and subsequent impacts of those hazards, as they manifest for critical </w:t>
      </w:r>
      <w:r w:rsidR="00041702" w:rsidRPr="00CD6FF2">
        <w:t>energy market operator</w:t>
      </w:r>
      <w:r w:rsidRPr="00CD6FF2">
        <w:t xml:space="preserve"> assets; </w:t>
      </w:r>
    </w:p>
    <w:p w14:paraId="3F46C81F" w14:textId="77777777" w:rsidR="0013202C" w:rsidRPr="00CD6FF2" w:rsidRDefault="0013202C" w:rsidP="00CD6FF2">
      <w:pPr>
        <w:pStyle w:val="Bullet1stlevel"/>
      </w:pPr>
      <w:r w:rsidRPr="00CD6FF2">
        <w:t xml:space="preserve">Ensuring that adoption of the risk management program framework for critical </w:t>
      </w:r>
      <w:r w:rsidR="00041702" w:rsidRPr="00CD6FF2">
        <w:t>energy market operator</w:t>
      </w:r>
      <w:r w:rsidRPr="00CD6FF2">
        <w:t xml:space="preserve"> assets is reasonable and proportionate to the purpose of the program; </w:t>
      </w:r>
    </w:p>
    <w:p w14:paraId="19782CA6" w14:textId="77777777" w:rsidR="0013202C" w:rsidRPr="00CD6FF2" w:rsidRDefault="0013202C" w:rsidP="00CD6FF2">
      <w:pPr>
        <w:pStyle w:val="Bullet1stlevel"/>
      </w:pPr>
      <w:r w:rsidRPr="00CD6FF2">
        <w:t xml:space="preserve">Avoiding regulatory duplication and facilitating a coordinated uplift in responsible entities’ compliance with relevant standards; and </w:t>
      </w:r>
    </w:p>
    <w:p w14:paraId="3255988C" w14:textId="77777777" w:rsidR="0013202C" w:rsidRPr="00E9705C" w:rsidRDefault="0013202C" w:rsidP="00CD6FF2">
      <w:pPr>
        <w:pStyle w:val="Bullet1stlevel"/>
      </w:pPr>
      <w:r w:rsidRPr="00CD6FF2">
        <w:t>Improving</w:t>
      </w:r>
      <w:r w:rsidRPr="00E9705C">
        <w:t xml:space="preserve"> Government’s visibility over the security and resilience of critical </w:t>
      </w:r>
      <w:r w:rsidR="00041702">
        <w:t>energy market operator</w:t>
      </w:r>
      <w:r w:rsidRPr="00E9705C">
        <w:t xml:space="preserve"> assets. </w:t>
      </w:r>
    </w:p>
    <w:p w14:paraId="18CA0E33" w14:textId="63A2CEDB" w:rsidR="00493204" w:rsidRDefault="0013202C" w:rsidP="00CD6FF2">
      <w:pPr>
        <w:pStyle w:val="BodyText"/>
      </w:pPr>
      <w:r w:rsidRPr="009E5E16">
        <w:t>Overall, these factors and the specific costs and benefits described above mean the likely net benefit associated with option 2 is high.</w:t>
      </w:r>
    </w:p>
    <w:p w14:paraId="77E688F6" w14:textId="77777777" w:rsidR="005C09C9" w:rsidRDefault="005C09C9" w:rsidP="00CD6FF2">
      <w:pPr>
        <w:pStyle w:val="BodyText"/>
      </w:pPr>
    </w:p>
    <w:p w14:paraId="61F87B9F" w14:textId="77777777" w:rsidR="00493204" w:rsidRDefault="00493204">
      <w:pPr>
        <w:spacing w:before="80" w:after="80"/>
        <w:rPr>
          <w:rFonts w:cstheme="majorHAnsi"/>
          <w:sz w:val="22"/>
          <w:szCs w:val="28"/>
        </w:rPr>
      </w:pPr>
      <w:r>
        <w:br w:type="page"/>
      </w:r>
    </w:p>
    <w:p w14:paraId="7323C085" w14:textId="1D54FD9E" w:rsidR="00824B94" w:rsidRPr="00925E1F" w:rsidRDefault="00493204" w:rsidP="00CD6FF2">
      <w:pPr>
        <w:pStyle w:val="BodyText"/>
        <w:rPr>
          <w:rFonts w:cs="Times New Roman"/>
          <w:szCs w:val="24"/>
          <w:lang w:eastAsia="en-AU"/>
        </w:rPr>
      </w:pPr>
      <w:r w:rsidRPr="00E73273">
        <w:rPr>
          <w:noProof/>
          <w:lang w:eastAsia="en-AU"/>
        </w:rPr>
        <w:lastRenderedPageBreak/>
        <mc:AlternateContent>
          <mc:Choice Requires="wps">
            <w:drawing>
              <wp:anchor distT="0" distB="0" distL="114300" distR="114300" simplePos="0" relativeHeight="251661312" behindDoc="1" locked="0" layoutInCell="1" allowOverlap="1" wp14:anchorId="6092514A" wp14:editId="152698DF">
                <wp:simplePos x="0" y="0"/>
                <wp:positionH relativeFrom="page">
                  <wp:posOffset>-2540</wp:posOffset>
                </wp:positionH>
                <wp:positionV relativeFrom="margin">
                  <wp:posOffset>-1384935</wp:posOffset>
                </wp:positionV>
                <wp:extent cx="7560000" cy="10692000"/>
                <wp:effectExtent l="0" t="0" r="3175" b="0"/>
                <wp:wrapNone/>
                <wp:docPr id="195" name="Rectangle 195"/>
                <wp:cNvGraphicFramePr/>
                <a:graphic xmlns:a="http://schemas.openxmlformats.org/drawingml/2006/main">
                  <a:graphicData uri="http://schemas.microsoft.com/office/word/2010/wordprocessingShape">
                    <wps:wsp>
                      <wps:cNvSpPr/>
                      <wps:spPr>
                        <a:xfrm>
                          <a:off x="0" y="0"/>
                          <a:ext cx="7560000" cy="10692000"/>
                        </a:xfrm>
                        <a:prstGeom prst="rect">
                          <a:avLst/>
                        </a:prstGeom>
                        <a:gradFill flip="none" rotWithShape="1">
                          <a:gsLst>
                            <a:gs pos="0">
                              <a:schemeClr val="accent1"/>
                            </a:gs>
                            <a:gs pos="100000">
                              <a:schemeClr val="accent2"/>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E49090" id="Rectangle 195" o:spid="_x0000_s1026" style="position:absolute;margin-left:-.2pt;margin-top:-109.05pt;width:595.3pt;height:841.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" fillcolor="#034ea2 [3204]" stroked="f" strokeweight="2pt">
                <v:fill color2="#007bc3 [3205]" rotate="t" angle="45" focus="100%" type="gradient"/>
                <w10:wrap anchorx="page" anchory="margin"/>
              </v:rect>
            </w:pict>
          </mc:Fallback>
        </mc:AlternateContent>
      </w:r>
    </w:p>
    <w:p w14:paraId="0941FA9B" w14:textId="38235BE6" w:rsidR="00D10054" w:rsidRDefault="00D10054" w:rsidP="00D10054">
      <w:pPr>
        <w:pStyle w:val="AppendixH1"/>
      </w:pPr>
      <w:bookmarkStart w:id="665" w:name="_Toc94610327"/>
      <w:bookmarkStart w:id="666" w:name="_Toc121397434"/>
      <w:r w:rsidRPr="008D154D">
        <w:lastRenderedPageBreak/>
        <w:t>Detailed costing information for critical freight infrastructure and critical freight services assets</w:t>
      </w:r>
      <w:bookmarkEnd w:id="665"/>
      <w:bookmarkEnd w:id="666"/>
    </w:p>
    <w:p w14:paraId="1F8A0447" w14:textId="77777777" w:rsidR="00996FE9" w:rsidRPr="00D450CF" w:rsidRDefault="00996FE9" w:rsidP="00996FE9">
      <w:pPr>
        <w:pStyle w:val="AppendixH2"/>
        <w:spacing w:after="120"/>
      </w:pPr>
      <w:r w:rsidRPr="00D450CF">
        <w:t xml:space="preserve">Costing process completed by responsible entities for critical </w:t>
      </w:r>
      <w:r>
        <w:t>freight infrastructure and critical freight services</w:t>
      </w:r>
      <w:r w:rsidRPr="00D450CF">
        <w:t xml:space="preserve"> assets</w:t>
      </w:r>
    </w:p>
    <w:p w14:paraId="0CD2D7B6" w14:textId="77777777" w:rsidR="00996FE9" w:rsidRDefault="00996FE9" w:rsidP="00996FE9">
      <w:pPr>
        <w:pStyle w:val="BodyText"/>
      </w:pPr>
      <w:r>
        <w:t xml:space="preserve">Cost submissions were received from 5 responsible entities for critical freight infrastructure and critical freight </w:t>
      </w:r>
      <w:r w:rsidRPr="0013613A">
        <w:t>services</w:t>
      </w:r>
      <w:r>
        <w:t xml:space="preserve"> assets. This represented approximately 32.2% of the total critical freight infrastructure and critical freight services asset market.</w:t>
      </w:r>
    </w:p>
    <w:p w14:paraId="5D300D0F" w14:textId="77777777" w:rsidR="009969BD" w:rsidRPr="009969BD" w:rsidRDefault="009969BD" w:rsidP="009969BD">
      <w:pPr>
        <w:keepNext/>
        <w:keepLines/>
        <w:tabs>
          <w:tab w:val="left" w:pos="851"/>
        </w:tabs>
        <w:spacing w:before="360" w:after="240"/>
        <w:outlineLvl w:val="1"/>
        <w:rPr>
          <w:rFonts w:asciiTheme="majorHAnsi" w:eastAsia="Times New Roman" w:hAnsiTheme="majorHAnsi" w:cs="Arial"/>
          <w:b/>
          <w:bCs/>
          <w:color w:val="007BC3" w:themeColor="accent2"/>
          <w:sz w:val="28"/>
          <w:szCs w:val="28"/>
          <w:lang w:eastAsia="en-AU"/>
        </w:rPr>
      </w:pPr>
      <w:r w:rsidRPr="009969BD">
        <w:rPr>
          <w:rFonts w:asciiTheme="majorHAnsi" w:eastAsia="Times New Roman" w:hAnsiTheme="majorHAnsi" w:cs="Arial"/>
          <w:b/>
          <w:bCs/>
          <w:color w:val="007BC3" w:themeColor="accent2"/>
          <w:sz w:val="28"/>
          <w:szCs w:val="28"/>
          <w:lang w:eastAsia="en-AU"/>
        </w:rPr>
        <w:t xml:space="preserve">Likely net benefit – option 2 </w:t>
      </w:r>
    </w:p>
    <w:p w14:paraId="1771D909" w14:textId="77777777" w:rsidR="009969BD" w:rsidRPr="009969BD" w:rsidRDefault="009969BD" w:rsidP="009969BD">
      <w:pPr>
        <w:rPr>
          <w:rFonts w:eastAsia="Calibri" w:cstheme="majorHAnsi"/>
          <w:sz w:val="22"/>
          <w:szCs w:val="28"/>
        </w:rPr>
      </w:pPr>
      <w:r w:rsidRPr="009969BD">
        <w:rPr>
          <w:rFonts w:cstheme="majorHAnsi"/>
          <w:sz w:val="22"/>
          <w:szCs w:val="28"/>
        </w:rPr>
        <w:t xml:space="preserve">The following section details the costs and benefits associated with option 2 (the regulatory option), before assessing the overall likely net benefit presented by this option. </w:t>
      </w:r>
    </w:p>
    <w:p w14:paraId="1B96A2F2" w14:textId="77777777" w:rsidR="00F775C3" w:rsidRPr="00F775C3" w:rsidRDefault="00F775C3" w:rsidP="00F775C3">
      <w:pPr>
        <w:keepNext/>
        <w:keepLines/>
        <w:tabs>
          <w:tab w:val="left" w:pos="851"/>
        </w:tabs>
        <w:spacing w:before="360" w:after="240"/>
        <w:outlineLvl w:val="1"/>
        <w:rPr>
          <w:rFonts w:asciiTheme="majorHAnsi" w:eastAsia="Times New Roman" w:hAnsiTheme="majorHAnsi" w:cs="Arial"/>
          <w:b/>
          <w:bCs/>
          <w:color w:val="007BC3" w:themeColor="accent2"/>
          <w:sz w:val="28"/>
          <w:szCs w:val="28"/>
          <w:lang w:eastAsia="en-AU"/>
        </w:rPr>
      </w:pPr>
      <w:r w:rsidRPr="00F775C3">
        <w:rPr>
          <w:rFonts w:asciiTheme="majorHAnsi" w:eastAsia="Times New Roman" w:hAnsiTheme="majorHAnsi" w:cs="Arial"/>
          <w:b/>
          <w:bCs/>
          <w:color w:val="007BC3" w:themeColor="accent2"/>
          <w:sz w:val="28"/>
          <w:szCs w:val="28"/>
          <w:lang w:eastAsia="en-AU"/>
        </w:rPr>
        <w:t>Costs of option 2</w:t>
      </w:r>
    </w:p>
    <w:p w14:paraId="7CF5D37C" w14:textId="77777777" w:rsidR="00F775C3" w:rsidRPr="00F775C3" w:rsidRDefault="00F775C3" w:rsidP="00F775C3">
      <w:pPr>
        <w:rPr>
          <w:rFonts w:cstheme="majorHAnsi"/>
          <w:sz w:val="22"/>
          <w:szCs w:val="28"/>
        </w:rPr>
      </w:pPr>
      <w:r w:rsidRPr="00F775C3">
        <w:rPr>
          <w:rFonts w:cstheme="majorHAnsi"/>
          <w:sz w:val="22"/>
          <w:szCs w:val="28"/>
        </w:rPr>
        <w:t>There are multiple factors affecting the regulatory burden for each entity, including their existing risk management practices and capabilities, the nature of the critical freight infrastructure and critical freight services they operate and the size of their operations. In collecting cost information from entities across critical freight infrastructure and critical freight services, this variance in cost impact has been captured and reflected in the estimates of total cost across critical freight infrastructure and critical freight services assets included in this RIS.</w:t>
      </w:r>
    </w:p>
    <w:p w14:paraId="7DBF3760" w14:textId="77777777" w:rsidR="00F775C3" w:rsidRPr="00F775C3" w:rsidRDefault="00F775C3" w:rsidP="00F775C3">
      <w:pPr>
        <w:rPr>
          <w:rFonts w:cstheme="majorHAnsi"/>
          <w:sz w:val="22"/>
          <w:szCs w:val="28"/>
        </w:rPr>
      </w:pPr>
      <w:r w:rsidRPr="00F775C3">
        <w:rPr>
          <w:rFonts w:cstheme="majorHAnsi"/>
          <w:sz w:val="22"/>
          <w:szCs w:val="28"/>
        </w:rPr>
        <w:t xml:space="preserve">When estimating the cost of compliance with option 2, critical freight infrastructure and critical freight services asset entities provided both an expected and a high-cost estimate. The high-cost estimate was provided as a way to measure the uncertainty associated with their estimates and the highest feasible cost of option 2. The expected estimate was used as the basis for determining the net benefit of option 2 in section 4. </w:t>
      </w:r>
    </w:p>
    <w:p w14:paraId="2BBC5D7B" w14:textId="77777777" w:rsidR="00F775C3" w:rsidRPr="00F775C3" w:rsidRDefault="00F775C3" w:rsidP="00F775C3">
      <w:pPr>
        <w:rPr>
          <w:rFonts w:cstheme="majorHAnsi"/>
          <w:sz w:val="22"/>
          <w:szCs w:val="28"/>
        </w:rPr>
      </w:pPr>
      <w:r w:rsidRPr="00F775C3">
        <w:rPr>
          <w:rFonts w:cstheme="majorHAnsi"/>
          <w:sz w:val="22"/>
          <w:szCs w:val="28"/>
        </w:rPr>
        <w:t xml:space="preserve">Using the expected and the high estimate as a range, the cost of compliance is as follows: </w:t>
      </w:r>
    </w:p>
    <w:p w14:paraId="745AF80B" w14:textId="16834894" w:rsidR="00F775C3" w:rsidRPr="00F775C3" w:rsidRDefault="00F775C3" w:rsidP="00F775C3">
      <w:pPr>
        <w:numPr>
          <w:ilvl w:val="0"/>
          <w:numId w:val="57"/>
        </w:numPr>
        <w:rPr>
          <w:rFonts w:cstheme="majorBidi"/>
          <w:sz w:val="22"/>
        </w:rPr>
      </w:pPr>
      <w:r w:rsidRPr="7EBB1CEE">
        <w:rPr>
          <w:rFonts w:cstheme="majorBidi"/>
          <w:sz w:val="22"/>
        </w:rPr>
        <w:t>A one-off regulatory cost of between $</w:t>
      </w:r>
      <w:r w:rsidR="00D65420">
        <w:rPr>
          <w:rFonts w:cstheme="majorBidi"/>
          <w:sz w:val="22"/>
        </w:rPr>
        <w:t>60</w:t>
      </w:r>
      <w:r w:rsidRPr="7EBB1CEE">
        <w:rPr>
          <w:rFonts w:cstheme="majorBidi"/>
          <w:sz w:val="22"/>
        </w:rPr>
        <w:t>.9 (expected) and $1</w:t>
      </w:r>
      <w:r w:rsidR="008165A8">
        <w:rPr>
          <w:rFonts w:cstheme="majorBidi"/>
          <w:sz w:val="22"/>
        </w:rPr>
        <w:t>63.9</w:t>
      </w:r>
      <w:r w:rsidRPr="7EBB1CEE">
        <w:rPr>
          <w:rFonts w:cstheme="majorBidi"/>
          <w:sz w:val="22"/>
        </w:rPr>
        <w:t xml:space="preserve"> million (high estimate), across critical freight infrastructure and critical freight services assets nationally; and </w:t>
      </w:r>
    </w:p>
    <w:p w14:paraId="60EABF52" w14:textId="15B27AE7" w:rsidR="00F775C3" w:rsidRPr="00F775C3" w:rsidRDefault="00F775C3" w:rsidP="00F775C3">
      <w:pPr>
        <w:numPr>
          <w:ilvl w:val="0"/>
          <w:numId w:val="57"/>
        </w:numPr>
        <w:rPr>
          <w:rFonts w:cstheme="majorBidi"/>
          <w:sz w:val="22"/>
        </w:rPr>
      </w:pPr>
      <w:r w:rsidRPr="7EBB1CEE">
        <w:rPr>
          <w:rFonts w:cstheme="majorBidi"/>
          <w:sz w:val="22"/>
        </w:rPr>
        <w:t>An ongoing cost of between $</w:t>
      </w:r>
      <w:r w:rsidR="008165A8">
        <w:rPr>
          <w:rFonts w:cstheme="majorBidi"/>
          <w:sz w:val="22"/>
        </w:rPr>
        <w:t>50.</w:t>
      </w:r>
      <w:r w:rsidR="008A1AA0">
        <w:rPr>
          <w:rFonts w:cstheme="majorBidi"/>
          <w:sz w:val="22"/>
        </w:rPr>
        <w:t>0</w:t>
      </w:r>
      <w:r w:rsidRPr="7EBB1CEE">
        <w:rPr>
          <w:rFonts w:cstheme="majorBidi"/>
          <w:sz w:val="22"/>
        </w:rPr>
        <w:t xml:space="preserve"> (expected) and $</w:t>
      </w:r>
      <w:r w:rsidR="008165A8">
        <w:rPr>
          <w:rFonts w:cstheme="majorBidi"/>
          <w:sz w:val="22"/>
        </w:rPr>
        <w:t>71.0</w:t>
      </w:r>
      <w:r w:rsidRPr="7EBB1CEE">
        <w:rPr>
          <w:rFonts w:cstheme="majorBidi"/>
          <w:sz w:val="22"/>
        </w:rPr>
        <w:t xml:space="preserve"> million (high estimate) per year, across critical freight infrastructure and critical freight services assets nationally. </w:t>
      </w:r>
    </w:p>
    <w:p w14:paraId="28BA9A69" w14:textId="02C0F47F" w:rsidR="00F775C3" w:rsidRPr="00F775C3" w:rsidRDefault="00F775C3" w:rsidP="00F775C3">
      <w:pPr>
        <w:rPr>
          <w:rFonts w:cstheme="majorHAnsi"/>
          <w:sz w:val="22"/>
          <w:szCs w:val="28"/>
        </w:rPr>
      </w:pPr>
      <w:r w:rsidRPr="00F775C3">
        <w:rPr>
          <w:rFonts w:cstheme="majorHAnsi"/>
          <w:sz w:val="22"/>
          <w:szCs w:val="28"/>
        </w:rPr>
        <w:t>The average cost of compliance for each entity is estimated at $</w:t>
      </w:r>
      <w:r w:rsidR="008A1AA0">
        <w:rPr>
          <w:rFonts w:cstheme="majorHAnsi"/>
          <w:sz w:val="22"/>
          <w:szCs w:val="28"/>
        </w:rPr>
        <w:t>2</w:t>
      </w:r>
      <w:r w:rsidRPr="00F775C3">
        <w:rPr>
          <w:rFonts w:cstheme="majorHAnsi"/>
          <w:sz w:val="22"/>
          <w:szCs w:val="28"/>
        </w:rPr>
        <w:t xml:space="preserve">.3 million in </w:t>
      </w:r>
      <w:r w:rsidR="006B6176">
        <w:rPr>
          <w:rFonts w:cstheme="majorHAnsi"/>
          <w:sz w:val="22"/>
          <w:szCs w:val="28"/>
        </w:rPr>
        <w:t>ongoing</w:t>
      </w:r>
      <w:r w:rsidRPr="00F775C3">
        <w:rPr>
          <w:rFonts w:cstheme="majorHAnsi"/>
          <w:sz w:val="22"/>
          <w:szCs w:val="28"/>
        </w:rPr>
        <w:t xml:space="preserve"> costs and $</w:t>
      </w:r>
      <w:r w:rsidR="009E54B9">
        <w:rPr>
          <w:rFonts w:cstheme="majorHAnsi"/>
          <w:sz w:val="22"/>
          <w:szCs w:val="28"/>
        </w:rPr>
        <w:t>3.</w:t>
      </w:r>
      <w:r w:rsidR="00E114F9">
        <w:rPr>
          <w:rFonts w:cstheme="majorHAnsi"/>
          <w:sz w:val="22"/>
          <w:szCs w:val="28"/>
        </w:rPr>
        <w:t>9</w:t>
      </w:r>
      <w:r w:rsidRPr="00F775C3">
        <w:rPr>
          <w:rFonts w:cstheme="majorHAnsi"/>
          <w:sz w:val="22"/>
          <w:szCs w:val="28"/>
        </w:rPr>
        <w:t xml:space="preserve"> million per year in </w:t>
      </w:r>
      <w:r w:rsidR="006B6176">
        <w:rPr>
          <w:rFonts w:cstheme="majorHAnsi"/>
          <w:sz w:val="22"/>
          <w:szCs w:val="28"/>
        </w:rPr>
        <w:t>one-off</w:t>
      </w:r>
      <w:r w:rsidRPr="00F775C3">
        <w:rPr>
          <w:rFonts w:cstheme="majorHAnsi"/>
          <w:sz w:val="22"/>
          <w:szCs w:val="28"/>
        </w:rPr>
        <w:t xml:space="preserve"> costs.</w:t>
      </w:r>
    </w:p>
    <w:p w14:paraId="19C27E05" w14:textId="77777777" w:rsidR="00F775C3" w:rsidRPr="00F775C3" w:rsidRDefault="00F775C3" w:rsidP="00F775C3">
      <w:pPr>
        <w:rPr>
          <w:rFonts w:cstheme="majorHAnsi"/>
          <w:sz w:val="22"/>
          <w:szCs w:val="28"/>
        </w:rPr>
      </w:pPr>
      <w:r w:rsidRPr="00F775C3">
        <w:rPr>
          <w:rFonts w:cstheme="majorHAnsi"/>
          <w:sz w:val="22"/>
          <w:szCs w:val="28"/>
        </w:rPr>
        <w:t>The cost of regulation will be borne by entities responsible for critical freight infrastructure and critical freight services who meet the relevant thresholds. Community organisations and individuals will not be directly affected but there will likely be indirect costs passed onto consumers. For the purposes of this RIS, the cost of regulation in the table below will only include the initial costs associated with regulation.</w:t>
      </w:r>
      <w:r w:rsidRPr="00F775C3">
        <w:rPr>
          <w:rFonts w:ascii="Arial" w:eastAsia="Calibri" w:hAnsi="Arial" w:cs="Arial"/>
          <w:sz w:val="22"/>
          <w:szCs w:val="28"/>
          <w:vertAlign w:val="superscript"/>
        </w:rPr>
        <w:footnoteReference w:id="392"/>
      </w:r>
      <w:r w:rsidRPr="00F775C3">
        <w:rPr>
          <w:rFonts w:cstheme="majorHAnsi"/>
          <w:sz w:val="22"/>
          <w:szCs w:val="28"/>
        </w:rPr>
        <w:t xml:space="preserve"> </w:t>
      </w:r>
      <w:r w:rsidRPr="00F775C3">
        <w:rPr>
          <w:rFonts w:eastAsia="Times New Roman" w:cstheme="majorHAnsi"/>
          <w:sz w:val="22"/>
          <w:szCs w:val="28"/>
        </w:rPr>
        <w:t>The indirect cost to consumers and communities has been addressed in the economic analysis through consideration of indirect cost to the wider economy as a result of the proposed RMP framework.</w:t>
      </w:r>
    </w:p>
    <w:p w14:paraId="5569516B" w14:textId="77777777" w:rsidR="00F775C3" w:rsidRPr="00F775C3" w:rsidRDefault="00F775C3" w:rsidP="00F775C3">
      <w:pPr>
        <w:keepNext/>
        <w:tabs>
          <w:tab w:val="left" w:pos="1134"/>
        </w:tabs>
        <w:spacing w:before="240"/>
        <w:rPr>
          <w:i/>
          <w:color w:val="034EA2" w:themeColor="accent1"/>
          <w:sz w:val="18"/>
          <w:szCs w:val="18"/>
          <w:lang w:eastAsia="en-AU"/>
        </w:rPr>
      </w:pPr>
      <w:r w:rsidRPr="00F775C3">
        <w:rPr>
          <w:i/>
          <w:color w:val="034EA2" w:themeColor="accent1"/>
          <w:sz w:val="18"/>
          <w:szCs w:val="18"/>
          <w:lang w:eastAsia="en-AU"/>
        </w:rPr>
        <w:lastRenderedPageBreak/>
        <w:t>Regulatory cost estimate</w:t>
      </w:r>
    </w:p>
    <w:tbl>
      <w:tblPr>
        <w:tblStyle w:val="DHATable3"/>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930"/>
        <w:gridCol w:w="1926"/>
        <w:gridCol w:w="1928"/>
        <w:gridCol w:w="1928"/>
        <w:gridCol w:w="1926"/>
      </w:tblGrid>
      <w:tr w:rsidR="00F775C3" w:rsidRPr="00F775C3" w14:paraId="18CBD35C" w14:textId="77777777" w:rsidTr="00C650A1">
        <w:tc>
          <w:tcPr>
            <w:tcW w:w="1002" w:type="pct"/>
            <w:vMerge w:val="restart"/>
            <w:shd w:val="clear" w:color="auto" w:fill="034EA2" w:themeFill="accent1"/>
            <w:hideMark/>
          </w:tcPr>
          <w:p w14:paraId="44655A46" w14:textId="77777777" w:rsidR="00F775C3" w:rsidRPr="00F775C3" w:rsidRDefault="00F775C3" w:rsidP="00F775C3">
            <w:pPr>
              <w:keepNext/>
              <w:rPr>
                <w:b/>
                <w:color w:val="FFFFFF" w:themeColor="background1"/>
              </w:rPr>
            </w:pPr>
            <w:r w:rsidRPr="00F775C3">
              <w:rPr>
                <w:b/>
                <w:color w:val="FFFFFF" w:themeColor="background1"/>
              </w:rPr>
              <w:t>Cost Type</w:t>
            </w:r>
          </w:p>
        </w:tc>
        <w:tc>
          <w:tcPr>
            <w:tcW w:w="3998" w:type="pct"/>
            <w:gridSpan w:val="4"/>
            <w:shd w:val="clear" w:color="auto" w:fill="034EA2" w:themeFill="accent1"/>
            <w:hideMark/>
          </w:tcPr>
          <w:p w14:paraId="7F45188D" w14:textId="77777777" w:rsidR="00F775C3" w:rsidRPr="00F775C3" w:rsidRDefault="00F775C3" w:rsidP="00F775C3">
            <w:pPr>
              <w:keepNext/>
              <w:rPr>
                <w:b/>
                <w:color w:val="FFFFFF" w:themeColor="background1"/>
              </w:rPr>
            </w:pPr>
            <w:r w:rsidRPr="00F775C3">
              <w:rPr>
                <w:b/>
                <w:color w:val="FFFFFF" w:themeColor="background1"/>
              </w:rPr>
              <w:t>Costs ($ million)</w:t>
            </w:r>
          </w:p>
        </w:tc>
      </w:tr>
      <w:tr w:rsidR="00F775C3" w:rsidRPr="00F775C3" w14:paraId="29408D45" w14:textId="77777777" w:rsidTr="00C650A1">
        <w:tc>
          <w:tcPr>
            <w:tcW w:w="1002" w:type="pct"/>
            <w:vMerge/>
            <w:hideMark/>
          </w:tcPr>
          <w:p w14:paraId="5E7826E5" w14:textId="77777777" w:rsidR="00F775C3" w:rsidRPr="00F775C3" w:rsidRDefault="00F775C3" w:rsidP="00F775C3">
            <w:pPr>
              <w:spacing w:before="60" w:after="60"/>
              <w:rPr>
                <w:rFonts w:eastAsia="MS Mincho" w:cs="Times New Roman"/>
                <w:lang w:val="en-US"/>
              </w:rPr>
            </w:pPr>
          </w:p>
        </w:tc>
        <w:tc>
          <w:tcPr>
            <w:tcW w:w="999" w:type="pct"/>
            <w:shd w:val="clear" w:color="auto" w:fill="DEEAF6"/>
            <w:hideMark/>
          </w:tcPr>
          <w:p w14:paraId="4278FB0E"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Business</w:t>
            </w:r>
          </w:p>
        </w:tc>
        <w:tc>
          <w:tcPr>
            <w:tcW w:w="1000" w:type="pct"/>
            <w:shd w:val="clear" w:color="auto" w:fill="DEEAF6"/>
            <w:hideMark/>
          </w:tcPr>
          <w:p w14:paraId="36441616"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Community</w:t>
            </w:r>
          </w:p>
        </w:tc>
        <w:tc>
          <w:tcPr>
            <w:tcW w:w="1000" w:type="pct"/>
            <w:shd w:val="clear" w:color="auto" w:fill="DEEAF6"/>
          </w:tcPr>
          <w:p w14:paraId="6D102733"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Individuals</w:t>
            </w:r>
          </w:p>
        </w:tc>
        <w:tc>
          <w:tcPr>
            <w:tcW w:w="1000" w:type="pct"/>
            <w:shd w:val="clear" w:color="auto" w:fill="DEEAF6"/>
          </w:tcPr>
          <w:p w14:paraId="1FBCCE3C"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Total cost</w:t>
            </w:r>
          </w:p>
        </w:tc>
      </w:tr>
      <w:tr w:rsidR="00F775C3" w:rsidRPr="00F775C3" w14:paraId="26E32A97" w14:textId="77777777" w:rsidTr="00C650A1">
        <w:tc>
          <w:tcPr>
            <w:tcW w:w="1002" w:type="pct"/>
            <w:shd w:val="clear" w:color="auto" w:fill="F2F2F2" w:themeFill="background1" w:themeFillShade="F2"/>
            <w:hideMark/>
          </w:tcPr>
          <w:p w14:paraId="2C784FC2"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One-off</w:t>
            </w:r>
          </w:p>
        </w:tc>
        <w:tc>
          <w:tcPr>
            <w:tcW w:w="999" w:type="pct"/>
            <w:shd w:val="clear" w:color="auto" w:fill="auto"/>
            <w:hideMark/>
          </w:tcPr>
          <w:p w14:paraId="1E988817" w14:textId="283F34E3" w:rsidR="00F775C3" w:rsidRPr="00F775C3" w:rsidRDefault="007B6521" w:rsidP="00F775C3">
            <w:pPr>
              <w:spacing w:before="60" w:after="60"/>
              <w:rPr>
                <w:rFonts w:eastAsia="MS Mincho" w:cs="Times New Roman"/>
                <w:lang w:val="en-US"/>
              </w:rPr>
            </w:pPr>
            <w:r>
              <w:rPr>
                <w:rFonts w:eastAsia="MS Mincho" w:cs="Times New Roman"/>
                <w:lang w:val="en-US"/>
              </w:rPr>
              <w:t>60</w:t>
            </w:r>
            <w:r w:rsidR="00F775C3" w:rsidRPr="00F775C3">
              <w:rPr>
                <w:rFonts w:eastAsia="MS Mincho" w:cs="Times New Roman"/>
                <w:lang w:val="en-US"/>
              </w:rPr>
              <w:t>.9 to 1</w:t>
            </w:r>
            <w:r>
              <w:rPr>
                <w:rFonts w:eastAsia="MS Mincho" w:cs="Times New Roman"/>
                <w:lang w:val="en-US"/>
              </w:rPr>
              <w:t>63.9</w:t>
            </w:r>
          </w:p>
        </w:tc>
        <w:tc>
          <w:tcPr>
            <w:tcW w:w="1000" w:type="pct"/>
            <w:shd w:val="clear" w:color="auto" w:fill="auto"/>
            <w:hideMark/>
          </w:tcPr>
          <w:p w14:paraId="5CA9A030"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Nil</w:t>
            </w:r>
          </w:p>
        </w:tc>
        <w:tc>
          <w:tcPr>
            <w:tcW w:w="1000" w:type="pct"/>
            <w:shd w:val="clear" w:color="auto" w:fill="auto"/>
          </w:tcPr>
          <w:p w14:paraId="7273365D"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Nil</w:t>
            </w:r>
          </w:p>
        </w:tc>
        <w:tc>
          <w:tcPr>
            <w:tcW w:w="1000" w:type="pct"/>
            <w:shd w:val="clear" w:color="auto" w:fill="auto"/>
          </w:tcPr>
          <w:p w14:paraId="48F98153" w14:textId="24271F85" w:rsidR="00F775C3" w:rsidRPr="00F775C3" w:rsidRDefault="007B6521" w:rsidP="00F775C3">
            <w:pPr>
              <w:spacing w:before="60" w:after="60"/>
              <w:rPr>
                <w:rFonts w:eastAsia="MS Mincho" w:cs="Times New Roman"/>
                <w:lang w:val="en-US"/>
              </w:rPr>
            </w:pPr>
            <w:r>
              <w:rPr>
                <w:rFonts w:eastAsia="MS Mincho" w:cs="Times New Roman"/>
                <w:lang w:val="en-US"/>
              </w:rPr>
              <w:t>60</w:t>
            </w:r>
            <w:r w:rsidR="00F775C3" w:rsidRPr="00F775C3">
              <w:rPr>
                <w:rFonts w:eastAsia="MS Mincho" w:cs="Times New Roman"/>
                <w:lang w:val="en-US"/>
              </w:rPr>
              <w:t xml:space="preserve">.9 to </w:t>
            </w:r>
            <w:r w:rsidRPr="00F775C3">
              <w:rPr>
                <w:rFonts w:eastAsia="MS Mincho" w:cs="Times New Roman"/>
                <w:lang w:val="en-US"/>
              </w:rPr>
              <w:t>1</w:t>
            </w:r>
            <w:r>
              <w:rPr>
                <w:rFonts w:eastAsia="MS Mincho" w:cs="Times New Roman"/>
                <w:lang w:val="en-US"/>
              </w:rPr>
              <w:t>63.9</w:t>
            </w:r>
          </w:p>
        </w:tc>
      </w:tr>
      <w:tr w:rsidR="00F775C3" w:rsidRPr="00F775C3" w14:paraId="48D68EAB" w14:textId="77777777" w:rsidTr="00C650A1">
        <w:tc>
          <w:tcPr>
            <w:tcW w:w="1002" w:type="pct"/>
            <w:shd w:val="clear" w:color="auto" w:fill="F2F2F2" w:themeFill="background1" w:themeFillShade="F2"/>
            <w:hideMark/>
          </w:tcPr>
          <w:p w14:paraId="73E5A9BC"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Ongoing (per year)</w:t>
            </w:r>
          </w:p>
        </w:tc>
        <w:tc>
          <w:tcPr>
            <w:tcW w:w="999" w:type="pct"/>
            <w:shd w:val="clear" w:color="auto" w:fill="auto"/>
            <w:hideMark/>
          </w:tcPr>
          <w:p w14:paraId="4CAD8B0E" w14:textId="4C5704FA" w:rsidR="00F775C3" w:rsidRPr="00F775C3" w:rsidRDefault="007B6521" w:rsidP="00F775C3">
            <w:pPr>
              <w:spacing w:before="60" w:after="60"/>
              <w:rPr>
                <w:rFonts w:eastAsia="MS Mincho" w:cs="Times New Roman"/>
                <w:lang w:val="en-US"/>
              </w:rPr>
            </w:pPr>
            <w:r>
              <w:rPr>
                <w:rFonts w:eastAsia="MS Mincho" w:cs="Times New Roman"/>
                <w:lang w:val="en-US"/>
              </w:rPr>
              <w:t>50.0</w:t>
            </w:r>
            <w:r w:rsidR="00F775C3" w:rsidRPr="00F775C3">
              <w:rPr>
                <w:rFonts w:eastAsia="MS Mincho" w:cs="Times New Roman"/>
                <w:lang w:val="en-US"/>
              </w:rPr>
              <w:t xml:space="preserve"> to </w:t>
            </w:r>
            <w:r>
              <w:rPr>
                <w:rFonts w:eastAsia="MS Mincho" w:cs="Times New Roman"/>
                <w:lang w:val="en-US"/>
              </w:rPr>
              <w:t>71.0</w:t>
            </w:r>
          </w:p>
        </w:tc>
        <w:tc>
          <w:tcPr>
            <w:tcW w:w="1000" w:type="pct"/>
            <w:shd w:val="clear" w:color="auto" w:fill="auto"/>
            <w:hideMark/>
          </w:tcPr>
          <w:p w14:paraId="38BC785F"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Nil</w:t>
            </w:r>
          </w:p>
        </w:tc>
        <w:tc>
          <w:tcPr>
            <w:tcW w:w="1000" w:type="pct"/>
            <w:shd w:val="clear" w:color="auto" w:fill="auto"/>
          </w:tcPr>
          <w:p w14:paraId="316297A6" w14:textId="77777777" w:rsidR="00F775C3" w:rsidRPr="00F775C3" w:rsidRDefault="00F775C3" w:rsidP="00F775C3">
            <w:pPr>
              <w:spacing w:before="60" w:after="60"/>
              <w:rPr>
                <w:rFonts w:eastAsia="MS Mincho" w:cs="Times New Roman"/>
                <w:lang w:val="en-US"/>
              </w:rPr>
            </w:pPr>
            <w:r w:rsidRPr="00F775C3">
              <w:rPr>
                <w:rFonts w:eastAsia="MS Mincho" w:cs="Times New Roman"/>
                <w:lang w:val="en-US"/>
              </w:rPr>
              <w:t>Nil</w:t>
            </w:r>
          </w:p>
        </w:tc>
        <w:tc>
          <w:tcPr>
            <w:tcW w:w="1000" w:type="pct"/>
            <w:shd w:val="clear" w:color="auto" w:fill="auto"/>
          </w:tcPr>
          <w:p w14:paraId="2E608B8E" w14:textId="7C7C53A3" w:rsidR="00F775C3" w:rsidRPr="00F775C3" w:rsidRDefault="007B6521" w:rsidP="00F775C3">
            <w:pPr>
              <w:spacing w:before="60" w:after="60"/>
              <w:rPr>
                <w:rFonts w:eastAsia="MS Mincho" w:cs="Times New Roman"/>
                <w:lang w:val="en-US"/>
              </w:rPr>
            </w:pPr>
            <w:r>
              <w:rPr>
                <w:rFonts w:eastAsia="MS Mincho" w:cs="Times New Roman"/>
                <w:lang w:val="en-US"/>
              </w:rPr>
              <w:t>50.0</w:t>
            </w:r>
            <w:r w:rsidR="00F775C3" w:rsidRPr="00F775C3">
              <w:rPr>
                <w:rFonts w:eastAsia="MS Mincho" w:cs="Times New Roman"/>
                <w:lang w:val="en-US"/>
              </w:rPr>
              <w:t xml:space="preserve"> to </w:t>
            </w:r>
            <w:r>
              <w:rPr>
                <w:rFonts w:eastAsia="MS Mincho" w:cs="Times New Roman"/>
                <w:lang w:val="en-US"/>
              </w:rPr>
              <w:t>71.0</w:t>
            </w:r>
          </w:p>
        </w:tc>
      </w:tr>
    </w:tbl>
    <w:p w14:paraId="6A2C05EB" w14:textId="77777777" w:rsidR="00F775C3" w:rsidRPr="00F775C3" w:rsidRDefault="00F775C3" w:rsidP="00F775C3">
      <w:pPr>
        <w:spacing w:after="240"/>
        <w:rPr>
          <w:rFonts w:ascii="Arial" w:eastAsia="Calibri" w:hAnsi="Arial" w:cs="Arial"/>
          <w:bCs/>
          <w:sz w:val="18"/>
        </w:rPr>
      </w:pPr>
      <w:r w:rsidRPr="00F775C3">
        <w:rPr>
          <w:rFonts w:ascii="Arial" w:eastAsia="Calibri" w:hAnsi="Arial" w:cs="Arial"/>
          <w:b/>
          <w:bCs/>
          <w:sz w:val="18"/>
        </w:rPr>
        <w:t>Note:</w:t>
      </w:r>
      <w:r w:rsidRPr="00F775C3">
        <w:rPr>
          <w:rFonts w:ascii="Arial" w:eastAsia="Calibri" w:hAnsi="Arial" w:cs="Arial"/>
          <w:bCs/>
          <w:sz w:val="18"/>
        </w:rPr>
        <w:t xml:space="preserve"> There will be no direct costs to individuals and communities although price rises may reflect the increased cost of operations as a result of the proposed RMP framework. </w:t>
      </w:r>
    </w:p>
    <w:p w14:paraId="35EBF35F" w14:textId="18F8B8D8" w:rsidR="00F775C3" w:rsidRPr="00F775C3" w:rsidRDefault="00F775C3" w:rsidP="00F775C3">
      <w:pPr>
        <w:rPr>
          <w:rFonts w:cstheme="majorHAnsi"/>
          <w:sz w:val="22"/>
          <w:szCs w:val="28"/>
        </w:rPr>
      </w:pPr>
      <w:r w:rsidRPr="00F775C3">
        <w:rPr>
          <w:rFonts w:cstheme="majorHAnsi"/>
          <w:sz w:val="22"/>
          <w:szCs w:val="28"/>
        </w:rPr>
        <w:t xml:space="preserve">Based on the industry submissions made during consultations, total regulatory costs will be highest for rules and obligations associated with addressing risk RMP obligations in the </w:t>
      </w:r>
      <w:r w:rsidR="00E528EE">
        <w:rPr>
          <w:rFonts w:cstheme="majorHAnsi"/>
          <w:sz w:val="22"/>
          <w:szCs w:val="28"/>
        </w:rPr>
        <w:t>Act</w:t>
      </w:r>
      <w:r w:rsidRPr="00F775C3">
        <w:rPr>
          <w:rFonts w:cstheme="majorHAnsi"/>
          <w:sz w:val="22"/>
          <w:szCs w:val="28"/>
        </w:rPr>
        <w:t>. These costs represent approximately 27.4% of the total cost of implementing the RMP framework. The cost associated with supply chain hazards (22.8% of total cost), cyber and information security hazards (1</w:t>
      </w:r>
      <w:r w:rsidR="003C1E51">
        <w:rPr>
          <w:rFonts w:cstheme="majorHAnsi"/>
          <w:sz w:val="22"/>
          <w:szCs w:val="28"/>
        </w:rPr>
        <w:t>6.9</w:t>
      </w:r>
      <w:r w:rsidRPr="00F775C3">
        <w:rPr>
          <w:rFonts w:cstheme="majorHAnsi"/>
          <w:sz w:val="22"/>
          <w:szCs w:val="28"/>
        </w:rPr>
        <w:t xml:space="preserve">% of total cost) and material risk rules (12.5% of total cost) are less significant but remain material. Compliance costs associated with </w:t>
      </w:r>
      <w:r w:rsidR="00913535">
        <w:rPr>
          <w:rFonts w:cstheme="majorHAnsi"/>
          <w:sz w:val="22"/>
          <w:szCs w:val="28"/>
        </w:rPr>
        <w:t>general</w:t>
      </w:r>
      <w:r w:rsidR="00913535" w:rsidRPr="00F775C3">
        <w:rPr>
          <w:rFonts w:cstheme="majorHAnsi"/>
          <w:sz w:val="22"/>
          <w:szCs w:val="28"/>
        </w:rPr>
        <w:t xml:space="preserve"> </w:t>
      </w:r>
      <w:r w:rsidRPr="00F775C3">
        <w:rPr>
          <w:rFonts w:cstheme="majorHAnsi"/>
          <w:sz w:val="22"/>
          <w:szCs w:val="28"/>
        </w:rPr>
        <w:t>rules, personnel hazards and physical and natural hazards were the least costly aspects of the RMP framework, representing in total approximately 20.</w:t>
      </w:r>
      <w:r w:rsidR="00A23645">
        <w:rPr>
          <w:rFonts w:cstheme="majorHAnsi"/>
          <w:sz w:val="22"/>
          <w:szCs w:val="28"/>
        </w:rPr>
        <w:t>4</w:t>
      </w:r>
      <w:r w:rsidRPr="00F775C3">
        <w:rPr>
          <w:rFonts w:cstheme="majorHAnsi"/>
          <w:sz w:val="22"/>
          <w:szCs w:val="28"/>
        </w:rPr>
        <w:t>% of costs in total. The total regulatory cost by rule/obligation is set out in the table below.</w:t>
      </w:r>
    </w:p>
    <w:p w14:paraId="37E445AD" w14:textId="77777777" w:rsidR="00F775C3" w:rsidRPr="00F775C3" w:rsidRDefault="00F775C3" w:rsidP="00F775C3">
      <w:pPr>
        <w:keepNext/>
        <w:tabs>
          <w:tab w:val="left" w:pos="1134"/>
        </w:tabs>
        <w:spacing w:before="240"/>
        <w:rPr>
          <w:i/>
          <w:color w:val="034EA2" w:themeColor="accent1"/>
          <w:sz w:val="22"/>
          <w:szCs w:val="18"/>
          <w:lang w:eastAsia="en-AU"/>
        </w:rPr>
      </w:pPr>
      <w:r w:rsidRPr="00F775C3">
        <w:rPr>
          <w:i/>
          <w:color w:val="034EA2" w:themeColor="accent1"/>
          <w:sz w:val="18"/>
          <w:szCs w:val="18"/>
          <w:lang w:eastAsia="en-AU"/>
        </w:rPr>
        <w:t>Regulatory burden estimate by rule and obligation for critical freight infrastructure and critical freight services nationally</w:t>
      </w:r>
    </w:p>
    <w:tbl>
      <w:tblPr>
        <w:tblStyle w:val="TableGrid1112"/>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836"/>
        <w:gridCol w:w="1556"/>
        <w:gridCol w:w="1748"/>
        <w:gridCol w:w="1748"/>
        <w:gridCol w:w="1750"/>
      </w:tblGrid>
      <w:tr w:rsidR="00F775C3" w:rsidRPr="00F775C3" w14:paraId="6D8C5E48" w14:textId="77777777" w:rsidTr="00C650A1">
        <w:tc>
          <w:tcPr>
            <w:tcW w:w="1471" w:type="pct"/>
            <w:vMerge w:val="restart"/>
            <w:shd w:val="clear" w:color="auto" w:fill="034EA2" w:themeFill="accent1"/>
            <w:hideMark/>
          </w:tcPr>
          <w:p w14:paraId="4B51C03C" w14:textId="77777777" w:rsidR="00F775C3" w:rsidRPr="00F775C3" w:rsidRDefault="00F775C3" w:rsidP="00F775C3">
            <w:pPr>
              <w:keepNext/>
              <w:rPr>
                <w:rFonts w:asciiTheme="majorHAnsi" w:hAnsiTheme="majorHAnsi" w:cstheme="majorHAnsi"/>
                <w:b/>
                <w:color w:val="FFFFFF" w:themeColor="background1"/>
                <w:lang w:eastAsia="en-AU"/>
              </w:rPr>
            </w:pPr>
            <w:r w:rsidRPr="00F775C3">
              <w:rPr>
                <w:rFonts w:asciiTheme="majorHAnsi" w:hAnsiTheme="majorHAnsi" w:cstheme="majorHAnsi"/>
                <w:b/>
                <w:color w:val="FFFFFF" w:themeColor="background1"/>
                <w:lang w:eastAsia="en-AU"/>
              </w:rPr>
              <w:t>Rule / obligation</w:t>
            </w:r>
          </w:p>
        </w:tc>
        <w:tc>
          <w:tcPr>
            <w:tcW w:w="3529" w:type="pct"/>
            <w:gridSpan w:val="4"/>
            <w:shd w:val="clear" w:color="auto" w:fill="034EA2" w:themeFill="accent1"/>
            <w:hideMark/>
          </w:tcPr>
          <w:p w14:paraId="1A489517" w14:textId="77777777" w:rsidR="00F775C3" w:rsidRPr="00F775C3" w:rsidRDefault="00F775C3" w:rsidP="00F775C3">
            <w:pPr>
              <w:keepNext/>
              <w:rPr>
                <w:rFonts w:asciiTheme="majorHAnsi" w:hAnsiTheme="majorHAnsi" w:cstheme="majorHAnsi"/>
                <w:b/>
                <w:color w:val="FFFFFF" w:themeColor="background1"/>
                <w:lang w:eastAsia="en-AU"/>
              </w:rPr>
            </w:pPr>
            <w:r w:rsidRPr="00F775C3">
              <w:rPr>
                <w:rFonts w:asciiTheme="majorHAnsi" w:hAnsiTheme="majorHAnsi" w:cstheme="majorHAnsi"/>
                <w:b/>
                <w:color w:val="FFFFFF" w:themeColor="background1"/>
                <w:lang w:eastAsia="en-AU"/>
              </w:rPr>
              <w:t>Costs (Expected and High)</w:t>
            </w:r>
          </w:p>
        </w:tc>
      </w:tr>
      <w:tr w:rsidR="00F775C3" w:rsidRPr="00F775C3" w14:paraId="63BEAAA1" w14:textId="77777777" w:rsidTr="00851045">
        <w:tc>
          <w:tcPr>
            <w:tcW w:w="1471" w:type="pct"/>
            <w:vMerge/>
            <w:hideMark/>
          </w:tcPr>
          <w:p w14:paraId="3D09E292"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eastAsia="en-AU"/>
              </w:rPr>
            </w:pPr>
          </w:p>
        </w:tc>
        <w:tc>
          <w:tcPr>
            <w:tcW w:w="807" w:type="pct"/>
            <w:shd w:val="clear" w:color="auto" w:fill="DEEAF6"/>
            <w:hideMark/>
          </w:tcPr>
          <w:p w14:paraId="3F45E2F7" w14:textId="77777777" w:rsidR="00F775C3" w:rsidRPr="00F775C3" w:rsidRDefault="00F775C3" w:rsidP="00F775C3">
            <w:pPr>
              <w:spacing w:before="60" w:after="60"/>
              <w:rPr>
                <w:rFonts w:asciiTheme="majorHAnsi" w:eastAsia="MS Mincho" w:hAnsiTheme="majorHAnsi" w:cstheme="majorHAnsi"/>
                <w:color w:val="000000"/>
                <w:szCs w:val="20"/>
                <w:lang w:val="en-US" w:eastAsia="en-AU"/>
              </w:rPr>
            </w:pPr>
            <w:r w:rsidRPr="00F775C3">
              <w:rPr>
                <w:rFonts w:asciiTheme="majorHAnsi" w:eastAsia="MS Mincho" w:hAnsiTheme="majorHAnsi" w:cstheme="majorHAnsi"/>
                <w:color w:val="000000"/>
                <w:szCs w:val="20"/>
                <w:lang w:val="en-US" w:eastAsia="en-AU"/>
              </w:rPr>
              <w:t>One-off ($ million)</w:t>
            </w:r>
          </w:p>
        </w:tc>
        <w:tc>
          <w:tcPr>
            <w:tcW w:w="907" w:type="pct"/>
            <w:shd w:val="clear" w:color="auto" w:fill="DEEAF6"/>
            <w:hideMark/>
          </w:tcPr>
          <w:p w14:paraId="7720F518" w14:textId="77777777" w:rsidR="00F775C3" w:rsidRPr="00F775C3" w:rsidRDefault="00F775C3" w:rsidP="00F775C3">
            <w:pPr>
              <w:spacing w:before="60" w:after="60"/>
              <w:rPr>
                <w:rFonts w:asciiTheme="majorHAnsi" w:eastAsia="MS Mincho" w:hAnsiTheme="majorHAnsi" w:cstheme="majorHAnsi"/>
                <w:color w:val="000000"/>
                <w:szCs w:val="20"/>
                <w:lang w:val="en-US" w:eastAsia="en-AU"/>
              </w:rPr>
            </w:pPr>
            <w:r w:rsidRPr="00F775C3">
              <w:rPr>
                <w:rFonts w:asciiTheme="majorHAnsi" w:eastAsia="MS Mincho" w:hAnsiTheme="majorHAnsi" w:cstheme="majorHAnsi"/>
                <w:color w:val="000000"/>
                <w:szCs w:val="20"/>
                <w:lang w:val="en-US" w:eastAsia="en-AU"/>
              </w:rPr>
              <w:t>Ongoing</w:t>
            </w:r>
            <w:r w:rsidRPr="00F775C3">
              <w:rPr>
                <w:rFonts w:asciiTheme="majorHAnsi" w:eastAsia="MS Mincho" w:hAnsiTheme="majorHAnsi" w:cstheme="majorHAnsi"/>
                <w:color w:val="000000"/>
                <w:szCs w:val="20"/>
                <w:lang w:val="en-US" w:eastAsia="en-AU"/>
              </w:rPr>
              <w:br/>
              <w:t>(per year, $ million)</w:t>
            </w:r>
          </w:p>
        </w:tc>
        <w:tc>
          <w:tcPr>
            <w:tcW w:w="907" w:type="pct"/>
            <w:shd w:val="clear" w:color="auto" w:fill="DEEAF6"/>
            <w:hideMark/>
          </w:tcPr>
          <w:p w14:paraId="466791FB" w14:textId="77777777" w:rsidR="00F775C3" w:rsidRPr="00F775C3" w:rsidRDefault="00F775C3" w:rsidP="00F775C3">
            <w:pPr>
              <w:spacing w:before="60" w:after="60"/>
              <w:rPr>
                <w:rFonts w:asciiTheme="majorHAnsi" w:eastAsia="MS Mincho" w:hAnsiTheme="majorHAnsi" w:cstheme="majorHAnsi"/>
                <w:color w:val="000000"/>
                <w:szCs w:val="20"/>
                <w:lang w:val="en-US" w:eastAsia="en-AU"/>
              </w:rPr>
            </w:pPr>
            <w:r w:rsidRPr="00F775C3">
              <w:rPr>
                <w:rFonts w:asciiTheme="majorHAnsi" w:eastAsia="MS Mincho" w:hAnsiTheme="majorHAnsi" w:cstheme="majorHAnsi"/>
                <w:color w:val="000000"/>
                <w:szCs w:val="20"/>
                <w:lang w:val="en-US" w:eastAsia="en-AU"/>
              </w:rPr>
              <w:t xml:space="preserve">Total cost </w:t>
            </w:r>
            <w:r w:rsidRPr="00F775C3">
              <w:rPr>
                <w:rFonts w:asciiTheme="majorHAnsi" w:eastAsia="MS Mincho" w:hAnsiTheme="majorHAnsi" w:cstheme="majorHAnsi"/>
                <w:color w:val="000000"/>
                <w:szCs w:val="20"/>
                <w:lang w:val="en-US" w:eastAsia="en-AU"/>
              </w:rPr>
              <w:br/>
              <w:t xml:space="preserve">over 10 years ($ million) </w:t>
            </w:r>
            <w:r w:rsidRPr="00F775C3">
              <w:rPr>
                <w:rFonts w:asciiTheme="majorHAnsi" w:eastAsia="MS Mincho" w:hAnsiTheme="majorHAnsi" w:cstheme="majorHAnsi"/>
                <w:color w:val="000000"/>
                <w:szCs w:val="20"/>
                <w:vertAlign w:val="superscript"/>
                <w:lang w:val="en-US" w:eastAsia="en-AU"/>
              </w:rPr>
              <w:footnoteReference w:id="393"/>
            </w:r>
          </w:p>
        </w:tc>
        <w:tc>
          <w:tcPr>
            <w:tcW w:w="908" w:type="pct"/>
            <w:shd w:val="clear" w:color="auto" w:fill="DEEAF6"/>
            <w:hideMark/>
          </w:tcPr>
          <w:p w14:paraId="0E581231" w14:textId="77777777" w:rsidR="00F775C3" w:rsidRPr="00F775C3" w:rsidRDefault="00F775C3" w:rsidP="00F775C3">
            <w:pPr>
              <w:spacing w:before="60" w:after="60"/>
              <w:rPr>
                <w:rFonts w:asciiTheme="majorHAnsi" w:eastAsia="MS Mincho" w:hAnsiTheme="majorHAnsi" w:cstheme="majorHAnsi"/>
                <w:color w:val="000000"/>
                <w:szCs w:val="20"/>
                <w:lang w:val="en-US" w:eastAsia="en-AU"/>
              </w:rPr>
            </w:pPr>
            <w:r w:rsidRPr="00F775C3">
              <w:rPr>
                <w:rFonts w:asciiTheme="majorHAnsi" w:eastAsia="MS Mincho" w:hAnsiTheme="majorHAnsi" w:cstheme="majorHAnsi"/>
                <w:color w:val="000000"/>
                <w:szCs w:val="20"/>
                <w:lang w:val="en-US" w:eastAsia="en-AU"/>
              </w:rPr>
              <w:t>Expected estimate as a percentage of total (%)</w:t>
            </w:r>
          </w:p>
        </w:tc>
      </w:tr>
      <w:tr w:rsidR="00F775C3" w:rsidRPr="00F775C3" w14:paraId="6AB63832" w14:textId="77777777" w:rsidTr="004C104B">
        <w:tc>
          <w:tcPr>
            <w:tcW w:w="1471" w:type="pct"/>
            <w:shd w:val="clear" w:color="auto" w:fill="F2F2F2" w:themeFill="background1" w:themeFillShade="F2"/>
            <w:hideMark/>
          </w:tcPr>
          <w:p w14:paraId="24A4D19C" w14:textId="18D7F4F6"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 xml:space="preserve">RMP obligations in the </w:t>
            </w:r>
            <w:r w:rsidR="0042463C">
              <w:rPr>
                <w:rFonts w:asciiTheme="majorHAnsi" w:eastAsia="MS Mincho" w:hAnsiTheme="majorHAnsi" w:cstheme="majorHAnsi"/>
                <w:color w:val="000000" w:themeColor="text1"/>
                <w:szCs w:val="20"/>
                <w:lang w:val="en-US"/>
              </w:rPr>
              <w:t>Act</w:t>
            </w:r>
          </w:p>
        </w:tc>
        <w:tc>
          <w:tcPr>
            <w:tcW w:w="807" w:type="pct"/>
            <w:shd w:val="clear" w:color="auto" w:fill="auto"/>
            <w:hideMark/>
          </w:tcPr>
          <w:p w14:paraId="620A0F75" w14:textId="6D4636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13.</w:t>
            </w:r>
            <w:r w:rsidR="00851045" w:rsidRPr="00851045">
              <w:rPr>
                <w:rFonts w:asciiTheme="majorHAnsi" w:eastAsia="MS Mincho" w:hAnsiTheme="majorHAnsi" w:cstheme="majorHAnsi"/>
                <w:color w:val="000000" w:themeColor="text1"/>
                <w:szCs w:val="20"/>
                <w:lang w:val="en-US"/>
              </w:rPr>
              <w:t>4</w:t>
            </w:r>
            <w:r w:rsidRPr="00F775C3">
              <w:rPr>
                <w:rFonts w:asciiTheme="majorHAnsi" w:eastAsia="MS Mincho" w:hAnsiTheme="majorHAnsi" w:cstheme="majorHAnsi"/>
                <w:color w:val="000000" w:themeColor="text1"/>
                <w:szCs w:val="20"/>
                <w:lang w:val="en-US"/>
              </w:rPr>
              <w:t xml:space="preserve"> to </w:t>
            </w:r>
            <w:r w:rsidR="00851045" w:rsidRPr="00851045">
              <w:rPr>
                <w:rFonts w:asciiTheme="majorHAnsi" w:eastAsia="MS Mincho" w:hAnsiTheme="majorHAnsi" w:cstheme="majorHAnsi"/>
                <w:color w:val="000000" w:themeColor="text1"/>
                <w:szCs w:val="20"/>
                <w:lang w:val="en-US"/>
              </w:rPr>
              <w:t>103.2</w:t>
            </w:r>
          </w:p>
        </w:tc>
        <w:tc>
          <w:tcPr>
            <w:tcW w:w="907" w:type="pct"/>
            <w:shd w:val="clear" w:color="auto" w:fill="auto"/>
            <w:vAlign w:val="center"/>
          </w:tcPr>
          <w:p w14:paraId="36FFE7C7" w14:textId="570FE665"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14.</w:t>
            </w:r>
            <w:r w:rsidR="00744311" w:rsidRPr="004C104B">
              <w:rPr>
                <w:rFonts w:asciiTheme="majorHAnsi" w:eastAsia="MS Mincho" w:hAnsiTheme="majorHAnsi" w:cstheme="majorHAnsi"/>
                <w:color w:val="000000" w:themeColor="text1"/>
                <w:szCs w:val="20"/>
                <w:lang w:val="en-US"/>
              </w:rPr>
              <w:t>6</w:t>
            </w:r>
            <w:r w:rsidRPr="00F775C3">
              <w:rPr>
                <w:rFonts w:asciiTheme="majorHAnsi" w:eastAsia="MS Mincho" w:hAnsiTheme="majorHAnsi" w:cstheme="majorHAnsi"/>
                <w:color w:val="000000" w:themeColor="text1"/>
                <w:szCs w:val="20"/>
                <w:lang w:val="en-US"/>
              </w:rPr>
              <w:t xml:space="preserve"> to 33.</w:t>
            </w:r>
            <w:r w:rsidR="00744311" w:rsidRPr="004C104B">
              <w:rPr>
                <w:rFonts w:asciiTheme="majorHAnsi" w:eastAsia="MS Mincho" w:hAnsiTheme="majorHAnsi" w:cstheme="majorHAnsi"/>
                <w:color w:val="000000" w:themeColor="text1"/>
                <w:szCs w:val="20"/>
                <w:lang w:val="en-US"/>
              </w:rPr>
              <w:t>5</w:t>
            </w:r>
          </w:p>
        </w:tc>
        <w:tc>
          <w:tcPr>
            <w:tcW w:w="907" w:type="pct"/>
            <w:shd w:val="clear" w:color="auto" w:fill="auto"/>
          </w:tcPr>
          <w:p w14:paraId="126B82D4" w14:textId="44910E44" w:rsidR="00F775C3" w:rsidRPr="00F775C3" w:rsidRDefault="00744311"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14</w:t>
            </w:r>
            <w:r w:rsidR="004C104B">
              <w:rPr>
                <w:rFonts w:asciiTheme="majorHAnsi" w:eastAsia="MS Mincho" w:hAnsiTheme="majorHAnsi" w:cstheme="majorHAnsi"/>
                <w:color w:val="000000" w:themeColor="text1"/>
                <w:szCs w:val="20"/>
                <w:lang w:val="en-US"/>
              </w:rPr>
              <w:t>4.7</w:t>
            </w:r>
            <w:r w:rsidRPr="00F775C3">
              <w:rPr>
                <w:rFonts w:asciiTheme="majorHAnsi" w:eastAsia="MS Mincho" w:hAnsiTheme="majorHAnsi" w:cstheme="majorHAnsi"/>
                <w:color w:val="000000" w:themeColor="text1"/>
                <w:szCs w:val="20"/>
                <w:lang w:val="en-US"/>
              </w:rPr>
              <w:t xml:space="preserve"> to </w:t>
            </w:r>
            <w:r w:rsidR="007573D2">
              <w:rPr>
                <w:rFonts w:asciiTheme="majorHAnsi" w:eastAsia="MS Mincho" w:hAnsiTheme="majorHAnsi" w:cstheme="majorHAnsi"/>
                <w:color w:val="000000" w:themeColor="text1"/>
                <w:szCs w:val="20"/>
                <w:lang w:val="en-US"/>
              </w:rPr>
              <w:t>404.7</w:t>
            </w:r>
          </w:p>
        </w:tc>
        <w:tc>
          <w:tcPr>
            <w:tcW w:w="908" w:type="pct"/>
            <w:shd w:val="clear" w:color="auto" w:fill="auto"/>
          </w:tcPr>
          <w:p w14:paraId="4186C812"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27.4</w:t>
            </w:r>
          </w:p>
        </w:tc>
      </w:tr>
      <w:tr w:rsidR="00F775C3" w:rsidRPr="00F775C3" w14:paraId="29B43D99" w14:textId="77777777" w:rsidTr="004C104B">
        <w:tc>
          <w:tcPr>
            <w:tcW w:w="1471" w:type="pct"/>
            <w:shd w:val="clear" w:color="auto" w:fill="F2F2F2" w:themeFill="background1" w:themeFillShade="F2"/>
            <w:hideMark/>
          </w:tcPr>
          <w:p w14:paraId="6B96D850" w14:textId="2FDD4794"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G</w:t>
            </w:r>
            <w:r w:rsidR="0042463C">
              <w:rPr>
                <w:rFonts w:asciiTheme="majorHAnsi" w:eastAsia="MS Mincho" w:hAnsiTheme="majorHAnsi" w:cstheme="majorHAnsi"/>
                <w:color w:val="000000" w:themeColor="text1"/>
                <w:szCs w:val="20"/>
                <w:lang w:val="en-US"/>
              </w:rPr>
              <w:t>eneral</w:t>
            </w:r>
            <w:r w:rsidRPr="00F775C3">
              <w:rPr>
                <w:rFonts w:asciiTheme="majorHAnsi" w:eastAsia="MS Mincho" w:hAnsiTheme="majorHAnsi" w:cstheme="majorHAnsi"/>
                <w:color w:val="000000" w:themeColor="text1"/>
                <w:szCs w:val="20"/>
                <w:lang w:val="en-US"/>
              </w:rPr>
              <w:t xml:space="preserve"> rules</w:t>
            </w:r>
          </w:p>
        </w:tc>
        <w:tc>
          <w:tcPr>
            <w:tcW w:w="807" w:type="pct"/>
            <w:shd w:val="clear" w:color="auto" w:fill="auto"/>
            <w:hideMark/>
          </w:tcPr>
          <w:p w14:paraId="14F56276" w14:textId="73664CA8"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4.</w:t>
            </w:r>
            <w:r w:rsidR="00851045" w:rsidRPr="00851045">
              <w:rPr>
                <w:rFonts w:asciiTheme="majorHAnsi" w:eastAsia="MS Mincho" w:hAnsiTheme="majorHAnsi" w:cstheme="majorHAnsi"/>
                <w:color w:val="000000" w:themeColor="text1"/>
                <w:szCs w:val="20"/>
                <w:lang w:val="en-US"/>
              </w:rPr>
              <w:t>3</w:t>
            </w:r>
            <w:r w:rsidRPr="00F775C3">
              <w:rPr>
                <w:rFonts w:asciiTheme="majorHAnsi" w:eastAsia="MS Mincho" w:hAnsiTheme="majorHAnsi" w:cstheme="majorHAnsi"/>
                <w:color w:val="000000" w:themeColor="text1"/>
                <w:szCs w:val="20"/>
                <w:lang w:val="en-US"/>
              </w:rPr>
              <w:t xml:space="preserve"> to </w:t>
            </w:r>
            <w:r w:rsidR="00851045" w:rsidRPr="00851045">
              <w:rPr>
                <w:rFonts w:asciiTheme="majorHAnsi" w:eastAsia="MS Mincho" w:hAnsiTheme="majorHAnsi" w:cstheme="majorHAnsi"/>
                <w:color w:val="000000" w:themeColor="text1"/>
                <w:szCs w:val="20"/>
                <w:lang w:val="en-US"/>
              </w:rPr>
              <w:t>22.8</w:t>
            </w:r>
          </w:p>
        </w:tc>
        <w:tc>
          <w:tcPr>
            <w:tcW w:w="907" w:type="pct"/>
            <w:shd w:val="clear" w:color="auto" w:fill="auto"/>
            <w:vAlign w:val="center"/>
          </w:tcPr>
          <w:p w14:paraId="24CF03D6" w14:textId="4F5EE52C"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w:t>
            </w:r>
            <w:r w:rsidR="00744311" w:rsidRPr="004C104B">
              <w:rPr>
                <w:rFonts w:asciiTheme="majorHAnsi" w:eastAsia="MS Mincho" w:hAnsiTheme="majorHAnsi" w:cstheme="majorHAnsi"/>
                <w:color w:val="000000" w:themeColor="text1"/>
                <w:szCs w:val="20"/>
                <w:lang w:val="en-US"/>
              </w:rPr>
              <w:t>4</w:t>
            </w:r>
            <w:r w:rsidRPr="00F775C3">
              <w:rPr>
                <w:rFonts w:asciiTheme="majorHAnsi" w:eastAsia="MS Mincho" w:hAnsiTheme="majorHAnsi" w:cstheme="majorHAnsi"/>
                <w:color w:val="000000" w:themeColor="text1"/>
                <w:szCs w:val="20"/>
                <w:lang w:val="en-US"/>
              </w:rPr>
              <w:t xml:space="preserve"> to 2.</w:t>
            </w:r>
            <w:r w:rsidR="00744311" w:rsidRPr="004C104B">
              <w:rPr>
                <w:rFonts w:asciiTheme="majorHAnsi" w:eastAsia="MS Mincho" w:hAnsiTheme="majorHAnsi" w:cstheme="majorHAnsi"/>
                <w:color w:val="000000" w:themeColor="text1"/>
                <w:szCs w:val="20"/>
                <w:lang w:val="en-US"/>
              </w:rPr>
              <w:t>2</w:t>
            </w:r>
          </w:p>
        </w:tc>
        <w:tc>
          <w:tcPr>
            <w:tcW w:w="907" w:type="pct"/>
            <w:shd w:val="clear" w:color="auto" w:fill="auto"/>
          </w:tcPr>
          <w:p w14:paraId="34D300B6" w14:textId="4DB7429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16.</w:t>
            </w:r>
            <w:r w:rsidR="004C104B">
              <w:rPr>
                <w:rFonts w:asciiTheme="majorHAnsi" w:eastAsia="MS Mincho" w:hAnsiTheme="majorHAnsi" w:cstheme="majorHAnsi"/>
                <w:color w:val="000000" w:themeColor="text1"/>
                <w:szCs w:val="20"/>
                <w:lang w:val="en-US"/>
              </w:rPr>
              <w:t>5</w:t>
            </w:r>
            <w:r w:rsidRPr="00F775C3">
              <w:rPr>
                <w:rFonts w:asciiTheme="majorHAnsi" w:eastAsia="MS Mincho" w:hAnsiTheme="majorHAnsi" w:cstheme="majorHAnsi"/>
                <w:color w:val="000000" w:themeColor="text1"/>
                <w:szCs w:val="20"/>
                <w:lang w:val="en-US"/>
              </w:rPr>
              <w:t xml:space="preserve"> to </w:t>
            </w:r>
            <w:r w:rsidR="007573D2">
              <w:rPr>
                <w:rFonts w:asciiTheme="majorHAnsi" w:eastAsia="MS Mincho" w:hAnsiTheme="majorHAnsi" w:cstheme="majorHAnsi"/>
                <w:color w:val="000000" w:themeColor="text1"/>
                <w:szCs w:val="20"/>
                <w:lang w:val="en-US"/>
              </w:rPr>
              <w:t>42.3</w:t>
            </w:r>
          </w:p>
        </w:tc>
        <w:tc>
          <w:tcPr>
            <w:tcW w:w="908" w:type="pct"/>
            <w:shd w:val="clear" w:color="auto" w:fill="auto"/>
          </w:tcPr>
          <w:p w14:paraId="1DCF0309"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3.1</w:t>
            </w:r>
          </w:p>
        </w:tc>
      </w:tr>
      <w:tr w:rsidR="00F775C3" w:rsidRPr="00F775C3" w14:paraId="160E551F" w14:textId="77777777" w:rsidTr="004C104B">
        <w:tc>
          <w:tcPr>
            <w:tcW w:w="5000" w:type="pct"/>
            <w:gridSpan w:val="5"/>
            <w:shd w:val="clear" w:color="auto" w:fill="F2F2F2" w:themeFill="background1" w:themeFillShade="F2"/>
            <w:vAlign w:val="center"/>
          </w:tcPr>
          <w:p w14:paraId="02ABDB72"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RMP Rules</w:t>
            </w:r>
          </w:p>
        </w:tc>
      </w:tr>
      <w:tr w:rsidR="00F775C3" w:rsidRPr="00F775C3" w14:paraId="7CF95E13" w14:textId="77777777" w:rsidTr="004C104B">
        <w:tc>
          <w:tcPr>
            <w:tcW w:w="1471" w:type="pct"/>
            <w:shd w:val="clear" w:color="auto" w:fill="F2F2F2" w:themeFill="background1" w:themeFillShade="F2"/>
            <w:hideMark/>
          </w:tcPr>
          <w:p w14:paraId="3EE43C4A"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 xml:space="preserve">Cyber and information security hazard </w:t>
            </w:r>
          </w:p>
        </w:tc>
        <w:tc>
          <w:tcPr>
            <w:tcW w:w="807" w:type="pct"/>
            <w:shd w:val="clear" w:color="auto" w:fill="auto"/>
            <w:vAlign w:val="center"/>
          </w:tcPr>
          <w:p w14:paraId="54E9ABF0" w14:textId="046A34AA"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9.</w:t>
            </w:r>
            <w:r w:rsidR="005969D3" w:rsidRPr="005969D3">
              <w:rPr>
                <w:rFonts w:asciiTheme="majorHAnsi" w:eastAsia="MS Mincho" w:hAnsiTheme="majorHAnsi" w:cstheme="majorHAnsi"/>
                <w:color w:val="000000" w:themeColor="text1"/>
                <w:szCs w:val="20"/>
                <w:lang w:val="en-US"/>
              </w:rPr>
              <w:t>3</w:t>
            </w:r>
            <w:r w:rsidRPr="00F775C3">
              <w:rPr>
                <w:rFonts w:asciiTheme="majorHAnsi" w:eastAsia="MS Mincho" w:hAnsiTheme="majorHAnsi" w:cstheme="majorHAnsi"/>
                <w:color w:val="000000" w:themeColor="text1"/>
                <w:szCs w:val="20"/>
                <w:lang w:val="en-US"/>
              </w:rPr>
              <w:t xml:space="preserve"> to 6.</w:t>
            </w:r>
            <w:r w:rsidR="005969D3" w:rsidRPr="005969D3">
              <w:rPr>
                <w:rFonts w:asciiTheme="majorHAnsi" w:eastAsia="MS Mincho" w:hAnsiTheme="majorHAnsi" w:cstheme="majorHAnsi"/>
                <w:color w:val="000000" w:themeColor="text1"/>
                <w:szCs w:val="20"/>
                <w:lang w:val="en-US"/>
              </w:rPr>
              <w:t>1</w:t>
            </w:r>
          </w:p>
        </w:tc>
        <w:tc>
          <w:tcPr>
            <w:tcW w:w="907" w:type="pct"/>
            <w:shd w:val="clear" w:color="auto" w:fill="auto"/>
            <w:vAlign w:val="center"/>
          </w:tcPr>
          <w:p w14:paraId="2375F3DA" w14:textId="61A83815"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8.4 to 4.7</w:t>
            </w:r>
          </w:p>
        </w:tc>
        <w:tc>
          <w:tcPr>
            <w:tcW w:w="907" w:type="pct"/>
            <w:shd w:val="clear" w:color="auto" w:fill="auto"/>
          </w:tcPr>
          <w:p w14:paraId="7F18A79E" w14:textId="72FF362D" w:rsidR="00F775C3" w:rsidRPr="00F775C3" w:rsidRDefault="00744311"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8</w:t>
            </w:r>
            <w:r w:rsidR="004C104B">
              <w:rPr>
                <w:rFonts w:asciiTheme="majorHAnsi" w:eastAsia="MS Mincho" w:hAnsiTheme="majorHAnsi" w:cstheme="majorHAnsi"/>
                <w:color w:val="000000" w:themeColor="text1"/>
                <w:szCs w:val="20"/>
                <w:lang w:val="en-US"/>
              </w:rPr>
              <w:t>9.2</w:t>
            </w:r>
            <w:r w:rsidR="00F775C3" w:rsidRPr="00F775C3">
              <w:rPr>
                <w:rFonts w:asciiTheme="majorHAnsi" w:eastAsia="MS Mincho" w:hAnsiTheme="majorHAnsi" w:cstheme="majorHAnsi"/>
                <w:color w:val="000000" w:themeColor="text1"/>
                <w:szCs w:val="20"/>
                <w:lang w:val="en-US"/>
              </w:rPr>
              <w:t xml:space="preserve"> to </w:t>
            </w:r>
            <w:r w:rsidR="003079B7">
              <w:rPr>
                <w:rFonts w:asciiTheme="majorHAnsi" w:eastAsia="MS Mincho" w:hAnsiTheme="majorHAnsi" w:cstheme="majorHAnsi"/>
                <w:color w:val="000000" w:themeColor="text1"/>
                <w:szCs w:val="20"/>
                <w:lang w:val="en-US"/>
              </w:rPr>
              <w:t>50</w:t>
            </w:r>
            <w:r w:rsidR="00F775C3" w:rsidRPr="00F775C3">
              <w:rPr>
                <w:rFonts w:asciiTheme="majorHAnsi" w:eastAsia="MS Mincho" w:hAnsiTheme="majorHAnsi" w:cstheme="majorHAnsi"/>
                <w:color w:val="000000" w:themeColor="text1"/>
                <w:szCs w:val="20"/>
                <w:lang w:val="en-US"/>
              </w:rPr>
              <w:t>.9</w:t>
            </w:r>
          </w:p>
        </w:tc>
        <w:tc>
          <w:tcPr>
            <w:tcW w:w="908" w:type="pct"/>
            <w:shd w:val="clear" w:color="auto" w:fill="auto"/>
          </w:tcPr>
          <w:p w14:paraId="6FE345CB" w14:textId="6E3D2929" w:rsidR="00F775C3" w:rsidRPr="00F775C3" w:rsidRDefault="00744311"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w:t>
            </w:r>
            <w:r w:rsidR="003079B7">
              <w:rPr>
                <w:rFonts w:asciiTheme="majorHAnsi" w:eastAsia="MS Mincho" w:hAnsiTheme="majorHAnsi" w:cstheme="majorHAnsi"/>
                <w:color w:val="000000" w:themeColor="text1"/>
                <w:szCs w:val="20"/>
                <w:lang w:val="en-US"/>
              </w:rPr>
              <w:t>6.9</w:t>
            </w:r>
          </w:p>
        </w:tc>
      </w:tr>
      <w:tr w:rsidR="00F775C3" w:rsidRPr="00F775C3" w14:paraId="5D96869D" w14:textId="77777777" w:rsidTr="004C104B">
        <w:tc>
          <w:tcPr>
            <w:tcW w:w="1471" w:type="pct"/>
            <w:shd w:val="clear" w:color="auto" w:fill="F2F2F2" w:themeFill="background1" w:themeFillShade="F2"/>
            <w:hideMark/>
          </w:tcPr>
          <w:p w14:paraId="059AFD4F"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Personnel hazard</w:t>
            </w:r>
          </w:p>
        </w:tc>
        <w:tc>
          <w:tcPr>
            <w:tcW w:w="807" w:type="pct"/>
            <w:shd w:val="clear" w:color="auto" w:fill="auto"/>
            <w:vAlign w:val="center"/>
          </w:tcPr>
          <w:p w14:paraId="25F483A9" w14:textId="50D5E089"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4.</w:t>
            </w:r>
            <w:r w:rsidR="005969D3" w:rsidRPr="005969D3">
              <w:rPr>
                <w:rFonts w:asciiTheme="majorHAnsi" w:eastAsia="MS Mincho" w:hAnsiTheme="majorHAnsi" w:cstheme="majorHAnsi"/>
                <w:color w:val="000000" w:themeColor="text1"/>
                <w:szCs w:val="20"/>
                <w:lang w:val="en-US"/>
              </w:rPr>
              <w:t>2</w:t>
            </w:r>
            <w:r w:rsidRPr="00F775C3">
              <w:rPr>
                <w:rFonts w:asciiTheme="majorHAnsi" w:eastAsia="MS Mincho" w:hAnsiTheme="majorHAnsi" w:cstheme="majorHAnsi"/>
                <w:color w:val="000000" w:themeColor="text1"/>
                <w:szCs w:val="20"/>
                <w:lang w:val="en-US"/>
              </w:rPr>
              <w:t xml:space="preserve"> to 8.7</w:t>
            </w:r>
          </w:p>
        </w:tc>
        <w:tc>
          <w:tcPr>
            <w:tcW w:w="907" w:type="pct"/>
            <w:shd w:val="clear" w:color="auto" w:fill="auto"/>
            <w:vAlign w:val="center"/>
          </w:tcPr>
          <w:p w14:paraId="306BBA92" w14:textId="771A5DEB"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3.3 to 5.</w:t>
            </w:r>
            <w:r w:rsidR="00744311" w:rsidRPr="004C104B">
              <w:rPr>
                <w:rFonts w:asciiTheme="majorHAnsi" w:eastAsia="MS Mincho" w:hAnsiTheme="majorHAnsi" w:cstheme="majorHAnsi"/>
                <w:color w:val="000000" w:themeColor="text1"/>
                <w:szCs w:val="20"/>
                <w:lang w:val="en-US"/>
              </w:rPr>
              <w:t>9</w:t>
            </w:r>
          </w:p>
        </w:tc>
        <w:tc>
          <w:tcPr>
            <w:tcW w:w="907" w:type="pct"/>
            <w:shd w:val="clear" w:color="auto" w:fill="auto"/>
          </w:tcPr>
          <w:p w14:paraId="2FE13427" w14:textId="5BA242EC"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35.</w:t>
            </w:r>
            <w:r w:rsidR="004C104B">
              <w:rPr>
                <w:rFonts w:asciiTheme="majorHAnsi" w:eastAsia="MS Mincho" w:hAnsiTheme="majorHAnsi" w:cstheme="majorHAnsi"/>
                <w:color w:val="000000" w:themeColor="text1"/>
                <w:szCs w:val="20"/>
                <w:lang w:val="en-US"/>
              </w:rPr>
              <w:t>9</w:t>
            </w:r>
            <w:r w:rsidRPr="00F775C3">
              <w:rPr>
                <w:rFonts w:asciiTheme="majorHAnsi" w:eastAsia="MS Mincho" w:hAnsiTheme="majorHAnsi" w:cstheme="majorHAnsi"/>
                <w:color w:val="000000" w:themeColor="text1"/>
                <w:szCs w:val="20"/>
                <w:lang w:val="en-US"/>
              </w:rPr>
              <w:t xml:space="preserve"> to 64.</w:t>
            </w:r>
            <w:r w:rsidR="003079B7">
              <w:rPr>
                <w:rFonts w:asciiTheme="majorHAnsi" w:eastAsia="MS Mincho" w:hAnsiTheme="majorHAnsi" w:cstheme="majorHAnsi"/>
                <w:color w:val="000000" w:themeColor="text1"/>
                <w:szCs w:val="20"/>
                <w:lang w:val="en-US"/>
              </w:rPr>
              <w:t>4</w:t>
            </w:r>
          </w:p>
        </w:tc>
        <w:tc>
          <w:tcPr>
            <w:tcW w:w="908" w:type="pct"/>
            <w:shd w:val="clear" w:color="auto" w:fill="auto"/>
          </w:tcPr>
          <w:p w14:paraId="6D9A9016"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6.8</w:t>
            </w:r>
          </w:p>
        </w:tc>
      </w:tr>
      <w:tr w:rsidR="00F775C3" w:rsidRPr="00F775C3" w14:paraId="725809FF" w14:textId="77777777" w:rsidTr="004C104B">
        <w:tc>
          <w:tcPr>
            <w:tcW w:w="1471" w:type="pct"/>
            <w:shd w:val="clear" w:color="auto" w:fill="F2F2F2" w:themeFill="background1" w:themeFillShade="F2"/>
            <w:hideMark/>
          </w:tcPr>
          <w:p w14:paraId="72B72127"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 xml:space="preserve">Supply chain hazard </w:t>
            </w:r>
          </w:p>
        </w:tc>
        <w:tc>
          <w:tcPr>
            <w:tcW w:w="807" w:type="pct"/>
            <w:shd w:val="clear" w:color="auto" w:fill="auto"/>
            <w:vAlign w:val="center"/>
          </w:tcPr>
          <w:p w14:paraId="767FD97D" w14:textId="67C0DD4F"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9</w:t>
            </w:r>
            <w:r w:rsidR="005969D3" w:rsidRPr="005969D3">
              <w:rPr>
                <w:rFonts w:asciiTheme="majorHAnsi" w:eastAsia="MS Mincho" w:hAnsiTheme="majorHAnsi" w:cstheme="majorHAnsi"/>
                <w:color w:val="000000" w:themeColor="text1"/>
                <w:szCs w:val="20"/>
                <w:lang w:val="en-US"/>
              </w:rPr>
              <w:t>.1</w:t>
            </w:r>
            <w:r w:rsidRPr="00F775C3">
              <w:rPr>
                <w:rFonts w:asciiTheme="majorHAnsi" w:eastAsia="MS Mincho" w:hAnsiTheme="majorHAnsi" w:cstheme="majorHAnsi"/>
                <w:color w:val="000000" w:themeColor="text1"/>
                <w:szCs w:val="20"/>
                <w:lang w:val="en-US"/>
              </w:rPr>
              <w:t xml:space="preserve"> to 5.</w:t>
            </w:r>
            <w:r w:rsidR="005969D3" w:rsidRPr="005969D3">
              <w:rPr>
                <w:rFonts w:asciiTheme="majorHAnsi" w:eastAsia="MS Mincho" w:hAnsiTheme="majorHAnsi" w:cstheme="majorHAnsi"/>
                <w:color w:val="000000" w:themeColor="text1"/>
                <w:szCs w:val="20"/>
                <w:lang w:val="en-US"/>
              </w:rPr>
              <w:t>6</w:t>
            </w:r>
          </w:p>
        </w:tc>
        <w:tc>
          <w:tcPr>
            <w:tcW w:w="907" w:type="pct"/>
            <w:shd w:val="clear" w:color="auto" w:fill="auto"/>
            <w:vAlign w:val="center"/>
          </w:tcPr>
          <w:p w14:paraId="21C78839" w14:textId="7DB1C13D"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11.</w:t>
            </w:r>
            <w:r w:rsidR="00744311" w:rsidRPr="004C104B">
              <w:rPr>
                <w:rFonts w:asciiTheme="majorHAnsi" w:eastAsia="MS Mincho" w:hAnsiTheme="majorHAnsi" w:cstheme="majorHAnsi"/>
                <w:color w:val="000000" w:themeColor="text1"/>
                <w:szCs w:val="20"/>
                <w:lang w:val="en-US"/>
              </w:rPr>
              <w:t>7</w:t>
            </w:r>
            <w:r w:rsidRPr="00F775C3">
              <w:rPr>
                <w:rFonts w:asciiTheme="majorHAnsi" w:eastAsia="MS Mincho" w:hAnsiTheme="majorHAnsi" w:cstheme="majorHAnsi"/>
                <w:color w:val="000000" w:themeColor="text1"/>
                <w:szCs w:val="20"/>
                <w:lang w:val="en-US"/>
              </w:rPr>
              <w:t xml:space="preserve"> to </w:t>
            </w:r>
            <w:r w:rsidR="00744311" w:rsidRPr="004C104B">
              <w:rPr>
                <w:rFonts w:asciiTheme="majorHAnsi" w:eastAsia="MS Mincho" w:hAnsiTheme="majorHAnsi" w:cstheme="majorHAnsi"/>
                <w:color w:val="000000" w:themeColor="text1"/>
                <w:szCs w:val="20"/>
                <w:lang w:val="en-US"/>
              </w:rPr>
              <w:t>12.2</w:t>
            </w:r>
          </w:p>
        </w:tc>
        <w:tc>
          <w:tcPr>
            <w:tcW w:w="907" w:type="pct"/>
            <w:shd w:val="clear" w:color="auto" w:fill="auto"/>
          </w:tcPr>
          <w:p w14:paraId="7EC1B743" w14:textId="7591A3DF" w:rsidR="00F775C3" w:rsidRPr="00F775C3" w:rsidRDefault="00744311"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w:t>
            </w:r>
            <w:r w:rsidR="00CF5A78">
              <w:rPr>
                <w:rFonts w:asciiTheme="majorHAnsi" w:eastAsia="MS Mincho" w:hAnsiTheme="majorHAnsi" w:cstheme="majorHAnsi"/>
                <w:color w:val="000000" w:themeColor="text1"/>
                <w:szCs w:val="20"/>
                <w:lang w:val="en-US"/>
              </w:rPr>
              <w:t>20.5</w:t>
            </w:r>
            <w:r w:rsidR="00F775C3" w:rsidRPr="00F775C3">
              <w:rPr>
                <w:rFonts w:asciiTheme="majorHAnsi" w:eastAsia="MS Mincho" w:hAnsiTheme="majorHAnsi" w:cstheme="majorHAnsi"/>
                <w:color w:val="000000" w:themeColor="text1"/>
                <w:szCs w:val="20"/>
                <w:lang w:val="en-US"/>
              </w:rPr>
              <w:t xml:space="preserve"> to </w:t>
            </w:r>
            <w:r w:rsidRPr="00F775C3">
              <w:rPr>
                <w:rFonts w:asciiTheme="majorHAnsi" w:eastAsia="MS Mincho" w:hAnsiTheme="majorHAnsi" w:cstheme="majorHAnsi"/>
                <w:color w:val="000000" w:themeColor="text1"/>
                <w:szCs w:val="20"/>
                <w:lang w:val="en-US"/>
              </w:rPr>
              <w:t>1</w:t>
            </w:r>
            <w:r w:rsidR="003079B7">
              <w:rPr>
                <w:rFonts w:asciiTheme="majorHAnsi" w:eastAsia="MS Mincho" w:hAnsiTheme="majorHAnsi" w:cstheme="majorHAnsi"/>
                <w:color w:val="000000" w:themeColor="text1"/>
                <w:szCs w:val="20"/>
                <w:lang w:val="en-US"/>
              </w:rPr>
              <w:t>21</w:t>
            </w:r>
            <w:r w:rsidR="00F775C3" w:rsidRPr="00F775C3">
              <w:rPr>
                <w:rFonts w:asciiTheme="majorHAnsi" w:eastAsia="MS Mincho" w:hAnsiTheme="majorHAnsi" w:cstheme="majorHAnsi"/>
                <w:color w:val="000000" w:themeColor="text1"/>
                <w:szCs w:val="20"/>
                <w:lang w:val="en-US"/>
              </w:rPr>
              <w:t>.6</w:t>
            </w:r>
          </w:p>
        </w:tc>
        <w:tc>
          <w:tcPr>
            <w:tcW w:w="908" w:type="pct"/>
            <w:shd w:val="clear" w:color="auto" w:fill="auto"/>
          </w:tcPr>
          <w:p w14:paraId="68A08D42"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22.8</w:t>
            </w:r>
          </w:p>
        </w:tc>
      </w:tr>
      <w:tr w:rsidR="00F775C3" w:rsidRPr="00F775C3" w14:paraId="378AC8F0" w14:textId="77777777" w:rsidTr="004C104B">
        <w:tc>
          <w:tcPr>
            <w:tcW w:w="1471" w:type="pct"/>
            <w:shd w:val="clear" w:color="auto" w:fill="F2F2F2" w:themeFill="background1" w:themeFillShade="F2"/>
            <w:hideMark/>
          </w:tcPr>
          <w:p w14:paraId="3684607E"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Physical and natural hazard</w:t>
            </w:r>
          </w:p>
        </w:tc>
        <w:tc>
          <w:tcPr>
            <w:tcW w:w="807" w:type="pct"/>
            <w:shd w:val="clear" w:color="auto" w:fill="auto"/>
            <w:vAlign w:val="center"/>
          </w:tcPr>
          <w:p w14:paraId="0F768822" w14:textId="5D340DBF"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6.</w:t>
            </w:r>
            <w:r w:rsidR="005969D3" w:rsidRPr="005969D3">
              <w:rPr>
                <w:rFonts w:asciiTheme="majorHAnsi" w:eastAsia="MS Mincho" w:hAnsiTheme="majorHAnsi" w:cstheme="majorHAnsi"/>
                <w:color w:val="000000" w:themeColor="text1"/>
                <w:szCs w:val="20"/>
                <w:lang w:val="en-US"/>
              </w:rPr>
              <w:t>3</w:t>
            </w:r>
            <w:r w:rsidRPr="00F775C3">
              <w:rPr>
                <w:rFonts w:asciiTheme="majorHAnsi" w:eastAsia="MS Mincho" w:hAnsiTheme="majorHAnsi" w:cstheme="majorHAnsi"/>
                <w:color w:val="000000" w:themeColor="text1"/>
                <w:szCs w:val="20"/>
                <w:lang w:val="en-US"/>
              </w:rPr>
              <w:t xml:space="preserve"> to 6.</w:t>
            </w:r>
            <w:r w:rsidR="005969D3" w:rsidRPr="005969D3">
              <w:rPr>
                <w:rFonts w:asciiTheme="majorHAnsi" w:eastAsia="MS Mincho" w:hAnsiTheme="majorHAnsi" w:cstheme="majorHAnsi"/>
                <w:color w:val="000000" w:themeColor="text1"/>
                <w:szCs w:val="20"/>
                <w:lang w:val="en-US"/>
              </w:rPr>
              <w:t>1</w:t>
            </w:r>
          </w:p>
        </w:tc>
        <w:tc>
          <w:tcPr>
            <w:tcW w:w="907" w:type="pct"/>
            <w:shd w:val="clear" w:color="auto" w:fill="auto"/>
            <w:vAlign w:val="center"/>
          </w:tcPr>
          <w:p w14:paraId="51514955" w14:textId="23806182"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5.</w:t>
            </w:r>
            <w:r w:rsidR="00744311" w:rsidRPr="004C104B">
              <w:rPr>
                <w:rFonts w:asciiTheme="majorHAnsi" w:eastAsia="MS Mincho" w:hAnsiTheme="majorHAnsi" w:cstheme="majorHAnsi"/>
                <w:color w:val="000000" w:themeColor="text1"/>
                <w:szCs w:val="20"/>
                <w:lang w:val="en-US"/>
              </w:rPr>
              <w:t>2</w:t>
            </w:r>
            <w:r w:rsidRPr="00F775C3">
              <w:rPr>
                <w:rFonts w:asciiTheme="majorHAnsi" w:eastAsia="MS Mincho" w:hAnsiTheme="majorHAnsi" w:cstheme="majorHAnsi"/>
                <w:color w:val="000000" w:themeColor="text1"/>
                <w:szCs w:val="20"/>
                <w:lang w:val="en-US"/>
              </w:rPr>
              <w:t xml:space="preserve"> to 7.</w:t>
            </w:r>
            <w:r w:rsidR="00744311" w:rsidRPr="004C104B">
              <w:rPr>
                <w:rFonts w:asciiTheme="majorHAnsi" w:eastAsia="MS Mincho" w:hAnsiTheme="majorHAnsi" w:cstheme="majorHAnsi"/>
                <w:color w:val="000000" w:themeColor="text1"/>
                <w:szCs w:val="20"/>
                <w:lang w:val="en-US"/>
              </w:rPr>
              <w:t>3</w:t>
            </w:r>
          </w:p>
        </w:tc>
        <w:tc>
          <w:tcPr>
            <w:tcW w:w="907" w:type="pct"/>
            <w:shd w:val="clear" w:color="auto" w:fill="auto"/>
          </w:tcPr>
          <w:p w14:paraId="36771892" w14:textId="5A09DC76" w:rsidR="00F775C3" w:rsidRPr="00F775C3" w:rsidRDefault="00744311"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5</w:t>
            </w:r>
            <w:r w:rsidR="00CF5A78">
              <w:rPr>
                <w:rFonts w:asciiTheme="majorHAnsi" w:eastAsia="MS Mincho" w:hAnsiTheme="majorHAnsi" w:cstheme="majorHAnsi"/>
                <w:color w:val="000000" w:themeColor="text1"/>
                <w:szCs w:val="20"/>
                <w:lang w:val="en-US"/>
              </w:rPr>
              <w:t>5.2</w:t>
            </w:r>
            <w:r w:rsidR="00F775C3" w:rsidRPr="00F775C3">
              <w:rPr>
                <w:rFonts w:asciiTheme="majorHAnsi" w:eastAsia="MS Mincho" w:hAnsiTheme="majorHAnsi" w:cstheme="majorHAnsi"/>
                <w:color w:val="000000" w:themeColor="text1"/>
                <w:szCs w:val="20"/>
                <w:lang w:val="en-US"/>
              </w:rPr>
              <w:t xml:space="preserve"> to </w:t>
            </w:r>
            <w:r w:rsidRPr="00F775C3">
              <w:rPr>
                <w:rFonts w:asciiTheme="majorHAnsi" w:eastAsia="MS Mincho" w:hAnsiTheme="majorHAnsi" w:cstheme="majorHAnsi"/>
                <w:color w:val="000000" w:themeColor="text1"/>
                <w:szCs w:val="20"/>
                <w:lang w:val="en-US"/>
              </w:rPr>
              <w:t>7</w:t>
            </w:r>
            <w:r w:rsidR="003079B7">
              <w:rPr>
                <w:rFonts w:asciiTheme="majorHAnsi" w:eastAsia="MS Mincho" w:hAnsiTheme="majorHAnsi" w:cstheme="majorHAnsi"/>
                <w:color w:val="000000" w:themeColor="text1"/>
                <w:szCs w:val="20"/>
                <w:lang w:val="en-US"/>
              </w:rPr>
              <w:t>5</w:t>
            </w:r>
            <w:r w:rsidR="00F775C3" w:rsidRPr="00F775C3">
              <w:rPr>
                <w:rFonts w:asciiTheme="majorHAnsi" w:eastAsia="MS Mincho" w:hAnsiTheme="majorHAnsi" w:cstheme="majorHAnsi"/>
                <w:color w:val="000000" w:themeColor="text1"/>
                <w:szCs w:val="20"/>
                <w:lang w:val="en-US"/>
              </w:rPr>
              <w:t>.0</w:t>
            </w:r>
          </w:p>
        </w:tc>
        <w:tc>
          <w:tcPr>
            <w:tcW w:w="908" w:type="pct"/>
            <w:shd w:val="clear" w:color="auto" w:fill="auto"/>
          </w:tcPr>
          <w:p w14:paraId="11F678F3" w14:textId="754C1E14"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10.</w:t>
            </w:r>
            <w:r w:rsidR="003079B7">
              <w:rPr>
                <w:rFonts w:asciiTheme="majorHAnsi" w:eastAsia="MS Mincho" w:hAnsiTheme="majorHAnsi" w:cstheme="majorHAnsi"/>
                <w:color w:val="000000" w:themeColor="text1"/>
                <w:szCs w:val="20"/>
                <w:lang w:val="en-US"/>
              </w:rPr>
              <w:t>5</w:t>
            </w:r>
          </w:p>
        </w:tc>
      </w:tr>
      <w:tr w:rsidR="00F775C3" w:rsidRPr="00F775C3" w14:paraId="1C3B86AD" w14:textId="77777777" w:rsidTr="004C104B">
        <w:tc>
          <w:tcPr>
            <w:tcW w:w="1471" w:type="pct"/>
            <w:shd w:val="clear" w:color="auto" w:fill="F2F2F2" w:themeFill="background1" w:themeFillShade="F2"/>
            <w:hideMark/>
          </w:tcPr>
          <w:p w14:paraId="624B5DAD"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Material risk</w:t>
            </w:r>
          </w:p>
        </w:tc>
        <w:tc>
          <w:tcPr>
            <w:tcW w:w="807" w:type="pct"/>
            <w:shd w:val="clear" w:color="auto" w:fill="auto"/>
            <w:vAlign w:val="center"/>
          </w:tcPr>
          <w:p w14:paraId="0055A26C" w14:textId="72B8888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14.</w:t>
            </w:r>
            <w:r w:rsidR="005969D3" w:rsidRPr="005969D3">
              <w:rPr>
                <w:rFonts w:asciiTheme="majorHAnsi" w:eastAsia="MS Mincho" w:hAnsiTheme="majorHAnsi" w:cstheme="majorHAnsi"/>
                <w:color w:val="000000" w:themeColor="text1"/>
                <w:szCs w:val="20"/>
                <w:lang w:val="en-US"/>
              </w:rPr>
              <w:t>3</w:t>
            </w:r>
            <w:r w:rsidRPr="00F775C3">
              <w:rPr>
                <w:rFonts w:asciiTheme="majorHAnsi" w:eastAsia="MS Mincho" w:hAnsiTheme="majorHAnsi" w:cstheme="majorHAnsi"/>
                <w:color w:val="000000" w:themeColor="text1"/>
                <w:szCs w:val="20"/>
                <w:lang w:val="en-US"/>
              </w:rPr>
              <w:t xml:space="preserve"> to 11.</w:t>
            </w:r>
            <w:r w:rsidR="005969D3" w:rsidRPr="005969D3">
              <w:rPr>
                <w:rFonts w:asciiTheme="majorHAnsi" w:eastAsia="MS Mincho" w:hAnsiTheme="majorHAnsi" w:cstheme="majorHAnsi"/>
                <w:color w:val="000000" w:themeColor="text1"/>
                <w:szCs w:val="20"/>
                <w:lang w:val="en-US"/>
              </w:rPr>
              <w:t>4</w:t>
            </w:r>
          </w:p>
        </w:tc>
        <w:tc>
          <w:tcPr>
            <w:tcW w:w="907" w:type="pct"/>
            <w:shd w:val="clear" w:color="auto" w:fill="auto"/>
            <w:vAlign w:val="center"/>
          </w:tcPr>
          <w:p w14:paraId="7044C446" w14:textId="43A84378"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5.</w:t>
            </w:r>
            <w:r w:rsidR="00744311" w:rsidRPr="004C104B">
              <w:rPr>
                <w:rFonts w:asciiTheme="majorHAnsi" w:eastAsia="MS Mincho" w:hAnsiTheme="majorHAnsi" w:cstheme="majorHAnsi"/>
                <w:color w:val="000000" w:themeColor="text1"/>
                <w:szCs w:val="20"/>
                <w:lang w:val="en-US"/>
              </w:rPr>
              <w:t>4</w:t>
            </w:r>
            <w:r w:rsidRPr="00F775C3">
              <w:rPr>
                <w:rFonts w:asciiTheme="majorHAnsi" w:eastAsia="MS Mincho" w:hAnsiTheme="majorHAnsi" w:cstheme="majorHAnsi"/>
                <w:color w:val="000000" w:themeColor="text1"/>
                <w:szCs w:val="20"/>
                <w:lang w:val="en-US"/>
              </w:rPr>
              <w:t xml:space="preserve"> to 5.</w:t>
            </w:r>
            <w:r w:rsidR="00744311" w:rsidRPr="004C104B">
              <w:rPr>
                <w:rFonts w:asciiTheme="majorHAnsi" w:eastAsia="MS Mincho" w:hAnsiTheme="majorHAnsi" w:cstheme="majorHAnsi"/>
                <w:color w:val="000000" w:themeColor="text1"/>
                <w:szCs w:val="20"/>
                <w:lang w:val="en-US"/>
              </w:rPr>
              <w:t>3</w:t>
            </w:r>
          </w:p>
        </w:tc>
        <w:tc>
          <w:tcPr>
            <w:tcW w:w="907" w:type="pct"/>
            <w:shd w:val="clear" w:color="auto" w:fill="auto"/>
          </w:tcPr>
          <w:p w14:paraId="192AB6BB" w14:textId="2BBADFD2" w:rsidR="00F775C3" w:rsidRPr="00F775C3" w:rsidRDefault="00744311"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6</w:t>
            </w:r>
            <w:r w:rsidR="00CF5A78">
              <w:rPr>
                <w:rFonts w:asciiTheme="majorHAnsi" w:eastAsia="MS Mincho" w:hAnsiTheme="majorHAnsi" w:cstheme="majorHAnsi"/>
                <w:color w:val="000000" w:themeColor="text1"/>
                <w:szCs w:val="20"/>
                <w:lang w:val="en-US"/>
              </w:rPr>
              <w:t>5.8</w:t>
            </w:r>
            <w:r w:rsidR="00F775C3" w:rsidRPr="00F775C3">
              <w:rPr>
                <w:rFonts w:asciiTheme="majorHAnsi" w:eastAsia="MS Mincho" w:hAnsiTheme="majorHAnsi" w:cstheme="majorHAnsi"/>
                <w:color w:val="000000" w:themeColor="text1"/>
                <w:szCs w:val="20"/>
                <w:lang w:val="en-US"/>
              </w:rPr>
              <w:t xml:space="preserve"> to </w:t>
            </w:r>
            <w:r w:rsidRPr="00F775C3">
              <w:rPr>
                <w:rFonts w:asciiTheme="majorHAnsi" w:eastAsia="MS Mincho" w:hAnsiTheme="majorHAnsi" w:cstheme="majorHAnsi"/>
                <w:color w:val="000000" w:themeColor="text1"/>
                <w:szCs w:val="20"/>
                <w:lang w:val="en-US"/>
              </w:rPr>
              <w:t>6</w:t>
            </w:r>
            <w:r w:rsidR="003079B7">
              <w:rPr>
                <w:rFonts w:asciiTheme="majorHAnsi" w:eastAsia="MS Mincho" w:hAnsiTheme="majorHAnsi" w:cstheme="majorHAnsi"/>
                <w:color w:val="000000" w:themeColor="text1"/>
                <w:szCs w:val="20"/>
                <w:lang w:val="en-US"/>
              </w:rPr>
              <w:t>1</w:t>
            </w:r>
            <w:r w:rsidR="00F775C3" w:rsidRPr="00F775C3">
              <w:rPr>
                <w:rFonts w:asciiTheme="majorHAnsi" w:eastAsia="MS Mincho" w:hAnsiTheme="majorHAnsi" w:cstheme="majorHAnsi"/>
                <w:color w:val="000000" w:themeColor="text1"/>
                <w:szCs w:val="20"/>
                <w:lang w:val="en-US"/>
              </w:rPr>
              <w:t>.9</w:t>
            </w:r>
          </w:p>
        </w:tc>
        <w:tc>
          <w:tcPr>
            <w:tcW w:w="908" w:type="pct"/>
            <w:shd w:val="clear" w:color="auto" w:fill="auto"/>
          </w:tcPr>
          <w:p w14:paraId="16B0EB31" w14:textId="77777777" w:rsidR="00F775C3" w:rsidRPr="00F775C3" w:rsidRDefault="00F775C3" w:rsidP="00F775C3">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12.5</w:t>
            </w:r>
          </w:p>
        </w:tc>
      </w:tr>
      <w:tr w:rsidR="00F775C3" w:rsidRPr="00F775C3" w14:paraId="369593CB" w14:textId="77777777" w:rsidTr="00851045">
        <w:tc>
          <w:tcPr>
            <w:tcW w:w="1471" w:type="pct"/>
            <w:shd w:val="clear" w:color="auto" w:fill="034EA2" w:themeFill="accent1"/>
            <w:hideMark/>
          </w:tcPr>
          <w:p w14:paraId="32AA6674" w14:textId="77777777" w:rsidR="00F775C3" w:rsidRPr="00F775C3" w:rsidRDefault="00F775C3" w:rsidP="00F775C3">
            <w:pPr>
              <w:keepNext/>
              <w:rPr>
                <w:rFonts w:asciiTheme="majorHAnsi" w:hAnsiTheme="majorHAnsi" w:cstheme="majorHAnsi"/>
                <w:b/>
                <w:bCs/>
                <w:color w:val="FFFFFF" w:themeColor="background1"/>
                <w:sz w:val="16"/>
                <w:szCs w:val="16"/>
                <w:lang w:eastAsia="en-AU"/>
              </w:rPr>
            </w:pPr>
            <w:r w:rsidRPr="00F775C3">
              <w:rPr>
                <w:rFonts w:asciiTheme="majorHAnsi" w:hAnsiTheme="majorHAnsi" w:cstheme="majorHAnsi"/>
                <w:b/>
                <w:color w:val="FFFFFF" w:themeColor="background1"/>
                <w:lang w:eastAsia="en-AU"/>
              </w:rPr>
              <w:t>Total critical freight infrastructure and critical freight services assets</w:t>
            </w:r>
          </w:p>
        </w:tc>
        <w:tc>
          <w:tcPr>
            <w:tcW w:w="807" w:type="pct"/>
            <w:shd w:val="clear" w:color="auto" w:fill="034EA2" w:themeFill="accent1"/>
          </w:tcPr>
          <w:p w14:paraId="4E292E2E" w14:textId="2FFB3597" w:rsidR="00F775C3" w:rsidRPr="00F775C3" w:rsidRDefault="00DA5B9F" w:rsidP="00F775C3">
            <w:pPr>
              <w:keepNext/>
              <w:rPr>
                <w:rFonts w:asciiTheme="majorHAnsi" w:hAnsiTheme="majorHAnsi" w:cstheme="majorHAnsi"/>
                <w:b/>
                <w:color w:val="FFFFFF" w:themeColor="background1"/>
              </w:rPr>
            </w:pPr>
            <w:r>
              <w:rPr>
                <w:rFonts w:asciiTheme="majorHAnsi" w:hAnsiTheme="majorHAnsi" w:cstheme="majorHAnsi"/>
                <w:b/>
                <w:color w:val="FFFFFF" w:themeColor="background1"/>
              </w:rPr>
              <w:t>60</w:t>
            </w:r>
            <w:r w:rsidR="00F775C3" w:rsidRPr="00F775C3">
              <w:rPr>
                <w:rFonts w:asciiTheme="majorHAnsi" w:hAnsiTheme="majorHAnsi" w:cstheme="majorHAnsi"/>
                <w:b/>
                <w:color w:val="FFFFFF" w:themeColor="background1"/>
              </w:rPr>
              <w:t>.9 to 1</w:t>
            </w:r>
            <w:r>
              <w:rPr>
                <w:rFonts w:asciiTheme="majorHAnsi" w:hAnsiTheme="majorHAnsi" w:cstheme="majorHAnsi"/>
                <w:b/>
                <w:color w:val="FFFFFF" w:themeColor="background1"/>
              </w:rPr>
              <w:t>63.9</w:t>
            </w:r>
          </w:p>
        </w:tc>
        <w:tc>
          <w:tcPr>
            <w:tcW w:w="907" w:type="pct"/>
            <w:shd w:val="clear" w:color="auto" w:fill="034EA2" w:themeFill="accent1"/>
          </w:tcPr>
          <w:p w14:paraId="1CF6F563" w14:textId="77777777" w:rsidR="00F775C3" w:rsidRDefault="004C104B" w:rsidP="00F775C3">
            <w:pPr>
              <w:keepNext/>
              <w:rPr>
                <w:rFonts w:asciiTheme="majorHAnsi" w:hAnsiTheme="majorHAnsi" w:cstheme="majorHAnsi"/>
                <w:b/>
                <w:color w:val="FFFFFF" w:themeColor="background1"/>
              </w:rPr>
            </w:pPr>
            <w:r>
              <w:rPr>
                <w:rFonts w:asciiTheme="majorHAnsi" w:hAnsiTheme="majorHAnsi" w:cstheme="majorHAnsi"/>
                <w:b/>
                <w:color w:val="FFFFFF" w:themeColor="background1"/>
              </w:rPr>
              <w:t>50.0</w:t>
            </w:r>
            <w:r w:rsidR="00F775C3" w:rsidRPr="00F775C3">
              <w:rPr>
                <w:rFonts w:asciiTheme="majorHAnsi" w:hAnsiTheme="majorHAnsi" w:cstheme="majorHAnsi"/>
                <w:b/>
                <w:color w:val="FFFFFF" w:themeColor="background1"/>
              </w:rPr>
              <w:t xml:space="preserve"> to </w:t>
            </w:r>
            <w:r>
              <w:rPr>
                <w:rFonts w:asciiTheme="majorHAnsi" w:hAnsiTheme="majorHAnsi" w:cstheme="majorHAnsi"/>
                <w:b/>
                <w:color w:val="FFFFFF" w:themeColor="background1"/>
              </w:rPr>
              <w:t>71.0</w:t>
            </w:r>
          </w:p>
          <w:p w14:paraId="1CDD83D6" w14:textId="18CA1E3E" w:rsidR="00F775C3" w:rsidRPr="00F775C3" w:rsidRDefault="00F775C3" w:rsidP="00F775C3">
            <w:pPr>
              <w:keepNext/>
              <w:rPr>
                <w:rFonts w:asciiTheme="majorHAnsi" w:hAnsiTheme="majorHAnsi" w:cstheme="majorHAnsi"/>
                <w:b/>
                <w:color w:val="FFFFFF" w:themeColor="background1"/>
              </w:rPr>
            </w:pPr>
          </w:p>
        </w:tc>
        <w:tc>
          <w:tcPr>
            <w:tcW w:w="907" w:type="pct"/>
            <w:shd w:val="clear" w:color="auto" w:fill="034EA2" w:themeFill="accent1"/>
          </w:tcPr>
          <w:p w14:paraId="79177C82" w14:textId="393A2060" w:rsidR="00F775C3" w:rsidRPr="00F775C3" w:rsidRDefault="00F775C3" w:rsidP="00F775C3">
            <w:pPr>
              <w:keepNext/>
              <w:rPr>
                <w:rFonts w:asciiTheme="majorHAnsi" w:hAnsiTheme="majorHAnsi" w:cstheme="majorHAnsi"/>
                <w:b/>
                <w:color w:val="FFFFFF" w:themeColor="background1"/>
              </w:rPr>
            </w:pPr>
            <w:r w:rsidRPr="00F775C3">
              <w:rPr>
                <w:rFonts w:asciiTheme="majorHAnsi" w:hAnsiTheme="majorHAnsi" w:cstheme="majorHAnsi"/>
                <w:b/>
                <w:color w:val="FFFFFF" w:themeColor="background1"/>
              </w:rPr>
              <w:t>5</w:t>
            </w:r>
            <w:r w:rsidR="00CF5A78">
              <w:rPr>
                <w:rFonts w:asciiTheme="majorHAnsi" w:hAnsiTheme="majorHAnsi" w:cstheme="majorHAnsi"/>
                <w:b/>
                <w:color w:val="FFFFFF" w:themeColor="background1"/>
              </w:rPr>
              <w:t>27.8</w:t>
            </w:r>
            <w:r w:rsidRPr="00F775C3">
              <w:rPr>
                <w:rFonts w:asciiTheme="majorHAnsi" w:hAnsiTheme="majorHAnsi" w:cstheme="majorHAnsi"/>
                <w:b/>
                <w:color w:val="FFFFFF" w:themeColor="background1"/>
              </w:rPr>
              <w:t xml:space="preserve"> to 8</w:t>
            </w:r>
            <w:r w:rsidR="003079B7">
              <w:rPr>
                <w:rFonts w:asciiTheme="majorHAnsi" w:hAnsiTheme="majorHAnsi" w:cstheme="majorHAnsi"/>
                <w:b/>
                <w:color w:val="FFFFFF" w:themeColor="background1"/>
              </w:rPr>
              <w:t>20.7</w:t>
            </w:r>
          </w:p>
        </w:tc>
        <w:tc>
          <w:tcPr>
            <w:tcW w:w="908" w:type="pct"/>
            <w:shd w:val="clear" w:color="auto" w:fill="034EA2" w:themeFill="accent1"/>
            <w:hideMark/>
          </w:tcPr>
          <w:p w14:paraId="15108A47" w14:textId="77777777" w:rsidR="00F775C3" w:rsidRPr="00F775C3" w:rsidRDefault="00F775C3" w:rsidP="00F775C3">
            <w:pPr>
              <w:keepNext/>
              <w:rPr>
                <w:rFonts w:asciiTheme="majorHAnsi" w:hAnsiTheme="majorHAnsi" w:cstheme="majorHAnsi"/>
                <w:b/>
                <w:color w:val="FFFFFF" w:themeColor="background1"/>
              </w:rPr>
            </w:pPr>
            <w:r w:rsidRPr="00F775C3">
              <w:rPr>
                <w:rFonts w:asciiTheme="majorHAnsi" w:hAnsiTheme="majorHAnsi" w:cstheme="majorHAnsi"/>
                <w:b/>
                <w:color w:val="FFFFFF" w:themeColor="background1"/>
              </w:rPr>
              <w:t>100</w:t>
            </w:r>
          </w:p>
        </w:tc>
      </w:tr>
    </w:tbl>
    <w:p w14:paraId="2353AFF5" w14:textId="77777777" w:rsidR="00F775C3" w:rsidRPr="00F775C3" w:rsidRDefault="00F775C3" w:rsidP="00F775C3">
      <w:pPr>
        <w:rPr>
          <w:rFonts w:cstheme="majorHAnsi"/>
          <w:sz w:val="22"/>
          <w:szCs w:val="28"/>
        </w:rPr>
      </w:pPr>
    </w:p>
    <w:p w14:paraId="5C922258" w14:textId="77777777" w:rsidR="00F775C3" w:rsidRPr="00F775C3" w:rsidRDefault="00F775C3" w:rsidP="00F775C3">
      <w:pPr>
        <w:rPr>
          <w:rFonts w:cstheme="majorHAnsi"/>
          <w:sz w:val="22"/>
          <w:szCs w:val="28"/>
        </w:rPr>
      </w:pPr>
    </w:p>
    <w:p w14:paraId="6D3C69BA" w14:textId="1FB32878" w:rsidR="00F775C3" w:rsidRPr="00F775C3" w:rsidRDefault="00F775C3" w:rsidP="00F775C3">
      <w:pPr>
        <w:rPr>
          <w:rFonts w:cstheme="majorHAnsi"/>
          <w:sz w:val="22"/>
          <w:szCs w:val="28"/>
        </w:rPr>
      </w:pPr>
      <w:r w:rsidRPr="00F775C3">
        <w:rPr>
          <w:rFonts w:cstheme="majorHAnsi"/>
          <w:sz w:val="22"/>
          <w:szCs w:val="28"/>
        </w:rPr>
        <w:t xml:space="preserve">The industry submissions also indicated the type of expenditure expected to be incurred. The allocation of expected cost between labour effort, capital and operating costs is provided in the table below. The analysis shows that </w:t>
      </w:r>
      <w:r w:rsidR="00F87B1F">
        <w:rPr>
          <w:rFonts w:cstheme="majorHAnsi"/>
          <w:sz w:val="22"/>
          <w:szCs w:val="28"/>
        </w:rPr>
        <w:t>43.8</w:t>
      </w:r>
      <w:r w:rsidRPr="00F775C3">
        <w:rPr>
          <w:rFonts w:cstheme="majorHAnsi"/>
          <w:sz w:val="22"/>
          <w:szCs w:val="28"/>
        </w:rPr>
        <w:t>% of one-off costs and 3</w:t>
      </w:r>
      <w:r w:rsidR="00F87B1F">
        <w:rPr>
          <w:rFonts w:cstheme="majorHAnsi"/>
          <w:sz w:val="22"/>
          <w:szCs w:val="28"/>
        </w:rPr>
        <w:t>5.8</w:t>
      </w:r>
      <w:r w:rsidRPr="00F775C3">
        <w:rPr>
          <w:rFonts w:cstheme="majorHAnsi"/>
          <w:sz w:val="22"/>
          <w:szCs w:val="28"/>
        </w:rPr>
        <w:t xml:space="preserve">% of ongoing costs are expected to be invested in capital. A relatively small share of costs is associated with labour effort </w:t>
      </w:r>
      <w:r w:rsidRPr="00F775C3">
        <w:rPr>
          <w:rFonts w:cstheme="majorHAnsi"/>
          <w:sz w:val="22"/>
          <w:szCs w:val="28"/>
        </w:rPr>
        <w:lastRenderedPageBreak/>
        <w:t>for one-off and ongoing costs (</w:t>
      </w:r>
      <w:r w:rsidR="00F87B1F">
        <w:rPr>
          <w:rFonts w:cstheme="majorHAnsi"/>
          <w:sz w:val="22"/>
          <w:szCs w:val="28"/>
        </w:rPr>
        <w:t>18.6</w:t>
      </w:r>
      <w:r w:rsidRPr="00F775C3">
        <w:rPr>
          <w:rFonts w:cstheme="majorHAnsi"/>
          <w:sz w:val="22"/>
          <w:szCs w:val="28"/>
        </w:rPr>
        <w:t xml:space="preserve">% for one-off costs and </w:t>
      </w:r>
      <w:r w:rsidR="00F87B1F">
        <w:rPr>
          <w:rFonts w:cstheme="majorHAnsi"/>
          <w:sz w:val="22"/>
          <w:szCs w:val="28"/>
        </w:rPr>
        <w:t>20.1</w:t>
      </w:r>
      <w:r w:rsidRPr="00F775C3">
        <w:rPr>
          <w:rFonts w:cstheme="majorHAnsi"/>
          <w:sz w:val="22"/>
          <w:szCs w:val="28"/>
        </w:rPr>
        <w:t>% for ongoing costs). Operating costs are the largest component of ongoing costs (44.</w:t>
      </w:r>
      <w:r w:rsidR="00F87B1F">
        <w:rPr>
          <w:rFonts w:cstheme="majorHAnsi"/>
          <w:sz w:val="22"/>
          <w:szCs w:val="28"/>
        </w:rPr>
        <w:t>1</w:t>
      </w:r>
      <w:r w:rsidRPr="00F775C3">
        <w:rPr>
          <w:rFonts w:cstheme="majorHAnsi"/>
          <w:sz w:val="22"/>
          <w:szCs w:val="28"/>
        </w:rPr>
        <w:t>% of total ongoing costs) and account for 3</w:t>
      </w:r>
      <w:r w:rsidR="00F87B1F">
        <w:rPr>
          <w:rFonts w:cstheme="majorHAnsi"/>
          <w:sz w:val="22"/>
          <w:szCs w:val="28"/>
        </w:rPr>
        <w:t>7.6</w:t>
      </w:r>
      <w:r w:rsidRPr="00F775C3">
        <w:rPr>
          <w:rFonts w:cstheme="majorHAnsi"/>
          <w:sz w:val="22"/>
          <w:szCs w:val="28"/>
        </w:rPr>
        <w:t xml:space="preserve">% of one-off costs. </w:t>
      </w:r>
    </w:p>
    <w:p w14:paraId="41B0E3A8" w14:textId="77777777" w:rsidR="00F775C3" w:rsidRPr="00F775C3" w:rsidRDefault="00F775C3" w:rsidP="00F775C3">
      <w:pPr>
        <w:keepNext/>
        <w:tabs>
          <w:tab w:val="left" w:pos="1134"/>
        </w:tabs>
        <w:spacing w:before="240"/>
        <w:rPr>
          <w:b/>
          <w:bCs/>
          <w:i/>
          <w:color w:val="034EA2" w:themeColor="accent1"/>
          <w:spacing w:val="-4"/>
          <w:sz w:val="18"/>
          <w:szCs w:val="18"/>
          <w:lang w:eastAsia="en-AU"/>
        </w:rPr>
      </w:pPr>
      <w:r w:rsidRPr="00F775C3">
        <w:rPr>
          <w:i/>
          <w:color w:val="034EA2" w:themeColor="accent1"/>
          <w:spacing w:val="-4"/>
          <w:sz w:val="18"/>
          <w:szCs w:val="18"/>
          <w:lang w:eastAsia="en-AU"/>
        </w:rPr>
        <w:t>Expected one-off and ongoing costs by cost type for critical freight infrastructure and critical freight services assets nationally</w:t>
      </w:r>
    </w:p>
    <w:tbl>
      <w:tblPr>
        <w:tblStyle w:val="TableGrid1112"/>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3024"/>
        <w:gridCol w:w="1652"/>
        <w:gridCol w:w="1654"/>
        <w:gridCol w:w="1654"/>
        <w:gridCol w:w="1654"/>
      </w:tblGrid>
      <w:tr w:rsidR="00F775C3" w:rsidRPr="00F775C3" w14:paraId="5E12F3BC" w14:textId="77777777" w:rsidTr="00C650A1">
        <w:tc>
          <w:tcPr>
            <w:tcW w:w="1569" w:type="pct"/>
            <w:vMerge w:val="restart"/>
            <w:shd w:val="clear" w:color="auto" w:fill="034EA2" w:themeFill="accent1"/>
            <w:hideMark/>
          </w:tcPr>
          <w:p w14:paraId="3A1A6AD7" w14:textId="77777777" w:rsidR="00F775C3" w:rsidRPr="00F775C3" w:rsidRDefault="00F775C3" w:rsidP="00F775C3">
            <w:pPr>
              <w:keepNext/>
              <w:rPr>
                <w:rFonts w:asciiTheme="minorHAnsi" w:hAnsiTheme="minorHAnsi" w:cstheme="minorHAnsi"/>
                <w:b/>
                <w:color w:val="FFFFFF" w:themeColor="background1"/>
                <w:lang w:eastAsia="en-AU"/>
              </w:rPr>
            </w:pPr>
            <w:r w:rsidRPr="00F775C3">
              <w:rPr>
                <w:rFonts w:asciiTheme="minorHAnsi" w:hAnsiTheme="minorHAnsi" w:cstheme="minorHAnsi"/>
                <w:b/>
                <w:color w:val="FFFFFF" w:themeColor="background1"/>
                <w:lang w:eastAsia="en-AU"/>
              </w:rPr>
              <w:t>Cost Type</w:t>
            </w:r>
          </w:p>
        </w:tc>
        <w:tc>
          <w:tcPr>
            <w:tcW w:w="3431" w:type="pct"/>
            <w:gridSpan w:val="4"/>
            <w:shd w:val="clear" w:color="auto" w:fill="034EA2" w:themeFill="accent1"/>
            <w:vAlign w:val="center"/>
            <w:hideMark/>
          </w:tcPr>
          <w:p w14:paraId="22818689" w14:textId="77777777" w:rsidR="00F775C3" w:rsidRPr="00F775C3" w:rsidRDefault="00F775C3" w:rsidP="00F775C3">
            <w:pPr>
              <w:keepNext/>
              <w:rPr>
                <w:rFonts w:asciiTheme="minorHAnsi" w:hAnsiTheme="minorHAnsi" w:cstheme="minorHAnsi"/>
                <w:b/>
                <w:color w:val="FFFFFF" w:themeColor="background1"/>
                <w:lang w:eastAsia="en-AU"/>
              </w:rPr>
            </w:pPr>
            <w:r w:rsidRPr="00F775C3">
              <w:rPr>
                <w:rFonts w:asciiTheme="minorHAnsi" w:hAnsiTheme="minorHAnsi" w:cstheme="minorHAnsi"/>
                <w:b/>
                <w:color w:val="FFFFFF" w:themeColor="background1"/>
                <w:lang w:eastAsia="en-AU"/>
              </w:rPr>
              <w:t xml:space="preserve">Costs </w:t>
            </w:r>
          </w:p>
        </w:tc>
      </w:tr>
      <w:tr w:rsidR="00F775C3" w:rsidRPr="00F775C3" w14:paraId="6A45F4E4" w14:textId="77777777" w:rsidTr="00C650A1">
        <w:tc>
          <w:tcPr>
            <w:tcW w:w="1569" w:type="pct"/>
            <w:vMerge/>
            <w:shd w:val="clear" w:color="auto" w:fill="007BC3" w:themeFill="accent2"/>
            <w:vAlign w:val="center"/>
            <w:hideMark/>
          </w:tcPr>
          <w:p w14:paraId="181D5575" w14:textId="77777777" w:rsidR="00F775C3" w:rsidRPr="00F775C3" w:rsidRDefault="00F775C3" w:rsidP="00F775C3">
            <w:pPr>
              <w:spacing w:before="60" w:after="60"/>
              <w:rPr>
                <w:rFonts w:asciiTheme="minorHAnsi" w:eastAsia="MS Mincho" w:hAnsiTheme="minorHAnsi" w:cstheme="minorHAnsi"/>
                <w:color w:val="000000" w:themeColor="text1"/>
                <w:szCs w:val="20"/>
                <w:lang w:val="en-US" w:eastAsia="en-AU"/>
              </w:rPr>
            </w:pPr>
          </w:p>
        </w:tc>
        <w:tc>
          <w:tcPr>
            <w:tcW w:w="857" w:type="pct"/>
            <w:shd w:val="clear" w:color="auto" w:fill="DEEAF6"/>
            <w:vAlign w:val="center"/>
            <w:hideMark/>
          </w:tcPr>
          <w:p w14:paraId="38641B08" w14:textId="77777777" w:rsidR="00F775C3" w:rsidRPr="00F775C3" w:rsidRDefault="00F775C3" w:rsidP="00F775C3">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 xml:space="preserve">One-off </w:t>
            </w:r>
            <w:r w:rsidRPr="00F775C3">
              <w:rPr>
                <w:rFonts w:asciiTheme="minorHAnsi" w:eastAsia="MS Mincho" w:hAnsiTheme="minorHAnsi" w:cstheme="minorHAnsi"/>
                <w:color w:val="000000"/>
                <w:szCs w:val="20"/>
                <w:lang w:val="en-US" w:eastAsia="en-AU"/>
              </w:rPr>
              <w:t>($ million)</w:t>
            </w:r>
          </w:p>
        </w:tc>
        <w:tc>
          <w:tcPr>
            <w:tcW w:w="858" w:type="pct"/>
            <w:shd w:val="clear" w:color="auto" w:fill="DEEAF6"/>
            <w:vAlign w:val="center"/>
            <w:hideMark/>
          </w:tcPr>
          <w:p w14:paraId="736DDE37" w14:textId="77777777" w:rsidR="00F775C3" w:rsidRPr="00F775C3" w:rsidRDefault="00F775C3" w:rsidP="00F775C3">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One-off</w:t>
            </w:r>
            <w:r w:rsidRPr="00F775C3">
              <w:rPr>
                <w:rFonts w:asciiTheme="minorHAnsi" w:eastAsia="MS Mincho" w:hAnsiTheme="minorHAnsi" w:cstheme="minorHAnsi"/>
                <w:color w:val="000000" w:themeColor="text1"/>
                <w:szCs w:val="20"/>
                <w:lang w:val="en-US" w:eastAsia="en-AU"/>
              </w:rPr>
              <w:br/>
              <w:t>(%)</w:t>
            </w:r>
          </w:p>
        </w:tc>
        <w:tc>
          <w:tcPr>
            <w:tcW w:w="858" w:type="pct"/>
            <w:shd w:val="clear" w:color="auto" w:fill="DEEAF6"/>
            <w:vAlign w:val="center"/>
            <w:hideMark/>
          </w:tcPr>
          <w:p w14:paraId="58F2DBCA" w14:textId="77777777" w:rsidR="00F775C3" w:rsidRPr="00F775C3" w:rsidRDefault="00F775C3" w:rsidP="00F775C3">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Ongoing</w:t>
            </w:r>
            <w:r w:rsidRPr="00F775C3">
              <w:rPr>
                <w:rFonts w:asciiTheme="minorHAnsi" w:eastAsia="MS Mincho" w:hAnsiTheme="minorHAnsi" w:cstheme="minorHAnsi"/>
                <w:color w:val="000000" w:themeColor="text1"/>
                <w:szCs w:val="20"/>
                <w:lang w:val="en-US" w:eastAsia="en-AU"/>
              </w:rPr>
              <w:br/>
              <w:t>(per year)</w:t>
            </w:r>
          </w:p>
        </w:tc>
        <w:tc>
          <w:tcPr>
            <w:tcW w:w="858" w:type="pct"/>
            <w:shd w:val="clear" w:color="auto" w:fill="DEEAF6"/>
            <w:vAlign w:val="center"/>
            <w:hideMark/>
          </w:tcPr>
          <w:p w14:paraId="77E6BF4D" w14:textId="77777777" w:rsidR="00F775C3" w:rsidRPr="00F775C3" w:rsidRDefault="00F775C3" w:rsidP="00F775C3">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Ongoing</w:t>
            </w:r>
            <w:r w:rsidRPr="00F775C3">
              <w:rPr>
                <w:rFonts w:asciiTheme="minorHAnsi" w:eastAsia="MS Mincho" w:hAnsiTheme="minorHAnsi" w:cstheme="minorHAnsi"/>
                <w:color w:val="000000" w:themeColor="text1"/>
                <w:szCs w:val="20"/>
                <w:lang w:val="en-US" w:eastAsia="en-AU"/>
              </w:rPr>
              <w:br/>
              <w:t>(%)</w:t>
            </w:r>
          </w:p>
        </w:tc>
      </w:tr>
      <w:tr w:rsidR="00F775C3" w:rsidRPr="00F775C3" w14:paraId="07E2975E" w14:textId="77777777" w:rsidTr="00C650A1">
        <w:tc>
          <w:tcPr>
            <w:tcW w:w="1569" w:type="pct"/>
            <w:shd w:val="clear" w:color="auto" w:fill="F2F2F2" w:themeFill="background1" w:themeFillShade="F2"/>
            <w:vAlign w:val="center"/>
            <w:hideMark/>
          </w:tcPr>
          <w:p w14:paraId="18D0BBDA" w14:textId="77777777" w:rsidR="00F775C3" w:rsidRPr="00F775C3" w:rsidRDefault="00F775C3" w:rsidP="00F775C3">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Labour effort</w:t>
            </w:r>
          </w:p>
        </w:tc>
        <w:tc>
          <w:tcPr>
            <w:tcW w:w="857" w:type="pct"/>
            <w:shd w:val="clear" w:color="auto" w:fill="FFFFFF" w:themeFill="background1"/>
            <w:vAlign w:val="center"/>
          </w:tcPr>
          <w:p w14:paraId="1AC358B0" w14:textId="78B65EC8"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1</w:t>
            </w:r>
            <w:r w:rsidR="0018136C">
              <w:rPr>
                <w:rFonts w:asciiTheme="minorHAnsi" w:eastAsia="MS Mincho" w:hAnsiTheme="minorHAnsi" w:cstheme="minorHAnsi"/>
                <w:color w:val="000000" w:themeColor="text1"/>
                <w:szCs w:val="20"/>
                <w:lang w:val="en-US"/>
              </w:rPr>
              <w:t>1.3</w:t>
            </w:r>
          </w:p>
        </w:tc>
        <w:tc>
          <w:tcPr>
            <w:tcW w:w="858" w:type="pct"/>
            <w:shd w:val="clear" w:color="auto" w:fill="FFFFFF" w:themeFill="background1"/>
            <w:vAlign w:val="center"/>
          </w:tcPr>
          <w:p w14:paraId="532E1E25" w14:textId="5FF37F4E"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1</w:t>
            </w:r>
            <w:r w:rsidR="0018136C">
              <w:rPr>
                <w:rFonts w:asciiTheme="minorHAnsi" w:eastAsia="MS Mincho" w:hAnsiTheme="minorHAnsi" w:cstheme="minorHAnsi"/>
                <w:color w:val="000000" w:themeColor="text1"/>
                <w:szCs w:val="20"/>
                <w:lang w:val="en-US"/>
              </w:rPr>
              <w:t>8.6</w:t>
            </w:r>
            <w:r w:rsidRPr="00F775C3">
              <w:rPr>
                <w:rFonts w:asciiTheme="minorHAnsi" w:eastAsia="MS Mincho" w:hAnsiTheme="minorHAnsi" w:cstheme="minorHAnsi"/>
                <w:color w:val="000000" w:themeColor="text1"/>
                <w:szCs w:val="20"/>
                <w:lang w:val="en-US"/>
              </w:rPr>
              <w:t>%</w:t>
            </w:r>
          </w:p>
        </w:tc>
        <w:tc>
          <w:tcPr>
            <w:tcW w:w="858" w:type="pct"/>
            <w:shd w:val="clear" w:color="auto" w:fill="FFFFFF" w:themeFill="background1"/>
            <w:vAlign w:val="center"/>
          </w:tcPr>
          <w:p w14:paraId="2B4752DA" w14:textId="74734009" w:rsidR="00F775C3" w:rsidRPr="00F775C3" w:rsidRDefault="00FA3D2F" w:rsidP="00F775C3">
            <w:pPr>
              <w:spacing w:before="60" w:after="60"/>
              <w:rPr>
                <w:rFonts w:asciiTheme="minorHAnsi" w:eastAsia="MS Mincho" w:hAnsiTheme="minorHAnsi" w:cstheme="minorHAnsi"/>
                <w:color w:val="000000" w:themeColor="text1"/>
                <w:szCs w:val="20"/>
                <w:highlight w:val="yellow"/>
                <w:lang w:val="en-US" w:eastAsia="en-AU"/>
              </w:rPr>
            </w:pPr>
            <w:r>
              <w:rPr>
                <w:rFonts w:asciiTheme="minorHAnsi" w:eastAsia="MS Mincho" w:hAnsiTheme="minorHAnsi" w:cstheme="minorHAnsi"/>
                <w:color w:val="000000" w:themeColor="text1"/>
                <w:szCs w:val="20"/>
                <w:lang w:val="en-US"/>
              </w:rPr>
              <w:t>10.1</w:t>
            </w:r>
          </w:p>
        </w:tc>
        <w:tc>
          <w:tcPr>
            <w:tcW w:w="858" w:type="pct"/>
            <w:shd w:val="clear" w:color="auto" w:fill="FFFFFF" w:themeFill="background1"/>
            <w:vAlign w:val="center"/>
          </w:tcPr>
          <w:p w14:paraId="6A422DC4" w14:textId="5DED88A6" w:rsidR="00F775C3" w:rsidRPr="00F775C3" w:rsidRDefault="00F87B1F" w:rsidP="00F775C3">
            <w:pPr>
              <w:spacing w:before="60" w:after="60"/>
              <w:rPr>
                <w:rFonts w:asciiTheme="minorHAnsi" w:eastAsia="MS Mincho" w:hAnsiTheme="minorHAnsi" w:cstheme="minorHAnsi"/>
                <w:color w:val="000000" w:themeColor="text1"/>
                <w:szCs w:val="20"/>
                <w:highlight w:val="yellow"/>
                <w:lang w:val="en-US" w:eastAsia="en-AU"/>
              </w:rPr>
            </w:pPr>
            <w:r>
              <w:rPr>
                <w:rFonts w:asciiTheme="minorHAnsi" w:eastAsia="MS Mincho" w:hAnsiTheme="minorHAnsi" w:cstheme="minorHAnsi"/>
                <w:color w:val="000000" w:themeColor="text1"/>
                <w:szCs w:val="20"/>
                <w:lang w:val="en-US"/>
              </w:rPr>
              <w:t>20.1</w:t>
            </w:r>
            <w:r w:rsidR="00F775C3" w:rsidRPr="00F775C3">
              <w:rPr>
                <w:rFonts w:asciiTheme="minorHAnsi" w:eastAsia="MS Mincho" w:hAnsiTheme="minorHAnsi" w:cstheme="minorHAnsi"/>
                <w:color w:val="000000" w:themeColor="text1"/>
                <w:szCs w:val="20"/>
                <w:lang w:val="en-US"/>
              </w:rPr>
              <w:t>%</w:t>
            </w:r>
          </w:p>
        </w:tc>
      </w:tr>
      <w:tr w:rsidR="00F775C3" w:rsidRPr="00F775C3" w14:paraId="4E148649" w14:textId="77777777" w:rsidTr="00C650A1">
        <w:tc>
          <w:tcPr>
            <w:tcW w:w="1569" w:type="pct"/>
            <w:shd w:val="clear" w:color="auto" w:fill="F2F2F2" w:themeFill="background1" w:themeFillShade="F2"/>
            <w:vAlign w:val="center"/>
            <w:hideMark/>
          </w:tcPr>
          <w:p w14:paraId="1AD5987D" w14:textId="77777777" w:rsidR="00F775C3" w:rsidRPr="00F775C3" w:rsidRDefault="00F775C3" w:rsidP="00F775C3">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Capital</w:t>
            </w:r>
          </w:p>
        </w:tc>
        <w:tc>
          <w:tcPr>
            <w:tcW w:w="857" w:type="pct"/>
            <w:shd w:val="clear" w:color="auto" w:fill="FFFFFF" w:themeFill="background1"/>
            <w:vAlign w:val="center"/>
          </w:tcPr>
          <w:p w14:paraId="0F47B4C0" w14:textId="77777777"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26.7</w:t>
            </w:r>
          </w:p>
        </w:tc>
        <w:tc>
          <w:tcPr>
            <w:tcW w:w="858" w:type="pct"/>
            <w:shd w:val="clear" w:color="auto" w:fill="FFFFFF" w:themeFill="background1"/>
            <w:vAlign w:val="center"/>
          </w:tcPr>
          <w:p w14:paraId="4CEDEC36" w14:textId="36DF8C10"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4</w:t>
            </w:r>
            <w:r w:rsidR="0018136C">
              <w:rPr>
                <w:rFonts w:asciiTheme="minorHAnsi" w:eastAsia="MS Mincho" w:hAnsiTheme="minorHAnsi" w:cstheme="minorHAnsi"/>
                <w:color w:val="000000" w:themeColor="text1"/>
                <w:szCs w:val="20"/>
                <w:lang w:val="en-US"/>
              </w:rPr>
              <w:t>3.8</w:t>
            </w:r>
            <w:r w:rsidRPr="00F775C3">
              <w:rPr>
                <w:rFonts w:asciiTheme="minorHAnsi" w:eastAsia="MS Mincho" w:hAnsiTheme="minorHAnsi" w:cstheme="minorHAnsi"/>
                <w:color w:val="000000" w:themeColor="text1"/>
                <w:szCs w:val="20"/>
                <w:lang w:val="en-US"/>
              </w:rPr>
              <w:t>%</w:t>
            </w:r>
          </w:p>
        </w:tc>
        <w:tc>
          <w:tcPr>
            <w:tcW w:w="858" w:type="pct"/>
            <w:shd w:val="clear" w:color="auto" w:fill="FFFFFF" w:themeFill="background1"/>
            <w:vAlign w:val="center"/>
          </w:tcPr>
          <w:p w14:paraId="5E8BB1E0" w14:textId="77777777"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17.9</w:t>
            </w:r>
          </w:p>
        </w:tc>
        <w:tc>
          <w:tcPr>
            <w:tcW w:w="858" w:type="pct"/>
            <w:shd w:val="clear" w:color="auto" w:fill="FFFFFF" w:themeFill="background1"/>
            <w:vAlign w:val="center"/>
          </w:tcPr>
          <w:p w14:paraId="3033CB8C" w14:textId="1B922430"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3</w:t>
            </w:r>
            <w:r w:rsidR="00F87B1F">
              <w:rPr>
                <w:rFonts w:asciiTheme="minorHAnsi" w:eastAsia="MS Mincho" w:hAnsiTheme="minorHAnsi" w:cstheme="minorHAnsi"/>
                <w:color w:val="000000" w:themeColor="text1"/>
                <w:szCs w:val="20"/>
                <w:lang w:val="en-US"/>
              </w:rPr>
              <w:t>5.8</w:t>
            </w:r>
            <w:r w:rsidRPr="00F775C3">
              <w:rPr>
                <w:rFonts w:asciiTheme="minorHAnsi" w:eastAsia="MS Mincho" w:hAnsiTheme="minorHAnsi" w:cstheme="minorHAnsi"/>
                <w:color w:val="000000" w:themeColor="text1"/>
                <w:szCs w:val="20"/>
                <w:lang w:val="en-US"/>
              </w:rPr>
              <w:t>%</w:t>
            </w:r>
          </w:p>
        </w:tc>
      </w:tr>
      <w:tr w:rsidR="00F775C3" w:rsidRPr="00F775C3" w14:paraId="4299F2F8" w14:textId="77777777" w:rsidTr="00C650A1">
        <w:tc>
          <w:tcPr>
            <w:tcW w:w="1569" w:type="pct"/>
            <w:shd w:val="clear" w:color="auto" w:fill="F2F2F2" w:themeFill="background1" w:themeFillShade="F2"/>
            <w:vAlign w:val="center"/>
            <w:hideMark/>
          </w:tcPr>
          <w:p w14:paraId="047082DA" w14:textId="77777777" w:rsidR="00F775C3" w:rsidRPr="00F775C3" w:rsidRDefault="00F775C3" w:rsidP="00F775C3">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Operating</w:t>
            </w:r>
          </w:p>
        </w:tc>
        <w:tc>
          <w:tcPr>
            <w:tcW w:w="857" w:type="pct"/>
            <w:shd w:val="clear" w:color="auto" w:fill="FFFFFF" w:themeFill="background1"/>
            <w:vAlign w:val="center"/>
          </w:tcPr>
          <w:p w14:paraId="6B58A0FC" w14:textId="77777777"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22.9</w:t>
            </w:r>
          </w:p>
        </w:tc>
        <w:tc>
          <w:tcPr>
            <w:tcW w:w="858" w:type="pct"/>
            <w:shd w:val="clear" w:color="auto" w:fill="FFFFFF" w:themeFill="background1"/>
            <w:vAlign w:val="center"/>
          </w:tcPr>
          <w:p w14:paraId="4224E1CD" w14:textId="1687B344"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3</w:t>
            </w:r>
            <w:r w:rsidR="0018136C">
              <w:rPr>
                <w:rFonts w:asciiTheme="minorHAnsi" w:eastAsia="MS Mincho" w:hAnsiTheme="minorHAnsi" w:cstheme="minorHAnsi"/>
                <w:color w:val="000000" w:themeColor="text1"/>
                <w:szCs w:val="20"/>
                <w:lang w:val="en-US"/>
              </w:rPr>
              <w:t>7.6</w:t>
            </w:r>
            <w:r w:rsidRPr="00F775C3">
              <w:rPr>
                <w:rFonts w:asciiTheme="minorHAnsi" w:eastAsia="MS Mincho" w:hAnsiTheme="minorHAnsi" w:cstheme="minorHAnsi"/>
                <w:color w:val="000000" w:themeColor="text1"/>
                <w:szCs w:val="20"/>
                <w:lang w:val="en-US"/>
              </w:rPr>
              <w:t>%</w:t>
            </w:r>
          </w:p>
        </w:tc>
        <w:tc>
          <w:tcPr>
            <w:tcW w:w="858" w:type="pct"/>
            <w:shd w:val="clear" w:color="auto" w:fill="FFFFFF" w:themeFill="background1"/>
            <w:vAlign w:val="center"/>
          </w:tcPr>
          <w:p w14:paraId="1BF751DD" w14:textId="77777777"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22.1</w:t>
            </w:r>
          </w:p>
        </w:tc>
        <w:tc>
          <w:tcPr>
            <w:tcW w:w="858" w:type="pct"/>
            <w:shd w:val="clear" w:color="auto" w:fill="FFFFFF" w:themeFill="background1"/>
            <w:vAlign w:val="center"/>
          </w:tcPr>
          <w:p w14:paraId="7A0C3D56" w14:textId="540C9F49" w:rsidR="00F775C3" w:rsidRPr="00F775C3" w:rsidRDefault="00F775C3" w:rsidP="00F775C3">
            <w:pPr>
              <w:spacing w:before="60" w:after="60"/>
              <w:rPr>
                <w:rFonts w:asciiTheme="minorHAnsi" w:eastAsia="MS Mincho" w:hAnsiTheme="minorHAnsi" w:cstheme="minorHAnsi"/>
                <w:color w:val="000000" w:themeColor="text1"/>
                <w:szCs w:val="20"/>
                <w:highlight w:val="yellow"/>
                <w:lang w:val="en-US" w:eastAsia="en-AU"/>
              </w:rPr>
            </w:pPr>
            <w:r w:rsidRPr="00F775C3">
              <w:rPr>
                <w:rFonts w:asciiTheme="minorHAnsi" w:eastAsia="MS Mincho" w:hAnsiTheme="minorHAnsi" w:cstheme="minorHAnsi"/>
                <w:color w:val="000000" w:themeColor="text1"/>
                <w:szCs w:val="20"/>
                <w:lang w:val="en-US"/>
              </w:rPr>
              <w:t>44.</w:t>
            </w:r>
            <w:r w:rsidR="00F87B1F">
              <w:rPr>
                <w:rFonts w:asciiTheme="minorHAnsi" w:eastAsia="MS Mincho" w:hAnsiTheme="minorHAnsi" w:cstheme="minorHAnsi"/>
                <w:color w:val="000000" w:themeColor="text1"/>
                <w:szCs w:val="20"/>
                <w:lang w:val="en-US"/>
              </w:rPr>
              <w:t>1</w:t>
            </w:r>
            <w:r w:rsidRPr="00F775C3">
              <w:rPr>
                <w:rFonts w:asciiTheme="minorHAnsi" w:eastAsia="MS Mincho" w:hAnsiTheme="minorHAnsi" w:cstheme="minorHAnsi"/>
                <w:color w:val="000000" w:themeColor="text1"/>
                <w:szCs w:val="20"/>
                <w:lang w:val="en-US"/>
              </w:rPr>
              <w:t>%</w:t>
            </w:r>
          </w:p>
        </w:tc>
      </w:tr>
      <w:tr w:rsidR="00F775C3" w:rsidRPr="00F775C3" w14:paraId="770BEDC4" w14:textId="77777777" w:rsidTr="00C650A1">
        <w:tc>
          <w:tcPr>
            <w:tcW w:w="1569" w:type="pct"/>
            <w:shd w:val="clear" w:color="auto" w:fill="034EA2" w:themeFill="accent1"/>
            <w:vAlign w:val="center"/>
            <w:hideMark/>
          </w:tcPr>
          <w:p w14:paraId="270AEF22" w14:textId="77777777" w:rsidR="00F775C3" w:rsidRPr="00F775C3" w:rsidRDefault="00F775C3" w:rsidP="00F775C3">
            <w:pPr>
              <w:keepNext/>
              <w:rPr>
                <w:rFonts w:asciiTheme="minorHAnsi" w:hAnsiTheme="minorHAnsi" w:cstheme="minorHAnsi"/>
                <w:b/>
                <w:color w:val="FFFFFF" w:themeColor="background1"/>
              </w:rPr>
            </w:pPr>
            <w:r w:rsidRPr="00F775C3">
              <w:rPr>
                <w:rFonts w:asciiTheme="minorHAnsi" w:hAnsiTheme="minorHAnsi" w:cstheme="minorHAnsi"/>
                <w:b/>
                <w:color w:val="FFFFFF" w:themeColor="background1"/>
              </w:rPr>
              <w:t>Total critical freight infrastructure and critical freight services assets</w:t>
            </w:r>
          </w:p>
        </w:tc>
        <w:tc>
          <w:tcPr>
            <w:tcW w:w="857" w:type="pct"/>
            <w:shd w:val="clear" w:color="auto" w:fill="034EA2" w:themeFill="accent1"/>
            <w:vAlign w:val="center"/>
          </w:tcPr>
          <w:p w14:paraId="6984B96D" w14:textId="63E87EFD" w:rsidR="00F775C3" w:rsidRPr="00F775C3" w:rsidRDefault="0018136C" w:rsidP="00F775C3">
            <w:pPr>
              <w:keepNext/>
              <w:rPr>
                <w:rFonts w:asciiTheme="minorHAnsi" w:hAnsiTheme="minorHAnsi" w:cstheme="minorHAnsi"/>
                <w:b/>
                <w:color w:val="FFFFFF" w:themeColor="background1"/>
              </w:rPr>
            </w:pPr>
            <w:r>
              <w:rPr>
                <w:rFonts w:asciiTheme="minorHAnsi" w:hAnsiTheme="minorHAnsi" w:cstheme="minorHAnsi"/>
                <w:b/>
                <w:color w:val="FFFFFF" w:themeColor="background1"/>
              </w:rPr>
              <w:t>60</w:t>
            </w:r>
            <w:r w:rsidR="00F775C3" w:rsidRPr="00F775C3">
              <w:rPr>
                <w:rFonts w:asciiTheme="minorHAnsi" w:hAnsiTheme="minorHAnsi" w:cstheme="minorHAnsi"/>
                <w:b/>
                <w:color w:val="FFFFFF" w:themeColor="background1"/>
              </w:rPr>
              <w:t>.9</w:t>
            </w:r>
          </w:p>
        </w:tc>
        <w:tc>
          <w:tcPr>
            <w:tcW w:w="858" w:type="pct"/>
            <w:shd w:val="clear" w:color="auto" w:fill="034EA2" w:themeFill="accent1"/>
            <w:vAlign w:val="center"/>
          </w:tcPr>
          <w:p w14:paraId="23CA6EC7" w14:textId="77777777" w:rsidR="00F775C3" w:rsidRPr="00F775C3" w:rsidRDefault="00F775C3" w:rsidP="00F775C3">
            <w:pPr>
              <w:keepNext/>
              <w:rPr>
                <w:rFonts w:asciiTheme="minorHAnsi" w:hAnsiTheme="minorHAnsi" w:cstheme="minorHAnsi"/>
                <w:b/>
                <w:color w:val="FFFFFF" w:themeColor="background1"/>
              </w:rPr>
            </w:pPr>
            <w:r w:rsidRPr="00F775C3">
              <w:rPr>
                <w:rFonts w:asciiTheme="minorHAnsi" w:hAnsiTheme="minorHAnsi" w:cstheme="minorHAnsi"/>
                <w:b/>
                <w:color w:val="FFFFFF" w:themeColor="background1"/>
              </w:rPr>
              <w:t>100%</w:t>
            </w:r>
          </w:p>
        </w:tc>
        <w:tc>
          <w:tcPr>
            <w:tcW w:w="858" w:type="pct"/>
            <w:shd w:val="clear" w:color="auto" w:fill="034EA2" w:themeFill="accent1"/>
            <w:vAlign w:val="center"/>
          </w:tcPr>
          <w:p w14:paraId="28089C84" w14:textId="369377C5" w:rsidR="00F775C3" w:rsidRPr="00F775C3" w:rsidRDefault="00FA3D2F" w:rsidP="00F775C3">
            <w:pPr>
              <w:keepNext/>
              <w:rPr>
                <w:rFonts w:asciiTheme="minorHAnsi" w:hAnsiTheme="minorHAnsi" w:cstheme="minorHAnsi"/>
                <w:b/>
                <w:color w:val="FFFFFF" w:themeColor="background1"/>
              </w:rPr>
            </w:pPr>
            <w:r>
              <w:rPr>
                <w:rFonts w:asciiTheme="minorHAnsi" w:hAnsiTheme="minorHAnsi" w:cstheme="minorHAnsi"/>
                <w:b/>
                <w:color w:val="FFFFFF" w:themeColor="background1"/>
              </w:rPr>
              <w:t>50.0</w:t>
            </w:r>
          </w:p>
        </w:tc>
        <w:tc>
          <w:tcPr>
            <w:tcW w:w="858" w:type="pct"/>
            <w:shd w:val="clear" w:color="auto" w:fill="034EA2" w:themeFill="accent1"/>
            <w:vAlign w:val="center"/>
          </w:tcPr>
          <w:p w14:paraId="6D692DB8" w14:textId="77777777" w:rsidR="00F775C3" w:rsidRPr="00F775C3" w:rsidRDefault="00F775C3" w:rsidP="00F775C3">
            <w:pPr>
              <w:keepNext/>
              <w:rPr>
                <w:rFonts w:asciiTheme="minorHAnsi" w:hAnsiTheme="minorHAnsi" w:cstheme="minorHAnsi"/>
                <w:b/>
                <w:color w:val="FFFFFF" w:themeColor="background1"/>
              </w:rPr>
            </w:pPr>
            <w:r w:rsidRPr="00F775C3">
              <w:rPr>
                <w:rFonts w:asciiTheme="minorHAnsi" w:hAnsiTheme="minorHAnsi" w:cstheme="minorHAnsi"/>
                <w:b/>
                <w:color w:val="FFFFFF" w:themeColor="background1"/>
              </w:rPr>
              <w:t>100.0%</w:t>
            </w:r>
          </w:p>
        </w:tc>
      </w:tr>
    </w:tbl>
    <w:p w14:paraId="78DEEB3C" w14:textId="77777777" w:rsidR="00FD765A" w:rsidRPr="00FD765A" w:rsidRDefault="00FD765A" w:rsidP="00FD765A">
      <w:pPr>
        <w:keepNext/>
        <w:keepLines/>
        <w:tabs>
          <w:tab w:val="left" w:pos="851"/>
        </w:tabs>
        <w:spacing w:before="360"/>
        <w:outlineLvl w:val="1"/>
        <w:rPr>
          <w:rFonts w:asciiTheme="majorHAnsi" w:eastAsia="Times New Roman" w:hAnsiTheme="majorHAnsi" w:cs="Arial"/>
          <w:b/>
          <w:bCs/>
          <w:color w:val="007BC3" w:themeColor="accent2"/>
          <w:sz w:val="28"/>
          <w:szCs w:val="28"/>
          <w:lang w:eastAsia="en-AU"/>
        </w:rPr>
      </w:pPr>
      <w:r w:rsidRPr="00FD765A">
        <w:rPr>
          <w:rFonts w:asciiTheme="majorHAnsi" w:eastAsia="Times New Roman" w:hAnsiTheme="majorHAnsi" w:cs="Arial"/>
          <w:b/>
          <w:bCs/>
          <w:color w:val="007BC3" w:themeColor="accent2"/>
          <w:sz w:val="28"/>
          <w:szCs w:val="28"/>
          <w:lang w:eastAsia="en-AU"/>
        </w:rPr>
        <w:t>Benefits of option 2</w:t>
      </w:r>
    </w:p>
    <w:p w14:paraId="1AF343C0" w14:textId="77777777" w:rsidR="00FD765A" w:rsidRPr="00FD765A" w:rsidRDefault="00FD765A" w:rsidP="00FD765A">
      <w:pPr>
        <w:rPr>
          <w:rFonts w:cstheme="majorHAnsi"/>
          <w:sz w:val="22"/>
          <w:szCs w:val="28"/>
        </w:rPr>
      </w:pPr>
      <w:r w:rsidRPr="00FD765A">
        <w:rPr>
          <w:rFonts w:cstheme="majorHAnsi"/>
          <w:sz w:val="22"/>
          <w:szCs w:val="28"/>
        </w:rPr>
        <w:t>A reliable and resilient freight infrastructure and services network is central to Australia’s prosperity. Further, disruption to its operation can lead to significant cost and impact on the economy. The RMP framework aims to reduce the frequency and impact of any disruption to supply and so its primary benefit is to avoid the incidents that may otherwise disrupt supply and cause economic loss.</w:t>
      </w:r>
    </w:p>
    <w:p w14:paraId="017AE669" w14:textId="77777777" w:rsidR="00FD765A" w:rsidRPr="00FD765A" w:rsidRDefault="00FD765A" w:rsidP="00FD765A">
      <w:pPr>
        <w:keepNext/>
        <w:keepLines/>
        <w:tabs>
          <w:tab w:val="left" w:pos="851"/>
        </w:tabs>
        <w:spacing w:before="240" w:line="264" w:lineRule="auto"/>
        <w:outlineLvl w:val="2"/>
        <w:rPr>
          <w:rFonts w:asciiTheme="majorHAnsi" w:eastAsia="Calibri" w:hAnsiTheme="majorHAnsi" w:cs="Times New Roman"/>
          <w:b/>
          <w:bCs/>
          <w:sz w:val="24"/>
          <w:szCs w:val="24"/>
          <w:lang w:eastAsia="en-AU"/>
        </w:rPr>
      </w:pPr>
      <w:r w:rsidRPr="00FD765A">
        <w:rPr>
          <w:rFonts w:asciiTheme="majorHAnsi" w:eastAsia="Calibri" w:hAnsiTheme="majorHAnsi" w:cs="Times New Roman"/>
          <w:b/>
          <w:bCs/>
          <w:sz w:val="24"/>
          <w:szCs w:val="24"/>
          <w:lang w:eastAsia="en-AU"/>
        </w:rPr>
        <w:t xml:space="preserve">Economic impacts of disruptions to freight infrastructure and freight services </w:t>
      </w:r>
    </w:p>
    <w:p w14:paraId="62E5EC76" w14:textId="77777777" w:rsidR="00FD765A" w:rsidRPr="00FD765A" w:rsidRDefault="00FD765A" w:rsidP="00FD765A">
      <w:pPr>
        <w:rPr>
          <w:rFonts w:cstheme="majorHAnsi"/>
          <w:sz w:val="22"/>
          <w:szCs w:val="28"/>
          <w:lang w:eastAsia="en-AU"/>
        </w:rPr>
      </w:pPr>
      <w:r w:rsidRPr="00FD765A">
        <w:rPr>
          <w:rFonts w:cstheme="majorHAnsi"/>
          <w:sz w:val="22"/>
          <w:szCs w:val="28"/>
          <w:lang w:eastAsia="en-AU"/>
        </w:rPr>
        <w:t>Disruption of freight infrastructure and freight services, which form crucial parts of the supply chain for Australian imports, exports, and domestic consumption, can affect businesses and households alike. Such disruptions can have costly immediate and longer-term impacts on the economy. The immediate impacts of a disruption to freight infrastructure and freight services are those associated with reduced capacity and increased costs, such as:</w:t>
      </w:r>
    </w:p>
    <w:p w14:paraId="29AD4C0D" w14:textId="77777777" w:rsidR="00FD765A" w:rsidRPr="00FD765A" w:rsidRDefault="00FD765A" w:rsidP="00FD765A">
      <w:pPr>
        <w:numPr>
          <w:ilvl w:val="0"/>
          <w:numId w:val="57"/>
        </w:numPr>
        <w:spacing w:before="80" w:after="80"/>
        <w:rPr>
          <w:rFonts w:cstheme="majorBidi"/>
          <w:sz w:val="22"/>
        </w:rPr>
      </w:pPr>
      <w:r w:rsidRPr="7EBB1CEE">
        <w:rPr>
          <w:rFonts w:cstheme="majorBidi"/>
          <w:sz w:val="22"/>
        </w:rPr>
        <w:t>Reduced economic activity (e.g. disrupted movement of consumer goods and subsequent impacts on business);</w:t>
      </w:r>
    </w:p>
    <w:p w14:paraId="784B6436" w14:textId="77777777" w:rsidR="00FD765A" w:rsidRPr="00FD765A" w:rsidRDefault="00FD765A" w:rsidP="00FD765A">
      <w:pPr>
        <w:numPr>
          <w:ilvl w:val="0"/>
          <w:numId w:val="57"/>
        </w:numPr>
        <w:spacing w:before="80" w:after="80"/>
        <w:rPr>
          <w:rFonts w:cstheme="majorBidi"/>
          <w:sz w:val="22"/>
        </w:rPr>
      </w:pPr>
      <w:r w:rsidRPr="7EBB1CEE">
        <w:rPr>
          <w:rFonts w:cstheme="majorBidi"/>
          <w:sz w:val="22"/>
        </w:rPr>
        <w:t xml:space="preserve">Lost productivity as a result of reduced economic activity (e.g. workers may be idle whilst continuing to receive wages); </w:t>
      </w:r>
    </w:p>
    <w:p w14:paraId="7F50757B" w14:textId="77777777" w:rsidR="00FD765A" w:rsidRPr="00FD765A" w:rsidRDefault="00FD765A" w:rsidP="00FD765A">
      <w:pPr>
        <w:numPr>
          <w:ilvl w:val="0"/>
          <w:numId w:val="57"/>
        </w:numPr>
        <w:spacing w:before="80" w:after="80"/>
        <w:rPr>
          <w:rFonts w:cstheme="majorBidi"/>
          <w:sz w:val="22"/>
        </w:rPr>
      </w:pPr>
      <w:r w:rsidRPr="7EBB1CEE">
        <w:rPr>
          <w:rFonts w:cstheme="majorBidi"/>
          <w:sz w:val="22"/>
        </w:rPr>
        <w:t>Lost wages (e.g. workers may be sent home or unable to go to work); and</w:t>
      </w:r>
    </w:p>
    <w:p w14:paraId="4CB7F847" w14:textId="77777777" w:rsidR="00FD765A" w:rsidRPr="00FD765A" w:rsidRDefault="00FD765A" w:rsidP="00FD765A">
      <w:pPr>
        <w:numPr>
          <w:ilvl w:val="0"/>
          <w:numId w:val="57"/>
        </w:numPr>
        <w:spacing w:before="80" w:after="80"/>
        <w:rPr>
          <w:rFonts w:cstheme="majorBidi"/>
          <w:sz w:val="22"/>
        </w:rPr>
      </w:pPr>
      <w:r w:rsidRPr="7EBB1CEE">
        <w:rPr>
          <w:rFonts w:cstheme="majorBidi"/>
          <w:sz w:val="22"/>
        </w:rPr>
        <w:t xml:space="preserve">Spoiled goods (e.g. perishable goods may be unsuitable for sale or consumption due to delayed caused by reduced freight capacity). </w:t>
      </w:r>
    </w:p>
    <w:p w14:paraId="48BC9ABA" w14:textId="77777777" w:rsidR="00FD765A" w:rsidRPr="00FD765A" w:rsidRDefault="00FD765A" w:rsidP="00FD765A">
      <w:pPr>
        <w:rPr>
          <w:rFonts w:ascii="Arial" w:eastAsia="Calibri" w:hAnsi="Arial" w:cs="Arial"/>
          <w:sz w:val="22"/>
          <w:szCs w:val="28"/>
        </w:rPr>
      </w:pPr>
      <w:r w:rsidRPr="00FD765A">
        <w:rPr>
          <w:rFonts w:cstheme="majorHAnsi"/>
          <w:sz w:val="22"/>
          <w:szCs w:val="28"/>
        </w:rPr>
        <w:t xml:space="preserve">Computable General Equilibrium (CGE) modelling was used to illustrate how costly the disruption could potentially be by examining a hypothetical shock (i.e. reduced freight capacity) and an associated increase in input costs (i.e. an increase in the cost of </w:t>
      </w:r>
      <w:r w:rsidRPr="00FD765A">
        <w:rPr>
          <w:rFonts w:cstheme="majorHAnsi"/>
          <w:color w:val="000000" w:themeColor="text1"/>
          <w:sz w:val="22"/>
          <w:szCs w:val="28"/>
        </w:rPr>
        <w:t>freight infrastructure or services</w:t>
      </w:r>
      <w:r w:rsidRPr="00FD765A">
        <w:rPr>
          <w:rFonts w:cstheme="majorHAnsi"/>
          <w:sz w:val="22"/>
          <w:szCs w:val="28"/>
        </w:rPr>
        <w:t>). The advantage of using a CGE approach is that both the direct and indirect (i.e. fl</w:t>
      </w:r>
      <w:r w:rsidRPr="00FD765A">
        <w:rPr>
          <w:rFonts w:ascii="Arial" w:eastAsia="Calibri" w:hAnsi="Arial" w:cs="Arial"/>
          <w:sz w:val="22"/>
          <w:szCs w:val="28"/>
        </w:rPr>
        <w:t>ow-on) economic impacts of a power outage event can be quantified.</w:t>
      </w:r>
    </w:p>
    <w:p w14:paraId="0688B0BC" w14:textId="77777777" w:rsidR="00FD765A" w:rsidRPr="00FD765A" w:rsidRDefault="00FD765A" w:rsidP="00FD765A">
      <w:pPr>
        <w:keepNext/>
        <w:keepLines/>
        <w:tabs>
          <w:tab w:val="left" w:pos="851"/>
        </w:tabs>
        <w:spacing w:before="240" w:line="264" w:lineRule="auto"/>
        <w:outlineLvl w:val="2"/>
        <w:rPr>
          <w:rFonts w:asciiTheme="majorHAnsi" w:eastAsia="Times New Roman" w:hAnsiTheme="majorHAnsi" w:cs="Times New Roman"/>
          <w:b/>
          <w:bCs/>
          <w:sz w:val="24"/>
          <w:szCs w:val="24"/>
          <w:lang w:eastAsia="en-AU"/>
        </w:rPr>
      </w:pPr>
      <w:r w:rsidRPr="00FD765A">
        <w:rPr>
          <w:rFonts w:asciiTheme="majorHAnsi" w:eastAsia="Times New Roman" w:hAnsiTheme="majorHAnsi" w:cs="Times New Roman"/>
          <w:b/>
          <w:bCs/>
          <w:sz w:val="24"/>
          <w:szCs w:val="24"/>
          <w:lang w:eastAsia="en-AU"/>
        </w:rPr>
        <w:t xml:space="preserve">CGE Modelling Approach </w:t>
      </w:r>
    </w:p>
    <w:p w14:paraId="44F0C3A2" w14:textId="77777777" w:rsidR="00FD765A" w:rsidRPr="00FD765A" w:rsidRDefault="00FD765A" w:rsidP="00FD765A">
      <w:pPr>
        <w:rPr>
          <w:rFonts w:cstheme="majorHAnsi"/>
          <w:sz w:val="22"/>
          <w:szCs w:val="28"/>
        </w:rPr>
      </w:pPr>
      <w:r w:rsidRPr="00FD765A">
        <w:rPr>
          <w:rFonts w:cstheme="majorHAnsi"/>
          <w:sz w:val="22"/>
          <w:szCs w:val="28"/>
        </w:rPr>
        <w:t xml:space="preserve">To analyse the direct and indirect economic contributions of a freight disruption due 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w:t>
      </w:r>
      <w:r w:rsidRPr="00FD765A">
        <w:rPr>
          <w:rFonts w:cstheme="majorHAnsi"/>
          <w:sz w:val="22"/>
          <w:szCs w:val="28"/>
        </w:rPr>
        <w:lastRenderedPageBreak/>
        <w:t xml:space="preserve">consumers, investors, producers and governments operating in domestic and foreign goods, capital and labour markets. </w:t>
      </w:r>
    </w:p>
    <w:p w14:paraId="638E058D" w14:textId="77777777" w:rsidR="00FD765A" w:rsidRPr="00FD765A" w:rsidRDefault="00FD765A" w:rsidP="00FD765A">
      <w:pPr>
        <w:rPr>
          <w:rFonts w:cstheme="majorHAnsi"/>
          <w:sz w:val="22"/>
          <w:szCs w:val="28"/>
        </w:rPr>
      </w:pPr>
      <w:r w:rsidRPr="00FD765A">
        <w:rPr>
          <w:rFonts w:cstheme="majorHAnsi"/>
          <w:sz w:val="22"/>
          <w:szCs w:val="28"/>
        </w:rPr>
        <w:t xml:space="preserve">Defining features of the theoretical structure of the model are: </w:t>
      </w:r>
    </w:p>
    <w:p w14:paraId="5A77DB0C" w14:textId="77777777" w:rsidR="00FD765A" w:rsidRPr="00FD765A" w:rsidRDefault="00FD765A" w:rsidP="00FD765A">
      <w:pPr>
        <w:numPr>
          <w:ilvl w:val="0"/>
          <w:numId w:val="57"/>
        </w:numPr>
        <w:rPr>
          <w:rFonts w:ascii="Calibri" w:eastAsia="Times New Roman" w:hAnsi="Calibri" w:cs="Times New Roman"/>
          <w:sz w:val="22"/>
        </w:rPr>
      </w:pPr>
      <w:r w:rsidRPr="7EBB1CEE">
        <w:rPr>
          <w:rFonts w:cstheme="majorBidi"/>
          <w:sz w:val="22"/>
        </w:rPr>
        <w:t xml:space="preserve">Optimising behaviour by households and businesses in the context of competitive markets with explicit resource and budget constraints; </w:t>
      </w:r>
    </w:p>
    <w:p w14:paraId="431B399F" w14:textId="77777777" w:rsidR="00FD765A" w:rsidRPr="00FD765A" w:rsidRDefault="00FD765A" w:rsidP="00FD765A">
      <w:pPr>
        <w:numPr>
          <w:ilvl w:val="0"/>
          <w:numId w:val="57"/>
        </w:numPr>
        <w:rPr>
          <w:rFonts w:ascii="Calibri" w:eastAsia="Times New Roman" w:hAnsi="Calibri" w:cs="Times New Roman"/>
          <w:sz w:val="22"/>
        </w:rPr>
      </w:pPr>
      <w:r w:rsidRPr="7EBB1CEE">
        <w:rPr>
          <w:rFonts w:cstheme="majorBidi"/>
          <w:sz w:val="22"/>
        </w:rPr>
        <w:t xml:space="preserve">The price mechanism operates to clear markets for goods and factors such as labour and capital (i.e. prices adjust so that supply equals demand); and </w:t>
      </w:r>
    </w:p>
    <w:p w14:paraId="067E4F93" w14:textId="77777777" w:rsidR="00FD765A" w:rsidRPr="00FD765A" w:rsidRDefault="00FD765A" w:rsidP="00FD765A">
      <w:pPr>
        <w:numPr>
          <w:ilvl w:val="0"/>
          <w:numId w:val="57"/>
        </w:numPr>
        <w:rPr>
          <w:rFonts w:cstheme="majorBidi"/>
          <w:sz w:val="22"/>
        </w:rPr>
      </w:pPr>
      <w:r w:rsidRPr="7EBB1CEE">
        <w:rPr>
          <w:rFonts w:cstheme="majorBidi"/>
          <w:sz w:val="22"/>
        </w:rPr>
        <w:t xml:space="preserve">At the margin, costs are equal to revenues in all economic activities. </w:t>
      </w:r>
    </w:p>
    <w:p w14:paraId="36BF6078" w14:textId="77777777" w:rsidR="00FD765A" w:rsidRPr="00FD765A" w:rsidRDefault="00FD765A" w:rsidP="00FD765A">
      <w:pPr>
        <w:rPr>
          <w:rFonts w:cstheme="majorHAnsi"/>
          <w:sz w:val="22"/>
          <w:szCs w:val="28"/>
        </w:rPr>
      </w:pPr>
      <w:r w:rsidRPr="00FD765A">
        <w:rPr>
          <w:rFonts w:cstheme="majorHAnsi"/>
          <w:sz w:val="22"/>
          <w:szCs w:val="28"/>
        </w:rPr>
        <w:t xml:space="preserve">The modelling framework is suited to analysing the economic impact of a freight disruption as it explicitly captures supply-chain linkages as well as other flow-on effects and feedback responses by all economic agents. The strength of CGE models is that they capture the upstream and </w:t>
      </w:r>
      <w:r w:rsidRPr="00FD765A">
        <w:rPr>
          <w:rFonts w:cstheme="majorHAnsi"/>
          <w:color w:val="000000" w:themeColor="text1"/>
          <w:sz w:val="22"/>
          <w:szCs w:val="28"/>
        </w:rPr>
        <w:t xml:space="preserve">downstream linkages between the activities induced by the </w:t>
      </w:r>
      <w:r w:rsidRPr="00FD765A">
        <w:rPr>
          <w:rFonts w:eastAsia="Calibri" w:cstheme="majorHAnsi"/>
          <w:color w:val="000000" w:themeColor="text1"/>
          <w:sz w:val="22"/>
          <w:szCs w:val="28"/>
        </w:rPr>
        <w:t>outage</w:t>
      </w:r>
      <w:r w:rsidRPr="00FD765A">
        <w:rPr>
          <w:rFonts w:cstheme="majorHAnsi"/>
          <w:sz w:val="22"/>
          <w:szCs w:val="28"/>
        </w:rPr>
        <w:t xml:space="preserve"> and the rest of the economy in a framework that combines detailed historical data with fundamental economic theory. </w:t>
      </w:r>
    </w:p>
    <w:p w14:paraId="66E4998F" w14:textId="77777777" w:rsidR="00FD765A" w:rsidRPr="00FD765A" w:rsidRDefault="00FD765A" w:rsidP="00FD765A">
      <w:pPr>
        <w:keepNext/>
        <w:keepLines/>
        <w:tabs>
          <w:tab w:val="left" w:pos="851"/>
        </w:tabs>
        <w:spacing w:before="240" w:line="264" w:lineRule="auto"/>
        <w:outlineLvl w:val="2"/>
        <w:rPr>
          <w:rFonts w:asciiTheme="majorHAnsi" w:eastAsia="Times New Roman" w:hAnsiTheme="majorHAnsi" w:cs="Times New Roman"/>
          <w:b/>
          <w:bCs/>
          <w:sz w:val="24"/>
          <w:szCs w:val="24"/>
          <w:lang w:eastAsia="en-AU"/>
        </w:rPr>
      </w:pPr>
      <w:r w:rsidRPr="00FD765A">
        <w:rPr>
          <w:rFonts w:asciiTheme="majorHAnsi" w:eastAsia="Times New Roman" w:hAnsiTheme="majorHAnsi" w:cs="Times New Roman"/>
          <w:b/>
          <w:bCs/>
          <w:sz w:val="24"/>
          <w:szCs w:val="24"/>
          <w:lang w:eastAsia="en-AU"/>
        </w:rPr>
        <w:t>Scenarios</w:t>
      </w:r>
    </w:p>
    <w:p w14:paraId="6AE3E51A" w14:textId="77777777" w:rsidR="00FD765A" w:rsidRPr="00FD765A" w:rsidRDefault="00FD765A" w:rsidP="00FD765A">
      <w:pPr>
        <w:rPr>
          <w:rFonts w:cstheme="majorHAnsi"/>
          <w:sz w:val="22"/>
          <w:szCs w:val="28"/>
        </w:rPr>
      </w:pPr>
      <w:r w:rsidRPr="00FD765A">
        <w:rPr>
          <w:rFonts w:cstheme="majorHAnsi"/>
          <w:sz w:val="22"/>
          <w:szCs w:val="28"/>
        </w:rPr>
        <w:t xml:space="preserve">The CGE modelling provided estimates regarding how sensitive the Australian economy is to a shock to the freight system. This analysis was undertaken by deriving a set of hypothetical modelling scenarios based on assumptions about the impact of a disruption to freight infrastructure or services. The scope of the hypothetical scenarios was based on studies of major events which are discussed below. </w:t>
      </w:r>
    </w:p>
    <w:p w14:paraId="43D914B3" w14:textId="77777777" w:rsidR="00FD765A" w:rsidRPr="00FD765A" w:rsidRDefault="00FD765A" w:rsidP="00FD765A">
      <w:pPr>
        <w:keepNext/>
        <w:keepLines/>
        <w:tabs>
          <w:tab w:val="left" w:pos="851"/>
        </w:tabs>
        <w:spacing w:before="240" w:line="264" w:lineRule="auto"/>
        <w:outlineLvl w:val="2"/>
        <w:rPr>
          <w:rFonts w:asciiTheme="majorHAnsi" w:eastAsia="Arial" w:hAnsiTheme="majorHAnsi" w:cs="Times New Roman"/>
          <w:b/>
          <w:bCs/>
          <w:sz w:val="24"/>
          <w:szCs w:val="24"/>
          <w:lang w:eastAsia="en-AU"/>
        </w:rPr>
      </w:pPr>
      <w:r w:rsidRPr="00FD765A">
        <w:rPr>
          <w:rFonts w:asciiTheme="majorHAnsi" w:eastAsia="Times New Roman" w:hAnsiTheme="majorHAnsi" w:cs="Times New Roman"/>
          <w:b/>
          <w:bCs/>
          <w:sz w:val="24"/>
          <w:szCs w:val="24"/>
          <w:lang w:eastAsia="en-AU"/>
        </w:rPr>
        <w:t>Case studies</w:t>
      </w:r>
    </w:p>
    <w:p w14:paraId="79FBF369" w14:textId="3835D991" w:rsidR="00FD765A" w:rsidRPr="00FD765A" w:rsidRDefault="00FD765A" w:rsidP="00FD765A">
      <w:pPr>
        <w:rPr>
          <w:rFonts w:cstheme="majorHAnsi"/>
          <w:sz w:val="22"/>
          <w:szCs w:val="28"/>
        </w:rPr>
      </w:pPr>
      <w:r w:rsidRPr="00FD765A">
        <w:rPr>
          <w:rFonts w:cstheme="majorHAnsi"/>
          <w:sz w:val="22"/>
          <w:szCs w:val="28"/>
        </w:rPr>
        <w:t xml:space="preserve">The case studies provided in the table below provide a basis for modelling hypothetical, but comparable outages, in an economy-wide model and contextualising the results of that modelling. Case studies have been chosen to provide insights into the economy-wide costs to households </w:t>
      </w:r>
      <w:r w:rsidRPr="00FD765A">
        <w:rPr>
          <w:rFonts w:cstheme="majorHAnsi"/>
          <w:color w:val="000000" w:themeColor="text1"/>
          <w:sz w:val="22"/>
          <w:szCs w:val="28"/>
        </w:rPr>
        <w:t>and businesses of large-scale and severe freight disrupti</w:t>
      </w:r>
      <w:r w:rsidRPr="00FD765A">
        <w:rPr>
          <w:rFonts w:cstheme="majorHAnsi"/>
          <w:sz w:val="22"/>
          <w:szCs w:val="28"/>
        </w:rPr>
        <w:t>on events.</w:t>
      </w:r>
    </w:p>
    <w:p w14:paraId="51B601EC" w14:textId="77777777" w:rsidR="00FD765A" w:rsidRPr="00FD765A" w:rsidRDefault="00FD765A" w:rsidP="00FD765A">
      <w:pPr>
        <w:keepNext/>
        <w:tabs>
          <w:tab w:val="left" w:pos="1134"/>
        </w:tabs>
        <w:spacing w:before="240"/>
        <w:rPr>
          <w:i/>
          <w:color w:val="034EA2" w:themeColor="accent1"/>
          <w:sz w:val="18"/>
          <w:szCs w:val="18"/>
          <w:lang w:eastAsia="en-AU"/>
        </w:rPr>
      </w:pPr>
      <w:r w:rsidRPr="00FD765A">
        <w:rPr>
          <w:i/>
          <w:color w:val="034EA2" w:themeColor="accent1"/>
          <w:sz w:val="18"/>
          <w:szCs w:val="18"/>
          <w:lang w:eastAsia="en-AU"/>
        </w:rPr>
        <w:t>Freight disruption case studies</w:t>
      </w:r>
    </w:p>
    <w:tbl>
      <w:tblPr>
        <w:tblStyle w:val="DHATable4"/>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419"/>
        <w:gridCol w:w="8219"/>
      </w:tblGrid>
      <w:tr w:rsidR="00FD765A" w:rsidRPr="00FD765A" w14:paraId="5109E07C" w14:textId="77777777" w:rsidTr="00C650A1">
        <w:trPr>
          <w:trHeight w:val="279"/>
        </w:trPr>
        <w:tc>
          <w:tcPr>
            <w:tcW w:w="736" w:type="pct"/>
            <w:shd w:val="clear" w:color="auto" w:fill="034EA2" w:themeFill="accent1"/>
          </w:tcPr>
          <w:p w14:paraId="4E74A176" w14:textId="77777777" w:rsidR="00FD765A" w:rsidRPr="00FD765A" w:rsidRDefault="00FD765A" w:rsidP="00FD765A">
            <w:pPr>
              <w:keepNext/>
              <w:rPr>
                <w:b/>
                <w:color w:val="FFFFFF" w:themeColor="background1"/>
              </w:rPr>
            </w:pPr>
            <w:r w:rsidRPr="00FD765A">
              <w:rPr>
                <w:b/>
                <w:color w:val="FFFFFF" w:themeColor="background1"/>
              </w:rPr>
              <w:t>Incident</w:t>
            </w:r>
          </w:p>
        </w:tc>
        <w:tc>
          <w:tcPr>
            <w:tcW w:w="4264" w:type="pct"/>
            <w:shd w:val="clear" w:color="auto" w:fill="034EA2" w:themeFill="accent1"/>
          </w:tcPr>
          <w:p w14:paraId="6B6306D4" w14:textId="77777777" w:rsidR="00FD765A" w:rsidRPr="00FD765A" w:rsidRDefault="00FD765A" w:rsidP="00FD765A">
            <w:pPr>
              <w:keepNext/>
              <w:rPr>
                <w:b/>
                <w:color w:val="FFFFFF" w:themeColor="background1"/>
              </w:rPr>
            </w:pPr>
            <w:r w:rsidRPr="00FD765A">
              <w:rPr>
                <w:b/>
                <w:color w:val="FFFFFF" w:themeColor="background1"/>
              </w:rPr>
              <w:t>Summary of incident</w:t>
            </w:r>
          </w:p>
        </w:tc>
      </w:tr>
      <w:tr w:rsidR="00FD765A" w:rsidRPr="00FD765A" w14:paraId="7E4AD2E4" w14:textId="77777777" w:rsidTr="7EBB1CEE">
        <w:tc>
          <w:tcPr>
            <w:tcW w:w="736" w:type="pct"/>
            <w:shd w:val="clear" w:color="auto" w:fill="F2F2F2" w:themeFill="background2" w:themeFillShade="F2"/>
          </w:tcPr>
          <w:p w14:paraId="02F5DD6D" w14:textId="77777777" w:rsidR="00FD765A" w:rsidRPr="00FD765A" w:rsidRDefault="00FD765A" w:rsidP="00FD765A">
            <w:pPr>
              <w:spacing w:before="60" w:after="60"/>
              <w:rPr>
                <w:rFonts w:eastAsia="MS Mincho" w:cs="Times New Roman"/>
                <w:lang w:val="en-US"/>
              </w:rPr>
            </w:pPr>
            <w:r w:rsidRPr="00FD765A">
              <w:rPr>
                <w:rFonts w:eastAsia="MS Mincho" w:cs="Times New Roman"/>
                <w:lang w:val="en-US"/>
              </w:rPr>
              <w:t>TNT Express targeted in NotPeyta attack (2017)</w:t>
            </w:r>
          </w:p>
        </w:tc>
        <w:tc>
          <w:tcPr>
            <w:tcW w:w="4264" w:type="pct"/>
            <w:shd w:val="clear" w:color="auto" w:fill="auto"/>
          </w:tcPr>
          <w:p w14:paraId="2D3C530D" w14:textId="5864CFBF" w:rsidR="00FD765A" w:rsidRPr="00FD765A" w:rsidRDefault="00FD765A" w:rsidP="00FD765A">
            <w:pPr>
              <w:spacing w:before="60" w:after="60"/>
              <w:rPr>
                <w:rFonts w:eastAsia="MS Mincho" w:cs="Times New Roman"/>
                <w:highlight w:val="yellow"/>
                <w:lang w:val="en-US"/>
              </w:rPr>
            </w:pPr>
            <w:r w:rsidRPr="00FD765A">
              <w:rPr>
                <w:rFonts w:eastAsia="MS Mincho" w:cs="Times New Roman"/>
                <w:lang w:val="en-US"/>
              </w:rPr>
              <w:t>FedEx subsidiary company TNT Express fell victim to ‘NotPeyta’ ransomware and malware attacks in 2017. The cyber-attack disrupted computer systems and IT operations which caused deliveries and sales to suffer in all countries of operation, including Australia. FedEx reported that the attack cost TNT Express approximately US</w:t>
            </w:r>
            <w:r w:rsidR="00230180">
              <w:rPr>
                <w:rFonts w:eastAsia="MS Mincho" w:cs="Times New Roman"/>
                <w:lang w:val="en-US"/>
              </w:rPr>
              <w:t>D</w:t>
            </w:r>
            <w:r w:rsidRPr="00FD765A">
              <w:rPr>
                <w:rFonts w:eastAsia="MS Mincho" w:cs="Times New Roman"/>
                <w:lang w:val="en-US"/>
              </w:rPr>
              <w:t>300</w:t>
            </w:r>
            <w:r w:rsidR="00230180">
              <w:rPr>
                <w:rFonts w:eastAsia="MS Mincho" w:cs="Times New Roman"/>
                <w:lang w:val="en-US"/>
              </w:rPr>
              <w:t>.0</w:t>
            </w:r>
            <w:r w:rsidRPr="00FD765A">
              <w:rPr>
                <w:rFonts w:eastAsia="MS Mincho" w:cs="Times New Roman"/>
                <w:lang w:val="en-US"/>
              </w:rPr>
              <w:t xml:space="preserve"> million (AUD</w:t>
            </w:r>
            <w:r w:rsidR="00A3309C">
              <w:rPr>
                <w:rFonts w:eastAsia="MS Mincho" w:cs="Times New Roman"/>
                <w:lang w:val="en-US"/>
              </w:rPr>
              <w:t xml:space="preserve"> </w:t>
            </w:r>
            <w:r w:rsidR="6679E64D" w:rsidRPr="7EBB1CEE">
              <w:rPr>
                <w:rFonts w:eastAsia="MS Mincho" w:cs="Times New Roman"/>
                <w:lang w:val="en-US"/>
              </w:rPr>
              <w:t>416.7</w:t>
            </w:r>
            <w:r w:rsidRPr="00FD765A">
              <w:rPr>
                <w:rFonts w:eastAsia="MS Mincho" w:cs="Times New Roman"/>
                <w:lang w:val="en-US"/>
              </w:rPr>
              <w:t xml:space="preserve"> million) in lost earnings due to disrupted operations, loss of systems and extended recovery times. </w:t>
            </w:r>
          </w:p>
        </w:tc>
      </w:tr>
      <w:tr w:rsidR="00FD765A" w:rsidRPr="00FD765A" w14:paraId="7C17C14F" w14:textId="77777777" w:rsidTr="7EBB1CEE">
        <w:tc>
          <w:tcPr>
            <w:tcW w:w="736" w:type="pct"/>
            <w:shd w:val="clear" w:color="auto" w:fill="F2F2F2" w:themeFill="background2" w:themeFillShade="F2"/>
          </w:tcPr>
          <w:p w14:paraId="17897C60" w14:textId="77777777" w:rsidR="00FD765A" w:rsidRPr="00FD765A" w:rsidRDefault="00FD765A" w:rsidP="00FD765A">
            <w:pPr>
              <w:spacing w:before="60" w:after="60"/>
              <w:rPr>
                <w:rFonts w:eastAsia="MS Mincho" w:cs="Times New Roman"/>
                <w:lang w:val="en-US"/>
              </w:rPr>
            </w:pPr>
            <w:r w:rsidRPr="00FD765A">
              <w:rPr>
                <w:rFonts w:eastAsia="MS Mincho" w:cs="Times New Roman"/>
                <w:lang w:val="en-US"/>
              </w:rPr>
              <w:t>ForwardAir ransomware attack (2020)</w:t>
            </w:r>
          </w:p>
        </w:tc>
        <w:tc>
          <w:tcPr>
            <w:tcW w:w="4264" w:type="pct"/>
            <w:shd w:val="clear" w:color="auto" w:fill="auto"/>
          </w:tcPr>
          <w:p w14:paraId="107538FB" w14:textId="29BA1F27" w:rsidR="00FD765A" w:rsidRPr="00FD765A" w:rsidRDefault="00FD765A" w:rsidP="00FD765A">
            <w:pPr>
              <w:spacing w:before="60" w:after="60"/>
              <w:rPr>
                <w:rFonts w:eastAsia="MS Mincho" w:cs="Times New Roman"/>
                <w:lang w:val="en-US"/>
              </w:rPr>
            </w:pPr>
            <w:r w:rsidRPr="00FD765A">
              <w:rPr>
                <w:rFonts w:eastAsia="MS Mincho" w:cs="Times New Roman"/>
                <w:lang w:val="en-US"/>
              </w:rPr>
              <w:t>ForwardAir, a trucking company operating in the United States and Canada, was hit by a ‘Hades’ ransomware attack in December 2020. The incident impacted operational and information technology systems and included a data breach. The company suspended all electronic customer databases temporarily to limit the impact of the attack. The attack cost approximately US</w:t>
            </w:r>
            <w:r w:rsidR="00230180">
              <w:rPr>
                <w:rFonts w:eastAsia="MS Mincho" w:cs="Times New Roman"/>
                <w:lang w:val="en-US"/>
              </w:rPr>
              <w:t xml:space="preserve">D </w:t>
            </w:r>
            <w:r w:rsidRPr="00FD765A">
              <w:rPr>
                <w:rFonts w:eastAsia="MS Mincho" w:cs="Times New Roman"/>
                <w:lang w:val="en-US"/>
              </w:rPr>
              <w:t>7.5 million (AUD</w:t>
            </w:r>
            <w:r w:rsidR="00230180">
              <w:rPr>
                <w:rFonts w:eastAsia="MS Mincho" w:cs="Times New Roman"/>
                <w:lang w:val="en-US"/>
              </w:rPr>
              <w:t xml:space="preserve"> </w:t>
            </w:r>
            <w:r w:rsidR="00A3309C">
              <w:rPr>
                <w:rFonts w:eastAsia="MS Mincho" w:cs="Times New Roman"/>
                <w:lang w:val="en-US"/>
              </w:rPr>
              <w:t>10.4</w:t>
            </w:r>
            <w:r w:rsidRPr="00FD765A">
              <w:rPr>
                <w:rFonts w:eastAsia="MS Mincho" w:cs="Times New Roman"/>
                <w:lang w:val="en-US"/>
              </w:rPr>
              <w:t xml:space="preserve"> million) in less than load freight revenue. </w:t>
            </w:r>
          </w:p>
        </w:tc>
      </w:tr>
    </w:tbl>
    <w:p w14:paraId="365FE285" w14:textId="77777777" w:rsidR="00FD765A" w:rsidRPr="00FD765A" w:rsidRDefault="00FD765A" w:rsidP="00FD765A">
      <w:pPr>
        <w:rPr>
          <w:rFonts w:cstheme="majorHAnsi"/>
          <w:sz w:val="22"/>
          <w:szCs w:val="28"/>
        </w:rPr>
      </w:pPr>
      <w:r w:rsidRPr="00FD765A">
        <w:rPr>
          <w:rFonts w:cstheme="majorHAnsi"/>
          <w:sz w:val="22"/>
          <w:szCs w:val="28"/>
        </w:rPr>
        <w:t>These case studies highlight that disruptions to critical freight assets can inflict substantial direct and indirect costs on firms and households alike. The TNT express attack had widespread impacts across the globe, affecting deliveries and sales. The ForwardAir attack, while smaller in scale and cost, had similarly widespread impacts, with employees unable to access documentation to transport goods through customs.</w:t>
      </w:r>
    </w:p>
    <w:p w14:paraId="1781D4AC" w14:textId="77777777" w:rsidR="00FD765A" w:rsidRPr="00FD765A" w:rsidRDefault="00FD765A" w:rsidP="00FD765A">
      <w:pPr>
        <w:rPr>
          <w:rFonts w:cstheme="majorHAnsi"/>
          <w:sz w:val="22"/>
          <w:szCs w:val="28"/>
        </w:rPr>
      </w:pPr>
      <w:r w:rsidRPr="00FD765A">
        <w:rPr>
          <w:rFonts w:cstheme="majorHAnsi"/>
          <w:sz w:val="22"/>
          <w:szCs w:val="28"/>
        </w:rPr>
        <w:t xml:space="preserve">For the purposes of the modelling of the cost of avoided future incidents in Australia, both case studies were used as baseline scenarios. The TNT Express attack was used as the severe baseline, and the ForwardAir attack as the low baseline. The use of actual events as baseline risk points of comparison is important because it ensures the benefits analysis is grounded in reality. </w:t>
      </w:r>
      <w:r w:rsidRPr="00FD765A">
        <w:rPr>
          <w:rFonts w:cstheme="majorHAnsi"/>
          <w:sz w:val="22"/>
          <w:szCs w:val="28"/>
        </w:rPr>
        <w:lastRenderedPageBreak/>
        <w:t xml:space="preserve">The scale of the event is not theoretical and there is sufficient information about the event to support modelling. </w:t>
      </w:r>
    </w:p>
    <w:p w14:paraId="6AC8817B" w14:textId="77777777" w:rsidR="00FD765A" w:rsidRPr="00FD765A" w:rsidRDefault="00FD765A" w:rsidP="00FD765A">
      <w:pPr>
        <w:rPr>
          <w:rFonts w:cstheme="majorHAnsi"/>
          <w:sz w:val="22"/>
          <w:szCs w:val="28"/>
        </w:rPr>
      </w:pPr>
      <w:r w:rsidRPr="00FD765A">
        <w:rPr>
          <w:rFonts w:cstheme="majorHAnsi"/>
          <w:sz w:val="22"/>
          <w:szCs w:val="28"/>
        </w:rPr>
        <w:t>A framework for considering the potential impacts of the freight disruption following failure of critical infrastructure is provided in the table below.</w:t>
      </w:r>
    </w:p>
    <w:p w14:paraId="291C31F6" w14:textId="77777777" w:rsidR="00FD765A" w:rsidRPr="00FD765A" w:rsidRDefault="00FD765A" w:rsidP="00FD765A">
      <w:pPr>
        <w:keepNext/>
        <w:tabs>
          <w:tab w:val="left" w:pos="1134"/>
        </w:tabs>
        <w:spacing w:before="240"/>
        <w:rPr>
          <w:i/>
          <w:color w:val="034EA2" w:themeColor="accent1"/>
          <w:sz w:val="18"/>
          <w:szCs w:val="18"/>
          <w:lang w:eastAsia="en-AU"/>
        </w:rPr>
      </w:pPr>
      <w:r w:rsidRPr="00FD765A">
        <w:rPr>
          <w:i/>
          <w:color w:val="034EA2" w:themeColor="accent1"/>
          <w:sz w:val="18"/>
          <w:szCs w:val="18"/>
          <w:lang w:eastAsia="en-AU"/>
        </w:rPr>
        <w:t>Framework for scenario development and sensitivity analysis</w:t>
      </w:r>
    </w:p>
    <w:tbl>
      <w:tblPr>
        <w:tblStyle w:val="DHATable4"/>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1682"/>
        <w:gridCol w:w="2876"/>
        <w:gridCol w:w="2036"/>
        <w:gridCol w:w="3044"/>
      </w:tblGrid>
      <w:tr w:rsidR="00FD765A" w:rsidRPr="00FD765A" w14:paraId="17FD6AE7" w14:textId="77777777" w:rsidTr="00C650A1">
        <w:trPr>
          <w:trHeight w:val="420"/>
        </w:trPr>
        <w:tc>
          <w:tcPr>
            <w:tcW w:w="873" w:type="pct"/>
            <w:shd w:val="clear" w:color="auto" w:fill="034EA2" w:themeFill="accent1"/>
          </w:tcPr>
          <w:p w14:paraId="39B581F6" w14:textId="77777777" w:rsidR="00FD765A" w:rsidRPr="00FD765A" w:rsidRDefault="00FD765A" w:rsidP="00FD765A">
            <w:pPr>
              <w:keepNext/>
              <w:rPr>
                <w:b/>
                <w:color w:val="FFFFFF" w:themeColor="background1"/>
              </w:rPr>
            </w:pPr>
            <w:r w:rsidRPr="00FD765A">
              <w:rPr>
                <w:b/>
                <w:color w:val="FFFFFF" w:themeColor="background1"/>
              </w:rPr>
              <w:t xml:space="preserve"> </w:t>
            </w:r>
          </w:p>
        </w:tc>
        <w:tc>
          <w:tcPr>
            <w:tcW w:w="1492" w:type="pct"/>
            <w:shd w:val="clear" w:color="auto" w:fill="034EA2" w:themeFill="accent1"/>
          </w:tcPr>
          <w:p w14:paraId="03477ACF" w14:textId="77777777" w:rsidR="00FD765A" w:rsidRPr="00FD765A" w:rsidRDefault="00FD765A" w:rsidP="00FD765A">
            <w:pPr>
              <w:keepNext/>
              <w:rPr>
                <w:b/>
                <w:color w:val="FFFFFF"/>
              </w:rPr>
            </w:pPr>
            <w:r w:rsidRPr="00FD765A">
              <w:rPr>
                <w:b/>
                <w:color w:val="FFFFFF"/>
              </w:rPr>
              <w:t>Severe scenario</w:t>
            </w:r>
          </w:p>
        </w:tc>
        <w:tc>
          <w:tcPr>
            <w:tcW w:w="1056" w:type="pct"/>
            <w:shd w:val="clear" w:color="auto" w:fill="034EA2" w:themeFill="accent1"/>
          </w:tcPr>
          <w:p w14:paraId="683F12C4" w14:textId="77777777" w:rsidR="00FD765A" w:rsidRPr="00FD765A" w:rsidRDefault="00FD765A" w:rsidP="00FD765A">
            <w:pPr>
              <w:keepNext/>
              <w:rPr>
                <w:b/>
                <w:color w:val="FFFFFF"/>
              </w:rPr>
            </w:pPr>
            <w:r w:rsidRPr="00FD765A">
              <w:rPr>
                <w:b/>
                <w:color w:val="FFFFFF"/>
              </w:rPr>
              <w:t>Moderate scenario</w:t>
            </w:r>
          </w:p>
        </w:tc>
        <w:tc>
          <w:tcPr>
            <w:tcW w:w="1579" w:type="pct"/>
            <w:shd w:val="clear" w:color="auto" w:fill="034EA2" w:themeFill="accent1"/>
          </w:tcPr>
          <w:p w14:paraId="56BFD28E" w14:textId="77777777" w:rsidR="00FD765A" w:rsidRPr="00FD765A" w:rsidRDefault="00FD765A" w:rsidP="00FD765A">
            <w:pPr>
              <w:keepNext/>
              <w:rPr>
                <w:b/>
                <w:color w:val="FFFFFF"/>
              </w:rPr>
            </w:pPr>
            <w:r w:rsidRPr="00FD765A">
              <w:rPr>
                <w:b/>
                <w:color w:val="FFFFFF"/>
              </w:rPr>
              <w:t>Low scenario</w:t>
            </w:r>
          </w:p>
        </w:tc>
      </w:tr>
      <w:tr w:rsidR="00FD765A" w:rsidRPr="00FD765A" w14:paraId="40B3745A" w14:textId="77777777" w:rsidTr="00C650A1">
        <w:trPr>
          <w:trHeight w:val="570"/>
        </w:trPr>
        <w:tc>
          <w:tcPr>
            <w:tcW w:w="873" w:type="pct"/>
            <w:shd w:val="clear" w:color="auto" w:fill="F2F2F2" w:themeFill="background1" w:themeFillShade="F2"/>
          </w:tcPr>
          <w:p w14:paraId="6FFAE72C" w14:textId="77777777" w:rsidR="00FD765A" w:rsidRPr="00FD765A" w:rsidRDefault="00FD765A" w:rsidP="00FD765A">
            <w:pPr>
              <w:spacing w:before="60" w:after="60"/>
              <w:rPr>
                <w:rFonts w:eastAsia="MS Mincho" w:cs="Times New Roman"/>
                <w:color w:val="FFFFFF"/>
                <w:lang w:val="en-US"/>
              </w:rPr>
            </w:pPr>
            <w:r w:rsidRPr="00FD765A">
              <w:rPr>
                <w:rFonts w:eastAsia="MS Mincho" w:cs="Times New Roman"/>
                <w:lang w:val="en-US"/>
              </w:rPr>
              <w:t>Intensity of event</w:t>
            </w:r>
          </w:p>
        </w:tc>
        <w:tc>
          <w:tcPr>
            <w:tcW w:w="1492" w:type="pct"/>
            <w:shd w:val="clear" w:color="auto" w:fill="auto"/>
          </w:tcPr>
          <w:p w14:paraId="0783793A" w14:textId="77777777" w:rsidR="00FD765A" w:rsidRPr="00FD765A" w:rsidRDefault="00FD765A" w:rsidP="00FD765A">
            <w:pPr>
              <w:spacing w:before="60" w:after="60"/>
              <w:rPr>
                <w:rFonts w:eastAsia="MS Mincho" w:cs="Times New Roman"/>
                <w:lang w:val="en-US"/>
              </w:rPr>
            </w:pPr>
            <w:r w:rsidRPr="00FD765A">
              <w:rPr>
                <w:rFonts w:eastAsia="MS Mincho" w:cs="Times New Roman"/>
                <w:lang w:val="en-US"/>
              </w:rPr>
              <w:t>TNT Express NotPeyta attack (2017)</w:t>
            </w:r>
          </w:p>
        </w:tc>
        <w:tc>
          <w:tcPr>
            <w:tcW w:w="1056" w:type="pct"/>
            <w:shd w:val="clear" w:color="auto" w:fill="auto"/>
          </w:tcPr>
          <w:p w14:paraId="59CE4B75" w14:textId="77777777" w:rsidR="00FD765A" w:rsidRPr="00FD765A" w:rsidRDefault="00FD765A" w:rsidP="00FD765A">
            <w:pPr>
              <w:spacing w:before="60" w:after="60"/>
              <w:rPr>
                <w:rFonts w:eastAsia="Arial" w:cs="Times New Roman"/>
                <w:lang w:val="en-US"/>
              </w:rPr>
            </w:pPr>
            <w:r w:rsidRPr="00FD765A">
              <w:rPr>
                <w:rFonts w:eastAsia="Arial" w:cs="Times New Roman"/>
                <w:lang w:val="en-US"/>
              </w:rPr>
              <w:t>50% of severe scenario</w:t>
            </w:r>
          </w:p>
        </w:tc>
        <w:tc>
          <w:tcPr>
            <w:tcW w:w="1579" w:type="pct"/>
            <w:shd w:val="clear" w:color="auto" w:fill="auto"/>
          </w:tcPr>
          <w:p w14:paraId="5A31B9D8" w14:textId="77777777" w:rsidR="00FD765A" w:rsidRPr="00FD765A" w:rsidRDefault="00FD765A" w:rsidP="00FD765A">
            <w:pPr>
              <w:spacing w:before="60" w:after="60"/>
              <w:rPr>
                <w:rFonts w:eastAsia="MS Mincho" w:cs="Times New Roman"/>
                <w:lang w:val="en-US"/>
              </w:rPr>
            </w:pPr>
            <w:r w:rsidRPr="00FD765A">
              <w:rPr>
                <w:rFonts w:eastAsia="MS Mincho" w:cs="Times New Roman"/>
                <w:lang w:val="en-US"/>
              </w:rPr>
              <w:t>ForwardAir ransomware attack (2020)</w:t>
            </w:r>
          </w:p>
        </w:tc>
      </w:tr>
    </w:tbl>
    <w:p w14:paraId="3F837537" w14:textId="77777777" w:rsidR="00FD765A" w:rsidRPr="00FD765A" w:rsidRDefault="00FD765A" w:rsidP="00FD765A">
      <w:pPr>
        <w:spacing w:before="240"/>
        <w:rPr>
          <w:rFonts w:cstheme="majorHAnsi"/>
          <w:sz w:val="22"/>
          <w:szCs w:val="28"/>
        </w:rPr>
      </w:pPr>
      <w:r w:rsidRPr="00FD765A">
        <w:rPr>
          <w:rFonts w:cstheme="majorHAnsi"/>
          <w:sz w:val="22"/>
          <w:szCs w:val="28"/>
        </w:rPr>
        <w:t xml:space="preserve">The rationale for a range of scenarios reflects the complexity of the scenarios that could occur. As noted above, the economic impact of an incident will vary due to a range of factors including the location of a disruption, the month and time of day at which the disruption occurs, the day of the week on which the disruption takes place and the duration of disruption. For example, accounting for an incident that has a greater economic impact than the ForwardAir ransomware attack is necessary to reflect the possibility that a disruption of a similar scale could impact areas where there would be greater economic impact than in </w:t>
      </w:r>
      <w:r w:rsidRPr="00FD765A">
        <w:rPr>
          <w:rFonts w:eastAsia="Arial" w:cstheme="majorHAnsi"/>
          <w:sz w:val="22"/>
          <w:szCs w:val="28"/>
        </w:rPr>
        <w:t xml:space="preserve">that incident. Similarly, the TNT Express incident affected a subsidiary of one of the world’s largest freight companies, and a similar incident that affected a smaller operator would have a plausibly reduced impact. </w:t>
      </w:r>
      <w:r w:rsidRPr="00FD765A">
        <w:rPr>
          <w:rFonts w:cstheme="majorHAnsi"/>
          <w:sz w:val="22"/>
          <w:szCs w:val="28"/>
        </w:rPr>
        <w:t>While an incident with a much greater impact than the severe scenario is conceivable, the defined scenarios and subsequent benefits analysis has taken a deliberately conservative approach to ensure the severe scenario remains demonstrably plausible.</w:t>
      </w:r>
    </w:p>
    <w:p w14:paraId="313494A0" w14:textId="77777777" w:rsidR="00FD765A" w:rsidRPr="00FD765A" w:rsidRDefault="00FD765A" w:rsidP="00FD765A">
      <w:pPr>
        <w:rPr>
          <w:rFonts w:cstheme="majorHAnsi"/>
          <w:sz w:val="22"/>
          <w:szCs w:val="28"/>
        </w:rPr>
      </w:pPr>
      <w:r w:rsidRPr="00FD765A">
        <w:rPr>
          <w:rFonts w:cstheme="majorHAnsi"/>
          <w:sz w:val="22"/>
          <w:szCs w:val="28"/>
        </w:rPr>
        <w:t xml:space="preserve">A summary of the economic impact of each scenario is provided in the table below. Direct avoided costs refer to the financial costs directly incurred as a result of an incident, while indirect costs refer to flow-on costs to the economy due to supply chain linkages and other feedback responses by all economic agents (e.g., households, businesses). A break-even analysis of these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 </w:t>
      </w:r>
    </w:p>
    <w:p w14:paraId="49368934" w14:textId="77777777" w:rsidR="00FD765A" w:rsidRPr="00FD765A" w:rsidRDefault="00FD765A" w:rsidP="00FD765A">
      <w:pPr>
        <w:rPr>
          <w:rFonts w:cstheme="majorHAnsi"/>
          <w:sz w:val="22"/>
          <w:szCs w:val="28"/>
        </w:rPr>
      </w:pPr>
      <w:r w:rsidRPr="00FD765A">
        <w:rPr>
          <w:rFonts w:cstheme="majorHAnsi"/>
          <w:sz w:val="22"/>
          <w:szCs w:val="28"/>
        </w:rPr>
        <w:br w:type="page"/>
      </w:r>
    </w:p>
    <w:p w14:paraId="4C3A69E1" w14:textId="77777777" w:rsidR="00FD765A" w:rsidRPr="00FD765A" w:rsidRDefault="00FD765A" w:rsidP="00FD765A">
      <w:pPr>
        <w:keepNext/>
        <w:tabs>
          <w:tab w:val="left" w:pos="1134"/>
        </w:tabs>
        <w:spacing w:before="240"/>
        <w:rPr>
          <w:i/>
          <w:color w:val="034EA2" w:themeColor="accent1"/>
          <w:sz w:val="18"/>
          <w:szCs w:val="18"/>
          <w:lang w:eastAsia="en-AU"/>
        </w:rPr>
      </w:pPr>
      <w:r w:rsidRPr="00FD765A">
        <w:rPr>
          <w:i/>
          <w:color w:val="034EA2" w:themeColor="accent1"/>
          <w:sz w:val="18"/>
          <w:szCs w:val="18"/>
          <w:lang w:eastAsia="en-AU"/>
        </w:rPr>
        <w:lastRenderedPageBreak/>
        <w:t>Summary of benefits scenarios</w:t>
      </w:r>
    </w:p>
    <w:tbl>
      <w:tblPr>
        <w:tblStyle w:val="TableGrid112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409"/>
        <w:gridCol w:w="2409"/>
        <w:gridCol w:w="2410"/>
        <w:gridCol w:w="2410"/>
      </w:tblGrid>
      <w:tr w:rsidR="00FD765A" w:rsidRPr="00FD765A" w14:paraId="2C421AD5" w14:textId="77777777" w:rsidTr="00C650A1">
        <w:trPr>
          <w:cantSplit/>
          <w:trHeight w:val="409"/>
        </w:trPr>
        <w:tc>
          <w:tcPr>
            <w:tcW w:w="1250" w:type="pct"/>
            <w:shd w:val="clear" w:color="auto" w:fill="034EA2" w:themeFill="accent1"/>
          </w:tcPr>
          <w:p w14:paraId="77FCBC58" w14:textId="77777777" w:rsidR="00FD765A" w:rsidRPr="00FD765A" w:rsidRDefault="00FD765A" w:rsidP="00FD765A">
            <w:pPr>
              <w:keepNext/>
              <w:rPr>
                <w:b/>
                <w:color w:val="FFFFFF" w:themeColor="background1"/>
              </w:rPr>
            </w:pPr>
          </w:p>
        </w:tc>
        <w:tc>
          <w:tcPr>
            <w:tcW w:w="1250" w:type="pct"/>
            <w:shd w:val="clear" w:color="auto" w:fill="034EA2" w:themeFill="accent1"/>
          </w:tcPr>
          <w:p w14:paraId="35D2737B" w14:textId="77777777" w:rsidR="00FD765A" w:rsidRPr="00FD765A" w:rsidRDefault="00FD765A" w:rsidP="00FD765A">
            <w:pPr>
              <w:keepNext/>
              <w:rPr>
                <w:b/>
                <w:color w:val="FFFFFF" w:themeColor="background1"/>
              </w:rPr>
            </w:pPr>
            <w:r w:rsidRPr="00FD765A">
              <w:rPr>
                <w:b/>
                <w:color w:val="FFFFFF" w:themeColor="background1"/>
              </w:rPr>
              <w:t>Scenario 1</w:t>
            </w:r>
            <w:r w:rsidRPr="00FD765A">
              <w:rPr>
                <w:rFonts w:ascii="Calibri" w:hAnsi="Calibri"/>
                <w:b/>
                <w:color w:val="FFFFFF" w:themeColor="background1"/>
              </w:rPr>
              <w:br/>
            </w:r>
            <w:r w:rsidRPr="00FD765A">
              <w:rPr>
                <w:b/>
                <w:color w:val="FFFFFF" w:themeColor="background1"/>
              </w:rPr>
              <w:t>(Severe), $ million</w:t>
            </w:r>
          </w:p>
        </w:tc>
        <w:tc>
          <w:tcPr>
            <w:tcW w:w="1250" w:type="pct"/>
            <w:shd w:val="clear" w:color="auto" w:fill="034EA2" w:themeFill="accent1"/>
          </w:tcPr>
          <w:p w14:paraId="65A504BB" w14:textId="77777777" w:rsidR="00FD765A" w:rsidRPr="00FD765A" w:rsidRDefault="00FD765A" w:rsidP="00FD765A">
            <w:pPr>
              <w:keepNext/>
              <w:rPr>
                <w:b/>
                <w:color w:val="FFFFFF" w:themeColor="background1"/>
              </w:rPr>
            </w:pPr>
            <w:r w:rsidRPr="00FD765A">
              <w:rPr>
                <w:b/>
                <w:color w:val="FFFFFF" w:themeColor="background1"/>
              </w:rPr>
              <w:t>Scenario 2</w:t>
            </w:r>
            <w:r w:rsidRPr="00FD765A">
              <w:rPr>
                <w:b/>
                <w:color w:val="FFFFFF" w:themeColor="background1"/>
              </w:rPr>
              <w:br/>
              <w:t>(Moderate), $ million</w:t>
            </w:r>
          </w:p>
        </w:tc>
        <w:tc>
          <w:tcPr>
            <w:tcW w:w="1250" w:type="pct"/>
            <w:shd w:val="clear" w:color="auto" w:fill="034EA2" w:themeFill="accent1"/>
          </w:tcPr>
          <w:p w14:paraId="06B36BFA" w14:textId="77777777" w:rsidR="00FD765A" w:rsidRPr="00FD765A" w:rsidRDefault="00FD765A" w:rsidP="00FD765A">
            <w:pPr>
              <w:keepNext/>
              <w:rPr>
                <w:b/>
                <w:color w:val="FFFFFF" w:themeColor="background1"/>
              </w:rPr>
            </w:pPr>
            <w:r w:rsidRPr="00FD765A">
              <w:rPr>
                <w:b/>
                <w:color w:val="FFFFFF" w:themeColor="background1"/>
              </w:rPr>
              <w:t>Scenario 3</w:t>
            </w:r>
            <w:r w:rsidRPr="00FD765A">
              <w:rPr>
                <w:rFonts w:ascii="Calibri" w:hAnsi="Calibri"/>
                <w:b/>
                <w:color w:val="FFFFFF" w:themeColor="background1"/>
              </w:rPr>
              <w:br/>
            </w:r>
            <w:r w:rsidRPr="00FD765A">
              <w:rPr>
                <w:b/>
                <w:color w:val="FFFFFF" w:themeColor="background1"/>
              </w:rPr>
              <w:t>(Low), $ million</w:t>
            </w:r>
          </w:p>
        </w:tc>
      </w:tr>
      <w:tr w:rsidR="00FD765A" w:rsidRPr="00FD765A" w14:paraId="0EB9F25D" w14:textId="77777777" w:rsidTr="00C650A1">
        <w:trPr>
          <w:cantSplit/>
        </w:trPr>
        <w:tc>
          <w:tcPr>
            <w:tcW w:w="1250" w:type="pct"/>
            <w:vAlign w:val="center"/>
          </w:tcPr>
          <w:p w14:paraId="7F0C1C04" w14:textId="77777777" w:rsidR="00FD765A" w:rsidRPr="00FD765A" w:rsidRDefault="00FD765A" w:rsidP="00FD765A">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Direct avoided cost</w:t>
            </w:r>
          </w:p>
        </w:tc>
        <w:tc>
          <w:tcPr>
            <w:tcW w:w="1250" w:type="pct"/>
            <w:vAlign w:val="center"/>
          </w:tcPr>
          <w:p w14:paraId="0E9BBFF7" w14:textId="1071EB23" w:rsidR="00FD765A" w:rsidRPr="00C93CF4" w:rsidRDefault="00E23FBE" w:rsidP="00FD765A">
            <w:pPr>
              <w:spacing w:before="60" w:after="60"/>
              <w:rPr>
                <w:rFonts w:eastAsia="MS Mincho" w:cs="Times New Roman"/>
                <w:color w:val="000000" w:themeColor="text1"/>
                <w:lang w:val="en-US"/>
              </w:rPr>
            </w:pPr>
            <w:r>
              <w:rPr>
                <w:rFonts w:eastAsia="MS Mincho" w:cs="Times New Roman"/>
                <w:color w:val="000000" w:themeColor="text1"/>
                <w:lang w:val="en-US"/>
              </w:rPr>
              <w:t>416.7</w:t>
            </w:r>
          </w:p>
        </w:tc>
        <w:tc>
          <w:tcPr>
            <w:tcW w:w="1250" w:type="pct"/>
            <w:vAlign w:val="center"/>
          </w:tcPr>
          <w:p w14:paraId="0820199C" w14:textId="7441AD4A" w:rsidR="00FD765A" w:rsidRPr="00C93CF4" w:rsidRDefault="00E23FBE" w:rsidP="00FD765A">
            <w:pPr>
              <w:spacing w:before="60" w:after="60"/>
              <w:rPr>
                <w:rFonts w:eastAsia="MS Mincho" w:cs="Times New Roman"/>
                <w:color w:val="000000" w:themeColor="text1"/>
                <w:lang w:val="en-US"/>
              </w:rPr>
            </w:pPr>
            <w:r>
              <w:rPr>
                <w:rFonts w:eastAsia="MS Mincho" w:cs="Times New Roman"/>
                <w:color w:val="000000" w:themeColor="text1"/>
                <w:lang w:val="en-US"/>
              </w:rPr>
              <w:t>208.3</w:t>
            </w:r>
          </w:p>
        </w:tc>
        <w:tc>
          <w:tcPr>
            <w:tcW w:w="1250" w:type="pct"/>
            <w:vAlign w:val="center"/>
          </w:tcPr>
          <w:p w14:paraId="528335F6" w14:textId="59DB37E6" w:rsidR="00FD765A" w:rsidRPr="00C93CF4" w:rsidRDefault="00B3725A" w:rsidP="00FD765A">
            <w:pPr>
              <w:spacing w:before="60" w:after="60"/>
              <w:rPr>
                <w:rFonts w:eastAsia="MS Mincho" w:cs="Times New Roman"/>
                <w:color w:val="000000" w:themeColor="text1"/>
                <w:szCs w:val="20"/>
                <w:lang w:val="en-US"/>
              </w:rPr>
            </w:pPr>
            <w:r>
              <w:rPr>
                <w:rFonts w:eastAsia="MS Mincho" w:cs="Times New Roman"/>
                <w:color w:val="000000" w:themeColor="text1"/>
                <w:szCs w:val="20"/>
                <w:lang w:val="en-US"/>
              </w:rPr>
              <w:t>10.4</w:t>
            </w:r>
          </w:p>
        </w:tc>
      </w:tr>
      <w:tr w:rsidR="00FD765A" w:rsidRPr="00FD765A" w14:paraId="2BAB4772" w14:textId="77777777" w:rsidTr="00C650A1">
        <w:trPr>
          <w:cantSplit/>
        </w:trPr>
        <w:tc>
          <w:tcPr>
            <w:tcW w:w="1250" w:type="pct"/>
            <w:vAlign w:val="center"/>
          </w:tcPr>
          <w:p w14:paraId="0E93A504" w14:textId="77777777" w:rsidR="00FD765A" w:rsidRPr="00FD765A" w:rsidRDefault="00FD765A" w:rsidP="00FD765A">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Indirect avoided costs</w:t>
            </w:r>
          </w:p>
        </w:tc>
        <w:tc>
          <w:tcPr>
            <w:tcW w:w="1250" w:type="pct"/>
            <w:vAlign w:val="center"/>
          </w:tcPr>
          <w:p w14:paraId="512E4C04" w14:textId="702263D1" w:rsidR="00FD765A" w:rsidRPr="00C93CF4" w:rsidRDefault="00E23FBE" w:rsidP="00FD765A">
            <w:pPr>
              <w:spacing w:before="60" w:after="60"/>
              <w:rPr>
                <w:rFonts w:eastAsia="MS Mincho" w:cs="Times New Roman"/>
                <w:color w:val="000000" w:themeColor="text1"/>
                <w:lang w:val="en-US"/>
              </w:rPr>
            </w:pPr>
            <w:r>
              <w:rPr>
                <w:rFonts w:eastAsia="MS Mincho" w:cs="Times New Roman"/>
                <w:color w:val="000000" w:themeColor="text1"/>
                <w:lang w:val="en-US"/>
              </w:rPr>
              <w:t>307.5</w:t>
            </w:r>
          </w:p>
        </w:tc>
        <w:tc>
          <w:tcPr>
            <w:tcW w:w="1250" w:type="pct"/>
            <w:vAlign w:val="center"/>
          </w:tcPr>
          <w:p w14:paraId="78270CD1" w14:textId="56F30564" w:rsidR="00FD765A" w:rsidRPr="00C93CF4" w:rsidRDefault="00C5126A" w:rsidP="00FD765A">
            <w:pPr>
              <w:spacing w:before="60" w:after="60"/>
              <w:rPr>
                <w:rFonts w:eastAsia="MS Mincho" w:cs="Times New Roman"/>
                <w:color w:val="000000" w:themeColor="text1"/>
                <w:lang w:val="en-US"/>
              </w:rPr>
            </w:pPr>
            <w:r>
              <w:rPr>
                <w:rFonts w:eastAsia="MS Mincho" w:cs="Times New Roman"/>
                <w:color w:val="000000" w:themeColor="text1"/>
                <w:lang w:val="en-US"/>
              </w:rPr>
              <w:t>153.7</w:t>
            </w:r>
          </w:p>
        </w:tc>
        <w:tc>
          <w:tcPr>
            <w:tcW w:w="1250" w:type="pct"/>
            <w:vAlign w:val="center"/>
          </w:tcPr>
          <w:p w14:paraId="0D23A630" w14:textId="00FDE817" w:rsidR="00FD765A" w:rsidRPr="00C93CF4" w:rsidRDefault="00B3725A" w:rsidP="00FD765A">
            <w:pPr>
              <w:spacing w:before="60" w:after="60"/>
              <w:rPr>
                <w:rFonts w:eastAsia="MS Mincho" w:cs="Times New Roman"/>
                <w:color w:val="000000" w:themeColor="text1"/>
                <w:szCs w:val="20"/>
                <w:lang w:val="en-US"/>
              </w:rPr>
            </w:pPr>
            <w:r>
              <w:rPr>
                <w:rFonts w:eastAsia="MS Mincho" w:cs="Times New Roman"/>
                <w:color w:val="000000" w:themeColor="text1"/>
                <w:szCs w:val="20"/>
                <w:lang w:val="en-US"/>
              </w:rPr>
              <w:t>7.7</w:t>
            </w:r>
          </w:p>
        </w:tc>
      </w:tr>
      <w:tr w:rsidR="00FD765A" w:rsidRPr="00FD765A" w14:paraId="06BD8C02" w14:textId="77777777" w:rsidTr="7EBB1CEE">
        <w:trPr>
          <w:cantSplit/>
        </w:trPr>
        <w:tc>
          <w:tcPr>
            <w:tcW w:w="1250" w:type="pct"/>
            <w:shd w:val="clear" w:color="auto" w:fill="F2F2F2" w:themeFill="background2" w:themeFillShade="F2"/>
            <w:vAlign w:val="center"/>
          </w:tcPr>
          <w:p w14:paraId="64E0A93E" w14:textId="77777777" w:rsidR="00FD765A" w:rsidRPr="00FD765A" w:rsidRDefault="00FD765A" w:rsidP="00FD765A">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Total avoided cost to the economy of the incident</w:t>
            </w:r>
          </w:p>
        </w:tc>
        <w:tc>
          <w:tcPr>
            <w:tcW w:w="1250" w:type="pct"/>
            <w:shd w:val="clear" w:color="auto" w:fill="F2F2F2" w:themeFill="background2" w:themeFillShade="F2"/>
            <w:vAlign w:val="center"/>
          </w:tcPr>
          <w:p w14:paraId="19C99EA5" w14:textId="2834212D" w:rsidR="00FD765A" w:rsidRPr="00FD765A" w:rsidRDefault="00FF7297" w:rsidP="7EBB1CEE">
            <w:pPr>
              <w:spacing w:before="60" w:after="60" w:line="259" w:lineRule="auto"/>
              <w:rPr>
                <w:rFonts w:eastAsia="MS Mincho" w:cs="Times New Roman"/>
                <w:color w:val="000000" w:themeColor="text1"/>
                <w:lang w:val="en-US"/>
              </w:rPr>
            </w:pPr>
            <w:r>
              <w:rPr>
                <w:rFonts w:eastAsia="MS Mincho" w:cs="Times New Roman"/>
                <w:color w:val="000000" w:themeColor="text1"/>
                <w:lang w:val="en-US"/>
              </w:rPr>
              <w:t>724.1</w:t>
            </w:r>
          </w:p>
        </w:tc>
        <w:tc>
          <w:tcPr>
            <w:tcW w:w="1250" w:type="pct"/>
            <w:shd w:val="clear" w:color="auto" w:fill="F2F2F2" w:themeFill="background2" w:themeFillShade="F2"/>
            <w:vAlign w:val="center"/>
          </w:tcPr>
          <w:p w14:paraId="66D7E1BA" w14:textId="0354137A" w:rsidR="00FD765A" w:rsidRPr="00FD765A" w:rsidRDefault="00B3725A" w:rsidP="7EBB1CEE">
            <w:pPr>
              <w:spacing w:before="60" w:after="60" w:line="259" w:lineRule="auto"/>
              <w:rPr>
                <w:rFonts w:eastAsia="MS Mincho" w:cs="Times New Roman"/>
                <w:color w:val="000000" w:themeColor="text1"/>
                <w:lang w:val="en-US"/>
              </w:rPr>
            </w:pPr>
            <w:r>
              <w:rPr>
                <w:rFonts w:eastAsia="MS Mincho" w:cs="Times New Roman"/>
                <w:color w:val="000000" w:themeColor="text1"/>
                <w:lang w:val="en-US"/>
              </w:rPr>
              <w:t>362.0</w:t>
            </w:r>
          </w:p>
        </w:tc>
        <w:tc>
          <w:tcPr>
            <w:tcW w:w="1250" w:type="pct"/>
            <w:shd w:val="clear" w:color="auto" w:fill="F2F2F2" w:themeFill="background2" w:themeFillShade="F2"/>
            <w:vAlign w:val="center"/>
          </w:tcPr>
          <w:p w14:paraId="02FB88D9" w14:textId="68121C4D" w:rsidR="00FD765A" w:rsidRPr="00FD765A" w:rsidRDefault="00B3725A" w:rsidP="00FD765A">
            <w:pPr>
              <w:spacing w:before="60" w:after="60"/>
              <w:rPr>
                <w:rFonts w:eastAsia="MS Mincho" w:cs="Times New Roman"/>
                <w:color w:val="000000" w:themeColor="text1"/>
                <w:szCs w:val="20"/>
                <w:lang w:val="en-US"/>
              </w:rPr>
            </w:pPr>
            <w:r>
              <w:rPr>
                <w:rFonts w:eastAsia="MS Mincho" w:cs="Times New Roman"/>
                <w:color w:val="000000" w:themeColor="text1"/>
                <w:szCs w:val="20"/>
                <w:lang w:val="en-US"/>
              </w:rPr>
              <w:t>18.1</w:t>
            </w:r>
          </w:p>
        </w:tc>
      </w:tr>
      <w:tr w:rsidR="00FD765A" w:rsidRPr="00FD765A" w14:paraId="6EF7FFFE" w14:textId="77777777" w:rsidTr="00C650A1">
        <w:trPr>
          <w:cantSplit/>
        </w:trPr>
        <w:tc>
          <w:tcPr>
            <w:tcW w:w="1250" w:type="pct"/>
            <w:vAlign w:val="center"/>
          </w:tcPr>
          <w:p w14:paraId="30B0CB6C" w14:textId="77777777" w:rsidR="00FD765A" w:rsidRPr="00FD765A" w:rsidRDefault="00FD765A" w:rsidP="00FD765A">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Approximate number of avoided incidents per annum required for a net benefit</w:t>
            </w:r>
          </w:p>
        </w:tc>
        <w:tc>
          <w:tcPr>
            <w:tcW w:w="1250" w:type="pct"/>
            <w:vAlign w:val="center"/>
          </w:tcPr>
          <w:p w14:paraId="0978BC87" w14:textId="77777777" w:rsidR="00FD765A" w:rsidRPr="00FD765A" w:rsidRDefault="00FD765A" w:rsidP="00FD765A">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Approximately 0.4 incidents every year</w:t>
            </w:r>
          </w:p>
        </w:tc>
        <w:tc>
          <w:tcPr>
            <w:tcW w:w="1250" w:type="pct"/>
            <w:vAlign w:val="center"/>
          </w:tcPr>
          <w:p w14:paraId="77E54A83" w14:textId="69B627D2" w:rsidR="00FD765A" w:rsidRPr="00FD765A" w:rsidRDefault="00FD765A" w:rsidP="00FD765A">
            <w:pPr>
              <w:spacing w:before="60" w:after="60"/>
              <w:rPr>
                <w:rFonts w:eastAsia="MS Mincho" w:cs="Times New Roman"/>
                <w:color w:val="000000" w:themeColor="text1"/>
                <w:lang w:val="en-US"/>
              </w:rPr>
            </w:pPr>
            <w:r w:rsidRPr="7EBB1CEE">
              <w:rPr>
                <w:rFonts w:eastAsia="MS Mincho" w:cs="Times New Roman"/>
                <w:color w:val="000000" w:themeColor="text1"/>
                <w:lang w:val="en-US"/>
              </w:rPr>
              <w:t>Approximately 0.</w:t>
            </w:r>
            <w:r w:rsidR="00EF3B0C">
              <w:rPr>
                <w:rFonts w:eastAsia="MS Mincho" w:cs="Times New Roman"/>
                <w:color w:val="000000" w:themeColor="text1"/>
                <w:lang w:val="en-US"/>
              </w:rPr>
              <w:t>8</w:t>
            </w:r>
            <w:r w:rsidRPr="7EBB1CEE">
              <w:rPr>
                <w:rFonts w:eastAsia="MS Mincho" w:cs="Times New Roman"/>
                <w:color w:val="000000" w:themeColor="text1"/>
                <w:lang w:val="en-US"/>
              </w:rPr>
              <w:t xml:space="preserve"> incidents per year</w:t>
            </w:r>
          </w:p>
        </w:tc>
        <w:tc>
          <w:tcPr>
            <w:tcW w:w="1250" w:type="pct"/>
            <w:vAlign w:val="center"/>
          </w:tcPr>
          <w:p w14:paraId="32688661" w14:textId="276B5002" w:rsidR="00FD765A" w:rsidRPr="00FD765A" w:rsidRDefault="00FD765A" w:rsidP="00FD765A">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 xml:space="preserve">Approximately </w:t>
            </w:r>
            <w:r w:rsidR="00EF3B0C">
              <w:rPr>
                <w:rFonts w:eastAsia="MS Mincho" w:cs="Times New Roman"/>
                <w:color w:val="000000" w:themeColor="text1"/>
                <w:szCs w:val="20"/>
                <w:lang w:val="en-US"/>
              </w:rPr>
              <w:t>15.6</w:t>
            </w:r>
            <w:r w:rsidR="0077609A" w:rsidRPr="00FD765A">
              <w:rPr>
                <w:rFonts w:eastAsia="MS Mincho" w:cs="Times New Roman"/>
                <w:color w:val="000000" w:themeColor="text1"/>
                <w:szCs w:val="20"/>
                <w:lang w:val="en-US"/>
              </w:rPr>
              <w:t xml:space="preserve"> </w:t>
            </w:r>
            <w:r w:rsidRPr="00FD765A">
              <w:rPr>
                <w:rFonts w:eastAsia="MS Mincho" w:cs="Times New Roman"/>
                <w:color w:val="000000" w:themeColor="text1"/>
                <w:szCs w:val="20"/>
                <w:lang w:val="en-US"/>
              </w:rPr>
              <w:t>incidents every year</w:t>
            </w:r>
          </w:p>
        </w:tc>
      </w:tr>
    </w:tbl>
    <w:p w14:paraId="3B249B6D" w14:textId="3D1ED2D3" w:rsidR="00FD765A" w:rsidRPr="00FD765A" w:rsidRDefault="00FD765A" w:rsidP="00FD765A">
      <w:pPr>
        <w:spacing w:before="240"/>
        <w:rPr>
          <w:rFonts w:cstheme="majorHAnsi"/>
          <w:sz w:val="22"/>
          <w:szCs w:val="28"/>
        </w:rPr>
      </w:pPr>
      <w:r w:rsidRPr="00FD765A">
        <w:rPr>
          <w:rFonts w:cstheme="majorHAnsi"/>
          <w:sz w:val="22"/>
          <w:szCs w:val="28"/>
        </w:rPr>
        <w:t>As noted above, the total direct ongoing cost for option 2 is expected to be $</w:t>
      </w:r>
      <w:r w:rsidR="003D17E1">
        <w:rPr>
          <w:rFonts w:cstheme="majorHAnsi"/>
          <w:sz w:val="22"/>
          <w:szCs w:val="28"/>
        </w:rPr>
        <w:t>50.0</w:t>
      </w:r>
      <w:r w:rsidRPr="00FD765A">
        <w:rPr>
          <w:rFonts w:cstheme="majorHAnsi"/>
          <w:color w:val="FF9933"/>
          <w:sz w:val="22"/>
          <w:szCs w:val="28"/>
        </w:rPr>
        <w:t xml:space="preserve"> </w:t>
      </w:r>
      <w:r w:rsidRPr="00FD765A">
        <w:rPr>
          <w:rFonts w:cstheme="majorHAnsi"/>
          <w:sz w:val="22"/>
          <w:szCs w:val="28"/>
        </w:rPr>
        <w:t>million per annum plus direct one-off costs of $</w:t>
      </w:r>
      <w:r w:rsidR="003D17E1">
        <w:rPr>
          <w:rFonts w:cstheme="majorHAnsi"/>
          <w:sz w:val="22"/>
          <w:szCs w:val="28"/>
        </w:rPr>
        <w:t>60</w:t>
      </w:r>
      <w:r w:rsidRPr="00FD765A">
        <w:rPr>
          <w:rFonts w:cstheme="majorHAnsi"/>
          <w:sz w:val="22"/>
          <w:szCs w:val="28"/>
        </w:rPr>
        <w:t xml:space="preserve">.9 million. However, the cost of the risk management program framework would also have other indirect costs flowing from increased freight prices passed onto consumers from the framework’s implementation. </w:t>
      </w:r>
    </w:p>
    <w:p w14:paraId="066B6AA9" w14:textId="1A62FC99" w:rsidR="00FD765A" w:rsidRPr="00FD765A" w:rsidRDefault="00FD765A" w:rsidP="00FD765A">
      <w:pPr>
        <w:rPr>
          <w:rFonts w:cstheme="majorBidi"/>
          <w:sz w:val="22"/>
          <w:highlight w:val="yellow"/>
        </w:rPr>
      </w:pPr>
      <w:r w:rsidRPr="7EBB1CEE">
        <w:rPr>
          <w:rFonts w:cstheme="majorBidi"/>
          <w:sz w:val="22"/>
        </w:rPr>
        <w:t>After considering the economy-wide impact of this change to the cost of providing freight, the total economic cost of the regulatory changes, including direct and indirect costs would be approximately $</w:t>
      </w:r>
      <w:r w:rsidR="00803404">
        <w:rPr>
          <w:rFonts w:cstheme="majorBidi"/>
          <w:sz w:val="22"/>
        </w:rPr>
        <w:t>281.6</w:t>
      </w:r>
      <w:r w:rsidRPr="7EBB1CEE">
        <w:rPr>
          <w:rFonts w:cstheme="majorBidi"/>
          <w:sz w:val="22"/>
        </w:rPr>
        <w:t xml:space="preserve"> million per year.</w:t>
      </w:r>
      <w:r w:rsidRPr="7EBB1CEE">
        <w:rPr>
          <w:rFonts w:cstheme="majorBidi"/>
          <w:sz w:val="22"/>
          <w:vertAlign w:val="superscript"/>
        </w:rPr>
        <w:footnoteReference w:id="394"/>
      </w:r>
      <w:r w:rsidRPr="7EBB1CEE">
        <w:rPr>
          <w:rFonts w:cstheme="majorBidi"/>
          <w:sz w:val="22"/>
        </w:rPr>
        <w:t xml:space="preserve"> In order for the regulatory changes to generate a net benefit, the proposed risk management program framework would need to contribute to the prevention of approximately 0.4 severe scenario incidents every year, 0.</w:t>
      </w:r>
      <w:r w:rsidR="009A3E10">
        <w:rPr>
          <w:rFonts w:cstheme="majorBidi"/>
          <w:sz w:val="22"/>
        </w:rPr>
        <w:t>8</w:t>
      </w:r>
      <w:r w:rsidRPr="7EBB1CEE">
        <w:rPr>
          <w:rFonts w:cstheme="majorBidi"/>
          <w:sz w:val="22"/>
        </w:rPr>
        <w:t xml:space="preserve"> moderate scenario incidents every year or </w:t>
      </w:r>
      <w:r w:rsidR="00C54EE4">
        <w:rPr>
          <w:rFonts w:cstheme="majorBidi"/>
          <w:sz w:val="22"/>
        </w:rPr>
        <w:t>18.1</w:t>
      </w:r>
      <w:r w:rsidRPr="7EBB1CEE">
        <w:rPr>
          <w:rFonts w:cstheme="majorBidi"/>
          <w:sz w:val="22"/>
        </w:rPr>
        <w:t xml:space="preserve"> low scenario incidents every year to generate a net benefit. </w:t>
      </w:r>
    </w:p>
    <w:p w14:paraId="61E78280" w14:textId="77777777" w:rsidR="00FD765A" w:rsidRPr="00FD765A" w:rsidRDefault="00FD765A" w:rsidP="00FD765A">
      <w:pPr>
        <w:rPr>
          <w:rFonts w:eastAsia="Arial" w:cstheme="majorHAnsi"/>
          <w:sz w:val="22"/>
          <w:szCs w:val="28"/>
        </w:rPr>
      </w:pPr>
      <w:r w:rsidRPr="00FD765A">
        <w:rPr>
          <w:rFonts w:cstheme="majorHAnsi"/>
          <w:sz w:val="22"/>
          <w:szCs w:val="28"/>
        </w:rPr>
        <w:t xml:space="preserve">It is important to note that the economic analysis of the above scenarios does not incorporate all direct avoided costs incurred by all future incidents. The avoided costs included are only those which were directly and immediately incurred as a result of the incidents modelled. In the broader context of a potential future disruption, in addition to the above estimate of benefits would be the avoided costs of recovery (repair costs, costs of resulting mitigations) from high value, specific circumstances which were not experienced during the modelled incidents. </w:t>
      </w:r>
    </w:p>
    <w:p w14:paraId="09864FAE" w14:textId="77777777" w:rsidR="00FD765A" w:rsidRPr="00FD765A" w:rsidRDefault="00FD765A" w:rsidP="00FD765A">
      <w:pPr>
        <w:rPr>
          <w:rFonts w:eastAsia="Calibri" w:cstheme="majorHAnsi"/>
          <w:sz w:val="22"/>
          <w:szCs w:val="28"/>
        </w:rPr>
      </w:pPr>
      <w:r w:rsidRPr="00FD765A">
        <w:rPr>
          <w:rFonts w:cstheme="majorHAnsi"/>
          <w:sz w:val="22"/>
          <w:szCs w:val="28"/>
        </w:rPr>
        <w:t xml:space="preserve">Further, the increasing frequency of incidents as described in section 1.1 makes the proposed risk management program framework more certain over time to exceed the anticipated costs. </w:t>
      </w:r>
      <w:r w:rsidRPr="00FD765A">
        <w:rPr>
          <w:rFonts w:eastAsia="Calibri" w:cstheme="majorHAnsi"/>
          <w:sz w:val="22"/>
          <w:szCs w:val="28"/>
        </w:rPr>
        <w:t>The examples referred to in that section demonstrate the increasing need for adequate protections against the security and resilience of critical freight infrastructure and freight services assets, and the increased likelihood that the benefits of the draft risk management program framework will exceed the costs outlined in this section.</w:t>
      </w:r>
    </w:p>
    <w:p w14:paraId="3F8952AF" w14:textId="2DECD8B6" w:rsidR="00530921" w:rsidRDefault="00530921" w:rsidP="00530921">
      <w:pPr>
        <w:pStyle w:val="BodyText"/>
        <w:rPr>
          <w:lang w:eastAsia="en-AU"/>
        </w:rPr>
      </w:pPr>
    </w:p>
    <w:p w14:paraId="72429196" w14:textId="7ED80EAA" w:rsidR="00996FE9" w:rsidRPr="00996FE9" w:rsidRDefault="00996FE9" w:rsidP="00996FE9">
      <w:pPr>
        <w:rPr>
          <w:lang w:eastAsia="en-AU"/>
        </w:rPr>
      </w:pPr>
    </w:p>
    <w:p w14:paraId="14F844DE" w14:textId="77777777" w:rsidR="009C254D" w:rsidRPr="009C254D" w:rsidRDefault="009C254D" w:rsidP="009C254D">
      <w:pPr>
        <w:keepNext/>
        <w:keepLines/>
        <w:tabs>
          <w:tab w:val="left" w:pos="851"/>
        </w:tabs>
        <w:spacing w:before="360" w:after="240"/>
        <w:outlineLvl w:val="1"/>
        <w:rPr>
          <w:rFonts w:asciiTheme="majorHAnsi" w:eastAsia="Calibri" w:hAnsiTheme="majorHAnsi" w:cs="Arial"/>
          <w:b/>
          <w:bCs/>
          <w:color w:val="007BC3" w:themeColor="accent2"/>
          <w:sz w:val="28"/>
          <w:szCs w:val="28"/>
          <w:lang w:eastAsia="en-AU"/>
        </w:rPr>
      </w:pPr>
      <w:r w:rsidRPr="009C254D">
        <w:rPr>
          <w:rFonts w:asciiTheme="majorHAnsi" w:eastAsia="Times New Roman" w:hAnsiTheme="majorHAnsi" w:cs="Arial"/>
          <w:b/>
          <w:bCs/>
          <w:color w:val="007BC3" w:themeColor="accent2"/>
          <w:sz w:val="28"/>
          <w:szCs w:val="28"/>
          <w:lang w:eastAsia="en-AU"/>
        </w:rPr>
        <w:lastRenderedPageBreak/>
        <w:t>Assessment of likely net benefit</w:t>
      </w:r>
    </w:p>
    <w:p w14:paraId="1376B80A" w14:textId="77777777" w:rsidR="009C254D" w:rsidRPr="009C254D" w:rsidRDefault="009C254D" w:rsidP="009C254D">
      <w:pPr>
        <w:rPr>
          <w:rFonts w:cstheme="majorHAnsi"/>
          <w:sz w:val="22"/>
          <w:szCs w:val="28"/>
        </w:rPr>
      </w:pPr>
      <w:r w:rsidRPr="009C254D">
        <w:rPr>
          <w:rFonts w:cstheme="majorHAnsi"/>
          <w:sz w:val="22"/>
          <w:szCs w:val="28"/>
        </w:rPr>
        <w:t xml:space="preserve">The likely benefits of option 2 will be at least (and are expected to be more than) the costs of the regulation. This is primarily because, as described above and throughout this RIS, the frequency and severity of all hazard risks for critical freight infrastructure and freight services assets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 </w:t>
      </w:r>
    </w:p>
    <w:p w14:paraId="4C7F24BC" w14:textId="77777777" w:rsidR="009C254D" w:rsidRPr="009C254D" w:rsidRDefault="009C254D" w:rsidP="009C254D">
      <w:pPr>
        <w:rPr>
          <w:rFonts w:cstheme="majorHAnsi"/>
          <w:sz w:val="22"/>
          <w:szCs w:val="28"/>
        </w:rPr>
      </w:pPr>
      <w:r w:rsidRPr="009C254D">
        <w:rPr>
          <w:rFonts w:cstheme="majorHAnsi"/>
          <w:sz w:val="22"/>
          <w:szCs w:val="28"/>
        </w:rPr>
        <w:t>Further, through pursuit of option 2, the identification, mitigation and remediation of such hazards, should they occur, will be improved through:</w:t>
      </w:r>
    </w:p>
    <w:p w14:paraId="44B1169D" w14:textId="77777777" w:rsidR="009C254D" w:rsidRPr="009C254D" w:rsidRDefault="009C254D" w:rsidP="009C254D">
      <w:pPr>
        <w:numPr>
          <w:ilvl w:val="0"/>
          <w:numId w:val="57"/>
        </w:numPr>
        <w:rPr>
          <w:rFonts w:cstheme="majorBidi"/>
          <w:sz w:val="22"/>
        </w:rPr>
      </w:pPr>
      <w:r w:rsidRPr="7EBB1CEE">
        <w:rPr>
          <w:rFonts w:cstheme="majorBidi"/>
          <w:sz w:val="22"/>
        </w:rPr>
        <w:t xml:space="preserve">Lowering the material risk of hazards and subsequent impacts of those hazards, as they manifest for critical freight infrastructure and freight services assets; </w:t>
      </w:r>
    </w:p>
    <w:p w14:paraId="58BD6877" w14:textId="77777777" w:rsidR="009C254D" w:rsidRPr="009C254D" w:rsidRDefault="009C254D" w:rsidP="009C254D">
      <w:pPr>
        <w:numPr>
          <w:ilvl w:val="0"/>
          <w:numId w:val="57"/>
        </w:numPr>
        <w:rPr>
          <w:rFonts w:cstheme="majorBidi"/>
          <w:sz w:val="22"/>
        </w:rPr>
      </w:pPr>
      <w:r w:rsidRPr="7EBB1CEE">
        <w:rPr>
          <w:rFonts w:cstheme="majorBidi"/>
          <w:sz w:val="22"/>
        </w:rPr>
        <w:t xml:space="preserve">Ensuring that adoption of the risk management program framework for critical freight infrastructure and freight services assets is reasonable and proportionate to the purpose of the program; </w:t>
      </w:r>
    </w:p>
    <w:p w14:paraId="755D787D" w14:textId="77777777" w:rsidR="009C254D" w:rsidRPr="009C254D" w:rsidRDefault="009C254D" w:rsidP="009C254D">
      <w:pPr>
        <w:numPr>
          <w:ilvl w:val="0"/>
          <w:numId w:val="57"/>
        </w:numPr>
        <w:rPr>
          <w:rFonts w:cstheme="majorBidi"/>
          <w:sz w:val="22"/>
        </w:rPr>
      </w:pPr>
      <w:r w:rsidRPr="7EBB1CEE">
        <w:rPr>
          <w:rFonts w:cstheme="majorBidi"/>
          <w:sz w:val="22"/>
        </w:rPr>
        <w:t xml:space="preserve">Avoiding regulatory duplication and facilitating a coordinated uplift in responsible entities’ compliance with relevant standards; and </w:t>
      </w:r>
    </w:p>
    <w:p w14:paraId="1DE45CC2" w14:textId="77777777" w:rsidR="009C254D" w:rsidRPr="009C254D" w:rsidRDefault="009C254D" w:rsidP="009C254D">
      <w:pPr>
        <w:numPr>
          <w:ilvl w:val="0"/>
          <w:numId w:val="57"/>
        </w:numPr>
        <w:rPr>
          <w:rFonts w:cstheme="majorBidi"/>
          <w:sz w:val="22"/>
        </w:rPr>
      </w:pPr>
      <w:r w:rsidRPr="7EBB1CEE">
        <w:rPr>
          <w:rFonts w:cstheme="majorBidi"/>
          <w:sz w:val="22"/>
        </w:rPr>
        <w:t xml:space="preserve">Improving Government’s visibility over the security and resilience of critical freight infrastructure and freight services assets. </w:t>
      </w:r>
    </w:p>
    <w:p w14:paraId="1401284C" w14:textId="4AB392BC" w:rsidR="009C254D" w:rsidRPr="009C254D" w:rsidRDefault="009C254D" w:rsidP="009C254D">
      <w:pPr>
        <w:rPr>
          <w:rFonts w:eastAsia="Times New Roman" w:cstheme="majorHAnsi"/>
          <w:sz w:val="22"/>
          <w:szCs w:val="28"/>
        </w:rPr>
      </w:pPr>
      <w:r w:rsidRPr="009C254D">
        <w:rPr>
          <w:rFonts w:cstheme="majorHAnsi"/>
          <w:sz w:val="22"/>
          <w:szCs w:val="28"/>
        </w:rPr>
        <w:t xml:space="preserve">Overall, these factors and the specific costs and benefits described above mean the likely net benefit associated with option 2 is high.  </w:t>
      </w:r>
    </w:p>
    <w:p w14:paraId="41B7949B" w14:textId="3ACCDA19" w:rsidR="00996FE9" w:rsidRPr="00996FE9" w:rsidRDefault="00996FE9" w:rsidP="00996FE9">
      <w:pPr>
        <w:rPr>
          <w:lang w:eastAsia="en-AU"/>
        </w:rPr>
      </w:pPr>
    </w:p>
    <w:p w14:paraId="5FD7B81D" w14:textId="71BF11DD" w:rsidR="00996FE9" w:rsidRPr="00996FE9" w:rsidRDefault="00996FE9" w:rsidP="00996FE9">
      <w:pPr>
        <w:rPr>
          <w:lang w:eastAsia="en-AU"/>
        </w:rPr>
      </w:pPr>
    </w:p>
    <w:p w14:paraId="4A1D499D" w14:textId="4D15144C" w:rsidR="00996FE9" w:rsidRDefault="00D52F2C">
      <w:pPr>
        <w:spacing w:before="80" w:after="80"/>
        <w:rPr>
          <w:rFonts w:cstheme="majorHAnsi"/>
          <w:sz w:val="22"/>
          <w:szCs w:val="28"/>
          <w:lang w:eastAsia="en-AU"/>
        </w:rPr>
      </w:pPr>
      <w:r>
        <w:rPr>
          <w:rFonts w:cstheme="majorHAnsi"/>
          <w:sz w:val="22"/>
          <w:szCs w:val="28"/>
          <w:lang w:eastAsia="en-AU"/>
        </w:rPr>
        <w:br w:type="page"/>
      </w:r>
    </w:p>
    <w:p w14:paraId="3CB87443" w14:textId="0B510137" w:rsidR="00996FE9" w:rsidRDefault="00D52F2C" w:rsidP="00996FE9">
      <w:pPr>
        <w:rPr>
          <w:rFonts w:cstheme="majorHAnsi"/>
          <w:sz w:val="22"/>
          <w:szCs w:val="28"/>
          <w:lang w:eastAsia="en-AU"/>
        </w:rPr>
      </w:pPr>
      <w:r w:rsidRPr="00E73273">
        <w:rPr>
          <w:noProof/>
          <w:lang w:eastAsia="en-AU"/>
        </w:rPr>
        <w:lastRenderedPageBreak/>
        <mc:AlternateContent>
          <mc:Choice Requires="wps">
            <w:drawing>
              <wp:anchor distT="0" distB="0" distL="114300" distR="114300" simplePos="0" relativeHeight="251679744" behindDoc="1" locked="0" layoutInCell="1" allowOverlap="1" wp14:anchorId="3DA84A69" wp14:editId="212D4779">
                <wp:simplePos x="0" y="0"/>
                <wp:positionH relativeFrom="page">
                  <wp:align>right</wp:align>
                </wp:positionH>
                <wp:positionV relativeFrom="margin">
                  <wp:posOffset>90805</wp:posOffset>
                </wp:positionV>
                <wp:extent cx="7560000" cy="10692000"/>
                <wp:effectExtent l="0" t="0" r="3175" b="0"/>
                <wp:wrapNone/>
                <wp:docPr id="26" name="Rectangle 26"/>
                <wp:cNvGraphicFramePr/>
                <a:graphic xmlns:a="http://schemas.openxmlformats.org/drawingml/2006/main">
                  <a:graphicData uri="http://schemas.microsoft.com/office/word/2010/wordprocessingShape">
                    <wps:wsp>
                      <wps:cNvSpPr/>
                      <wps:spPr>
                        <a:xfrm>
                          <a:off x="0" y="0"/>
                          <a:ext cx="7560000" cy="10692000"/>
                        </a:xfrm>
                        <a:prstGeom prst="rect">
                          <a:avLst/>
                        </a:prstGeom>
                        <a:gradFill flip="none" rotWithShape="1">
                          <a:gsLst>
                            <a:gs pos="0">
                              <a:schemeClr val="accent1"/>
                            </a:gs>
                            <a:gs pos="100000">
                              <a:schemeClr val="accent2"/>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F6145F" id="Rectangle 26" o:spid="_x0000_s1026" style="position:absolute;margin-left:544.1pt;margin-top:7.15pt;width:595.3pt;height:841.9pt;z-index:-251636736;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" fillcolor="#034ea2 [3204]" stroked="f" strokeweight="2pt">
                <v:fill color2="#007bc3 [3205]" rotate="t" angle="45" focus="100%" type="gradient"/>
                <w10:wrap anchorx="page" anchory="margin"/>
              </v:rect>
            </w:pict>
          </mc:Fallback>
        </mc:AlternateContent>
      </w:r>
    </w:p>
    <w:p w14:paraId="4C6F5A06" w14:textId="77777777" w:rsidR="00C518AB" w:rsidRDefault="00C518AB">
      <w:pPr>
        <w:spacing w:before="80" w:after="80"/>
        <w:rPr>
          <w:lang w:eastAsia="en-AU"/>
        </w:rPr>
      </w:pPr>
      <w:r>
        <w:rPr>
          <w:lang w:eastAsia="en-AU"/>
        </w:rPr>
        <w:br w:type="page"/>
      </w:r>
    </w:p>
    <w:p w14:paraId="31B2DF0C" w14:textId="7D8C2172" w:rsidR="00BE0785" w:rsidRDefault="00BE0785" w:rsidP="00BE0785">
      <w:pPr>
        <w:pStyle w:val="AppendixH1"/>
      </w:pPr>
      <w:bookmarkStart w:id="667" w:name="_Toc121397435"/>
      <w:r w:rsidRPr="008D154D">
        <w:lastRenderedPageBreak/>
        <w:t xml:space="preserve">Detailed costing information for critical </w:t>
      </w:r>
      <w:r>
        <w:t>food and grocery</w:t>
      </w:r>
      <w:r w:rsidRPr="008D154D">
        <w:t xml:space="preserve"> assets</w:t>
      </w:r>
      <w:bookmarkEnd w:id="667"/>
    </w:p>
    <w:p w14:paraId="36239678" w14:textId="0F76CD0C" w:rsidR="00BE0785" w:rsidRPr="00D450CF" w:rsidRDefault="00BE0785" w:rsidP="00BE0785">
      <w:pPr>
        <w:pStyle w:val="AppendixH2"/>
        <w:spacing w:after="120"/>
      </w:pPr>
      <w:r w:rsidRPr="00D450CF">
        <w:t xml:space="preserve">Costing process completed by responsible entities for critical </w:t>
      </w:r>
      <w:r>
        <w:t>food and grocery</w:t>
      </w:r>
      <w:r w:rsidRPr="00D450CF">
        <w:t xml:space="preserve"> assets</w:t>
      </w:r>
    </w:p>
    <w:p w14:paraId="0E503B89" w14:textId="5B4D2EC7" w:rsidR="00BE0785" w:rsidRDefault="00BE0785" w:rsidP="00BE0785">
      <w:pPr>
        <w:pStyle w:val="BodyText"/>
      </w:pPr>
      <w:r>
        <w:t xml:space="preserve">Cost submissions were received from </w:t>
      </w:r>
      <w:r w:rsidR="004A5D5A">
        <w:t>three</w:t>
      </w:r>
      <w:r>
        <w:t xml:space="preserve"> responsible entities for critical food and grocery assets. This represented approximately </w:t>
      </w:r>
      <w:r w:rsidR="001E117F">
        <w:t>74.5</w:t>
      </w:r>
      <w:r>
        <w:t>% of the total critical food and grocery asset market.</w:t>
      </w:r>
    </w:p>
    <w:p w14:paraId="3708A440" w14:textId="77777777" w:rsidR="00BE0785" w:rsidRPr="009969BD" w:rsidRDefault="00BE0785" w:rsidP="00BE0785">
      <w:pPr>
        <w:keepNext/>
        <w:keepLines/>
        <w:tabs>
          <w:tab w:val="left" w:pos="851"/>
        </w:tabs>
        <w:spacing w:before="360" w:after="240"/>
        <w:outlineLvl w:val="1"/>
        <w:rPr>
          <w:rFonts w:asciiTheme="majorHAnsi" w:eastAsia="Times New Roman" w:hAnsiTheme="majorHAnsi" w:cs="Arial"/>
          <w:b/>
          <w:bCs/>
          <w:color w:val="007BC3" w:themeColor="accent2"/>
          <w:sz w:val="28"/>
          <w:szCs w:val="28"/>
          <w:lang w:eastAsia="en-AU"/>
        </w:rPr>
      </w:pPr>
      <w:r w:rsidRPr="009969BD">
        <w:rPr>
          <w:rFonts w:asciiTheme="majorHAnsi" w:eastAsia="Times New Roman" w:hAnsiTheme="majorHAnsi" w:cs="Arial"/>
          <w:b/>
          <w:bCs/>
          <w:color w:val="007BC3" w:themeColor="accent2"/>
          <w:sz w:val="28"/>
          <w:szCs w:val="28"/>
          <w:lang w:eastAsia="en-AU"/>
        </w:rPr>
        <w:t xml:space="preserve">Likely net benefit – option 2 </w:t>
      </w:r>
    </w:p>
    <w:p w14:paraId="61920EE7" w14:textId="77777777" w:rsidR="00BE0785" w:rsidRPr="009969BD" w:rsidRDefault="00BE0785" w:rsidP="00BE0785">
      <w:pPr>
        <w:rPr>
          <w:rFonts w:eastAsia="Calibri" w:cstheme="majorHAnsi"/>
          <w:sz w:val="22"/>
          <w:szCs w:val="28"/>
        </w:rPr>
      </w:pPr>
      <w:r w:rsidRPr="009969BD">
        <w:rPr>
          <w:rFonts w:cstheme="majorHAnsi"/>
          <w:sz w:val="22"/>
          <w:szCs w:val="28"/>
        </w:rPr>
        <w:t xml:space="preserve">The following section details the costs and benefits associated with option 2 (the regulatory option), before assessing the overall likely net benefit presented by this option. </w:t>
      </w:r>
    </w:p>
    <w:p w14:paraId="3B52A416" w14:textId="77777777" w:rsidR="00BE0785" w:rsidRPr="00F775C3" w:rsidRDefault="00BE0785" w:rsidP="00BE0785">
      <w:pPr>
        <w:keepNext/>
        <w:keepLines/>
        <w:tabs>
          <w:tab w:val="left" w:pos="851"/>
        </w:tabs>
        <w:spacing w:before="360" w:after="240"/>
        <w:outlineLvl w:val="1"/>
        <w:rPr>
          <w:rFonts w:asciiTheme="majorHAnsi" w:eastAsia="Times New Roman" w:hAnsiTheme="majorHAnsi" w:cs="Arial"/>
          <w:b/>
          <w:bCs/>
          <w:color w:val="007BC3" w:themeColor="accent2"/>
          <w:sz w:val="28"/>
          <w:szCs w:val="28"/>
          <w:lang w:eastAsia="en-AU"/>
        </w:rPr>
      </w:pPr>
      <w:r w:rsidRPr="00F775C3">
        <w:rPr>
          <w:rFonts w:asciiTheme="majorHAnsi" w:eastAsia="Times New Roman" w:hAnsiTheme="majorHAnsi" w:cs="Arial"/>
          <w:b/>
          <w:bCs/>
          <w:color w:val="007BC3" w:themeColor="accent2"/>
          <w:sz w:val="28"/>
          <w:szCs w:val="28"/>
          <w:lang w:eastAsia="en-AU"/>
        </w:rPr>
        <w:t>Costs of option 2</w:t>
      </w:r>
    </w:p>
    <w:p w14:paraId="6C6DB69B" w14:textId="77186D3E" w:rsidR="00BE0785" w:rsidRPr="00F775C3" w:rsidRDefault="00BE0785" w:rsidP="00BE0785">
      <w:pPr>
        <w:rPr>
          <w:rFonts w:cstheme="majorHAnsi"/>
          <w:sz w:val="22"/>
          <w:szCs w:val="28"/>
        </w:rPr>
      </w:pPr>
      <w:r w:rsidRPr="00F775C3">
        <w:rPr>
          <w:rFonts w:cstheme="majorHAnsi"/>
          <w:sz w:val="22"/>
          <w:szCs w:val="28"/>
        </w:rPr>
        <w:t xml:space="preserve">There are multiple factors affecting the regulatory burden for each entity, including their existing risk management practices and capabilities, the nature of the critical </w:t>
      </w:r>
      <w:r>
        <w:rPr>
          <w:rFonts w:cstheme="majorHAnsi"/>
          <w:sz w:val="22"/>
          <w:szCs w:val="28"/>
        </w:rPr>
        <w:t>food and grocery</w:t>
      </w:r>
      <w:r w:rsidR="001E117F">
        <w:rPr>
          <w:rFonts w:cstheme="majorHAnsi"/>
          <w:sz w:val="22"/>
          <w:szCs w:val="28"/>
        </w:rPr>
        <w:t xml:space="preserve"> service</w:t>
      </w:r>
      <w:r w:rsidRPr="00F775C3">
        <w:rPr>
          <w:rFonts w:cstheme="majorHAnsi"/>
          <w:sz w:val="22"/>
          <w:szCs w:val="28"/>
        </w:rPr>
        <w:t xml:space="preserve"> they operate and the size of their operations. In collecting cost information from entities across critical </w:t>
      </w:r>
      <w:r>
        <w:rPr>
          <w:rFonts w:cstheme="majorHAnsi"/>
          <w:sz w:val="22"/>
          <w:szCs w:val="28"/>
        </w:rPr>
        <w:t>food and grocery</w:t>
      </w:r>
      <w:r w:rsidR="001E117F">
        <w:rPr>
          <w:rFonts w:cstheme="majorHAnsi"/>
          <w:sz w:val="22"/>
          <w:szCs w:val="28"/>
        </w:rPr>
        <w:t xml:space="preserve"> assets</w:t>
      </w:r>
      <w:r w:rsidRPr="00F775C3">
        <w:rPr>
          <w:rFonts w:cstheme="majorHAnsi"/>
          <w:sz w:val="22"/>
          <w:szCs w:val="28"/>
        </w:rPr>
        <w:t xml:space="preserve">, this variance in cost impact has been captured and reflected in the estimates of total cost across critical </w:t>
      </w:r>
      <w:r w:rsidR="001E117F">
        <w:rPr>
          <w:rFonts w:cstheme="majorHAnsi"/>
          <w:sz w:val="22"/>
          <w:szCs w:val="28"/>
        </w:rPr>
        <w:t>food and grocery</w:t>
      </w:r>
      <w:r w:rsidRPr="00F775C3">
        <w:rPr>
          <w:rFonts w:cstheme="majorHAnsi"/>
          <w:sz w:val="22"/>
          <w:szCs w:val="28"/>
        </w:rPr>
        <w:t xml:space="preserve"> assets included in this RIS.</w:t>
      </w:r>
    </w:p>
    <w:p w14:paraId="4803579D" w14:textId="5D3FA08A" w:rsidR="00BE0785" w:rsidRPr="00F775C3" w:rsidRDefault="00BE0785" w:rsidP="00BE0785">
      <w:pPr>
        <w:rPr>
          <w:rFonts w:cstheme="majorHAnsi"/>
          <w:sz w:val="22"/>
          <w:szCs w:val="28"/>
        </w:rPr>
      </w:pPr>
      <w:r w:rsidRPr="00F775C3">
        <w:rPr>
          <w:rFonts w:cstheme="majorHAnsi"/>
          <w:sz w:val="22"/>
          <w:szCs w:val="28"/>
        </w:rPr>
        <w:t xml:space="preserve">When estimating the cost of compliance with option 2, critical </w:t>
      </w:r>
      <w:r w:rsidR="001E117F">
        <w:rPr>
          <w:rFonts w:cstheme="majorHAnsi"/>
          <w:sz w:val="22"/>
          <w:szCs w:val="28"/>
        </w:rPr>
        <w:t>food and grocery</w:t>
      </w:r>
      <w:r w:rsidRPr="00F775C3">
        <w:rPr>
          <w:rFonts w:cstheme="majorHAnsi"/>
          <w:sz w:val="22"/>
          <w:szCs w:val="28"/>
        </w:rPr>
        <w:t xml:space="preserve"> asset entities provided both an expected and a high-cost estimate. The high-cost estimate was provided as a way to measure the uncertainty associated with their estimates and the highest feasible cost of option 2. The expected estimate was used as the basis for determining the net benefit of option 2 in section 4. </w:t>
      </w:r>
    </w:p>
    <w:p w14:paraId="4344ECE3" w14:textId="77777777" w:rsidR="00BE0785" w:rsidRPr="00F775C3" w:rsidRDefault="00BE0785" w:rsidP="00BE0785">
      <w:pPr>
        <w:rPr>
          <w:rFonts w:cstheme="majorHAnsi"/>
          <w:sz w:val="22"/>
          <w:szCs w:val="28"/>
        </w:rPr>
      </w:pPr>
      <w:r w:rsidRPr="00F775C3">
        <w:rPr>
          <w:rFonts w:cstheme="majorHAnsi"/>
          <w:sz w:val="22"/>
          <w:szCs w:val="28"/>
        </w:rPr>
        <w:t xml:space="preserve">Using the expected and the high estimate as a range, the cost of compliance is as follows: </w:t>
      </w:r>
    </w:p>
    <w:p w14:paraId="4640ABE9" w14:textId="1A21C7F7" w:rsidR="00BE0785" w:rsidRPr="00F775C3" w:rsidRDefault="00BE0785" w:rsidP="00BE0785">
      <w:pPr>
        <w:numPr>
          <w:ilvl w:val="0"/>
          <w:numId w:val="57"/>
        </w:numPr>
        <w:rPr>
          <w:rFonts w:cstheme="majorBidi"/>
          <w:sz w:val="22"/>
        </w:rPr>
      </w:pPr>
      <w:r w:rsidRPr="7EBB1CEE">
        <w:rPr>
          <w:rFonts w:cstheme="majorBidi"/>
          <w:sz w:val="22"/>
        </w:rPr>
        <w:t>A one-off regulatory cost of between $</w:t>
      </w:r>
      <w:r w:rsidR="001E117F">
        <w:rPr>
          <w:rFonts w:cstheme="majorBidi"/>
          <w:sz w:val="22"/>
        </w:rPr>
        <w:t>12.2</w:t>
      </w:r>
      <w:r w:rsidRPr="7EBB1CEE">
        <w:rPr>
          <w:rFonts w:cstheme="majorBidi"/>
          <w:sz w:val="22"/>
        </w:rPr>
        <w:t xml:space="preserve"> (expected) and </w:t>
      </w:r>
      <w:r w:rsidR="008F019C">
        <w:rPr>
          <w:rFonts w:cstheme="majorBidi"/>
          <w:sz w:val="22"/>
        </w:rPr>
        <w:t>2</w:t>
      </w:r>
      <w:r w:rsidR="008F019C" w:rsidRPr="008F019C">
        <w:rPr>
          <w:rFonts w:cstheme="majorBidi"/>
          <w:sz w:val="22"/>
        </w:rPr>
        <w:t>8</w:t>
      </w:r>
      <w:r w:rsidRPr="008F019C">
        <w:rPr>
          <w:rFonts w:cstheme="majorBidi"/>
          <w:sz w:val="22"/>
        </w:rPr>
        <w:t>.</w:t>
      </w:r>
      <w:r w:rsidR="008F019C">
        <w:rPr>
          <w:rFonts w:cstheme="majorBidi"/>
          <w:sz w:val="22"/>
        </w:rPr>
        <w:t>2</w:t>
      </w:r>
      <w:r w:rsidRPr="7EBB1CEE">
        <w:rPr>
          <w:rFonts w:cstheme="majorBidi"/>
          <w:sz w:val="22"/>
        </w:rPr>
        <w:t xml:space="preserve"> million (high estimate), across critical </w:t>
      </w:r>
      <w:r w:rsidR="001E117F">
        <w:rPr>
          <w:rFonts w:cstheme="majorBidi"/>
          <w:sz w:val="22"/>
        </w:rPr>
        <w:t>food and grocery</w:t>
      </w:r>
      <w:r w:rsidRPr="7EBB1CEE">
        <w:rPr>
          <w:rFonts w:cstheme="majorBidi"/>
          <w:sz w:val="22"/>
        </w:rPr>
        <w:t xml:space="preserve"> assets nationally; and </w:t>
      </w:r>
    </w:p>
    <w:p w14:paraId="3A0FF59E" w14:textId="02743149" w:rsidR="00BE0785" w:rsidRPr="00F775C3" w:rsidRDefault="00BE0785" w:rsidP="00BE0785">
      <w:pPr>
        <w:numPr>
          <w:ilvl w:val="0"/>
          <w:numId w:val="57"/>
        </w:numPr>
        <w:rPr>
          <w:rFonts w:cstheme="majorBidi"/>
          <w:sz w:val="22"/>
        </w:rPr>
      </w:pPr>
      <w:r w:rsidRPr="7EBB1CEE">
        <w:rPr>
          <w:rFonts w:cstheme="majorBidi"/>
          <w:sz w:val="22"/>
        </w:rPr>
        <w:t xml:space="preserve">An ongoing cost of between </w:t>
      </w:r>
      <w:r w:rsidR="001E117F">
        <w:rPr>
          <w:rFonts w:cstheme="majorBidi"/>
          <w:sz w:val="22"/>
        </w:rPr>
        <w:t>$6.6</w:t>
      </w:r>
      <w:r w:rsidRPr="7EBB1CEE">
        <w:rPr>
          <w:rFonts w:cstheme="majorBidi"/>
          <w:sz w:val="22"/>
        </w:rPr>
        <w:t xml:space="preserve"> (expected) and </w:t>
      </w:r>
      <w:r w:rsidR="008F019C">
        <w:rPr>
          <w:rFonts w:cstheme="majorBidi"/>
          <w:sz w:val="22"/>
        </w:rPr>
        <w:t>$15.6</w:t>
      </w:r>
      <w:r w:rsidRPr="7EBB1CEE">
        <w:rPr>
          <w:rFonts w:cstheme="majorBidi"/>
          <w:sz w:val="22"/>
        </w:rPr>
        <w:t xml:space="preserve"> million (high estimate) per year, across critical </w:t>
      </w:r>
      <w:r w:rsidR="001E117F">
        <w:rPr>
          <w:rFonts w:cstheme="majorBidi"/>
          <w:sz w:val="22"/>
        </w:rPr>
        <w:t>food and grocery</w:t>
      </w:r>
      <w:r w:rsidRPr="7EBB1CEE">
        <w:rPr>
          <w:rFonts w:cstheme="majorBidi"/>
          <w:sz w:val="22"/>
        </w:rPr>
        <w:t xml:space="preserve"> assets nationally. </w:t>
      </w:r>
    </w:p>
    <w:p w14:paraId="114E7E6D" w14:textId="2B79A488" w:rsidR="00BE0785" w:rsidRPr="00F775C3" w:rsidRDefault="00BE0785" w:rsidP="00BE0785">
      <w:pPr>
        <w:rPr>
          <w:rFonts w:cstheme="majorHAnsi"/>
          <w:sz w:val="22"/>
          <w:szCs w:val="28"/>
        </w:rPr>
      </w:pPr>
      <w:r w:rsidRPr="00F775C3">
        <w:rPr>
          <w:rFonts w:cstheme="majorHAnsi"/>
          <w:sz w:val="22"/>
          <w:szCs w:val="28"/>
        </w:rPr>
        <w:t>The average cost of compliance for each entity is estimated at $</w:t>
      </w:r>
      <w:r w:rsidR="001E117F">
        <w:rPr>
          <w:rFonts w:cstheme="majorHAnsi"/>
          <w:sz w:val="22"/>
          <w:szCs w:val="28"/>
        </w:rPr>
        <w:t>3</w:t>
      </w:r>
      <w:r w:rsidRPr="00F775C3">
        <w:rPr>
          <w:rFonts w:cstheme="majorHAnsi"/>
          <w:sz w:val="22"/>
          <w:szCs w:val="28"/>
        </w:rPr>
        <w:t>.</w:t>
      </w:r>
      <w:r w:rsidR="001E117F">
        <w:rPr>
          <w:rFonts w:cstheme="majorHAnsi"/>
          <w:sz w:val="22"/>
          <w:szCs w:val="28"/>
        </w:rPr>
        <w:t>1</w:t>
      </w:r>
      <w:r w:rsidRPr="00F775C3">
        <w:rPr>
          <w:rFonts w:cstheme="majorHAnsi"/>
          <w:sz w:val="22"/>
          <w:szCs w:val="28"/>
        </w:rPr>
        <w:t xml:space="preserve"> million in one-off costs and $</w:t>
      </w:r>
      <w:r w:rsidR="001E117F">
        <w:rPr>
          <w:rFonts w:cstheme="majorHAnsi"/>
          <w:sz w:val="22"/>
          <w:szCs w:val="28"/>
        </w:rPr>
        <w:t>1.7</w:t>
      </w:r>
      <w:r w:rsidRPr="00F775C3">
        <w:rPr>
          <w:rFonts w:cstheme="majorHAnsi"/>
          <w:sz w:val="22"/>
          <w:szCs w:val="28"/>
        </w:rPr>
        <w:t xml:space="preserve"> million per year in ongoing costs.</w:t>
      </w:r>
    </w:p>
    <w:p w14:paraId="0B54CEC7" w14:textId="12388838" w:rsidR="00BE0785" w:rsidRPr="00F775C3" w:rsidRDefault="00BE0785" w:rsidP="00BE0785">
      <w:pPr>
        <w:rPr>
          <w:rFonts w:cstheme="majorHAnsi"/>
          <w:sz w:val="22"/>
          <w:szCs w:val="28"/>
        </w:rPr>
      </w:pPr>
      <w:r w:rsidRPr="00F775C3">
        <w:rPr>
          <w:rFonts w:cstheme="majorHAnsi"/>
          <w:sz w:val="22"/>
          <w:szCs w:val="28"/>
        </w:rPr>
        <w:t xml:space="preserve">The cost of regulation will be borne by entities responsible for critical </w:t>
      </w:r>
      <w:r w:rsidR="001E117F">
        <w:rPr>
          <w:rFonts w:cstheme="majorHAnsi"/>
          <w:sz w:val="22"/>
          <w:szCs w:val="28"/>
        </w:rPr>
        <w:t>food and grocery</w:t>
      </w:r>
      <w:r w:rsidRPr="00F775C3">
        <w:rPr>
          <w:rFonts w:cstheme="majorHAnsi"/>
          <w:sz w:val="22"/>
          <w:szCs w:val="28"/>
        </w:rPr>
        <w:t xml:space="preserve"> who meet the relevant thresholds. Community organisations and individuals will not be directly affected but there will likely be indirect costs passed onto consumers. For the purposes of this RIS, the cost of regulation in the table below will only include the initial costs associated with regulation.</w:t>
      </w:r>
      <w:r w:rsidRPr="00F775C3">
        <w:rPr>
          <w:rFonts w:ascii="Arial" w:eastAsia="Calibri" w:hAnsi="Arial" w:cs="Arial"/>
          <w:sz w:val="22"/>
          <w:szCs w:val="28"/>
          <w:vertAlign w:val="superscript"/>
        </w:rPr>
        <w:footnoteReference w:id="395"/>
      </w:r>
      <w:r w:rsidRPr="00F775C3">
        <w:rPr>
          <w:rFonts w:cstheme="majorHAnsi"/>
          <w:sz w:val="22"/>
          <w:szCs w:val="28"/>
        </w:rPr>
        <w:t xml:space="preserve"> </w:t>
      </w:r>
      <w:r w:rsidRPr="00F775C3">
        <w:rPr>
          <w:rFonts w:eastAsia="Times New Roman" w:cstheme="majorHAnsi"/>
          <w:sz w:val="22"/>
          <w:szCs w:val="28"/>
        </w:rPr>
        <w:t>The indirect cost to consumers and communities has been addressed in the economic analysis through consideration of indirect cost to the wider economy as a result of the proposed RMP framework.</w:t>
      </w:r>
    </w:p>
    <w:p w14:paraId="4F8D5E17" w14:textId="77777777" w:rsidR="00BE0785" w:rsidRPr="00F775C3" w:rsidRDefault="00BE0785" w:rsidP="00BE0785">
      <w:pPr>
        <w:keepNext/>
        <w:tabs>
          <w:tab w:val="left" w:pos="1134"/>
        </w:tabs>
        <w:spacing w:before="240"/>
        <w:rPr>
          <w:i/>
          <w:color w:val="034EA2" w:themeColor="accent1"/>
          <w:sz w:val="18"/>
          <w:szCs w:val="18"/>
          <w:lang w:eastAsia="en-AU"/>
        </w:rPr>
      </w:pPr>
      <w:r w:rsidRPr="00F775C3">
        <w:rPr>
          <w:i/>
          <w:color w:val="034EA2" w:themeColor="accent1"/>
          <w:sz w:val="18"/>
          <w:szCs w:val="18"/>
          <w:lang w:eastAsia="en-AU"/>
        </w:rPr>
        <w:t>Regulatory cost estimate</w:t>
      </w:r>
    </w:p>
    <w:tbl>
      <w:tblPr>
        <w:tblStyle w:val="DHATable3"/>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930"/>
        <w:gridCol w:w="1926"/>
        <w:gridCol w:w="1928"/>
        <w:gridCol w:w="1928"/>
        <w:gridCol w:w="1926"/>
      </w:tblGrid>
      <w:tr w:rsidR="00BE0785" w:rsidRPr="00F775C3" w14:paraId="193EA4BC" w14:textId="77777777" w:rsidTr="001C02AC">
        <w:tc>
          <w:tcPr>
            <w:tcW w:w="1002" w:type="pct"/>
            <w:vMerge w:val="restart"/>
            <w:shd w:val="clear" w:color="auto" w:fill="034EA2" w:themeFill="accent1"/>
            <w:hideMark/>
          </w:tcPr>
          <w:p w14:paraId="7D5F823A" w14:textId="77777777" w:rsidR="00BE0785" w:rsidRPr="00F775C3" w:rsidRDefault="00BE0785" w:rsidP="001C02AC">
            <w:pPr>
              <w:keepNext/>
              <w:rPr>
                <w:b/>
                <w:color w:val="FFFFFF" w:themeColor="background1"/>
              </w:rPr>
            </w:pPr>
            <w:r w:rsidRPr="00F775C3">
              <w:rPr>
                <w:b/>
                <w:color w:val="FFFFFF" w:themeColor="background1"/>
              </w:rPr>
              <w:t>Cost Type</w:t>
            </w:r>
          </w:p>
        </w:tc>
        <w:tc>
          <w:tcPr>
            <w:tcW w:w="3998" w:type="pct"/>
            <w:gridSpan w:val="4"/>
            <w:shd w:val="clear" w:color="auto" w:fill="034EA2" w:themeFill="accent1"/>
            <w:hideMark/>
          </w:tcPr>
          <w:p w14:paraId="5413DE29" w14:textId="77777777" w:rsidR="00BE0785" w:rsidRPr="00F775C3" w:rsidRDefault="00BE0785" w:rsidP="001C02AC">
            <w:pPr>
              <w:keepNext/>
              <w:rPr>
                <w:b/>
                <w:color w:val="FFFFFF" w:themeColor="background1"/>
              </w:rPr>
            </w:pPr>
            <w:r w:rsidRPr="00F775C3">
              <w:rPr>
                <w:b/>
                <w:color w:val="FFFFFF" w:themeColor="background1"/>
              </w:rPr>
              <w:t>Costs ($ million)</w:t>
            </w:r>
          </w:p>
        </w:tc>
      </w:tr>
      <w:tr w:rsidR="00BE0785" w:rsidRPr="00F775C3" w14:paraId="6E75DE9A" w14:textId="77777777" w:rsidTr="001C02AC">
        <w:tc>
          <w:tcPr>
            <w:tcW w:w="1002" w:type="pct"/>
            <w:vMerge/>
            <w:hideMark/>
          </w:tcPr>
          <w:p w14:paraId="134291F9" w14:textId="77777777" w:rsidR="00BE0785" w:rsidRPr="00F775C3" w:rsidRDefault="00BE0785" w:rsidP="001C02AC">
            <w:pPr>
              <w:spacing w:before="60" w:after="60"/>
              <w:rPr>
                <w:rFonts w:eastAsia="MS Mincho" w:cs="Times New Roman"/>
                <w:lang w:val="en-US"/>
              </w:rPr>
            </w:pPr>
          </w:p>
        </w:tc>
        <w:tc>
          <w:tcPr>
            <w:tcW w:w="999" w:type="pct"/>
            <w:shd w:val="clear" w:color="auto" w:fill="DEEAF6"/>
            <w:hideMark/>
          </w:tcPr>
          <w:p w14:paraId="7BE6B07B"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Business</w:t>
            </w:r>
          </w:p>
        </w:tc>
        <w:tc>
          <w:tcPr>
            <w:tcW w:w="1000" w:type="pct"/>
            <w:shd w:val="clear" w:color="auto" w:fill="DEEAF6"/>
            <w:hideMark/>
          </w:tcPr>
          <w:p w14:paraId="5C0D5345"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Community</w:t>
            </w:r>
          </w:p>
        </w:tc>
        <w:tc>
          <w:tcPr>
            <w:tcW w:w="1000" w:type="pct"/>
            <w:shd w:val="clear" w:color="auto" w:fill="DEEAF6"/>
          </w:tcPr>
          <w:p w14:paraId="06407030"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Individuals</w:t>
            </w:r>
          </w:p>
        </w:tc>
        <w:tc>
          <w:tcPr>
            <w:tcW w:w="1000" w:type="pct"/>
            <w:shd w:val="clear" w:color="auto" w:fill="DEEAF6"/>
          </w:tcPr>
          <w:p w14:paraId="711C870D"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Total cost</w:t>
            </w:r>
          </w:p>
        </w:tc>
      </w:tr>
      <w:tr w:rsidR="00BE0785" w:rsidRPr="00F775C3" w14:paraId="72EFBE1A" w14:textId="77777777" w:rsidTr="001C02AC">
        <w:tc>
          <w:tcPr>
            <w:tcW w:w="1002" w:type="pct"/>
            <w:shd w:val="clear" w:color="auto" w:fill="F2F2F2" w:themeFill="background1" w:themeFillShade="F2"/>
            <w:hideMark/>
          </w:tcPr>
          <w:p w14:paraId="3AE9B4E7"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One-off</w:t>
            </w:r>
          </w:p>
        </w:tc>
        <w:tc>
          <w:tcPr>
            <w:tcW w:w="999" w:type="pct"/>
            <w:shd w:val="clear" w:color="auto" w:fill="auto"/>
            <w:hideMark/>
          </w:tcPr>
          <w:p w14:paraId="32CDDE9B" w14:textId="16DB0A36" w:rsidR="00BE0785" w:rsidRPr="00F775C3" w:rsidRDefault="008F019C" w:rsidP="001C02AC">
            <w:pPr>
              <w:spacing w:before="60" w:after="60"/>
              <w:rPr>
                <w:rFonts w:eastAsia="MS Mincho" w:cs="Times New Roman"/>
                <w:lang w:val="en-US"/>
              </w:rPr>
            </w:pPr>
            <w:r>
              <w:rPr>
                <w:rFonts w:eastAsia="MS Mincho" w:cs="Times New Roman"/>
                <w:lang w:val="en-US"/>
              </w:rPr>
              <w:t>12.2</w:t>
            </w:r>
            <w:r w:rsidR="00BE0785" w:rsidRPr="00F775C3">
              <w:rPr>
                <w:rFonts w:eastAsia="MS Mincho" w:cs="Times New Roman"/>
                <w:lang w:val="en-US"/>
              </w:rPr>
              <w:t xml:space="preserve"> to </w:t>
            </w:r>
            <w:r>
              <w:rPr>
                <w:rFonts w:eastAsia="MS Mincho" w:cs="Times New Roman"/>
                <w:lang w:val="en-US"/>
              </w:rPr>
              <w:t>28.2</w:t>
            </w:r>
          </w:p>
        </w:tc>
        <w:tc>
          <w:tcPr>
            <w:tcW w:w="1000" w:type="pct"/>
            <w:shd w:val="clear" w:color="auto" w:fill="auto"/>
            <w:hideMark/>
          </w:tcPr>
          <w:p w14:paraId="1EE1AE3D"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Nil</w:t>
            </w:r>
          </w:p>
        </w:tc>
        <w:tc>
          <w:tcPr>
            <w:tcW w:w="1000" w:type="pct"/>
            <w:shd w:val="clear" w:color="auto" w:fill="auto"/>
          </w:tcPr>
          <w:p w14:paraId="52E60A0A"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Nil</w:t>
            </w:r>
          </w:p>
        </w:tc>
        <w:tc>
          <w:tcPr>
            <w:tcW w:w="1000" w:type="pct"/>
            <w:shd w:val="clear" w:color="auto" w:fill="auto"/>
          </w:tcPr>
          <w:p w14:paraId="5E1BFE18" w14:textId="789592DD" w:rsidR="00BE0785" w:rsidRPr="00F775C3" w:rsidRDefault="008F019C" w:rsidP="001C02AC">
            <w:pPr>
              <w:spacing w:before="60" w:after="60"/>
              <w:rPr>
                <w:rFonts w:eastAsia="MS Mincho" w:cs="Times New Roman"/>
                <w:lang w:val="en-US"/>
              </w:rPr>
            </w:pPr>
            <w:r>
              <w:rPr>
                <w:rFonts w:eastAsia="MS Mincho" w:cs="Times New Roman"/>
                <w:lang w:val="en-US"/>
              </w:rPr>
              <w:t>12.2</w:t>
            </w:r>
            <w:r w:rsidR="00BE0785" w:rsidRPr="00F775C3">
              <w:rPr>
                <w:rFonts w:eastAsia="MS Mincho" w:cs="Times New Roman"/>
                <w:lang w:val="en-US"/>
              </w:rPr>
              <w:t xml:space="preserve"> to </w:t>
            </w:r>
            <w:r>
              <w:rPr>
                <w:rFonts w:eastAsia="MS Mincho" w:cs="Times New Roman"/>
                <w:lang w:val="en-US"/>
              </w:rPr>
              <w:t>28.2</w:t>
            </w:r>
          </w:p>
        </w:tc>
      </w:tr>
      <w:tr w:rsidR="00BE0785" w:rsidRPr="00F775C3" w14:paraId="070D83BD" w14:textId="77777777" w:rsidTr="001C02AC">
        <w:tc>
          <w:tcPr>
            <w:tcW w:w="1002" w:type="pct"/>
            <w:shd w:val="clear" w:color="auto" w:fill="F2F2F2" w:themeFill="background1" w:themeFillShade="F2"/>
            <w:hideMark/>
          </w:tcPr>
          <w:p w14:paraId="725CCE0C"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lastRenderedPageBreak/>
              <w:t>Ongoing (per year)</w:t>
            </w:r>
          </w:p>
        </w:tc>
        <w:tc>
          <w:tcPr>
            <w:tcW w:w="999" w:type="pct"/>
            <w:shd w:val="clear" w:color="auto" w:fill="auto"/>
            <w:hideMark/>
          </w:tcPr>
          <w:p w14:paraId="6D59A40F" w14:textId="1307FD7F" w:rsidR="00BE0785" w:rsidRPr="00F775C3" w:rsidRDefault="008F019C" w:rsidP="001C02AC">
            <w:pPr>
              <w:spacing w:before="60" w:after="60"/>
              <w:rPr>
                <w:rFonts w:eastAsia="MS Mincho" w:cs="Times New Roman"/>
                <w:lang w:val="en-US"/>
              </w:rPr>
            </w:pPr>
            <w:r>
              <w:rPr>
                <w:rFonts w:eastAsia="MS Mincho" w:cs="Times New Roman"/>
                <w:lang w:val="en-US"/>
              </w:rPr>
              <w:t>6</w:t>
            </w:r>
            <w:r w:rsidR="00BE0785" w:rsidRPr="00F775C3">
              <w:rPr>
                <w:rFonts w:eastAsia="MS Mincho" w:cs="Times New Roman"/>
                <w:lang w:val="en-US"/>
              </w:rPr>
              <w:t>.</w:t>
            </w:r>
            <w:r>
              <w:rPr>
                <w:rFonts w:eastAsia="MS Mincho" w:cs="Times New Roman"/>
                <w:lang w:val="en-US"/>
              </w:rPr>
              <w:t>6</w:t>
            </w:r>
            <w:r w:rsidR="00BE0785" w:rsidRPr="00F775C3">
              <w:rPr>
                <w:rFonts w:eastAsia="MS Mincho" w:cs="Times New Roman"/>
                <w:lang w:val="en-US"/>
              </w:rPr>
              <w:t xml:space="preserve"> to </w:t>
            </w:r>
            <w:r>
              <w:rPr>
                <w:rFonts w:eastAsia="MS Mincho" w:cs="Times New Roman"/>
                <w:lang w:val="en-US"/>
              </w:rPr>
              <w:t>15.6</w:t>
            </w:r>
          </w:p>
        </w:tc>
        <w:tc>
          <w:tcPr>
            <w:tcW w:w="1000" w:type="pct"/>
            <w:shd w:val="clear" w:color="auto" w:fill="auto"/>
            <w:hideMark/>
          </w:tcPr>
          <w:p w14:paraId="22F7BD7A"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Nil</w:t>
            </w:r>
          </w:p>
        </w:tc>
        <w:tc>
          <w:tcPr>
            <w:tcW w:w="1000" w:type="pct"/>
            <w:shd w:val="clear" w:color="auto" w:fill="auto"/>
          </w:tcPr>
          <w:p w14:paraId="152CA5B3" w14:textId="77777777" w:rsidR="00BE0785" w:rsidRPr="00F775C3" w:rsidRDefault="00BE0785" w:rsidP="001C02AC">
            <w:pPr>
              <w:spacing w:before="60" w:after="60"/>
              <w:rPr>
                <w:rFonts w:eastAsia="MS Mincho" w:cs="Times New Roman"/>
                <w:lang w:val="en-US"/>
              </w:rPr>
            </w:pPr>
            <w:r w:rsidRPr="00F775C3">
              <w:rPr>
                <w:rFonts w:eastAsia="MS Mincho" w:cs="Times New Roman"/>
                <w:lang w:val="en-US"/>
              </w:rPr>
              <w:t>Nil</w:t>
            </w:r>
          </w:p>
        </w:tc>
        <w:tc>
          <w:tcPr>
            <w:tcW w:w="1000" w:type="pct"/>
            <w:shd w:val="clear" w:color="auto" w:fill="auto"/>
          </w:tcPr>
          <w:p w14:paraId="6CDD763A" w14:textId="2BF22FA1" w:rsidR="00BE0785" w:rsidRPr="00F775C3" w:rsidRDefault="008F019C" w:rsidP="001C02AC">
            <w:pPr>
              <w:spacing w:before="60" w:after="60"/>
              <w:rPr>
                <w:rFonts w:eastAsia="MS Mincho" w:cs="Times New Roman"/>
                <w:lang w:val="en-US"/>
              </w:rPr>
            </w:pPr>
            <w:r>
              <w:rPr>
                <w:rFonts w:eastAsia="MS Mincho" w:cs="Times New Roman"/>
                <w:lang w:val="en-US"/>
              </w:rPr>
              <w:t>6.6</w:t>
            </w:r>
            <w:r w:rsidR="00BE0785" w:rsidRPr="00F775C3">
              <w:rPr>
                <w:rFonts w:eastAsia="MS Mincho" w:cs="Times New Roman"/>
                <w:lang w:val="en-US"/>
              </w:rPr>
              <w:t xml:space="preserve"> to </w:t>
            </w:r>
            <w:r>
              <w:rPr>
                <w:rFonts w:eastAsia="MS Mincho" w:cs="Times New Roman"/>
                <w:lang w:val="en-US"/>
              </w:rPr>
              <w:t>15.6</w:t>
            </w:r>
          </w:p>
        </w:tc>
      </w:tr>
    </w:tbl>
    <w:p w14:paraId="2C839618" w14:textId="77777777" w:rsidR="00BE0785" w:rsidRPr="00F775C3" w:rsidRDefault="00BE0785" w:rsidP="00BE0785">
      <w:pPr>
        <w:spacing w:after="240"/>
        <w:rPr>
          <w:rFonts w:ascii="Arial" w:eastAsia="Calibri" w:hAnsi="Arial" w:cs="Arial"/>
          <w:bCs/>
          <w:sz w:val="18"/>
        </w:rPr>
      </w:pPr>
      <w:r w:rsidRPr="00F775C3">
        <w:rPr>
          <w:rFonts w:ascii="Arial" w:eastAsia="Calibri" w:hAnsi="Arial" w:cs="Arial"/>
          <w:b/>
          <w:bCs/>
          <w:sz w:val="18"/>
        </w:rPr>
        <w:t>Note:</w:t>
      </w:r>
      <w:r w:rsidRPr="00F775C3">
        <w:rPr>
          <w:rFonts w:ascii="Arial" w:eastAsia="Calibri" w:hAnsi="Arial" w:cs="Arial"/>
          <w:bCs/>
          <w:sz w:val="18"/>
        </w:rPr>
        <w:t xml:space="preserve"> There will be no direct costs to individuals and communities although price rises may reflect the increased cost of operations as a result of the proposed RMP framework. </w:t>
      </w:r>
    </w:p>
    <w:p w14:paraId="4F21E58B" w14:textId="7A0D1E1A" w:rsidR="00BE0785" w:rsidRPr="00F775C3" w:rsidRDefault="00BE0785" w:rsidP="00BE0785">
      <w:pPr>
        <w:rPr>
          <w:rFonts w:cstheme="majorHAnsi"/>
          <w:sz w:val="22"/>
          <w:szCs w:val="28"/>
        </w:rPr>
      </w:pPr>
      <w:r w:rsidRPr="00F775C3">
        <w:rPr>
          <w:rFonts w:cstheme="majorHAnsi"/>
          <w:sz w:val="22"/>
          <w:szCs w:val="28"/>
        </w:rPr>
        <w:t xml:space="preserve">Based on the industry submissions made during consultations, total regulatory costs will be highest for rules and obligations associated with addressing </w:t>
      </w:r>
      <w:r w:rsidR="005B6FE0">
        <w:rPr>
          <w:rFonts w:cstheme="majorHAnsi"/>
          <w:sz w:val="22"/>
          <w:szCs w:val="28"/>
        </w:rPr>
        <w:t>cyber and information security hazards</w:t>
      </w:r>
      <w:r w:rsidRPr="00F775C3">
        <w:rPr>
          <w:rFonts w:cstheme="majorHAnsi"/>
          <w:sz w:val="22"/>
          <w:szCs w:val="28"/>
        </w:rPr>
        <w:t xml:space="preserve">. These costs represent approximately </w:t>
      </w:r>
      <w:r w:rsidR="005B6FE0">
        <w:rPr>
          <w:rFonts w:cstheme="majorHAnsi"/>
          <w:sz w:val="22"/>
          <w:szCs w:val="28"/>
        </w:rPr>
        <w:t>42.6</w:t>
      </w:r>
      <w:r w:rsidRPr="00F775C3">
        <w:rPr>
          <w:rFonts w:cstheme="majorHAnsi"/>
          <w:sz w:val="22"/>
          <w:szCs w:val="28"/>
        </w:rPr>
        <w:t xml:space="preserve">% of the total cost of implementing the RMP framework. The cost associated with </w:t>
      </w:r>
      <w:r w:rsidR="005B6FE0">
        <w:rPr>
          <w:rFonts w:cstheme="majorHAnsi"/>
          <w:sz w:val="22"/>
          <w:szCs w:val="28"/>
        </w:rPr>
        <w:t>physical and natural hazards</w:t>
      </w:r>
      <w:r w:rsidRPr="00F775C3">
        <w:rPr>
          <w:rFonts w:cstheme="majorHAnsi"/>
          <w:sz w:val="22"/>
          <w:szCs w:val="28"/>
        </w:rPr>
        <w:t xml:space="preserve"> (</w:t>
      </w:r>
      <w:r w:rsidR="00294D0C">
        <w:rPr>
          <w:rFonts w:cstheme="majorHAnsi"/>
          <w:sz w:val="22"/>
          <w:szCs w:val="28"/>
        </w:rPr>
        <w:t>12</w:t>
      </w:r>
      <w:r w:rsidRPr="00F775C3">
        <w:rPr>
          <w:rFonts w:cstheme="majorHAnsi"/>
          <w:sz w:val="22"/>
          <w:szCs w:val="28"/>
        </w:rPr>
        <w:t>.</w:t>
      </w:r>
      <w:r w:rsidR="00294D0C">
        <w:rPr>
          <w:rFonts w:cstheme="majorHAnsi"/>
          <w:sz w:val="22"/>
          <w:szCs w:val="28"/>
        </w:rPr>
        <w:t>9</w:t>
      </w:r>
      <w:r w:rsidRPr="00F775C3">
        <w:rPr>
          <w:rFonts w:cstheme="majorHAnsi"/>
          <w:sz w:val="22"/>
          <w:szCs w:val="28"/>
        </w:rPr>
        <w:t xml:space="preserve">% of total cost), </w:t>
      </w:r>
      <w:r w:rsidR="00294D0C">
        <w:rPr>
          <w:rFonts w:cstheme="majorHAnsi"/>
          <w:sz w:val="22"/>
          <w:szCs w:val="28"/>
        </w:rPr>
        <w:t>personnel</w:t>
      </w:r>
      <w:r w:rsidRPr="00F775C3">
        <w:rPr>
          <w:rFonts w:cstheme="majorHAnsi"/>
          <w:sz w:val="22"/>
          <w:szCs w:val="28"/>
        </w:rPr>
        <w:t xml:space="preserve"> hazards (1</w:t>
      </w:r>
      <w:r w:rsidR="00294D0C">
        <w:rPr>
          <w:rFonts w:cstheme="majorHAnsi"/>
          <w:sz w:val="22"/>
          <w:szCs w:val="28"/>
        </w:rPr>
        <w:t>2.6</w:t>
      </w:r>
      <w:r w:rsidRPr="00F775C3">
        <w:rPr>
          <w:rFonts w:cstheme="majorHAnsi"/>
          <w:sz w:val="22"/>
          <w:szCs w:val="28"/>
        </w:rPr>
        <w:t xml:space="preserve">% of total cost) and </w:t>
      </w:r>
      <w:r w:rsidR="00294D0C">
        <w:rPr>
          <w:rFonts w:cstheme="majorHAnsi"/>
          <w:sz w:val="22"/>
          <w:szCs w:val="28"/>
        </w:rPr>
        <w:t>supply chain hazards</w:t>
      </w:r>
      <w:r w:rsidRPr="00F775C3">
        <w:rPr>
          <w:rFonts w:cstheme="majorHAnsi"/>
          <w:sz w:val="22"/>
          <w:szCs w:val="28"/>
        </w:rPr>
        <w:t xml:space="preserve"> (12.</w:t>
      </w:r>
      <w:r w:rsidR="00294D0C">
        <w:rPr>
          <w:rFonts w:cstheme="majorHAnsi"/>
          <w:sz w:val="22"/>
          <w:szCs w:val="28"/>
        </w:rPr>
        <w:t>0</w:t>
      </w:r>
      <w:r w:rsidRPr="00F775C3">
        <w:rPr>
          <w:rFonts w:cstheme="majorHAnsi"/>
          <w:sz w:val="22"/>
          <w:szCs w:val="28"/>
        </w:rPr>
        <w:t>% of total cost) are less significant but remain material</w:t>
      </w:r>
      <w:r w:rsidR="00294D0C">
        <w:rPr>
          <w:rFonts w:cstheme="majorHAnsi"/>
          <w:sz w:val="22"/>
          <w:szCs w:val="28"/>
        </w:rPr>
        <w:t xml:space="preserve">. </w:t>
      </w:r>
      <w:r w:rsidRPr="00F775C3">
        <w:rPr>
          <w:rFonts w:cstheme="majorHAnsi"/>
          <w:sz w:val="22"/>
          <w:szCs w:val="28"/>
        </w:rPr>
        <w:t>The total regulatory cost by rule/obligation is set out in the table below.</w:t>
      </w:r>
    </w:p>
    <w:p w14:paraId="626FE2A1" w14:textId="2E848302" w:rsidR="00BE0785" w:rsidRPr="00F775C3" w:rsidRDefault="00BE0785" w:rsidP="00BE0785">
      <w:pPr>
        <w:keepNext/>
        <w:tabs>
          <w:tab w:val="left" w:pos="1134"/>
        </w:tabs>
        <w:spacing w:before="240"/>
        <w:rPr>
          <w:i/>
          <w:color w:val="034EA2" w:themeColor="accent1"/>
          <w:sz w:val="22"/>
          <w:szCs w:val="18"/>
          <w:lang w:eastAsia="en-AU"/>
        </w:rPr>
      </w:pPr>
      <w:r w:rsidRPr="00F775C3">
        <w:rPr>
          <w:i/>
          <w:color w:val="034EA2" w:themeColor="accent1"/>
          <w:sz w:val="18"/>
          <w:szCs w:val="18"/>
          <w:lang w:eastAsia="en-AU"/>
        </w:rPr>
        <w:t xml:space="preserve">Regulatory burden estimate by rule and obligation for critical </w:t>
      </w:r>
      <w:r w:rsidR="00294D0C">
        <w:rPr>
          <w:i/>
          <w:color w:val="034EA2" w:themeColor="accent1"/>
          <w:sz w:val="18"/>
          <w:szCs w:val="18"/>
          <w:lang w:eastAsia="en-AU"/>
        </w:rPr>
        <w:t>food and grocery assets</w:t>
      </w:r>
      <w:r w:rsidRPr="00F775C3">
        <w:rPr>
          <w:i/>
          <w:color w:val="034EA2" w:themeColor="accent1"/>
          <w:sz w:val="18"/>
          <w:szCs w:val="18"/>
          <w:lang w:eastAsia="en-AU"/>
        </w:rPr>
        <w:t xml:space="preserve"> nationally</w:t>
      </w:r>
    </w:p>
    <w:tbl>
      <w:tblPr>
        <w:tblStyle w:val="TableGrid1112"/>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836"/>
        <w:gridCol w:w="1556"/>
        <w:gridCol w:w="1748"/>
        <w:gridCol w:w="1748"/>
        <w:gridCol w:w="1750"/>
      </w:tblGrid>
      <w:tr w:rsidR="00BE0785" w:rsidRPr="00F775C3" w14:paraId="55D79147" w14:textId="77777777" w:rsidTr="001C02AC">
        <w:tc>
          <w:tcPr>
            <w:tcW w:w="1471" w:type="pct"/>
            <w:vMerge w:val="restart"/>
            <w:shd w:val="clear" w:color="auto" w:fill="034EA2" w:themeFill="accent1"/>
            <w:hideMark/>
          </w:tcPr>
          <w:p w14:paraId="79563238" w14:textId="77777777" w:rsidR="00BE0785" w:rsidRPr="00F775C3" w:rsidRDefault="00BE0785" w:rsidP="001C02AC">
            <w:pPr>
              <w:keepNext/>
              <w:rPr>
                <w:rFonts w:asciiTheme="majorHAnsi" w:hAnsiTheme="majorHAnsi" w:cstheme="majorHAnsi"/>
                <w:b/>
                <w:color w:val="FFFFFF" w:themeColor="background1"/>
                <w:lang w:eastAsia="en-AU"/>
              </w:rPr>
            </w:pPr>
            <w:r w:rsidRPr="00F775C3">
              <w:rPr>
                <w:rFonts w:asciiTheme="majorHAnsi" w:hAnsiTheme="majorHAnsi" w:cstheme="majorHAnsi"/>
                <w:b/>
                <w:color w:val="FFFFFF" w:themeColor="background1"/>
                <w:lang w:eastAsia="en-AU"/>
              </w:rPr>
              <w:t>Rule / obligation</w:t>
            </w:r>
          </w:p>
        </w:tc>
        <w:tc>
          <w:tcPr>
            <w:tcW w:w="3529" w:type="pct"/>
            <w:gridSpan w:val="4"/>
            <w:shd w:val="clear" w:color="auto" w:fill="034EA2" w:themeFill="accent1"/>
            <w:hideMark/>
          </w:tcPr>
          <w:p w14:paraId="7AD19895" w14:textId="77777777" w:rsidR="00BE0785" w:rsidRPr="00F775C3" w:rsidRDefault="00BE0785" w:rsidP="001C02AC">
            <w:pPr>
              <w:keepNext/>
              <w:rPr>
                <w:rFonts w:asciiTheme="majorHAnsi" w:hAnsiTheme="majorHAnsi" w:cstheme="majorHAnsi"/>
                <w:b/>
                <w:color w:val="FFFFFF" w:themeColor="background1"/>
                <w:lang w:eastAsia="en-AU"/>
              </w:rPr>
            </w:pPr>
            <w:r w:rsidRPr="00F775C3">
              <w:rPr>
                <w:rFonts w:asciiTheme="majorHAnsi" w:hAnsiTheme="majorHAnsi" w:cstheme="majorHAnsi"/>
                <w:b/>
                <w:color w:val="FFFFFF" w:themeColor="background1"/>
                <w:lang w:eastAsia="en-AU"/>
              </w:rPr>
              <w:t>Costs (Expected and High)</w:t>
            </w:r>
          </w:p>
        </w:tc>
      </w:tr>
      <w:tr w:rsidR="00BE0785" w:rsidRPr="00F775C3" w14:paraId="57CD99A5" w14:textId="77777777" w:rsidTr="001C02AC">
        <w:tc>
          <w:tcPr>
            <w:tcW w:w="1471" w:type="pct"/>
            <w:vMerge/>
            <w:hideMark/>
          </w:tcPr>
          <w:p w14:paraId="49ED2217" w14:textId="77777777" w:rsidR="00BE0785" w:rsidRPr="00F775C3" w:rsidRDefault="00BE0785" w:rsidP="001C02AC">
            <w:pPr>
              <w:spacing w:before="60" w:after="60"/>
              <w:rPr>
                <w:rFonts w:asciiTheme="majorHAnsi" w:eastAsia="MS Mincho" w:hAnsiTheme="majorHAnsi" w:cstheme="majorHAnsi"/>
                <w:color w:val="000000" w:themeColor="text1"/>
                <w:szCs w:val="20"/>
                <w:lang w:val="en-US" w:eastAsia="en-AU"/>
              </w:rPr>
            </w:pPr>
          </w:p>
        </w:tc>
        <w:tc>
          <w:tcPr>
            <w:tcW w:w="807" w:type="pct"/>
            <w:shd w:val="clear" w:color="auto" w:fill="DEEAF6"/>
            <w:hideMark/>
          </w:tcPr>
          <w:p w14:paraId="2941A945" w14:textId="77777777" w:rsidR="00BE0785" w:rsidRPr="00F775C3" w:rsidRDefault="00BE0785" w:rsidP="001C02AC">
            <w:pPr>
              <w:spacing w:before="60" w:after="60"/>
              <w:rPr>
                <w:rFonts w:asciiTheme="majorHAnsi" w:eastAsia="MS Mincho" w:hAnsiTheme="majorHAnsi" w:cstheme="majorHAnsi"/>
                <w:color w:val="000000"/>
                <w:szCs w:val="20"/>
                <w:lang w:val="en-US" w:eastAsia="en-AU"/>
              </w:rPr>
            </w:pPr>
            <w:r w:rsidRPr="00F775C3">
              <w:rPr>
                <w:rFonts w:asciiTheme="majorHAnsi" w:eastAsia="MS Mincho" w:hAnsiTheme="majorHAnsi" w:cstheme="majorHAnsi"/>
                <w:color w:val="000000"/>
                <w:szCs w:val="20"/>
                <w:lang w:val="en-US" w:eastAsia="en-AU"/>
              </w:rPr>
              <w:t>One-off ($ million)</w:t>
            </w:r>
          </w:p>
        </w:tc>
        <w:tc>
          <w:tcPr>
            <w:tcW w:w="907" w:type="pct"/>
            <w:shd w:val="clear" w:color="auto" w:fill="DEEAF6"/>
            <w:hideMark/>
          </w:tcPr>
          <w:p w14:paraId="57077888" w14:textId="77777777" w:rsidR="00BE0785" w:rsidRPr="00F775C3" w:rsidRDefault="00BE0785" w:rsidP="001C02AC">
            <w:pPr>
              <w:spacing w:before="60" w:after="60"/>
              <w:rPr>
                <w:rFonts w:asciiTheme="majorHAnsi" w:eastAsia="MS Mincho" w:hAnsiTheme="majorHAnsi" w:cstheme="majorHAnsi"/>
                <w:color w:val="000000"/>
                <w:szCs w:val="20"/>
                <w:lang w:val="en-US" w:eastAsia="en-AU"/>
              </w:rPr>
            </w:pPr>
            <w:r w:rsidRPr="00F775C3">
              <w:rPr>
                <w:rFonts w:asciiTheme="majorHAnsi" w:eastAsia="MS Mincho" w:hAnsiTheme="majorHAnsi" w:cstheme="majorHAnsi"/>
                <w:color w:val="000000"/>
                <w:szCs w:val="20"/>
                <w:lang w:val="en-US" w:eastAsia="en-AU"/>
              </w:rPr>
              <w:t>Ongoing</w:t>
            </w:r>
            <w:r w:rsidRPr="00F775C3">
              <w:rPr>
                <w:rFonts w:asciiTheme="majorHAnsi" w:eastAsia="MS Mincho" w:hAnsiTheme="majorHAnsi" w:cstheme="majorHAnsi"/>
                <w:color w:val="000000"/>
                <w:szCs w:val="20"/>
                <w:lang w:val="en-US" w:eastAsia="en-AU"/>
              </w:rPr>
              <w:br/>
              <w:t>(per year, $ million)</w:t>
            </w:r>
          </w:p>
        </w:tc>
        <w:tc>
          <w:tcPr>
            <w:tcW w:w="907" w:type="pct"/>
            <w:shd w:val="clear" w:color="auto" w:fill="DEEAF6"/>
            <w:hideMark/>
          </w:tcPr>
          <w:p w14:paraId="54A7E9A6" w14:textId="77777777" w:rsidR="00BE0785" w:rsidRPr="00F775C3" w:rsidRDefault="00BE0785" w:rsidP="001C02AC">
            <w:pPr>
              <w:spacing w:before="60" w:after="60"/>
              <w:rPr>
                <w:rFonts w:asciiTheme="majorHAnsi" w:eastAsia="MS Mincho" w:hAnsiTheme="majorHAnsi" w:cstheme="majorHAnsi"/>
                <w:color w:val="000000"/>
                <w:szCs w:val="20"/>
                <w:lang w:val="en-US" w:eastAsia="en-AU"/>
              </w:rPr>
            </w:pPr>
            <w:r w:rsidRPr="00F775C3">
              <w:rPr>
                <w:rFonts w:asciiTheme="majorHAnsi" w:eastAsia="MS Mincho" w:hAnsiTheme="majorHAnsi" w:cstheme="majorHAnsi"/>
                <w:color w:val="000000"/>
                <w:szCs w:val="20"/>
                <w:lang w:val="en-US" w:eastAsia="en-AU"/>
              </w:rPr>
              <w:t xml:space="preserve">Total cost </w:t>
            </w:r>
            <w:r w:rsidRPr="00F775C3">
              <w:rPr>
                <w:rFonts w:asciiTheme="majorHAnsi" w:eastAsia="MS Mincho" w:hAnsiTheme="majorHAnsi" w:cstheme="majorHAnsi"/>
                <w:color w:val="000000"/>
                <w:szCs w:val="20"/>
                <w:lang w:val="en-US" w:eastAsia="en-AU"/>
              </w:rPr>
              <w:br/>
              <w:t xml:space="preserve">over 10 years ($ million) </w:t>
            </w:r>
            <w:r w:rsidRPr="00F775C3">
              <w:rPr>
                <w:rFonts w:asciiTheme="majorHAnsi" w:eastAsia="MS Mincho" w:hAnsiTheme="majorHAnsi" w:cstheme="majorHAnsi"/>
                <w:color w:val="000000"/>
                <w:szCs w:val="20"/>
                <w:vertAlign w:val="superscript"/>
                <w:lang w:val="en-US" w:eastAsia="en-AU"/>
              </w:rPr>
              <w:footnoteReference w:id="396"/>
            </w:r>
          </w:p>
        </w:tc>
        <w:tc>
          <w:tcPr>
            <w:tcW w:w="909" w:type="pct"/>
            <w:shd w:val="clear" w:color="auto" w:fill="DEEAF6"/>
            <w:hideMark/>
          </w:tcPr>
          <w:p w14:paraId="48BB62E4" w14:textId="77777777" w:rsidR="00BE0785" w:rsidRPr="00F775C3" w:rsidRDefault="00BE0785" w:rsidP="001C02AC">
            <w:pPr>
              <w:spacing w:before="60" w:after="60"/>
              <w:rPr>
                <w:rFonts w:asciiTheme="majorHAnsi" w:eastAsia="MS Mincho" w:hAnsiTheme="majorHAnsi" w:cstheme="majorHAnsi"/>
                <w:color w:val="000000"/>
                <w:szCs w:val="20"/>
                <w:lang w:val="en-US" w:eastAsia="en-AU"/>
              </w:rPr>
            </w:pPr>
            <w:r w:rsidRPr="00F775C3">
              <w:rPr>
                <w:rFonts w:asciiTheme="majorHAnsi" w:eastAsia="MS Mincho" w:hAnsiTheme="majorHAnsi" w:cstheme="majorHAnsi"/>
                <w:color w:val="000000"/>
                <w:szCs w:val="20"/>
                <w:lang w:val="en-US" w:eastAsia="en-AU"/>
              </w:rPr>
              <w:t>Expected estimate as a percentage of total (%)</w:t>
            </w:r>
          </w:p>
        </w:tc>
      </w:tr>
      <w:tr w:rsidR="00BE0785" w:rsidRPr="00F775C3" w14:paraId="3A81967D" w14:textId="77777777" w:rsidTr="00CE4B35">
        <w:tc>
          <w:tcPr>
            <w:tcW w:w="1471" w:type="pct"/>
            <w:shd w:val="clear" w:color="auto" w:fill="F2F2F2" w:themeFill="background1" w:themeFillShade="F2"/>
            <w:hideMark/>
          </w:tcPr>
          <w:p w14:paraId="058C4076" w14:textId="77777777" w:rsidR="00BE0785" w:rsidRPr="00F775C3" w:rsidRDefault="00BE0785" w:rsidP="001C02AC">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 xml:space="preserve">RMP obligations in the </w:t>
            </w:r>
            <w:r>
              <w:rPr>
                <w:rFonts w:asciiTheme="majorHAnsi" w:eastAsia="MS Mincho" w:hAnsiTheme="majorHAnsi" w:cstheme="majorHAnsi"/>
                <w:color w:val="000000" w:themeColor="text1"/>
                <w:szCs w:val="20"/>
                <w:lang w:val="en-US"/>
              </w:rPr>
              <w:t>Act</w:t>
            </w:r>
          </w:p>
        </w:tc>
        <w:tc>
          <w:tcPr>
            <w:tcW w:w="807" w:type="pct"/>
            <w:shd w:val="clear" w:color="auto" w:fill="auto"/>
            <w:vAlign w:val="center"/>
          </w:tcPr>
          <w:p w14:paraId="7091A975" w14:textId="7CCF17CB"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1.0 to 2.1</w:t>
            </w:r>
          </w:p>
        </w:tc>
        <w:tc>
          <w:tcPr>
            <w:tcW w:w="907" w:type="pct"/>
            <w:shd w:val="clear" w:color="auto" w:fill="auto"/>
            <w:vAlign w:val="center"/>
          </w:tcPr>
          <w:p w14:paraId="1F1EEF5B" w14:textId="45F4D681"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0.3 to 0.5</w:t>
            </w:r>
          </w:p>
        </w:tc>
        <w:tc>
          <w:tcPr>
            <w:tcW w:w="907" w:type="pct"/>
            <w:shd w:val="clear" w:color="auto" w:fill="auto"/>
            <w:vAlign w:val="center"/>
          </w:tcPr>
          <w:p w14:paraId="00D147A9" w14:textId="75D9AF40"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3.7</w:t>
            </w:r>
            <w:r>
              <w:rPr>
                <w:rFonts w:asciiTheme="majorHAnsi" w:eastAsia="MS Mincho" w:hAnsiTheme="majorHAnsi" w:cstheme="majorHAnsi"/>
                <w:color w:val="000000" w:themeColor="text1"/>
                <w:szCs w:val="20"/>
                <w:lang w:val="en-US" w:eastAsia="en-AU"/>
              </w:rPr>
              <w:t xml:space="preserve"> to 6.5</w:t>
            </w:r>
          </w:p>
        </w:tc>
        <w:tc>
          <w:tcPr>
            <w:tcW w:w="909" w:type="pct"/>
            <w:shd w:val="clear" w:color="auto" w:fill="auto"/>
            <w:vAlign w:val="center"/>
          </w:tcPr>
          <w:p w14:paraId="77B6CA73" w14:textId="50D0F59C"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Pr>
                <w:rFonts w:asciiTheme="majorHAnsi" w:eastAsia="MS Mincho" w:hAnsiTheme="majorHAnsi" w:cstheme="majorHAnsi"/>
                <w:color w:val="000000" w:themeColor="text1"/>
                <w:szCs w:val="20"/>
                <w:lang w:val="en-US" w:eastAsia="en-AU"/>
              </w:rPr>
              <w:t>5.1</w:t>
            </w:r>
          </w:p>
        </w:tc>
      </w:tr>
      <w:tr w:rsidR="00BE0785" w:rsidRPr="00F775C3" w14:paraId="0C0DD8D0" w14:textId="77777777" w:rsidTr="00CE4B35">
        <w:tc>
          <w:tcPr>
            <w:tcW w:w="1471" w:type="pct"/>
            <w:shd w:val="clear" w:color="auto" w:fill="F2F2F2" w:themeFill="background1" w:themeFillShade="F2"/>
            <w:hideMark/>
          </w:tcPr>
          <w:p w14:paraId="18771068" w14:textId="77777777" w:rsidR="00BE0785" w:rsidRPr="00F775C3" w:rsidRDefault="00BE0785" w:rsidP="001C02AC">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G</w:t>
            </w:r>
            <w:r>
              <w:rPr>
                <w:rFonts w:asciiTheme="majorHAnsi" w:eastAsia="MS Mincho" w:hAnsiTheme="majorHAnsi" w:cstheme="majorHAnsi"/>
                <w:color w:val="000000" w:themeColor="text1"/>
                <w:szCs w:val="20"/>
                <w:lang w:val="en-US"/>
              </w:rPr>
              <w:t>eneral</w:t>
            </w:r>
            <w:r w:rsidRPr="00F775C3">
              <w:rPr>
                <w:rFonts w:asciiTheme="majorHAnsi" w:eastAsia="MS Mincho" w:hAnsiTheme="majorHAnsi" w:cstheme="majorHAnsi"/>
                <w:color w:val="000000" w:themeColor="text1"/>
                <w:szCs w:val="20"/>
                <w:lang w:val="en-US"/>
              </w:rPr>
              <w:t xml:space="preserve"> rules</w:t>
            </w:r>
          </w:p>
        </w:tc>
        <w:tc>
          <w:tcPr>
            <w:tcW w:w="807" w:type="pct"/>
            <w:shd w:val="clear" w:color="auto" w:fill="auto"/>
            <w:vAlign w:val="center"/>
          </w:tcPr>
          <w:p w14:paraId="2ABD14D6" w14:textId="3827C4D8"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1.1 to 2.0</w:t>
            </w:r>
          </w:p>
        </w:tc>
        <w:tc>
          <w:tcPr>
            <w:tcW w:w="907" w:type="pct"/>
            <w:shd w:val="clear" w:color="auto" w:fill="auto"/>
            <w:vAlign w:val="center"/>
          </w:tcPr>
          <w:p w14:paraId="32D53248" w14:textId="5CD5ECC7"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0.2 to 0.4</w:t>
            </w:r>
          </w:p>
        </w:tc>
        <w:tc>
          <w:tcPr>
            <w:tcW w:w="907" w:type="pct"/>
            <w:shd w:val="clear" w:color="auto" w:fill="auto"/>
            <w:vAlign w:val="center"/>
          </w:tcPr>
          <w:p w14:paraId="37F6B425" w14:textId="2F3FA4B9"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3.1</w:t>
            </w:r>
            <w:r>
              <w:rPr>
                <w:rFonts w:asciiTheme="majorHAnsi" w:eastAsia="MS Mincho" w:hAnsiTheme="majorHAnsi" w:cstheme="majorHAnsi"/>
                <w:color w:val="000000" w:themeColor="text1"/>
                <w:szCs w:val="20"/>
                <w:lang w:val="en-US" w:eastAsia="en-AU"/>
              </w:rPr>
              <w:t xml:space="preserve"> to 6.0</w:t>
            </w:r>
          </w:p>
        </w:tc>
        <w:tc>
          <w:tcPr>
            <w:tcW w:w="909" w:type="pct"/>
            <w:shd w:val="clear" w:color="auto" w:fill="auto"/>
            <w:vAlign w:val="center"/>
          </w:tcPr>
          <w:p w14:paraId="0E69CDEE" w14:textId="03B13989"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Pr>
                <w:rFonts w:asciiTheme="majorHAnsi" w:eastAsia="MS Mincho" w:hAnsiTheme="majorHAnsi" w:cstheme="majorHAnsi"/>
                <w:color w:val="000000" w:themeColor="text1"/>
                <w:szCs w:val="20"/>
                <w:lang w:val="en-US" w:eastAsia="en-AU"/>
              </w:rPr>
              <w:t>4.3</w:t>
            </w:r>
          </w:p>
        </w:tc>
      </w:tr>
      <w:tr w:rsidR="00BE0785" w:rsidRPr="00F775C3" w14:paraId="5651D694" w14:textId="77777777" w:rsidTr="00CE4B35">
        <w:tc>
          <w:tcPr>
            <w:tcW w:w="5000" w:type="pct"/>
            <w:gridSpan w:val="5"/>
            <w:shd w:val="clear" w:color="auto" w:fill="F2F2F2" w:themeFill="background1" w:themeFillShade="F2"/>
            <w:vAlign w:val="center"/>
          </w:tcPr>
          <w:p w14:paraId="0A4363A1" w14:textId="77777777" w:rsidR="00BE0785" w:rsidRPr="00F775C3" w:rsidRDefault="00BE0785">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RMP Rules</w:t>
            </w:r>
          </w:p>
        </w:tc>
      </w:tr>
      <w:tr w:rsidR="00BE0785" w:rsidRPr="00F775C3" w14:paraId="5A9BE24E" w14:textId="77777777" w:rsidTr="00CE4B35">
        <w:tc>
          <w:tcPr>
            <w:tcW w:w="1471" w:type="pct"/>
            <w:shd w:val="clear" w:color="auto" w:fill="F2F2F2" w:themeFill="background1" w:themeFillShade="F2"/>
            <w:hideMark/>
          </w:tcPr>
          <w:p w14:paraId="1CA1C35C" w14:textId="77777777" w:rsidR="00BE0785" w:rsidRPr="00F775C3" w:rsidRDefault="00BE0785" w:rsidP="001C02AC">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 xml:space="preserve">Cyber and information security hazard </w:t>
            </w:r>
          </w:p>
        </w:tc>
        <w:tc>
          <w:tcPr>
            <w:tcW w:w="807" w:type="pct"/>
            <w:shd w:val="clear" w:color="auto" w:fill="auto"/>
            <w:vAlign w:val="center"/>
          </w:tcPr>
          <w:p w14:paraId="04D060DD" w14:textId="2AD5B022"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3.9 to 9.6</w:t>
            </w:r>
          </w:p>
        </w:tc>
        <w:tc>
          <w:tcPr>
            <w:tcW w:w="907" w:type="pct"/>
            <w:shd w:val="clear" w:color="auto" w:fill="auto"/>
            <w:vAlign w:val="center"/>
          </w:tcPr>
          <w:p w14:paraId="6B55159C" w14:textId="77777777" w:rsidR="008F019C" w:rsidRPr="008F019C"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3.1 to 7.5</w:t>
            </w:r>
          </w:p>
          <w:p w14:paraId="4920B9DA" w14:textId="04B3622B" w:rsidR="00BE0785" w:rsidRPr="00F775C3" w:rsidRDefault="00BE0785" w:rsidP="00CE4B35">
            <w:pPr>
              <w:spacing w:before="60" w:after="60"/>
              <w:jc w:val="center"/>
              <w:rPr>
                <w:rFonts w:asciiTheme="majorHAnsi" w:eastAsia="MS Mincho" w:hAnsiTheme="majorHAnsi" w:cstheme="majorHAnsi"/>
                <w:color w:val="000000" w:themeColor="text1"/>
                <w:szCs w:val="20"/>
                <w:lang w:val="en-US" w:eastAsia="en-AU"/>
              </w:rPr>
            </w:pPr>
          </w:p>
        </w:tc>
        <w:tc>
          <w:tcPr>
            <w:tcW w:w="907" w:type="pct"/>
            <w:shd w:val="clear" w:color="auto" w:fill="auto"/>
            <w:vAlign w:val="center"/>
          </w:tcPr>
          <w:p w14:paraId="1270A205" w14:textId="0632ECC1" w:rsidR="005B6FE0" w:rsidRPr="005B6FE0"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31.0</w:t>
            </w:r>
            <w:r>
              <w:rPr>
                <w:rFonts w:asciiTheme="majorHAnsi" w:eastAsia="MS Mincho" w:hAnsiTheme="majorHAnsi" w:cstheme="majorHAnsi"/>
                <w:color w:val="000000" w:themeColor="text1"/>
                <w:szCs w:val="20"/>
                <w:lang w:val="en-US" w:eastAsia="en-AU"/>
              </w:rPr>
              <w:t xml:space="preserve"> to 75.3</w:t>
            </w:r>
          </w:p>
          <w:p w14:paraId="0786C98C" w14:textId="08A63AFF" w:rsidR="00BE0785" w:rsidRPr="00F775C3" w:rsidRDefault="00BE0785" w:rsidP="00CE4B35">
            <w:pPr>
              <w:spacing w:before="60" w:after="60"/>
              <w:jc w:val="center"/>
              <w:rPr>
                <w:rFonts w:asciiTheme="majorHAnsi" w:eastAsia="MS Mincho" w:hAnsiTheme="majorHAnsi" w:cstheme="majorHAnsi"/>
                <w:color w:val="000000" w:themeColor="text1"/>
                <w:szCs w:val="20"/>
                <w:lang w:val="en-US" w:eastAsia="en-AU"/>
              </w:rPr>
            </w:pPr>
          </w:p>
        </w:tc>
        <w:tc>
          <w:tcPr>
            <w:tcW w:w="909" w:type="pct"/>
            <w:shd w:val="clear" w:color="auto" w:fill="auto"/>
            <w:vAlign w:val="center"/>
          </w:tcPr>
          <w:p w14:paraId="58EEC22B" w14:textId="22CB0B93"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42.6</w:t>
            </w:r>
          </w:p>
        </w:tc>
      </w:tr>
      <w:tr w:rsidR="00BE0785" w:rsidRPr="00F775C3" w14:paraId="3C429620" w14:textId="77777777" w:rsidTr="00CE4B35">
        <w:tc>
          <w:tcPr>
            <w:tcW w:w="1471" w:type="pct"/>
            <w:shd w:val="clear" w:color="auto" w:fill="F2F2F2" w:themeFill="background1" w:themeFillShade="F2"/>
            <w:hideMark/>
          </w:tcPr>
          <w:p w14:paraId="2945BFC0" w14:textId="77777777" w:rsidR="00BE0785" w:rsidRPr="00F775C3" w:rsidRDefault="00BE0785" w:rsidP="001C02AC">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Personnel hazard</w:t>
            </w:r>
          </w:p>
        </w:tc>
        <w:tc>
          <w:tcPr>
            <w:tcW w:w="807" w:type="pct"/>
            <w:shd w:val="clear" w:color="auto" w:fill="auto"/>
            <w:vAlign w:val="center"/>
          </w:tcPr>
          <w:p w14:paraId="73D9F46D" w14:textId="5B395FF6"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1.0 to 1.8</w:t>
            </w:r>
          </w:p>
        </w:tc>
        <w:tc>
          <w:tcPr>
            <w:tcW w:w="907" w:type="pct"/>
            <w:shd w:val="clear" w:color="auto" w:fill="auto"/>
            <w:vAlign w:val="center"/>
          </w:tcPr>
          <w:p w14:paraId="0B82E4F9" w14:textId="677CBA44"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0.9 to 1.4</w:t>
            </w:r>
          </w:p>
        </w:tc>
        <w:tc>
          <w:tcPr>
            <w:tcW w:w="907" w:type="pct"/>
            <w:shd w:val="clear" w:color="auto" w:fill="auto"/>
            <w:vAlign w:val="center"/>
          </w:tcPr>
          <w:p w14:paraId="3796E32C" w14:textId="05995DE7"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9.2</w:t>
            </w:r>
            <w:r>
              <w:rPr>
                <w:rFonts w:asciiTheme="majorHAnsi" w:eastAsia="MS Mincho" w:hAnsiTheme="majorHAnsi" w:cstheme="majorHAnsi"/>
                <w:color w:val="000000" w:themeColor="text1"/>
                <w:szCs w:val="20"/>
                <w:lang w:val="en-US" w:eastAsia="en-AU"/>
              </w:rPr>
              <w:t xml:space="preserve"> to 15.3</w:t>
            </w:r>
          </w:p>
        </w:tc>
        <w:tc>
          <w:tcPr>
            <w:tcW w:w="909" w:type="pct"/>
            <w:shd w:val="clear" w:color="auto" w:fill="auto"/>
            <w:vAlign w:val="center"/>
          </w:tcPr>
          <w:p w14:paraId="3295EA19" w14:textId="291267E6"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12.6</w:t>
            </w:r>
          </w:p>
        </w:tc>
      </w:tr>
      <w:tr w:rsidR="00BE0785" w:rsidRPr="00F775C3" w14:paraId="73A2BF46" w14:textId="77777777" w:rsidTr="00CE4B35">
        <w:tc>
          <w:tcPr>
            <w:tcW w:w="1471" w:type="pct"/>
            <w:shd w:val="clear" w:color="auto" w:fill="F2F2F2" w:themeFill="background1" w:themeFillShade="F2"/>
            <w:hideMark/>
          </w:tcPr>
          <w:p w14:paraId="618629AE" w14:textId="77777777" w:rsidR="00BE0785" w:rsidRPr="00F775C3" w:rsidRDefault="00BE0785" w:rsidP="001C02AC">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 xml:space="preserve">Supply chain hazard </w:t>
            </w:r>
          </w:p>
        </w:tc>
        <w:tc>
          <w:tcPr>
            <w:tcW w:w="807" w:type="pct"/>
            <w:shd w:val="clear" w:color="auto" w:fill="auto"/>
            <w:vAlign w:val="center"/>
          </w:tcPr>
          <w:p w14:paraId="72F9F32A" w14:textId="6BE663A1"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1.6 to 4.3</w:t>
            </w:r>
          </w:p>
        </w:tc>
        <w:tc>
          <w:tcPr>
            <w:tcW w:w="907" w:type="pct"/>
            <w:shd w:val="clear" w:color="auto" w:fill="auto"/>
            <w:vAlign w:val="center"/>
          </w:tcPr>
          <w:p w14:paraId="79F2953B" w14:textId="70C9C743"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0.8 to 2.2</w:t>
            </w:r>
          </w:p>
        </w:tc>
        <w:tc>
          <w:tcPr>
            <w:tcW w:w="907" w:type="pct"/>
            <w:shd w:val="clear" w:color="auto" w:fill="auto"/>
            <w:vAlign w:val="center"/>
          </w:tcPr>
          <w:p w14:paraId="6A53E5C0" w14:textId="68DC8CDC"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8.8</w:t>
            </w:r>
            <w:r>
              <w:rPr>
                <w:rFonts w:asciiTheme="majorHAnsi" w:eastAsia="MS Mincho" w:hAnsiTheme="majorHAnsi" w:cstheme="majorHAnsi"/>
                <w:color w:val="000000" w:themeColor="text1"/>
                <w:szCs w:val="20"/>
                <w:lang w:val="en-US" w:eastAsia="en-AU"/>
              </w:rPr>
              <w:t xml:space="preserve"> to 25.1</w:t>
            </w:r>
          </w:p>
        </w:tc>
        <w:tc>
          <w:tcPr>
            <w:tcW w:w="909" w:type="pct"/>
            <w:shd w:val="clear" w:color="auto" w:fill="auto"/>
            <w:vAlign w:val="center"/>
          </w:tcPr>
          <w:p w14:paraId="2FA1F78E" w14:textId="5E37FECA"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12.0</w:t>
            </w:r>
          </w:p>
        </w:tc>
      </w:tr>
      <w:tr w:rsidR="00BE0785" w:rsidRPr="00F775C3" w14:paraId="2A8CFA2D" w14:textId="77777777" w:rsidTr="00CE4B35">
        <w:tc>
          <w:tcPr>
            <w:tcW w:w="1471" w:type="pct"/>
            <w:shd w:val="clear" w:color="auto" w:fill="F2F2F2" w:themeFill="background1" w:themeFillShade="F2"/>
            <w:hideMark/>
          </w:tcPr>
          <w:p w14:paraId="4590E594" w14:textId="77777777" w:rsidR="00BE0785" w:rsidRPr="00F775C3" w:rsidRDefault="00BE0785" w:rsidP="001C02AC">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Physical and natural hazard</w:t>
            </w:r>
          </w:p>
        </w:tc>
        <w:tc>
          <w:tcPr>
            <w:tcW w:w="807" w:type="pct"/>
            <w:shd w:val="clear" w:color="auto" w:fill="auto"/>
            <w:vAlign w:val="center"/>
          </w:tcPr>
          <w:p w14:paraId="62C43010" w14:textId="14A4F19F"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2.2 to 4.4</w:t>
            </w:r>
          </w:p>
        </w:tc>
        <w:tc>
          <w:tcPr>
            <w:tcW w:w="907" w:type="pct"/>
            <w:shd w:val="clear" w:color="auto" w:fill="auto"/>
            <w:vAlign w:val="center"/>
          </w:tcPr>
          <w:p w14:paraId="1B74B2BA" w14:textId="6F992089"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0.8 to 1.5</w:t>
            </w:r>
          </w:p>
        </w:tc>
        <w:tc>
          <w:tcPr>
            <w:tcW w:w="907" w:type="pct"/>
            <w:shd w:val="clear" w:color="auto" w:fill="auto"/>
            <w:vAlign w:val="center"/>
          </w:tcPr>
          <w:p w14:paraId="66F94609" w14:textId="18CC4F7D"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9.4</w:t>
            </w:r>
            <w:r>
              <w:rPr>
                <w:rFonts w:asciiTheme="majorHAnsi" w:eastAsia="MS Mincho" w:hAnsiTheme="majorHAnsi" w:cstheme="majorHAnsi"/>
                <w:color w:val="000000" w:themeColor="text1"/>
                <w:szCs w:val="20"/>
                <w:lang w:val="en-US" w:eastAsia="en-AU"/>
              </w:rPr>
              <w:t xml:space="preserve"> to 18.8</w:t>
            </w:r>
          </w:p>
        </w:tc>
        <w:tc>
          <w:tcPr>
            <w:tcW w:w="909" w:type="pct"/>
            <w:shd w:val="clear" w:color="auto" w:fill="auto"/>
            <w:vAlign w:val="center"/>
          </w:tcPr>
          <w:p w14:paraId="0400B784" w14:textId="7852629C"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12.9</w:t>
            </w:r>
          </w:p>
        </w:tc>
      </w:tr>
      <w:tr w:rsidR="00BE0785" w:rsidRPr="00F775C3" w14:paraId="185050EB" w14:textId="77777777" w:rsidTr="00CE4B35">
        <w:tc>
          <w:tcPr>
            <w:tcW w:w="1471" w:type="pct"/>
            <w:shd w:val="clear" w:color="auto" w:fill="F2F2F2" w:themeFill="background1" w:themeFillShade="F2"/>
            <w:hideMark/>
          </w:tcPr>
          <w:p w14:paraId="7D66652A" w14:textId="77777777" w:rsidR="00BE0785" w:rsidRPr="00F775C3" w:rsidRDefault="00BE0785" w:rsidP="001C02AC">
            <w:pPr>
              <w:spacing w:before="60" w:after="60"/>
              <w:rPr>
                <w:rFonts w:asciiTheme="majorHAnsi" w:eastAsia="MS Mincho" w:hAnsiTheme="majorHAnsi" w:cstheme="majorHAnsi"/>
                <w:color w:val="000000" w:themeColor="text1"/>
                <w:szCs w:val="20"/>
                <w:lang w:val="en-US"/>
              </w:rPr>
            </w:pPr>
            <w:r w:rsidRPr="00F775C3">
              <w:rPr>
                <w:rFonts w:asciiTheme="majorHAnsi" w:eastAsia="MS Mincho" w:hAnsiTheme="majorHAnsi" w:cstheme="majorHAnsi"/>
                <w:color w:val="000000" w:themeColor="text1"/>
                <w:szCs w:val="20"/>
                <w:lang w:val="en-US"/>
              </w:rPr>
              <w:t>Material risk</w:t>
            </w:r>
          </w:p>
        </w:tc>
        <w:tc>
          <w:tcPr>
            <w:tcW w:w="807" w:type="pct"/>
            <w:shd w:val="clear" w:color="auto" w:fill="auto"/>
            <w:vAlign w:val="center"/>
          </w:tcPr>
          <w:p w14:paraId="5C43EDC6" w14:textId="62D2C7D0"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1.3 to 4.0</w:t>
            </w:r>
          </w:p>
        </w:tc>
        <w:tc>
          <w:tcPr>
            <w:tcW w:w="907" w:type="pct"/>
            <w:shd w:val="clear" w:color="auto" w:fill="auto"/>
            <w:vAlign w:val="center"/>
          </w:tcPr>
          <w:p w14:paraId="3505A5F6" w14:textId="5308DEA3" w:rsidR="00BE0785" w:rsidRPr="00F775C3" w:rsidRDefault="008F019C" w:rsidP="00CE4B35">
            <w:pPr>
              <w:spacing w:before="60" w:after="60"/>
              <w:jc w:val="center"/>
              <w:rPr>
                <w:rFonts w:asciiTheme="majorHAnsi" w:eastAsia="MS Mincho" w:hAnsiTheme="majorHAnsi" w:cstheme="majorHAnsi"/>
                <w:color w:val="000000" w:themeColor="text1"/>
                <w:szCs w:val="20"/>
                <w:lang w:val="en-US" w:eastAsia="en-AU"/>
              </w:rPr>
            </w:pPr>
            <w:r w:rsidRPr="008F019C">
              <w:rPr>
                <w:rFonts w:asciiTheme="majorHAnsi" w:eastAsia="MS Mincho" w:hAnsiTheme="majorHAnsi" w:cstheme="majorHAnsi"/>
                <w:color w:val="000000" w:themeColor="text1"/>
                <w:szCs w:val="20"/>
                <w:lang w:val="en-US" w:eastAsia="en-AU"/>
              </w:rPr>
              <w:t>0.7 to 2.0</w:t>
            </w:r>
          </w:p>
        </w:tc>
        <w:tc>
          <w:tcPr>
            <w:tcW w:w="907" w:type="pct"/>
            <w:shd w:val="clear" w:color="auto" w:fill="auto"/>
            <w:vAlign w:val="center"/>
          </w:tcPr>
          <w:p w14:paraId="34BCB0D3" w14:textId="1052B02C"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7.7</w:t>
            </w:r>
            <w:r>
              <w:rPr>
                <w:rFonts w:asciiTheme="majorHAnsi" w:eastAsia="MS Mincho" w:hAnsiTheme="majorHAnsi" w:cstheme="majorHAnsi"/>
                <w:color w:val="000000" w:themeColor="text1"/>
                <w:szCs w:val="20"/>
                <w:lang w:val="en-US" w:eastAsia="en-AU"/>
              </w:rPr>
              <w:t xml:space="preserve"> to 23.1</w:t>
            </w:r>
          </w:p>
        </w:tc>
        <w:tc>
          <w:tcPr>
            <w:tcW w:w="909" w:type="pct"/>
            <w:shd w:val="clear" w:color="auto" w:fill="auto"/>
            <w:vAlign w:val="center"/>
          </w:tcPr>
          <w:p w14:paraId="45D85C0E" w14:textId="618D4D23" w:rsidR="00BE0785" w:rsidRPr="00F775C3" w:rsidRDefault="005B6FE0" w:rsidP="00CE4B35">
            <w:pPr>
              <w:spacing w:before="60" w:after="60"/>
              <w:jc w:val="center"/>
              <w:rPr>
                <w:rFonts w:asciiTheme="majorHAnsi" w:eastAsia="MS Mincho" w:hAnsiTheme="majorHAnsi" w:cstheme="majorHAnsi"/>
                <w:color w:val="000000" w:themeColor="text1"/>
                <w:szCs w:val="20"/>
                <w:lang w:val="en-US" w:eastAsia="en-AU"/>
              </w:rPr>
            </w:pPr>
            <w:r w:rsidRPr="005B6FE0">
              <w:rPr>
                <w:rFonts w:asciiTheme="majorHAnsi" w:eastAsia="MS Mincho" w:hAnsiTheme="majorHAnsi" w:cstheme="majorHAnsi"/>
                <w:color w:val="000000" w:themeColor="text1"/>
                <w:szCs w:val="20"/>
                <w:lang w:val="en-US" w:eastAsia="en-AU"/>
              </w:rPr>
              <w:t>10.6</w:t>
            </w:r>
          </w:p>
        </w:tc>
      </w:tr>
      <w:tr w:rsidR="00BE0785" w:rsidRPr="00F775C3" w14:paraId="1DC58082" w14:textId="77777777" w:rsidTr="00CE4B35">
        <w:tc>
          <w:tcPr>
            <w:tcW w:w="1471" w:type="pct"/>
            <w:shd w:val="clear" w:color="auto" w:fill="034EA2" w:themeFill="accent1"/>
            <w:hideMark/>
          </w:tcPr>
          <w:p w14:paraId="5C3CF3F4" w14:textId="16FEC1F9" w:rsidR="00BE0785" w:rsidRPr="00F775C3" w:rsidRDefault="00BE0785" w:rsidP="001C02AC">
            <w:pPr>
              <w:keepNext/>
              <w:rPr>
                <w:rFonts w:asciiTheme="majorHAnsi" w:hAnsiTheme="majorHAnsi" w:cstheme="majorHAnsi"/>
                <w:b/>
                <w:bCs/>
                <w:color w:val="FFFFFF" w:themeColor="background1"/>
                <w:sz w:val="16"/>
                <w:szCs w:val="16"/>
                <w:lang w:eastAsia="en-AU"/>
              </w:rPr>
            </w:pPr>
            <w:r w:rsidRPr="00F775C3">
              <w:rPr>
                <w:rFonts w:asciiTheme="majorHAnsi" w:hAnsiTheme="majorHAnsi" w:cstheme="majorHAnsi"/>
                <w:b/>
                <w:color w:val="FFFFFF" w:themeColor="background1"/>
                <w:lang w:eastAsia="en-AU"/>
              </w:rPr>
              <w:t xml:space="preserve">Total critical </w:t>
            </w:r>
            <w:r w:rsidR="001E117F">
              <w:rPr>
                <w:rFonts w:asciiTheme="majorHAnsi" w:hAnsiTheme="majorHAnsi" w:cstheme="majorHAnsi"/>
                <w:b/>
                <w:color w:val="FFFFFF" w:themeColor="background1"/>
                <w:lang w:eastAsia="en-AU"/>
              </w:rPr>
              <w:t>food and grocery</w:t>
            </w:r>
            <w:r w:rsidRPr="00F775C3">
              <w:rPr>
                <w:rFonts w:asciiTheme="majorHAnsi" w:hAnsiTheme="majorHAnsi" w:cstheme="majorHAnsi"/>
                <w:b/>
                <w:color w:val="FFFFFF" w:themeColor="background1"/>
                <w:lang w:eastAsia="en-AU"/>
              </w:rPr>
              <w:t xml:space="preserve"> assets</w:t>
            </w:r>
          </w:p>
        </w:tc>
        <w:tc>
          <w:tcPr>
            <w:tcW w:w="807" w:type="pct"/>
            <w:shd w:val="clear" w:color="auto" w:fill="034EA2" w:themeFill="accent1"/>
            <w:vAlign w:val="center"/>
          </w:tcPr>
          <w:p w14:paraId="2967B467" w14:textId="6EE6F0D2" w:rsidR="00BE0785" w:rsidRPr="00F775C3" w:rsidRDefault="008F019C" w:rsidP="00CE4B35">
            <w:pPr>
              <w:keepNext/>
              <w:jc w:val="center"/>
              <w:rPr>
                <w:rFonts w:asciiTheme="majorHAnsi" w:hAnsiTheme="majorHAnsi" w:cstheme="majorHAnsi"/>
                <w:b/>
                <w:color w:val="FFFFFF" w:themeColor="background1"/>
              </w:rPr>
            </w:pPr>
            <w:r>
              <w:rPr>
                <w:rFonts w:asciiTheme="majorHAnsi" w:hAnsiTheme="majorHAnsi" w:cstheme="majorHAnsi"/>
                <w:b/>
                <w:color w:val="FFFFFF" w:themeColor="background1"/>
              </w:rPr>
              <w:t>12.2 to 28.2</w:t>
            </w:r>
          </w:p>
        </w:tc>
        <w:tc>
          <w:tcPr>
            <w:tcW w:w="907" w:type="pct"/>
            <w:shd w:val="clear" w:color="auto" w:fill="034EA2" w:themeFill="accent1"/>
            <w:vAlign w:val="center"/>
          </w:tcPr>
          <w:p w14:paraId="0A80A851" w14:textId="300D477E" w:rsidR="00BE0785" w:rsidRPr="00F775C3" w:rsidRDefault="005B6FE0" w:rsidP="00CE4B35">
            <w:pPr>
              <w:keepNext/>
              <w:jc w:val="center"/>
              <w:rPr>
                <w:rFonts w:asciiTheme="majorHAnsi" w:hAnsiTheme="majorHAnsi" w:cstheme="majorHAnsi"/>
                <w:b/>
                <w:color w:val="FFFFFF" w:themeColor="background1"/>
              </w:rPr>
            </w:pPr>
            <w:r>
              <w:rPr>
                <w:rFonts w:asciiTheme="majorHAnsi" w:hAnsiTheme="majorHAnsi" w:cstheme="majorHAnsi"/>
                <w:b/>
                <w:color w:val="FFFFFF" w:themeColor="background1"/>
              </w:rPr>
              <w:t>6.6 to 15.6</w:t>
            </w:r>
          </w:p>
        </w:tc>
        <w:tc>
          <w:tcPr>
            <w:tcW w:w="907" w:type="pct"/>
            <w:shd w:val="clear" w:color="auto" w:fill="034EA2" w:themeFill="accent1"/>
            <w:vAlign w:val="center"/>
          </w:tcPr>
          <w:p w14:paraId="04C5D730" w14:textId="20BF852B" w:rsidR="00BE0785" w:rsidRPr="00F775C3" w:rsidRDefault="005B6FE0" w:rsidP="00CE4B35">
            <w:pPr>
              <w:keepNext/>
              <w:jc w:val="center"/>
              <w:rPr>
                <w:rFonts w:asciiTheme="majorHAnsi" w:hAnsiTheme="majorHAnsi" w:cstheme="majorHAnsi"/>
                <w:b/>
                <w:color w:val="FFFFFF" w:themeColor="background1"/>
              </w:rPr>
            </w:pPr>
            <w:r>
              <w:rPr>
                <w:rFonts w:asciiTheme="majorHAnsi" w:hAnsiTheme="majorHAnsi" w:cstheme="majorHAnsi"/>
                <w:b/>
                <w:color w:val="FFFFFF" w:themeColor="background1"/>
              </w:rPr>
              <w:t>72.9 to 170.0</w:t>
            </w:r>
          </w:p>
        </w:tc>
        <w:tc>
          <w:tcPr>
            <w:tcW w:w="909" w:type="pct"/>
            <w:shd w:val="clear" w:color="auto" w:fill="034EA2" w:themeFill="accent1"/>
            <w:vAlign w:val="center"/>
          </w:tcPr>
          <w:p w14:paraId="34DD02E9" w14:textId="1A05E285" w:rsidR="00BE0785" w:rsidRPr="00F775C3" w:rsidRDefault="005B6FE0" w:rsidP="00CE4B35">
            <w:pPr>
              <w:keepNext/>
              <w:jc w:val="center"/>
              <w:rPr>
                <w:rFonts w:asciiTheme="majorHAnsi" w:hAnsiTheme="majorHAnsi" w:cstheme="majorHAnsi"/>
                <w:b/>
                <w:color w:val="FFFFFF" w:themeColor="background1"/>
              </w:rPr>
            </w:pPr>
            <w:r>
              <w:rPr>
                <w:rFonts w:asciiTheme="majorHAnsi" w:hAnsiTheme="majorHAnsi" w:cstheme="majorHAnsi"/>
                <w:b/>
                <w:color w:val="FFFFFF" w:themeColor="background1"/>
              </w:rPr>
              <w:t>100</w:t>
            </w:r>
          </w:p>
        </w:tc>
      </w:tr>
    </w:tbl>
    <w:p w14:paraId="70379347" w14:textId="77777777" w:rsidR="00BE0785" w:rsidRPr="00F775C3" w:rsidRDefault="00BE0785" w:rsidP="00BE0785">
      <w:pPr>
        <w:rPr>
          <w:rFonts w:cstheme="majorHAnsi"/>
          <w:sz w:val="22"/>
          <w:szCs w:val="28"/>
        </w:rPr>
      </w:pPr>
    </w:p>
    <w:p w14:paraId="1F1A0980" w14:textId="77777777" w:rsidR="00BE0785" w:rsidRPr="00F775C3" w:rsidRDefault="00BE0785" w:rsidP="00BE0785">
      <w:pPr>
        <w:rPr>
          <w:rFonts w:cstheme="majorHAnsi"/>
          <w:sz w:val="22"/>
          <w:szCs w:val="28"/>
        </w:rPr>
      </w:pPr>
      <w:r w:rsidRPr="00F775C3">
        <w:rPr>
          <w:rFonts w:cstheme="majorHAnsi"/>
          <w:sz w:val="22"/>
          <w:szCs w:val="28"/>
        </w:rPr>
        <w:t xml:space="preserve">The industry submissions also indicated the type of expenditure expected to be incurred. The allocation of expected cost between labour effort, capital and operating costs is provided in the table below. The analysis shows that 44.5% of one-off costs and 36.4% of ongoing costs are expected to be invested in capital. A relatively small share of costs is associated with labour effort for one-off and ongoing costs (17.3% for one-off costs and 38.2% for ongoing costs). Operating costs are the largest component of ongoing costs (44.9% of total ongoing costs) and account for 38.2% of one-off costs. </w:t>
      </w:r>
    </w:p>
    <w:p w14:paraId="44EB2CF8" w14:textId="097E6BF1" w:rsidR="00BE0785" w:rsidRPr="00F775C3" w:rsidRDefault="00BE0785" w:rsidP="00BE0785">
      <w:pPr>
        <w:keepNext/>
        <w:tabs>
          <w:tab w:val="left" w:pos="1134"/>
        </w:tabs>
        <w:spacing w:before="240"/>
        <w:rPr>
          <w:b/>
          <w:bCs/>
          <w:i/>
          <w:color w:val="034EA2" w:themeColor="accent1"/>
          <w:spacing w:val="-4"/>
          <w:sz w:val="18"/>
          <w:szCs w:val="18"/>
          <w:lang w:eastAsia="en-AU"/>
        </w:rPr>
      </w:pPr>
      <w:r w:rsidRPr="00F775C3">
        <w:rPr>
          <w:i/>
          <w:color w:val="034EA2" w:themeColor="accent1"/>
          <w:spacing w:val="-4"/>
          <w:sz w:val="18"/>
          <w:szCs w:val="18"/>
          <w:lang w:eastAsia="en-AU"/>
        </w:rPr>
        <w:t xml:space="preserve">Expected one-off and ongoing costs by cost type for critical </w:t>
      </w:r>
      <w:r w:rsidR="001E117F">
        <w:rPr>
          <w:i/>
          <w:color w:val="034EA2" w:themeColor="accent1"/>
          <w:spacing w:val="-4"/>
          <w:sz w:val="18"/>
          <w:szCs w:val="18"/>
          <w:lang w:eastAsia="en-AU"/>
        </w:rPr>
        <w:t>food and grocery</w:t>
      </w:r>
      <w:r w:rsidRPr="00F775C3">
        <w:rPr>
          <w:i/>
          <w:color w:val="034EA2" w:themeColor="accent1"/>
          <w:spacing w:val="-4"/>
          <w:sz w:val="18"/>
          <w:szCs w:val="18"/>
          <w:lang w:eastAsia="en-AU"/>
        </w:rPr>
        <w:t xml:space="preserve"> assets nationally</w:t>
      </w:r>
    </w:p>
    <w:tbl>
      <w:tblPr>
        <w:tblStyle w:val="TableGrid1112"/>
        <w:tblW w:w="5000" w:type="pct"/>
        <w:tblInd w:w="0"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3024"/>
        <w:gridCol w:w="1652"/>
        <w:gridCol w:w="1654"/>
        <w:gridCol w:w="1654"/>
        <w:gridCol w:w="1654"/>
      </w:tblGrid>
      <w:tr w:rsidR="00BE0785" w:rsidRPr="00F775C3" w14:paraId="451F5EB4" w14:textId="77777777" w:rsidTr="001C02AC">
        <w:tc>
          <w:tcPr>
            <w:tcW w:w="1569" w:type="pct"/>
            <w:vMerge w:val="restart"/>
            <w:shd w:val="clear" w:color="auto" w:fill="034EA2" w:themeFill="accent1"/>
            <w:hideMark/>
          </w:tcPr>
          <w:p w14:paraId="0D290C26" w14:textId="77777777" w:rsidR="00BE0785" w:rsidRPr="00F775C3" w:rsidRDefault="00BE0785" w:rsidP="001C02AC">
            <w:pPr>
              <w:keepNext/>
              <w:rPr>
                <w:rFonts w:asciiTheme="minorHAnsi" w:hAnsiTheme="minorHAnsi" w:cstheme="minorHAnsi"/>
                <w:b/>
                <w:color w:val="FFFFFF" w:themeColor="background1"/>
                <w:lang w:eastAsia="en-AU"/>
              </w:rPr>
            </w:pPr>
            <w:r w:rsidRPr="00F775C3">
              <w:rPr>
                <w:rFonts w:asciiTheme="minorHAnsi" w:hAnsiTheme="minorHAnsi" w:cstheme="minorHAnsi"/>
                <w:b/>
                <w:color w:val="FFFFFF" w:themeColor="background1"/>
                <w:lang w:eastAsia="en-AU"/>
              </w:rPr>
              <w:t>Cost Type</w:t>
            </w:r>
          </w:p>
        </w:tc>
        <w:tc>
          <w:tcPr>
            <w:tcW w:w="3431" w:type="pct"/>
            <w:gridSpan w:val="4"/>
            <w:shd w:val="clear" w:color="auto" w:fill="034EA2" w:themeFill="accent1"/>
            <w:vAlign w:val="center"/>
            <w:hideMark/>
          </w:tcPr>
          <w:p w14:paraId="7AC3D06A" w14:textId="77777777" w:rsidR="00BE0785" w:rsidRPr="00F775C3" w:rsidRDefault="00BE0785" w:rsidP="001C02AC">
            <w:pPr>
              <w:keepNext/>
              <w:rPr>
                <w:rFonts w:asciiTheme="minorHAnsi" w:hAnsiTheme="minorHAnsi" w:cstheme="minorHAnsi"/>
                <w:b/>
                <w:color w:val="FFFFFF" w:themeColor="background1"/>
                <w:lang w:eastAsia="en-AU"/>
              </w:rPr>
            </w:pPr>
            <w:r w:rsidRPr="00F775C3">
              <w:rPr>
                <w:rFonts w:asciiTheme="minorHAnsi" w:hAnsiTheme="minorHAnsi" w:cstheme="minorHAnsi"/>
                <w:b/>
                <w:color w:val="FFFFFF" w:themeColor="background1"/>
                <w:lang w:eastAsia="en-AU"/>
              </w:rPr>
              <w:t xml:space="preserve">Costs </w:t>
            </w:r>
          </w:p>
        </w:tc>
      </w:tr>
      <w:tr w:rsidR="00BE0785" w:rsidRPr="00F775C3" w14:paraId="29491CAC" w14:textId="77777777" w:rsidTr="001C02AC">
        <w:tc>
          <w:tcPr>
            <w:tcW w:w="1569" w:type="pct"/>
            <w:vMerge/>
            <w:shd w:val="clear" w:color="auto" w:fill="007BC3" w:themeFill="accent2"/>
            <w:vAlign w:val="center"/>
            <w:hideMark/>
          </w:tcPr>
          <w:p w14:paraId="5F810451" w14:textId="77777777" w:rsidR="00BE0785" w:rsidRPr="00F775C3" w:rsidRDefault="00BE0785" w:rsidP="001C02AC">
            <w:pPr>
              <w:spacing w:before="60" w:after="60"/>
              <w:rPr>
                <w:rFonts w:asciiTheme="minorHAnsi" w:eastAsia="MS Mincho" w:hAnsiTheme="minorHAnsi" w:cstheme="minorHAnsi"/>
                <w:color w:val="000000" w:themeColor="text1"/>
                <w:szCs w:val="20"/>
                <w:lang w:val="en-US" w:eastAsia="en-AU"/>
              </w:rPr>
            </w:pPr>
          </w:p>
        </w:tc>
        <w:tc>
          <w:tcPr>
            <w:tcW w:w="857" w:type="pct"/>
            <w:shd w:val="clear" w:color="auto" w:fill="DEEAF6"/>
            <w:vAlign w:val="center"/>
            <w:hideMark/>
          </w:tcPr>
          <w:p w14:paraId="738F8AF6" w14:textId="77777777" w:rsidR="00BE0785" w:rsidRPr="00F775C3" w:rsidRDefault="00BE0785" w:rsidP="00CE4B35">
            <w:pPr>
              <w:spacing w:before="60" w:after="60"/>
              <w:jc w:val="center"/>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 xml:space="preserve">One-off </w:t>
            </w:r>
            <w:r w:rsidRPr="00F775C3">
              <w:rPr>
                <w:rFonts w:asciiTheme="minorHAnsi" w:eastAsia="MS Mincho" w:hAnsiTheme="minorHAnsi" w:cstheme="minorHAnsi"/>
                <w:color w:val="000000"/>
                <w:szCs w:val="20"/>
                <w:lang w:val="en-US" w:eastAsia="en-AU"/>
              </w:rPr>
              <w:t>($ million)</w:t>
            </w:r>
          </w:p>
        </w:tc>
        <w:tc>
          <w:tcPr>
            <w:tcW w:w="858" w:type="pct"/>
            <w:shd w:val="clear" w:color="auto" w:fill="DEEAF6"/>
            <w:vAlign w:val="center"/>
            <w:hideMark/>
          </w:tcPr>
          <w:p w14:paraId="64D30304" w14:textId="77777777" w:rsidR="00BE0785" w:rsidRPr="00F775C3" w:rsidRDefault="00BE0785" w:rsidP="00CE4B35">
            <w:pPr>
              <w:spacing w:before="60" w:after="60"/>
              <w:jc w:val="center"/>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One-off</w:t>
            </w:r>
            <w:r w:rsidRPr="00F775C3">
              <w:rPr>
                <w:rFonts w:asciiTheme="minorHAnsi" w:eastAsia="MS Mincho" w:hAnsiTheme="minorHAnsi" w:cstheme="minorHAnsi"/>
                <w:color w:val="000000" w:themeColor="text1"/>
                <w:szCs w:val="20"/>
                <w:lang w:val="en-US" w:eastAsia="en-AU"/>
              </w:rPr>
              <w:br/>
              <w:t>(%)</w:t>
            </w:r>
          </w:p>
        </w:tc>
        <w:tc>
          <w:tcPr>
            <w:tcW w:w="858" w:type="pct"/>
            <w:shd w:val="clear" w:color="auto" w:fill="DEEAF6"/>
            <w:vAlign w:val="center"/>
            <w:hideMark/>
          </w:tcPr>
          <w:p w14:paraId="0E278FD7" w14:textId="77777777" w:rsidR="00BE0785" w:rsidRPr="00F775C3" w:rsidRDefault="00BE0785" w:rsidP="00CE4B35">
            <w:pPr>
              <w:spacing w:before="60" w:after="60"/>
              <w:jc w:val="center"/>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Ongoing</w:t>
            </w:r>
            <w:r w:rsidRPr="00F775C3">
              <w:rPr>
                <w:rFonts w:asciiTheme="minorHAnsi" w:eastAsia="MS Mincho" w:hAnsiTheme="minorHAnsi" w:cstheme="minorHAnsi"/>
                <w:color w:val="000000" w:themeColor="text1"/>
                <w:szCs w:val="20"/>
                <w:lang w:val="en-US" w:eastAsia="en-AU"/>
              </w:rPr>
              <w:br/>
              <w:t>(per year)</w:t>
            </w:r>
          </w:p>
        </w:tc>
        <w:tc>
          <w:tcPr>
            <w:tcW w:w="858" w:type="pct"/>
            <w:shd w:val="clear" w:color="auto" w:fill="DEEAF6"/>
            <w:vAlign w:val="center"/>
            <w:hideMark/>
          </w:tcPr>
          <w:p w14:paraId="1EC5E75A" w14:textId="77777777" w:rsidR="00BE0785" w:rsidRPr="00F775C3" w:rsidRDefault="00BE0785" w:rsidP="00CE4B35">
            <w:pPr>
              <w:spacing w:before="60" w:after="60"/>
              <w:jc w:val="center"/>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Ongoing</w:t>
            </w:r>
            <w:r w:rsidRPr="00F775C3">
              <w:rPr>
                <w:rFonts w:asciiTheme="minorHAnsi" w:eastAsia="MS Mincho" w:hAnsiTheme="minorHAnsi" w:cstheme="minorHAnsi"/>
                <w:color w:val="000000" w:themeColor="text1"/>
                <w:szCs w:val="20"/>
                <w:lang w:val="en-US" w:eastAsia="en-AU"/>
              </w:rPr>
              <w:br/>
              <w:t>(%)</w:t>
            </w:r>
          </w:p>
        </w:tc>
      </w:tr>
      <w:tr w:rsidR="00BE0785" w:rsidRPr="00F775C3" w14:paraId="571B0C98" w14:textId="77777777" w:rsidTr="001C02AC">
        <w:tc>
          <w:tcPr>
            <w:tcW w:w="1569" w:type="pct"/>
            <w:shd w:val="clear" w:color="auto" w:fill="F2F2F2" w:themeFill="background1" w:themeFillShade="F2"/>
            <w:vAlign w:val="center"/>
            <w:hideMark/>
          </w:tcPr>
          <w:p w14:paraId="74DDB611" w14:textId="77777777" w:rsidR="00BE0785" w:rsidRPr="00F775C3" w:rsidRDefault="00BE0785" w:rsidP="001C02AC">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Labour effort</w:t>
            </w:r>
          </w:p>
        </w:tc>
        <w:tc>
          <w:tcPr>
            <w:tcW w:w="857" w:type="pct"/>
            <w:shd w:val="clear" w:color="auto" w:fill="FFFFFF" w:themeFill="background1"/>
            <w:vAlign w:val="center"/>
          </w:tcPr>
          <w:p w14:paraId="789EA43B" w14:textId="7AB89346" w:rsidR="00BE0785" w:rsidRPr="00CE4B35" w:rsidRDefault="00294D0C"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2.7</w:t>
            </w:r>
          </w:p>
        </w:tc>
        <w:tc>
          <w:tcPr>
            <w:tcW w:w="858" w:type="pct"/>
            <w:shd w:val="clear" w:color="auto" w:fill="FFFFFF" w:themeFill="background1"/>
            <w:vAlign w:val="center"/>
          </w:tcPr>
          <w:p w14:paraId="790F6796" w14:textId="1386D184" w:rsidR="00BE0785" w:rsidRPr="00CE4B35" w:rsidRDefault="00294D0C"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22.</w:t>
            </w:r>
            <w:r w:rsidR="002B484E" w:rsidRPr="00CE4B35">
              <w:rPr>
                <w:rFonts w:asciiTheme="majorHAnsi" w:eastAsia="MS Mincho" w:hAnsiTheme="majorHAnsi" w:cstheme="majorHAnsi"/>
                <w:color w:val="000000" w:themeColor="text1"/>
                <w:szCs w:val="20"/>
                <w:lang w:val="en-US" w:eastAsia="en-AU"/>
              </w:rPr>
              <w:t>3</w:t>
            </w:r>
          </w:p>
        </w:tc>
        <w:tc>
          <w:tcPr>
            <w:tcW w:w="858" w:type="pct"/>
            <w:shd w:val="clear" w:color="auto" w:fill="FFFFFF" w:themeFill="background1"/>
            <w:vAlign w:val="center"/>
          </w:tcPr>
          <w:p w14:paraId="5F05E4F2" w14:textId="29E5036E" w:rsidR="00BE0785" w:rsidRPr="00CE4B35" w:rsidRDefault="009E30E8"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2.0</w:t>
            </w:r>
          </w:p>
        </w:tc>
        <w:tc>
          <w:tcPr>
            <w:tcW w:w="858" w:type="pct"/>
            <w:shd w:val="clear" w:color="auto" w:fill="FFFFFF" w:themeFill="background1"/>
            <w:vAlign w:val="center"/>
          </w:tcPr>
          <w:p w14:paraId="002CF0B5" w14:textId="1A008AF8" w:rsidR="00BE0785" w:rsidRPr="00CE4B35" w:rsidRDefault="000426AB"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29.8</w:t>
            </w:r>
          </w:p>
        </w:tc>
      </w:tr>
      <w:tr w:rsidR="00BE0785" w:rsidRPr="00F775C3" w14:paraId="6380A329" w14:textId="77777777" w:rsidTr="001C02AC">
        <w:tc>
          <w:tcPr>
            <w:tcW w:w="1569" w:type="pct"/>
            <w:shd w:val="clear" w:color="auto" w:fill="F2F2F2" w:themeFill="background1" w:themeFillShade="F2"/>
            <w:vAlign w:val="center"/>
            <w:hideMark/>
          </w:tcPr>
          <w:p w14:paraId="43BF0FF1" w14:textId="77777777" w:rsidR="00BE0785" w:rsidRPr="00F775C3" w:rsidRDefault="00BE0785" w:rsidP="001C02AC">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lastRenderedPageBreak/>
              <w:t>Capital</w:t>
            </w:r>
          </w:p>
        </w:tc>
        <w:tc>
          <w:tcPr>
            <w:tcW w:w="857" w:type="pct"/>
            <w:shd w:val="clear" w:color="auto" w:fill="FFFFFF" w:themeFill="background1"/>
            <w:vAlign w:val="center"/>
          </w:tcPr>
          <w:p w14:paraId="13D367EC" w14:textId="1467A38A" w:rsidR="00BE0785" w:rsidRPr="00CE4B35" w:rsidRDefault="00294D0C"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4.7</w:t>
            </w:r>
          </w:p>
        </w:tc>
        <w:tc>
          <w:tcPr>
            <w:tcW w:w="858" w:type="pct"/>
            <w:shd w:val="clear" w:color="auto" w:fill="FFFFFF" w:themeFill="background1"/>
            <w:vAlign w:val="center"/>
          </w:tcPr>
          <w:p w14:paraId="30467445" w14:textId="0C1DA262" w:rsidR="00BE0785" w:rsidRPr="00CE4B35" w:rsidRDefault="00294D0C"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38.</w:t>
            </w:r>
            <w:r w:rsidR="009E30E8" w:rsidRPr="00CE4B35">
              <w:rPr>
                <w:rFonts w:asciiTheme="majorHAnsi" w:eastAsia="MS Mincho" w:hAnsiTheme="majorHAnsi" w:cstheme="majorHAnsi"/>
                <w:color w:val="000000" w:themeColor="text1"/>
                <w:szCs w:val="20"/>
                <w:lang w:val="en-US" w:eastAsia="en-AU"/>
              </w:rPr>
              <w:t>3</w:t>
            </w:r>
          </w:p>
        </w:tc>
        <w:tc>
          <w:tcPr>
            <w:tcW w:w="858" w:type="pct"/>
            <w:shd w:val="clear" w:color="auto" w:fill="FFFFFF" w:themeFill="background1"/>
            <w:vAlign w:val="center"/>
          </w:tcPr>
          <w:p w14:paraId="19E74300" w14:textId="37A28996" w:rsidR="00BE0785" w:rsidRPr="00CE4B35" w:rsidRDefault="009E30E8"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0.7</w:t>
            </w:r>
          </w:p>
        </w:tc>
        <w:tc>
          <w:tcPr>
            <w:tcW w:w="858" w:type="pct"/>
            <w:shd w:val="clear" w:color="auto" w:fill="FFFFFF" w:themeFill="background1"/>
            <w:vAlign w:val="center"/>
          </w:tcPr>
          <w:p w14:paraId="580218DC" w14:textId="601EE771" w:rsidR="00BE0785" w:rsidRPr="00CE4B35" w:rsidRDefault="000426AB"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10.0</w:t>
            </w:r>
          </w:p>
        </w:tc>
      </w:tr>
      <w:tr w:rsidR="00BE0785" w:rsidRPr="00F775C3" w14:paraId="345ECA8B" w14:textId="77777777" w:rsidTr="001C02AC">
        <w:tc>
          <w:tcPr>
            <w:tcW w:w="1569" w:type="pct"/>
            <w:shd w:val="clear" w:color="auto" w:fill="F2F2F2" w:themeFill="background1" w:themeFillShade="F2"/>
            <w:vAlign w:val="center"/>
            <w:hideMark/>
          </w:tcPr>
          <w:p w14:paraId="590043AB" w14:textId="77777777" w:rsidR="00BE0785" w:rsidRPr="00F775C3" w:rsidRDefault="00BE0785" w:rsidP="001C02AC">
            <w:pPr>
              <w:spacing w:before="60" w:after="60"/>
              <w:rPr>
                <w:rFonts w:asciiTheme="minorHAnsi" w:eastAsia="MS Mincho" w:hAnsiTheme="minorHAnsi" w:cstheme="minorHAnsi"/>
                <w:color w:val="000000" w:themeColor="text1"/>
                <w:szCs w:val="20"/>
                <w:lang w:val="en-US" w:eastAsia="en-AU"/>
              </w:rPr>
            </w:pPr>
            <w:r w:rsidRPr="00F775C3">
              <w:rPr>
                <w:rFonts w:asciiTheme="minorHAnsi" w:eastAsia="MS Mincho" w:hAnsiTheme="minorHAnsi" w:cstheme="minorHAnsi"/>
                <w:color w:val="000000" w:themeColor="text1"/>
                <w:szCs w:val="20"/>
                <w:lang w:val="en-US" w:eastAsia="en-AU"/>
              </w:rPr>
              <w:t>Operating</w:t>
            </w:r>
          </w:p>
        </w:tc>
        <w:tc>
          <w:tcPr>
            <w:tcW w:w="857" w:type="pct"/>
            <w:shd w:val="clear" w:color="auto" w:fill="FFFFFF" w:themeFill="background1"/>
            <w:vAlign w:val="center"/>
          </w:tcPr>
          <w:p w14:paraId="7A30E6E9" w14:textId="4A5B2E4B" w:rsidR="00BE0785" w:rsidRPr="00CE4B35" w:rsidRDefault="00294D0C"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4.8</w:t>
            </w:r>
          </w:p>
        </w:tc>
        <w:tc>
          <w:tcPr>
            <w:tcW w:w="858" w:type="pct"/>
            <w:shd w:val="clear" w:color="auto" w:fill="FFFFFF" w:themeFill="background1"/>
            <w:vAlign w:val="center"/>
          </w:tcPr>
          <w:p w14:paraId="41177926" w14:textId="4739B270" w:rsidR="00BE0785" w:rsidRPr="00CE4B35" w:rsidRDefault="00294D0C"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39.</w:t>
            </w:r>
            <w:r w:rsidR="009E30E8" w:rsidRPr="00CE4B35">
              <w:rPr>
                <w:rFonts w:asciiTheme="majorHAnsi" w:eastAsia="MS Mincho" w:hAnsiTheme="majorHAnsi" w:cstheme="majorHAnsi"/>
                <w:color w:val="000000" w:themeColor="text1"/>
                <w:szCs w:val="20"/>
                <w:lang w:val="en-US" w:eastAsia="en-AU"/>
              </w:rPr>
              <w:t>4</w:t>
            </w:r>
          </w:p>
        </w:tc>
        <w:tc>
          <w:tcPr>
            <w:tcW w:w="858" w:type="pct"/>
            <w:shd w:val="clear" w:color="auto" w:fill="FFFFFF" w:themeFill="background1"/>
            <w:vAlign w:val="center"/>
          </w:tcPr>
          <w:p w14:paraId="3C8F6E10" w14:textId="6955B24B" w:rsidR="00BE0785" w:rsidRPr="00CE4B35" w:rsidRDefault="000426AB"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4.0</w:t>
            </w:r>
          </w:p>
        </w:tc>
        <w:tc>
          <w:tcPr>
            <w:tcW w:w="858" w:type="pct"/>
            <w:shd w:val="clear" w:color="auto" w:fill="FFFFFF" w:themeFill="background1"/>
            <w:vAlign w:val="center"/>
          </w:tcPr>
          <w:p w14:paraId="657E2BAF" w14:textId="2767CE14" w:rsidR="00BE0785" w:rsidRPr="00CE4B35" w:rsidRDefault="000426AB" w:rsidP="00CE4B35">
            <w:pPr>
              <w:spacing w:before="60" w:after="60"/>
              <w:jc w:val="center"/>
              <w:rPr>
                <w:rFonts w:asciiTheme="majorHAnsi" w:eastAsia="MS Mincho" w:hAnsiTheme="majorHAnsi" w:cstheme="majorHAnsi"/>
                <w:color w:val="000000" w:themeColor="text1"/>
                <w:szCs w:val="20"/>
                <w:lang w:val="en-US" w:eastAsia="en-AU"/>
              </w:rPr>
            </w:pPr>
            <w:r w:rsidRPr="00CE4B35">
              <w:rPr>
                <w:rFonts w:asciiTheme="majorHAnsi" w:eastAsia="MS Mincho" w:hAnsiTheme="majorHAnsi" w:cstheme="majorHAnsi"/>
                <w:color w:val="000000" w:themeColor="text1"/>
                <w:szCs w:val="20"/>
                <w:lang w:val="en-US" w:eastAsia="en-AU"/>
              </w:rPr>
              <w:t>60.2</w:t>
            </w:r>
          </w:p>
        </w:tc>
      </w:tr>
      <w:tr w:rsidR="00BE0785" w:rsidRPr="00F775C3" w14:paraId="33345D56" w14:textId="77777777" w:rsidTr="001C02AC">
        <w:tc>
          <w:tcPr>
            <w:tcW w:w="1569" w:type="pct"/>
            <w:shd w:val="clear" w:color="auto" w:fill="034EA2" w:themeFill="accent1"/>
            <w:vAlign w:val="center"/>
            <w:hideMark/>
          </w:tcPr>
          <w:p w14:paraId="338CF48A" w14:textId="5816B977" w:rsidR="00BE0785" w:rsidRPr="00F775C3" w:rsidRDefault="00BE0785" w:rsidP="001C02AC">
            <w:pPr>
              <w:keepNext/>
              <w:rPr>
                <w:rFonts w:asciiTheme="minorHAnsi" w:hAnsiTheme="minorHAnsi" w:cstheme="minorHAnsi"/>
                <w:b/>
                <w:color w:val="FFFFFF" w:themeColor="background1"/>
              </w:rPr>
            </w:pPr>
            <w:r w:rsidRPr="00F775C3">
              <w:rPr>
                <w:rFonts w:asciiTheme="minorHAnsi" w:hAnsiTheme="minorHAnsi" w:cstheme="minorHAnsi"/>
                <w:b/>
                <w:color w:val="FFFFFF" w:themeColor="background1"/>
              </w:rPr>
              <w:t xml:space="preserve">Total critical </w:t>
            </w:r>
            <w:r w:rsidR="001E117F">
              <w:rPr>
                <w:rFonts w:asciiTheme="minorHAnsi" w:hAnsiTheme="minorHAnsi" w:cstheme="minorHAnsi"/>
                <w:b/>
                <w:color w:val="FFFFFF" w:themeColor="background1"/>
              </w:rPr>
              <w:t>food and grocery</w:t>
            </w:r>
            <w:r w:rsidRPr="00F775C3">
              <w:rPr>
                <w:rFonts w:asciiTheme="minorHAnsi" w:hAnsiTheme="minorHAnsi" w:cstheme="minorHAnsi"/>
                <w:b/>
                <w:color w:val="FFFFFF" w:themeColor="background1"/>
              </w:rPr>
              <w:t xml:space="preserve"> assets</w:t>
            </w:r>
          </w:p>
        </w:tc>
        <w:tc>
          <w:tcPr>
            <w:tcW w:w="857" w:type="pct"/>
            <w:shd w:val="clear" w:color="auto" w:fill="034EA2" w:themeFill="accent1"/>
            <w:vAlign w:val="center"/>
          </w:tcPr>
          <w:p w14:paraId="418E14E5" w14:textId="49B175FD" w:rsidR="00BE0785" w:rsidRPr="00DC490A" w:rsidRDefault="00294D0C" w:rsidP="00CE4B35">
            <w:pPr>
              <w:keepNext/>
              <w:jc w:val="center"/>
              <w:rPr>
                <w:rFonts w:asciiTheme="minorHAnsi" w:hAnsiTheme="minorHAnsi" w:cstheme="minorHAnsi"/>
                <w:b/>
                <w:color w:val="FFFFFF" w:themeColor="background1"/>
              </w:rPr>
            </w:pPr>
            <w:r w:rsidRPr="00DC490A">
              <w:rPr>
                <w:rFonts w:asciiTheme="minorHAnsi" w:hAnsiTheme="minorHAnsi" w:cstheme="minorHAnsi"/>
                <w:b/>
                <w:color w:val="FFFFFF" w:themeColor="background1"/>
              </w:rPr>
              <w:t>12.2</w:t>
            </w:r>
          </w:p>
        </w:tc>
        <w:tc>
          <w:tcPr>
            <w:tcW w:w="858" w:type="pct"/>
            <w:shd w:val="clear" w:color="auto" w:fill="034EA2" w:themeFill="accent1"/>
            <w:vAlign w:val="center"/>
          </w:tcPr>
          <w:p w14:paraId="02C468F7" w14:textId="380849FF" w:rsidR="00BE0785" w:rsidRPr="00DC490A" w:rsidRDefault="00BE0785" w:rsidP="00CE4B35">
            <w:pPr>
              <w:keepNext/>
              <w:jc w:val="center"/>
              <w:rPr>
                <w:rFonts w:asciiTheme="minorHAnsi" w:hAnsiTheme="minorHAnsi" w:cstheme="minorHAnsi"/>
                <w:b/>
                <w:color w:val="FFFFFF" w:themeColor="background1"/>
              </w:rPr>
            </w:pPr>
            <w:r w:rsidRPr="00DC490A">
              <w:rPr>
                <w:rFonts w:asciiTheme="minorHAnsi" w:hAnsiTheme="minorHAnsi" w:cstheme="minorHAnsi"/>
                <w:b/>
                <w:color w:val="FFFFFF" w:themeColor="background1"/>
              </w:rPr>
              <w:t>100</w:t>
            </w:r>
          </w:p>
        </w:tc>
        <w:tc>
          <w:tcPr>
            <w:tcW w:w="858" w:type="pct"/>
            <w:shd w:val="clear" w:color="auto" w:fill="034EA2" w:themeFill="accent1"/>
            <w:vAlign w:val="center"/>
          </w:tcPr>
          <w:p w14:paraId="43FB820E" w14:textId="1FBE88A4" w:rsidR="00BE0785" w:rsidRPr="00DC490A" w:rsidRDefault="00294D0C" w:rsidP="00CE4B35">
            <w:pPr>
              <w:keepNext/>
              <w:jc w:val="center"/>
              <w:rPr>
                <w:rFonts w:asciiTheme="minorHAnsi" w:hAnsiTheme="minorHAnsi" w:cstheme="minorHAnsi"/>
                <w:b/>
                <w:color w:val="FFFFFF" w:themeColor="background1"/>
              </w:rPr>
            </w:pPr>
            <w:r w:rsidRPr="00DC490A">
              <w:rPr>
                <w:rFonts w:asciiTheme="minorHAnsi" w:hAnsiTheme="minorHAnsi" w:cstheme="minorHAnsi"/>
                <w:b/>
                <w:color w:val="FFFFFF" w:themeColor="background1"/>
              </w:rPr>
              <w:t>6.6</w:t>
            </w:r>
          </w:p>
        </w:tc>
        <w:tc>
          <w:tcPr>
            <w:tcW w:w="858" w:type="pct"/>
            <w:shd w:val="clear" w:color="auto" w:fill="034EA2" w:themeFill="accent1"/>
            <w:vAlign w:val="center"/>
          </w:tcPr>
          <w:p w14:paraId="22B92104" w14:textId="310B825F" w:rsidR="00BE0785" w:rsidRPr="00DC490A" w:rsidRDefault="00BE0785" w:rsidP="00CE4B35">
            <w:pPr>
              <w:keepNext/>
              <w:jc w:val="center"/>
              <w:rPr>
                <w:rFonts w:asciiTheme="minorHAnsi" w:hAnsiTheme="minorHAnsi" w:cstheme="minorHAnsi"/>
                <w:b/>
                <w:color w:val="FFFFFF" w:themeColor="background1"/>
              </w:rPr>
            </w:pPr>
            <w:r w:rsidRPr="00DC490A">
              <w:rPr>
                <w:rFonts w:asciiTheme="minorHAnsi" w:hAnsiTheme="minorHAnsi" w:cstheme="minorHAnsi"/>
                <w:b/>
                <w:color w:val="FFFFFF" w:themeColor="background1"/>
              </w:rPr>
              <w:t>100.0</w:t>
            </w:r>
          </w:p>
        </w:tc>
      </w:tr>
    </w:tbl>
    <w:p w14:paraId="7AED7FA2" w14:textId="77777777" w:rsidR="00BE0785" w:rsidRPr="00FD765A" w:rsidRDefault="00BE0785" w:rsidP="00BE0785">
      <w:pPr>
        <w:keepNext/>
        <w:keepLines/>
        <w:tabs>
          <w:tab w:val="left" w:pos="851"/>
        </w:tabs>
        <w:spacing w:before="360"/>
        <w:outlineLvl w:val="1"/>
        <w:rPr>
          <w:rFonts w:asciiTheme="majorHAnsi" w:eastAsia="Times New Roman" w:hAnsiTheme="majorHAnsi" w:cs="Arial"/>
          <w:b/>
          <w:bCs/>
          <w:color w:val="007BC3" w:themeColor="accent2"/>
          <w:sz w:val="28"/>
          <w:szCs w:val="28"/>
          <w:lang w:eastAsia="en-AU"/>
        </w:rPr>
      </w:pPr>
      <w:r w:rsidRPr="00FD765A">
        <w:rPr>
          <w:rFonts w:asciiTheme="majorHAnsi" w:eastAsia="Times New Roman" w:hAnsiTheme="majorHAnsi" w:cs="Arial"/>
          <w:b/>
          <w:bCs/>
          <w:color w:val="007BC3" w:themeColor="accent2"/>
          <w:sz w:val="28"/>
          <w:szCs w:val="28"/>
          <w:lang w:eastAsia="en-AU"/>
        </w:rPr>
        <w:t>Benefits of option 2</w:t>
      </w:r>
    </w:p>
    <w:p w14:paraId="0446706D" w14:textId="1151D2D5" w:rsidR="00BE0785" w:rsidRPr="00FD765A" w:rsidRDefault="00BE0785" w:rsidP="00BE0785">
      <w:pPr>
        <w:rPr>
          <w:rFonts w:cstheme="majorHAnsi"/>
          <w:sz w:val="22"/>
          <w:szCs w:val="28"/>
        </w:rPr>
      </w:pPr>
      <w:r w:rsidRPr="00FD765A">
        <w:rPr>
          <w:rFonts w:cstheme="majorHAnsi"/>
          <w:sz w:val="22"/>
          <w:szCs w:val="28"/>
        </w:rPr>
        <w:t xml:space="preserve">A reliable and resilient </w:t>
      </w:r>
      <w:r w:rsidR="00192C24">
        <w:rPr>
          <w:rFonts w:cstheme="majorHAnsi"/>
          <w:sz w:val="22"/>
          <w:szCs w:val="28"/>
        </w:rPr>
        <w:t>food and grocery</w:t>
      </w:r>
      <w:r w:rsidRPr="00FD765A">
        <w:rPr>
          <w:rFonts w:cstheme="majorHAnsi"/>
          <w:sz w:val="22"/>
          <w:szCs w:val="28"/>
        </w:rPr>
        <w:t xml:space="preserve"> infrastructure and services network is central to Australia’s prosperity. Further, disruption to its operation can lead to significant cost and impact on the economy. The RMP framework aims to reduce the frequency and impact of any disruption to supply and so its primary benefit is to avoid the incidents that may otherwise disrupt supply and cause economic loss.</w:t>
      </w:r>
    </w:p>
    <w:p w14:paraId="1D53C1C4" w14:textId="1A93074B" w:rsidR="00BE0785" w:rsidRPr="00FD765A" w:rsidRDefault="00BE0785" w:rsidP="00BE0785">
      <w:pPr>
        <w:keepNext/>
        <w:keepLines/>
        <w:tabs>
          <w:tab w:val="left" w:pos="851"/>
        </w:tabs>
        <w:spacing w:before="240" w:line="264" w:lineRule="auto"/>
        <w:outlineLvl w:val="2"/>
        <w:rPr>
          <w:rFonts w:asciiTheme="majorHAnsi" w:eastAsia="Calibri" w:hAnsiTheme="majorHAnsi" w:cs="Times New Roman"/>
          <w:b/>
          <w:bCs/>
          <w:sz w:val="24"/>
          <w:szCs w:val="24"/>
          <w:lang w:eastAsia="en-AU"/>
        </w:rPr>
      </w:pPr>
      <w:r w:rsidRPr="00FD765A">
        <w:rPr>
          <w:rFonts w:asciiTheme="majorHAnsi" w:eastAsia="Calibri" w:hAnsiTheme="majorHAnsi" w:cs="Times New Roman"/>
          <w:b/>
          <w:bCs/>
          <w:sz w:val="24"/>
          <w:szCs w:val="24"/>
          <w:lang w:eastAsia="en-AU"/>
        </w:rPr>
        <w:t xml:space="preserve">Economic impacts of disruptions to </w:t>
      </w:r>
      <w:r w:rsidR="00192C24">
        <w:rPr>
          <w:rFonts w:asciiTheme="majorHAnsi" w:eastAsia="Calibri" w:hAnsiTheme="majorHAnsi" w:cs="Times New Roman"/>
          <w:b/>
          <w:bCs/>
          <w:sz w:val="24"/>
          <w:szCs w:val="24"/>
          <w:lang w:eastAsia="en-AU"/>
        </w:rPr>
        <w:t>food and grocery</w:t>
      </w:r>
      <w:r w:rsidRPr="00FD765A">
        <w:rPr>
          <w:rFonts w:asciiTheme="majorHAnsi" w:eastAsia="Calibri" w:hAnsiTheme="majorHAnsi" w:cs="Times New Roman"/>
          <w:b/>
          <w:bCs/>
          <w:sz w:val="24"/>
          <w:szCs w:val="24"/>
          <w:lang w:eastAsia="en-AU"/>
        </w:rPr>
        <w:t xml:space="preserve"> services </w:t>
      </w:r>
    </w:p>
    <w:p w14:paraId="313D5093" w14:textId="54F4166E" w:rsidR="00BE0785" w:rsidRPr="00FD765A" w:rsidRDefault="00BE0785" w:rsidP="00BE0785">
      <w:pPr>
        <w:rPr>
          <w:rFonts w:cstheme="majorHAnsi"/>
          <w:sz w:val="22"/>
          <w:szCs w:val="28"/>
          <w:lang w:eastAsia="en-AU"/>
        </w:rPr>
      </w:pPr>
      <w:r w:rsidRPr="00FD765A">
        <w:rPr>
          <w:rFonts w:cstheme="majorHAnsi"/>
          <w:sz w:val="22"/>
          <w:szCs w:val="28"/>
          <w:lang w:eastAsia="en-AU"/>
        </w:rPr>
        <w:t xml:space="preserve">Disruption of </w:t>
      </w:r>
      <w:r w:rsidR="00192C24">
        <w:rPr>
          <w:rFonts w:cstheme="majorHAnsi"/>
          <w:sz w:val="22"/>
          <w:szCs w:val="28"/>
          <w:lang w:eastAsia="en-AU"/>
        </w:rPr>
        <w:t>food and grocery</w:t>
      </w:r>
      <w:r w:rsidRPr="00FD765A">
        <w:rPr>
          <w:rFonts w:cstheme="majorHAnsi"/>
          <w:sz w:val="22"/>
          <w:szCs w:val="28"/>
          <w:lang w:eastAsia="en-AU"/>
        </w:rPr>
        <w:t xml:space="preserve"> services, which form crucial parts of the supply chain for Australian imports, exports, and domestic consumption, can affect businesses and households alike. Such disruptions can have costly immediate and longer-term impacts on the economy. The immediate impacts of a disruption to </w:t>
      </w:r>
      <w:r w:rsidR="00192C24">
        <w:rPr>
          <w:rFonts w:cstheme="majorHAnsi"/>
          <w:sz w:val="22"/>
          <w:szCs w:val="28"/>
          <w:lang w:eastAsia="en-AU"/>
        </w:rPr>
        <w:t>food and grocery</w:t>
      </w:r>
      <w:r w:rsidRPr="00FD765A">
        <w:rPr>
          <w:rFonts w:cstheme="majorHAnsi"/>
          <w:sz w:val="22"/>
          <w:szCs w:val="28"/>
          <w:lang w:eastAsia="en-AU"/>
        </w:rPr>
        <w:t xml:space="preserve"> services are those associated with reduced capacity and increased costs, such as:</w:t>
      </w:r>
    </w:p>
    <w:p w14:paraId="1848DF1D" w14:textId="77777777" w:rsidR="00BE0785" w:rsidRPr="00FD765A" w:rsidRDefault="00BE0785" w:rsidP="00BE0785">
      <w:pPr>
        <w:numPr>
          <w:ilvl w:val="0"/>
          <w:numId w:val="57"/>
        </w:numPr>
        <w:spacing w:before="80" w:after="80"/>
        <w:rPr>
          <w:rFonts w:cstheme="majorBidi"/>
          <w:sz w:val="22"/>
        </w:rPr>
      </w:pPr>
      <w:r w:rsidRPr="7EBB1CEE">
        <w:rPr>
          <w:rFonts w:cstheme="majorBidi"/>
          <w:sz w:val="22"/>
        </w:rPr>
        <w:t>Reduced economic activity (e.g. disrupted movement of consumer goods and subsequent impacts on business);</w:t>
      </w:r>
    </w:p>
    <w:p w14:paraId="3EA4087E" w14:textId="77777777" w:rsidR="00BE0785" w:rsidRPr="00FD765A" w:rsidRDefault="00BE0785" w:rsidP="00BE0785">
      <w:pPr>
        <w:numPr>
          <w:ilvl w:val="0"/>
          <w:numId w:val="57"/>
        </w:numPr>
        <w:spacing w:before="80" w:after="80"/>
        <w:rPr>
          <w:rFonts w:cstheme="majorBidi"/>
          <w:sz w:val="22"/>
        </w:rPr>
      </w:pPr>
      <w:r w:rsidRPr="7EBB1CEE">
        <w:rPr>
          <w:rFonts w:cstheme="majorBidi"/>
          <w:sz w:val="22"/>
        </w:rPr>
        <w:t xml:space="preserve">Lost productivity as a result of reduced economic activity (e.g. workers may be idle whilst continuing to receive wages); </w:t>
      </w:r>
    </w:p>
    <w:p w14:paraId="35E6A304" w14:textId="77777777" w:rsidR="00BE0785" w:rsidRPr="00FD765A" w:rsidRDefault="00BE0785" w:rsidP="00BE0785">
      <w:pPr>
        <w:numPr>
          <w:ilvl w:val="0"/>
          <w:numId w:val="57"/>
        </w:numPr>
        <w:spacing w:before="80" w:after="80"/>
        <w:rPr>
          <w:rFonts w:cstheme="majorBidi"/>
          <w:sz w:val="22"/>
        </w:rPr>
      </w:pPr>
      <w:r w:rsidRPr="7EBB1CEE">
        <w:rPr>
          <w:rFonts w:cstheme="majorBidi"/>
          <w:sz w:val="22"/>
        </w:rPr>
        <w:t>Lost wages (e.g. workers may be sent home or unable to go to work); and</w:t>
      </w:r>
    </w:p>
    <w:p w14:paraId="6C0890BD" w14:textId="22490627" w:rsidR="00BE0785" w:rsidRPr="00FD765A" w:rsidRDefault="00BE0785" w:rsidP="00BE0785">
      <w:pPr>
        <w:numPr>
          <w:ilvl w:val="0"/>
          <w:numId w:val="57"/>
        </w:numPr>
        <w:spacing w:before="80" w:after="80"/>
        <w:rPr>
          <w:rFonts w:cstheme="majorBidi"/>
          <w:sz w:val="22"/>
        </w:rPr>
      </w:pPr>
      <w:r w:rsidRPr="7EBB1CEE">
        <w:rPr>
          <w:rFonts w:cstheme="majorBidi"/>
          <w:sz w:val="22"/>
        </w:rPr>
        <w:t xml:space="preserve">Spoiled goods (e.g. perishable goods may be unsuitable for sale or consumption due to delayed caused by reduced </w:t>
      </w:r>
      <w:r w:rsidR="00192C24">
        <w:rPr>
          <w:rFonts w:cstheme="majorBidi"/>
          <w:sz w:val="22"/>
        </w:rPr>
        <w:t>food and grocery</w:t>
      </w:r>
      <w:r w:rsidRPr="7EBB1CEE">
        <w:rPr>
          <w:rFonts w:cstheme="majorBidi"/>
          <w:sz w:val="22"/>
        </w:rPr>
        <w:t xml:space="preserve"> capacity). </w:t>
      </w:r>
    </w:p>
    <w:p w14:paraId="1FA59D05" w14:textId="76874CD6" w:rsidR="00BE0785" w:rsidRPr="00FD765A" w:rsidRDefault="00BE0785" w:rsidP="00BE0785">
      <w:pPr>
        <w:rPr>
          <w:rFonts w:ascii="Arial" w:eastAsia="Calibri" w:hAnsi="Arial" w:cs="Arial"/>
          <w:sz w:val="22"/>
          <w:szCs w:val="28"/>
        </w:rPr>
      </w:pPr>
      <w:r w:rsidRPr="00FD765A">
        <w:rPr>
          <w:rFonts w:cstheme="majorHAnsi"/>
          <w:sz w:val="22"/>
          <w:szCs w:val="28"/>
        </w:rPr>
        <w:t xml:space="preserve">Computable General Equilibrium (CGE) modelling was used to illustrate how costly the disruption could potentially be by examining a hypothetical shock (i.e. reduced </w:t>
      </w:r>
      <w:r w:rsidR="00192C24">
        <w:rPr>
          <w:rFonts w:cstheme="majorHAnsi"/>
          <w:sz w:val="22"/>
          <w:szCs w:val="28"/>
        </w:rPr>
        <w:t>food and grocery</w:t>
      </w:r>
      <w:r w:rsidRPr="00FD765A">
        <w:rPr>
          <w:rFonts w:cstheme="majorHAnsi"/>
          <w:sz w:val="22"/>
          <w:szCs w:val="28"/>
        </w:rPr>
        <w:t xml:space="preserve"> capacity) and an associated increase in input costs (i.e. an increase in the cost of </w:t>
      </w:r>
      <w:r w:rsidR="00192C24">
        <w:rPr>
          <w:rFonts w:cstheme="majorHAnsi"/>
          <w:color w:val="000000" w:themeColor="text1"/>
          <w:sz w:val="22"/>
          <w:szCs w:val="28"/>
        </w:rPr>
        <w:t>food and grocery</w:t>
      </w:r>
      <w:r w:rsidRPr="00FD765A">
        <w:rPr>
          <w:rFonts w:cstheme="majorHAnsi"/>
          <w:color w:val="000000" w:themeColor="text1"/>
          <w:sz w:val="22"/>
          <w:szCs w:val="28"/>
        </w:rPr>
        <w:t xml:space="preserve"> infrastructure or services</w:t>
      </w:r>
      <w:r w:rsidRPr="00FD765A">
        <w:rPr>
          <w:rFonts w:cstheme="majorHAnsi"/>
          <w:sz w:val="22"/>
          <w:szCs w:val="28"/>
        </w:rPr>
        <w:t>). The advantage of using a CGE approach is that both the direct and indirect (i.e. fl</w:t>
      </w:r>
      <w:r w:rsidRPr="00FD765A">
        <w:rPr>
          <w:rFonts w:ascii="Arial" w:eastAsia="Calibri" w:hAnsi="Arial" w:cs="Arial"/>
          <w:sz w:val="22"/>
          <w:szCs w:val="28"/>
        </w:rPr>
        <w:t>ow-on) economic impacts of a power outage event can be quantified.</w:t>
      </w:r>
    </w:p>
    <w:p w14:paraId="2F85941F" w14:textId="77777777" w:rsidR="00BE0785" w:rsidRPr="00FD765A" w:rsidRDefault="00BE0785" w:rsidP="00BE0785">
      <w:pPr>
        <w:keepNext/>
        <w:keepLines/>
        <w:tabs>
          <w:tab w:val="left" w:pos="851"/>
        </w:tabs>
        <w:spacing w:before="240" w:line="264" w:lineRule="auto"/>
        <w:outlineLvl w:val="2"/>
        <w:rPr>
          <w:rFonts w:asciiTheme="majorHAnsi" w:eastAsia="Times New Roman" w:hAnsiTheme="majorHAnsi" w:cs="Times New Roman"/>
          <w:b/>
          <w:bCs/>
          <w:sz w:val="24"/>
          <w:szCs w:val="24"/>
          <w:lang w:eastAsia="en-AU"/>
        </w:rPr>
      </w:pPr>
      <w:r w:rsidRPr="00FD765A">
        <w:rPr>
          <w:rFonts w:asciiTheme="majorHAnsi" w:eastAsia="Times New Roman" w:hAnsiTheme="majorHAnsi" w:cs="Times New Roman"/>
          <w:b/>
          <w:bCs/>
          <w:sz w:val="24"/>
          <w:szCs w:val="24"/>
          <w:lang w:eastAsia="en-AU"/>
        </w:rPr>
        <w:t xml:space="preserve">CGE Modelling Approach </w:t>
      </w:r>
    </w:p>
    <w:p w14:paraId="329031CB" w14:textId="4E9B9AA2" w:rsidR="00BE0785" w:rsidRPr="00FD765A" w:rsidRDefault="00BE0785" w:rsidP="00BE0785">
      <w:pPr>
        <w:rPr>
          <w:rFonts w:cstheme="majorHAnsi"/>
          <w:sz w:val="22"/>
          <w:szCs w:val="28"/>
        </w:rPr>
      </w:pPr>
      <w:r w:rsidRPr="00FD765A">
        <w:rPr>
          <w:rFonts w:cstheme="majorHAnsi"/>
          <w:sz w:val="22"/>
          <w:szCs w:val="28"/>
        </w:rPr>
        <w:t xml:space="preserve">To analyse the direct and indirect economic contributions of a </w:t>
      </w:r>
      <w:r w:rsidR="00192C24">
        <w:rPr>
          <w:rFonts w:cstheme="majorHAnsi"/>
          <w:sz w:val="22"/>
          <w:szCs w:val="28"/>
        </w:rPr>
        <w:t>food and grocery</w:t>
      </w:r>
      <w:r w:rsidRPr="00FD765A">
        <w:rPr>
          <w:rFonts w:cstheme="majorHAnsi"/>
          <w:sz w:val="22"/>
          <w:szCs w:val="28"/>
        </w:rPr>
        <w:t xml:space="preserve"> disruption due to disruptions to critical infrastructure on the Australian economy, a CGE approach was used to model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w:t>
      </w:r>
    </w:p>
    <w:p w14:paraId="60D30BFD" w14:textId="77777777" w:rsidR="00BE0785" w:rsidRPr="00FD765A" w:rsidRDefault="00BE0785" w:rsidP="00BE0785">
      <w:pPr>
        <w:rPr>
          <w:rFonts w:cstheme="majorHAnsi"/>
          <w:sz w:val="22"/>
          <w:szCs w:val="28"/>
        </w:rPr>
      </w:pPr>
      <w:r w:rsidRPr="00FD765A">
        <w:rPr>
          <w:rFonts w:cstheme="majorHAnsi"/>
          <w:sz w:val="22"/>
          <w:szCs w:val="28"/>
        </w:rPr>
        <w:t xml:space="preserve">Defining features of the theoretical structure of the model are: </w:t>
      </w:r>
    </w:p>
    <w:p w14:paraId="1B7FE18C" w14:textId="77777777" w:rsidR="00BE0785" w:rsidRPr="00FD765A" w:rsidRDefault="00BE0785" w:rsidP="00BE0785">
      <w:pPr>
        <w:numPr>
          <w:ilvl w:val="0"/>
          <w:numId w:val="57"/>
        </w:numPr>
        <w:rPr>
          <w:rFonts w:ascii="Calibri" w:eastAsia="Times New Roman" w:hAnsi="Calibri" w:cs="Times New Roman"/>
          <w:sz w:val="22"/>
        </w:rPr>
      </w:pPr>
      <w:r w:rsidRPr="7EBB1CEE">
        <w:rPr>
          <w:rFonts w:cstheme="majorBidi"/>
          <w:sz w:val="22"/>
        </w:rPr>
        <w:t xml:space="preserve">Optimising behaviour by households and businesses in the context of competitive markets with explicit resource and budget constraints; </w:t>
      </w:r>
    </w:p>
    <w:p w14:paraId="13FC7C46" w14:textId="77777777" w:rsidR="00BE0785" w:rsidRPr="00FD765A" w:rsidRDefault="00BE0785" w:rsidP="00BE0785">
      <w:pPr>
        <w:numPr>
          <w:ilvl w:val="0"/>
          <w:numId w:val="57"/>
        </w:numPr>
        <w:rPr>
          <w:rFonts w:ascii="Calibri" w:eastAsia="Times New Roman" w:hAnsi="Calibri" w:cs="Times New Roman"/>
          <w:sz w:val="22"/>
        </w:rPr>
      </w:pPr>
      <w:r w:rsidRPr="7EBB1CEE">
        <w:rPr>
          <w:rFonts w:cstheme="majorBidi"/>
          <w:sz w:val="22"/>
        </w:rPr>
        <w:t xml:space="preserve">The price mechanism operates to clear markets for goods and factors such as labour and capital (i.e. prices adjust so that supply equals demand); and </w:t>
      </w:r>
    </w:p>
    <w:p w14:paraId="583836AF" w14:textId="77777777" w:rsidR="00BE0785" w:rsidRPr="00FD765A" w:rsidRDefault="00BE0785" w:rsidP="00BE0785">
      <w:pPr>
        <w:numPr>
          <w:ilvl w:val="0"/>
          <w:numId w:val="57"/>
        </w:numPr>
        <w:rPr>
          <w:rFonts w:cstheme="majorBidi"/>
          <w:sz w:val="22"/>
        </w:rPr>
      </w:pPr>
      <w:r w:rsidRPr="7EBB1CEE">
        <w:rPr>
          <w:rFonts w:cstheme="majorBidi"/>
          <w:sz w:val="22"/>
        </w:rPr>
        <w:t xml:space="preserve">At the margin, costs are equal to revenues in all economic activities. </w:t>
      </w:r>
    </w:p>
    <w:p w14:paraId="7F96CCAF" w14:textId="777E9646" w:rsidR="00BE0785" w:rsidRPr="00FD765A" w:rsidRDefault="00BE0785" w:rsidP="00BE0785">
      <w:pPr>
        <w:rPr>
          <w:rFonts w:cstheme="majorHAnsi"/>
          <w:sz w:val="22"/>
          <w:szCs w:val="28"/>
        </w:rPr>
      </w:pPr>
      <w:r w:rsidRPr="00FD765A">
        <w:rPr>
          <w:rFonts w:cstheme="majorHAnsi"/>
          <w:sz w:val="22"/>
          <w:szCs w:val="28"/>
        </w:rPr>
        <w:t xml:space="preserve">The modelling framework is suited to analysing the economic impact of a </w:t>
      </w:r>
      <w:r w:rsidR="00192C24">
        <w:rPr>
          <w:rFonts w:cstheme="majorHAnsi"/>
          <w:sz w:val="22"/>
          <w:szCs w:val="28"/>
        </w:rPr>
        <w:t>food and grocery</w:t>
      </w:r>
      <w:r w:rsidRPr="00FD765A">
        <w:rPr>
          <w:rFonts w:cstheme="majorHAnsi"/>
          <w:sz w:val="22"/>
          <w:szCs w:val="28"/>
        </w:rPr>
        <w:t xml:space="preserve"> disruption as it explicitly captures supply-chain linkages as well as other flow-on effects and feedback responses by all economic agents. The strength of CGE models is that they capture the </w:t>
      </w:r>
      <w:r w:rsidRPr="00FD765A">
        <w:rPr>
          <w:rFonts w:cstheme="majorHAnsi"/>
          <w:sz w:val="22"/>
          <w:szCs w:val="28"/>
        </w:rPr>
        <w:lastRenderedPageBreak/>
        <w:t xml:space="preserve">upstream and </w:t>
      </w:r>
      <w:r w:rsidRPr="00FD765A">
        <w:rPr>
          <w:rFonts w:cstheme="majorHAnsi"/>
          <w:color w:val="000000" w:themeColor="text1"/>
          <w:sz w:val="22"/>
          <w:szCs w:val="28"/>
        </w:rPr>
        <w:t xml:space="preserve">downstream linkages between the activities induced by the </w:t>
      </w:r>
      <w:r w:rsidRPr="00FD765A">
        <w:rPr>
          <w:rFonts w:eastAsia="Calibri" w:cstheme="majorHAnsi"/>
          <w:color w:val="000000" w:themeColor="text1"/>
          <w:sz w:val="22"/>
          <w:szCs w:val="28"/>
        </w:rPr>
        <w:t>outage</w:t>
      </w:r>
      <w:r w:rsidRPr="00FD765A">
        <w:rPr>
          <w:rFonts w:cstheme="majorHAnsi"/>
          <w:sz w:val="22"/>
          <w:szCs w:val="28"/>
        </w:rPr>
        <w:t xml:space="preserve"> and the rest of the economy in a framework that combines detailed historical data with fundamental economic theory. </w:t>
      </w:r>
    </w:p>
    <w:p w14:paraId="5737521B" w14:textId="77777777" w:rsidR="00BE0785" w:rsidRPr="00FD765A" w:rsidRDefault="00BE0785" w:rsidP="00BE0785">
      <w:pPr>
        <w:keepNext/>
        <w:keepLines/>
        <w:tabs>
          <w:tab w:val="left" w:pos="851"/>
        </w:tabs>
        <w:spacing w:before="240" w:line="264" w:lineRule="auto"/>
        <w:outlineLvl w:val="2"/>
        <w:rPr>
          <w:rFonts w:asciiTheme="majorHAnsi" w:eastAsia="Times New Roman" w:hAnsiTheme="majorHAnsi" w:cs="Times New Roman"/>
          <w:b/>
          <w:bCs/>
          <w:sz w:val="24"/>
          <w:szCs w:val="24"/>
          <w:lang w:eastAsia="en-AU"/>
        </w:rPr>
      </w:pPr>
      <w:r w:rsidRPr="00FD765A">
        <w:rPr>
          <w:rFonts w:asciiTheme="majorHAnsi" w:eastAsia="Times New Roman" w:hAnsiTheme="majorHAnsi" w:cs="Times New Roman"/>
          <w:b/>
          <w:bCs/>
          <w:sz w:val="24"/>
          <w:szCs w:val="24"/>
          <w:lang w:eastAsia="en-AU"/>
        </w:rPr>
        <w:t>Scenarios</w:t>
      </w:r>
    </w:p>
    <w:p w14:paraId="0055AB75" w14:textId="21A6368F" w:rsidR="00BE0785" w:rsidRPr="00FD765A" w:rsidRDefault="00BE0785" w:rsidP="00BE0785">
      <w:pPr>
        <w:rPr>
          <w:rFonts w:cstheme="majorHAnsi"/>
          <w:sz w:val="22"/>
          <w:szCs w:val="28"/>
        </w:rPr>
      </w:pPr>
      <w:r w:rsidRPr="00FD765A">
        <w:rPr>
          <w:rFonts w:cstheme="majorHAnsi"/>
          <w:sz w:val="22"/>
          <w:szCs w:val="28"/>
        </w:rPr>
        <w:t xml:space="preserve">The CGE modelling provided estimates regarding how sensitive the Australian economy is to a shock to the </w:t>
      </w:r>
      <w:r w:rsidR="00192C24">
        <w:rPr>
          <w:rFonts w:cstheme="majorHAnsi"/>
          <w:sz w:val="22"/>
          <w:szCs w:val="28"/>
        </w:rPr>
        <w:t>food and grocery</w:t>
      </w:r>
      <w:r w:rsidRPr="00FD765A">
        <w:rPr>
          <w:rFonts w:cstheme="majorHAnsi"/>
          <w:sz w:val="22"/>
          <w:szCs w:val="28"/>
        </w:rPr>
        <w:t xml:space="preserve"> system. This analysis was undertaken by deriving a set of hypothetical modelling scenarios based on assumptions about the impact of a disruption to </w:t>
      </w:r>
      <w:r w:rsidR="00192C24">
        <w:rPr>
          <w:rFonts w:cstheme="majorHAnsi"/>
          <w:sz w:val="22"/>
          <w:szCs w:val="28"/>
        </w:rPr>
        <w:t>food and grocery</w:t>
      </w:r>
      <w:r w:rsidRPr="00FD765A">
        <w:rPr>
          <w:rFonts w:cstheme="majorHAnsi"/>
          <w:sz w:val="22"/>
          <w:szCs w:val="28"/>
        </w:rPr>
        <w:t xml:space="preserve"> infrastructure or services. The scope of the hypothetical scenarios was based on studies of major events which are discussed below. </w:t>
      </w:r>
    </w:p>
    <w:p w14:paraId="719F4C37" w14:textId="77777777" w:rsidR="00BE0785" w:rsidRPr="00FD765A" w:rsidRDefault="00BE0785" w:rsidP="00BE0785">
      <w:pPr>
        <w:keepNext/>
        <w:keepLines/>
        <w:tabs>
          <w:tab w:val="left" w:pos="851"/>
        </w:tabs>
        <w:spacing w:before="240" w:line="264" w:lineRule="auto"/>
        <w:outlineLvl w:val="2"/>
        <w:rPr>
          <w:rFonts w:asciiTheme="majorHAnsi" w:eastAsia="Arial" w:hAnsiTheme="majorHAnsi" w:cs="Times New Roman"/>
          <w:b/>
          <w:bCs/>
          <w:sz w:val="24"/>
          <w:szCs w:val="24"/>
          <w:lang w:eastAsia="en-AU"/>
        </w:rPr>
      </w:pPr>
      <w:r w:rsidRPr="00FD765A">
        <w:rPr>
          <w:rFonts w:asciiTheme="majorHAnsi" w:eastAsia="Times New Roman" w:hAnsiTheme="majorHAnsi" w:cs="Times New Roman"/>
          <w:b/>
          <w:bCs/>
          <w:sz w:val="24"/>
          <w:szCs w:val="24"/>
          <w:lang w:eastAsia="en-AU"/>
        </w:rPr>
        <w:t>Case studies</w:t>
      </w:r>
    </w:p>
    <w:p w14:paraId="073BDA57" w14:textId="75C147FF" w:rsidR="00BE0785" w:rsidRPr="00FD765A" w:rsidRDefault="00BE0785" w:rsidP="00BE0785">
      <w:pPr>
        <w:rPr>
          <w:rFonts w:cstheme="majorHAnsi"/>
          <w:sz w:val="22"/>
          <w:szCs w:val="28"/>
        </w:rPr>
      </w:pPr>
      <w:r w:rsidRPr="00FD765A">
        <w:rPr>
          <w:rFonts w:cstheme="majorHAnsi"/>
          <w:sz w:val="22"/>
          <w:szCs w:val="28"/>
        </w:rPr>
        <w:t xml:space="preserve">The case studies provided in the table below provide a basis for modelling hypothetical, but comparable outages, in an economy-wide model and contextualising the results of that modelling. Case studies have been chosen to provide insights into the economy-wide costs to households </w:t>
      </w:r>
      <w:r w:rsidRPr="00FD765A">
        <w:rPr>
          <w:rFonts w:cstheme="majorHAnsi"/>
          <w:color w:val="000000" w:themeColor="text1"/>
          <w:sz w:val="22"/>
          <w:szCs w:val="28"/>
        </w:rPr>
        <w:t xml:space="preserve">and businesses of large-scale and severe </w:t>
      </w:r>
      <w:r w:rsidR="00192C24">
        <w:rPr>
          <w:rFonts w:cstheme="majorHAnsi"/>
          <w:color w:val="000000" w:themeColor="text1"/>
          <w:sz w:val="22"/>
          <w:szCs w:val="28"/>
        </w:rPr>
        <w:t>food and grocery</w:t>
      </w:r>
      <w:r w:rsidRPr="00FD765A">
        <w:rPr>
          <w:rFonts w:cstheme="majorHAnsi"/>
          <w:color w:val="000000" w:themeColor="text1"/>
          <w:sz w:val="22"/>
          <w:szCs w:val="28"/>
        </w:rPr>
        <w:t xml:space="preserve"> disrupti</w:t>
      </w:r>
      <w:r w:rsidRPr="00FD765A">
        <w:rPr>
          <w:rFonts w:cstheme="majorHAnsi"/>
          <w:sz w:val="22"/>
          <w:szCs w:val="28"/>
        </w:rPr>
        <w:t>on events.</w:t>
      </w:r>
    </w:p>
    <w:p w14:paraId="1E33DCF3" w14:textId="33373201" w:rsidR="00BE0785" w:rsidRPr="00FD765A" w:rsidRDefault="00192C24" w:rsidP="00BE0785">
      <w:pPr>
        <w:keepNext/>
        <w:tabs>
          <w:tab w:val="left" w:pos="1134"/>
        </w:tabs>
        <w:spacing w:before="240"/>
        <w:rPr>
          <w:i/>
          <w:color w:val="034EA2" w:themeColor="accent1"/>
          <w:sz w:val="18"/>
          <w:szCs w:val="18"/>
          <w:lang w:eastAsia="en-AU"/>
        </w:rPr>
      </w:pPr>
      <w:r>
        <w:rPr>
          <w:i/>
          <w:color w:val="034EA2" w:themeColor="accent1"/>
          <w:sz w:val="18"/>
          <w:szCs w:val="18"/>
          <w:lang w:eastAsia="en-AU"/>
        </w:rPr>
        <w:t>Food and grocery</w:t>
      </w:r>
      <w:r w:rsidR="00BE0785" w:rsidRPr="00FD765A">
        <w:rPr>
          <w:i/>
          <w:color w:val="034EA2" w:themeColor="accent1"/>
          <w:sz w:val="18"/>
          <w:szCs w:val="18"/>
          <w:lang w:eastAsia="en-AU"/>
        </w:rPr>
        <w:t xml:space="preserve"> disruption case studies</w:t>
      </w:r>
    </w:p>
    <w:tbl>
      <w:tblPr>
        <w:tblStyle w:val="DHATable4"/>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600" w:firstRow="0" w:lastRow="0" w:firstColumn="0" w:lastColumn="0" w:noHBand="1" w:noVBand="1"/>
      </w:tblPr>
      <w:tblGrid>
        <w:gridCol w:w="1419"/>
        <w:gridCol w:w="8219"/>
      </w:tblGrid>
      <w:tr w:rsidR="00BE0785" w:rsidRPr="00FD765A" w14:paraId="6C247DF0" w14:textId="77777777" w:rsidTr="001C02AC">
        <w:trPr>
          <w:trHeight w:val="279"/>
        </w:trPr>
        <w:tc>
          <w:tcPr>
            <w:tcW w:w="736" w:type="pct"/>
            <w:shd w:val="clear" w:color="auto" w:fill="034EA2" w:themeFill="accent1"/>
          </w:tcPr>
          <w:p w14:paraId="46B02999" w14:textId="77777777" w:rsidR="00BE0785" w:rsidRPr="00FD765A" w:rsidRDefault="00BE0785" w:rsidP="001C02AC">
            <w:pPr>
              <w:keepNext/>
              <w:rPr>
                <w:b/>
                <w:color w:val="FFFFFF" w:themeColor="background1"/>
              </w:rPr>
            </w:pPr>
            <w:r w:rsidRPr="00FD765A">
              <w:rPr>
                <w:b/>
                <w:color w:val="FFFFFF" w:themeColor="background1"/>
              </w:rPr>
              <w:t>Incident</w:t>
            </w:r>
          </w:p>
        </w:tc>
        <w:tc>
          <w:tcPr>
            <w:tcW w:w="4264" w:type="pct"/>
            <w:shd w:val="clear" w:color="auto" w:fill="034EA2" w:themeFill="accent1"/>
          </w:tcPr>
          <w:p w14:paraId="6F38ABD2" w14:textId="77777777" w:rsidR="00BE0785" w:rsidRPr="00FD765A" w:rsidRDefault="00BE0785" w:rsidP="001C02AC">
            <w:pPr>
              <w:keepNext/>
              <w:rPr>
                <w:b/>
                <w:color w:val="FFFFFF" w:themeColor="background1"/>
              </w:rPr>
            </w:pPr>
            <w:r w:rsidRPr="00FD765A">
              <w:rPr>
                <w:b/>
                <w:color w:val="FFFFFF" w:themeColor="background1"/>
              </w:rPr>
              <w:t>Summary of incident</w:t>
            </w:r>
          </w:p>
        </w:tc>
      </w:tr>
      <w:tr w:rsidR="00BE0785" w:rsidRPr="00FD765A" w14:paraId="37BB9C10" w14:textId="77777777" w:rsidTr="001C02AC">
        <w:tc>
          <w:tcPr>
            <w:tcW w:w="736" w:type="pct"/>
            <w:shd w:val="clear" w:color="auto" w:fill="F2F2F2" w:themeFill="background2" w:themeFillShade="F2"/>
          </w:tcPr>
          <w:p w14:paraId="4287D809" w14:textId="6BB661E9" w:rsidR="00BE0785" w:rsidRPr="00FD765A" w:rsidRDefault="00467297" w:rsidP="001C02AC">
            <w:pPr>
              <w:spacing w:before="60" w:after="60"/>
              <w:rPr>
                <w:rFonts w:eastAsia="MS Mincho" w:cs="Times New Roman"/>
                <w:lang w:val="en-US"/>
              </w:rPr>
            </w:pPr>
            <w:r>
              <w:rPr>
                <w:rFonts w:eastAsia="MS Mincho" w:cs="Times New Roman"/>
                <w:lang w:val="en-US"/>
              </w:rPr>
              <w:t>Coop Supermarket</w:t>
            </w:r>
            <w:r w:rsidR="001E6289">
              <w:rPr>
                <w:rFonts w:eastAsia="MS Mincho" w:cs="Times New Roman"/>
                <w:lang w:val="en-US"/>
              </w:rPr>
              <w:t xml:space="preserve"> closures (2021)</w:t>
            </w:r>
          </w:p>
        </w:tc>
        <w:tc>
          <w:tcPr>
            <w:tcW w:w="4264" w:type="pct"/>
            <w:shd w:val="clear" w:color="auto" w:fill="auto"/>
          </w:tcPr>
          <w:p w14:paraId="70779C7F" w14:textId="68239A88" w:rsidR="00BE0785" w:rsidRPr="00FD765A" w:rsidRDefault="00F30901" w:rsidP="001C02AC">
            <w:pPr>
              <w:spacing w:before="60" w:after="60"/>
              <w:rPr>
                <w:rFonts w:eastAsia="MS Mincho" w:cs="Times New Roman"/>
                <w:lang w:val="en-US"/>
              </w:rPr>
            </w:pPr>
            <w:r w:rsidRPr="00FA3841">
              <w:t>In 2021, more than half of all Coop Supermarkets in Sweden were forced to close for nearly a week as the result of a cyber-attack.</w:t>
            </w:r>
            <w:r>
              <w:t xml:space="preserve"> </w:t>
            </w:r>
            <w:r w:rsidR="00316F07">
              <w:t>Around 500</w:t>
            </w:r>
            <w:r w:rsidR="00316F07" w:rsidRPr="008436D1">
              <w:t xml:space="preserve"> supermarkets were closed for nearly a week, reducing consumer access and choice for fresh food and grocery produce. Kaseya announced it had received a universal decryptor tool for the REvil-encrypted files from an unnamed "trusted third party" and was helping victims restore their files. It is suggested that the cost of this</w:t>
            </w:r>
            <w:r w:rsidR="00316F07">
              <w:t xml:space="preserve"> breach and consequent closure of stores cost Coop</w:t>
            </w:r>
            <w:r w:rsidR="00316F07" w:rsidRPr="008436D1">
              <w:t xml:space="preserve"> AUD$28 million.</w:t>
            </w:r>
            <w:r w:rsidR="00316F07">
              <w:rPr>
                <w:rStyle w:val="FootnoteReference"/>
              </w:rPr>
              <w:footnoteReference w:id="397"/>
            </w:r>
          </w:p>
        </w:tc>
      </w:tr>
      <w:tr w:rsidR="00F30901" w:rsidRPr="00FD765A" w14:paraId="528EC537" w14:textId="77777777" w:rsidTr="001C02AC">
        <w:tc>
          <w:tcPr>
            <w:tcW w:w="736" w:type="pct"/>
            <w:shd w:val="clear" w:color="auto" w:fill="F2F2F2" w:themeFill="background2" w:themeFillShade="F2"/>
          </w:tcPr>
          <w:p w14:paraId="3D91AB9D" w14:textId="6FF0882A" w:rsidR="00F30901" w:rsidRDefault="00F30901" w:rsidP="00467297">
            <w:pPr>
              <w:spacing w:before="60" w:after="60"/>
              <w:rPr>
                <w:rFonts w:eastAsia="MS Mincho" w:cs="Times New Roman"/>
                <w:lang w:val="en-US"/>
              </w:rPr>
            </w:pPr>
            <w:r>
              <w:rPr>
                <w:rFonts w:eastAsia="MS Mincho" w:cs="Times New Roman"/>
                <w:lang w:val="en-US"/>
              </w:rPr>
              <w:t>JBS meat proc</w:t>
            </w:r>
            <w:r w:rsidR="00671A85">
              <w:rPr>
                <w:rFonts w:eastAsia="MS Mincho" w:cs="Times New Roman"/>
                <w:lang w:val="en-US"/>
              </w:rPr>
              <w:t>essing ransomware attack (2021)</w:t>
            </w:r>
          </w:p>
        </w:tc>
        <w:tc>
          <w:tcPr>
            <w:tcW w:w="4264" w:type="pct"/>
            <w:shd w:val="clear" w:color="auto" w:fill="auto"/>
          </w:tcPr>
          <w:p w14:paraId="18716DD2" w14:textId="496AD751" w:rsidR="00F30901" w:rsidRPr="00FA3841" w:rsidRDefault="00D014CC" w:rsidP="00D014CC">
            <w:pPr>
              <w:spacing w:before="60" w:after="60"/>
            </w:pPr>
            <w:r w:rsidRPr="00287CAE">
              <w:t>JBS Foods Group, is the world’s largest meat processing company, supplying one-fifth of meat globally, with a global footprint including Australia. JBS US Headquarters was the target of an organised cybersecurity attack, affecting some of the servers supporting its North American and Australian IT systems.</w:t>
            </w:r>
            <w:r>
              <w:t xml:space="preserve"> </w:t>
            </w:r>
            <w:r w:rsidR="00E415F9">
              <w:t xml:space="preserve">JBS Foods Group </w:t>
            </w:r>
            <w:r w:rsidR="00E415F9" w:rsidRPr="00287CAE">
              <w:t>closed all of its beef processing plants in the US</w:t>
            </w:r>
            <w:r w:rsidR="00E415F9">
              <w:t xml:space="preserve">, </w:t>
            </w:r>
            <w:r w:rsidR="00E415F9" w:rsidRPr="00287CAE">
              <w:t>Canada and Australia, resulting in over 7000 employees being</w:t>
            </w:r>
            <w:r w:rsidR="00E415F9">
              <w:t xml:space="preserve"> temporarily </w:t>
            </w:r>
            <w:r w:rsidR="00E415F9" w:rsidRPr="00287CAE">
              <w:t>stood down in Australia</w:t>
            </w:r>
            <w:r w:rsidR="00E415F9">
              <w:t xml:space="preserve"> alone</w:t>
            </w:r>
            <w:r w:rsidR="00E415F9" w:rsidRPr="00287CAE">
              <w:t>. JBS Food Groups paid the equivalent of $US11 million ($14.2 million) to a criminal gang to end a five-day cyber attack.</w:t>
            </w:r>
            <w:r w:rsidR="00E415F9">
              <w:rPr>
                <w:rStyle w:val="FootnoteReference"/>
              </w:rPr>
              <w:footnoteReference w:id="398"/>
            </w:r>
          </w:p>
        </w:tc>
      </w:tr>
    </w:tbl>
    <w:p w14:paraId="335EE941" w14:textId="3D00F8AB" w:rsidR="00BE0785" w:rsidRPr="005504B2" w:rsidRDefault="00BE0785" w:rsidP="00BE0785">
      <w:pPr>
        <w:rPr>
          <w:rFonts w:cstheme="majorHAnsi"/>
          <w:sz w:val="22"/>
          <w:szCs w:val="28"/>
        </w:rPr>
      </w:pPr>
      <w:r w:rsidRPr="005504B2">
        <w:rPr>
          <w:rFonts w:cstheme="majorHAnsi"/>
          <w:sz w:val="22"/>
          <w:szCs w:val="28"/>
        </w:rPr>
        <w:t xml:space="preserve">These case studies highlight that disruptions to critical </w:t>
      </w:r>
      <w:r w:rsidR="001B0D5D" w:rsidRPr="00CE4B35">
        <w:rPr>
          <w:rFonts w:cstheme="majorHAnsi"/>
          <w:sz w:val="22"/>
          <w:szCs w:val="28"/>
        </w:rPr>
        <w:t>food and grocery</w:t>
      </w:r>
      <w:r w:rsidRPr="005504B2">
        <w:rPr>
          <w:rFonts w:cstheme="majorHAnsi"/>
          <w:sz w:val="22"/>
          <w:szCs w:val="28"/>
        </w:rPr>
        <w:t xml:space="preserve"> assets can inflict substantial direct and indirect costs on firms and households alike. </w:t>
      </w:r>
      <w:r w:rsidRPr="00E82395">
        <w:rPr>
          <w:rFonts w:cstheme="majorHAnsi"/>
          <w:sz w:val="22"/>
          <w:szCs w:val="28"/>
        </w:rPr>
        <w:t xml:space="preserve">The </w:t>
      </w:r>
      <w:r w:rsidR="00B63E0A" w:rsidRPr="00CE4B35">
        <w:rPr>
          <w:rFonts w:cstheme="majorHAnsi"/>
          <w:sz w:val="22"/>
          <w:szCs w:val="28"/>
        </w:rPr>
        <w:t>Coop supermarket</w:t>
      </w:r>
      <w:r w:rsidRPr="00E82395">
        <w:rPr>
          <w:rFonts w:cstheme="majorHAnsi"/>
          <w:sz w:val="22"/>
          <w:szCs w:val="28"/>
        </w:rPr>
        <w:t xml:space="preserve"> attack had widespread impacts</w:t>
      </w:r>
      <w:r w:rsidRPr="006214B1">
        <w:rPr>
          <w:rFonts w:cstheme="majorHAnsi"/>
          <w:sz w:val="22"/>
          <w:szCs w:val="28"/>
        </w:rPr>
        <w:t xml:space="preserve"> </w:t>
      </w:r>
      <w:r w:rsidR="00B63E0A" w:rsidRPr="00CE4B35">
        <w:rPr>
          <w:rFonts w:cstheme="majorHAnsi"/>
          <w:sz w:val="22"/>
          <w:szCs w:val="28"/>
        </w:rPr>
        <w:t>on the community</w:t>
      </w:r>
      <w:r w:rsidR="006E170E" w:rsidRPr="00CE4B35">
        <w:rPr>
          <w:rFonts w:cstheme="majorHAnsi"/>
          <w:sz w:val="22"/>
          <w:szCs w:val="28"/>
        </w:rPr>
        <w:t xml:space="preserve"> during the closure periods, affecting sales and the ability of </w:t>
      </w:r>
      <w:r w:rsidR="00363DFC" w:rsidRPr="00CE4B35">
        <w:rPr>
          <w:rFonts w:cstheme="majorHAnsi"/>
          <w:sz w:val="22"/>
          <w:szCs w:val="28"/>
        </w:rPr>
        <w:t>the community to access food and groceries</w:t>
      </w:r>
      <w:r w:rsidRPr="005504B2">
        <w:rPr>
          <w:rFonts w:cstheme="majorHAnsi"/>
          <w:sz w:val="22"/>
          <w:szCs w:val="28"/>
        </w:rPr>
        <w:t>.</w:t>
      </w:r>
      <w:r w:rsidR="00363DFC" w:rsidRPr="00CE4B35">
        <w:rPr>
          <w:rFonts w:cstheme="majorHAnsi"/>
          <w:sz w:val="22"/>
          <w:szCs w:val="28"/>
        </w:rPr>
        <w:t xml:space="preserve"> The JBS attack had impacts </w:t>
      </w:r>
      <w:r w:rsidRPr="00E82395">
        <w:rPr>
          <w:rFonts w:cstheme="majorHAnsi"/>
          <w:sz w:val="22"/>
          <w:szCs w:val="28"/>
        </w:rPr>
        <w:t>across the globe, affecting deliveries</w:t>
      </w:r>
      <w:r w:rsidR="00F33710" w:rsidRPr="00CE4B35">
        <w:rPr>
          <w:rFonts w:cstheme="majorHAnsi"/>
          <w:sz w:val="22"/>
          <w:szCs w:val="28"/>
        </w:rPr>
        <w:t>, sales and meat prices.</w:t>
      </w:r>
    </w:p>
    <w:p w14:paraId="5B273B7A" w14:textId="5CC38EFB" w:rsidR="00BE0785" w:rsidRPr="00E82395" w:rsidRDefault="00BE0785" w:rsidP="00BE0785">
      <w:pPr>
        <w:rPr>
          <w:rFonts w:cstheme="majorHAnsi"/>
          <w:sz w:val="22"/>
          <w:szCs w:val="28"/>
        </w:rPr>
      </w:pPr>
      <w:r w:rsidRPr="00242692">
        <w:rPr>
          <w:rFonts w:cstheme="majorHAnsi"/>
          <w:sz w:val="22"/>
          <w:szCs w:val="28"/>
        </w:rPr>
        <w:t>For the purposes of the modelling of the cost of avoided future incidents in Australia, both case studies were used as baseline scenarios.</w:t>
      </w:r>
      <w:r w:rsidRPr="00F91A01">
        <w:rPr>
          <w:rFonts w:cstheme="majorHAnsi"/>
          <w:sz w:val="22"/>
          <w:szCs w:val="28"/>
        </w:rPr>
        <w:t xml:space="preserve"> The </w:t>
      </w:r>
      <w:r w:rsidR="00F33710" w:rsidRPr="00CE4B35">
        <w:rPr>
          <w:rFonts w:cstheme="majorHAnsi"/>
          <w:sz w:val="22"/>
          <w:szCs w:val="28"/>
        </w:rPr>
        <w:t>Coop Supermarket</w:t>
      </w:r>
      <w:r w:rsidRPr="005504B2">
        <w:rPr>
          <w:rFonts w:cstheme="majorHAnsi"/>
          <w:sz w:val="22"/>
          <w:szCs w:val="28"/>
        </w:rPr>
        <w:t xml:space="preserve"> attack was used as the </w:t>
      </w:r>
      <w:r w:rsidR="00F33710" w:rsidRPr="00CE4B35">
        <w:rPr>
          <w:rFonts w:cstheme="majorHAnsi"/>
          <w:sz w:val="22"/>
          <w:szCs w:val="28"/>
        </w:rPr>
        <w:t>moderate</w:t>
      </w:r>
      <w:r w:rsidRPr="005504B2">
        <w:rPr>
          <w:rFonts w:cstheme="majorHAnsi"/>
          <w:sz w:val="22"/>
          <w:szCs w:val="28"/>
        </w:rPr>
        <w:t xml:space="preserve"> baseline, and the </w:t>
      </w:r>
      <w:r w:rsidR="00F33710" w:rsidRPr="00CE4B35">
        <w:rPr>
          <w:rFonts w:cstheme="majorHAnsi"/>
          <w:sz w:val="22"/>
          <w:szCs w:val="28"/>
        </w:rPr>
        <w:t xml:space="preserve">JBS </w:t>
      </w:r>
      <w:r w:rsidRPr="005504B2">
        <w:rPr>
          <w:rFonts w:cstheme="majorHAnsi"/>
          <w:sz w:val="22"/>
          <w:szCs w:val="28"/>
        </w:rPr>
        <w:t>attack as the low baseline. The use of act</w:t>
      </w:r>
      <w:r w:rsidRPr="00242692">
        <w:rPr>
          <w:rFonts w:cstheme="majorHAnsi"/>
          <w:sz w:val="22"/>
          <w:szCs w:val="28"/>
        </w:rPr>
        <w:t>ual events as baseline risk points of comparison is important because it ensures the benefits analysis is grounded in reality. The scale o</w:t>
      </w:r>
      <w:r w:rsidRPr="00F91A01">
        <w:rPr>
          <w:rFonts w:cstheme="majorHAnsi"/>
          <w:sz w:val="22"/>
          <w:szCs w:val="28"/>
        </w:rPr>
        <w:t xml:space="preserve">f the event is not theoretical and there is sufficient information about the event to support modelling. </w:t>
      </w:r>
    </w:p>
    <w:p w14:paraId="0B21A17F" w14:textId="640EEAA1" w:rsidR="00BE0785" w:rsidRPr="00FD765A" w:rsidRDefault="00BE0785" w:rsidP="00BE0785">
      <w:pPr>
        <w:rPr>
          <w:rFonts w:cstheme="majorHAnsi"/>
          <w:sz w:val="22"/>
          <w:szCs w:val="28"/>
        </w:rPr>
      </w:pPr>
      <w:r w:rsidRPr="005504B2">
        <w:rPr>
          <w:rFonts w:cstheme="majorHAnsi"/>
          <w:sz w:val="22"/>
          <w:szCs w:val="28"/>
        </w:rPr>
        <w:t xml:space="preserve">A framework for considering the potential impacts of the </w:t>
      </w:r>
      <w:r w:rsidR="001B0D5D" w:rsidRPr="00CE4B35">
        <w:rPr>
          <w:rFonts w:cstheme="majorHAnsi"/>
          <w:sz w:val="22"/>
          <w:szCs w:val="28"/>
        </w:rPr>
        <w:t>food and grocery</w:t>
      </w:r>
      <w:r w:rsidRPr="005504B2">
        <w:rPr>
          <w:rFonts w:cstheme="majorHAnsi"/>
          <w:sz w:val="22"/>
          <w:szCs w:val="28"/>
        </w:rPr>
        <w:t xml:space="preserve"> disruption following failure of critical infrastructure is provided in the table below.</w:t>
      </w:r>
    </w:p>
    <w:p w14:paraId="243D4760" w14:textId="77777777" w:rsidR="00BE0785" w:rsidRPr="00FD765A" w:rsidRDefault="00BE0785" w:rsidP="00BE0785">
      <w:pPr>
        <w:keepNext/>
        <w:tabs>
          <w:tab w:val="left" w:pos="1134"/>
        </w:tabs>
        <w:spacing w:before="240"/>
        <w:rPr>
          <w:i/>
          <w:color w:val="034EA2" w:themeColor="accent1"/>
          <w:sz w:val="18"/>
          <w:szCs w:val="18"/>
          <w:lang w:eastAsia="en-AU"/>
        </w:rPr>
      </w:pPr>
      <w:r w:rsidRPr="00FD765A">
        <w:rPr>
          <w:i/>
          <w:color w:val="034EA2" w:themeColor="accent1"/>
          <w:sz w:val="18"/>
          <w:szCs w:val="18"/>
          <w:lang w:eastAsia="en-AU"/>
        </w:rPr>
        <w:lastRenderedPageBreak/>
        <w:t>Framework for scenario development and sensitivity analysis</w:t>
      </w:r>
    </w:p>
    <w:tbl>
      <w:tblPr>
        <w:tblStyle w:val="DHATable4"/>
        <w:tblW w:w="5000" w:type="pct"/>
        <w:tblBorders>
          <w:top w:val="none" w:sz="0" w:space="0" w:color="auto"/>
          <w:left w:val="none" w:sz="0" w:space="0" w:color="auto"/>
          <w:bottom w:val="single" w:sz="4" w:space="0" w:color="BFBFBF" w:themeColor="background1" w:themeShade="BF"/>
          <w:right w:val="none" w:sz="0" w:space="0" w:color="auto"/>
        </w:tblBorders>
        <w:tblLook w:val="0600" w:firstRow="0" w:lastRow="0" w:firstColumn="0" w:lastColumn="0" w:noHBand="1" w:noVBand="1"/>
      </w:tblPr>
      <w:tblGrid>
        <w:gridCol w:w="1682"/>
        <w:gridCol w:w="2876"/>
        <w:gridCol w:w="2036"/>
        <w:gridCol w:w="3044"/>
      </w:tblGrid>
      <w:tr w:rsidR="00BE0785" w:rsidRPr="00FD765A" w14:paraId="6E0426EB" w14:textId="77777777" w:rsidTr="001C02AC">
        <w:trPr>
          <w:trHeight w:val="420"/>
        </w:trPr>
        <w:tc>
          <w:tcPr>
            <w:tcW w:w="873" w:type="pct"/>
            <w:shd w:val="clear" w:color="auto" w:fill="034EA2" w:themeFill="accent1"/>
          </w:tcPr>
          <w:p w14:paraId="5DE7F73A" w14:textId="77777777" w:rsidR="00BE0785" w:rsidRPr="00FD765A" w:rsidRDefault="00BE0785" w:rsidP="001C02AC">
            <w:pPr>
              <w:keepNext/>
              <w:rPr>
                <w:b/>
                <w:color w:val="FFFFFF" w:themeColor="background1"/>
              </w:rPr>
            </w:pPr>
            <w:r w:rsidRPr="00FD765A">
              <w:rPr>
                <w:b/>
                <w:color w:val="FFFFFF" w:themeColor="background1"/>
              </w:rPr>
              <w:t xml:space="preserve"> </w:t>
            </w:r>
          </w:p>
        </w:tc>
        <w:tc>
          <w:tcPr>
            <w:tcW w:w="1492" w:type="pct"/>
            <w:shd w:val="clear" w:color="auto" w:fill="034EA2" w:themeFill="accent1"/>
          </w:tcPr>
          <w:p w14:paraId="2704659B" w14:textId="77777777" w:rsidR="00BE0785" w:rsidRPr="00FD765A" w:rsidRDefault="00BE0785" w:rsidP="001C02AC">
            <w:pPr>
              <w:keepNext/>
              <w:rPr>
                <w:b/>
                <w:color w:val="FFFFFF"/>
              </w:rPr>
            </w:pPr>
            <w:r w:rsidRPr="00FD765A">
              <w:rPr>
                <w:b/>
                <w:color w:val="FFFFFF"/>
              </w:rPr>
              <w:t>Severe scenario</w:t>
            </w:r>
          </w:p>
        </w:tc>
        <w:tc>
          <w:tcPr>
            <w:tcW w:w="1056" w:type="pct"/>
            <w:shd w:val="clear" w:color="auto" w:fill="034EA2" w:themeFill="accent1"/>
          </w:tcPr>
          <w:p w14:paraId="6EBAB69C" w14:textId="77777777" w:rsidR="00BE0785" w:rsidRPr="00FD765A" w:rsidRDefault="00BE0785" w:rsidP="001C02AC">
            <w:pPr>
              <w:keepNext/>
              <w:rPr>
                <w:b/>
                <w:color w:val="FFFFFF"/>
              </w:rPr>
            </w:pPr>
            <w:r w:rsidRPr="00FD765A">
              <w:rPr>
                <w:b/>
                <w:color w:val="FFFFFF"/>
              </w:rPr>
              <w:t>Moderate scenario</w:t>
            </w:r>
          </w:p>
        </w:tc>
        <w:tc>
          <w:tcPr>
            <w:tcW w:w="1579" w:type="pct"/>
            <w:shd w:val="clear" w:color="auto" w:fill="034EA2" w:themeFill="accent1"/>
          </w:tcPr>
          <w:p w14:paraId="0BFC6D92" w14:textId="77777777" w:rsidR="00BE0785" w:rsidRPr="00FD765A" w:rsidRDefault="00BE0785" w:rsidP="001C02AC">
            <w:pPr>
              <w:keepNext/>
              <w:rPr>
                <w:b/>
                <w:color w:val="FFFFFF"/>
              </w:rPr>
            </w:pPr>
            <w:r w:rsidRPr="00FD765A">
              <w:rPr>
                <w:b/>
                <w:color w:val="FFFFFF"/>
              </w:rPr>
              <w:t>Low scenario</w:t>
            </w:r>
          </w:p>
        </w:tc>
      </w:tr>
      <w:tr w:rsidR="00BE0785" w:rsidRPr="00FD765A" w14:paraId="5FD66896" w14:textId="77777777" w:rsidTr="00CE4B35">
        <w:trPr>
          <w:trHeight w:val="553"/>
        </w:trPr>
        <w:tc>
          <w:tcPr>
            <w:tcW w:w="0" w:type="pct"/>
            <w:shd w:val="clear" w:color="auto" w:fill="F2F2F2" w:themeFill="background1" w:themeFillShade="F2"/>
          </w:tcPr>
          <w:p w14:paraId="3055FE02" w14:textId="77777777" w:rsidR="00BE0785" w:rsidRPr="00FD765A" w:rsidRDefault="00BE0785" w:rsidP="001C02AC">
            <w:pPr>
              <w:spacing w:before="60" w:after="60"/>
              <w:rPr>
                <w:rFonts w:eastAsia="MS Mincho" w:cs="Times New Roman"/>
                <w:color w:val="FFFFFF"/>
                <w:lang w:val="en-US"/>
              </w:rPr>
            </w:pPr>
            <w:r w:rsidRPr="00FD765A">
              <w:rPr>
                <w:rFonts w:eastAsia="MS Mincho" w:cs="Times New Roman"/>
                <w:lang w:val="en-US"/>
              </w:rPr>
              <w:t>Intensity of event</w:t>
            </w:r>
          </w:p>
        </w:tc>
        <w:tc>
          <w:tcPr>
            <w:tcW w:w="0" w:type="pct"/>
            <w:shd w:val="clear" w:color="auto" w:fill="auto"/>
          </w:tcPr>
          <w:p w14:paraId="6DFE5749" w14:textId="1C35A8A7" w:rsidR="00BE0785" w:rsidRPr="005504B2" w:rsidRDefault="005504B2" w:rsidP="001C02AC">
            <w:pPr>
              <w:spacing w:before="60" w:after="60"/>
              <w:rPr>
                <w:rFonts w:eastAsia="MS Mincho" w:cs="Times New Roman"/>
                <w:lang w:val="en-US"/>
              </w:rPr>
            </w:pPr>
            <w:r w:rsidRPr="00CE4B35">
              <w:rPr>
                <w:rFonts w:eastAsia="MS Mincho" w:cs="Times New Roman"/>
                <w:lang w:val="en-US"/>
              </w:rPr>
              <w:t>150% of Moderate scenario</w:t>
            </w:r>
          </w:p>
        </w:tc>
        <w:tc>
          <w:tcPr>
            <w:tcW w:w="0" w:type="pct"/>
            <w:shd w:val="clear" w:color="auto" w:fill="auto"/>
          </w:tcPr>
          <w:p w14:paraId="51676D13" w14:textId="725CED6C" w:rsidR="00BE0785" w:rsidRPr="005504B2" w:rsidRDefault="00F33710" w:rsidP="001C02AC">
            <w:pPr>
              <w:spacing w:before="60" w:after="60"/>
              <w:rPr>
                <w:rFonts w:eastAsia="Arial" w:cs="Times New Roman"/>
                <w:lang w:val="en-US"/>
              </w:rPr>
            </w:pPr>
            <w:r w:rsidRPr="00CE4B35">
              <w:rPr>
                <w:rFonts w:eastAsia="Arial" w:cs="Times New Roman"/>
                <w:lang w:val="en-US"/>
              </w:rPr>
              <w:t>Coop Supermarket attack (2021)</w:t>
            </w:r>
          </w:p>
        </w:tc>
        <w:tc>
          <w:tcPr>
            <w:tcW w:w="0" w:type="pct"/>
            <w:shd w:val="clear" w:color="auto" w:fill="auto"/>
          </w:tcPr>
          <w:p w14:paraId="07D05EED" w14:textId="17514766" w:rsidR="00BE0785" w:rsidRPr="005504B2" w:rsidRDefault="00F33710" w:rsidP="001C02AC">
            <w:pPr>
              <w:spacing w:before="60" w:after="60"/>
              <w:rPr>
                <w:rFonts w:eastAsia="MS Mincho" w:cs="Times New Roman"/>
                <w:lang w:val="en-US"/>
              </w:rPr>
            </w:pPr>
            <w:r w:rsidRPr="00CE4B35">
              <w:rPr>
                <w:rFonts w:eastAsia="MS Mincho" w:cs="Times New Roman"/>
                <w:lang w:val="en-US"/>
              </w:rPr>
              <w:t>JBS attack (2021)</w:t>
            </w:r>
          </w:p>
        </w:tc>
      </w:tr>
    </w:tbl>
    <w:p w14:paraId="3F772F10" w14:textId="480865CA" w:rsidR="00BE0785" w:rsidRPr="00155B40" w:rsidRDefault="00BE0785" w:rsidP="00BE0785">
      <w:pPr>
        <w:spacing w:before="240"/>
        <w:rPr>
          <w:rFonts w:cstheme="majorHAnsi"/>
          <w:sz w:val="22"/>
          <w:szCs w:val="28"/>
        </w:rPr>
      </w:pPr>
      <w:r w:rsidRPr="005504B2">
        <w:rPr>
          <w:rFonts w:cstheme="majorHAnsi"/>
          <w:sz w:val="22"/>
          <w:szCs w:val="28"/>
        </w:rPr>
        <w:t>The rationale for a range of scenarios reflects the complexity of the scenarios that could occur. As noted above, the economic impact of an incident will vary due to a range of factors including the location of a disruption, the month and time of day at wh</w:t>
      </w:r>
      <w:r w:rsidRPr="00242692">
        <w:rPr>
          <w:rFonts w:cstheme="majorHAnsi"/>
          <w:sz w:val="22"/>
          <w:szCs w:val="28"/>
        </w:rPr>
        <w:t>ich the disruption occurs, the day of the week on which the disruption takes place and the duration of disrupti</w:t>
      </w:r>
      <w:r w:rsidRPr="00F91A01">
        <w:rPr>
          <w:rFonts w:cstheme="majorHAnsi"/>
          <w:sz w:val="22"/>
          <w:szCs w:val="28"/>
        </w:rPr>
        <w:t xml:space="preserve">on. </w:t>
      </w:r>
      <w:r w:rsidRPr="00E82395">
        <w:rPr>
          <w:rFonts w:cstheme="majorHAnsi"/>
          <w:sz w:val="22"/>
          <w:szCs w:val="28"/>
        </w:rPr>
        <w:t xml:space="preserve">For example, accounting for an incident that has a greater economic impact than the </w:t>
      </w:r>
      <w:r w:rsidR="00515877" w:rsidRPr="00CE4B35">
        <w:rPr>
          <w:rFonts w:cstheme="majorHAnsi"/>
          <w:sz w:val="22"/>
          <w:szCs w:val="28"/>
        </w:rPr>
        <w:t xml:space="preserve">Coop Supermarket </w:t>
      </w:r>
      <w:r w:rsidRPr="001F3315">
        <w:rPr>
          <w:rFonts w:cstheme="majorHAnsi"/>
          <w:sz w:val="22"/>
          <w:szCs w:val="28"/>
        </w:rPr>
        <w:t xml:space="preserve">ransomware attack is necessary to reflect the </w:t>
      </w:r>
      <w:r w:rsidRPr="00E82395">
        <w:rPr>
          <w:rFonts w:cstheme="majorHAnsi"/>
          <w:sz w:val="22"/>
          <w:szCs w:val="28"/>
        </w:rPr>
        <w:t>possibility that a disruption of a similar scale could impact areas where there would be greater economic impac</w:t>
      </w:r>
      <w:r w:rsidRPr="001F3315">
        <w:rPr>
          <w:rFonts w:cstheme="majorHAnsi"/>
          <w:sz w:val="22"/>
          <w:szCs w:val="28"/>
        </w:rPr>
        <w:t xml:space="preserve">t than in </w:t>
      </w:r>
      <w:r w:rsidRPr="001F3315">
        <w:rPr>
          <w:rFonts w:eastAsia="Arial" w:cstheme="majorHAnsi"/>
          <w:sz w:val="22"/>
          <w:szCs w:val="28"/>
        </w:rPr>
        <w:t xml:space="preserve">that incident. </w:t>
      </w:r>
      <w:r w:rsidRPr="001F3315">
        <w:rPr>
          <w:rFonts w:cstheme="majorHAnsi"/>
          <w:sz w:val="22"/>
          <w:szCs w:val="28"/>
        </w:rPr>
        <w:t>While an incident with a much greater impact than the severe scenario is conceivable, the defined scenarios and subsequent benefits analysis has taken a deliberately conservative approach to ensure the severe scenario remains demonstrably plausible.</w:t>
      </w:r>
    </w:p>
    <w:p w14:paraId="5A555A38" w14:textId="77777777" w:rsidR="00BE0785" w:rsidRPr="00FD765A" w:rsidRDefault="00BE0785" w:rsidP="00BE0785">
      <w:pPr>
        <w:rPr>
          <w:rFonts w:cstheme="majorHAnsi"/>
          <w:sz w:val="22"/>
          <w:szCs w:val="28"/>
        </w:rPr>
      </w:pPr>
      <w:r w:rsidRPr="00242692">
        <w:rPr>
          <w:rFonts w:cstheme="majorHAnsi"/>
          <w:sz w:val="22"/>
          <w:szCs w:val="28"/>
        </w:rPr>
        <w:t>A summary of the economic impact of</w:t>
      </w:r>
      <w:r w:rsidRPr="00F91A01">
        <w:rPr>
          <w:rFonts w:cstheme="majorHAnsi"/>
          <w:sz w:val="22"/>
          <w:szCs w:val="28"/>
        </w:rPr>
        <w:t xml:space="preserve"> each scenario is provided in the table below. Direct avoided costs refer to the financial costs directly incurred as a result of an incident, wh</w:t>
      </w:r>
      <w:r w:rsidRPr="00E82395">
        <w:rPr>
          <w:rFonts w:cstheme="majorHAnsi"/>
          <w:sz w:val="22"/>
          <w:szCs w:val="28"/>
        </w:rPr>
        <w:t>ile indirect costs refer to flow-on costs to the economy due to supply chain linkages and other feedback respon</w:t>
      </w:r>
      <w:r w:rsidRPr="005504B2">
        <w:rPr>
          <w:rFonts w:cstheme="majorHAnsi"/>
          <w:sz w:val="22"/>
          <w:szCs w:val="28"/>
        </w:rPr>
        <w:t>ses by all economic agents (e.g., households, businesses). A break-even analysis of these benefits compared to the total estimated cost of the risk management program framework is also included in the table. This break-even analysis is expressed as the number of incidents that would need to be avoided in order for the benefits (that is, the avoided costs) of the risk management program framework to equal the costs of implementation and compliance.</w:t>
      </w:r>
      <w:r w:rsidRPr="00FD765A">
        <w:rPr>
          <w:rFonts w:cstheme="majorHAnsi"/>
          <w:sz w:val="22"/>
          <w:szCs w:val="28"/>
        </w:rPr>
        <w:t xml:space="preserve"> </w:t>
      </w:r>
    </w:p>
    <w:p w14:paraId="1772F548" w14:textId="77777777" w:rsidR="00BE0785" w:rsidRPr="00FD765A" w:rsidRDefault="00BE0785" w:rsidP="00BE0785">
      <w:pPr>
        <w:rPr>
          <w:rFonts w:cstheme="majorHAnsi"/>
          <w:sz w:val="22"/>
          <w:szCs w:val="28"/>
        </w:rPr>
      </w:pPr>
      <w:r w:rsidRPr="00FD765A">
        <w:rPr>
          <w:rFonts w:cstheme="majorHAnsi"/>
          <w:sz w:val="22"/>
          <w:szCs w:val="28"/>
        </w:rPr>
        <w:br w:type="page"/>
      </w:r>
    </w:p>
    <w:p w14:paraId="303883F4" w14:textId="77777777" w:rsidR="00BE0785" w:rsidRPr="00FD765A" w:rsidRDefault="00BE0785" w:rsidP="00BE0785">
      <w:pPr>
        <w:keepNext/>
        <w:tabs>
          <w:tab w:val="left" w:pos="1134"/>
        </w:tabs>
        <w:spacing w:before="240"/>
        <w:rPr>
          <w:i/>
          <w:color w:val="034EA2" w:themeColor="accent1"/>
          <w:sz w:val="18"/>
          <w:szCs w:val="18"/>
          <w:lang w:eastAsia="en-AU"/>
        </w:rPr>
      </w:pPr>
      <w:r w:rsidRPr="00FD765A">
        <w:rPr>
          <w:i/>
          <w:color w:val="034EA2" w:themeColor="accent1"/>
          <w:sz w:val="18"/>
          <w:szCs w:val="18"/>
          <w:lang w:eastAsia="en-AU"/>
        </w:rPr>
        <w:lastRenderedPageBreak/>
        <w:t>Summary of benefits scenarios</w:t>
      </w:r>
    </w:p>
    <w:tbl>
      <w:tblPr>
        <w:tblStyle w:val="TableGrid1121"/>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00" w:firstRow="0" w:lastRow="0" w:firstColumn="0" w:lastColumn="0" w:noHBand="1" w:noVBand="1"/>
      </w:tblPr>
      <w:tblGrid>
        <w:gridCol w:w="2409"/>
        <w:gridCol w:w="2409"/>
        <w:gridCol w:w="2410"/>
        <w:gridCol w:w="2410"/>
      </w:tblGrid>
      <w:tr w:rsidR="00BE0785" w:rsidRPr="00FD765A" w14:paraId="4A932FA3" w14:textId="77777777" w:rsidTr="001C02AC">
        <w:trPr>
          <w:cantSplit/>
          <w:trHeight w:val="409"/>
        </w:trPr>
        <w:tc>
          <w:tcPr>
            <w:tcW w:w="1250" w:type="pct"/>
            <w:shd w:val="clear" w:color="auto" w:fill="034EA2" w:themeFill="accent1"/>
          </w:tcPr>
          <w:p w14:paraId="032AF558" w14:textId="77777777" w:rsidR="00BE0785" w:rsidRPr="00FD765A" w:rsidRDefault="00BE0785" w:rsidP="001C02AC">
            <w:pPr>
              <w:keepNext/>
              <w:rPr>
                <w:b/>
                <w:color w:val="FFFFFF" w:themeColor="background1"/>
              </w:rPr>
            </w:pPr>
          </w:p>
        </w:tc>
        <w:tc>
          <w:tcPr>
            <w:tcW w:w="1250" w:type="pct"/>
            <w:shd w:val="clear" w:color="auto" w:fill="034EA2" w:themeFill="accent1"/>
          </w:tcPr>
          <w:p w14:paraId="2212F24F" w14:textId="77777777" w:rsidR="00BE0785" w:rsidRPr="00FD765A" w:rsidRDefault="00BE0785" w:rsidP="001C02AC">
            <w:pPr>
              <w:keepNext/>
              <w:rPr>
                <w:b/>
                <w:color w:val="FFFFFF" w:themeColor="background1"/>
              </w:rPr>
            </w:pPr>
            <w:r w:rsidRPr="00FD765A">
              <w:rPr>
                <w:b/>
                <w:color w:val="FFFFFF" w:themeColor="background1"/>
              </w:rPr>
              <w:t>Scenario 1</w:t>
            </w:r>
            <w:r w:rsidRPr="00FD765A">
              <w:rPr>
                <w:rFonts w:ascii="Calibri" w:hAnsi="Calibri"/>
                <w:b/>
                <w:color w:val="FFFFFF" w:themeColor="background1"/>
              </w:rPr>
              <w:br/>
            </w:r>
            <w:r w:rsidRPr="00FD765A">
              <w:rPr>
                <w:b/>
                <w:color w:val="FFFFFF" w:themeColor="background1"/>
              </w:rPr>
              <w:t>(Severe), $ million</w:t>
            </w:r>
          </w:p>
        </w:tc>
        <w:tc>
          <w:tcPr>
            <w:tcW w:w="1250" w:type="pct"/>
            <w:shd w:val="clear" w:color="auto" w:fill="034EA2" w:themeFill="accent1"/>
          </w:tcPr>
          <w:p w14:paraId="4BE6832A" w14:textId="77777777" w:rsidR="00BE0785" w:rsidRPr="00FD765A" w:rsidRDefault="00BE0785" w:rsidP="001C02AC">
            <w:pPr>
              <w:keepNext/>
              <w:rPr>
                <w:b/>
                <w:color w:val="FFFFFF" w:themeColor="background1"/>
              </w:rPr>
            </w:pPr>
            <w:r w:rsidRPr="00FD765A">
              <w:rPr>
                <w:b/>
                <w:color w:val="FFFFFF" w:themeColor="background1"/>
              </w:rPr>
              <w:t>Scenario 2</w:t>
            </w:r>
            <w:r w:rsidRPr="00FD765A">
              <w:rPr>
                <w:b/>
                <w:color w:val="FFFFFF" w:themeColor="background1"/>
              </w:rPr>
              <w:br/>
              <w:t>(Moderate), $ million</w:t>
            </w:r>
          </w:p>
        </w:tc>
        <w:tc>
          <w:tcPr>
            <w:tcW w:w="1250" w:type="pct"/>
            <w:shd w:val="clear" w:color="auto" w:fill="034EA2" w:themeFill="accent1"/>
          </w:tcPr>
          <w:p w14:paraId="6542B128" w14:textId="77777777" w:rsidR="00BE0785" w:rsidRPr="00FD765A" w:rsidRDefault="00BE0785" w:rsidP="001C02AC">
            <w:pPr>
              <w:keepNext/>
              <w:rPr>
                <w:b/>
                <w:color w:val="FFFFFF" w:themeColor="background1"/>
              </w:rPr>
            </w:pPr>
            <w:r w:rsidRPr="00FD765A">
              <w:rPr>
                <w:b/>
                <w:color w:val="FFFFFF" w:themeColor="background1"/>
              </w:rPr>
              <w:t>Scenario 3</w:t>
            </w:r>
            <w:r w:rsidRPr="00FD765A">
              <w:rPr>
                <w:rFonts w:ascii="Calibri" w:hAnsi="Calibri"/>
                <w:b/>
                <w:color w:val="FFFFFF" w:themeColor="background1"/>
              </w:rPr>
              <w:br/>
            </w:r>
            <w:r w:rsidRPr="00FD765A">
              <w:rPr>
                <w:b/>
                <w:color w:val="FFFFFF" w:themeColor="background1"/>
              </w:rPr>
              <w:t>(Low), $ million</w:t>
            </w:r>
          </w:p>
        </w:tc>
      </w:tr>
      <w:tr w:rsidR="00BE0785" w:rsidRPr="00FD765A" w14:paraId="3B532023" w14:textId="77777777" w:rsidTr="001C02AC">
        <w:trPr>
          <w:cantSplit/>
        </w:trPr>
        <w:tc>
          <w:tcPr>
            <w:tcW w:w="1250" w:type="pct"/>
            <w:vAlign w:val="center"/>
          </w:tcPr>
          <w:p w14:paraId="0B974D78" w14:textId="77777777" w:rsidR="00BE0785" w:rsidRPr="00FD765A" w:rsidRDefault="00BE0785" w:rsidP="001C02AC">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Direct avoided cost</w:t>
            </w:r>
          </w:p>
        </w:tc>
        <w:tc>
          <w:tcPr>
            <w:tcW w:w="1250" w:type="pct"/>
            <w:vAlign w:val="center"/>
          </w:tcPr>
          <w:p w14:paraId="4683B27C" w14:textId="0848BA6E" w:rsidR="00BE0785" w:rsidRPr="00C93CF4" w:rsidRDefault="007267D4" w:rsidP="001C02AC">
            <w:pPr>
              <w:spacing w:before="60" w:after="60"/>
              <w:rPr>
                <w:rFonts w:eastAsia="MS Mincho" w:cs="Times New Roman"/>
                <w:color w:val="000000" w:themeColor="text1"/>
                <w:lang w:val="en-US"/>
              </w:rPr>
            </w:pPr>
            <w:r>
              <w:rPr>
                <w:rFonts w:eastAsia="MS Mincho" w:cs="Times New Roman"/>
                <w:color w:val="000000" w:themeColor="text1"/>
                <w:lang w:val="en-US"/>
              </w:rPr>
              <w:t>42</w:t>
            </w:r>
            <w:r w:rsidR="004419B2">
              <w:rPr>
                <w:rFonts w:eastAsia="MS Mincho" w:cs="Times New Roman"/>
                <w:color w:val="000000" w:themeColor="text1"/>
                <w:lang w:val="en-US"/>
              </w:rPr>
              <w:t>.0</w:t>
            </w:r>
          </w:p>
        </w:tc>
        <w:tc>
          <w:tcPr>
            <w:tcW w:w="1250" w:type="pct"/>
            <w:vAlign w:val="center"/>
          </w:tcPr>
          <w:p w14:paraId="45631A3C" w14:textId="0AF701E1" w:rsidR="00BE0785" w:rsidRPr="00C93CF4" w:rsidRDefault="00155B40" w:rsidP="001C02AC">
            <w:pPr>
              <w:spacing w:before="60" w:after="60"/>
              <w:rPr>
                <w:rFonts w:eastAsia="MS Mincho" w:cs="Times New Roman"/>
                <w:color w:val="000000" w:themeColor="text1"/>
                <w:lang w:val="en-US"/>
              </w:rPr>
            </w:pPr>
            <w:r>
              <w:rPr>
                <w:rFonts w:eastAsia="MS Mincho" w:cs="Times New Roman"/>
                <w:color w:val="000000" w:themeColor="text1"/>
                <w:lang w:val="en-US"/>
              </w:rPr>
              <w:t>28.0</w:t>
            </w:r>
          </w:p>
        </w:tc>
        <w:tc>
          <w:tcPr>
            <w:tcW w:w="1250" w:type="pct"/>
            <w:vAlign w:val="center"/>
          </w:tcPr>
          <w:p w14:paraId="05F24BD0" w14:textId="4AF2B253" w:rsidR="00BE0785" w:rsidRPr="00C93CF4" w:rsidRDefault="00155B40" w:rsidP="001C02AC">
            <w:pPr>
              <w:spacing w:before="60" w:after="60"/>
              <w:rPr>
                <w:rFonts w:eastAsia="MS Mincho" w:cs="Times New Roman"/>
                <w:color w:val="000000" w:themeColor="text1"/>
                <w:szCs w:val="20"/>
                <w:lang w:val="en-US"/>
              </w:rPr>
            </w:pPr>
            <w:r>
              <w:rPr>
                <w:rFonts w:eastAsia="MS Mincho" w:cs="Times New Roman"/>
                <w:color w:val="000000" w:themeColor="text1"/>
                <w:szCs w:val="20"/>
                <w:lang w:val="en-US"/>
              </w:rPr>
              <w:t>14.2</w:t>
            </w:r>
          </w:p>
        </w:tc>
      </w:tr>
      <w:tr w:rsidR="00BE0785" w:rsidRPr="00FD765A" w14:paraId="21A2B768" w14:textId="77777777" w:rsidTr="001C02AC">
        <w:trPr>
          <w:cantSplit/>
        </w:trPr>
        <w:tc>
          <w:tcPr>
            <w:tcW w:w="1250" w:type="pct"/>
            <w:vAlign w:val="center"/>
          </w:tcPr>
          <w:p w14:paraId="7F04B3AE" w14:textId="77777777" w:rsidR="00BE0785" w:rsidRPr="00FD765A" w:rsidRDefault="00BE0785" w:rsidP="001C02AC">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Indirect avoided costs</w:t>
            </w:r>
          </w:p>
        </w:tc>
        <w:tc>
          <w:tcPr>
            <w:tcW w:w="1250" w:type="pct"/>
            <w:vAlign w:val="center"/>
          </w:tcPr>
          <w:p w14:paraId="726E19A9" w14:textId="6A65992C" w:rsidR="00BE0785" w:rsidRPr="00C93CF4" w:rsidRDefault="00B231B5" w:rsidP="001C02AC">
            <w:pPr>
              <w:spacing w:before="60" w:after="60"/>
              <w:rPr>
                <w:rFonts w:eastAsia="MS Mincho" w:cs="Times New Roman"/>
                <w:color w:val="000000" w:themeColor="text1"/>
                <w:lang w:val="en-US"/>
              </w:rPr>
            </w:pPr>
            <w:r>
              <w:rPr>
                <w:rFonts w:eastAsia="MS Mincho" w:cs="Times New Roman"/>
                <w:color w:val="000000" w:themeColor="text1"/>
                <w:lang w:val="en-US"/>
              </w:rPr>
              <w:t>30.0</w:t>
            </w:r>
          </w:p>
        </w:tc>
        <w:tc>
          <w:tcPr>
            <w:tcW w:w="1250" w:type="pct"/>
            <w:vAlign w:val="center"/>
          </w:tcPr>
          <w:p w14:paraId="04DB678D" w14:textId="780BCF83" w:rsidR="00BE0785" w:rsidRPr="00C93CF4" w:rsidRDefault="00E32E09" w:rsidP="001C02AC">
            <w:pPr>
              <w:spacing w:before="60" w:after="60"/>
              <w:rPr>
                <w:rFonts w:eastAsia="MS Mincho" w:cs="Times New Roman"/>
                <w:color w:val="000000" w:themeColor="text1"/>
                <w:lang w:val="en-US"/>
              </w:rPr>
            </w:pPr>
            <w:r>
              <w:rPr>
                <w:rFonts w:eastAsia="MS Mincho" w:cs="Times New Roman"/>
                <w:color w:val="000000" w:themeColor="text1"/>
                <w:lang w:val="en-US"/>
              </w:rPr>
              <w:t>20.0</w:t>
            </w:r>
          </w:p>
        </w:tc>
        <w:tc>
          <w:tcPr>
            <w:tcW w:w="1250" w:type="pct"/>
            <w:vAlign w:val="center"/>
          </w:tcPr>
          <w:p w14:paraId="70204923" w14:textId="0A1BBE01" w:rsidR="00BE0785" w:rsidRPr="00C93CF4" w:rsidRDefault="00966E2E" w:rsidP="001C02AC">
            <w:pPr>
              <w:spacing w:before="60" w:after="60"/>
              <w:rPr>
                <w:rFonts w:eastAsia="MS Mincho" w:cs="Times New Roman"/>
                <w:color w:val="000000" w:themeColor="text1"/>
                <w:szCs w:val="20"/>
                <w:lang w:val="en-US"/>
              </w:rPr>
            </w:pPr>
            <w:r>
              <w:rPr>
                <w:rFonts w:eastAsia="MS Mincho" w:cs="Times New Roman"/>
                <w:color w:val="000000" w:themeColor="text1"/>
                <w:szCs w:val="20"/>
                <w:lang w:val="en-US"/>
              </w:rPr>
              <w:t>10.1</w:t>
            </w:r>
          </w:p>
        </w:tc>
      </w:tr>
      <w:tr w:rsidR="00BE0785" w:rsidRPr="00FD765A" w14:paraId="7F7D181E" w14:textId="77777777" w:rsidTr="001C02AC">
        <w:trPr>
          <w:cantSplit/>
        </w:trPr>
        <w:tc>
          <w:tcPr>
            <w:tcW w:w="1250" w:type="pct"/>
            <w:shd w:val="clear" w:color="auto" w:fill="F2F2F2" w:themeFill="background2" w:themeFillShade="F2"/>
            <w:vAlign w:val="center"/>
          </w:tcPr>
          <w:p w14:paraId="7A62D5A3" w14:textId="77777777" w:rsidR="00BE0785" w:rsidRPr="00FD765A" w:rsidRDefault="00BE0785" w:rsidP="001C02AC">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Total avoided cost to the economy of the incident</w:t>
            </w:r>
          </w:p>
        </w:tc>
        <w:tc>
          <w:tcPr>
            <w:tcW w:w="1250" w:type="pct"/>
            <w:shd w:val="clear" w:color="auto" w:fill="F2F2F2" w:themeFill="background2" w:themeFillShade="F2"/>
            <w:vAlign w:val="center"/>
          </w:tcPr>
          <w:p w14:paraId="3CAACBA5" w14:textId="7B37C403" w:rsidR="00BE0785" w:rsidRPr="00FD765A" w:rsidRDefault="00322DD6" w:rsidP="001C02AC">
            <w:pPr>
              <w:spacing w:before="60" w:after="60" w:line="259" w:lineRule="auto"/>
              <w:rPr>
                <w:rFonts w:eastAsia="MS Mincho" w:cs="Times New Roman"/>
                <w:color w:val="000000" w:themeColor="text1"/>
                <w:lang w:val="en-US"/>
              </w:rPr>
            </w:pPr>
            <w:r>
              <w:rPr>
                <w:rFonts w:eastAsia="MS Mincho" w:cs="Times New Roman"/>
                <w:color w:val="000000" w:themeColor="text1"/>
                <w:lang w:val="en-US"/>
              </w:rPr>
              <w:t>72.0</w:t>
            </w:r>
          </w:p>
        </w:tc>
        <w:tc>
          <w:tcPr>
            <w:tcW w:w="1250" w:type="pct"/>
            <w:shd w:val="clear" w:color="auto" w:fill="F2F2F2" w:themeFill="background2" w:themeFillShade="F2"/>
            <w:vAlign w:val="center"/>
          </w:tcPr>
          <w:p w14:paraId="7F535579" w14:textId="46A23CD1" w:rsidR="00BE0785" w:rsidRPr="00FD765A" w:rsidRDefault="00966E2E" w:rsidP="001C02AC">
            <w:pPr>
              <w:spacing w:before="60" w:after="60" w:line="259" w:lineRule="auto"/>
              <w:rPr>
                <w:rFonts w:eastAsia="MS Mincho" w:cs="Times New Roman"/>
                <w:color w:val="000000" w:themeColor="text1"/>
                <w:lang w:val="en-US"/>
              </w:rPr>
            </w:pPr>
            <w:r>
              <w:rPr>
                <w:rFonts w:eastAsia="MS Mincho" w:cs="Times New Roman"/>
                <w:color w:val="000000" w:themeColor="text1"/>
                <w:lang w:val="en-US"/>
              </w:rPr>
              <w:t>48.0</w:t>
            </w:r>
          </w:p>
        </w:tc>
        <w:tc>
          <w:tcPr>
            <w:tcW w:w="1250" w:type="pct"/>
            <w:shd w:val="clear" w:color="auto" w:fill="F2F2F2" w:themeFill="background2" w:themeFillShade="F2"/>
            <w:vAlign w:val="center"/>
          </w:tcPr>
          <w:p w14:paraId="3B030FAC" w14:textId="31D212A9" w:rsidR="00BE0785" w:rsidRPr="00FD765A" w:rsidRDefault="00966E2E" w:rsidP="001C02AC">
            <w:pPr>
              <w:spacing w:before="60" w:after="60"/>
              <w:rPr>
                <w:rFonts w:eastAsia="MS Mincho" w:cs="Times New Roman"/>
                <w:color w:val="000000" w:themeColor="text1"/>
                <w:szCs w:val="20"/>
                <w:lang w:val="en-US"/>
              </w:rPr>
            </w:pPr>
            <w:r>
              <w:rPr>
                <w:rFonts w:eastAsia="MS Mincho" w:cs="Times New Roman"/>
                <w:color w:val="000000" w:themeColor="text1"/>
                <w:szCs w:val="20"/>
                <w:lang w:val="en-US"/>
              </w:rPr>
              <w:t>24.3</w:t>
            </w:r>
          </w:p>
        </w:tc>
      </w:tr>
      <w:tr w:rsidR="00BE0785" w:rsidRPr="00FD765A" w14:paraId="02319128" w14:textId="77777777" w:rsidTr="001C02AC">
        <w:trPr>
          <w:cantSplit/>
        </w:trPr>
        <w:tc>
          <w:tcPr>
            <w:tcW w:w="1250" w:type="pct"/>
            <w:vAlign w:val="center"/>
          </w:tcPr>
          <w:p w14:paraId="7D13208B" w14:textId="77777777" w:rsidR="00BE0785" w:rsidRPr="00FD765A" w:rsidRDefault="00BE0785" w:rsidP="001C02AC">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Approximate number of avoided incidents per annum required for a net benefit</w:t>
            </w:r>
          </w:p>
        </w:tc>
        <w:tc>
          <w:tcPr>
            <w:tcW w:w="1250" w:type="pct"/>
            <w:vAlign w:val="center"/>
          </w:tcPr>
          <w:p w14:paraId="61D47931" w14:textId="3B6C2A7A" w:rsidR="00BE0785" w:rsidRPr="00FD765A" w:rsidRDefault="00AA4A2C" w:rsidP="001C02AC">
            <w:pPr>
              <w:spacing w:before="60" w:after="60"/>
              <w:rPr>
                <w:rFonts w:eastAsia="MS Mincho" w:cs="Times New Roman"/>
                <w:color w:val="000000" w:themeColor="text1"/>
                <w:szCs w:val="20"/>
                <w:lang w:val="en-US"/>
              </w:rPr>
            </w:pPr>
            <w:r>
              <w:rPr>
                <w:rFonts w:eastAsia="MS Mincho" w:cs="Times New Roman"/>
                <w:color w:val="000000" w:themeColor="text1"/>
                <w:szCs w:val="20"/>
                <w:lang w:val="en-US"/>
              </w:rPr>
              <w:t>Less than 0.2</w:t>
            </w:r>
            <w:r w:rsidR="00CF6C14">
              <w:rPr>
                <w:rFonts w:eastAsia="MS Mincho" w:cs="Times New Roman"/>
                <w:color w:val="000000" w:themeColor="text1"/>
                <w:szCs w:val="20"/>
                <w:lang w:val="en-US"/>
              </w:rPr>
              <w:t xml:space="preserve"> </w:t>
            </w:r>
            <w:r w:rsidR="00BE0785" w:rsidRPr="00FD765A">
              <w:rPr>
                <w:rFonts w:eastAsia="MS Mincho" w:cs="Times New Roman"/>
                <w:color w:val="000000" w:themeColor="text1"/>
                <w:szCs w:val="20"/>
                <w:lang w:val="en-US"/>
              </w:rPr>
              <w:t>incidents every year</w:t>
            </w:r>
          </w:p>
        </w:tc>
        <w:tc>
          <w:tcPr>
            <w:tcW w:w="1250" w:type="pct"/>
            <w:vAlign w:val="center"/>
          </w:tcPr>
          <w:p w14:paraId="2F3A4104" w14:textId="5B39606B" w:rsidR="00BE0785" w:rsidRPr="00FD765A" w:rsidRDefault="00AA4A2C" w:rsidP="001C02AC">
            <w:pPr>
              <w:spacing w:before="60" w:after="60"/>
              <w:rPr>
                <w:rFonts w:eastAsia="MS Mincho" w:cs="Times New Roman"/>
                <w:color w:val="000000" w:themeColor="text1"/>
                <w:lang w:val="en-US"/>
              </w:rPr>
            </w:pPr>
            <w:r>
              <w:rPr>
                <w:rFonts w:eastAsia="MS Mincho" w:cs="Times New Roman"/>
                <w:color w:val="000000" w:themeColor="text1"/>
                <w:lang w:val="en-US"/>
              </w:rPr>
              <w:t>Less than 0.3</w:t>
            </w:r>
            <w:r w:rsidR="00BE0785" w:rsidRPr="7EBB1CEE">
              <w:rPr>
                <w:rFonts w:eastAsia="MS Mincho" w:cs="Times New Roman"/>
                <w:color w:val="000000" w:themeColor="text1"/>
                <w:lang w:val="en-US"/>
              </w:rPr>
              <w:t xml:space="preserve"> incidents per year</w:t>
            </w:r>
          </w:p>
        </w:tc>
        <w:tc>
          <w:tcPr>
            <w:tcW w:w="1250" w:type="pct"/>
            <w:vAlign w:val="center"/>
          </w:tcPr>
          <w:p w14:paraId="68DD05BA" w14:textId="5638B380" w:rsidR="00BE0785" w:rsidRPr="00FD765A" w:rsidRDefault="00BE0785" w:rsidP="001C02AC">
            <w:pPr>
              <w:spacing w:before="60" w:after="60"/>
              <w:rPr>
                <w:rFonts w:eastAsia="MS Mincho" w:cs="Times New Roman"/>
                <w:color w:val="000000" w:themeColor="text1"/>
                <w:szCs w:val="20"/>
                <w:lang w:val="en-US"/>
              </w:rPr>
            </w:pPr>
            <w:r w:rsidRPr="00FD765A">
              <w:rPr>
                <w:rFonts w:eastAsia="MS Mincho" w:cs="Times New Roman"/>
                <w:color w:val="000000" w:themeColor="text1"/>
                <w:szCs w:val="20"/>
                <w:lang w:val="en-US"/>
              </w:rPr>
              <w:t>Approximately</w:t>
            </w:r>
            <w:r w:rsidR="00CF6C14">
              <w:rPr>
                <w:rFonts w:eastAsia="MS Mincho" w:cs="Times New Roman"/>
                <w:color w:val="000000" w:themeColor="text1"/>
                <w:szCs w:val="20"/>
                <w:lang w:val="en-US"/>
              </w:rPr>
              <w:t xml:space="preserve"> </w:t>
            </w:r>
            <w:r w:rsidR="00AA4A2C">
              <w:rPr>
                <w:rFonts w:eastAsia="MS Mincho" w:cs="Times New Roman"/>
                <w:color w:val="000000" w:themeColor="text1"/>
                <w:szCs w:val="20"/>
                <w:lang w:val="en-US"/>
              </w:rPr>
              <w:t>0.5</w:t>
            </w:r>
            <w:r w:rsidRPr="00FD765A">
              <w:rPr>
                <w:rFonts w:eastAsia="MS Mincho" w:cs="Times New Roman"/>
                <w:color w:val="000000" w:themeColor="text1"/>
                <w:szCs w:val="20"/>
                <w:lang w:val="en-US"/>
              </w:rPr>
              <w:t xml:space="preserve"> incidents every year</w:t>
            </w:r>
          </w:p>
        </w:tc>
      </w:tr>
    </w:tbl>
    <w:p w14:paraId="429A642D" w14:textId="1CE92E49" w:rsidR="00BE0785" w:rsidRPr="00FD765A" w:rsidRDefault="00BE0785" w:rsidP="00BE0785">
      <w:pPr>
        <w:spacing w:before="240"/>
        <w:rPr>
          <w:rFonts w:cstheme="majorHAnsi"/>
          <w:sz w:val="22"/>
          <w:szCs w:val="28"/>
        </w:rPr>
      </w:pPr>
      <w:r w:rsidRPr="00FD765A">
        <w:rPr>
          <w:rFonts w:cstheme="majorHAnsi"/>
          <w:sz w:val="22"/>
          <w:szCs w:val="28"/>
        </w:rPr>
        <w:t>As noted above, the total direct ongoing cost for option 2 is expected to be $</w:t>
      </w:r>
      <w:r w:rsidR="00CF6C14">
        <w:rPr>
          <w:rFonts w:cstheme="majorHAnsi"/>
          <w:sz w:val="22"/>
          <w:szCs w:val="28"/>
        </w:rPr>
        <w:t>6</w:t>
      </w:r>
      <w:r w:rsidRPr="00FD765A">
        <w:rPr>
          <w:rFonts w:cstheme="majorHAnsi"/>
          <w:sz w:val="22"/>
          <w:szCs w:val="28"/>
        </w:rPr>
        <w:t>.</w:t>
      </w:r>
      <w:r w:rsidR="00CF6C14">
        <w:rPr>
          <w:rFonts w:cstheme="majorHAnsi"/>
          <w:sz w:val="22"/>
          <w:szCs w:val="28"/>
        </w:rPr>
        <w:t>6</w:t>
      </w:r>
      <w:r w:rsidRPr="00FD765A">
        <w:rPr>
          <w:rFonts w:cstheme="majorHAnsi"/>
          <w:color w:val="FF9933"/>
          <w:sz w:val="22"/>
          <w:szCs w:val="28"/>
        </w:rPr>
        <w:t xml:space="preserve"> </w:t>
      </w:r>
      <w:r w:rsidRPr="00FD765A">
        <w:rPr>
          <w:rFonts w:cstheme="majorHAnsi"/>
          <w:sz w:val="22"/>
          <w:szCs w:val="28"/>
        </w:rPr>
        <w:t>million per annum plus direct one-off costs of $</w:t>
      </w:r>
      <w:r w:rsidR="00CF6C14">
        <w:rPr>
          <w:rFonts w:cstheme="majorHAnsi"/>
          <w:sz w:val="22"/>
          <w:szCs w:val="28"/>
        </w:rPr>
        <w:t>12.2</w:t>
      </w:r>
      <w:r w:rsidRPr="00FD765A">
        <w:rPr>
          <w:rFonts w:cstheme="majorHAnsi"/>
          <w:sz w:val="22"/>
          <w:szCs w:val="28"/>
        </w:rPr>
        <w:t xml:space="preserve"> million. However, the cost of the risk management program framework would also have other indirect costs flowing from increased </w:t>
      </w:r>
      <w:r w:rsidR="00192C24">
        <w:rPr>
          <w:rFonts w:cstheme="majorHAnsi"/>
          <w:sz w:val="22"/>
          <w:szCs w:val="28"/>
        </w:rPr>
        <w:t>food and grocery</w:t>
      </w:r>
      <w:r w:rsidRPr="00FD765A">
        <w:rPr>
          <w:rFonts w:cstheme="majorHAnsi"/>
          <w:sz w:val="22"/>
          <w:szCs w:val="28"/>
        </w:rPr>
        <w:t xml:space="preserve"> prices passed onto consumers from the framework’s implementation. </w:t>
      </w:r>
    </w:p>
    <w:p w14:paraId="3801F87A" w14:textId="785A2B54" w:rsidR="00BE0785" w:rsidRPr="00FD765A" w:rsidRDefault="00BE0785" w:rsidP="00BE0785">
      <w:pPr>
        <w:rPr>
          <w:rFonts w:cstheme="majorBidi"/>
          <w:sz w:val="22"/>
          <w:highlight w:val="yellow"/>
        </w:rPr>
      </w:pPr>
      <w:r w:rsidRPr="7EBB1CEE">
        <w:rPr>
          <w:rFonts w:cstheme="majorBidi"/>
          <w:sz w:val="22"/>
        </w:rPr>
        <w:t xml:space="preserve">After considering the economy-wide impact of this change to the cost of providing </w:t>
      </w:r>
      <w:r w:rsidR="00CC49AD">
        <w:rPr>
          <w:rFonts w:cstheme="majorBidi"/>
          <w:sz w:val="22"/>
        </w:rPr>
        <w:t>food and groceries</w:t>
      </w:r>
      <w:r w:rsidRPr="7EBB1CEE">
        <w:rPr>
          <w:rFonts w:cstheme="majorBidi"/>
          <w:sz w:val="22"/>
        </w:rPr>
        <w:t xml:space="preserve">, the </w:t>
      </w:r>
      <w:r w:rsidRPr="0021069F">
        <w:rPr>
          <w:rFonts w:cstheme="majorBidi"/>
          <w:sz w:val="22"/>
        </w:rPr>
        <w:t>total economic cost of the regulatory changes, including direct and indirect costs would be approximately $</w:t>
      </w:r>
      <w:r w:rsidR="004419B2" w:rsidRPr="0021069F">
        <w:rPr>
          <w:rFonts w:cstheme="majorBidi"/>
          <w:sz w:val="22"/>
        </w:rPr>
        <w:t>1</w:t>
      </w:r>
      <w:r w:rsidR="001121CD" w:rsidRPr="0021069F">
        <w:rPr>
          <w:rFonts w:cstheme="majorBidi"/>
          <w:sz w:val="22"/>
        </w:rPr>
        <w:t>2.5</w:t>
      </w:r>
      <w:r w:rsidR="000426AB" w:rsidRPr="0021069F">
        <w:rPr>
          <w:rFonts w:cstheme="majorBidi"/>
          <w:sz w:val="22"/>
        </w:rPr>
        <w:t xml:space="preserve"> </w:t>
      </w:r>
      <w:r w:rsidRPr="0021069F">
        <w:rPr>
          <w:rFonts w:cstheme="majorBidi"/>
          <w:sz w:val="22"/>
        </w:rPr>
        <w:t>million per year.</w:t>
      </w:r>
      <w:r w:rsidRPr="0021069F">
        <w:rPr>
          <w:rFonts w:cstheme="majorBidi"/>
          <w:sz w:val="22"/>
          <w:vertAlign w:val="superscript"/>
        </w:rPr>
        <w:footnoteReference w:id="399"/>
      </w:r>
      <w:r w:rsidRPr="0021069F">
        <w:rPr>
          <w:rFonts w:cstheme="majorBidi"/>
          <w:sz w:val="22"/>
        </w:rPr>
        <w:t xml:space="preserve"> In order for the regulatory changes to generate a net benefit, the proposed risk management program framework would need to contribute to the prevention of approximately 0.</w:t>
      </w:r>
      <w:r w:rsidR="00AA4A2C" w:rsidRPr="0021069F">
        <w:rPr>
          <w:rFonts w:cstheme="majorBidi"/>
          <w:sz w:val="22"/>
        </w:rPr>
        <w:t>2</w:t>
      </w:r>
      <w:r w:rsidRPr="0021069F">
        <w:rPr>
          <w:rFonts w:cstheme="majorBidi"/>
          <w:sz w:val="22"/>
        </w:rPr>
        <w:t xml:space="preserve"> severe scenario incidents every year, 0.</w:t>
      </w:r>
      <w:r w:rsidR="00AA4A2C" w:rsidRPr="0021069F">
        <w:rPr>
          <w:rFonts w:cstheme="majorBidi"/>
          <w:sz w:val="22"/>
        </w:rPr>
        <w:t>3</w:t>
      </w:r>
      <w:r w:rsidRPr="0021069F">
        <w:rPr>
          <w:rFonts w:cstheme="majorBidi"/>
          <w:sz w:val="22"/>
        </w:rPr>
        <w:t xml:space="preserve"> moderate scenario incidents every year or </w:t>
      </w:r>
      <w:r w:rsidR="00AA4A2C" w:rsidRPr="0021069F">
        <w:rPr>
          <w:rFonts w:cstheme="majorBidi"/>
          <w:sz w:val="22"/>
        </w:rPr>
        <w:t>0.5</w:t>
      </w:r>
      <w:r w:rsidRPr="0021069F">
        <w:rPr>
          <w:rFonts w:cstheme="majorBidi"/>
          <w:sz w:val="22"/>
        </w:rPr>
        <w:t xml:space="preserve"> low scenario</w:t>
      </w:r>
      <w:r w:rsidRPr="7EBB1CEE">
        <w:rPr>
          <w:rFonts w:cstheme="majorBidi"/>
          <w:sz w:val="22"/>
        </w:rPr>
        <w:t xml:space="preserve"> incidents every year to generate a net benefit. </w:t>
      </w:r>
    </w:p>
    <w:p w14:paraId="3EA640E7" w14:textId="77777777" w:rsidR="00BE0785" w:rsidRPr="00FD765A" w:rsidRDefault="00BE0785" w:rsidP="00BE0785">
      <w:pPr>
        <w:rPr>
          <w:rFonts w:eastAsia="Arial" w:cstheme="majorHAnsi"/>
          <w:sz w:val="22"/>
          <w:szCs w:val="28"/>
        </w:rPr>
      </w:pPr>
      <w:r w:rsidRPr="00FD765A">
        <w:rPr>
          <w:rFonts w:cstheme="majorHAnsi"/>
          <w:sz w:val="22"/>
          <w:szCs w:val="28"/>
        </w:rPr>
        <w:t xml:space="preserve">It is important to note that the economic analysis of the above scenarios does not incorporate all direct avoided costs incurred by all future incidents. The avoided costs included are only those which were directly and immediately incurred as a result of the incidents modelled. In the broader context of a potential future disruption, in addition to the above estimate of benefits would be the avoided costs of recovery (repair costs, costs of resulting mitigations) from high value, specific circumstances which were not experienced during the modelled incidents. </w:t>
      </w:r>
    </w:p>
    <w:p w14:paraId="0B14BCEE" w14:textId="52813FFE" w:rsidR="00BE0785" w:rsidRPr="00FD765A" w:rsidRDefault="00BE0785" w:rsidP="00BE0785">
      <w:pPr>
        <w:rPr>
          <w:rFonts w:eastAsia="Calibri" w:cstheme="majorHAnsi"/>
          <w:sz w:val="22"/>
          <w:szCs w:val="28"/>
        </w:rPr>
      </w:pPr>
      <w:r w:rsidRPr="00FD765A">
        <w:rPr>
          <w:rFonts w:cstheme="majorHAnsi"/>
          <w:sz w:val="22"/>
          <w:szCs w:val="28"/>
        </w:rPr>
        <w:t xml:space="preserve">Further, the increasing frequency of incidents as described in section 1.1 makes the proposed risk management program framework more certain over time to exceed the anticipated costs. </w:t>
      </w:r>
      <w:r w:rsidRPr="00FD765A">
        <w:rPr>
          <w:rFonts w:eastAsia="Calibri" w:cstheme="majorHAnsi"/>
          <w:sz w:val="22"/>
          <w:szCs w:val="28"/>
        </w:rPr>
        <w:t xml:space="preserve">The examples referred to in that section demonstrate the increasing need for adequate protections against the security and resilience of critical </w:t>
      </w:r>
      <w:r w:rsidR="00192C24">
        <w:rPr>
          <w:rFonts w:eastAsia="Calibri" w:cstheme="majorHAnsi"/>
          <w:sz w:val="22"/>
          <w:szCs w:val="28"/>
        </w:rPr>
        <w:t>food and grocery</w:t>
      </w:r>
      <w:r w:rsidRPr="00FD765A">
        <w:rPr>
          <w:rFonts w:eastAsia="Calibri" w:cstheme="majorHAnsi"/>
          <w:sz w:val="22"/>
          <w:szCs w:val="28"/>
        </w:rPr>
        <w:t xml:space="preserve"> services assets, and the increased likelihood that the benefits of the draft risk management program framework will exceed the costs outlined in this section.</w:t>
      </w:r>
    </w:p>
    <w:p w14:paraId="35A0B63A" w14:textId="77777777" w:rsidR="00BE0785" w:rsidRDefault="00BE0785" w:rsidP="00BE0785">
      <w:pPr>
        <w:pStyle w:val="BodyText"/>
        <w:rPr>
          <w:lang w:eastAsia="en-AU"/>
        </w:rPr>
      </w:pPr>
    </w:p>
    <w:p w14:paraId="717B98A6" w14:textId="77777777" w:rsidR="00BE0785" w:rsidRPr="00996FE9" w:rsidRDefault="00BE0785" w:rsidP="00BE0785">
      <w:pPr>
        <w:rPr>
          <w:lang w:eastAsia="en-AU"/>
        </w:rPr>
      </w:pPr>
    </w:p>
    <w:p w14:paraId="2D9C0062" w14:textId="77777777" w:rsidR="00BE0785" w:rsidRPr="009C254D" w:rsidRDefault="00BE0785" w:rsidP="00BE0785">
      <w:pPr>
        <w:keepNext/>
        <w:keepLines/>
        <w:tabs>
          <w:tab w:val="left" w:pos="851"/>
        </w:tabs>
        <w:spacing w:before="360" w:after="240"/>
        <w:outlineLvl w:val="1"/>
        <w:rPr>
          <w:rFonts w:asciiTheme="majorHAnsi" w:eastAsia="Calibri" w:hAnsiTheme="majorHAnsi" w:cs="Arial"/>
          <w:b/>
          <w:bCs/>
          <w:color w:val="007BC3" w:themeColor="accent2"/>
          <w:sz w:val="28"/>
          <w:szCs w:val="28"/>
          <w:lang w:eastAsia="en-AU"/>
        </w:rPr>
      </w:pPr>
      <w:r w:rsidRPr="009C254D">
        <w:rPr>
          <w:rFonts w:asciiTheme="majorHAnsi" w:eastAsia="Times New Roman" w:hAnsiTheme="majorHAnsi" w:cs="Arial"/>
          <w:b/>
          <w:bCs/>
          <w:color w:val="007BC3" w:themeColor="accent2"/>
          <w:sz w:val="28"/>
          <w:szCs w:val="28"/>
          <w:lang w:eastAsia="en-AU"/>
        </w:rPr>
        <w:lastRenderedPageBreak/>
        <w:t>Assessment of likely net benefit</w:t>
      </w:r>
    </w:p>
    <w:p w14:paraId="54C76E9E" w14:textId="5BD4B3B4" w:rsidR="00BE0785" w:rsidRPr="009C254D" w:rsidRDefault="00BE0785" w:rsidP="00BE0785">
      <w:pPr>
        <w:rPr>
          <w:rFonts w:cstheme="majorHAnsi"/>
          <w:sz w:val="22"/>
          <w:szCs w:val="28"/>
        </w:rPr>
      </w:pPr>
      <w:r w:rsidRPr="009C254D">
        <w:rPr>
          <w:rFonts w:cstheme="majorHAnsi"/>
          <w:sz w:val="22"/>
          <w:szCs w:val="28"/>
        </w:rPr>
        <w:t xml:space="preserve">The likely benefits of option 2 will be at least (and are expected to be more than) the costs of the regulation. This is primarily because, as described above and throughout this RIS, the frequency and severity of all hazard risks for critical </w:t>
      </w:r>
      <w:r w:rsidR="00CC49AD">
        <w:rPr>
          <w:rFonts w:cstheme="majorHAnsi"/>
          <w:sz w:val="22"/>
          <w:szCs w:val="28"/>
        </w:rPr>
        <w:t>food and grocery</w:t>
      </w:r>
      <w:r w:rsidRPr="009C254D">
        <w:rPr>
          <w:rFonts w:cstheme="majorHAnsi"/>
          <w:sz w:val="22"/>
          <w:szCs w:val="28"/>
        </w:rPr>
        <w:t xml:space="preserve"> assets are growing. While some events of the magnitude described in this RIS have previously been considered to represent the worst-case disruption scenarios in Australia, the increasing severity and frequency of similar incidents, particularly in the context of growing cybersecurity incidents, represents a risk to the whole economy. The increasing frequency of incidents, as described above, makes the proposed risk management program framework more likely to exceed the anticipated costs over time. </w:t>
      </w:r>
    </w:p>
    <w:p w14:paraId="01EB7407" w14:textId="77777777" w:rsidR="00BE0785" w:rsidRPr="009C254D" w:rsidRDefault="00BE0785" w:rsidP="00BE0785">
      <w:pPr>
        <w:rPr>
          <w:rFonts w:cstheme="majorHAnsi"/>
          <w:sz w:val="22"/>
          <w:szCs w:val="28"/>
        </w:rPr>
      </w:pPr>
      <w:r w:rsidRPr="009C254D">
        <w:rPr>
          <w:rFonts w:cstheme="majorHAnsi"/>
          <w:sz w:val="22"/>
          <w:szCs w:val="28"/>
        </w:rPr>
        <w:t>Further, through pursuit of option 2, the identification, mitigation and remediation of such hazards, should they occur, will be improved through:</w:t>
      </w:r>
    </w:p>
    <w:p w14:paraId="40CECEBD" w14:textId="4BF2C778" w:rsidR="00BE0785" w:rsidRPr="009C254D" w:rsidRDefault="00BE0785" w:rsidP="00BE0785">
      <w:pPr>
        <w:numPr>
          <w:ilvl w:val="0"/>
          <w:numId w:val="57"/>
        </w:numPr>
        <w:rPr>
          <w:rFonts w:cstheme="majorBidi"/>
          <w:sz w:val="22"/>
        </w:rPr>
      </w:pPr>
      <w:r w:rsidRPr="7EBB1CEE">
        <w:rPr>
          <w:rFonts w:cstheme="majorBidi"/>
          <w:sz w:val="22"/>
        </w:rPr>
        <w:t xml:space="preserve">Lowering the material risk of hazards and subsequent impacts of those hazards, as they manifest for critical </w:t>
      </w:r>
      <w:r w:rsidR="00192C24">
        <w:rPr>
          <w:rFonts w:cstheme="majorBidi"/>
          <w:sz w:val="22"/>
        </w:rPr>
        <w:t>food and grocery</w:t>
      </w:r>
      <w:r w:rsidRPr="7EBB1CEE">
        <w:rPr>
          <w:rFonts w:cstheme="majorBidi"/>
          <w:sz w:val="22"/>
        </w:rPr>
        <w:t xml:space="preserve"> assets; </w:t>
      </w:r>
    </w:p>
    <w:p w14:paraId="58DE0A38" w14:textId="36AA83D3" w:rsidR="00BE0785" w:rsidRPr="009C254D" w:rsidRDefault="00BE0785" w:rsidP="00BE0785">
      <w:pPr>
        <w:numPr>
          <w:ilvl w:val="0"/>
          <w:numId w:val="57"/>
        </w:numPr>
        <w:rPr>
          <w:rFonts w:cstheme="majorBidi"/>
          <w:sz w:val="22"/>
        </w:rPr>
      </w:pPr>
      <w:r w:rsidRPr="7EBB1CEE">
        <w:rPr>
          <w:rFonts w:cstheme="majorBidi"/>
          <w:sz w:val="22"/>
        </w:rPr>
        <w:t xml:space="preserve">Ensuring that adoption of the risk management program framework for critical </w:t>
      </w:r>
      <w:r w:rsidR="00192C24">
        <w:rPr>
          <w:rFonts w:cstheme="majorBidi"/>
          <w:sz w:val="22"/>
        </w:rPr>
        <w:t>food and grocery</w:t>
      </w:r>
      <w:r w:rsidRPr="7EBB1CEE">
        <w:rPr>
          <w:rFonts w:cstheme="majorBidi"/>
          <w:sz w:val="22"/>
        </w:rPr>
        <w:t xml:space="preserve"> assets is reasonable and proportionate to the purpose of the program; </w:t>
      </w:r>
    </w:p>
    <w:p w14:paraId="593AE3DA" w14:textId="77777777" w:rsidR="00BE0785" w:rsidRPr="009C254D" w:rsidRDefault="00BE0785" w:rsidP="00BE0785">
      <w:pPr>
        <w:numPr>
          <w:ilvl w:val="0"/>
          <w:numId w:val="57"/>
        </w:numPr>
        <w:rPr>
          <w:rFonts w:cstheme="majorBidi"/>
          <w:sz w:val="22"/>
        </w:rPr>
      </w:pPr>
      <w:r w:rsidRPr="7EBB1CEE">
        <w:rPr>
          <w:rFonts w:cstheme="majorBidi"/>
          <w:sz w:val="22"/>
        </w:rPr>
        <w:t xml:space="preserve">Avoiding regulatory duplication and facilitating a coordinated uplift in responsible entities’ compliance with relevant standards; and </w:t>
      </w:r>
    </w:p>
    <w:p w14:paraId="43441669" w14:textId="68A495D8" w:rsidR="00BE0785" w:rsidRDefault="00BE0785" w:rsidP="00BE0785">
      <w:pPr>
        <w:numPr>
          <w:ilvl w:val="0"/>
          <w:numId w:val="57"/>
        </w:numPr>
        <w:rPr>
          <w:rFonts w:cstheme="majorBidi"/>
          <w:sz w:val="22"/>
        </w:rPr>
      </w:pPr>
      <w:r w:rsidRPr="7EBB1CEE">
        <w:rPr>
          <w:rFonts w:cstheme="majorBidi"/>
          <w:sz w:val="22"/>
        </w:rPr>
        <w:t xml:space="preserve">Improving Government’s visibility over the security and resilience of critical </w:t>
      </w:r>
      <w:r w:rsidR="00192C24">
        <w:rPr>
          <w:rFonts w:cstheme="majorBidi"/>
          <w:sz w:val="22"/>
        </w:rPr>
        <w:t>food and grocery</w:t>
      </w:r>
      <w:r w:rsidRPr="7EBB1CEE">
        <w:rPr>
          <w:rFonts w:cstheme="majorBidi"/>
          <w:sz w:val="22"/>
        </w:rPr>
        <w:t xml:space="preserve"> assets. </w:t>
      </w:r>
    </w:p>
    <w:p w14:paraId="24735F1E" w14:textId="363D31BD" w:rsidR="00996FE9" w:rsidRPr="00996FE9" w:rsidRDefault="0079227C" w:rsidP="002F57EB">
      <w:pPr>
        <w:rPr>
          <w:lang w:eastAsia="en-AU"/>
        </w:rPr>
      </w:pPr>
      <w:r>
        <w:rPr>
          <w:rFonts w:cstheme="majorBidi"/>
          <w:sz w:val="22"/>
        </w:rPr>
        <w:t xml:space="preserve">Overall, these factors and the specific costs and benefits described above mean the likely net benefit associated with option 2 is high. </w:t>
      </w:r>
    </w:p>
    <w:sectPr w:rsidR="00996FE9" w:rsidRPr="00996FE9" w:rsidSect="00553A95">
      <w:headerReference w:type="even" r:id="rId65"/>
      <w:headerReference w:type="default" r:id="rId66"/>
      <w:footerReference w:type="even" r:id="rId67"/>
      <w:footerReference w:type="default" r:id="rId68"/>
      <w:headerReference w:type="first" r:id="rId69"/>
      <w:footerReference w:type="first" r:id="rId70"/>
      <w:pgSz w:w="11906" w:h="16838" w:code="9"/>
      <w:pgMar w:top="0" w:right="1134" w:bottom="1134" w:left="1134" w:header="0" w:footer="56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E4758" w16cex:dateUtc="2022-11-03T02:57:00Z"/>
  <w16cex:commentExtensible w16cex:durableId="2728CB8D" w16cex:dateUtc="2022-11-23T05:40:00Z"/>
  <w16cex:commentExtensible w16cex:durableId="2718FB22" w16cex:dateUtc="2022-11-11T05:47:00Z"/>
  <w16cex:commentExtensible w16cex:durableId="2718FDB2" w16cex:dateUtc="2022-11-11T05:58:00Z"/>
  <w16cex:commentExtensible w16cex:durableId="2718FE7B" w16cex:dateUtc="2022-11-11T06:01:00Z"/>
  <w16cex:commentExtensible w16cex:durableId="270A6F6D" w16cex:dateUtc="2022-10-31T04:59:00Z"/>
  <w16cex:commentExtensible w16cex:durableId="2718FEB2" w16cex:dateUtc="2022-11-11T06:02:00Z"/>
  <w16cex:commentExtensible w16cex:durableId="27190085" w16cex:dateUtc="2022-11-11T06:10:00Z"/>
  <w16cex:commentExtensible w16cex:durableId="2728CFB6" w16cex:dateUtc="2022-11-23T05:58:00Z"/>
  <w16cex:commentExtensible w16cex:durableId="270EBC32" w16cex:dateUtc="2022-11-03T11:16:00Z"/>
  <w16cex:commentExtensible w16cex:durableId="27190309" w16cex:dateUtc="2022-11-11T06:21:00Z"/>
  <w16cex:commentExtensible w16cex:durableId="271BA992" w16cex:dateUtc="2022-11-13T06: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5595E1" w16cid:durableId="270E4758"/>
  <w16cid:commentId w16cid:paraId="6920E244" w16cid:durableId="2728CB8D"/>
  <w16cid:commentId w16cid:paraId="34BE1744" w16cid:durableId="2718FB22"/>
  <w16cid:commentId w16cid:paraId="660C4867" w16cid:durableId="2718FDB2"/>
  <w16cid:commentId w16cid:paraId="230FC2E6" w16cid:durableId="2718FE7B"/>
  <w16cid:commentId w16cid:paraId="21CDF1A9" w16cid:durableId="270A6F6D"/>
  <w16cid:commentId w16cid:paraId="4902E465" w16cid:durableId="2718FEB2"/>
  <w16cid:commentId w16cid:paraId="2DCEB711" w16cid:durableId="27190085"/>
  <w16cid:commentId w16cid:paraId="28DB3AF2" w16cid:durableId="2728CFB6"/>
  <w16cid:commentId w16cid:paraId="7048662F" w16cid:durableId="270EBC32"/>
  <w16cid:commentId w16cid:paraId="19B53324" w16cid:durableId="27190309"/>
  <w16cid:commentId w16cid:paraId="2AE44871" w16cid:durableId="271BA99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B8C278" w14:textId="77777777" w:rsidR="00FC417C" w:rsidRDefault="00FC417C" w:rsidP="00185154">
      <w:r>
        <w:separator/>
      </w:r>
    </w:p>
    <w:p w14:paraId="3F0916A3" w14:textId="77777777" w:rsidR="00FC417C" w:rsidRDefault="00FC417C"/>
  </w:endnote>
  <w:endnote w:type="continuationSeparator" w:id="0">
    <w:p w14:paraId="1E1C54E8" w14:textId="77777777" w:rsidR="00FC417C" w:rsidRDefault="00FC417C" w:rsidP="00185154">
      <w:r>
        <w:continuationSeparator/>
      </w:r>
    </w:p>
    <w:p w14:paraId="3FF20712" w14:textId="77777777" w:rsidR="00FC417C" w:rsidRDefault="00FC417C"/>
  </w:endnote>
  <w:endnote w:type="continuationNotice" w:id="1">
    <w:p w14:paraId="5CF7E7AF" w14:textId="77777777" w:rsidR="00FC417C" w:rsidRDefault="00FC41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45 Light">
    <w:charset w:val="00"/>
    <w:family w:val="auto"/>
    <w:pitch w:val="variable"/>
    <w:sig w:usb0="8000002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9999999">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T Serif">
    <w:altName w:val="Times New Roman"/>
    <w:charset w:val="00"/>
    <w:family w:val="roman"/>
    <w:pitch w:val="variable"/>
    <w:sig w:usb0="A00002EF" w:usb1="5000204B" w:usb2="00000000" w:usb3="00000000" w:csb0="00000097" w:csb1="00000000"/>
  </w:font>
  <w:font w:name="Source Sans Pro">
    <w:altName w:val="Cambria Math"/>
    <w:charset w:val="00"/>
    <w:family w:val="swiss"/>
    <w:pitch w:val="variable"/>
    <w:sig w:usb0="600002F7" w:usb1="02000001" w:usb2="00000000" w:usb3="00000000" w:csb0="0000019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DD807" w14:textId="77777777" w:rsidR="00AF3B5C" w:rsidRDefault="00AF3B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DB645" w14:textId="77777777" w:rsidR="000D213D" w:rsidRDefault="000D213D" w:rsidP="001E2EFC">
    <w:pPr>
      <w:pStyle w:val="Footer"/>
      <w:framePr w:wrap="around" w:vAnchor="text" w:hAnchor="margin" w:xAlign="right" w:y="1"/>
      <w:rPr>
        <w:rStyle w:val="PageNumber"/>
      </w:rPr>
    </w:pPr>
  </w:p>
  <w:p w14:paraId="36E651D4" w14:textId="1B56D069" w:rsidR="000D213D" w:rsidRPr="00CD6FF2" w:rsidRDefault="000D213D" w:rsidP="00842EA4">
    <w:pPr>
      <w:pStyle w:val="Protection"/>
      <w:spacing w:before="200"/>
      <w:rPr>
        <w:sz w:val="20"/>
        <w:szCs w:val="20"/>
      </w:rPr>
    </w:pPr>
    <w:r w:rsidRPr="00C63B32">
      <w:rPr>
        <w:noProof/>
        <w:color w:val="DA0000"/>
        <w:lang w:eastAsia="en-AU"/>
      </w:rPr>
      <mc:AlternateContent>
        <mc:Choice Requires="wps">
          <w:drawing>
            <wp:anchor distT="45720" distB="45720" distL="114300" distR="114300" simplePos="0" relativeHeight="251658241" behindDoc="0" locked="1" layoutInCell="1" allowOverlap="1" wp14:anchorId="35D9FD72" wp14:editId="64F1702F">
              <wp:simplePos x="0" y="0"/>
              <wp:positionH relativeFrom="margin">
                <wp:align>left</wp:align>
              </wp:positionH>
              <wp:positionV relativeFrom="page">
                <wp:posOffset>9937115</wp:posOffset>
              </wp:positionV>
              <wp:extent cx="2333625" cy="361950"/>
              <wp:effectExtent l="0" t="0" r="9525" b="0"/>
              <wp:wrapNone/>
              <wp:docPr id="6" name="Text Box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768" cy="361950"/>
                      </a:xfrm>
                      <a:prstGeom prst="rect">
                        <a:avLst/>
                      </a:prstGeom>
                      <a:noFill/>
                      <a:ln w="9525">
                        <a:noFill/>
                        <a:miter lim="800000"/>
                        <a:headEnd/>
                        <a:tailEnd/>
                      </a:ln>
                    </wps:spPr>
                    <wps:txbx>
                      <w:txbxContent>
                        <w:p w14:paraId="1BCB709F" w14:textId="77777777" w:rsidR="000D213D" w:rsidRPr="00691AE3" w:rsidRDefault="000D213D" w:rsidP="009A52E2">
                          <w:pPr>
                            <w:rPr>
                              <w:sz w:val="16"/>
                              <w:szCs w:val="16"/>
                            </w:rPr>
                          </w:pPr>
                          <w:r w:rsidRPr="00691AE3">
                            <w:rPr>
                              <w:sz w:val="16"/>
                              <w:szCs w:val="16"/>
                            </w:rPr>
                            <w:t>Regulation impact statement: a</w:t>
                          </w:r>
                          <w:r>
                            <w:rPr>
                              <w:sz w:val="16"/>
                              <w:szCs w:val="16"/>
                            </w:rPr>
                            <w:t xml:space="preserve"> risk management program</w:t>
                          </w:r>
                          <w:r w:rsidRPr="00691AE3">
                            <w:rPr>
                              <w:sz w:val="16"/>
                              <w:szCs w:val="16"/>
                            </w:rPr>
                            <w:t xml:space="preserve"> framework for</w:t>
                          </w:r>
                          <w:r>
                            <w:rPr>
                              <w:sz w:val="16"/>
                              <w:szCs w:val="16"/>
                            </w:rPr>
                            <w:t xml:space="preserve"> critical infrastructure assets</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5D9FD72" id="_x0000_t202" coordsize="21600,21600" o:spt="202" path="m,l,21600r21600,l21600,xe">
              <v:stroke joinstyle="miter"/>
              <v:path gradientshapeok="t" o:connecttype="rect"/>
            </v:shapetype>
            <v:shape id="Text Box 2" o:spid="_x0000_s1026" type="#_x0000_t202" style="position:absolute;left:0;text-align:left;margin-left:0;margin-top:782.45pt;width:183.75pt;height:28.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" filled="f" stroked="f">
              <v:textbox inset="0,0,0,0">
                <w:txbxContent>
                  <w:p w14:paraId="1BCB709F" w14:textId="77777777" w:rsidR="000D213D" w:rsidRPr="00691AE3" w:rsidRDefault="000D213D" w:rsidP="009A52E2">
                    <w:pPr>
                      <w:rPr>
                        <w:sz w:val="16"/>
                        <w:szCs w:val="16"/>
                      </w:rPr>
                    </w:pPr>
                    <w:r w:rsidRPr="00691AE3">
                      <w:rPr>
                        <w:sz w:val="16"/>
                        <w:szCs w:val="16"/>
                      </w:rPr>
                      <w:t>Regulation impact statement: a</w:t>
                    </w:r>
                    <w:r>
                      <w:rPr>
                        <w:sz w:val="16"/>
                        <w:szCs w:val="16"/>
                      </w:rPr>
                      <w:t xml:space="preserve"> risk management program</w:t>
                    </w:r>
                    <w:r w:rsidRPr="00691AE3">
                      <w:rPr>
                        <w:sz w:val="16"/>
                        <w:szCs w:val="16"/>
                      </w:rPr>
                      <w:t xml:space="preserve"> framework for</w:t>
                    </w:r>
                    <w:r>
                      <w:rPr>
                        <w:sz w:val="16"/>
                        <w:szCs w:val="16"/>
                      </w:rPr>
                      <w:t xml:space="preserve"> critical infrastructure assets</w:t>
                    </w:r>
                  </w:p>
                </w:txbxContent>
              </v:textbox>
              <w10:wrap anchorx="margin" anchory="page"/>
              <w10:anchorlock/>
            </v:shape>
          </w:pict>
        </mc:Fallback>
      </mc:AlternateContent>
    </w:r>
    <w:r w:rsidRPr="00C63B32">
      <w:rPr>
        <w:noProof/>
        <w:color w:val="DA0000"/>
        <w:lang w:eastAsia="en-AU"/>
      </w:rPr>
      <mc:AlternateContent>
        <mc:Choice Requires="wps">
          <w:drawing>
            <wp:anchor distT="45720" distB="45720" distL="114300" distR="114300" simplePos="0" relativeHeight="251658240" behindDoc="0" locked="1" layoutInCell="1" allowOverlap="1" wp14:anchorId="60419437" wp14:editId="25419C8B">
              <wp:simplePos x="0" y="0"/>
              <wp:positionH relativeFrom="margin">
                <wp:posOffset>5140960</wp:posOffset>
              </wp:positionH>
              <wp:positionV relativeFrom="page">
                <wp:posOffset>9937750</wp:posOffset>
              </wp:positionV>
              <wp:extent cx="968375" cy="348615"/>
              <wp:effectExtent l="0" t="0" r="3175" b="0"/>
              <wp:wrapNone/>
              <wp:docPr id="217" name="Text Box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48615"/>
                      </a:xfrm>
                      <a:prstGeom prst="rect">
                        <a:avLst/>
                      </a:prstGeom>
                      <a:solidFill>
                        <a:srgbClr val="FFFFFF"/>
                      </a:solidFill>
                      <a:ln w="9525">
                        <a:noFill/>
                        <a:miter lim="800000"/>
                        <a:headEnd/>
                        <a:tailEnd/>
                      </a:ln>
                    </wps:spPr>
                    <wps:txbx>
                      <w:txbxContent>
                        <w:p w14:paraId="7C257EE9" w14:textId="7239284F" w:rsidR="000D213D" w:rsidRPr="001E2C91" w:rsidRDefault="000D213D" w:rsidP="00C63B32">
                          <w:pPr>
                            <w:jc w:val="right"/>
                            <w:rPr>
                              <w:sz w:val="16"/>
                              <w:szCs w:val="16"/>
                            </w:rPr>
                          </w:pPr>
                          <w:r w:rsidRPr="001E2C91">
                            <w:rPr>
                              <w:sz w:val="16"/>
                              <w:szCs w:val="16"/>
                            </w:rPr>
                            <w:t xml:space="preserve">Page </w:t>
                          </w:r>
                          <w:r w:rsidRPr="001E2C91">
                            <w:rPr>
                              <w:b/>
                              <w:bCs/>
                              <w:sz w:val="16"/>
                              <w:szCs w:val="16"/>
                            </w:rPr>
                            <w:fldChar w:fldCharType="begin"/>
                          </w:r>
                          <w:r w:rsidRPr="001E2C91">
                            <w:rPr>
                              <w:b/>
                              <w:bCs/>
                              <w:sz w:val="16"/>
                              <w:szCs w:val="16"/>
                            </w:rPr>
                            <w:instrText xml:space="preserve"> PAGE  \* Arabic  \* MERGEFORMAT </w:instrText>
                          </w:r>
                          <w:r w:rsidRPr="001E2C91">
                            <w:rPr>
                              <w:b/>
                              <w:bCs/>
                              <w:sz w:val="16"/>
                              <w:szCs w:val="16"/>
                            </w:rPr>
                            <w:fldChar w:fldCharType="separate"/>
                          </w:r>
                          <w:r w:rsidR="00A11971">
                            <w:rPr>
                              <w:b/>
                              <w:bCs/>
                              <w:noProof/>
                              <w:sz w:val="16"/>
                              <w:szCs w:val="16"/>
                            </w:rPr>
                            <w:t>240</w:t>
                          </w:r>
                          <w:r w:rsidRPr="001E2C91">
                            <w:rPr>
                              <w:b/>
                              <w:bCs/>
                              <w:sz w:val="16"/>
                              <w:szCs w:val="16"/>
                            </w:rPr>
                            <w:fldChar w:fldCharType="end"/>
                          </w:r>
                          <w:r w:rsidRPr="001E2C91">
                            <w:rPr>
                              <w:sz w:val="16"/>
                              <w:szCs w:val="16"/>
                            </w:rPr>
                            <w:t xml:space="preserve"> of </w:t>
                          </w:r>
                          <w:r w:rsidRPr="001E2C91">
                            <w:rPr>
                              <w:b/>
                              <w:bCs/>
                              <w:sz w:val="16"/>
                              <w:szCs w:val="16"/>
                            </w:rPr>
                            <w:fldChar w:fldCharType="begin"/>
                          </w:r>
                          <w:r w:rsidRPr="001E2C91">
                            <w:rPr>
                              <w:b/>
                              <w:bCs/>
                              <w:sz w:val="16"/>
                              <w:szCs w:val="16"/>
                            </w:rPr>
                            <w:instrText xml:space="preserve"> NUMPAGES  \* Arabic  \* MERGEFORMAT </w:instrText>
                          </w:r>
                          <w:r w:rsidRPr="001E2C91">
                            <w:rPr>
                              <w:b/>
                              <w:bCs/>
                              <w:sz w:val="16"/>
                              <w:szCs w:val="16"/>
                            </w:rPr>
                            <w:fldChar w:fldCharType="separate"/>
                          </w:r>
                          <w:r w:rsidR="00A11971">
                            <w:rPr>
                              <w:b/>
                              <w:bCs/>
                              <w:noProof/>
                              <w:sz w:val="16"/>
                              <w:szCs w:val="16"/>
                            </w:rPr>
                            <w:t>327</w:t>
                          </w:r>
                          <w:r w:rsidRPr="001E2C91">
                            <w:rPr>
                              <w:b/>
                              <w:bCs/>
                              <w:sz w:val="16"/>
                              <w:szCs w:val="16"/>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60419437" id="_x0000_t202" coordsize="21600,21600" o:spt="202" path="m,l,21600r21600,l21600,xe">
              <v:stroke joinstyle="miter"/>
              <v:path gradientshapeok="t" o:connecttype="rect"/>
            </v:shapetype>
            <v:shape id="_x0000_s1027" type="#_x0000_t202" style="position:absolute;left:0;text-align:left;margin-left:404.8pt;margin-top:782.5pt;width:76.25pt;height:27.4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" stroked="f">
              <v:textbox inset="0,0,0,0">
                <w:txbxContent>
                  <w:p w14:paraId="7C257EE9" w14:textId="7239284F" w:rsidR="000D213D" w:rsidRPr="001E2C91" w:rsidRDefault="000D213D" w:rsidP="00C63B32">
                    <w:pPr>
                      <w:jc w:val="right"/>
                      <w:rPr>
                        <w:sz w:val="16"/>
                        <w:szCs w:val="16"/>
                      </w:rPr>
                    </w:pPr>
                    <w:r w:rsidRPr="001E2C91">
                      <w:rPr>
                        <w:sz w:val="16"/>
                        <w:szCs w:val="16"/>
                      </w:rPr>
                      <w:t xml:space="preserve">Page </w:t>
                    </w:r>
                    <w:r w:rsidRPr="001E2C91">
                      <w:rPr>
                        <w:b/>
                        <w:bCs/>
                        <w:sz w:val="16"/>
                        <w:szCs w:val="16"/>
                      </w:rPr>
                      <w:fldChar w:fldCharType="begin"/>
                    </w:r>
                    <w:r w:rsidRPr="001E2C91">
                      <w:rPr>
                        <w:b/>
                        <w:bCs/>
                        <w:sz w:val="16"/>
                        <w:szCs w:val="16"/>
                      </w:rPr>
                      <w:instrText xml:space="preserve"> PAGE  \* Arabic  \* MERGEFORMAT </w:instrText>
                    </w:r>
                    <w:r w:rsidRPr="001E2C91">
                      <w:rPr>
                        <w:b/>
                        <w:bCs/>
                        <w:sz w:val="16"/>
                        <w:szCs w:val="16"/>
                      </w:rPr>
                      <w:fldChar w:fldCharType="separate"/>
                    </w:r>
                    <w:r w:rsidR="00A11971">
                      <w:rPr>
                        <w:b/>
                        <w:bCs/>
                        <w:noProof/>
                        <w:sz w:val="16"/>
                        <w:szCs w:val="16"/>
                      </w:rPr>
                      <w:t>240</w:t>
                    </w:r>
                    <w:r w:rsidRPr="001E2C91">
                      <w:rPr>
                        <w:b/>
                        <w:bCs/>
                        <w:sz w:val="16"/>
                        <w:szCs w:val="16"/>
                      </w:rPr>
                      <w:fldChar w:fldCharType="end"/>
                    </w:r>
                    <w:r w:rsidRPr="001E2C91">
                      <w:rPr>
                        <w:sz w:val="16"/>
                        <w:szCs w:val="16"/>
                      </w:rPr>
                      <w:t xml:space="preserve"> of </w:t>
                    </w:r>
                    <w:r w:rsidRPr="001E2C91">
                      <w:rPr>
                        <w:b/>
                        <w:bCs/>
                        <w:sz w:val="16"/>
                        <w:szCs w:val="16"/>
                      </w:rPr>
                      <w:fldChar w:fldCharType="begin"/>
                    </w:r>
                    <w:r w:rsidRPr="001E2C91">
                      <w:rPr>
                        <w:b/>
                        <w:bCs/>
                        <w:sz w:val="16"/>
                        <w:szCs w:val="16"/>
                      </w:rPr>
                      <w:instrText xml:space="preserve"> NUMPAGES  \* Arabic  \* MERGEFORMAT </w:instrText>
                    </w:r>
                    <w:r w:rsidRPr="001E2C91">
                      <w:rPr>
                        <w:b/>
                        <w:bCs/>
                        <w:sz w:val="16"/>
                        <w:szCs w:val="16"/>
                      </w:rPr>
                      <w:fldChar w:fldCharType="separate"/>
                    </w:r>
                    <w:r w:rsidR="00A11971">
                      <w:rPr>
                        <w:b/>
                        <w:bCs/>
                        <w:noProof/>
                        <w:sz w:val="16"/>
                        <w:szCs w:val="16"/>
                      </w:rPr>
                      <w:t>327</w:t>
                    </w:r>
                    <w:r w:rsidRPr="001E2C91">
                      <w:rPr>
                        <w:b/>
                        <w:bCs/>
                        <w:sz w:val="16"/>
                        <w:szCs w:val="16"/>
                      </w:rPr>
                      <w:fldChar w:fldCharType="end"/>
                    </w:r>
                  </w:p>
                </w:txbxContent>
              </v:textbox>
              <w10:wrap anchorx="margin" anchory="page"/>
              <w10:anchorlock/>
            </v:shape>
          </w:pict>
        </mc:Fallback>
      </mc:AlternateContent>
    </w:r>
    <w:sdt>
      <w:sdtPr>
        <w:rPr>
          <w:sz w:val="20"/>
          <w:szCs w:val="20"/>
        </w:rPr>
        <w:alias w:val="IMM"/>
        <w:tag w:val="DLM"/>
        <w:id w:val="326406459"/>
        <w:dataBinding w:xpath="/ns0:Minute_Root[1]/ns0:dlm[1]" w:storeItemID="{00000000-0000-0000-0000-000000000000}"/>
        <w:text/>
      </w:sdtPr>
      <w:sdtEndPr/>
      <w:sdtContent>
        <w:r w:rsidRPr="00CD6FF2">
          <w:rPr>
            <w:sz w:val="20"/>
            <w:szCs w:val="20"/>
          </w:rPr>
          <w:t xml:space="preserve">  </w:t>
        </w:r>
      </w:sdtContent>
    </w:sdt>
  </w:p>
  <w:p w14:paraId="3CDE06E9" w14:textId="407A71E7" w:rsidR="000D213D" w:rsidRPr="00624D1B" w:rsidRDefault="000D213D" w:rsidP="00C63B32">
    <w:pPr>
      <w:pStyle w:val="Protection"/>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99323" w14:textId="77777777" w:rsidR="000D213D" w:rsidRPr="00E66A44" w:rsidRDefault="00A11971" w:rsidP="001E2EFC">
    <w:pPr>
      <w:jc w:val="center"/>
      <w:rPr>
        <w:rFonts w:ascii="Arial" w:hAnsi="Arial" w:cs="Arial"/>
        <w:b/>
        <w:color w:val="C00000"/>
        <w:sz w:val="28"/>
        <w:szCs w:val="28"/>
      </w:rPr>
    </w:pPr>
    <w:sdt>
      <w:sdtPr>
        <w:rPr>
          <w:rFonts w:ascii="Arial" w:hAnsi="Arial" w:cs="Arial"/>
          <w:b/>
          <w:color w:val="C00000"/>
          <w:sz w:val="28"/>
          <w:szCs w:val="28"/>
        </w:rPr>
        <w:alias w:val="IMM"/>
        <w:tag w:val="DLM"/>
        <w:id w:val="-62642478"/>
        <w:dataBinding w:xpath="/ns0:Minute_Root[1]/ns0:dlm[1]" w:storeItemID="{00000000-0000-0000-0000-000000000000}"/>
        <w:text/>
      </w:sdtPr>
      <w:sdtEndPr/>
      <w:sdtContent>
        <w:r w:rsidR="000D213D">
          <w:rPr>
            <w:rFonts w:ascii="Arial" w:hAnsi="Arial" w:cs="Arial"/>
            <w:b/>
            <w:color w:val="C00000"/>
            <w:sz w:val="28"/>
            <w:szCs w:val="28"/>
          </w:rPr>
          <w:t xml:space="preserve">  </w:t>
        </w:r>
      </w:sdtContent>
    </w:sdt>
  </w:p>
  <w:p w14:paraId="7891966F" w14:textId="77777777" w:rsidR="000D213D" w:rsidRPr="00526448" w:rsidRDefault="000D213D" w:rsidP="0042661D">
    <w:pPr>
      <w:jc w:val="center"/>
      <w:rPr>
        <w:sz w:val="2"/>
        <w:szCs w:val="2"/>
      </w:rPr>
    </w:pPr>
    <w:r>
      <w:rPr>
        <w:sz w:val="2"/>
        <w:szCs w:val="2"/>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15620" w14:textId="77777777" w:rsidR="00FC417C" w:rsidRDefault="00FC417C" w:rsidP="00185154">
      <w:r>
        <w:separator/>
      </w:r>
    </w:p>
  </w:footnote>
  <w:footnote w:type="continuationSeparator" w:id="0">
    <w:p w14:paraId="6FAB2541" w14:textId="77777777" w:rsidR="00FC417C" w:rsidRDefault="00FC417C" w:rsidP="00185154">
      <w:r>
        <w:continuationSeparator/>
      </w:r>
    </w:p>
    <w:p w14:paraId="13C12C6C" w14:textId="77777777" w:rsidR="00FC417C" w:rsidRDefault="00FC417C"/>
  </w:footnote>
  <w:footnote w:type="continuationNotice" w:id="1">
    <w:p w14:paraId="32373F58" w14:textId="77777777" w:rsidR="00FC417C" w:rsidRDefault="00FC417C"/>
  </w:footnote>
  <w:footnote w:id="2">
    <w:p w14:paraId="62CF2F43" w14:textId="77777777" w:rsidR="000D213D" w:rsidRPr="00813B4C" w:rsidRDefault="000D213D" w:rsidP="009E4AD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Critical Infrastructure Centre</w:t>
      </w:r>
      <w:r>
        <w:rPr>
          <w:rFonts w:asciiTheme="majorHAnsi" w:hAnsiTheme="majorHAnsi" w:cstheme="majorHAnsi"/>
          <w:szCs w:val="16"/>
        </w:rPr>
        <w:t xml:space="preserve">, </w:t>
      </w:r>
      <w:r w:rsidRPr="00813B4C">
        <w:rPr>
          <w:rFonts w:asciiTheme="majorHAnsi" w:hAnsiTheme="majorHAnsi" w:cstheme="majorHAnsi"/>
          <w:szCs w:val="16"/>
        </w:rPr>
        <w:t>2015, pg. 1</w:t>
      </w:r>
    </w:p>
  </w:footnote>
  <w:footnote w:id="3">
    <w:p w14:paraId="41550CC2" w14:textId="77777777" w:rsidR="000D213D" w:rsidRPr="00813B4C" w:rsidRDefault="000D213D" w:rsidP="009E4AD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Critical Infrastructure Centre</w:t>
      </w:r>
      <w:r>
        <w:rPr>
          <w:rFonts w:asciiTheme="majorHAnsi" w:hAnsiTheme="majorHAnsi" w:cstheme="majorHAnsi"/>
          <w:szCs w:val="16"/>
        </w:rPr>
        <w:t>,</w:t>
      </w:r>
      <w:r w:rsidRPr="00813B4C">
        <w:rPr>
          <w:rFonts w:asciiTheme="majorHAnsi" w:hAnsiTheme="majorHAnsi" w:cstheme="majorHAnsi"/>
          <w:szCs w:val="16"/>
        </w:rPr>
        <w:t xml:space="preserve"> 2015, pg. 1</w:t>
      </w:r>
    </w:p>
  </w:footnote>
  <w:footnote w:id="4">
    <w:p w14:paraId="5482A7AE" w14:textId="06FB63EC" w:rsidR="000D213D" w:rsidRDefault="000D213D">
      <w:pPr>
        <w:pStyle w:val="FootnoteText"/>
      </w:pPr>
      <w:r>
        <w:rPr>
          <w:rStyle w:val="FootnoteReference"/>
        </w:rPr>
        <w:footnoteRef/>
      </w:r>
      <w:r>
        <w:t xml:space="preserve"> Whilst now captured within the broader RMP Rules, references to general rules are made in this document, noting the RIS considered their specific impact.</w:t>
      </w:r>
    </w:p>
  </w:footnote>
  <w:footnote w:id="5">
    <w:p w14:paraId="2F9A70CC" w14:textId="20E9611F" w:rsidR="000D213D" w:rsidRDefault="000D213D">
      <w:pPr>
        <w:pStyle w:val="FootnoteText"/>
      </w:pPr>
      <w:r>
        <w:rPr>
          <w:rStyle w:val="FootnoteReference"/>
        </w:rPr>
        <w:footnoteRef/>
      </w:r>
      <w:r>
        <w:t xml:space="preserve"> </w:t>
      </w:r>
      <w:r w:rsidRPr="009739FE">
        <w:rPr>
          <w:rFonts w:ascii="Arial" w:eastAsia="Calibri" w:hAnsi="Arial" w:cs="Arial"/>
          <w:szCs w:val="16"/>
        </w:rPr>
        <w:t>As per the SLACI Act</w:t>
      </w:r>
      <w:r>
        <w:rPr>
          <w:rFonts w:ascii="Arial" w:eastAsia="Calibri" w:hAnsi="Arial" w:cs="Arial"/>
          <w:szCs w:val="16"/>
        </w:rPr>
        <w:t xml:space="preserve"> and SLACIP Act</w:t>
      </w:r>
      <w:r w:rsidRPr="009739FE">
        <w:rPr>
          <w:rFonts w:ascii="Arial" w:eastAsia="Calibri" w:hAnsi="Arial" w:cs="Arial"/>
          <w:szCs w:val="16"/>
        </w:rPr>
        <w:t>, positive security obligations only apply where the Minister of Home Affairs has made either a rule or determination to ‘switch on’ the specific obligation for a specific critical infrastructure asset.</w:t>
      </w:r>
    </w:p>
  </w:footnote>
  <w:footnote w:id="6">
    <w:p w14:paraId="58C2F29C" w14:textId="77777777" w:rsidR="000D213D" w:rsidRPr="00813B4C" w:rsidRDefault="000D213D"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sidDel="006A1870">
        <w:rPr>
          <w:rFonts w:asciiTheme="majorHAnsi" w:hAnsiTheme="majorHAnsi" w:cstheme="majorHAnsi"/>
          <w:szCs w:val="16"/>
        </w:rPr>
        <w:t xml:space="preserve"> </w:t>
      </w:r>
      <w:r w:rsidRPr="00813B4C">
        <w:rPr>
          <w:rFonts w:asciiTheme="majorHAnsi" w:hAnsiTheme="majorHAnsi" w:cstheme="majorHAnsi"/>
          <w:szCs w:val="16"/>
        </w:rPr>
        <w:t>Critical Infrastructure Centre (2015), p. 1</w:t>
      </w:r>
      <w:r>
        <w:rPr>
          <w:rFonts w:asciiTheme="majorHAnsi" w:hAnsiTheme="majorHAnsi" w:cstheme="majorHAnsi"/>
          <w:szCs w:val="16"/>
        </w:rPr>
        <w:t>.</w:t>
      </w:r>
    </w:p>
  </w:footnote>
  <w:footnote w:id="7">
    <w:p w14:paraId="49E239A4" w14:textId="77777777" w:rsidR="000D213D" w:rsidRPr="00813B4C" w:rsidRDefault="000D213D"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hAnsiTheme="majorHAnsi" w:cstheme="majorHAnsi"/>
          <w:i/>
          <w:szCs w:val="16"/>
        </w:rPr>
        <w:t>Security Legislation Amendment (Critical Infrastructure) Act 2021</w:t>
      </w:r>
      <w:r>
        <w:rPr>
          <w:rFonts w:asciiTheme="majorHAnsi" w:hAnsiTheme="majorHAnsi" w:cstheme="majorHAnsi"/>
          <w:i/>
          <w:szCs w:val="16"/>
        </w:rPr>
        <w:t>.</w:t>
      </w:r>
    </w:p>
  </w:footnote>
  <w:footnote w:id="8">
    <w:p w14:paraId="06CA22CC" w14:textId="77777777" w:rsidR="000D213D" w:rsidRPr="00773784" w:rsidRDefault="000D213D" w:rsidP="00915934">
      <w:pPr>
        <w:pStyle w:val="FootnoteText"/>
      </w:pPr>
      <w:r w:rsidRPr="00773784">
        <w:rPr>
          <w:rStyle w:val="FootnoteReference"/>
          <w:rFonts w:asciiTheme="majorHAnsi" w:hAnsiTheme="majorHAnsi" w:cstheme="majorHAnsi"/>
          <w:szCs w:val="16"/>
        </w:rPr>
        <w:footnoteRef/>
      </w:r>
      <w:r w:rsidRPr="00773784">
        <w:t xml:space="preserve"> Critical Infrastructure Centre</w:t>
      </w:r>
      <w:r>
        <w:t xml:space="preserve">, </w:t>
      </w:r>
      <w:r w:rsidRPr="00773784">
        <w:t>2021</w:t>
      </w:r>
      <w:r w:rsidRPr="00813B4C">
        <w:t>,</w:t>
      </w:r>
      <w:r w:rsidRPr="00773784">
        <w:t xml:space="preserve"> p. 21</w:t>
      </w:r>
    </w:p>
  </w:footnote>
  <w:footnote w:id="9">
    <w:p w14:paraId="13A593E6" w14:textId="77777777" w:rsidR="000D213D" w:rsidRPr="00773784" w:rsidRDefault="000D213D" w:rsidP="00031A37">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auDA</w:t>
      </w:r>
      <w:r>
        <w:rPr>
          <w:rFonts w:asciiTheme="majorHAnsi" w:hAnsiTheme="majorHAnsi" w:cstheme="majorHAnsi"/>
          <w:szCs w:val="16"/>
        </w:rPr>
        <w:t xml:space="preserve">, </w:t>
      </w:r>
      <w:r w:rsidRPr="00773784">
        <w:rPr>
          <w:rFonts w:asciiTheme="majorHAnsi" w:hAnsiTheme="majorHAnsi" w:cstheme="majorHAnsi"/>
          <w:szCs w:val="16"/>
        </w:rPr>
        <w:t>2021</w:t>
      </w:r>
    </w:p>
  </w:footnote>
  <w:footnote w:id="10">
    <w:p w14:paraId="5227A357" w14:textId="77777777" w:rsidR="000D213D" w:rsidRPr="00813B4C" w:rsidRDefault="000D213D" w:rsidP="002E026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Pollard</w:t>
      </w:r>
      <w:r>
        <w:rPr>
          <w:rFonts w:asciiTheme="majorHAnsi" w:hAnsiTheme="majorHAnsi" w:cstheme="majorHAnsi"/>
          <w:noProof/>
          <w:szCs w:val="16"/>
        </w:rPr>
        <w:t xml:space="preserve">, </w:t>
      </w:r>
      <w:r w:rsidRPr="00813B4C">
        <w:rPr>
          <w:rFonts w:asciiTheme="majorHAnsi" w:hAnsiTheme="majorHAnsi" w:cstheme="majorHAnsi"/>
          <w:szCs w:val="16"/>
        </w:rPr>
        <w:t>2021</w:t>
      </w:r>
    </w:p>
  </w:footnote>
  <w:footnote w:id="11">
    <w:p w14:paraId="1E861578" w14:textId="77777777" w:rsidR="000D213D" w:rsidRPr="00813B4C" w:rsidRDefault="000D213D" w:rsidP="004C1597">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South Australian Government 2021</w:t>
      </w:r>
    </w:p>
  </w:footnote>
  <w:footnote w:id="12">
    <w:p w14:paraId="18F265CD" w14:textId="77777777" w:rsidR="000D213D" w:rsidRPr="00813B4C" w:rsidRDefault="000D213D" w:rsidP="00374A1D">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Australian Signals Directorate July 2019 - June 2020, p. 6</w:t>
      </w:r>
    </w:p>
  </w:footnote>
  <w:footnote w:id="13">
    <w:p w14:paraId="26382EB5" w14:textId="77777777" w:rsidR="000D213D" w:rsidRPr="00813B4C" w:rsidRDefault="000D213D" w:rsidP="00374A1D">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Australian Signals Directorate July 2019 - June 2020, p. 6</w:t>
      </w:r>
    </w:p>
  </w:footnote>
  <w:footnote w:id="14">
    <w:p w14:paraId="5464A94C" w14:textId="77777777" w:rsidR="000D213D" w:rsidRPr="00813B4C" w:rsidRDefault="000D213D" w:rsidP="00374A1D">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w:t>
      </w:r>
      <w:r w:rsidRPr="00813B4C">
        <w:rPr>
          <w:rFonts w:asciiTheme="majorHAnsi" w:hAnsiTheme="majorHAnsi" w:cstheme="majorHAnsi"/>
          <w:szCs w:val="16"/>
        </w:rPr>
        <w:t xml:space="preserve">Australian Signals Directorate 2017, </w:t>
      </w:r>
      <w:r>
        <w:rPr>
          <w:rFonts w:asciiTheme="majorHAnsi" w:hAnsiTheme="majorHAnsi" w:cstheme="majorHAnsi"/>
          <w:szCs w:val="16"/>
        </w:rPr>
        <w:t xml:space="preserve">p. </w:t>
      </w:r>
      <w:r w:rsidRPr="00813B4C">
        <w:rPr>
          <w:rFonts w:asciiTheme="majorHAnsi" w:hAnsiTheme="majorHAnsi" w:cstheme="majorHAnsi"/>
          <w:szCs w:val="16"/>
        </w:rPr>
        <w:t>53</w:t>
      </w:r>
    </w:p>
  </w:footnote>
  <w:footnote w:id="15">
    <w:p w14:paraId="649B0B13" w14:textId="63B6E50C" w:rsidR="000D213D" w:rsidRDefault="000D213D">
      <w:pPr>
        <w:pStyle w:val="FootnoteText"/>
      </w:pPr>
      <w:r>
        <w:rPr>
          <w:rStyle w:val="FootnoteReference"/>
        </w:rPr>
        <w:footnoteRef/>
      </w:r>
      <w:r>
        <w:t xml:space="preserve"> The former </w:t>
      </w:r>
      <w:r w:rsidRPr="009739FE">
        <w:rPr>
          <w:rFonts w:asciiTheme="majorHAnsi" w:hAnsiTheme="majorHAnsi" w:cstheme="majorHAnsi"/>
          <w:szCs w:val="16"/>
        </w:rPr>
        <w:t>Prime Minister of Australia, 2020</w:t>
      </w:r>
    </w:p>
  </w:footnote>
  <w:footnote w:id="16">
    <w:p w14:paraId="34BFB6C1" w14:textId="77777777" w:rsidR="000D213D" w:rsidRPr="00813B4C" w:rsidRDefault="000D213D"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Signals Directorate, 2020</w:t>
      </w:r>
    </w:p>
  </w:footnote>
  <w:footnote w:id="17">
    <w:p w14:paraId="39D2E467" w14:textId="77777777" w:rsidR="000D213D" w:rsidRPr="00813B4C" w:rsidRDefault="000D213D" w:rsidP="00374A1D">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Australian Security Intelligence Organisation 2018-2019</w:t>
      </w:r>
    </w:p>
  </w:footnote>
  <w:footnote w:id="18">
    <w:p w14:paraId="49C8E894" w14:textId="6D17E949" w:rsidR="000D213D" w:rsidRPr="009739FE" w:rsidRDefault="000D213D">
      <w:pPr>
        <w:pStyle w:val="FootnoteText"/>
        <w:rPr>
          <w:rFonts w:asciiTheme="majorHAnsi" w:hAnsiTheme="majorHAnsi" w:cstheme="majorHAnsi"/>
          <w:color w:val="000000"/>
          <w:szCs w:val="16"/>
        </w:rPr>
      </w:pPr>
      <w:r>
        <w:rPr>
          <w:rStyle w:val="FootnoteReference"/>
        </w:rPr>
        <w:footnoteRef/>
      </w:r>
      <w:r>
        <w:t xml:space="preserve"> </w:t>
      </w:r>
      <w:r w:rsidRPr="00813B4C">
        <w:rPr>
          <w:rFonts w:asciiTheme="majorHAnsi" w:hAnsiTheme="majorHAnsi" w:cstheme="majorHAnsi"/>
          <w:color w:val="000000"/>
          <w:szCs w:val="16"/>
        </w:rPr>
        <w:t>Australian Security Intelligence Organisation</w:t>
      </w:r>
      <w:r>
        <w:rPr>
          <w:rFonts w:asciiTheme="majorHAnsi" w:hAnsiTheme="majorHAnsi" w:cstheme="majorHAnsi"/>
          <w:color w:val="000000"/>
          <w:szCs w:val="16"/>
        </w:rPr>
        <w:t xml:space="preserve">, 2021, p. 19-20. </w:t>
      </w:r>
    </w:p>
  </w:footnote>
  <w:footnote w:id="19">
    <w:p w14:paraId="6A911889" w14:textId="77777777" w:rsidR="000D213D" w:rsidRPr="00813B4C" w:rsidRDefault="000D213D"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Sunday Herald Sun, 2021</w:t>
      </w:r>
    </w:p>
  </w:footnote>
  <w:footnote w:id="20">
    <w:p w14:paraId="5B6726CB" w14:textId="77777777" w:rsidR="000D213D" w:rsidRPr="00813B4C" w:rsidRDefault="000D213D"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Swinhoe 2019</w:t>
      </w:r>
    </w:p>
  </w:footnote>
  <w:footnote w:id="21">
    <w:p w14:paraId="1F483096" w14:textId="77777777" w:rsidR="000D213D" w:rsidRPr="00813B4C" w:rsidRDefault="000D213D"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Government Productivity Commission 2021</w:t>
      </w:r>
    </w:p>
  </w:footnote>
  <w:footnote w:id="22">
    <w:p w14:paraId="2F7CA11E" w14:textId="77777777" w:rsidR="000D213D" w:rsidRPr="00813B4C" w:rsidRDefault="000D213D"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Lyne 2020</w:t>
      </w:r>
    </w:p>
  </w:footnote>
  <w:footnote w:id="23">
    <w:p w14:paraId="5B3DBF55" w14:textId="77777777" w:rsidR="000D213D" w:rsidRPr="00813B4C" w:rsidRDefault="000D213D"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Vision of Humanity n.d.</w:t>
      </w:r>
    </w:p>
  </w:footnote>
  <w:footnote w:id="24">
    <w:p w14:paraId="6AE20C00" w14:textId="77777777" w:rsidR="000D213D" w:rsidRPr="00813B4C" w:rsidRDefault="000D213D"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Vision of Humanity n.d.</w:t>
      </w:r>
    </w:p>
  </w:footnote>
  <w:footnote w:id="25">
    <w:p w14:paraId="7CF339F5" w14:textId="77777777" w:rsidR="000D213D" w:rsidRPr="00813B4C" w:rsidRDefault="000D213D" w:rsidP="00AA2E6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United States Department of Justice</w:t>
      </w:r>
      <w:r>
        <w:rPr>
          <w:rFonts w:asciiTheme="majorHAnsi" w:hAnsiTheme="majorHAnsi" w:cstheme="majorHAnsi"/>
          <w:szCs w:val="16"/>
        </w:rPr>
        <w:t xml:space="preserve">, </w:t>
      </w:r>
      <w:r w:rsidRPr="00813B4C">
        <w:rPr>
          <w:rFonts w:asciiTheme="majorHAnsi" w:hAnsiTheme="majorHAnsi" w:cstheme="majorHAnsi"/>
          <w:szCs w:val="16"/>
        </w:rPr>
        <w:t>2020</w:t>
      </w:r>
    </w:p>
  </w:footnote>
  <w:footnote w:id="26">
    <w:p w14:paraId="1A0363D1" w14:textId="77777777" w:rsidR="000D213D" w:rsidRPr="00813B4C" w:rsidRDefault="000D213D" w:rsidP="00AA2E6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7">
    <w:p w14:paraId="2D5A13D1" w14:textId="77777777" w:rsidR="000D213D" w:rsidRPr="00813B4C" w:rsidRDefault="000D213D" w:rsidP="00D9527A">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w:t>
      </w:r>
      <w:r w:rsidRPr="00813B4C">
        <w:rPr>
          <w:rFonts w:asciiTheme="majorHAnsi" w:hAnsiTheme="majorHAnsi" w:cstheme="majorHAnsi"/>
          <w:szCs w:val="16"/>
        </w:rPr>
        <w:t>Gonzalez</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28">
    <w:p w14:paraId="73B70FD7" w14:textId="77777777" w:rsidR="000D213D" w:rsidRPr="00813B4C" w:rsidRDefault="000D213D" w:rsidP="00D9527A">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w:t>
      </w:r>
      <w:r w:rsidRPr="00813B4C">
        <w:rPr>
          <w:rFonts w:asciiTheme="majorHAnsi" w:hAnsiTheme="majorHAnsi" w:cstheme="majorHAnsi"/>
          <w:szCs w:val="16"/>
        </w:rPr>
        <w:t>Osborne</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29">
    <w:p w14:paraId="346AC47B" w14:textId="77777777" w:rsidR="000D213D" w:rsidRPr="00813B4C" w:rsidRDefault="000D213D" w:rsidP="00AF6F6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Economist</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30">
    <w:p w14:paraId="60EEDB1A" w14:textId="77777777" w:rsidR="000D213D" w:rsidRPr="00813B4C" w:rsidRDefault="000D213D" w:rsidP="00D952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Volz</w:t>
      </w:r>
      <w:r>
        <w:rPr>
          <w:rFonts w:asciiTheme="majorHAnsi" w:hAnsiTheme="majorHAnsi" w:cstheme="majorHAnsi"/>
          <w:noProof/>
          <w:szCs w:val="16"/>
        </w:rPr>
        <w:t>,</w:t>
      </w:r>
      <w:r w:rsidRPr="00813B4C">
        <w:rPr>
          <w:rFonts w:asciiTheme="majorHAnsi" w:hAnsiTheme="majorHAnsi" w:cstheme="majorHAnsi"/>
          <w:szCs w:val="16"/>
        </w:rPr>
        <w:t xml:space="preserve"> 2018</w:t>
      </w:r>
    </w:p>
  </w:footnote>
  <w:footnote w:id="31">
    <w:p w14:paraId="0E18CBB3" w14:textId="049FD802" w:rsidR="000D213D" w:rsidRPr="00813B4C" w:rsidRDefault="000D213D" w:rsidP="00AF6F6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1" w:history="1">
        <w:r w:rsidRPr="00813B4C">
          <w:rPr>
            <w:rStyle w:val="Hyperlink"/>
            <w:rFonts w:asciiTheme="majorHAnsi" w:hAnsiTheme="majorHAnsi" w:cstheme="majorHAnsi"/>
            <w:szCs w:val="16"/>
            <w:u w:val="none"/>
          </w:rPr>
          <w:t>Lauder</w:t>
        </w:r>
      </w:hyperlink>
      <w:r w:rsidRPr="00813B4C">
        <w:rPr>
          <w:rStyle w:val="Hyperlink"/>
          <w:rFonts w:asciiTheme="majorHAnsi" w:hAnsiTheme="majorHAnsi" w:cstheme="majorHAnsi"/>
          <w:szCs w:val="16"/>
          <w:u w:val="none"/>
        </w:rPr>
        <w:t>, Reardon, McCutcheon 2020</w:t>
      </w:r>
    </w:p>
  </w:footnote>
  <w:footnote w:id="32">
    <w:p w14:paraId="684B5948" w14:textId="77777777" w:rsidR="000D213D" w:rsidRPr="00813B4C" w:rsidRDefault="000D213D" w:rsidP="00AF6F6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33">
    <w:p w14:paraId="0954E347" w14:textId="7AEAC064" w:rsidR="000D213D" w:rsidRDefault="000D213D">
      <w:pPr>
        <w:pStyle w:val="FootnoteText"/>
      </w:pPr>
      <w:r>
        <w:rPr>
          <w:rStyle w:val="FootnoteReference"/>
        </w:rPr>
        <w:footnoteRef/>
      </w:r>
      <w:r>
        <w:t xml:space="preserve"> </w:t>
      </w:r>
      <w:r w:rsidRPr="009739FE">
        <w:rPr>
          <w:szCs w:val="16"/>
        </w:rPr>
        <w:t>Department of Home Affairs, 2020</w:t>
      </w:r>
      <w:r>
        <w:t xml:space="preserve"> </w:t>
      </w:r>
    </w:p>
  </w:footnote>
  <w:footnote w:id="34">
    <w:p w14:paraId="46586164" w14:textId="77777777" w:rsidR="000D213D" w:rsidRPr="00813B4C" w:rsidRDefault="000D213D"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Critical Infrastructure Centre</w:t>
      </w:r>
      <w:r>
        <w:rPr>
          <w:rFonts w:asciiTheme="majorHAnsi" w:hAnsiTheme="majorHAnsi" w:cstheme="majorHAnsi"/>
          <w:szCs w:val="16"/>
        </w:rPr>
        <w:t>,</w:t>
      </w:r>
      <w:r w:rsidRPr="00813B4C">
        <w:rPr>
          <w:rFonts w:asciiTheme="majorHAnsi" w:hAnsiTheme="majorHAnsi" w:cstheme="majorHAnsi"/>
          <w:szCs w:val="16"/>
        </w:rPr>
        <w:t xml:space="preserve"> 2015</w:t>
      </w:r>
    </w:p>
  </w:footnote>
  <w:footnote w:id="35">
    <w:p w14:paraId="479D1737" w14:textId="77777777" w:rsidR="000D213D" w:rsidRPr="00813B4C" w:rsidRDefault="000D213D" w:rsidP="00374A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Critical Infrastructure Centre</w:t>
      </w:r>
      <w:r>
        <w:rPr>
          <w:rFonts w:asciiTheme="majorHAnsi" w:hAnsiTheme="majorHAnsi" w:cstheme="majorHAnsi"/>
          <w:szCs w:val="16"/>
        </w:rPr>
        <w:t>,</w:t>
      </w:r>
      <w:r w:rsidRPr="00813B4C">
        <w:rPr>
          <w:rFonts w:asciiTheme="majorHAnsi" w:hAnsiTheme="majorHAnsi" w:cstheme="majorHAnsi"/>
          <w:szCs w:val="16"/>
        </w:rPr>
        <w:t xml:space="preserve"> 2015</w:t>
      </w:r>
    </w:p>
  </w:footnote>
  <w:footnote w:id="36">
    <w:p w14:paraId="7090634F" w14:textId="77777777" w:rsidR="000D213D" w:rsidRPr="00813B4C" w:rsidRDefault="000D213D" w:rsidP="00040B0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Critical Infrastructure Centre</w:t>
      </w:r>
      <w:r>
        <w:rPr>
          <w:rFonts w:asciiTheme="majorHAnsi" w:hAnsiTheme="majorHAnsi" w:cstheme="majorHAnsi"/>
          <w:szCs w:val="16"/>
        </w:rPr>
        <w:t>,</w:t>
      </w:r>
      <w:r w:rsidRPr="00813B4C">
        <w:rPr>
          <w:rFonts w:asciiTheme="majorHAnsi" w:hAnsiTheme="majorHAnsi" w:cstheme="majorHAnsi"/>
          <w:szCs w:val="16"/>
        </w:rPr>
        <w:t xml:space="preserve"> 2015</w:t>
      </w:r>
    </w:p>
  </w:footnote>
  <w:footnote w:id="37">
    <w:p w14:paraId="6E3EAEBB" w14:textId="77777777" w:rsidR="000D213D" w:rsidRPr="00813B4C" w:rsidRDefault="000D213D" w:rsidP="004C31CF">
      <w:pPr>
        <w:pStyle w:val="FootnoteText"/>
      </w:pPr>
      <w:r w:rsidRPr="00813B4C">
        <w:rPr>
          <w:rStyle w:val="FootnoteReference"/>
          <w:rFonts w:asciiTheme="majorHAnsi" w:hAnsiTheme="majorHAnsi" w:cstheme="majorHAnsi"/>
          <w:szCs w:val="16"/>
        </w:rPr>
        <w:footnoteRef/>
      </w:r>
      <w:r w:rsidRPr="00813B4C">
        <w:t xml:space="preserve"> Department of </w:t>
      </w:r>
      <w:r w:rsidRPr="004C31CF">
        <w:t>Home</w:t>
      </w:r>
      <w:r w:rsidRPr="00813B4C">
        <w:t xml:space="preserve"> Affairs</w:t>
      </w:r>
      <w:r>
        <w:t>,</w:t>
      </w:r>
      <w:r w:rsidRPr="00813B4C">
        <w:t xml:space="preserve"> 2020</w:t>
      </w:r>
    </w:p>
  </w:footnote>
  <w:footnote w:id="38">
    <w:p w14:paraId="75C21E76" w14:textId="77777777" w:rsidR="000D213D" w:rsidRPr="00813B4C" w:rsidRDefault="000D213D" w:rsidP="00040B0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Critical Infrastructure Centre</w:t>
      </w:r>
      <w:r>
        <w:rPr>
          <w:rFonts w:asciiTheme="majorHAnsi" w:hAnsiTheme="majorHAnsi" w:cstheme="majorHAnsi"/>
          <w:szCs w:val="16"/>
        </w:rPr>
        <w:t>,</w:t>
      </w:r>
      <w:r w:rsidRPr="00813B4C">
        <w:rPr>
          <w:rFonts w:asciiTheme="majorHAnsi" w:hAnsiTheme="majorHAnsi" w:cstheme="majorHAnsi"/>
          <w:szCs w:val="16"/>
        </w:rPr>
        <w:t xml:space="preserve"> n.d.</w:t>
      </w:r>
    </w:p>
  </w:footnote>
  <w:footnote w:id="39">
    <w:p w14:paraId="33178FAD" w14:textId="77777777" w:rsidR="000D213D" w:rsidRPr="00813B4C" w:rsidRDefault="000D213D" w:rsidP="00040B0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Critical Infrastructure Centre</w:t>
      </w:r>
      <w:r>
        <w:rPr>
          <w:rFonts w:asciiTheme="majorHAnsi" w:hAnsiTheme="majorHAnsi" w:cstheme="majorHAnsi"/>
          <w:szCs w:val="16"/>
        </w:rPr>
        <w:t>,</w:t>
      </w:r>
      <w:r w:rsidRPr="00813B4C">
        <w:rPr>
          <w:rFonts w:asciiTheme="majorHAnsi" w:hAnsiTheme="majorHAnsi" w:cstheme="majorHAnsi"/>
          <w:szCs w:val="16"/>
        </w:rPr>
        <w:t xml:space="preserve"> 2015</w:t>
      </w:r>
    </w:p>
  </w:footnote>
  <w:footnote w:id="40">
    <w:p w14:paraId="29EFAE99" w14:textId="77777777" w:rsidR="000D213D" w:rsidRPr="00813B4C" w:rsidRDefault="000D213D" w:rsidP="00E9705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41">
    <w:p w14:paraId="6B09F9BF" w14:textId="77777777" w:rsidR="000D213D" w:rsidRPr="00813B4C" w:rsidRDefault="000D213D" w:rsidP="00E9705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42">
    <w:p w14:paraId="54DEFE1A" w14:textId="77777777" w:rsidR="000D213D" w:rsidRPr="00813B4C" w:rsidRDefault="000D213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No responsible entity for critical liquid fuel assets submitted an estimated cost of compliance. To estimate the cost of compliance for the liquid fuels sector, the average cost of compliance of similar sized entities in the gas sector was used as the base cost for liquid fuel entities. Critical gas asset entity submissions were used as the baseline as critical gas asset entities operate comparable businesses</w:t>
      </w:r>
    </w:p>
  </w:footnote>
  <w:footnote w:id="43">
    <w:p w14:paraId="69D3D2B4" w14:textId="77777777" w:rsidR="000D213D" w:rsidRPr="00813B4C" w:rsidRDefault="000D213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costing process for these two critical infrastructure assets was consolidated. </w:t>
      </w:r>
    </w:p>
  </w:footnote>
  <w:footnote w:id="44">
    <w:p w14:paraId="1BAB5EE3" w14:textId="77777777" w:rsidR="000D213D" w:rsidRPr="00813B4C" w:rsidRDefault="000D213D" w:rsidP="004537A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net benefit assessment for these two assets was consolidated. </w:t>
      </w:r>
    </w:p>
  </w:footnote>
  <w:footnote w:id="45">
    <w:p w14:paraId="6181916C" w14:textId="77777777" w:rsidR="000D213D" w:rsidRPr="00813B4C" w:rsidRDefault="000D213D" w:rsidP="0008215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net benefit assessment for these two assets was consolidated. </w:t>
      </w:r>
    </w:p>
  </w:footnote>
  <w:footnote w:id="46">
    <w:p w14:paraId="4983ED13" w14:textId="77777777" w:rsidR="000D213D" w:rsidRPr="00813B4C" w:rsidRDefault="000D213D" w:rsidP="00916E3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net benefit assessment for these two critical infrastructure assets was consolidated. </w:t>
      </w:r>
    </w:p>
  </w:footnote>
  <w:footnote w:id="47">
    <w:p w14:paraId="3340DBB6" w14:textId="77777777" w:rsidR="000D213D" w:rsidRPr="00813B4C" w:rsidRDefault="000D213D" w:rsidP="0055303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net benefit assessment for these two critical infrastructure assets was consolidated. </w:t>
      </w:r>
    </w:p>
  </w:footnote>
  <w:footnote w:id="48">
    <w:p w14:paraId="0D1ECDAC" w14:textId="77777777" w:rsidR="000D213D" w:rsidRPr="00813B4C" w:rsidRDefault="000D213D" w:rsidP="00066CE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49">
    <w:p w14:paraId="318DBE19" w14:textId="77777777" w:rsidR="000D213D" w:rsidRPr="00813B4C" w:rsidRDefault="000D213D" w:rsidP="00CA12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For the purposes of calculating a total 10-year cost of compliance with the risk management program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50">
    <w:p w14:paraId="3D030731" w14:textId="70945612" w:rsidR="000D213D" w:rsidRDefault="000D213D">
      <w:pPr>
        <w:pStyle w:val="FootnoteText"/>
      </w:pPr>
      <w:r>
        <w:rPr>
          <w:rStyle w:val="FootnoteReference"/>
        </w:rPr>
        <w:footnoteRef/>
      </w:r>
      <w:r>
        <w:t xml:space="preserve"> </w:t>
      </w:r>
      <w:r w:rsidRPr="00813B4C">
        <w:rPr>
          <w:rFonts w:asciiTheme="majorHAnsi" w:hAnsiTheme="majorHAnsi" w:cstheme="majorHAnsi"/>
          <w:szCs w:val="16"/>
        </w:rPr>
        <w:t>The net benefit assessment for these two Critical Infrastructure assets was consolidated</w:t>
      </w:r>
      <w:r>
        <w:rPr>
          <w:rFonts w:asciiTheme="majorHAnsi" w:hAnsiTheme="majorHAnsi" w:cstheme="majorHAnsi"/>
          <w:szCs w:val="16"/>
        </w:rPr>
        <w:t>.</w:t>
      </w:r>
    </w:p>
  </w:footnote>
  <w:footnote w:id="51">
    <w:p w14:paraId="26E6E1BB" w14:textId="77777777" w:rsidR="000D213D" w:rsidRPr="00813B4C" w:rsidRDefault="000D213D" w:rsidP="00C10A3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net benefit assessment for these two Critical Infrastructure assets was consolidated. </w:t>
      </w:r>
    </w:p>
  </w:footnote>
  <w:footnote w:id="52">
    <w:p w14:paraId="4B712C2E" w14:textId="77777777" w:rsidR="000D213D" w:rsidRPr="00813B4C" w:rsidRDefault="000D213D" w:rsidP="00ED369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costing </w:t>
      </w:r>
      <w:r>
        <w:rPr>
          <w:rFonts w:asciiTheme="majorHAnsi" w:hAnsiTheme="majorHAnsi" w:cstheme="majorHAnsi"/>
          <w:szCs w:val="16"/>
        </w:rPr>
        <w:t xml:space="preserve">and benefit analysis </w:t>
      </w:r>
      <w:r w:rsidRPr="00813B4C">
        <w:rPr>
          <w:rFonts w:asciiTheme="majorHAnsi" w:hAnsiTheme="majorHAnsi" w:cstheme="majorHAnsi"/>
          <w:szCs w:val="16"/>
        </w:rPr>
        <w:t xml:space="preserve">process for these two critical infrastructure assets was consolidated. </w:t>
      </w:r>
    </w:p>
  </w:footnote>
  <w:footnote w:id="53">
    <w:p w14:paraId="4A305C10" w14:textId="77777777" w:rsidR="000D213D" w:rsidRPr="00813B4C" w:rsidRDefault="000D213D" w:rsidP="006867B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Abelson 2007</w:t>
      </w:r>
    </w:p>
  </w:footnote>
  <w:footnote w:id="54">
    <w:p w14:paraId="69F0B5C6" w14:textId="77777777" w:rsidR="000D213D" w:rsidRPr="00813B4C" w:rsidRDefault="000D213D" w:rsidP="004B542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net benefit assessment for these two critical infrastructure assets was consolidated. </w:t>
      </w:r>
    </w:p>
  </w:footnote>
  <w:footnote w:id="55">
    <w:p w14:paraId="4C18E9E4" w14:textId="77777777" w:rsidR="000D213D" w:rsidRPr="00813B4C" w:rsidRDefault="000D213D" w:rsidP="003645A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Home Affairs</w:t>
      </w:r>
      <w:r>
        <w:rPr>
          <w:rFonts w:asciiTheme="majorHAnsi" w:hAnsiTheme="majorHAnsi" w:cstheme="majorHAnsi"/>
          <w:szCs w:val="16"/>
        </w:rPr>
        <w:t>,</w:t>
      </w:r>
      <w:r w:rsidRPr="00813B4C">
        <w:rPr>
          <w:rFonts w:asciiTheme="majorHAnsi" w:hAnsiTheme="majorHAnsi" w:cstheme="majorHAnsi"/>
          <w:szCs w:val="16"/>
        </w:rPr>
        <w:t xml:space="preserve"> 2021, </w:t>
      </w:r>
      <w:r>
        <w:rPr>
          <w:rFonts w:asciiTheme="majorHAnsi" w:hAnsiTheme="majorHAnsi" w:cstheme="majorHAnsi"/>
          <w:szCs w:val="16"/>
        </w:rPr>
        <w:t xml:space="preserve">p. </w:t>
      </w:r>
      <w:r w:rsidRPr="00813B4C">
        <w:rPr>
          <w:rFonts w:asciiTheme="majorHAnsi" w:hAnsiTheme="majorHAnsi" w:cstheme="majorHAnsi"/>
          <w:szCs w:val="16"/>
        </w:rPr>
        <w:t>2</w:t>
      </w:r>
    </w:p>
  </w:footnote>
  <w:footnote w:id="56">
    <w:p w14:paraId="72D1A29F" w14:textId="77777777" w:rsidR="000D213D" w:rsidRPr="00813B4C" w:rsidRDefault="000D213D" w:rsidP="003645A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Home Affairs</w:t>
      </w:r>
      <w:r>
        <w:rPr>
          <w:rFonts w:asciiTheme="majorHAnsi" w:hAnsiTheme="majorHAnsi" w:cstheme="majorHAnsi"/>
          <w:szCs w:val="16"/>
        </w:rPr>
        <w:t>,</w:t>
      </w:r>
      <w:r w:rsidRPr="00813B4C">
        <w:rPr>
          <w:rFonts w:asciiTheme="majorHAnsi" w:hAnsiTheme="majorHAnsi" w:cstheme="majorHAnsi"/>
          <w:szCs w:val="16"/>
        </w:rPr>
        <w:t xml:space="preserve"> 2021, </w:t>
      </w:r>
      <w:r>
        <w:rPr>
          <w:rFonts w:asciiTheme="majorHAnsi" w:hAnsiTheme="majorHAnsi" w:cstheme="majorHAnsi"/>
          <w:szCs w:val="16"/>
        </w:rPr>
        <w:t xml:space="preserve">p. </w:t>
      </w:r>
      <w:r w:rsidRPr="00813B4C">
        <w:rPr>
          <w:rFonts w:asciiTheme="majorHAnsi" w:hAnsiTheme="majorHAnsi" w:cstheme="majorHAnsi"/>
          <w:szCs w:val="16"/>
        </w:rPr>
        <w:t>2</w:t>
      </w:r>
    </w:p>
    <w:p w14:paraId="6F58A2F2" w14:textId="77777777" w:rsidR="000D213D" w:rsidRPr="00813B4C" w:rsidRDefault="000D213D" w:rsidP="003645A2">
      <w:pPr>
        <w:pStyle w:val="FootnoteText"/>
        <w:rPr>
          <w:rFonts w:asciiTheme="majorHAnsi" w:hAnsiTheme="majorHAnsi" w:cstheme="majorHAnsi"/>
          <w:szCs w:val="16"/>
        </w:rPr>
      </w:pPr>
    </w:p>
  </w:footnote>
  <w:footnote w:id="57">
    <w:p w14:paraId="3670216A" w14:textId="77777777" w:rsidR="000D213D" w:rsidRPr="00813B4C" w:rsidRDefault="000D213D" w:rsidP="003645A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Home Affairs 2021, </w:t>
      </w:r>
      <w:r>
        <w:rPr>
          <w:rFonts w:asciiTheme="majorHAnsi" w:hAnsiTheme="majorHAnsi" w:cstheme="majorHAnsi"/>
          <w:szCs w:val="16"/>
        </w:rPr>
        <w:t xml:space="preserve">p. </w:t>
      </w:r>
      <w:r w:rsidRPr="00813B4C">
        <w:rPr>
          <w:rFonts w:asciiTheme="majorHAnsi" w:hAnsiTheme="majorHAnsi" w:cstheme="majorHAnsi"/>
          <w:szCs w:val="16"/>
        </w:rPr>
        <w:t>2</w:t>
      </w:r>
    </w:p>
  </w:footnote>
  <w:footnote w:id="58">
    <w:p w14:paraId="06BEB0F5" w14:textId="77777777" w:rsidR="000D213D" w:rsidRPr="00813B4C" w:rsidRDefault="000D213D" w:rsidP="003645A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Home Affairs</w:t>
      </w:r>
      <w:r>
        <w:rPr>
          <w:rFonts w:asciiTheme="majorHAnsi" w:hAnsiTheme="majorHAnsi" w:cstheme="majorHAnsi"/>
          <w:szCs w:val="16"/>
        </w:rPr>
        <w:t>,</w:t>
      </w:r>
      <w:r w:rsidRPr="00813B4C">
        <w:rPr>
          <w:rFonts w:asciiTheme="majorHAnsi" w:hAnsiTheme="majorHAnsi" w:cstheme="majorHAnsi"/>
          <w:szCs w:val="16"/>
        </w:rPr>
        <w:t xml:space="preserve"> 2021, </w:t>
      </w:r>
      <w:r>
        <w:rPr>
          <w:rFonts w:asciiTheme="majorHAnsi" w:hAnsiTheme="majorHAnsi" w:cstheme="majorHAnsi"/>
          <w:szCs w:val="16"/>
        </w:rPr>
        <w:t>p.</w:t>
      </w:r>
      <w:r w:rsidRPr="00813B4C">
        <w:rPr>
          <w:rFonts w:asciiTheme="majorHAnsi" w:hAnsiTheme="majorHAnsi" w:cstheme="majorHAnsi"/>
          <w:szCs w:val="16"/>
        </w:rPr>
        <w:t xml:space="preserve"> 2</w:t>
      </w:r>
    </w:p>
  </w:footnote>
  <w:footnote w:id="59">
    <w:p w14:paraId="5C976B7D" w14:textId="77777777" w:rsidR="000D213D" w:rsidRPr="00813B4C" w:rsidRDefault="000D213D" w:rsidP="003645A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Guidance Note: Small Business, Office of Best Practice Regulation, 2021</w:t>
      </w:r>
    </w:p>
  </w:footnote>
  <w:footnote w:id="60">
    <w:p w14:paraId="38037500" w14:textId="769EC0F2" w:rsidR="000D213D" w:rsidRPr="00813B4C" w:rsidRDefault="000D213D" w:rsidP="004054F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Pr>
          <w:rFonts w:asciiTheme="majorHAnsi" w:hAnsiTheme="majorHAnsi" w:cstheme="majorHAnsi"/>
          <w:i/>
          <w:szCs w:val="16"/>
        </w:rPr>
        <w:t>C</w:t>
      </w:r>
      <w:r w:rsidRPr="00813B4C">
        <w:rPr>
          <w:rFonts w:asciiTheme="majorHAnsi" w:hAnsiTheme="majorHAnsi" w:cstheme="majorHAnsi"/>
          <w:i/>
          <w:szCs w:val="16"/>
        </w:rPr>
        <w:t xml:space="preserve">ritical position </w:t>
      </w:r>
      <w:r w:rsidRPr="00813B4C">
        <w:rPr>
          <w:rFonts w:asciiTheme="majorHAnsi" w:hAnsiTheme="majorHAnsi" w:cstheme="majorHAnsi"/>
          <w:szCs w:val="16"/>
        </w:rPr>
        <w:t xml:space="preserve">includes </w:t>
      </w:r>
      <w:r w:rsidRPr="00813B4C">
        <w:rPr>
          <w:rFonts w:asciiTheme="majorHAnsi" w:hAnsiTheme="majorHAnsi" w:cstheme="majorHAnsi"/>
          <w:b/>
          <w:szCs w:val="16"/>
        </w:rPr>
        <w:t>but is not limited to</w:t>
      </w:r>
      <w:r w:rsidRPr="00813B4C">
        <w:rPr>
          <w:rFonts w:asciiTheme="majorHAnsi" w:hAnsiTheme="majorHAnsi" w:cstheme="majorHAnsi"/>
          <w:szCs w:val="16"/>
        </w:rPr>
        <w:t>, a position in a responsible entity which has responsibility, access, control or management of the essential components or systems of the asset and where the absence or compromise of the position or its holder would prevent the proper function of the asset or could cause significant damage to the asset, as assessed by the responsible entity.</w:t>
      </w:r>
    </w:p>
    <w:p w14:paraId="77AC4BA0" w14:textId="5FE18256" w:rsidR="000D213D" w:rsidRPr="00813B4C" w:rsidRDefault="000D213D" w:rsidP="004054F2">
      <w:pPr>
        <w:pStyle w:val="FootnoteText"/>
        <w:rPr>
          <w:rFonts w:asciiTheme="majorHAnsi" w:hAnsiTheme="majorHAnsi" w:cstheme="majorHAnsi"/>
          <w:szCs w:val="16"/>
        </w:rPr>
      </w:pPr>
      <w:r>
        <w:rPr>
          <w:rFonts w:asciiTheme="majorHAnsi" w:hAnsiTheme="majorHAnsi" w:cstheme="majorHAnsi"/>
          <w:i/>
          <w:szCs w:val="16"/>
        </w:rPr>
        <w:t>C</w:t>
      </w:r>
      <w:r w:rsidRPr="00813B4C">
        <w:rPr>
          <w:rFonts w:asciiTheme="majorHAnsi" w:hAnsiTheme="majorHAnsi" w:cstheme="majorHAnsi"/>
          <w:i/>
          <w:szCs w:val="16"/>
        </w:rPr>
        <w:t xml:space="preserve">ritical personnel </w:t>
      </w:r>
      <w:r w:rsidRPr="00813B4C">
        <w:rPr>
          <w:rFonts w:asciiTheme="majorHAnsi" w:hAnsiTheme="majorHAnsi" w:cstheme="majorHAnsi"/>
          <w:szCs w:val="16"/>
        </w:rPr>
        <w:t xml:space="preserve">includes, </w:t>
      </w:r>
      <w:r w:rsidRPr="00813B4C">
        <w:rPr>
          <w:rFonts w:asciiTheme="majorHAnsi" w:hAnsiTheme="majorHAnsi" w:cstheme="majorHAnsi"/>
          <w:b/>
          <w:szCs w:val="16"/>
        </w:rPr>
        <w:t>but is not limited to</w:t>
      </w:r>
      <w:r w:rsidRPr="00813B4C">
        <w:rPr>
          <w:rFonts w:asciiTheme="majorHAnsi" w:hAnsiTheme="majorHAnsi" w:cstheme="majorHAnsi"/>
          <w:szCs w:val="16"/>
        </w:rPr>
        <w:t>, any employee of a responsible entity with responsibility, access, control or management of the essential components or systems of the asset and whose absence or compromise would prevent the proper function of the asset or could cause significant damage to the asset, as assessed by the responsible entity. The definition of personnel includes, but is not limited to, direct employees, interns, contractors and subcontractors.</w:t>
      </w:r>
    </w:p>
  </w:footnote>
  <w:footnote w:id="61">
    <w:p w14:paraId="27DE3608" w14:textId="77777777" w:rsidR="000D213D" w:rsidRPr="00813B4C" w:rsidRDefault="000D213D" w:rsidP="001656B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Pollard</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62">
    <w:p w14:paraId="12CBA2F5" w14:textId="77777777" w:rsidR="000D213D" w:rsidRPr="00813B4C" w:rsidRDefault="000D213D" w:rsidP="001656B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Rendall</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63">
    <w:p w14:paraId="29374083" w14:textId="77777777" w:rsidR="000D213D" w:rsidRPr="00813B4C" w:rsidRDefault="000D213D" w:rsidP="001656B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64">
    <w:p w14:paraId="5BC70ED9" w14:textId="77777777" w:rsidR="000D213D" w:rsidRPr="00813B4C" w:rsidRDefault="000D213D" w:rsidP="000C29EB">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Foley</w:t>
      </w:r>
      <w:r>
        <w:rPr>
          <w:rFonts w:asciiTheme="majorHAnsi" w:hAnsiTheme="majorHAnsi" w:cstheme="majorHAnsi"/>
          <w:noProof/>
          <w:color w:val="000000"/>
          <w:szCs w:val="16"/>
        </w:rPr>
        <w:t>,</w:t>
      </w:r>
      <w:r w:rsidRPr="00813B4C">
        <w:rPr>
          <w:rFonts w:asciiTheme="majorHAnsi" w:hAnsiTheme="majorHAnsi" w:cstheme="majorHAnsi"/>
          <w:color w:val="000000"/>
          <w:szCs w:val="16"/>
        </w:rPr>
        <w:t xml:space="preserve"> 2020</w:t>
      </w:r>
    </w:p>
  </w:footnote>
  <w:footnote w:id="65">
    <w:p w14:paraId="2079854B" w14:textId="77777777" w:rsidR="000D213D" w:rsidRPr="00813B4C" w:rsidRDefault="000D213D" w:rsidP="000C29EB">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Ibid</w:t>
      </w:r>
    </w:p>
  </w:footnote>
  <w:footnote w:id="66">
    <w:p w14:paraId="5923820F" w14:textId="77777777" w:rsidR="000D213D" w:rsidRPr="00813B4C" w:rsidRDefault="000D213D" w:rsidP="006A71A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Gonzalez</w:t>
      </w:r>
      <w:r>
        <w:rPr>
          <w:rFonts w:asciiTheme="majorHAnsi" w:hAnsiTheme="majorHAnsi" w:cstheme="majorHAnsi"/>
          <w:szCs w:val="16"/>
        </w:rPr>
        <w:t>,</w:t>
      </w:r>
      <w:r w:rsidRPr="00813B4C">
        <w:rPr>
          <w:rFonts w:asciiTheme="majorHAnsi" w:hAnsiTheme="majorHAnsi" w:cstheme="majorHAnsi"/>
          <w:szCs w:val="16"/>
        </w:rPr>
        <w:t xml:space="preserve"> 2021</w:t>
      </w:r>
    </w:p>
  </w:footnote>
  <w:footnote w:id="67">
    <w:p w14:paraId="5EA53F39" w14:textId="0C0823EE" w:rsidR="000D213D" w:rsidRDefault="000D213D">
      <w:pPr>
        <w:pStyle w:val="FootnoteText"/>
      </w:pPr>
      <w:r>
        <w:rPr>
          <w:rStyle w:val="FootnoteReference"/>
        </w:rPr>
        <w:footnoteRef/>
      </w:r>
      <w:r>
        <w:t xml:space="preserve"> Ibid</w:t>
      </w:r>
    </w:p>
  </w:footnote>
  <w:footnote w:id="68">
    <w:p w14:paraId="34644F7C" w14:textId="77777777" w:rsidR="000D213D" w:rsidRPr="00813B4C" w:rsidRDefault="000D213D" w:rsidP="008411B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69">
    <w:p w14:paraId="71BDF803" w14:textId="77777777" w:rsidR="000D213D" w:rsidRPr="00813B4C" w:rsidRDefault="000D213D" w:rsidP="0073600B">
      <w:pPr>
        <w:pStyle w:val="FootnoteText"/>
        <w:rPr>
          <w:b/>
          <w:highlight w:val="yellow"/>
        </w:rPr>
      </w:pPr>
      <w:r w:rsidRPr="00813B4C">
        <w:rPr>
          <w:rStyle w:val="FootnoteReference"/>
          <w:rFonts w:asciiTheme="majorHAnsi" w:hAnsiTheme="majorHAnsi" w:cstheme="majorHAnsi"/>
          <w:szCs w:val="16"/>
        </w:rPr>
        <w:footnoteRef/>
      </w:r>
      <w:r w:rsidRPr="00813B4C">
        <w:t xml:space="preserve"> Branigan</w:t>
      </w:r>
      <w:r>
        <w:rPr>
          <w:noProof/>
        </w:rPr>
        <w:t>,</w:t>
      </w:r>
      <w:r w:rsidRPr="00813B4C">
        <w:t xml:space="preserve"> 2011</w:t>
      </w:r>
    </w:p>
  </w:footnote>
  <w:footnote w:id="70">
    <w:p w14:paraId="482DDD70" w14:textId="77777777" w:rsidR="000D213D" w:rsidRPr="00813B4C" w:rsidRDefault="000D213D" w:rsidP="0073600B">
      <w:pPr>
        <w:pStyle w:val="FootnoteText"/>
        <w:rPr>
          <w:highlight w:val="yellow"/>
        </w:rPr>
      </w:pPr>
      <w:r w:rsidRPr="00813B4C">
        <w:rPr>
          <w:rStyle w:val="FootnoteReference"/>
          <w:rFonts w:asciiTheme="majorHAnsi" w:hAnsiTheme="majorHAnsi" w:cstheme="majorHAnsi"/>
          <w:szCs w:val="16"/>
        </w:rPr>
        <w:footnoteRef/>
      </w:r>
      <w:r w:rsidRPr="00813B4C">
        <w:t xml:space="preserve"> Australian Government Productivity Commission</w:t>
      </w:r>
      <w:r>
        <w:rPr>
          <w:noProof/>
        </w:rPr>
        <w:t>,</w:t>
      </w:r>
      <w:r w:rsidRPr="00813B4C">
        <w:t xml:space="preserve"> 2021</w:t>
      </w:r>
    </w:p>
  </w:footnote>
  <w:footnote w:id="71">
    <w:p w14:paraId="2294E828" w14:textId="77777777" w:rsidR="000D213D" w:rsidRPr="00813B4C" w:rsidRDefault="000D213D" w:rsidP="0073600B">
      <w:pPr>
        <w:pStyle w:val="FootnoteText"/>
        <w:rPr>
          <w:shd w:val="clear" w:color="auto" w:fill="FFFFFF"/>
        </w:rPr>
      </w:pPr>
      <w:r w:rsidRPr="00813B4C">
        <w:rPr>
          <w:rStyle w:val="FootnoteReference"/>
          <w:rFonts w:asciiTheme="majorHAnsi" w:hAnsiTheme="majorHAnsi" w:cstheme="majorHAnsi"/>
          <w:szCs w:val="16"/>
        </w:rPr>
        <w:footnoteRef/>
      </w:r>
      <w:r w:rsidRPr="00813B4C">
        <w:t xml:space="preserve"> </w:t>
      </w:r>
      <w:r w:rsidRPr="00813B4C">
        <w:rPr>
          <w:shd w:val="clear" w:color="auto" w:fill="FFFFFF"/>
        </w:rPr>
        <w:t>Murphy</w:t>
      </w:r>
      <w:r>
        <w:rPr>
          <w:noProof/>
          <w:shd w:val="clear" w:color="auto" w:fill="FFFFFF"/>
        </w:rPr>
        <w:t>,</w:t>
      </w:r>
      <w:r w:rsidRPr="00813B4C">
        <w:rPr>
          <w:shd w:val="clear" w:color="auto" w:fill="FFFFFF"/>
        </w:rPr>
        <w:t xml:space="preserve"> 2011</w:t>
      </w:r>
    </w:p>
  </w:footnote>
  <w:footnote w:id="72">
    <w:p w14:paraId="1E343CD8" w14:textId="77777777" w:rsidR="000D213D" w:rsidRPr="00813B4C" w:rsidRDefault="000D213D" w:rsidP="0073600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Government Productivity Commission</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73">
    <w:p w14:paraId="550EE3F0" w14:textId="77777777" w:rsidR="000D213D" w:rsidRPr="00813B4C" w:rsidRDefault="000D213D" w:rsidP="0073600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74">
    <w:p w14:paraId="1598A979" w14:textId="77777777" w:rsidR="000D213D" w:rsidRPr="00813B4C" w:rsidRDefault="000D213D" w:rsidP="00AF1139">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w:t>
      </w:r>
      <w:r w:rsidRPr="00813B4C">
        <w:rPr>
          <w:rFonts w:asciiTheme="majorHAnsi" w:hAnsiTheme="majorHAnsi" w:cstheme="majorHAnsi"/>
          <w:szCs w:val="16"/>
        </w:rPr>
        <w:t>SBS News</w:t>
      </w:r>
      <w:r>
        <w:rPr>
          <w:rFonts w:asciiTheme="majorHAnsi" w:hAnsiTheme="majorHAnsi" w:cstheme="majorHAnsi"/>
          <w:noProof/>
          <w:szCs w:val="16"/>
        </w:rPr>
        <w:t>,</w:t>
      </w:r>
      <w:r w:rsidRPr="00813B4C">
        <w:rPr>
          <w:rFonts w:asciiTheme="majorHAnsi" w:hAnsiTheme="majorHAnsi" w:cstheme="majorHAnsi"/>
          <w:szCs w:val="16"/>
        </w:rPr>
        <w:t xml:space="preserve"> 2016</w:t>
      </w:r>
    </w:p>
  </w:footnote>
  <w:footnote w:id="75">
    <w:p w14:paraId="1CAA3EC8" w14:textId="77777777" w:rsidR="000D213D" w:rsidRPr="00813B4C" w:rsidRDefault="000D213D" w:rsidP="00AF11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Bennetto</w:t>
      </w:r>
      <w:r>
        <w:rPr>
          <w:rFonts w:asciiTheme="majorHAnsi" w:hAnsiTheme="majorHAnsi" w:cstheme="majorHAnsi"/>
          <w:szCs w:val="16"/>
        </w:rPr>
        <w:t>,</w:t>
      </w:r>
      <w:r w:rsidRPr="00813B4C">
        <w:rPr>
          <w:rFonts w:asciiTheme="majorHAnsi" w:hAnsiTheme="majorHAnsi" w:cstheme="majorHAnsi"/>
          <w:szCs w:val="16"/>
        </w:rPr>
        <w:t xml:space="preserve"> 1997</w:t>
      </w:r>
    </w:p>
  </w:footnote>
  <w:footnote w:id="76">
    <w:p w14:paraId="4A373E7F" w14:textId="77777777" w:rsidR="000D213D" w:rsidRPr="00813B4C" w:rsidRDefault="000D213D" w:rsidP="00AF1139">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w:t>
      </w:r>
      <w:r w:rsidRPr="00813B4C">
        <w:rPr>
          <w:rFonts w:asciiTheme="majorHAnsi" w:hAnsiTheme="majorHAnsi" w:cstheme="majorHAnsi"/>
          <w:szCs w:val="16"/>
        </w:rPr>
        <w:t xml:space="preserve">Atlantic </w:t>
      </w:r>
      <w:r w:rsidRPr="00813B4C">
        <w:rPr>
          <w:rFonts w:asciiTheme="majorHAnsi" w:hAnsiTheme="majorHAnsi" w:cstheme="majorHAnsi"/>
          <w:noProof/>
          <w:szCs w:val="16"/>
        </w:rPr>
        <w:t>Counci</w:t>
      </w:r>
      <w:r>
        <w:rPr>
          <w:rFonts w:asciiTheme="majorHAnsi" w:hAnsiTheme="majorHAnsi" w:cstheme="majorHAnsi"/>
          <w:noProof/>
          <w:szCs w:val="16"/>
        </w:rPr>
        <w:t>,</w:t>
      </w:r>
      <w:r w:rsidRPr="00813B4C">
        <w:rPr>
          <w:rFonts w:asciiTheme="majorHAnsi" w:hAnsiTheme="majorHAnsi" w:cstheme="majorHAnsi"/>
          <w:noProof/>
          <w:szCs w:val="16"/>
        </w:rPr>
        <w:t>l</w:t>
      </w:r>
      <w:r w:rsidRPr="00813B4C">
        <w:rPr>
          <w:rFonts w:asciiTheme="majorHAnsi" w:hAnsiTheme="majorHAnsi" w:cstheme="majorHAnsi"/>
          <w:szCs w:val="16"/>
        </w:rPr>
        <w:t xml:space="preserve"> 2018</w:t>
      </w:r>
    </w:p>
  </w:footnote>
  <w:footnote w:id="77">
    <w:p w14:paraId="44655EAF" w14:textId="14EC67BD" w:rsidR="000D213D" w:rsidRPr="00813B4C" w:rsidRDefault="000D213D" w:rsidP="00AF1139">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Australian Energy Market Operator</w:t>
      </w:r>
      <w:r>
        <w:rPr>
          <w:rFonts w:asciiTheme="majorHAnsi" w:hAnsiTheme="majorHAnsi" w:cstheme="majorHAnsi"/>
          <w:noProof/>
          <w:color w:val="000000"/>
          <w:szCs w:val="16"/>
        </w:rPr>
        <w:t>,</w:t>
      </w:r>
      <w:r w:rsidRPr="00813B4C">
        <w:rPr>
          <w:rFonts w:asciiTheme="majorHAnsi" w:hAnsiTheme="majorHAnsi" w:cstheme="majorHAnsi"/>
          <w:color w:val="000000"/>
          <w:szCs w:val="16"/>
        </w:rPr>
        <w:t xml:space="preserve"> 2019; </w:t>
      </w:r>
      <w:r w:rsidRPr="00813B4C">
        <w:rPr>
          <w:rFonts w:asciiTheme="majorHAnsi" w:hAnsiTheme="majorHAnsi" w:cstheme="majorHAnsi"/>
          <w:szCs w:val="16"/>
        </w:rPr>
        <w:t>Australian Energy Market Operator</w:t>
      </w:r>
      <w:r>
        <w:rPr>
          <w:rFonts w:asciiTheme="majorHAnsi" w:hAnsiTheme="majorHAnsi" w:cstheme="majorHAnsi"/>
          <w:noProof/>
          <w:szCs w:val="16"/>
        </w:rPr>
        <w:t>,</w:t>
      </w:r>
      <w:r w:rsidRPr="00813B4C">
        <w:rPr>
          <w:rFonts w:asciiTheme="majorHAnsi" w:hAnsiTheme="majorHAnsi" w:cstheme="majorHAnsi"/>
          <w:szCs w:val="16"/>
        </w:rPr>
        <w:t xml:space="preserve"> 2018</w:t>
      </w:r>
    </w:p>
  </w:footnote>
  <w:footnote w:id="78">
    <w:p w14:paraId="7FEE4386" w14:textId="77777777" w:rsidR="000D213D" w:rsidRPr="00813B4C" w:rsidRDefault="000D213D" w:rsidP="00AF11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Energy Market Operator</w:t>
      </w:r>
      <w:r>
        <w:rPr>
          <w:rFonts w:asciiTheme="majorHAnsi" w:hAnsiTheme="majorHAnsi" w:cstheme="majorHAnsi"/>
          <w:szCs w:val="16"/>
        </w:rPr>
        <w:t>,</w:t>
      </w:r>
      <w:r w:rsidRPr="00813B4C">
        <w:rPr>
          <w:rFonts w:asciiTheme="majorHAnsi" w:hAnsiTheme="majorHAnsi" w:cstheme="majorHAnsi"/>
          <w:szCs w:val="16"/>
        </w:rPr>
        <w:t xml:space="preserve"> 2021</w:t>
      </w:r>
    </w:p>
  </w:footnote>
  <w:footnote w:id="79">
    <w:p w14:paraId="72A177B8" w14:textId="77777777" w:rsidR="000D213D" w:rsidRPr="00813B4C" w:rsidRDefault="000D213D" w:rsidP="00AF1139">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w:t>
      </w:r>
      <w:r w:rsidRPr="00813B4C">
        <w:rPr>
          <w:rFonts w:asciiTheme="majorHAnsi" w:hAnsiTheme="majorHAnsi" w:cstheme="majorHAnsi"/>
          <w:szCs w:val="16"/>
        </w:rPr>
        <w:t>Taylor</w:t>
      </w:r>
      <w:r>
        <w:rPr>
          <w:rFonts w:asciiTheme="majorHAnsi" w:hAnsiTheme="majorHAnsi" w:cstheme="majorHAnsi"/>
          <w:noProof/>
          <w:szCs w:val="16"/>
        </w:rPr>
        <w:t>,</w:t>
      </w:r>
      <w:r w:rsidRPr="00813B4C">
        <w:rPr>
          <w:rFonts w:asciiTheme="majorHAnsi" w:hAnsiTheme="majorHAnsi" w:cstheme="majorHAnsi"/>
          <w:szCs w:val="16"/>
        </w:rPr>
        <w:t xml:space="preserve"> 2014</w:t>
      </w:r>
    </w:p>
  </w:footnote>
  <w:footnote w:id="80">
    <w:p w14:paraId="377ABA6A" w14:textId="77777777" w:rsidR="000D213D" w:rsidRPr="00813B4C" w:rsidRDefault="000D213D" w:rsidP="00AF1139">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w:t>
      </w:r>
      <w:r w:rsidRPr="00813B4C">
        <w:rPr>
          <w:rFonts w:asciiTheme="majorHAnsi" w:hAnsiTheme="majorHAnsi" w:cstheme="majorHAnsi"/>
          <w:szCs w:val="16"/>
        </w:rPr>
        <w:t>KPMG</w:t>
      </w:r>
      <w:r>
        <w:rPr>
          <w:rFonts w:asciiTheme="majorHAnsi" w:hAnsiTheme="majorHAnsi" w:cstheme="majorHAnsi"/>
          <w:noProof/>
          <w:szCs w:val="16"/>
        </w:rPr>
        <w:t>,</w:t>
      </w:r>
      <w:r w:rsidRPr="00813B4C">
        <w:rPr>
          <w:rFonts w:asciiTheme="majorHAnsi" w:hAnsiTheme="majorHAnsi" w:cstheme="majorHAnsi"/>
          <w:szCs w:val="16"/>
        </w:rPr>
        <w:t xml:space="preserve"> 2020</w:t>
      </w:r>
    </w:p>
  </w:footnote>
  <w:footnote w:id="81">
    <w:p w14:paraId="7A4E55FC" w14:textId="77777777" w:rsidR="000D213D" w:rsidRPr="00813B4C" w:rsidRDefault="000D213D" w:rsidP="00AF1139">
      <w:pPr>
        <w:pStyle w:val="FootnoteText"/>
        <w:rPr>
          <w:rFonts w:asciiTheme="majorHAnsi" w:hAnsiTheme="majorHAnsi" w:cstheme="majorHAnsi"/>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w:t>
      </w:r>
      <w:r w:rsidRPr="00813B4C">
        <w:rPr>
          <w:rFonts w:asciiTheme="majorHAnsi" w:hAnsiTheme="majorHAnsi" w:cstheme="majorHAnsi"/>
          <w:szCs w:val="16"/>
        </w:rPr>
        <w:t>Ascierto</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82">
    <w:p w14:paraId="2A45B0D0" w14:textId="77777777" w:rsidR="000D213D" w:rsidRPr="00813B4C" w:rsidRDefault="000D213D" w:rsidP="00AF11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Chenneveau</w:t>
      </w:r>
      <w:r>
        <w:rPr>
          <w:rFonts w:asciiTheme="majorHAnsi" w:hAnsiTheme="majorHAnsi" w:cstheme="majorHAnsi"/>
          <w:noProof/>
          <w:szCs w:val="16"/>
        </w:rPr>
        <w:t>,</w:t>
      </w:r>
      <w:r w:rsidRPr="00813B4C">
        <w:rPr>
          <w:rFonts w:asciiTheme="majorHAnsi" w:hAnsiTheme="majorHAnsi" w:cstheme="majorHAnsi"/>
          <w:szCs w:val="16"/>
        </w:rPr>
        <w:t xml:space="preserve"> 2020</w:t>
      </w:r>
    </w:p>
  </w:footnote>
  <w:footnote w:id="83">
    <w:p w14:paraId="4E9CF69A" w14:textId="77777777" w:rsidR="000D213D" w:rsidRPr="00813B4C" w:rsidRDefault="000D213D" w:rsidP="00AF11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Kilpatrick</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84">
    <w:p w14:paraId="76AD4005" w14:textId="77777777" w:rsidR="000D213D" w:rsidRPr="00813B4C" w:rsidRDefault="000D213D" w:rsidP="00AF11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Deloitte</w:t>
      </w:r>
      <w:r>
        <w:rPr>
          <w:rFonts w:asciiTheme="majorHAnsi" w:hAnsiTheme="majorHAnsi" w:cstheme="majorHAnsi"/>
          <w:noProof/>
          <w:szCs w:val="16"/>
        </w:rPr>
        <w:t>,</w:t>
      </w:r>
      <w:r w:rsidRPr="00813B4C">
        <w:rPr>
          <w:rFonts w:asciiTheme="majorHAnsi" w:hAnsiTheme="majorHAnsi" w:cstheme="majorHAnsi"/>
          <w:szCs w:val="16"/>
        </w:rPr>
        <w:t xml:space="preserve"> 2020</w:t>
      </w:r>
    </w:p>
  </w:footnote>
  <w:footnote w:id="85">
    <w:p w14:paraId="6F7DE3FE" w14:textId="77777777" w:rsidR="000D213D" w:rsidRPr="00813B4C" w:rsidRDefault="000D213D" w:rsidP="00AF11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Ernst &amp; Young</w:t>
      </w:r>
      <w:r>
        <w:rPr>
          <w:rFonts w:asciiTheme="majorHAnsi" w:hAnsiTheme="majorHAnsi" w:cstheme="majorHAnsi"/>
          <w:noProof/>
          <w:szCs w:val="16"/>
        </w:rPr>
        <w:t>,</w:t>
      </w:r>
      <w:r w:rsidRPr="00813B4C">
        <w:rPr>
          <w:rFonts w:asciiTheme="majorHAnsi" w:hAnsiTheme="majorHAnsi" w:cstheme="majorHAnsi"/>
          <w:szCs w:val="16"/>
        </w:rPr>
        <w:t xml:space="preserve"> 2016</w:t>
      </w:r>
    </w:p>
  </w:footnote>
  <w:footnote w:id="86">
    <w:p w14:paraId="4BA081EE" w14:textId="77777777" w:rsidR="000D213D" w:rsidRPr="00813B4C" w:rsidRDefault="000D213D" w:rsidP="00AF11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Johnston</w:t>
      </w:r>
      <w:r>
        <w:rPr>
          <w:rFonts w:asciiTheme="majorHAnsi" w:hAnsiTheme="majorHAnsi" w:cstheme="majorHAnsi"/>
          <w:noProof/>
          <w:szCs w:val="16"/>
        </w:rPr>
        <w:t>,</w:t>
      </w:r>
      <w:r w:rsidRPr="00813B4C">
        <w:rPr>
          <w:rFonts w:asciiTheme="majorHAnsi" w:hAnsiTheme="majorHAnsi" w:cstheme="majorHAnsi"/>
          <w:szCs w:val="16"/>
        </w:rPr>
        <w:t xml:space="preserve"> 2017</w:t>
      </w:r>
    </w:p>
  </w:footnote>
  <w:footnote w:id="87">
    <w:p w14:paraId="67A56EA3" w14:textId="77777777" w:rsidR="000D213D" w:rsidRPr="00813B4C" w:rsidRDefault="000D213D" w:rsidP="00277D8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Home Affairs</w:t>
      </w:r>
      <w:r>
        <w:rPr>
          <w:rFonts w:asciiTheme="majorHAnsi" w:hAnsiTheme="majorHAnsi" w:cstheme="majorHAnsi"/>
          <w:noProof/>
          <w:szCs w:val="16"/>
        </w:rPr>
        <w:t>,</w:t>
      </w:r>
      <w:r w:rsidRPr="00813B4C">
        <w:rPr>
          <w:rFonts w:asciiTheme="majorHAnsi" w:hAnsiTheme="majorHAnsi" w:cstheme="majorHAnsi"/>
          <w:szCs w:val="16"/>
        </w:rPr>
        <w:t xml:space="preserve"> 2021, </w:t>
      </w:r>
      <w:r>
        <w:rPr>
          <w:rFonts w:asciiTheme="majorHAnsi" w:hAnsiTheme="majorHAnsi" w:cstheme="majorHAnsi"/>
          <w:noProof/>
          <w:szCs w:val="16"/>
        </w:rPr>
        <w:t>p.</w:t>
      </w:r>
      <w:r w:rsidRPr="00813B4C">
        <w:rPr>
          <w:rFonts w:asciiTheme="majorHAnsi" w:hAnsiTheme="majorHAnsi" w:cstheme="majorHAnsi"/>
          <w:noProof/>
          <w:szCs w:val="16"/>
        </w:rPr>
        <w:t xml:space="preserve"> </w:t>
      </w:r>
      <w:r w:rsidRPr="00813B4C">
        <w:rPr>
          <w:rFonts w:asciiTheme="majorHAnsi" w:hAnsiTheme="majorHAnsi" w:cstheme="majorHAnsi"/>
          <w:szCs w:val="16"/>
        </w:rPr>
        <w:t>2</w:t>
      </w:r>
    </w:p>
  </w:footnote>
  <w:footnote w:id="88">
    <w:p w14:paraId="509241A0" w14:textId="77777777" w:rsidR="000D213D" w:rsidRPr="00813B4C" w:rsidRDefault="000D213D" w:rsidP="00277D8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89">
    <w:p w14:paraId="581C55D6" w14:textId="77777777" w:rsidR="000D213D" w:rsidRPr="00813B4C" w:rsidRDefault="000D213D" w:rsidP="00F5205F">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w:t>
      </w:r>
      <w:r w:rsidRPr="00813B4C">
        <w:rPr>
          <w:rFonts w:asciiTheme="majorHAnsi" w:hAnsiTheme="majorHAnsi" w:cstheme="majorHAnsi"/>
          <w:szCs w:val="16"/>
        </w:rPr>
        <w:t>Gonzalez</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90">
    <w:p w14:paraId="2C7A4178" w14:textId="77777777" w:rsidR="000D213D" w:rsidRPr="00813B4C" w:rsidRDefault="000D213D" w:rsidP="00F5205F">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w:t>
      </w:r>
      <w:r w:rsidRPr="00813B4C">
        <w:rPr>
          <w:rFonts w:asciiTheme="majorHAnsi" w:hAnsiTheme="majorHAnsi" w:cstheme="majorHAnsi"/>
          <w:szCs w:val="16"/>
        </w:rPr>
        <w:t>Osborne</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91">
    <w:p w14:paraId="692E73A1" w14:textId="77777777" w:rsidR="000D213D" w:rsidRPr="00813B4C" w:rsidRDefault="000D213D" w:rsidP="00F5205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Economist</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92">
    <w:p w14:paraId="278EB8EB" w14:textId="77777777" w:rsidR="000D213D" w:rsidRPr="00813B4C" w:rsidRDefault="000D213D" w:rsidP="00F5205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Volz</w:t>
      </w:r>
      <w:r>
        <w:rPr>
          <w:rFonts w:asciiTheme="majorHAnsi" w:hAnsiTheme="majorHAnsi" w:cstheme="majorHAnsi"/>
          <w:noProof/>
          <w:szCs w:val="16"/>
        </w:rPr>
        <w:t>,</w:t>
      </w:r>
      <w:r w:rsidRPr="00813B4C">
        <w:rPr>
          <w:rFonts w:asciiTheme="majorHAnsi" w:hAnsiTheme="majorHAnsi" w:cstheme="majorHAnsi"/>
          <w:szCs w:val="16"/>
        </w:rPr>
        <w:t xml:space="preserve"> 2018</w:t>
      </w:r>
    </w:p>
  </w:footnote>
  <w:footnote w:id="93">
    <w:p w14:paraId="42D9EF47" w14:textId="77777777" w:rsidR="000D213D" w:rsidRPr="00813B4C" w:rsidRDefault="000D213D" w:rsidP="002D3CA7">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Barrera</w:t>
      </w:r>
      <w:r>
        <w:rPr>
          <w:rFonts w:asciiTheme="majorHAnsi" w:hAnsiTheme="majorHAnsi" w:cstheme="majorHAnsi"/>
          <w:noProof/>
          <w:szCs w:val="16"/>
        </w:rPr>
        <w:t>,</w:t>
      </w:r>
      <w:r w:rsidRPr="00813B4C">
        <w:rPr>
          <w:rFonts w:asciiTheme="majorHAnsi" w:hAnsiTheme="majorHAnsi" w:cstheme="majorHAnsi"/>
          <w:szCs w:val="16"/>
        </w:rPr>
        <w:t xml:space="preserve"> 2019</w:t>
      </w:r>
    </w:p>
  </w:footnote>
  <w:footnote w:id="94">
    <w:p w14:paraId="42BA3B0E" w14:textId="77777777" w:rsidR="000D213D" w:rsidRPr="00813B4C" w:rsidRDefault="000D213D" w:rsidP="00205F6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Sussman</w:t>
      </w:r>
      <w:r>
        <w:rPr>
          <w:rFonts w:asciiTheme="majorHAnsi" w:hAnsiTheme="majorHAnsi" w:cstheme="majorHAnsi"/>
          <w:noProof/>
          <w:szCs w:val="16"/>
        </w:rPr>
        <w:t>,</w:t>
      </w:r>
      <w:r w:rsidRPr="00813B4C">
        <w:rPr>
          <w:rFonts w:asciiTheme="majorHAnsi" w:hAnsiTheme="majorHAnsi" w:cstheme="majorHAnsi"/>
          <w:szCs w:val="16"/>
        </w:rPr>
        <w:t xml:space="preserve"> 2019</w:t>
      </w:r>
    </w:p>
  </w:footnote>
  <w:footnote w:id="95">
    <w:p w14:paraId="30D4D7BC" w14:textId="77777777" w:rsidR="000D213D" w:rsidRPr="00813B4C" w:rsidRDefault="000D213D" w:rsidP="004364B0">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Government of Western Australia – Office of Energy</w:t>
      </w:r>
      <w:r>
        <w:rPr>
          <w:rFonts w:asciiTheme="majorHAnsi" w:hAnsiTheme="majorHAnsi" w:cstheme="majorHAnsi"/>
          <w:szCs w:val="16"/>
        </w:rPr>
        <w:t>,</w:t>
      </w:r>
      <w:r w:rsidRPr="00813B4C">
        <w:rPr>
          <w:rFonts w:asciiTheme="majorHAnsi" w:hAnsiTheme="majorHAnsi" w:cstheme="majorHAnsi"/>
          <w:szCs w:val="16"/>
        </w:rPr>
        <w:t xml:space="preserve"> 2009 </w:t>
      </w:r>
    </w:p>
  </w:footnote>
  <w:footnote w:id="96">
    <w:p w14:paraId="39A1759F" w14:textId="77777777" w:rsidR="000D213D" w:rsidRPr="00813B4C" w:rsidRDefault="000D213D" w:rsidP="00A0095F">
      <w:pPr>
        <w:pStyle w:val="FootnoteText"/>
        <w:rPr>
          <w:rFonts w:asciiTheme="majorHAnsi" w:hAnsiTheme="majorHAnsi" w:cstheme="majorHAnsi"/>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Transport Safety Board of Canada</w:t>
      </w:r>
      <w:r>
        <w:rPr>
          <w:rFonts w:asciiTheme="majorHAnsi" w:hAnsiTheme="majorHAnsi" w:cstheme="majorHAnsi"/>
          <w:noProof/>
          <w:color w:val="000000" w:themeColor="text1"/>
          <w:szCs w:val="16"/>
        </w:rPr>
        <w:t>,</w:t>
      </w:r>
      <w:r w:rsidRPr="00813B4C">
        <w:rPr>
          <w:rFonts w:asciiTheme="majorHAnsi" w:hAnsiTheme="majorHAnsi" w:cstheme="majorHAnsi"/>
          <w:color w:val="000000" w:themeColor="text1"/>
          <w:szCs w:val="16"/>
        </w:rPr>
        <w:t xml:space="preserve"> 2018</w:t>
      </w:r>
    </w:p>
  </w:footnote>
  <w:footnote w:id="97">
    <w:p w14:paraId="1FA68193" w14:textId="77777777" w:rsidR="000D213D" w:rsidRPr="00813B4C" w:rsidRDefault="000D213D" w:rsidP="006D2F6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US Cybersecurity and Infrastructure Security Agency, 2020</w:t>
      </w:r>
    </w:p>
  </w:footnote>
  <w:footnote w:id="98">
    <w:p w14:paraId="7344C526" w14:textId="77777777" w:rsidR="000D213D" w:rsidRPr="00813B4C" w:rsidRDefault="000D213D" w:rsidP="0096194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Financial Review, </w:t>
      </w:r>
      <w:r>
        <w:rPr>
          <w:rFonts w:asciiTheme="majorHAnsi" w:hAnsiTheme="majorHAnsi" w:cstheme="majorHAnsi"/>
          <w:i/>
          <w:iCs/>
          <w:szCs w:val="16"/>
        </w:rPr>
        <w:t>2020.</w:t>
      </w:r>
    </w:p>
  </w:footnote>
  <w:footnote w:id="99">
    <w:p w14:paraId="03DC70E2" w14:textId="77777777" w:rsidR="000D213D" w:rsidRPr="00813B4C" w:rsidRDefault="000D213D" w:rsidP="00E70ED0">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w:t>
      </w:r>
      <w:r>
        <w:rPr>
          <w:rFonts w:asciiTheme="majorHAnsi" w:hAnsiTheme="majorHAnsi" w:cstheme="majorHAnsi"/>
          <w:color w:val="000000" w:themeColor="text1"/>
          <w:szCs w:val="16"/>
        </w:rPr>
        <w:t>ABC, 2020</w:t>
      </w:r>
    </w:p>
  </w:footnote>
  <w:footnote w:id="100">
    <w:p w14:paraId="3AE33238" w14:textId="77777777" w:rsidR="000D213D" w:rsidRPr="00813B4C" w:rsidRDefault="000D213D" w:rsidP="00451D24">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w:t>
      </w:r>
      <w:r>
        <w:rPr>
          <w:rFonts w:asciiTheme="majorHAnsi" w:hAnsiTheme="majorHAnsi" w:cstheme="majorHAnsi"/>
          <w:color w:val="000000" w:themeColor="text1"/>
          <w:szCs w:val="16"/>
        </w:rPr>
        <w:t xml:space="preserve">Technology Review, 2019 </w:t>
      </w:r>
    </w:p>
  </w:footnote>
  <w:footnote w:id="101">
    <w:p w14:paraId="390A56F3" w14:textId="77777777" w:rsidR="000D213D" w:rsidRPr="00813B4C" w:rsidRDefault="000D213D" w:rsidP="00451D24">
      <w:pPr>
        <w:pStyle w:val="FootnoteText"/>
        <w:rPr>
          <w:rFonts w:asciiTheme="majorHAnsi" w:hAnsiTheme="majorHAnsi" w:cstheme="majorHAnsi"/>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Ibid. </w:t>
      </w:r>
    </w:p>
  </w:footnote>
  <w:footnote w:id="102">
    <w:p w14:paraId="5CB6827D" w14:textId="77777777" w:rsidR="000D213D" w:rsidRPr="00813B4C" w:rsidRDefault="000D213D" w:rsidP="00451D2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Pr>
          <w:rFonts w:asciiTheme="majorHAnsi" w:hAnsiTheme="majorHAnsi" w:cstheme="majorHAnsi"/>
          <w:szCs w:val="16"/>
        </w:rPr>
        <w:t>Refinitiv, 2019</w:t>
      </w:r>
    </w:p>
  </w:footnote>
  <w:footnote w:id="103">
    <w:p w14:paraId="60B8E9EC" w14:textId="77777777" w:rsidR="000D213D" w:rsidRPr="00813B4C" w:rsidRDefault="000D213D" w:rsidP="00451D2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Pr>
          <w:rFonts w:asciiTheme="majorHAnsi" w:hAnsiTheme="majorHAnsi" w:cstheme="majorHAnsi"/>
          <w:szCs w:val="16"/>
        </w:rPr>
        <w:t>Deloitte, 2020</w:t>
      </w:r>
    </w:p>
  </w:footnote>
  <w:footnote w:id="104">
    <w:p w14:paraId="30F2EDE2" w14:textId="77777777" w:rsidR="000D213D" w:rsidRPr="00813B4C" w:rsidRDefault="000D213D" w:rsidP="00106C0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Cunsolo n.d.</w:t>
      </w:r>
    </w:p>
  </w:footnote>
  <w:footnote w:id="105">
    <w:p w14:paraId="729CC732" w14:textId="77777777" w:rsidR="000D213D" w:rsidRPr="00813B4C" w:rsidRDefault="000D213D" w:rsidP="00106C0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Government n.d.</w:t>
      </w:r>
    </w:p>
  </w:footnote>
  <w:footnote w:id="106">
    <w:p w14:paraId="0392D00A" w14:textId="77777777" w:rsidR="000D213D" w:rsidRPr="00813B4C" w:rsidRDefault="000D213D" w:rsidP="001B0A1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107">
    <w:p w14:paraId="3243C150" w14:textId="77777777" w:rsidR="000D213D" w:rsidRPr="00813B4C" w:rsidRDefault="000D213D" w:rsidP="00146290">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United States Environmental Protection Agency, n.d.; UNICEF, n.d.</w:t>
      </w:r>
    </w:p>
  </w:footnote>
  <w:footnote w:id="108">
    <w:p w14:paraId="6C5BDDF2" w14:textId="77777777" w:rsidR="000D213D" w:rsidRPr="00813B4C" w:rsidRDefault="000D213D" w:rsidP="006874A3">
      <w:pPr>
        <w:pStyle w:val="FootnoteText"/>
      </w:pPr>
      <w:r w:rsidRPr="00813B4C">
        <w:rPr>
          <w:rStyle w:val="FootnoteReference"/>
          <w:rFonts w:asciiTheme="majorHAnsi" w:hAnsiTheme="majorHAnsi" w:cstheme="majorHAnsi"/>
          <w:szCs w:val="16"/>
        </w:rPr>
        <w:footnoteRef/>
      </w:r>
      <w:r w:rsidRPr="00813B4C">
        <w:t xml:space="preserve"> Arcadia, 2017</w:t>
      </w:r>
    </w:p>
  </w:footnote>
  <w:footnote w:id="109">
    <w:p w14:paraId="1B5E7C7C" w14:textId="77777777" w:rsidR="000D213D" w:rsidRPr="00813B4C" w:rsidRDefault="000D213D" w:rsidP="006874A3">
      <w:pPr>
        <w:pStyle w:val="FootnoteText"/>
      </w:pPr>
      <w:r w:rsidRPr="00813B4C">
        <w:rPr>
          <w:rStyle w:val="FootnoteReference"/>
          <w:rFonts w:asciiTheme="majorHAnsi" w:hAnsiTheme="majorHAnsi" w:cstheme="majorHAnsi"/>
          <w:szCs w:val="16"/>
        </w:rPr>
        <w:footnoteRef/>
      </w:r>
      <w:r w:rsidRPr="00813B4C">
        <w:t xml:space="preserve"> The Water Project, n.d.</w:t>
      </w:r>
    </w:p>
  </w:footnote>
  <w:footnote w:id="110">
    <w:p w14:paraId="3D74CB65" w14:textId="4B90C8C4" w:rsidR="000D213D" w:rsidRPr="00CE4B35" w:rsidRDefault="000D213D" w:rsidP="006874A3">
      <w:pPr>
        <w:pStyle w:val="FootnoteText"/>
        <w:rPr>
          <w:lang w:val="nl-NL"/>
        </w:rPr>
      </w:pPr>
      <w:r w:rsidRPr="009739FE">
        <w:rPr>
          <w:rStyle w:val="FootnoteReference"/>
          <w:color w:val="000000" w:themeColor="text1"/>
          <w:szCs w:val="16"/>
        </w:rPr>
        <w:footnoteRef/>
      </w:r>
      <w:r w:rsidRPr="00CE4B35">
        <w:rPr>
          <w:lang w:val="nl-NL"/>
        </w:rPr>
        <w:t xml:space="preserve"> BBC,</w:t>
      </w:r>
      <w:r w:rsidRPr="00CE4B35">
        <w:rPr>
          <w:rStyle w:val="Hyperlink"/>
          <w:rFonts w:ascii="Arial" w:hAnsi="Arial" w:cs="Arial"/>
          <w:szCs w:val="16"/>
          <w:u w:val="none"/>
          <w:lang w:val="nl-NL"/>
        </w:rPr>
        <w:t xml:space="preserve"> 2010</w:t>
      </w:r>
    </w:p>
  </w:footnote>
  <w:footnote w:id="111">
    <w:p w14:paraId="44ABA3A1" w14:textId="36FD2E78" w:rsidR="000D213D" w:rsidRPr="00CE4B35" w:rsidRDefault="000D213D" w:rsidP="006874A3">
      <w:pPr>
        <w:pStyle w:val="FootnoteText"/>
        <w:rPr>
          <w:lang w:val="nl-NL"/>
        </w:rPr>
      </w:pPr>
      <w:r w:rsidRPr="00CC0AC3">
        <w:rPr>
          <w:rStyle w:val="FootnoteReference"/>
          <w:rFonts w:ascii="Arial" w:hAnsi="Arial"/>
          <w:szCs w:val="16"/>
        </w:rPr>
        <w:footnoteRef/>
      </w:r>
      <w:r w:rsidRPr="00CE4B35">
        <w:rPr>
          <w:lang w:val="nl-NL"/>
        </w:rPr>
        <w:t xml:space="preserve"> Platonov e. al, 2014</w:t>
      </w:r>
    </w:p>
  </w:footnote>
  <w:footnote w:id="112">
    <w:p w14:paraId="07B12B56" w14:textId="1D49587C" w:rsidR="000D213D" w:rsidRPr="00CE4B35" w:rsidRDefault="000D213D" w:rsidP="006874A3">
      <w:pPr>
        <w:pStyle w:val="FootnoteText"/>
        <w:rPr>
          <w:lang w:val="nl-NL"/>
        </w:rPr>
      </w:pPr>
      <w:r w:rsidRPr="009739FE">
        <w:rPr>
          <w:rStyle w:val="FootnoteReference"/>
          <w:color w:val="000000" w:themeColor="text1"/>
          <w:szCs w:val="16"/>
        </w:rPr>
        <w:footnoteRef/>
      </w:r>
      <w:r w:rsidRPr="00CE4B35">
        <w:rPr>
          <w:lang w:val="nl-NL"/>
        </w:rPr>
        <w:t xml:space="preserve"> Hurst,</w:t>
      </w:r>
      <w:r w:rsidRPr="00CE4B35">
        <w:rPr>
          <w:rStyle w:val="Hyperlink"/>
          <w:szCs w:val="16"/>
          <w:u w:val="none"/>
          <w:lang w:val="nl-NL"/>
        </w:rPr>
        <w:t xml:space="preserve"> 2011</w:t>
      </w:r>
    </w:p>
  </w:footnote>
  <w:footnote w:id="113">
    <w:p w14:paraId="3BE745AD" w14:textId="21568E72" w:rsidR="000D213D" w:rsidRPr="009739FE" w:rsidRDefault="000D213D" w:rsidP="006874A3">
      <w:pPr>
        <w:pStyle w:val="FootnoteText"/>
      </w:pPr>
      <w:r w:rsidRPr="009739FE">
        <w:rPr>
          <w:rStyle w:val="FootnoteReference"/>
          <w:szCs w:val="16"/>
        </w:rPr>
        <w:footnoteRef/>
      </w:r>
      <w:r w:rsidRPr="009739FE">
        <w:t xml:space="preserve"> </w:t>
      </w:r>
      <w:r>
        <w:t>I</w:t>
      </w:r>
      <w:r w:rsidRPr="009739FE">
        <w:rPr>
          <w:shd w:val="clear" w:color="auto" w:fill="FFFFFF"/>
        </w:rPr>
        <w:t>nsurance Council of Australia</w:t>
      </w:r>
      <w:r>
        <w:rPr>
          <w:shd w:val="clear" w:color="auto" w:fill="FFFFFF"/>
        </w:rPr>
        <w:t>, 2011</w:t>
      </w:r>
    </w:p>
  </w:footnote>
  <w:footnote w:id="114">
    <w:p w14:paraId="32D83F89" w14:textId="5BA81408" w:rsidR="000D213D" w:rsidRPr="009739FE" w:rsidRDefault="000D213D" w:rsidP="006874A3">
      <w:pPr>
        <w:pStyle w:val="FootnoteText"/>
      </w:pPr>
      <w:r w:rsidRPr="009739FE">
        <w:rPr>
          <w:rStyle w:val="FootnoteReference"/>
          <w:szCs w:val="16"/>
        </w:rPr>
        <w:footnoteRef/>
      </w:r>
      <w:r w:rsidRPr="009739FE">
        <w:t xml:space="preserve"> Queensland Floods Commission of Inquiry</w:t>
      </w:r>
      <w:r>
        <w:t>, 2012</w:t>
      </w:r>
    </w:p>
  </w:footnote>
  <w:footnote w:id="115">
    <w:p w14:paraId="37CFA4A5" w14:textId="3A47557D" w:rsidR="000D213D" w:rsidRDefault="000D213D" w:rsidP="006874A3">
      <w:pPr>
        <w:pStyle w:val="FootnoteText"/>
      </w:pPr>
      <w:r w:rsidRPr="009739FE">
        <w:rPr>
          <w:rStyle w:val="FootnoteReference"/>
          <w:szCs w:val="16"/>
        </w:rPr>
        <w:footnoteRef/>
      </w:r>
      <w:r w:rsidRPr="009739FE">
        <w:t xml:space="preserve"> Queensland Reconstruction Authority, 2011</w:t>
      </w:r>
    </w:p>
  </w:footnote>
  <w:footnote w:id="116">
    <w:p w14:paraId="2D0A3493" w14:textId="77777777" w:rsidR="000D213D" w:rsidRPr="00EA4124" w:rsidRDefault="000D213D" w:rsidP="006874A3">
      <w:pPr>
        <w:pStyle w:val="FootnoteText"/>
      </w:pPr>
      <w:r w:rsidRPr="00CC0AC3">
        <w:rPr>
          <w:rStyle w:val="FootnoteReference"/>
          <w:rFonts w:asciiTheme="majorHAnsi" w:hAnsiTheme="majorHAnsi" w:cstheme="majorHAnsi"/>
          <w:szCs w:val="16"/>
        </w:rPr>
        <w:footnoteRef/>
      </w:r>
      <w:r w:rsidRPr="00CC0AC3">
        <w:t xml:space="preserve"> Softpedia News, 2016</w:t>
      </w:r>
    </w:p>
  </w:footnote>
  <w:footnote w:id="117">
    <w:p w14:paraId="7B8FC204" w14:textId="77777777" w:rsidR="000D213D" w:rsidRPr="00EA4124" w:rsidRDefault="000D213D" w:rsidP="006874A3">
      <w:pPr>
        <w:pStyle w:val="FootnoteText"/>
      </w:pPr>
      <w:r w:rsidRPr="00CC0AC3">
        <w:rPr>
          <w:rStyle w:val="FootnoteReference"/>
          <w:rFonts w:asciiTheme="majorHAnsi" w:hAnsiTheme="majorHAnsi" w:cstheme="majorHAnsi"/>
          <w:szCs w:val="16"/>
        </w:rPr>
        <w:footnoteRef/>
      </w:r>
      <w:r w:rsidRPr="00CC0AC3">
        <w:t xml:space="preserve"> Ibid</w:t>
      </w:r>
    </w:p>
  </w:footnote>
  <w:footnote w:id="118">
    <w:p w14:paraId="551312C1" w14:textId="77777777" w:rsidR="000D213D" w:rsidRPr="00EA4124" w:rsidRDefault="000D213D" w:rsidP="006874A3">
      <w:pPr>
        <w:pStyle w:val="FootnoteText"/>
      </w:pPr>
      <w:r w:rsidRPr="00CC0AC3">
        <w:rPr>
          <w:rStyle w:val="FootnoteReference"/>
          <w:rFonts w:asciiTheme="majorHAnsi" w:hAnsiTheme="majorHAnsi" w:cstheme="majorHAnsi"/>
          <w:szCs w:val="16"/>
        </w:rPr>
        <w:footnoteRef/>
      </w:r>
      <w:r w:rsidRPr="00CC0AC3">
        <w:t xml:space="preserve"> Ibid</w:t>
      </w:r>
    </w:p>
  </w:footnote>
  <w:footnote w:id="119">
    <w:p w14:paraId="57C36754" w14:textId="77777777" w:rsidR="000D213D" w:rsidRPr="00EA4124" w:rsidRDefault="000D213D" w:rsidP="006874A3">
      <w:pPr>
        <w:pStyle w:val="FootnoteText"/>
      </w:pPr>
      <w:r w:rsidRPr="00CC0AC3">
        <w:rPr>
          <w:rStyle w:val="FootnoteReference"/>
          <w:rFonts w:asciiTheme="majorHAnsi" w:hAnsiTheme="majorHAnsi" w:cstheme="majorHAnsi"/>
          <w:szCs w:val="16"/>
        </w:rPr>
        <w:footnoteRef/>
      </w:r>
      <w:r w:rsidRPr="00CC0AC3">
        <w:t xml:space="preserve"> World Socialist Web Site, </w:t>
      </w:r>
      <w:r w:rsidRPr="008E1A28">
        <w:t>1998</w:t>
      </w:r>
    </w:p>
  </w:footnote>
  <w:footnote w:id="120">
    <w:p w14:paraId="7E5FECF6" w14:textId="77777777" w:rsidR="000D213D" w:rsidRPr="00EA4124" w:rsidRDefault="000D213D" w:rsidP="006874A3">
      <w:pPr>
        <w:pStyle w:val="FootnoteText"/>
      </w:pPr>
      <w:r w:rsidRPr="00CC0AC3">
        <w:rPr>
          <w:rStyle w:val="FootnoteReference"/>
          <w:rFonts w:asciiTheme="majorHAnsi" w:hAnsiTheme="majorHAnsi" w:cstheme="majorHAnsi"/>
          <w:szCs w:val="16"/>
        </w:rPr>
        <w:footnoteRef/>
      </w:r>
      <w:r w:rsidRPr="00CC0AC3">
        <w:t xml:space="preserve"> The Australia and New Zealand School of Government, 2005</w:t>
      </w:r>
    </w:p>
  </w:footnote>
  <w:footnote w:id="121">
    <w:p w14:paraId="41128557" w14:textId="77777777" w:rsidR="000D213D" w:rsidRPr="00EA4124" w:rsidRDefault="000D213D" w:rsidP="008E1A28">
      <w:pPr>
        <w:pStyle w:val="FootnoteText"/>
      </w:pPr>
      <w:r w:rsidRPr="00CC0AC3">
        <w:rPr>
          <w:rStyle w:val="FootnoteReference"/>
          <w:rFonts w:asciiTheme="majorHAnsi" w:hAnsiTheme="majorHAnsi" w:cstheme="majorHAnsi"/>
          <w:szCs w:val="16"/>
        </w:rPr>
        <w:footnoteRef/>
      </w:r>
      <w:r w:rsidRPr="00CC0AC3">
        <w:t xml:space="preserve"> Ibid</w:t>
      </w:r>
    </w:p>
  </w:footnote>
  <w:footnote w:id="122">
    <w:p w14:paraId="7E922AB3" w14:textId="77777777" w:rsidR="000D213D" w:rsidRPr="00EA4124" w:rsidRDefault="000D213D" w:rsidP="008E1A28">
      <w:pPr>
        <w:pStyle w:val="FootnoteText"/>
      </w:pPr>
      <w:r w:rsidRPr="00CC0AC3">
        <w:rPr>
          <w:rStyle w:val="FootnoteReference"/>
          <w:rFonts w:asciiTheme="majorHAnsi" w:hAnsiTheme="majorHAnsi" w:cstheme="majorHAnsi"/>
          <w:szCs w:val="16"/>
        </w:rPr>
        <w:footnoteRef/>
      </w:r>
      <w:r w:rsidRPr="00CC0AC3">
        <w:t xml:space="preserve"> Ibid</w:t>
      </w:r>
    </w:p>
  </w:footnote>
  <w:footnote w:id="123">
    <w:p w14:paraId="487D1BE6" w14:textId="77777777" w:rsidR="000D213D" w:rsidRPr="00EA4124" w:rsidRDefault="000D213D" w:rsidP="000D0B03">
      <w:pPr>
        <w:pStyle w:val="FootnoteText"/>
        <w:rPr>
          <w:rFonts w:asciiTheme="majorHAnsi" w:hAnsiTheme="majorHAnsi" w:cstheme="majorHAnsi"/>
          <w:szCs w:val="16"/>
        </w:rPr>
      </w:pPr>
      <w:r w:rsidRPr="00CC0AC3">
        <w:rPr>
          <w:rStyle w:val="FootnoteReference"/>
          <w:rFonts w:asciiTheme="majorHAnsi" w:hAnsiTheme="majorHAnsi" w:cstheme="majorHAnsi"/>
          <w:szCs w:val="16"/>
        </w:rPr>
        <w:footnoteRef/>
      </w:r>
      <w:r w:rsidRPr="00CC0AC3">
        <w:rPr>
          <w:rFonts w:asciiTheme="majorHAnsi" w:hAnsiTheme="majorHAnsi" w:cstheme="majorHAnsi"/>
          <w:szCs w:val="16"/>
        </w:rPr>
        <w:t xml:space="preserve"> The Register, 2001</w:t>
      </w:r>
    </w:p>
  </w:footnote>
  <w:footnote w:id="124">
    <w:p w14:paraId="02A41E99" w14:textId="77777777" w:rsidR="000D213D" w:rsidRPr="00813B4C" w:rsidRDefault="000D213D" w:rsidP="000D0B03">
      <w:pPr>
        <w:pStyle w:val="FootnoteText"/>
        <w:rPr>
          <w:rFonts w:asciiTheme="majorHAnsi" w:hAnsiTheme="majorHAnsi" w:cstheme="majorHAnsi"/>
          <w:szCs w:val="16"/>
        </w:rPr>
      </w:pPr>
      <w:r w:rsidRPr="00CC0AC3">
        <w:rPr>
          <w:rStyle w:val="FootnoteReference"/>
          <w:rFonts w:asciiTheme="majorHAnsi" w:hAnsiTheme="majorHAnsi" w:cstheme="majorHAnsi"/>
          <w:szCs w:val="16"/>
        </w:rPr>
        <w:footnoteRef/>
      </w:r>
      <w:r w:rsidRPr="00CC0AC3">
        <w:rPr>
          <w:rFonts w:asciiTheme="majorHAnsi" w:hAnsiTheme="majorHAnsi" w:cstheme="majorHAnsi"/>
          <w:szCs w:val="16"/>
        </w:rPr>
        <w:t xml:space="preserve"> Ibid</w:t>
      </w:r>
    </w:p>
  </w:footnote>
  <w:footnote w:id="125">
    <w:p w14:paraId="6D369777" w14:textId="77777777" w:rsidR="000D213D" w:rsidRPr="00813B4C" w:rsidRDefault="000D213D" w:rsidP="000D0B0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Sayfayn &amp; Madnick, 2017</w:t>
      </w:r>
    </w:p>
  </w:footnote>
  <w:footnote w:id="126">
    <w:p w14:paraId="625D9FCD" w14:textId="77777777" w:rsidR="000D213D" w:rsidRPr="00813B4C" w:rsidRDefault="000D213D" w:rsidP="000D0B0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Wired, 2011</w:t>
      </w:r>
    </w:p>
  </w:footnote>
  <w:footnote w:id="127">
    <w:p w14:paraId="3CC857B6" w14:textId="77777777" w:rsidR="000D213D" w:rsidRPr="00813B4C" w:rsidRDefault="000D213D" w:rsidP="000D0B0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28">
    <w:p w14:paraId="6CD9AB98" w14:textId="77777777" w:rsidR="000D213D" w:rsidRPr="00813B4C" w:rsidRDefault="000D213D" w:rsidP="000D0B0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Washington Post, 2011</w:t>
      </w:r>
    </w:p>
  </w:footnote>
  <w:footnote w:id="129">
    <w:p w14:paraId="7598D52F" w14:textId="77777777" w:rsidR="000D213D" w:rsidRPr="00813B4C" w:rsidRDefault="000D213D" w:rsidP="000D0B0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30">
    <w:p w14:paraId="7FAD90E6" w14:textId="77777777" w:rsidR="000D213D" w:rsidRPr="00813B4C" w:rsidRDefault="000D213D" w:rsidP="00B805A3">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 The Conversation, 2021</w:t>
      </w:r>
    </w:p>
  </w:footnote>
  <w:footnote w:id="131">
    <w:p w14:paraId="409CB52D" w14:textId="77777777" w:rsidR="000D213D" w:rsidRPr="00813B4C" w:rsidRDefault="000D213D" w:rsidP="00B805A3">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 PSC Consulting, 2020</w:t>
      </w:r>
    </w:p>
  </w:footnote>
  <w:footnote w:id="132">
    <w:p w14:paraId="56DF4F4C" w14:textId="77777777" w:rsidR="000D213D" w:rsidRPr="00813B4C" w:rsidRDefault="000D213D" w:rsidP="00B805A3">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 GCN, 2021</w:t>
      </w:r>
    </w:p>
  </w:footnote>
  <w:footnote w:id="133">
    <w:p w14:paraId="4FF1E92E" w14:textId="77777777" w:rsidR="000D213D" w:rsidRPr="00813B4C" w:rsidRDefault="000D213D" w:rsidP="00B805A3">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 Australian Aid, 2020</w:t>
      </w:r>
    </w:p>
  </w:footnote>
  <w:footnote w:id="134">
    <w:p w14:paraId="0E8B69FF" w14:textId="77777777" w:rsidR="000D213D" w:rsidRPr="00813B4C" w:rsidRDefault="000D213D" w:rsidP="00B805A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35">
    <w:p w14:paraId="156E1EC7" w14:textId="77777777" w:rsidR="000D213D" w:rsidRPr="00813B4C" w:rsidRDefault="000D213D" w:rsidP="0062033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136">
    <w:p w14:paraId="3C9F622E" w14:textId="77777777" w:rsidR="000D213D" w:rsidRPr="00813B4C" w:rsidRDefault="000D213D" w:rsidP="00E1525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 Financial Review</w:t>
      </w:r>
      <w:r>
        <w:rPr>
          <w:rFonts w:asciiTheme="majorHAnsi" w:hAnsiTheme="majorHAnsi" w:cstheme="majorHAnsi"/>
          <w:noProof/>
          <w:szCs w:val="16"/>
        </w:rPr>
        <w:t xml:space="preserve">, </w:t>
      </w:r>
      <w:r w:rsidRPr="00813B4C">
        <w:rPr>
          <w:rFonts w:asciiTheme="majorHAnsi" w:hAnsiTheme="majorHAnsi" w:cstheme="majorHAnsi"/>
          <w:szCs w:val="16"/>
        </w:rPr>
        <w:t>2021</w:t>
      </w:r>
    </w:p>
  </w:footnote>
  <w:footnote w:id="137">
    <w:p w14:paraId="498646CB" w14:textId="77777777" w:rsidR="000D213D" w:rsidRPr="00813B4C" w:rsidRDefault="000D213D" w:rsidP="00E1525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38">
    <w:p w14:paraId="3F56A98C" w14:textId="77777777" w:rsidR="000D213D" w:rsidRPr="00813B4C" w:rsidRDefault="000D213D" w:rsidP="00E1525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South Australian Government</w:t>
      </w:r>
      <w:r>
        <w:rPr>
          <w:rFonts w:asciiTheme="majorHAnsi" w:hAnsiTheme="majorHAnsi" w:cstheme="majorHAnsi"/>
          <w:noProof/>
          <w:szCs w:val="16"/>
        </w:rPr>
        <w:t xml:space="preserve">, </w:t>
      </w:r>
      <w:r w:rsidRPr="00813B4C">
        <w:rPr>
          <w:rFonts w:asciiTheme="majorHAnsi" w:hAnsiTheme="majorHAnsi" w:cstheme="majorHAnsi"/>
          <w:szCs w:val="16"/>
        </w:rPr>
        <w:t>2021</w:t>
      </w:r>
    </w:p>
  </w:footnote>
  <w:footnote w:id="139">
    <w:p w14:paraId="34D99CD3" w14:textId="6DDB60CA" w:rsidR="000D213D" w:rsidRDefault="000D213D">
      <w:pPr>
        <w:pStyle w:val="FootnoteText"/>
      </w:pPr>
      <w:r>
        <w:rPr>
          <w:rStyle w:val="FootnoteReference"/>
        </w:rPr>
        <w:footnoteRef/>
      </w:r>
      <w:r>
        <w:t xml:space="preserve"> </w:t>
      </w:r>
      <w:hyperlink r:id="rId2" w:history="1">
        <w:r>
          <w:rPr>
            <w:rStyle w:val="Hyperlink"/>
          </w:rPr>
          <w:t>ABC,</w:t>
        </w:r>
      </w:hyperlink>
      <w:r>
        <w:t xml:space="preserve"> 2021</w:t>
      </w:r>
    </w:p>
  </w:footnote>
  <w:footnote w:id="140">
    <w:p w14:paraId="7AB3247E" w14:textId="77777777" w:rsidR="000D213D" w:rsidRPr="00813B4C" w:rsidRDefault="000D213D" w:rsidP="00E1525B">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ZDNet</w:t>
      </w:r>
      <w:r>
        <w:rPr>
          <w:rFonts w:asciiTheme="majorHAnsi" w:hAnsiTheme="majorHAnsi" w:cstheme="majorHAnsi"/>
          <w:color w:val="000000" w:themeColor="text1"/>
          <w:szCs w:val="16"/>
        </w:rPr>
        <w:t xml:space="preserve">, </w:t>
      </w:r>
      <w:r w:rsidRPr="00813B4C">
        <w:rPr>
          <w:rFonts w:asciiTheme="majorHAnsi" w:hAnsiTheme="majorHAnsi" w:cstheme="majorHAnsi"/>
          <w:color w:val="000000" w:themeColor="text1"/>
          <w:szCs w:val="16"/>
        </w:rPr>
        <w:t>2020</w:t>
      </w:r>
    </w:p>
  </w:footnote>
  <w:footnote w:id="141">
    <w:p w14:paraId="458BDE4C" w14:textId="77777777" w:rsidR="000D213D" w:rsidRPr="00813B4C" w:rsidRDefault="000D213D" w:rsidP="00E1525B">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Ibid</w:t>
      </w:r>
    </w:p>
  </w:footnote>
  <w:footnote w:id="142">
    <w:p w14:paraId="21DBF270" w14:textId="77777777" w:rsidR="000D213D" w:rsidRPr="00813B4C" w:rsidRDefault="000D213D" w:rsidP="00E1525B">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Equinix</w:t>
      </w:r>
      <w:r>
        <w:rPr>
          <w:rFonts w:asciiTheme="majorHAnsi" w:hAnsiTheme="majorHAnsi" w:cstheme="majorHAnsi"/>
          <w:color w:val="000000" w:themeColor="text1"/>
          <w:szCs w:val="16"/>
        </w:rPr>
        <w:t xml:space="preserve">, </w:t>
      </w:r>
      <w:r w:rsidRPr="00813B4C">
        <w:rPr>
          <w:rFonts w:asciiTheme="majorHAnsi" w:hAnsiTheme="majorHAnsi" w:cstheme="majorHAnsi"/>
          <w:color w:val="000000" w:themeColor="text1"/>
          <w:szCs w:val="16"/>
        </w:rPr>
        <w:t>2021</w:t>
      </w:r>
    </w:p>
  </w:footnote>
  <w:footnote w:id="143">
    <w:p w14:paraId="0DF06A96" w14:textId="77777777" w:rsidR="000D213D" w:rsidRPr="00813B4C" w:rsidRDefault="000D213D" w:rsidP="00E1525B">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Data Centre Dynamics</w:t>
      </w:r>
      <w:r>
        <w:rPr>
          <w:rFonts w:asciiTheme="majorHAnsi" w:hAnsiTheme="majorHAnsi" w:cstheme="majorHAnsi"/>
          <w:color w:val="000000" w:themeColor="text1"/>
          <w:szCs w:val="16"/>
        </w:rPr>
        <w:t xml:space="preserve">, </w:t>
      </w:r>
      <w:r w:rsidRPr="00813B4C">
        <w:rPr>
          <w:rFonts w:asciiTheme="majorHAnsi" w:hAnsiTheme="majorHAnsi" w:cstheme="majorHAnsi"/>
          <w:color w:val="000000" w:themeColor="text1"/>
          <w:szCs w:val="16"/>
        </w:rPr>
        <w:t>2021</w:t>
      </w:r>
    </w:p>
  </w:footnote>
  <w:footnote w:id="144">
    <w:p w14:paraId="5B35C34C" w14:textId="77777777" w:rsidR="000D213D" w:rsidRPr="00813B4C" w:rsidRDefault="000D213D" w:rsidP="00E1525B">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Google Cloud</w:t>
      </w:r>
      <w:r>
        <w:rPr>
          <w:rFonts w:asciiTheme="majorHAnsi" w:hAnsiTheme="majorHAnsi" w:cstheme="majorHAnsi"/>
          <w:color w:val="000000" w:themeColor="text1"/>
          <w:szCs w:val="16"/>
        </w:rPr>
        <w:t xml:space="preserve">, </w:t>
      </w:r>
      <w:r w:rsidRPr="00813B4C">
        <w:rPr>
          <w:rFonts w:asciiTheme="majorHAnsi" w:hAnsiTheme="majorHAnsi" w:cstheme="majorHAnsi"/>
          <w:color w:val="000000" w:themeColor="text1"/>
          <w:szCs w:val="16"/>
        </w:rPr>
        <w:t xml:space="preserve">2021 </w:t>
      </w:r>
    </w:p>
  </w:footnote>
  <w:footnote w:id="145">
    <w:p w14:paraId="38922D66" w14:textId="77777777" w:rsidR="000D213D" w:rsidRPr="00813B4C" w:rsidRDefault="000D213D" w:rsidP="00E1525B">
      <w:pPr>
        <w:pStyle w:val="FootnoteText"/>
        <w:rPr>
          <w:rFonts w:asciiTheme="majorHAnsi" w:hAnsiTheme="majorHAnsi" w:cstheme="majorHAnsi"/>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Data Centre Dynamics</w:t>
      </w:r>
      <w:r>
        <w:rPr>
          <w:rFonts w:asciiTheme="majorHAnsi" w:hAnsiTheme="majorHAnsi" w:cstheme="majorHAnsi"/>
          <w:color w:val="000000" w:themeColor="text1"/>
          <w:szCs w:val="16"/>
        </w:rPr>
        <w:t xml:space="preserve">, </w:t>
      </w:r>
      <w:r w:rsidRPr="00813B4C">
        <w:rPr>
          <w:rFonts w:asciiTheme="majorHAnsi" w:hAnsiTheme="majorHAnsi" w:cstheme="majorHAnsi"/>
          <w:color w:val="000000" w:themeColor="text1"/>
          <w:szCs w:val="16"/>
        </w:rPr>
        <w:t xml:space="preserve">2021 </w:t>
      </w:r>
    </w:p>
  </w:footnote>
  <w:footnote w:id="146">
    <w:p w14:paraId="5AE48662" w14:textId="77777777" w:rsidR="000D213D" w:rsidRPr="00813B4C" w:rsidRDefault="000D213D" w:rsidP="00E1525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Google Cloud</w:t>
      </w:r>
      <w:r>
        <w:rPr>
          <w:rFonts w:asciiTheme="majorHAnsi" w:hAnsiTheme="majorHAnsi" w:cstheme="majorHAnsi"/>
          <w:szCs w:val="16"/>
        </w:rPr>
        <w:t xml:space="preserve">, </w:t>
      </w:r>
      <w:r w:rsidRPr="00813B4C">
        <w:rPr>
          <w:rFonts w:asciiTheme="majorHAnsi" w:hAnsiTheme="majorHAnsi" w:cstheme="majorHAnsi"/>
          <w:szCs w:val="16"/>
        </w:rPr>
        <w:t xml:space="preserve">2021 </w:t>
      </w:r>
    </w:p>
  </w:footnote>
  <w:footnote w:id="147">
    <w:p w14:paraId="0C043FC3" w14:textId="77777777" w:rsidR="000D213D" w:rsidRPr="00813B4C" w:rsidRDefault="000D213D" w:rsidP="00E1525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TechCrunch</w:t>
      </w:r>
      <w:r>
        <w:rPr>
          <w:rFonts w:asciiTheme="majorHAnsi" w:hAnsiTheme="majorHAnsi" w:cstheme="majorHAnsi"/>
          <w:szCs w:val="16"/>
        </w:rPr>
        <w:t xml:space="preserve">, </w:t>
      </w:r>
      <w:r w:rsidRPr="00813B4C">
        <w:rPr>
          <w:rFonts w:asciiTheme="majorHAnsi" w:hAnsiTheme="majorHAnsi" w:cstheme="majorHAnsi"/>
          <w:szCs w:val="16"/>
        </w:rPr>
        <w:t xml:space="preserve">2019 </w:t>
      </w:r>
    </w:p>
  </w:footnote>
  <w:footnote w:id="148">
    <w:p w14:paraId="1A0ECD5F" w14:textId="77777777" w:rsidR="000D213D" w:rsidRPr="00813B4C" w:rsidRDefault="000D213D" w:rsidP="00E1525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49">
    <w:p w14:paraId="44E96B76" w14:textId="77777777" w:rsidR="000D213D" w:rsidRPr="00813B4C" w:rsidRDefault="000D213D" w:rsidP="00E1525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United States Department of Justice</w:t>
      </w:r>
      <w:r>
        <w:rPr>
          <w:rFonts w:asciiTheme="majorHAnsi" w:hAnsiTheme="majorHAnsi" w:cstheme="majorHAnsi"/>
          <w:szCs w:val="16"/>
        </w:rPr>
        <w:t xml:space="preserve">, </w:t>
      </w:r>
      <w:r w:rsidRPr="00813B4C">
        <w:rPr>
          <w:rFonts w:asciiTheme="majorHAnsi" w:hAnsiTheme="majorHAnsi" w:cstheme="majorHAnsi"/>
          <w:szCs w:val="16"/>
        </w:rPr>
        <w:t xml:space="preserve">2020 </w:t>
      </w:r>
    </w:p>
  </w:footnote>
  <w:footnote w:id="150">
    <w:p w14:paraId="49CC5F50" w14:textId="77777777" w:rsidR="000D213D" w:rsidRPr="00813B4C" w:rsidRDefault="000D213D" w:rsidP="00E1525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51">
    <w:p w14:paraId="40716AE9" w14:textId="77777777" w:rsidR="000D213D" w:rsidRPr="00813B4C" w:rsidRDefault="000D213D" w:rsidP="004D06A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Data Centre Dynamics</w:t>
      </w:r>
      <w:r>
        <w:rPr>
          <w:rFonts w:asciiTheme="majorHAnsi" w:hAnsiTheme="majorHAnsi" w:cstheme="majorHAnsi"/>
          <w:szCs w:val="16"/>
        </w:rPr>
        <w:t xml:space="preserve">, </w:t>
      </w:r>
      <w:r w:rsidRPr="00813B4C">
        <w:rPr>
          <w:rFonts w:asciiTheme="majorHAnsi" w:hAnsiTheme="majorHAnsi" w:cstheme="majorHAnsi"/>
          <w:szCs w:val="16"/>
        </w:rPr>
        <w:t>2017</w:t>
      </w:r>
    </w:p>
  </w:footnote>
  <w:footnote w:id="152">
    <w:p w14:paraId="5A1F473B" w14:textId="77777777" w:rsidR="000D213D" w:rsidRPr="00813B4C" w:rsidRDefault="000D213D" w:rsidP="004D06A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Kroll</w:t>
      </w:r>
      <w:r>
        <w:rPr>
          <w:rFonts w:asciiTheme="majorHAnsi" w:hAnsiTheme="majorHAnsi" w:cstheme="majorHAnsi"/>
          <w:szCs w:val="16"/>
        </w:rPr>
        <w:t xml:space="preserve">, </w:t>
      </w:r>
      <w:r w:rsidRPr="00813B4C">
        <w:rPr>
          <w:rFonts w:asciiTheme="majorHAnsi" w:hAnsiTheme="majorHAnsi" w:cstheme="majorHAnsi"/>
          <w:szCs w:val="16"/>
        </w:rPr>
        <w:t>2021</w:t>
      </w:r>
    </w:p>
  </w:footnote>
  <w:footnote w:id="153">
    <w:p w14:paraId="7CFC936C" w14:textId="77777777" w:rsidR="000D213D" w:rsidRPr="00813B4C" w:rsidRDefault="000D213D" w:rsidP="004D06A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CSO</w:t>
      </w:r>
      <w:r>
        <w:rPr>
          <w:rFonts w:asciiTheme="majorHAnsi" w:hAnsiTheme="majorHAnsi" w:cstheme="majorHAnsi"/>
          <w:szCs w:val="16"/>
        </w:rPr>
        <w:t xml:space="preserve">, </w:t>
      </w:r>
      <w:r w:rsidRPr="00813B4C">
        <w:rPr>
          <w:rFonts w:asciiTheme="majorHAnsi" w:hAnsiTheme="majorHAnsi" w:cstheme="majorHAnsi"/>
          <w:szCs w:val="16"/>
        </w:rPr>
        <w:t>2021</w:t>
      </w:r>
    </w:p>
  </w:footnote>
  <w:footnote w:id="154">
    <w:p w14:paraId="00B09325" w14:textId="77777777" w:rsidR="000D213D" w:rsidRPr="00813B4C" w:rsidRDefault="000D213D" w:rsidP="004D06A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Sybex</w:t>
      </w:r>
      <w:r>
        <w:rPr>
          <w:rFonts w:asciiTheme="majorHAnsi" w:hAnsiTheme="majorHAnsi" w:cstheme="majorHAnsi"/>
          <w:szCs w:val="16"/>
        </w:rPr>
        <w:t xml:space="preserve">, </w:t>
      </w:r>
      <w:r w:rsidRPr="00813B4C">
        <w:rPr>
          <w:rFonts w:asciiTheme="majorHAnsi" w:hAnsiTheme="majorHAnsi" w:cstheme="majorHAnsi"/>
          <w:szCs w:val="16"/>
        </w:rPr>
        <w:t>2016</w:t>
      </w:r>
    </w:p>
  </w:footnote>
  <w:footnote w:id="155">
    <w:p w14:paraId="11099E21" w14:textId="77777777" w:rsidR="000D213D" w:rsidRPr="00813B4C" w:rsidRDefault="000D213D" w:rsidP="004D06A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Carnegie Mellon University</w:t>
      </w:r>
      <w:r>
        <w:rPr>
          <w:rFonts w:asciiTheme="majorHAnsi" w:hAnsiTheme="majorHAnsi" w:cstheme="majorHAnsi"/>
          <w:szCs w:val="16"/>
        </w:rPr>
        <w:t xml:space="preserve">, </w:t>
      </w:r>
      <w:r w:rsidRPr="00813B4C">
        <w:rPr>
          <w:rFonts w:asciiTheme="majorHAnsi" w:hAnsiTheme="majorHAnsi" w:cstheme="majorHAnsi"/>
          <w:szCs w:val="16"/>
        </w:rPr>
        <w:t xml:space="preserve">2018 </w:t>
      </w:r>
    </w:p>
  </w:footnote>
  <w:footnote w:id="156">
    <w:p w14:paraId="3904077F" w14:textId="77777777" w:rsidR="000D213D" w:rsidRPr="00813B4C" w:rsidRDefault="000D213D" w:rsidP="004D06A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Forbes</w:t>
      </w:r>
      <w:r>
        <w:rPr>
          <w:rFonts w:asciiTheme="majorHAnsi" w:hAnsiTheme="majorHAnsi" w:cstheme="majorHAnsi"/>
          <w:szCs w:val="16"/>
        </w:rPr>
        <w:t xml:space="preserve">, </w:t>
      </w:r>
      <w:r w:rsidRPr="00813B4C">
        <w:rPr>
          <w:rFonts w:asciiTheme="majorHAnsi" w:hAnsiTheme="majorHAnsi" w:cstheme="majorHAnsi"/>
          <w:szCs w:val="16"/>
        </w:rPr>
        <w:t xml:space="preserve">2019 </w:t>
      </w:r>
    </w:p>
  </w:footnote>
  <w:footnote w:id="157">
    <w:p w14:paraId="6AA05841" w14:textId="77777777" w:rsidR="000D213D" w:rsidRPr="00813B4C" w:rsidRDefault="000D213D" w:rsidP="004D06A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58">
    <w:p w14:paraId="2466B84A" w14:textId="77777777" w:rsidR="000D213D" w:rsidRPr="00813B4C" w:rsidRDefault="000D213D" w:rsidP="004D06A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Silicon</w:t>
      </w:r>
      <w:r>
        <w:rPr>
          <w:rFonts w:asciiTheme="majorHAnsi" w:hAnsiTheme="majorHAnsi" w:cstheme="majorHAnsi"/>
          <w:szCs w:val="16"/>
        </w:rPr>
        <w:t xml:space="preserve">, </w:t>
      </w:r>
      <w:r w:rsidRPr="00813B4C">
        <w:rPr>
          <w:rFonts w:asciiTheme="majorHAnsi" w:hAnsiTheme="majorHAnsi" w:cstheme="majorHAnsi"/>
          <w:szCs w:val="16"/>
        </w:rPr>
        <w:t xml:space="preserve">2019 </w:t>
      </w:r>
    </w:p>
  </w:footnote>
  <w:footnote w:id="159">
    <w:p w14:paraId="13B8C055" w14:textId="77777777" w:rsidR="000D213D" w:rsidRPr="00813B4C" w:rsidRDefault="000D213D" w:rsidP="008633F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160">
    <w:p w14:paraId="31B7415D" w14:textId="77777777" w:rsidR="000D213D" w:rsidRPr="00813B4C" w:rsidRDefault="000D213D" w:rsidP="0081190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NASA, “What are radiowaves,” (2018), accessed at &lt; https://www.nasa.gov/directorates/heo/scan/communications/outreach/funfacts/txt_radio_spectrum.html&gt;</w:t>
      </w:r>
    </w:p>
  </w:footnote>
  <w:footnote w:id="161">
    <w:p w14:paraId="5E53675F" w14:textId="5C943BFA" w:rsidR="000D213D" w:rsidRPr="00813B4C" w:rsidRDefault="000D213D" w:rsidP="00A04E4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Pr>
          <w:rFonts w:asciiTheme="majorHAnsi" w:hAnsiTheme="majorHAnsi" w:cstheme="majorHAnsi"/>
          <w:szCs w:val="16"/>
        </w:rPr>
        <w:t xml:space="preserve">Home Affairs, 2020 </w:t>
      </w:r>
    </w:p>
  </w:footnote>
  <w:footnote w:id="162">
    <w:p w14:paraId="40B19881" w14:textId="77777777" w:rsidR="000D213D" w:rsidRPr="00813B4C" w:rsidRDefault="000D213D" w:rsidP="0081190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Pr>
          <w:rFonts w:asciiTheme="majorHAnsi" w:hAnsiTheme="majorHAnsi" w:cstheme="majorHAnsi"/>
          <w:szCs w:val="16"/>
        </w:rPr>
        <w:t xml:space="preserve">McCutcheon, 2020 </w:t>
      </w:r>
    </w:p>
  </w:footnote>
  <w:footnote w:id="163">
    <w:p w14:paraId="78346367" w14:textId="77777777" w:rsidR="000D213D" w:rsidRPr="00813B4C" w:rsidRDefault="000D213D" w:rsidP="0081190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64">
    <w:p w14:paraId="0CD65EC2" w14:textId="77777777" w:rsidR="000D213D" w:rsidRPr="00813B4C" w:rsidRDefault="000D213D" w:rsidP="00C5626D">
      <w:pPr>
        <w:pStyle w:val="FootnoteText"/>
      </w:pPr>
      <w:r w:rsidRPr="00813B4C">
        <w:rPr>
          <w:rStyle w:val="FootnoteReference"/>
          <w:rFonts w:asciiTheme="majorHAnsi" w:hAnsiTheme="majorHAnsi" w:cstheme="majorHAnsi"/>
          <w:szCs w:val="16"/>
        </w:rPr>
        <w:footnoteRef/>
      </w:r>
      <w:r w:rsidRPr="00813B4C">
        <w:t xml:space="preserve"> Corera</w:t>
      </w:r>
      <w:r>
        <w:t>,</w:t>
      </w:r>
      <w:r w:rsidRPr="00813B4C">
        <w:t xml:space="preserve"> 2016</w:t>
      </w:r>
    </w:p>
  </w:footnote>
  <w:footnote w:id="165">
    <w:p w14:paraId="16FDE12A" w14:textId="77777777" w:rsidR="000D213D" w:rsidRPr="00813B4C" w:rsidRDefault="000D213D" w:rsidP="00C5626D">
      <w:pPr>
        <w:pStyle w:val="FootnoteText"/>
      </w:pPr>
      <w:r w:rsidRPr="00813B4C">
        <w:rPr>
          <w:rStyle w:val="FootnoteReference"/>
          <w:rFonts w:asciiTheme="majorHAnsi" w:hAnsiTheme="majorHAnsi" w:cstheme="majorHAnsi"/>
          <w:szCs w:val="16"/>
        </w:rPr>
        <w:footnoteRef/>
      </w:r>
      <w:r w:rsidRPr="00813B4C">
        <w:t xml:space="preserve"> Ibid</w:t>
      </w:r>
    </w:p>
  </w:footnote>
  <w:footnote w:id="166">
    <w:p w14:paraId="24B3D3F0" w14:textId="172514E8" w:rsidR="000D213D" w:rsidRPr="00813B4C" w:rsidRDefault="000D213D" w:rsidP="00C5626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3" w:history="1">
        <w:r w:rsidRPr="00813B4C">
          <w:rPr>
            <w:rStyle w:val="Hyperlink"/>
            <w:rFonts w:asciiTheme="majorHAnsi" w:hAnsiTheme="majorHAnsi" w:cstheme="majorHAnsi"/>
            <w:szCs w:val="16"/>
            <w:u w:val="none"/>
          </w:rPr>
          <w:t>Lauder</w:t>
        </w:r>
      </w:hyperlink>
      <w:r w:rsidRPr="00813B4C">
        <w:rPr>
          <w:rStyle w:val="Hyperlink"/>
          <w:rFonts w:asciiTheme="majorHAnsi" w:hAnsiTheme="majorHAnsi" w:cstheme="majorHAnsi"/>
          <w:szCs w:val="16"/>
          <w:u w:val="none"/>
        </w:rPr>
        <w:t>, Reardon, McCutcheon</w:t>
      </w:r>
      <w:r>
        <w:rPr>
          <w:rStyle w:val="Hyperlink"/>
          <w:rFonts w:asciiTheme="majorHAnsi" w:hAnsiTheme="majorHAnsi" w:cstheme="majorHAnsi"/>
          <w:szCs w:val="16"/>
          <w:u w:val="none"/>
        </w:rPr>
        <w:t>,</w:t>
      </w:r>
      <w:r w:rsidRPr="00813B4C">
        <w:rPr>
          <w:rStyle w:val="Hyperlink"/>
          <w:rFonts w:asciiTheme="majorHAnsi" w:hAnsiTheme="majorHAnsi" w:cstheme="majorHAnsi"/>
          <w:szCs w:val="16"/>
          <w:u w:val="none"/>
        </w:rPr>
        <w:t xml:space="preserve"> 2020</w:t>
      </w:r>
    </w:p>
  </w:footnote>
  <w:footnote w:id="167">
    <w:p w14:paraId="21D66333" w14:textId="77777777" w:rsidR="000D213D" w:rsidRPr="00813B4C" w:rsidRDefault="000D213D" w:rsidP="00C5626D">
      <w:pPr>
        <w:pStyle w:val="FootnoteText"/>
      </w:pPr>
      <w:r w:rsidRPr="00813B4C">
        <w:rPr>
          <w:rStyle w:val="FootnoteReference"/>
          <w:rFonts w:asciiTheme="majorHAnsi" w:hAnsiTheme="majorHAnsi" w:cstheme="majorHAnsi"/>
          <w:szCs w:val="16"/>
        </w:rPr>
        <w:footnoteRef/>
      </w:r>
      <w:r w:rsidRPr="00813B4C">
        <w:t xml:space="preserve"> Ibid</w:t>
      </w:r>
    </w:p>
  </w:footnote>
  <w:footnote w:id="168">
    <w:p w14:paraId="38A85A2B" w14:textId="08DCBC01" w:rsidR="000D213D" w:rsidRPr="00813B4C" w:rsidRDefault="000D213D" w:rsidP="00BD5FC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4" w:history="1">
        <w:r w:rsidRPr="00813B4C">
          <w:rPr>
            <w:rStyle w:val="Hyperlink"/>
            <w:rFonts w:asciiTheme="majorHAnsi" w:hAnsiTheme="majorHAnsi" w:cstheme="majorHAnsi"/>
            <w:szCs w:val="16"/>
            <w:u w:val="none"/>
          </w:rPr>
          <w:t>Butts</w:t>
        </w:r>
      </w:hyperlink>
      <w:r>
        <w:rPr>
          <w:rStyle w:val="Hyperlink"/>
          <w:rFonts w:asciiTheme="majorHAnsi" w:hAnsiTheme="majorHAnsi" w:cstheme="majorHAnsi"/>
          <w:szCs w:val="16"/>
          <w:u w:val="none"/>
        </w:rPr>
        <w:t>,</w:t>
      </w:r>
      <w:r w:rsidRPr="00813B4C">
        <w:rPr>
          <w:rStyle w:val="Hyperlink"/>
          <w:rFonts w:asciiTheme="majorHAnsi" w:hAnsiTheme="majorHAnsi" w:cstheme="majorHAnsi"/>
          <w:szCs w:val="16"/>
          <w:u w:val="none"/>
        </w:rPr>
        <w:t xml:space="preserve"> 2021</w:t>
      </w:r>
    </w:p>
  </w:footnote>
  <w:footnote w:id="169">
    <w:p w14:paraId="2D97F7C4" w14:textId="77777777" w:rsidR="000D213D" w:rsidRPr="00813B4C" w:rsidRDefault="000D213D" w:rsidP="00BD5FC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170">
    <w:p w14:paraId="3A08F35E" w14:textId="77777777" w:rsidR="000D213D" w:rsidRPr="00813B4C" w:rsidRDefault="000D213D" w:rsidP="00C03F0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Williams, Robinson</w:t>
      </w:r>
      <w:r>
        <w:rPr>
          <w:rFonts w:asciiTheme="majorHAnsi" w:hAnsiTheme="majorHAnsi" w:cstheme="majorHAnsi"/>
          <w:szCs w:val="16"/>
        </w:rPr>
        <w:t>,</w:t>
      </w:r>
      <w:r w:rsidRPr="00813B4C">
        <w:rPr>
          <w:rFonts w:asciiTheme="majorHAnsi" w:hAnsiTheme="majorHAnsi" w:cstheme="majorHAnsi"/>
          <w:szCs w:val="16"/>
        </w:rPr>
        <w:t xml:space="preserve"> 2021</w:t>
      </w:r>
    </w:p>
  </w:footnote>
  <w:footnote w:id="171">
    <w:p w14:paraId="046D3CD6" w14:textId="77777777" w:rsidR="000D213D" w:rsidRPr="00813B4C" w:rsidRDefault="000D213D" w:rsidP="00C03F0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Style w:val="Hyperlink"/>
          <w:rFonts w:asciiTheme="majorHAnsi" w:hAnsiTheme="majorHAnsi" w:cstheme="majorHAnsi"/>
          <w:szCs w:val="16"/>
        </w:rPr>
        <w:t>Fachot, 2019</w:t>
      </w:r>
    </w:p>
  </w:footnote>
  <w:footnote w:id="172">
    <w:p w14:paraId="6DC38F7E" w14:textId="0D0EB905" w:rsidR="000D213D" w:rsidRPr="00813B4C" w:rsidRDefault="000D213D" w:rsidP="00C03F0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5" w:history="1">
        <w:r w:rsidRPr="00813B4C">
          <w:rPr>
            <w:rStyle w:val="Hyperlink"/>
            <w:rFonts w:asciiTheme="majorHAnsi" w:hAnsiTheme="majorHAnsi" w:cstheme="majorHAnsi"/>
            <w:szCs w:val="16"/>
          </w:rPr>
          <w:t>Cockburn,</w:t>
        </w:r>
      </w:hyperlink>
      <w:r w:rsidRPr="00813B4C">
        <w:rPr>
          <w:rStyle w:val="Hyperlink"/>
          <w:rFonts w:asciiTheme="majorHAnsi" w:hAnsiTheme="majorHAnsi" w:cstheme="majorHAnsi"/>
          <w:szCs w:val="16"/>
        </w:rPr>
        <w:t xml:space="preserve"> 2019</w:t>
      </w:r>
    </w:p>
  </w:footnote>
  <w:footnote w:id="173">
    <w:p w14:paraId="0264C5FF" w14:textId="77777777" w:rsidR="000D213D" w:rsidRPr="00813B4C" w:rsidRDefault="000D213D" w:rsidP="00C305F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Home Affairs 2021, 2</w:t>
      </w:r>
    </w:p>
  </w:footnote>
  <w:footnote w:id="174">
    <w:p w14:paraId="6F0C666E" w14:textId="77777777" w:rsidR="000D213D" w:rsidRPr="00813B4C" w:rsidRDefault="000D213D" w:rsidP="007F6AA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175">
    <w:p w14:paraId="49C27CE7" w14:textId="77777777" w:rsidR="000D213D" w:rsidRPr="00813B4C" w:rsidRDefault="000D213D" w:rsidP="00E30EE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Pr>
          <w:rFonts w:asciiTheme="majorHAnsi" w:hAnsiTheme="majorHAnsi" w:cstheme="majorHAnsi"/>
          <w:szCs w:val="16"/>
        </w:rPr>
        <w:t>RBA n.d.</w:t>
      </w:r>
      <w:r w:rsidRPr="00813B4C">
        <w:rPr>
          <w:rFonts w:asciiTheme="majorHAnsi" w:hAnsiTheme="majorHAnsi" w:cstheme="majorHAnsi"/>
          <w:szCs w:val="16"/>
        </w:rPr>
        <w:t xml:space="preserve"> </w:t>
      </w:r>
    </w:p>
  </w:footnote>
  <w:footnote w:id="176">
    <w:p w14:paraId="453E8CE6" w14:textId="77777777" w:rsidR="000D213D" w:rsidRPr="00813B4C" w:rsidRDefault="000D213D" w:rsidP="00E30EE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Critical Infrastructure Centre, 2020, p. 21 </w:t>
      </w:r>
    </w:p>
  </w:footnote>
  <w:footnote w:id="177">
    <w:p w14:paraId="0BB02B60" w14:textId="77777777" w:rsidR="000D213D" w:rsidRPr="00813B4C" w:rsidRDefault="000D213D"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Colangelo, 2018</w:t>
      </w:r>
    </w:p>
  </w:footnote>
  <w:footnote w:id="178">
    <w:p w14:paraId="007CB0DC" w14:textId="77777777" w:rsidR="000D213D" w:rsidRPr="00813B4C" w:rsidRDefault="000D213D"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Colangelo, 2018</w:t>
      </w:r>
    </w:p>
  </w:footnote>
  <w:footnote w:id="179">
    <w:p w14:paraId="4A999720" w14:textId="77777777" w:rsidR="000D213D" w:rsidRPr="00813B4C" w:rsidRDefault="000D213D"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Chapman, 2019</w:t>
      </w:r>
    </w:p>
  </w:footnote>
  <w:footnote w:id="180">
    <w:p w14:paraId="0147911A" w14:textId="77777777" w:rsidR="000D213D" w:rsidRPr="00813B4C" w:rsidRDefault="000D213D"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Motherwell, 2018</w:t>
      </w:r>
    </w:p>
  </w:footnote>
  <w:footnote w:id="181">
    <w:p w14:paraId="319655A8" w14:textId="77777777" w:rsidR="000D213D" w:rsidRPr="00813B4C" w:rsidRDefault="000D213D"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Motherwell, 2018</w:t>
      </w:r>
    </w:p>
  </w:footnote>
  <w:footnote w:id="182">
    <w:p w14:paraId="6F60E53F" w14:textId="77777777" w:rsidR="000D213D" w:rsidRPr="00813B4C" w:rsidRDefault="000D213D"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Smith, 2018</w:t>
      </w:r>
    </w:p>
  </w:footnote>
  <w:footnote w:id="183">
    <w:p w14:paraId="734797B5" w14:textId="77777777" w:rsidR="000D213D" w:rsidRPr="00813B4C" w:rsidRDefault="000D213D"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Smith, 2018</w:t>
      </w:r>
    </w:p>
  </w:footnote>
  <w:footnote w:id="184">
    <w:p w14:paraId="1C94000E" w14:textId="77777777" w:rsidR="000D213D" w:rsidRPr="00813B4C" w:rsidRDefault="000D213D"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Crozier, 2021</w:t>
      </w:r>
    </w:p>
  </w:footnote>
  <w:footnote w:id="185">
    <w:p w14:paraId="74D2D1F4" w14:textId="77777777" w:rsidR="000D213D" w:rsidRPr="00813B4C" w:rsidRDefault="000D213D" w:rsidP="00587B7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Fruhlinger, 2021</w:t>
      </w:r>
    </w:p>
  </w:footnote>
  <w:footnote w:id="186">
    <w:p w14:paraId="56CD78AC" w14:textId="0FF38A56" w:rsidR="000D213D" w:rsidRPr="00813B4C" w:rsidRDefault="000D213D" w:rsidP="00D169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6" w:history="1">
        <w:r w:rsidRPr="00813B4C">
          <w:rPr>
            <w:rStyle w:val="Hyperlink"/>
            <w:rFonts w:asciiTheme="majorHAnsi" w:hAnsiTheme="majorHAnsi" w:cstheme="majorHAnsi"/>
            <w:szCs w:val="16"/>
          </w:rPr>
          <w:t>RBA,</w:t>
        </w:r>
      </w:hyperlink>
      <w:r w:rsidRPr="00813B4C">
        <w:rPr>
          <w:rFonts w:asciiTheme="majorHAnsi" w:hAnsiTheme="majorHAnsi" w:cstheme="majorHAnsi"/>
          <w:szCs w:val="16"/>
        </w:rPr>
        <w:t xml:space="preserve"> 2018</w:t>
      </w:r>
    </w:p>
  </w:footnote>
  <w:footnote w:id="187">
    <w:p w14:paraId="239B4237" w14:textId="05650814" w:rsidR="000D213D" w:rsidRPr="00813B4C" w:rsidRDefault="000D213D" w:rsidP="00D169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7" w:history="1">
        <w:r w:rsidRPr="00813B4C">
          <w:rPr>
            <w:rStyle w:val="Hyperlink"/>
            <w:rFonts w:asciiTheme="majorHAnsi" w:hAnsiTheme="majorHAnsi" w:cstheme="majorHAnsi"/>
            <w:szCs w:val="16"/>
          </w:rPr>
          <w:t>RBA,</w:t>
        </w:r>
      </w:hyperlink>
      <w:r w:rsidRPr="00813B4C">
        <w:rPr>
          <w:rFonts w:asciiTheme="majorHAnsi" w:hAnsiTheme="majorHAnsi" w:cstheme="majorHAnsi"/>
          <w:szCs w:val="16"/>
        </w:rPr>
        <w:t xml:space="preserve"> 2018</w:t>
      </w:r>
    </w:p>
  </w:footnote>
  <w:footnote w:id="188">
    <w:p w14:paraId="164808C2" w14:textId="77777777" w:rsidR="000D213D" w:rsidRPr="00813B4C" w:rsidRDefault="000D213D" w:rsidP="00D169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Ernst &amp; Young, 2016</w:t>
      </w:r>
    </w:p>
  </w:footnote>
  <w:footnote w:id="189">
    <w:p w14:paraId="6484A69C" w14:textId="77777777" w:rsidR="000D213D" w:rsidRPr="00813B4C" w:rsidRDefault="000D213D" w:rsidP="00D169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United States Department of Justice, 2018</w:t>
      </w:r>
    </w:p>
  </w:footnote>
  <w:footnote w:id="190">
    <w:p w14:paraId="4FF887FC" w14:textId="77777777" w:rsidR="000D213D" w:rsidRPr="00813B4C" w:rsidRDefault="000D213D" w:rsidP="00D1693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Crozier, 2018</w:t>
      </w:r>
    </w:p>
  </w:footnote>
  <w:footnote w:id="191">
    <w:p w14:paraId="0C85BC2C" w14:textId="77777777" w:rsidR="000D213D" w:rsidRPr="00813B4C" w:rsidRDefault="000D213D" w:rsidP="00A706D7">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Practice Regulation, 2021</w:t>
      </w:r>
    </w:p>
  </w:footnote>
  <w:footnote w:id="192">
    <w:p w14:paraId="0F92FB68" w14:textId="77777777" w:rsidR="000D213D" w:rsidRPr="00773784" w:rsidRDefault="000D213D" w:rsidP="00F75124">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Critical Infrastructure Centre, 2021, p. 21</w:t>
      </w:r>
    </w:p>
  </w:footnote>
  <w:footnote w:id="193">
    <w:p w14:paraId="14C38047" w14:textId="77777777" w:rsidR="000D213D" w:rsidRPr="00773784" w:rsidRDefault="000D213D" w:rsidP="00F75124">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Oracle, n.d.</w:t>
      </w:r>
    </w:p>
  </w:footnote>
  <w:footnote w:id="194">
    <w:p w14:paraId="2B1CDFD0" w14:textId="77777777" w:rsidR="000D213D" w:rsidRPr="00773784" w:rsidRDefault="000D213D" w:rsidP="00F75124">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Critical Infrastructure Centre, 2021, p. 21</w:t>
      </w:r>
    </w:p>
  </w:footnote>
  <w:footnote w:id="195">
    <w:p w14:paraId="0DC2F500" w14:textId="77777777" w:rsidR="000D213D" w:rsidRPr="00773784" w:rsidRDefault="000D213D" w:rsidP="00F75124">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auDA, 2021</w:t>
      </w:r>
    </w:p>
  </w:footnote>
  <w:footnote w:id="196">
    <w:p w14:paraId="0B3DAA97" w14:textId="77777777" w:rsidR="000D213D" w:rsidRPr="00773784" w:rsidRDefault="000D213D" w:rsidP="00F75124">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w:t>
      </w:r>
      <w:r>
        <w:rPr>
          <w:rFonts w:asciiTheme="majorHAnsi" w:hAnsiTheme="majorHAnsi" w:cstheme="majorHAnsi"/>
          <w:szCs w:val="16"/>
        </w:rPr>
        <w:t>Department of the Infrastructure, Transport, Regional Development and Communications</w:t>
      </w:r>
      <w:r w:rsidRPr="00773784">
        <w:rPr>
          <w:rFonts w:asciiTheme="majorHAnsi" w:hAnsiTheme="majorHAnsi" w:cstheme="majorHAnsi"/>
          <w:szCs w:val="16"/>
        </w:rPr>
        <w:t xml:space="preserve">, 2021 </w:t>
      </w:r>
    </w:p>
  </w:footnote>
  <w:footnote w:id="197">
    <w:p w14:paraId="57C60F10" w14:textId="77777777" w:rsidR="000D213D" w:rsidRPr="00773784" w:rsidRDefault="000D213D" w:rsidP="008C7D35">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Greenberg, 2019 </w:t>
      </w:r>
    </w:p>
  </w:footnote>
  <w:footnote w:id="198">
    <w:p w14:paraId="643CB918" w14:textId="77777777" w:rsidR="000D213D" w:rsidRPr="00773784" w:rsidRDefault="000D213D" w:rsidP="003878F4">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Whittaker, 2021</w:t>
      </w:r>
    </w:p>
  </w:footnote>
  <w:footnote w:id="199">
    <w:p w14:paraId="0895B739" w14:textId="77777777" w:rsidR="000D213D" w:rsidRPr="00773784" w:rsidRDefault="000D213D" w:rsidP="00006D39">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Greenberg, 2019</w:t>
      </w:r>
    </w:p>
  </w:footnote>
  <w:footnote w:id="200">
    <w:p w14:paraId="72A2AF97" w14:textId="77777777" w:rsidR="000D213D" w:rsidRPr="00773784" w:rsidRDefault="000D213D" w:rsidP="00006D39">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Whittaker, 2021</w:t>
      </w:r>
    </w:p>
  </w:footnote>
  <w:footnote w:id="201">
    <w:p w14:paraId="6637224C" w14:textId="77777777" w:rsidR="000D213D" w:rsidRPr="00773784" w:rsidRDefault="000D213D" w:rsidP="00006D39">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Kohen, 2019</w:t>
      </w:r>
    </w:p>
  </w:footnote>
  <w:footnote w:id="202">
    <w:p w14:paraId="6C2BB3EB" w14:textId="77777777" w:rsidR="000D213D" w:rsidRPr="00773784" w:rsidRDefault="000D213D" w:rsidP="00006D39">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Yahoo News, 2011</w:t>
      </w:r>
    </w:p>
  </w:footnote>
  <w:footnote w:id="203">
    <w:p w14:paraId="63A2374E" w14:textId="77777777" w:rsidR="000D213D" w:rsidRPr="00773784" w:rsidRDefault="000D213D" w:rsidP="00EC6D7E">
      <w:pPr>
        <w:pStyle w:val="FootnoteText"/>
        <w:rPr>
          <w:rFonts w:asciiTheme="majorHAnsi" w:hAnsiTheme="majorHAnsi" w:cstheme="majorHAnsi"/>
          <w:szCs w:val="16"/>
        </w:rPr>
      </w:pPr>
      <w:r w:rsidRPr="00773784">
        <w:rPr>
          <w:rStyle w:val="FootnoteReference"/>
          <w:rFonts w:asciiTheme="majorHAnsi" w:hAnsiTheme="majorHAnsi" w:cstheme="majorHAnsi"/>
          <w:szCs w:val="16"/>
        </w:rPr>
        <w:footnoteRef/>
      </w:r>
      <w:r w:rsidRPr="00773784">
        <w:rPr>
          <w:rFonts w:asciiTheme="majorHAnsi" w:hAnsiTheme="majorHAnsi" w:cstheme="majorHAnsi"/>
          <w:szCs w:val="16"/>
        </w:rPr>
        <w:t xml:space="preserve"> Office of Best Regulation Practice, 2021</w:t>
      </w:r>
    </w:p>
  </w:footnote>
  <w:footnote w:id="204">
    <w:p w14:paraId="61308BC4" w14:textId="77777777" w:rsidR="000D213D" w:rsidRPr="00813B4C" w:rsidRDefault="000D213D" w:rsidP="006A495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Calibri" w:hAnsiTheme="majorHAnsi" w:cstheme="majorHAnsi"/>
          <w:szCs w:val="16"/>
        </w:rPr>
        <w:t>Liquid Fuel Security Review</w:t>
      </w:r>
    </w:p>
  </w:footnote>
  <w:footnote w:id="205">
    <w:p w14:paraId="1E6ED5A4" w14:textId="77777777" w:rsidR="000D213D" w:rsidRPr="00813B4C" w:rsidRDefault="000D213D" w:rsidP="006A495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06">
    <w:p w14:paraId="1D06BC96" w14:textId="610484BC" w:rsidR="000D213D" w:rsidRPr="00813B4C" w:rsidRDefault="000D213D" w:rsidP="001A577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8" w:history="1">
        <w:r w:rsidRPr="00813B4C">
          <w:rPr>
            <w:rStyle w:val="Hyperlink"/>
            <w:rFonts w:asciiTheme="majorHAnsi" w:hAnsiTheme="majorHAnsi" w:cstheme="majorHAnsi"/>
            <w:szCs w:val="16"/>
            <w:u w:val="none"/>
          </w:rPr>
          <w:t>Taylor</w:t>
        </w:r>
      </w:hyperlink>
      <w:r>
        <w:rPr>
          <w:rStyle w:val="Hyperlink"/>
          <w:rFonts w:asciiTheme="majorHAnsi" w:hAnsiTheme="majorHAnsi" w:cstheme="majorHAnsi"/>
          <w:szCs w:val="16"/>
          <w:u w:val="none"/>
        </w:rPr>
        <w:t>,</w:t>
      </w:r>
      <w:r w:rsidRPr="00813B4C">
        <w:rPr>
          <w:rStyle w:val="Hyperlink"/>
          <w:rFonts w:asciiTheme="majorHAnsi" w:hAnsiTheme="majorHAnsi" w:cstheme="majorHAnsi"/>
          <w:szCs w:val="16"/>
          <w:u w:val="none"/>
        </w:rPr>
        <w:t xml:space="preserve"> 2021</w:t>
      </w:r>
    </w:p>
  </w:footnote>
  <w:footnote w:id="207">
    <w:p w14:paraId="267D8F53" w14:textId="3C27E18C" w:rsidR="000D213D" w:rsidRPr="00813B4C" w:rsidRDefault="000D213D" w:rsidP="001A5772">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9" w:history="1">
        <w:r w:rsidRPr="00813B4C">
          <w:rPr>
            <w:rStyle w:val="Hyperlink"/>
            <w:rFonts w:asciiTheme="majorHAnsi" w:hAnsiTheme="majorHAnsi" w:cstheme="majorHAnsi"/>
            <w:szCs w:val="16"/>
            <w:u w:val="none"/>
          </w:rPr>
          <w:t>Bloomberg</w:t>
        </w:r>
      </w:hyperlink>
      <w:r>
        <w:rPr>
          <w:rStyle w:val="Hyperlink"/>
          <w:rFonts w:asciiTheme="majorHAnsi" w:hAnsiTheme="majorHAnsi" w:cstheme="majorHAnsi"/>
          <w:szCs w:val="16"/>
          <w:u w:val="none"/>
        </w:rPr>
        <w:t>,</w:t>
      </w:r>
      <w:r w:rsidRPr="00813B4C">
        <w:rPr>
          <w:rStyle w:val="Hyperlink"/>
          <w:rFonts w:asciiTheme="majorHAnsi" w:hAnsiTheme="majorHAnsi" w:cstheme="majorHAnsi"/>
          <w:szCs w:val="16"/>
          <w:u w:val="none"/>
        </w:rPr>
        <w:t xml:space="preserve"> 2021</w:t>
      </w:r>
    </w:p>
  </w:footnote>
  <w:footnote w:id="208">
    <w:p w14:paraId="39F02BE9" w14:textId="2F1E657B" w:rsidR="000D213D" w:rsidRPr="00813B4C" w:rsidRDefault="000D213D" w:rsidP="001A577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10" w:history="1">
        <w:r w:rsidRPr="00813B4C">
          <w:rPr>
            <w:rStyle w:val="Hyperlink"/>
            <w:rFonts w:asciiTheme="majorHAnsi" w:hAnsiTheme="majorHAnsi" w:cstheme="majorHAnsi"/>
            <w:szCs w:val="16"/>
            <w:u w:val="none"/>
          </w:rPr>
          <w:t>Cotton</w:t>
        </w:r>
      </w:hyperlink>
      <w:r>
        <w:rPr>
          <w:rStyle w:val="Hyperlink"/>
          <w:rFonts w:asciiTheme="majorHAnsi" w:hAnsiTheme="majorHAnsi" w:cstheme="majorHAnsi"/>
          <w:szCs w:val="16"/>
          <w:u w:val="none"/>
        </w:rPr>
        <w:t>,</w:t>
      </w:r>
      <w:r w:rsidRPr="00813B4C">
        <w:rPr>
          <w:rStyle w:val="Hyperlink"/>
          <w:rFonts w:asciiTheme="majorHAnsi" w:hAnsiTheme="majorHAnsi" w:cstheme="majorHAnsi"/>
          <w:szCs w:val="16"/>
          <w:u w:val="none"/>
        </w:rPr>
        <w:t xml:space="preserve"> 2021</w:t>
      </w:r>
    </w:p>
  </w:footnote>
  <w:footnote w:id="209">
    <w:p w14:paraId="4DD14B6E" w14:textId="77777777" w:rsidR="000D213D" w:rsidRPr="00813B4C" w:rsidRDefault="000D213D" w:rsidP="001A5772">
      <w:pPr>
        <w:pStyle w:val="FootnoteText"/>
        <w:rPr>
          <w:shd w:val="clear" w:color="auto" w:fill="FFFFFF"/>
        </w:rPr>
      </w:pPr>
      <w:r w:rsidRPr="00813B4C">
        <w:rPr>
          <w:rStyle w:val="FootnoteReference"/>
          <w:rFonts w:asciiTheme="majorHAnsi" w:hAnsiTheme="majorHAnsi" w:cstheme="majorHAnsi"/>
          <w:szCs w:val="16"/>
        </w:rPr>
        <w:footnoteRef/>
      </w:r>
      <w:r w:rsidRPr="00813B4C">
        <w:t xml:space="preserve"> </w:t>
      </w:r>
      <w:r w:rsidRPr="00813B4C">
        <w:rPr>
          <w:shd w:val="clear" w:color="auto" w:fill="FFFFFF"/>
        </w:rPr>
        <w:t>McKinnell, Lu</w:t>
      </w:r>
      <w:r>
        <w:rPr>
          <w:shd w:val="clear" w:color="auto" w:fill="FFFFFF"/>
        </w:rPr>
        <w:t>,</w:t>
      </w:r>
      <w:r w:rsidRPr="00813B4C">
        <w:rPr>
          <w:shd w:val="clear" w:color="auto" w:fill="FFFFFF"/>
        </w:rPr>
        <w:t xml:space="preserve"> 2016</w:t>
      </w:r>
    </w:p>
  </w:footnote>
  <w:footnote w:id="210">
    <w:p w14:paraId="7147A73B" w14:textId="77777777" w:rsidR="000D213D" w:rsidRPr="00813B4C" w:rsidRDefault="000D213D" w:rsidP="001A5772">
      <w:pPr>
        <w:pStyle w:val="FootnoteText"/>
      </w:pPr>
      <w:r w:rsidRPr="00813B4C">
        <w:rPr>
          <w:rStyle w:val="FootnoteReference"/>
          <w:rFonts w:asciiTheme="majorHAnsi" w:hAnsiTheme="majorHAnsi" w:cstheme="majorHAnsi"/>
          <w:szCs w:val="16"/>
        </w:rPr>
        <w:footnoteRef/>
      </w:r>
      <w:r w:rsidRPr="00813B4C">
        <w:t xml:space="preserve"> Ibid</w:t>
      </w:r>
    </w:p>
  </w:footnote>
  <w:footnote w:id="211">
    <w:p w14:paraId="64E76E54" w14:textId="77777777" w:rsidR="000D213D" w:rsidRPr="00813B4C" w:rsidRDefault="000D213D" w:rsidP="001A5772">
      <w:pPr>
        <w:pStyle w:val="FootnoteText"/>
      </w:pPr>
      <w:r w:rsidRPr="00813B4C">
        <w:rPr>
          <w:rStyle w:val="FootnoteReference"/>
          <w:rFonts w:asciiTheme="majorHAnsi" w:hAnsiTheme="majorHAnsi" w:cstheme="majorHAnsi"/>
          <w:szCs w:val="16"/>
        </w:rPr>
        <w:footnoteRef/>
      </w:r>
      <w:r w:rsidRPr="00813B4C">
        <w:t xml:space="preserve"> Moore</w:t>
      </w:r>
      <w:r>
        <w:t>,</w:t>
      </w:r>
      <w:r w:rsidRPr="00813B4C">
        <w:t xml:space="preserve"> 2016</w:t>
      </w:r>
    </w:p>
  </w:footnote>
  <w:footnote w:id="212">
    <w:p w14:paraId="1D807BF0" w14:textId="7F95C11D" w:rsidR="000D213D" w:rsidRPr="00813B4C" w:rsidRDefault="000D213D" w:rsidP="001A577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11" w:history="1">
        <w:r>
          <w:rPr>
            <w:rStyle w:val="Hyperlink"/>
            <w:rFonts w:asciiTheme="majorHAnsi" w:hAnsiTheme="majorHAnsi" w:cstheme="majorHAnsi"/>
            <w:szCs w:val="16"/>
            <w:u w:val="none"/>
          </w:rPr>
          <w:t>7</w:t>
        </w:r>
      </w:hyperlink>
      <w:r>
        <w:rPr>
          <w:rStyle w:val="Hyperlink"/>
          <w:rFonts w:asciiTheme="majorHAnsi" w:hAnsiTheme="majorHAnsi" w:cstheme="majorHAnsi"/>
          <w:szCs w:val="16"/>
          <w:u w:val="none"/>
        </w:rPr>
        <w:t xml:space="preserve"> News, 2011</w:t>
      </w:r>
    </w:p>
  </w:footnote>
  <w:footnote w:id="213">
    <w:p w14:paraId="651F5D7C" w14:textId="77777777" w:rsidR="000D213D" w:rsidRPr="00813B4C" w:rsidRDefault="000D213D" w:rsidP="001A5772">
      <w:pPr>
        <w:pStyle w:val="FootnoteText"/>
      </w:pPr>
      <w:r w:rsidRPr="00813B4C">
        <w:rPr>
          <w:rStyle w:val="FootnoteReference"/>
          <w:rFonts w:asciiTheme="majorHAnsi" w:hAnsiTheme="majorHAnsi" w:cstheme="majorHAnsi"/>
          <w:szCs w:val="16"/>
        </w:rPr>
        <w:footnoteRef/>
      </w:r>
      <w:r>
        <w:t xml:space="preserve"> Times of Israel, 2021</w:t>
      </w:r>
    </w:p>
  </w:footnote>
  <w:footnote w:id="214">
    <w:p w14:paraId="7F5239D5" w14:textId="77777777" w:rsidR="000D213D" w:rsidRPr="00813B4C" w:rsidRDefault="000D213D" w:rsidP="001A5772">
      <w:pPr>
        <w:pStyle w:val="FootnoteText"/>
      </w:pPr>
      <w:r w:rsidRPr="00813B4C">
        <w:rPr>
          <w:rStyle w:val="FootnoteReference"/>
          <w:rFonts w:asciiTheme="majorHAnsi" w:hAnsiTheme="majorHAnsi" w:cstheme="majorHAnsi"/>
          <w:szCs w:val="16"/>
        </w:rPr>
        <w:footnoteRef/>
      </w:r>
      <w:r w:rsidRPr="00813B4C">
        <w:t xml:space="preserve"> Ibid</w:t>
      </w:r>
    </w:p>
  </w:footnote>
  <w:footnote w:id="215">
    <w:p w14:paraId="10818DC7" w14:textId="5B62FD21" w:rsidR="000D213D" w:rsidRPr="00813B4C" w:rsidRDefault="000D213D" w:rsidP="00FB6B32">
      <w:pPr>
        <w:pStyle w:val="NormalWeb"/>
        <w:spacing w:before="0" w:beforeAutospacing="0" w:after="0" w:afterAutospacing="0"/>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 </w:t>
      </w:r>
      <w:hyperlink r:id="rId12" w:history="1">
        <w:r w:rsidRPr="00813B4C">
          <w:rPr>
            <w:rStyle w:val="Hyperlink"/>
            <w:rFonts w:asciiTheme="majorHAnsi" w:hAnsiTheme="majorHAnsi" w:cstheme="majorHAnsi"/>
            <w:sz w:val="16"/>
            <w:szCs w:val="16"/>
            <w:u w:val="none"/>
          </w:rPr>
          <w:t>ABC</w:t>
        </w:r>
      </w:hyperlink>
      <w:r w:rsidRPr="00813B4C">
        <w:rPr>
          <w:rStyle w:val="Hyperlink"/>
          <w:rFonts w:asciiTheme="majorHAnsi" w:hAnsiTheme="majorHAnsi" w:cstheme="majorHAnsi"/>
          <w:sz w:val="16"/>
          <w:szCs w:val="16"/>
          <w:u w:val="none"/>
        </w:rPr>
        <w:t xml:space="preserve"> News</w:t>
      </w:r>
      <w:r>
        <w:rPr>
          <w:rStyle w:val="Hyperlink"/>
          <w:rFonts w:asciiTheme="majorHAnsi" w:hAnsiTheme="majorHAnsi" w:cstheme="majorHAnsi"/>
          <w:sz w:val="16"/>
          <w:szCs w:val="16"/>
          <w:u w:val="none"/>
        </w:rPr>
        <w:t>,</w:t>
      </w:r>
      <w:r w:rsidRPr="00813B4C">
        <w:rPr>
          <w:rStyle w:val="Hyperlink"/>
          <w:rFonts w:asciiTheme="majorHAnsi" w:hAnsiTheme="majorHAnsi" w:cstheme="majorHAnsi"/>
          <w:sz w:val="16"/>
          <w:szCs w:val="16"/>
          <w:u w:val="none"/>
        </w:rPr>
        <w:t xml:space="preserve"> 2021</w:t>
      </w:r>
    </w:p>
  </w:footnote>
  <w:footnote w:id="216">
    <w:p w14:paraId="5528C643" w14:textId="77777777" w:rsidR="000D213D" w:rsidRPr="00813B4C" w:rsidRDefault="000D213D" w:rsidP="00FB6B3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17">
    <w:p w14:paraId="184AD04F" w14:textId="455EA815" w:rsidR="000D213D" w:rsidRPr="00813B4C" w:rsidRDefault="000D213D" w:rsidP="00FB6B3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13" w:history="1">
        <w:r w:rsidRPr="00813B4C">
          <w:rPr>
            <w:rStyle w:val="Hyperlink"/>
            <w:rFonts w:asciiTheme="majorHAnsi" w:hAnsiTheme="majorHAnsi" w:cstheme="majorHAnsi"/>
            <w:szCs w:val="16"/>
            <w:u w:val="none"/>
          </w:rPr>
          <w:t>Bloomberg</w:t>
        </w:r>
      </w:hyperlink>
      <w:r>
        <w:rPr>
          <w:rStyle w:val="Hyperlink"/>
          <w:rFonts w:asciiTheme="majorHAnsi" w:hAnsiTheme="majorHAnsi" w:cstheme="majorHAnsi"/>
          <w:szCs w:val="16"/>
          <w:u w:val="none"/>
        </w:rPr>
        <w:t>,</w:t>
      </w:r>
      <w:r w:rsidRPr="00813B4C">
        <w:rPr>
          <w:rStyle w:val="Hyperlink"/>
          <w:rFonts w:asciiTheme="majorHAnsi" w:hAnsiTheme="majorHAnsi" w:cstheme="majorHAnsi"/>
          <w:szCs w:val="16"/>
          <w:u w:val="none"/>
        </w:rPr>
        <w:t xml:space="preserve"> 2021</w:t>
      </w:r>
    </w:p>
  </w:footnote>
  <w:footnote w:id="218">
    <w:p w14:paraId="0926239F" w14:textId="77777777" w:rsidR="000D213D" w:rsidRPr="00813B4C" w:rsidRDefault="000D213D" w:rsidP="0003786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Barrera</w:t>
      </w:r>
      <w:r>
        <w:rPr>
          <w:rFonts w:asciiTheme="majorHAnsi" w:hAnsiTheme="majorHAnsi" w:cstheme="majorHAnsi"/>
          <w:szCs w:val="16"/>
        </w:rPr>
        <w:t>,</w:t>
      </w:r>
      <w:r w:rsidRPr="00813B4C">
        <w:rPr>
          <w:rFonts w:asciiTheme="majorHAnsi" w:hAnsiTheme="majorHAnsi" w:cstheme="majorHAnsi"/>
          <w:szCs w:val="16"/>
        </w:rPr>
        <w:t xml:space="preserve"> 2021</w:t>
      </w:r>
    </w:p>
  </w:footnote>
  <w:footnote w:id="219">
    <w:p w14:paraId="173131BA" w14:textId="77777777" w:rsidR="000D213D" w:rsidRPr="00813B4C" w:rsidRDefault="000D213D" w:rsidP="0003786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Stracqualursi</w:t>
      </w:r>
      <w:r>
        <w:rPr>
          <w:rFonts w:asciiTheme="majorHAnsi" w:hAnsiTheme="majorHAnsi" w:cstheme="majorHAnsi"/>
          <w:szCs w:val="16"/>
        </w:rPr>
        <w:t>,</w:t>
      </w:r>
      <w:r w:rsidRPr="00813B4C">
        <w:rPr>
          <w:rFonts w:asciiTheme="majorHAnsi" w:hAnsiTheme="majorHAnsi" w:cstheme="majorHAnsi"/>
          <w:szCs w:val="16"/>
        </w:rPr>
        <w:t xml:space="preserve"> 2021</w:t>
      </w:r>
    </w:p>
  </w:footnote>
  <w:footnote w:id="220">
    <w:p w14:paraId="554D716E" w14:textId="77777777" w:rsidR="000D213D" w:rsidRPr="00813B4C" w:rsidRDefault="000D213D" w:rsidP="0003786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Pr>
          <w:rFonts w:asciiTheme="majorHAnsi" w:hAnsiTheme="majorHAnsi" w:cstheme="majorHAnsi"/>
          <w:szCs w:val="16"/>
        </w:rPr>
        <w:t xml:space="preserve">OBPR, 2021 </w:t>
      </w:r>
    </w:p>
  </w:footnote>
  <w:footnote w:id="221">
    <w:p w14:paraId="17056008" w14:textId="02139C45" w:rsidR="000D213D" w:rsidRPr="00813B4C" w:rsidRDefault="000D213D" w:rsidP="0003786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14" w:history="1">
        <w:r w:rsidRPr="00813B4C">
          <w:rPr>
            <w:rStyle w:val="Hyperlink"/>
            <w:rFonts w:asciiTheme="majorHAnsi" w:hAnsiTheme="majorHAnsi" w:cstheme="majorHAnsi"/>
            <w:szCs w:val="16"/>
            <w:u w:val="none"/>
          </w:rPr>
          <w:t>Ferguson</w:t>
        </w:r>
      </w:hyperlink>
      <w:r>
        <w:rPr>
          <w:rStyle w:val="Hyperlink"/>
          <w:rFonts w:asciiTheme="majorHAnsi" w:hAnsiTheme="majorHAnsi" w:cstheme="majorHAnsi"/>
          <w:szCs w:val="16"/>
          <w:u w:val="none"/>
        </w:rPr>
        <w:t>,</w:t>
      </w:r>
      <w:r w:rsidRPr="00813B4C">
        <w:rPr>
          <w:rStyle w:val="Hyperlink"/>
          <w:rFonts w:asciiTheme="majorHAnsi" w:hAnsiTheme="majorHAnsi" w:cstheme="majorHAnsi"/>
          <w:szCs w:val="16"/>
          <w:u w:val="none"/>
        </w:rPr>
        <w:t xml:space="preserve"> 2021</w:t>
      </w:r>
    </w:p>
  </w:footnote>
  <w:footnote w:id="222">
    <w:p w14:paraId="4441C8EE" w14:textId="77777777" w:rsidR="000D213D" w:rsidRPr="00813B4C" w:rsidRDefault="000D213D" w:rsidP="0003786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Ernst &amp; Young</w:t>
      </w:r>
      <w:r>
        <w:rPr>
          <w:rFonts w:asciiTheme="majorHAnsi" w:hAnsiTheme="majorHAnsi" w:cstheme="majorHAnsi"/>
          <w:noProof/>
          <w:szCs w:val="16"/>
        </w:rPr>
        <w:t>,</w:t>
      </w:r>
      <w:r w:rsidRPr="00813B4C">
        <w:rPr>
          <w:rFonts w:asciiTheme="majorHAnsi" w:hAnsiTheme="majorHAnsi" w:cstheme="majorHAnsi"/>
          <w:szCs w:val="16"/>
        </w:rPr>
        <w:t xml:space="preserve"> 2016</w:t>
      </w:r>
    </w:p>
  </w:footnote>
  <w:footnote w:id="223">
    <w:p w14:paraId="2AC62AE1" w14:textId="77777777" w:rsidR="000D213D" w:rsidRPr="00813B4C" w:rsidRDefault="000D213D" w:rsidP="005541C9">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224">
    <w:p w14:paraId="0F67BA1B" w14:textId="77777777" w:rsidR="000D213D" w:rsidRPr="00813B4C" w:rsidRDefault="000D213D" w:rsidP="001656B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hAnsiTheme="majorHAnsi" w:cstheme="majorHAnsi"/>
          <w:color w:val="333333"/>
          <w:szCs w:val="16"/>
          <w:shd w:val="clear" w:color="auto" w:fill="FEFEFE"/>
        </w:rPr>
        <w:t>Litton, E, Huckson, S et.al</w:t>
      </w:r>
      <w:r>
        <w:rPr>
          <w:rFonts w:asciiTheme="majorHAnsi" w:hAnsiTheme="majorHAnsi" w:cstheme="majorHAnsi"/>
          <w:color w:val="333333"/>
          <w:szCs w:val="16"/>
          <w:shd w:val="clear" w:color="auto" w:fill="FEFEFE"/>
        </w:rPr>
        <w:t>,</w:t>
      </w:r>
      <w:r w:rsidRPr="00813B4C">
        <w:rPr>
          <w:rFonts w:asciiTheme="majorHAnsi" w:hAnsiTheme="majorHAnsi" w:cstheme="majorHAnsi"/>
          <w:color w:val="333333"/>
          <w:szCs w:val="16"/>
          <w:shd w:val="clear" w:color="auto" w:fill="FEFEFE"/>
        </w:rPr>
        <w:t xml:space="preserve"> 2021</w:t>
      </w:r>
    </w:p>
  </w:footnote>
  <w:footnote w:id="225">
    <w:p w14:paraId="5F754D40" w14:textId="77777777" w:rsidR="000D213D" w:rsidRPr="00813B4C" w:rsidRDefault="000D213D" w:rsidP="001656B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 </w:t>
      </w:r>
    </w:p>
  </w:footnote>
  <w:footnote w:id="226">
    <w:p w14:paraId="491A8D11" w14:textId="77777777" w:rsidR="000D213D" w:rsidRPr="00813B4C" w:rsidRDefault="000D213D" w:rsidP="00B02427">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McDonald</w:t>
      </w:r>
      <w:r>
        <w:rPr>
          <w:rFonts w:asciiTheme="majorHAnsi" w:hAnsiTheme="majorHAnsi" w:cstheme="majorHAnsi"/>
          <w:szCs w:val="16"/>
        </w:rPr>
        <w:t>,</w:t>
      </w:r>
      <w:r w:rsidRPr="00813B4C">
        <w:rPr>
          <w:rFonts w:asciiTheme="majorHAnsi" w:hAnsiTheme="majorHAnsi" w:cstheme="majorHAnsi"/>
          <w:szCs w:val="16"/>
        </w:rPr>
        <w:t xml:space="preserve"> 2018</w:t>
      </w:r>
    </w:p>
  </w:footnote>
  <w:footnote w:id="227">
    <w:p w14:paraId="1AA2A8D5" w14:textId="77777777" w:rsidR="000D213D" w:rsidRPr="00813B4C" w:rsidRDefault="000D213D" w:rsidP="00E4653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28">
    <w:p w14:paraId="6D33BD2E" w14:textId="77777777" w:rsidR="000D213D" w:rsidRPr="00813B4C" w:rsidRDefault="000D213D" w:rsidP="0071456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29">
    <w:p w14:paraId="74ED8AB0" w14:textId="77777777" w:rsidR="000D213D" w:rsidRPr="00813B4C" w:rsidRDefault="000D213D" w:rsidP="0014200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NHE</w:t>
      </w:r>
      <w:r>
        <w:rPr>
          <w:rFonts w:asciiTheme="majorHAnsi" w:hAnsiTheme="majorHAnsi" w:cstheme="majorHAnsi"/>
          <w:szCs w:val="16"/>
        </w:rPr>
        <w:t>,</w:t>
      </w:r>
      <w:r w:rsidRPr="00813B4C">
        <w:rPr>
          <w:rFonts w:asciiTheme="majorHAnsi" w:hAnsiTheme="majorHAnsi" w:cstheme="majorHAnsi"/>
          <w:szCs w:val="16"/>
        </w:rPr>
        <w:t xml:space="preserve"> 2018</w:t>
      </w:r>
    </w:p>
  </w:footnote>
  <w:footnote w:id="230">
    <w:p w14:paraId="57EE813D" w14:textId="77777777" w:rsidR="000D213D" w:rsidRPr="00813B4C" w:rsidRDefault="000D213D" w:rsidP="0014200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31">
    <w:p w14:paraId="73E0F260" w14:textId="77777777" w:rsidR="000D213D" w:rsidRPr="00813B4C" w:rsidRDefault="000D213D" w:rsidP="0014200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Collier</w:t>
      </w:r>
      <w:r>
        <w:rPr>
          <w:rFonts w:asciiTheme="majorHAnsi" w:hAnsiTheme="majorHAnsi" w:cstheme="majorHAnsi"/>
          <w:szCs w:val="16"/>
        </w:rPr>
        <w:t>,</w:t>
      </w:r>
      <w:r w:rsidRPr="00813B4C">
        <w:rPr>
          <w:rFonts w:asciiTheme="majorHAnsi" w:hAnsiTheme="majorHAnsi" w:cstheme="majorHAnsi"/>
          <w:szCs w:val="16"/>
        </w:rPr>
        <w:t xml:space="preserve"> 2017</w:t>
      </w:r>
    </w:p>
  </w:footnote>
  <w:footnote w:id="232">
    <w:p w14:paraId="17BF3853" w14:textId="77777777" w:rsidR="000D213D" w:rsidRPr="00813B4C" w:rsidRDefault="000D213D" w:rsidP="007C749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AP News</w:t>
      </w:r>
      <w:r>
        <w:rPr>
          <w:rFonts w:asciiTheme="majorHAnsi" w:hAnsiTheme="majorHAnsi" w:cstheme="majorHAnsi"/>
          <w:szCs w:val="16"/>
        </w:rPr>
        <w:t>,</w:t>
      </w:r>
      <w:r w:rsidRPr="00813B4C">
        <w:rPr>
          <w:rFonts w:asciiTheme="majorHAnsi" w:hAnsiTheme="majorHAnsi" w:cstheme="majorHAnsi"/>
          <w:szCs w:val="16"/>
        </w:rPr>
        <w:t xml:space="preserve"> 2020</w:t>
      </w:r>
    </w:p>
  </w:footnote>
  <w:footnote w:id="233">
    <w:p w14:paraId="1DE08DEA" w14:textId="77777777" w:rsidR="000D213D" w:rsidRPr="00813B4C" w:rsidRDefault="000D213D" w:rsidP="007C749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34">
    <w:p w14:paraId="4AB1019B" w14:textId="77777777" w:rsidR="000D213D" w:rsidRPr="00813B4C" w:rsidRDefault="000D213D" w:rsidP="007C749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Fortress</w:t>
      </w:r>
      <w:r>
        <w:rPr>
          <w:rFonts w:asciiTheme="majorHAnsi" w:hAnsiTheme="majorHAnsi" w:cstheme="majorHAnsi"/>
          <w:szCs w:val="16"/>
        </w:rPr>
        <w:t>,</w:t>
      </w:r>
      <w:r w:rsidRPr="00813B4C">
        <w:rPr>
          <w:rFonts w:asciiTheme="majorHAnsi" w:hAnsiTheme="majorHAnsi" w:cstheme="majorHAnsi"/>
          <w:szCs w:val="16"/>
        </w:rPr>
        <w:t xml:space="preserve"> 2020</w:t>
      </w:r>
    </w:p>
  </w:footnote>
  <w:footnote w:id="235">
    <w:p w14:paraId="0397689C" w14:textId="77777777" w:rsidR="000D213D" w:rsidRPr="00813B4C" w:rsidRDefault="000D213D" w:rsidP="005945F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Cunningham</w:t>
      </w:r>
      <w:r>
        <w:rPr>
          <w:rFonts w:asciiTheme="majorHAnsi" w:hAnsiTheme="majorHAnsi" w:cstheme="majorHAnsi"/>
          <w:szCs w:val="16"/>
        </w:rPr>
        <w:t>,</w:t>
      </w:r>
      <w:r w:rsidRPr="00813B4C">
        <w:rPr>
          <w:rFonts w:asciiTheme="majorHAnsi" w:hAnsiTheme="majorHAnsi" w:cstheme="majorHAnsi"/>
          <w:szCs w:val="16"/>
        </w:rPr>
        <w:t xml:space="preserve"> 2021</w:t>
      </w:r>
    </w:p>
  </w:footnote>
  <w:footnote w:id="236">
    <w:p w14:paraId="6294DF38" w14:textId="77777777" w:rsidR="000D213D" w:rsidRPr="00813B4C" w:rsidRDefault="000D213D" w:rsidP="005945F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37">
    <w:p w14:paraId="04444A2E" w14:textId="77777777" w:rsidR="000D213D" w:rsidRPr="00813B4C" w:rsidRDefault="000D213D" w:rsidP="005945F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238">
    <w:p w14:paraId="4ADE6A3A" w14:textId="77777777" w:rsidR="000D213D" w:rsidRPr="00813B4C" w:rsidRDefault="000D213D" w:rsidP="004F37A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Home Affairs 2021, 2</w:t>
      </w:r>
    </w:p>
  </w:footnote>
  <w:footnote w:id="239">
    <w:p w14:paraId="519E10A8" w14:textId="77777777" w:rsidR="000D213D" w:rsidRPr="00813B4C" w:rsidRDefault="000D213D" w:rsidP="004F37A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240">
    <w:p w14:paraId="37F1D1DA" w14:textId="77777777" w:rsidR="000D213D" w:rsidRPr="00813B4C" w:rsidRDefault="000D213D" w:rsidP="00DA3C17">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Pr>
          <w:rFonts w:asciiTheme="majorHAnsi" w:hAnsiTheme="majorHAnsi" w:cstheme="majorHAnsi"/>
          <w:szCs w:val="16"/>
        </w:rPr>
        <w:t>AEMO, 2021</w:t>
      </w:r>
    </w:p>
  </w:footnote>
  <w:footnote w:id="241">
    <w:p w14:paraId="530C6359" w14:textId="77777777" w:rsidR="000D213D" w:rsidRPr="00813B4C" w:rsidRDefault="000D213D" w:rsidP="00097615">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Foley</w:t>
      </w:r>
      <w:r>
        <w:rPr>
          <w:rFonts w:asciiTheme="majorHAnsi" w:hAnsiTheme="majorHAnsi" w:cstheme="majorHAnsi"/>
          <w:noProof/>
          <w:color w:val="000000"/>
          <w:szCs w:val="16"/>
        </w:rPr>
        <w:t>,</w:t>
      </w:r>
      <w:r w:rsidRPr="00813B4C">
        <w:rPr>
          <w:rFonts w:asciiTheme="majorHAnsi" w:hAnsiTheme="majorHAnsi" w:cstheme="majorHAnsi"/>
          <w:color w:val="000000"/>
          <w:szCs w:val="16"/>
        </w:rPr>
        <w:t xml:space="preserve"> 2020</w:t>
      </w:r>
    </w:p>
  </w:footnote>
  <w:footnote w:id="242">
    <w:p w14:paraId="1D4C2E4B" w14:textId="77777777" w:rsidR="000D213D" w:rsidRPr="00813B4C" w:rsidRDefault="000D213D" w:rsidP="00097615">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Ibid</w:t>
      </w:r>
    </w:p>
  </w:footnote>
  <w:footnote w:id="243">
    <w:p w14:paraId="0E98A860" w14:textId="77777777" w:rsidR="000D213D" w:rsidRPr="00813B4C" w:rsidRDefault="000D213D" w:rsidP="008A4846">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hAnsiTheme="majorHAnsi" w:cstheme="majorHAnsi"/>
          <w:color w:val="000000" w:themeColor="text1"/>
          <w:szCs w:val="16"/>
        </w:rPr>
        <w:t>Gonzalez</w:t>
      </w:r>
      <w:r>
        <w:rPr>
          <w:rFonts w:asciiTheme="majorHAnsi" w:hAnsiTheme="majorHAnsi" w:cstheme="majorHAnsi"/>
          <w:color w:val="000000" w:themeColor="text1"/>
          <w:szCs w:val="16"/>
        </w:rPr>
        <w:t>,</w:t>
      </w:r>
      <w:r w:rsidRPr="00813B4C">
        <w:rPr>
          <w:rFonts w:asciiTheme="majorHAnsi" w:hAnsiTheme="majorHAnsi" w:cstheme="majorHAnsi"/>
          <w:color w:val="000000" w:themeColor="text1"/>
          <w:szCs w:val="16"/>
        </w:rPr>
        <w:t xml:space="preserve"> 2021</w:t>
      </w:r>
    </w:p>
  </w:footnote>
  <w:footnote w:id="244">
    <w:p w14:paraId="11801609" w14:textId="77777777" w:rsidR="000D213D" w:rsidRPr="00813B4C" w:rsidRDefault="000D213D" w:rsidP="008A4846">
      <w:pPr>
        <w:pStyle w:val="FootnoteText"/>
        <w:rPr>
          <w:rFonts w:asciiTheme="majorHAnsi" w:hAnsiTheme="majorHAnsi" w:cstheme="majorHAnsi"/>
          <w:color w:val="000000" w:themeColor="text1"/>
          <w:szCs w:val="16"/>
        </w:rPr>
      </w:pPr>
      <w:r w:rsidRPr="00813B4C">
        <w:rPr>
          <w:rStyle w:val="FootnoteReference"/>
          <w:rFonts w:asciiTheme="majorHAnsi" w:hAnsiTheme="majorHAnsi" w:cstheme="majorHAnsi"/>
          <w:color w:val="000000" w:themeColor="text1"/>
          <w:szCs w:val="16"/>
        </w:rPr>
        <w:footnoteRef/>
      </w:r>
      <w:r w:rsidRPr="00813B4C">
        <w:rPr>
          <w:rFonts w:asciiTheme="majorHAnsi" w:hAnsiTheme="majorHAnsi" w:cstheme="majorHAnsi"/>
          <w:color w:val="000000" w:themeColor="text1"/>
          <w:szCs w:val="16"/>
        </w:rPr>
        <w:t xml:space="preserve"> Ibid</w:t>
      </w:r>
    </w:p>
  </w:footnote>
  <w:footnote w:id="245">
    <w:p w14:paraId="79DA22B8" w14:textId="77777777" w:rsidR="000D213D" w:rsidRPr="00813B4C" w:rsidRDefault="000D213D" w:rsidP="00E56A68">
      <w:pPr>
        <w:pStyle w:val="FootnoteText"/>
        <w:rPr>
          <w:b/>
          <w:highlight w:val="yellow"/>
        </w:rPr>
      </w:pPr>
      <w:r w:rsidRPr="00813B4C">
        <w:rPr>
          <w:rStyle w:val="FootnoteReference"/>
          <w:rFonts w:asciiTheme="majorHAnsi" w:hAnsiTheme="majorHAnsi" w:cstheme="majorHAnsi"/>
          <w:color w:val="000000" w:themeColor="text1"/>
          <w:szCs w:val="16"/>
        </w:rPr>
        <w:footnoteRef/>
      </w:r>
      <w:r w:rsidRPr="00813B4C">
        <w:t xml:space="preserve"> Branigan</w:t>
      </w:r>
      <w:r>
        <w:t>,</w:t>
      </w:r>
      <w:r w:rsidRPr="00813B4C">
        <w:t xml:space="preserve"> 2011</w:t>
      </w:r>
    </w:p>
  </w:footnote>
  <w:footnote w:id="246">
    <w:p w14:paraId="4072E9AD" w14:textId="77777777" w:rsidR="000D213D" w:rsidRPr="00813B4C" w:rsidRDefault="000D213D" w:rsidP="00E56A68">
      <w:pPr>
        <w:pStyle w:val="FootnoteText"/>
        <w:rPr>
          <w:highlight w:val="yellow"/>
        </w:rPr>
      </w:pPr>
      <w:r w:rsidRPr="00813B4C">
        <w:rPr>
          <w:rStyle w:val="FootnoteReference"/>
          <w:rFonts w:asciiTheme="majorHAnsi" w:hAnsiTheme="majorHAnsi" w:cstheme="majorHAnsi"/>
          <w:color w:val="000000" w:themeColor="text1"/>
          <w:szCs w:val="16"/>
        </w:rPr>
        <w:footnoteRef/>
      </w:r>
      <w:r w:rsidRPr="00813B4C">
        <w:t xml:space="preserve"> Australian Government Productivity Commission</w:t>
      </w:r>
      <w:r>
        <w:t>,</w:t>
      </w:r>
      <w:r w:rsidRPr="00813B4C">
        <w:t xml:space="preserve"> 2021</w:t>
      </w:r>
    </w:p>
  </w:footnote>
  <w:footnote w:id="247">
    <w:p w14:paraId="137B5D01" w14:textId="77777777" w:rsidR="000D213D" w:rsidRPr="00813B4C" w:rsidRDefault="000D213D" w:rsidP="00E56A68">
      <w:pPr>
        <w:pStyle w:val="FootnoteText"/>
        <w:rPr>
          <w:shd w:val="clear" w:color="auto" w:fill="FFFFFF"/>
        </w:rPr>
      </w:pPr>
      <w:r w:rsidRPr="00813B4C">
        <w:rPr>
          <w:rStyle w:val="FootnoteReference"/>
          <w:rFonts w:asciiTheme="majorHAnsi" w:hAnsiTheme="majorHAnsi" w:cstheme="majorHAnsi"/>
          <w:color w:val="000000" w:themeColor="text1"/>
          <w:szCs w:val="16"/>
        </w:rPr>
        <w:footnoteRef/>
      </w:r>
      <w:r w:rsidRPr="00813B4C">
        <w:t xml:space="preserve"> </w:t>
      </w:r>
      <w:r w:rsidRPr="00813B4C">
        <w:rPr>
          <w:shd w:val="clear" w:color="auto" w:fill="FFFFFF"/>
        </w:rPr>
        <w:t>Murphy</w:t>
      </w:r>
      <w:r>
        <w:rPr>
          <w:shd w:val="clear" w:color="auto" w:fill="FFFFFF"/>
        </w:rPr>
        <w:t>,</w:t>
      </w:r>
      <w:r w:rsidRPr="00813B4C">
        <w:rPr>
          <w:shd w:val="clear" w:color="auto" w:fill="FFFFFF"/>
        </w:rPr>
        <w:t xml:space="preserve"> 2011</w:t>
      </w:r>
    </w:p>
  </w:footnote>
  <w:footnote w:id="248">
    <w:p w14:paraId="7EABA9F4" w14:textId="77777777" w:rsidR="000D213D" w:rsidRPr="00813B4C" w:rsidRDefault="000D213D" w:rsidP="00E56A68">
      <w:pPr>
        <w:pStyle w:val="FootnoteText"/>
      </w:pPr>
      <w:r w:rsidRPr="00813B4C">
        <w:rPr>
          <w:rStyle w:val="FootnoteReference"/>
          <w:rFonts w:asciiTheme="majorHAnsi" w:hAnsiTheme="majorHAnsi" w:cstheme="majorHAnsi"/>
          <w:color w:val="000000" w:themeColor="text1"/>
          <w:szCs w:val="16"/>
        </w:rPr>
        <w:footnoteRef/>
      </w:r>
      <w:r w:rsidRPr="00813B4C">
        <w:t xml:space="preserve"> Australian Government Productivity Commission</w:t>
      </w:r>
      <w:r>
        <w:t>,</w:t>
      </w:r>
      <w:r w:rsidRPr="00813B4C">
        <w:t xml:space="preserve"> 2021</w:t>
      </w:r>
    </w:p>
  </w:footnote>
  <w:footnote w:id="249">
    <w:p w14:paraId="1AA3F77E" w14:textId="77777777" w:rsidR="000D213D" w:rsidRPr="00813B4C" w:rsidRDefault="000D213D" w:rsidP="00E56A68">
      <w:pPr>
        <w:pStyle w:val="FootnoteText"/>
      </w:pPr>
      <w:r w:rsidRPr="00813B4C">
        <w:rPr>
          <w:rStyle w:val="FootnoteReference"/>
          <w:rFonts w:asciiTheme="majorHAnsi" w:hAnsiTheme="majorHAnsi" w:cstheme="majorHAnsi"/>
          <w:color w:val="000000" w:themeColor="text1"/>
          <w:szCs w:val="16"/>
        </w:rPr>
        <w:footnoteRef/>
      </w:r>
      <w:r w:rsidRPr="00813B4C">
        <w:t xml:space="preserve"> Ibid</w:t>
      </w:r>
    </w:p>
  </w:footnote>
  <w:footnote w:id="250">
    <w:p w14:paraId="1F5A6E5F" w14:textId="77777777" w:rsidR="000D213D" w:rsidRPr="00813B4C" w:rsidRDefault="000D213D" w:rsidP="0029168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Bennetto</w:t>
      </w:r>
      <w:r>
        <w:rPr>
          <w:rFonts w:asciiTheme="majorHAnsi" w:hAnsiTheme="majorHAnsi" w:cstheme="majorHAnsi"/>
          <w:szCs w:val="16"/>
        </w:rPr>
        <w:t>,</w:t>
      </w:r>
      <w:r w:rsidRPr="00813B4C">
        <w:rPr>
          <w:rFonts w:asciiTheme="majorHAnsi" w:hAnsiTheme="majorHAnsi" w:cstheme="majorHAnsi"/>
          <w:szCs w:val="16"/>
        </w:rPr>
        <w:t xml:space="preserve"> 1997</w:t>
      </w:r>
    </w:p>
  </w:footnote>
  <w:footnote w:id="251">
    <w:p w14:paraId="6B4904EE" w14:textId="77777777" w:rsidR="000D213D" w:rsidRPr="00813B4C" w:rsidRDefault="000D213D" w:rsidP="00291688">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w:t>
      </w:r>
      <w:r w:rsidRPr="00813B4C">
        <w:rPr>
          <w:rFonts w:asciiTheme="majorHAnsi" w:hAnsiTheme="majorHAnsi" w:cstheme="majorHAnsi"/>
          <w:szCs w:val="16"/>
        </w:rPr>
        <w:t>Atlantic Council</w:t>
      </w:r>
      <w:r>
        <w:rPr>
          <w:rFonts w:asciiTheme="majorHAnsi" w:hAnsiTheme="majorHAnsi" w:cstheme="majorHAnsi"/>
          <w:noProof/>
          <w:szCs w:val="16"/>
        </w:rPr>
        <w:t>,</w:t>
      </w:r>
      <w:r w:rsidRPr="00813B4C">
        <w:rPr>
          <w:rFonts w:asciiTheme="majorHAnsi" w:hAnsiTheme="majorHAnsi" w:cstheme="majorHAnsi"/>
          <w:szCs w:val="16"/>
        </w:rPr>
        <w:t xml:space="preserve"> 2018</w:t>
      </w:r>
    </w:p>
  </w:footnote>
  <w:footnote w:id="252">
    <w:p w14:paraId="6B4F172B" w14:textId="70A95CC1" w:rsidR="000D213D" w:rsidRPr="00813B4C" w:rsidRDefault="000D213D" w:rsidP="00291688">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Australian Energy Market Operator</w:t>
      </w:r>
      <w:r>
        <w:rPr>
          <w:rFonts w:asciiTheme="majorHAnsi" w:hAnsiTheme="majorHAnsi" w:cstheme="majorHAnsi"/>
          <w:noProof/>
          <w:color w:val="000000"/>
          <w:szCs w:val="16"/>
        </w:rPr>
        <w:t>,</w:t>
      </w:r>
      <w:r w:rsidRPr="00813B4C">
        <w:rPr>
          <w:rFonts w:asciiTheme="majorHAnsi" w:hAnsiTheme="majorHAnsi" w:cstheme="majorHAnsi"/>
          <w:color w:val="000000"/>
          <w:szCs w:val="16"/>
        </w:rPr>
        <w:t xml:space="preserve"> 2019; </w:t>
      </w:r>
      <w:r w:rsidRPr="00813B4C">
        <w:rPr>
          <w:rFonts w:asciiTheme="majorHAnsi" w:hAnsiTheme="majorHAnsi" w:cstheme="majorHAnsi"/>
          <w:szCs w:val="16"/>
        </w:rPr>
        <w:t xml:space="preserve">Australian </w:t>
      </w:r>
      <w:r>
        <w:rPr>
          <w:rFonts w:asciiTheme="majorHAnsi" w:hAnsiTheme="majorHAnsi" w:cstheme="majorHAnsi"/>
          <w:szCs w:val="16"/>
        </w:rPr>
        <w:t>E</w:t>
      </w:r>
      <w:r w:rsidRPr="00813B4C">
        <w:rPr>
          <w:rFonts w:asciiTheme="majorHAnsi" w:hAnsiTheme="majorHAnsi" w:cstheme="majorHAnsi"/>
          <w:szCs w:val="16"/>
        </w:rPr>
        <w:t>nergy Market Operator</w:t>
      </w:r>
      <w:r>
        <w:rPr>
          <w:rFonts w:asciiTheme="majorHAnsi" w:hAnsiTheme="majorHAnsi" w:cstheme="majorHAnsi"/>
          <w:noProof/>
          <w:szCs w:val="16"/>
        </w:rPr>
        <w:t>,</w:t>
      </w:r>
      <w:r w:rsidRPr="00813B4C">
        <w:rPr>
          <w:rFonts w:asciiTheme="majorHAnsi" w:hAnsiTheme="majorHAnsi" w:cstheme="majorHAnsi"/>
          <w:szCs w:val="16"/>
        </w:rPr>
        <w:t xml:space="preserve"> 2018</w:t>
      </w:r>
    </w:p>
  </w:footnote>
  <w:footnote w:id="253">
    <w:p w14:paraId="5438BE70" w14:textId="77777777" w:rsidR="000D213D" w:rsidRPr="00813B4C" w:rsidRDefault="000D213D" w:rsidP="0029168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Energy Market Operator</w:t>
      </w:r>
      <w:r>
        <w:rPr>
          <w:rFonts w:asciiTheme="majorHAnsi" w:hAnsiTheme="majorHAnsi" w:cstheme="majorHAnsi"/>
          <w:szCs w:val="16"/>
        </w:rPr>
        <w:t>,</w:t>
      </w:r>
      <w:r w:rsidRPr="00813B4C">
        <w:rPr>
          <w:rFonts w:asciiTheme="majorHAnsi" w:hAnsiTheme="majorHAnsi" w:cstheme="majorHAnsi"/>
          <w:szCs w:val="16"/>
        </w:rPr>
        <w:t xml:space="preserve"> 2021</w:t>
      </w:r>
    </w:p>
  </w:footnote>
  <w:footnote w:id="254">
    <w:p w14:paraId="1FEEA53B" w14:textId="77777777" w:rsidR="000D213D" w:rsidRPr="00813B4C" w:rsidRDefault="000D213D" w:rsidP="0029168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Chenneveau</w:t>
      </w:r>
      <w:r>
        <w:rPr>
          <w:rFonts w:asciiTheme="majorHAnsi" w:hAnsiTheme="majorHAnsi" w:cstheme="majorHAnsi"/>
          <w:noProof/>
          <w:szCs w:val="16"/>
        </w:rPr>
        <w:t>,</w:t>
      </w:r>
      <w:r w:rsidRPr="00813B4C">
        <w:rPr>
          <w:rFonts w:asciiTheme="majorHAnsi" w:hAnsiTheme="majorHAnsi" w:cstheme="majorHAnsi"/>
          <w:szCs w:val="16"/>
        </w:rPr>
        <w:t xml:space="preserve"> 2020</w:t>
      </w:r>
    </w:p>
  </w:footnote>
  <w:footnote w:id="255">
    <w:p w14:paraId="21459A68" w14:textId="77777777" w:rsidR="000D213D" w:rsidRPr="00813B4C" w:rsidRDefault="000D213D" w:rsidP="0029168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Kilpatrick</w:t>
      </w:r>
      <w:r>
        <w:rPr>
          <w:rFonts w:asciiTheme="majorHAnsi" w:hAnsiTheme="majorHAnsi" w:cstheme="majorHAnsi"/>
          <w:noProof/>
          <w:szCs w:val="16"/>
        </w:rPr>
        <w:t>,</w:t>
      </w:r>
      <w:r w:rsidRPr="00813B4C">
        <w:rPr>
          <w:rFonts w:asciiTheme="majorHAnsi" w:hAnsiTheme="majorHAnsi" w:cstheme="majorHAnsi"/>
          <w:szCs w:val="16"/>
        </w:rPr>
        <w:t xml:space="preserve"> 2021</w:t>
      </w:r>
    </w:p>
  </w:footnote>
  <w:footnote w:id="256">
    <w:p w14:paraId="064156AF" w14:textId="77777777" w:rsidR="000D213D" w:rsidRPr="00813B4C" w:rsidRDefault="000D213D" w:rsidP="0029168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Deloitte</w:t>
      </w:r>
      <w:r>
        <w:rPr>
          <w:rFonts w:asciiTheme="majorHAnsi" w:hAnsiTheme="majorHAnsi" w:cstheme="majorHAnsi"/>
          <w:noProof/>
          <w:szCs w:val="16"/>
        </w:rPr>
        <w:t>,</w:t>
      </w:r>
      <w:r w:rsidRPr="00813B4C">
        <w:rPr>
          <w:rFonts w:asciiTheme="majorHAnsi" w:hAnsiTheme="majorHAnsi" w:cstheme="majorHAnsi"/>
          <w:szCs w:val="16"/>
        </w:rPr>
        <w:t xml:space="preserve"> 2020</w:t>
      </w:r>
    </w:p>
  </w:footnote>
  <w:footnote w:id="257">
    <w:p w14:paraId="13A73551" w14:textId="77777777" w:rsidR="000D213D" w:rsidRPr="00813B4C" w:rsidRDefault="000D213D" w:rsidP="0029168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Ernst &amp; Young</w:t>
      </w:r>
      <w:r>
        <w:rPr>
          <w:rFonts w:asciiTheme="majorHAnsi" w:hAnsiTheme="majorHAnsi" w:cstheme="majorHAnsi"/>
          <w:noProof/>
          <w:szCs w:val="16"/>
        </w:rPr>
        <w:t>,</w:t>
      </w:r>
      <w:r w:rsidRPr="00813B4C">
        <w:rPr>
          <w:rFonts w:asciiTheme="majorHAnsi" w:hAnsiTheme="majorHAnsi" w:cstheme="majorHAnsi"/>
          <w:szCs w:val="16"/>
        </w:rPr>
        <w:t xml:space="preserve"> 2016</w:t>
      </w:r>
    </w:p>
  </w:footnote>
  <w:footnote w:id="258">
    <w:p w14:paraId="10B531AE" w14:textId="77777777" w:rsidR="000D213D" w:rsidRPr="00813B4C" w:rsidRDefault="000D213D" w:rsidP="0029168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Johnston</w:t>
      </w:r>
      <w:r>
        <w:rPr>
          <w:rFonts w:asciiTheme="majorHAnsi" w:hAnsiTheme="majorHAnsi" w:cstheme="majorHAnsi"/>
          <w:noProof/>
          <w:szCs w:val="16"/>
        </w:rPr>
        <w:t>,</w:t>
      </w:r>
      <w:r w:rsidRPr="00813B4C">
        <w:rPr>
          <w:rFonts w:asciiTheme="majorHAnsi" w:hAnsiTheme="majorHAnsi" w:cstheme="majorHAnsi"/>
          <w:szCs w:val="16"/>
        </w:rPr>
        <w:t xml:space="preserve"> 2017</w:t>
      </w:r>
    </w:p>
  </w:footnote>
  <w:footnote w:id="259">
    <w:p w14:paraId="123F9E1B" w14:textId="77777777" w:rsidR="000D213D" w:rsidRPr="00813B4C" w:rsidRDefault="000D213D" w:rsidP="00701F6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Cunsolo</w:t>
      </w:r>
      <w:r>
        <w:rPr>
          <w:rFonts w:asciiTheme="majorHAnsi" w:hAnsiTheme="majorHAnsi" w:cstheme="majorHAnsi"/>
          <w:noProof/>
          <w:szCs w:val="16"/>
        </w:rPr>
        <w:t>,</w:t>
      </w:r>
      <w:r w:rsidRPr="00813B4C">
        <w:rPr>
          <w:rFonts w:asciiTheme="majorHAnsi" w:hAnsiTheme="majorHAnsi" w:cstheme="majorHAnsi"/>
          <w:szCs w:val="16"/>
        </w:rPr>
        <w:t xml:space="preserve"> n.d.</w:t>
      </w:r>
    </w:p>
  </w:footnote>
  <w:footnote w:id="260">
    <w:p w14:paraId="2DA126A2" w14:textId="77777777" w:rsidR="000D213D" w:rsidRPr="00813B4C" w:rsidRDefault="000D213D" w:rsidP="00301C7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261">
    <w:p w14:paraId="4591CF7C"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Global Intelligence for Digital Leaders, 2019</w:t>
      </w:r>
    </w:p>
  </w:footnote>
  <w:footnote w:id="262">
    <w:p w14:paraId="05D1A08B"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ZDNet, 2018 </w:t>
      </w:r>
    </w:p>
  </w:footnote>
  <w:footnote w:id="263">
    <w:p w14:paraId="56089577"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Digital Guardian, 2020</w:t>
      </w:r>
    </w:p>
  </w:footnote>
  <w:footnote w:id="264">
    <w:p w14:paraId="225ACD13"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BBC News, 2017</w:t>
      </w:r>
    </w:p>
  </w:footnote>
  <w:footnote w:id="265">
    <w:p w14:paraId="107A1963"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ZDNet, 2017</w:t>
      </w:r>
    </w:p>
  </w:footnote>
  <w:footnote w:id="266">
    <w:p w14:paraId="372CA962"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ZDNet, 2017</w:t>
      </w:r>
    </w:p>
  </w:footnote>
  <w:footnote w:id="267">
    <w:p w14:paraId="476AD3D7"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Heimdal </w:t>
      </w:r>
      <w:r w:rsidRPr="004D2E56">
        <w:t>Security</w:t>
      </w:r>
      <w:r w:rsidRPr="00813B4C">
        <w:t xml:space="preserve">, 2021 </w:t>
      </w:r>
    </w:p>
  </w:footnote>
  <w:footnote w:id="268">
    <w:p w14:paraId="684DC4A2"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Silicon Angle, 2021</w:t>
      </w:r>
    </w:p>
  </w:footnote>
  <w:footnote w:id="269">
    <w:p w14:paraId="0A7D596A"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Bleeping Computer, 2021</w:t>
      </w:r>
    </w:p>
  </w:footnote>
  <w:footnote w:id="270">
    <w:p w14:paraId="05DBF3D4"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Financial Review, 2019</w:t>
      </w:r>
    </w:p>
  </w:footnote>
  <w:footnote w:id="271">
    <w:p w14:paraId="6225C7F5"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ABC News, 2019</w:t>
      </w:r>
    </w:p>
  </w:footnote>
  <w:footnote w:id="272">
    <w:p w14:paraId="5E74E7D4"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The Guardian, 2019</w:t>
      </w:r>
    </w:p>
  </w:footnote>
  <w:footnote w:id="273">
    <w:p w14:paraId="45EEAA73"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PerthNow, 2018</w:t>
      </w:r>
    </w:p>
  </w:footnote>
  <w:footnote w:id="274">
    <w:p w14:paraId="700DCFF9"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ABC News, 2019 ; PerthNow, 2018</w:t>
      </w:r>
    </w:p>
  </w:footnote>
  <w:footnote w:id="275">
    <w:p w14:paraId="5CF06743" w14:textId="77777777" w:rsidR="000D213D" w:rsidRPr="00813B4C" w:rsidRDefault="000D213D" w:rsidP="002C07AA">
      <w:pPr>
        <w:pStyle w:val="FootnoteText"/>
      </w:pPr>
      <w:r w:rsidRPr="00813B4C">
        <w:rPr>
          <w:rStyle w:val="FootnoteReference"/>
          <w:rFonts w:asciiTheme="majorHAnsi" w:hAnsiTheme="majorHAnsi" w:cstheme="majorHAnsi"/>
          <w:szCs w:val="16"/>
        </w:rPr>
        <w:footnoteRef/>
      </w:r>
      <w:r w:rsidRPr="00813B4C">
        <w:t xml:space="preserve"> Financial Review, 2019</w:t>
      </w:r>
    </w:p>
  </w:footnote>
  <w:footnote w:id="276">
    <w:p w14:paraId="307A42D2" w14:textId="77777777" w:rsidR="000D213D" w:rsidRPr="00813B4C" w:rsidRDefault="000D213D" w:rsidP="00957658">
      <w:pPr>
        <w:pStyle w:val="FootnoteText"/>
      </w:pPr>
      <w:r w:rsidRPr="00813B4C">
        <w:rPr>
          <w:rStyle w:val="FootnoteReference"/>
          <w:rFonts w:asciiTheme="majorHAnsi" w:hAnsiTheme="majorHAnsi" w:cstheme="majorHAnsi"/>
          <w:szCs w:val="16"/>
        </w:rPr>
        <w:footnoteRef/>
      </w:r>
      <w:r w:rsidRPr="00813B4C">
        <w:t xml:space="preserve"> The Courier Mail, 202</w:t>
      </w:r>
      <w:r>
        <w:t>0</w:t>
      </w:r>
    </w:p>
  </w:footnote>
  <w:footnote w:id="277">
    <w:p w14:paraId="5D623858" w14:textId="77777777" w:rsidR="000D213D" w:rsidRPr="00813B4C" w:rsidRDefault="000D213D" w:rsidP="00957658">
      <w:pPr>
        <w:pStyle w:val="FootnoteText"/>
      </w:pPr>
      <w:r w:rsidRPr="00813B4C">
        <w:rPr>
          <w:rStyle w:val="FootnoteReference"/>
          <w:rFonts w:asciiTheme="majorHAnsi" w:hAnsiTheme="majorHAnsi" w:cstheme="majorHAnsi"/>
          <w:szCs w:val="16"/>
        </w:rPr>
        <w:footnoteRef/>
      </w:r>
      <w:r w:rsidRPr="00813B4C">
        <w:t xml:space="preserve"> Sutton and Brown, 2020</w:t>
      </w:r>
    </w:p>
  </w:footnote>
  <w:footnote w:id="278">
    <w:p w14:paraId="1C1881CE" w14:textId="77777777" w:rsidR="000D213D" w:rsidRPr="00813B4C" w:rsidRDefault="000D213D" w:rsidP="00957658">
      <w:pPr>
        <w:pStyle w:val="FootnoteText"/>
      </w:pPr>
      <w:r w:rsidRPr="00813B4C">
        <w:rPr>
          <w:rStyle w:val="FootnoteReference"/>
          <w:rFonts w:asciiTheme="majorHAnsi" w:hAnsiTheme="majorHAnsi" w:cstheme="majorHAnsi"/>
          <w:szCs w:val="16"/>
        </w:rPr>
        <w:footnoteRef/>
      </w:r>
      <w:r w:rsidRPr="00813B4C">
        <w:t xml:space="preserve"> Financial Review, 2019</w:t>
      </w:r>
    </w:p>
  </w:footnote>
  <w:footnote w:id="279">
    <w:p w14:paraId="73387CA5" w14:textId="77777777" w:rsidR="000D213D" w:rsidRPr="00813B4C" w:rsidRDefault="000D213D" w:rsidP="00957658">
      <w:pPr>
        <w:pStyle w:val="FootnoteText"/>
      </w:pPr>
      <w:r w:rsidRPr="00813B4C">
        <w:rPr>
          <w:rStyle w:val="FootnoteReference"/>
          <w:rFonts w:asciiTheme="majorHAnsi" w:hAnsiTheme="majorHAnsi" w:cstheme="majorHAnsi"/>
          <w:szCs w:val="16"/>
        </w:rPr>
        <w:footnoteRef/>
      </w:r>
      <w:r w:rsidRPr="00813B4C">
        <w:t xml:space="preserve"> ABC News, 2019</w:t>
      </w:r>
    </w:p>
  </w:footnote>
  <w:footnote w:id="280">
    <w:p w14:paraId="5912CAB7" w14:textId="77777777" w:rsidR="000D213D" w:rsidRPr="00250205" w:rsidRDefault="000D213D" w:rsidP="00957658">
      <w:pPr>
        <w:pStyle w:val="FootnoteText"/>
      </w:pPr>
      <w:r w:rsidRPr="00250205">
        <w:rPr>
          <w:rStyle w:val="FootnoteReference"/>
          <w:rFonts w:asciiTheme="majorHAnsi" w:hAnsiTheme="majorHAnsi" w:cstheme="majorHAnsi"/>
          <w:color w:val="000000" w:themeColor="text1"/>
          <w:szCs w:val="16"/>
        </w:rPr>
        <w:footnoteRef/>
      </w:r>
      <w:r w:rsidRPr="00250205">
        <w:t xml:space="preserve"> Global Intelligence for Digital Leaders, 2019</w:t>
      </w:r>
    </w:p>
  </w:footnote>
  <w:footnote w:id="281">
    <w:p w14:paraId="40F7A33A" w14:textId="77777777" w:rsidR="000D213D" w:rsidRPr="00250205" w:rsidRDefault="000D213D" w:rsidP="00957658">
      <w:pPr>
        <w:pStyle w:val="FootnoteText"/>
      </w:pPr>
      <w:r w:rsidRPr="00250205">
        <w:rPr>
          <w:rStyle w:val="FootnoteReference"/>
          <w:rFonts w:asciiTheme="majorHAnsi" w:hAnsiTheme="majorHAnsi" w:cstheme="majorHAnsi"/>
          <w:color w:val="000000" w:themeColor="text1"/>
          <w:szCs w:val="16"/>
        </w:rPr>
        <w:footnoteRef/>
      </w:r>
      <w:r w:rsidRPr="00250205">
        <w:t xml:space="preserve"> ZDNet, 2018</w:t>
      </w:r>
    </w:p>
  </w:footnote>
  <w:footnote w:id="282">
    <w:p w14:paraId="773DAC41" w14:textId="77777777" w:rsidR="000D213D" w:rsidRPr="00250205" w:rsidRDefault="000D213D" w:rsidP="00957658">
      <w:pPr>
        <w:pStyle w:val="FootnoteText"/>
      </w:pPr>
      <w:r w:rsidRPr="00250205">
        <w:rPr>
          <w:rStyle w:val="FootnoteReference"/>
          <w:rFonts w:asciiTheme="majorHAnsi" w:hAnsiTheme="majorHAnsi" w:cstheme="majorHAnsi"/>
          <w:color w:val="000000" w:themeColor="text1"/>
          <w:szCs w:val="16"/>
        </w:rPr>
        <w:footnoteRef/>
      </w:r>
      <w:r w:rsidRPr="00250205">
        <w:t xml:space="preserve"> BBC News, 2017</w:t>
      </w:r>
    </w:p>
  </w:footnote>
  <w:footnote w:id="283">
    <w:p w14:paraId="14061EB2" w14:textId="1E5A1CE7" w:rsidR="000D213D" w:rsidRPr="00250205" w:rsidRDefault="000D213D" w:rsidP="00957658">
      <w:pPr>
        <w:pStyle w:val="FootnoteText"/>
        <w:rPr>
          <w:rFonts w:asciiTheme="majorHAnsi" w:hAnsiTheme="majorHAnsi" w:cstheme="majorHAnsi"/>
          <w:color w:val="000000" w:themeColor="text1"/>
          <w:szCs w:val="16"/>
        </w:rPr>
      </w:pPr>
      <w:r w:rsidRPr="00250205">
        <w:rPr>
          <w:rStyle w:val="FootnoteReference"/>
          <w:rFonts w:asciiTheme="majorHAnsi" w:hAnsiTheme="majorHAnsi" w:cstheme="majorHAnsi"/>
          <w:color w:val="000000" w:themeColor="text1"/>
          <w:szCs w:val="16"/>
        </w:rPr>
        <w:footnoteRef/>
      </w:r>
      <w:r w:rsidRPr="00250205">
        <w:rPr>
          <w:rFonts w:asciiTheme="majorHAnsi" w:hAnsiTheme="majorHAnsi" w:cstheme="majorHAnsi"/>
          <w:color w:val="000000" w:themeColor="text1"/>
          <w:szCs w:val="16"/>
        </w:rPr>
        <w:t xml:space="preserve"> </w:t>
      </w:r>
      <w:hyperlink r:id="rId15" w:history="1">
        <w:r w:rsidRPr="00250205">
          <w:rPr>
            <w:rStyle w:val="Hyperlink"/>
            <w:rFonts w:asciiTheme="majorHAnsi" w:hAnsiTheme="majorHAnsi" w:cstheme="majorHAnsi"/>
            <w:szCs w:val="16"/>
            <w:u w:val="none"/>
          </w:rPr>
          <w:t>ABC</w:t>
        </w:r>
      </w:hyperlink>
      <w:r w:rsidRPr="00250205">
        <w:rPr>
          <w:rStyle w:val="Hyperlink"/>
          <w:rFonts w:asciiTheme="majorHAnsi" w:hAnsiTheme="majorHAnsi" w:cstheme="majorHAnsi"/>
          <w:szCs w:val="16"/>
          <w:u w:val="none"/>
        </w:rPr>
        <w:t xml:space="preserve"> News, 2021</w:t>
      </w:r>
    </w:p>
  </w:footnote>
  <w:footnote w:id="284">
    <w:p w14:paraId="49D4477D" w14:textId="395F76B7" w:rsidR="000D213D" w:rsidRPr="00250205" w:rsidRDefault="000D213D" w:rsidP="00957658">
      <w:pPr>
        <w:pStyle w:val="FootnoteText"/>
        <w:rPr>
          <w:rFonts w:asciiTheme="majorHAnsi" w:hAnsiTheme="majorHAnsi" w:cstheme="majorHAnsi"/>
          <w:color w:val="000000" w:themeColor="text1"/>
          <w:szCs w:val="16"/>
        </w:rPr>
      </w:pPr>
      <w:r w:rsidRPr="00250205">
        <w:rPr>
          <w:rStyle w:val="FootnoteReference"/>
          <w:rFonts w:asciiTheme="majorHAnsi" w:hAnsiTheme="majorHAnsi" w:cstheme="majorHAnsi"/>
          <w:color w:val="000000" w:themeColor="text1"/>
          <w:szCs w:val="16"/>
        </w:rPr>
        <w:footnoteRef/>
      </w:r>
      <w:r w:rsidRPr="00250205">
        <w:rPr>
          <w:rFonts w:asciiTheme="majorHAnsi" w:hAnsiTheme="majorHAnsi" w:cstheme="majorHAnsi"/>
          <w:color w:val="000000" w:themeColor="text1"/>
          <w:szCs w:val="16"/>
        </w:rPr>
        <w:t xml:space="preserve"> </w:t>
      </w:r>
      <w:hyperlink r:id="rId16" w:history="1">
        <w:r w:rsidRPr="00250205">
          <w:rPr>
            <w:rStyle w:val="Hyperlink"/>
            <w:rFonts w:asciiTheme="majorHAnsi" w:hAnsiTheme="majorHAnsi" w:cstheme="majorHAnsi"/>
            <w:szCs w:val="16"/>
            <w:u w:val="none"/>
          </w:rPr>
          <w:t>Financial</w:t>
        </w:r>
      </w:hyperlink>
      <w:r w:rsidRPr="00250205">
        <w:rPr>
          <w:rStyle w:val="Hyperlink"/>
          <w:rFonts w:asciiTheme="majorHAnsi" w:hAnsiTheme="majorHAnsi" w:cstheme="majorHAnsi"/>
          <w:szCs w:val="16"/>
          <w:u w:val="none"/>
        </w:rPr>
        <w:t xml:space="preserve"> Review, 2021</w:t>
      </w:r>
    </w:p>
  </w:footnote>
  <w:footnote w:id="285">
    <w:p w14:paraId="6FC7626B" w14:textId="3700EBB6" w:rsidR="000D213D" w:rsidRPr="00250205" w:rsidRDefault="000D213D" w:rsidP="00957658">
      <w:pPr>
        <w:pStyle w:val="FootnoteText"/>
        <w:rPr>
          <w:rFonts w:asciiTheme="majorHAnsi" w:hAnsiTheme="majorHAnsi" w:cstheme="majorHAnsi"/>
          <w:color w:val="000000" w:themeColor="text1"/>
          <w:szCs w:val="16"/>
        </w:rPr>
      </w:pPr>
      <w:r w:rsidRPr="00250205">
        <w:rPr>
          <w:rStyle w:val="FootnoteReference"/>
          <w:rFonts w:asciiTheme="majorHAnsi" w:hAnsiTheme="majorHAnsi" w:cstheme="majorHAnsi"/>
          <w:color w:val="000000" w:themeColor="text1"/>
          <w:szCs w:val="16"/>
        </w:rPr>
        <w:footnoteRef/>
      </w:r>
      <w:r w:rsidRPr="00250205">
        <w:rPr>
          <w:rFonts w:asciiTheme="majorHAnsi" w:hAnsiTheme="majorHAnsi" w:cstheme="majorHAnsi"/>
          <w:color w:val="000000" w:themeColor="text1"/>
          <w:szCs w:val="16"/>
        </w:rPr>
        <w:t xml:space="preserve"> </w:t>
      </w:r>
      <w:hyperlink r:id="rId17" w:history="1">
        <w:r w:rsidRPr="00250205">
          <w:rPr>
            <w:rStyle w:val="Hyperlink"/>
            <w:rFonts w:asciiTheme="majorHAnsi" w:hAnsiTheme="majorHAnsi" w:cstheme="majorHAnsi"/>
            <w:szCs w:val="16"/>
            <w:u w:val="none"/>
          </w:rPr>
          <w:t>ABC</w:t>
        </w:r>
      </w:hyperlink>
      <w:r w:rsidRPr="00250205">
        <w:rPr>
          <w:rStyle w:val="Hyperlink"/>
          <w:rFonts w:asciiTheme="majorHAnsi" w:hAnsiTheme="majorHAnsi" w:cstheme="majorHAnsi"/>
          <w:szCs w:val="16"/>
          <w:u w:val="none"/>
        </w:rPr>
        <w:t xml:space="preserve"> News, 2021</w:t>
      </w:r>
    </w:p>
  </w:footnote>
  <w:footnote w:id="286">
    <w:p w14:paraId="4F17A52C" w14:textId="52D7AC7C" w:rsidR="000D213D" w:rsidRPr="00813B4C" w:rsidRDefault="000D213D" w:rsidP="00957658">
      <w:pPr>
        <w:pStyle w:val="FootnoteText"/>
        <w:rPr>
          <w:rFonts w:asciiTheme="majorHAnsi" w:hAnsiTheme="majorHAnsi" w:cstheme="majorHAnsi"/>
          <w:szCs w:val="16"/>
        </w:rPr>
      </w:pPr>
      <w:r w:rsidRPr="00250205">
        <w:rPr>
          <w:rStyle w:val="FootnoteReference"/>
          <w:rFonts w:asciiTheme="majorHAnsi" w:hAnsiTheme="majorHAnsi" w:cstheme="majorHAnsi"/>
          <w:color w:val="000000" w:themeColor="text1"/>
          <w:szCs w:val="16"/>
        </w:rPr>
        <w:footnoteRef/>
      </w:r>
      <w:r w:rsidRPr="00250205">
        <w:rPr>
          <w:rFonts w:asciiTheme="majorHAnsi" w:hAnsiTheme="majorHAnsi" w:cstheme="majorHAnsi"/>
          <w:color w:val="000000" w:themeColor="text1"/>
          <w:szCs w:val="16"/>
        </w:rPr>
        <w:t xml:space="preserve"> </w:t>
      </w:r>
      <w:hyperlink r:id="rId18" w:history="1">
        <w:r w:rsidRPr="00250205">
          <w:rPr>
            <w:rStyle w:val="Hyperlink"/>
            <w:rFonts w:asciiTheme="majorHAnsi" w:hAnsiTheme="majorHAnsi" w:cstheme="majorHAnsi"/>
            <w:szCs w:val="16"/>
            <w:u w:val="none"/>
          </w:rPr>
          <w:t>Financial</w:t>
        </w:r>
      </w:hyperlink>
      <w:r w:rsidRPr="00250205">
        <w:rPr>
          <w:rStyle w:val="Hyperlink"/>
          <w:rFonts w:asciiTheme="majorHAnsi" w:hAnsiTheme="majorHAnsi" w:cstheme="majorHAnsi"/>
          <w:szCs w:val="16"/>
          <w:u w:val="none"/>
        </w:rPr>
        <w:t xml:space="preserve"> Review, 2021</w:t>
      </w:r>
    </w:p>
  </w:footnote>
  <w:footnote w:id="287">
    <w:p w14:paraId="59285E07" w14:textId="77777777" w:rsidR="000D213D" w:rsidRPr="00813B4C" w:rsidRDefault="000D213D" w:rsidP="00957658">
      <w:pPr>
        <w:pStyle w:val="FootnoteText"/>
      </w:pPr>
      <w:r w:rsidRPr="00813B4C">
        <w:rPr>
          <w:rStyle w:val="FootnoteReference"/>
          <w:rFonts w:asciiTheme="majorHAnsi" w:hAnsiTheme="majorHAnsi" w:cstheme="majorHAnsi"/>
          <w:szCs w:val="16"/>
        </w:rPr>
        <w:footnoteRef/>
      </w:r>
      <w:r w:rsidRPr="00813B4C">
        <w:t xml:space="preserve"> Business News Australia, 2021</w:t>
      </w:r>
    </w:p>
  </w:footnote>
  <w:footnote w:id="288">
    <w:p w14:paraId="7CAC1299" w14:textId="77777777" w:rsidR="000D213D" w:rsidRPr="00813B4C" w:rsidRDefault="000D213D" w:rsidP="00957658">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 ABC News, 2021</w:t>
      </w:r>
    </w:p>
  </w:footnote>
  <w:footnote w:id="289">
    <w:p w14:paraId="00B3135E" w14:textId="77777777" w:rsidR="000D213D" w:rsidRPr="00813B4C" w:rsidRDefault="000D213D" w:rsidP="00DF5B4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Home Affairs 2021, </w:t>
      </w:r>
      <w:r>
        <w:rPr>
          <w:rFonts w:asciiTheme="majorHAnsi" w:hAnsiTheme="majorHAnsi" w:cstheme="majorHAnsi"/>
          <w:noProof/>
          <w:szCs w:val="16"/>
        </w:rPr>
        <w:t xml:space="preserve">p. </w:t>
      </w:r>
      <w:r w:rsidRPr="00813B4C">
        <w:rPr>
          <w:rFonts w:asciiTheme="majorHAnsi" w:hAnsiTheme="majorHAnsi" w:cstheme="majorHAnsi"/>
          <w:szCs w:val="16"/>
        </w:rPr>
        <w:t>2</w:t>
      </w:r>
    </w:p>
  </w:footnote>
  <w:footnote w:id="290">
    <w:p w14:paraId="3073D19F" w14:textId="77777777" w:rsidR="000D213D" w:rsidRPr="00813B4C" w:rsidRDefault="000D213D" w:rsidP="00AD4F3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Office of Best Regulation Practice, 2021</w:t>
      </w:r>
    </w:p>
  </w:footnote>
  <w:footnote w:id="291">
    <w:p w14:paraId="3BD4FA8C" w14:textId="1259EA64" w:rsidR="000D213D" w:rsidRDefault="000D213D">
      <w:pPr>
        <w:pStyle w:val="FootnoteText"/>
      </w:pPr>
      <w:r>
        <w:rPr>
          <w:rStyle w:val="FootnoteReference"/>
        </w:rPr>
        <w:footnoteRef/>
      </w:r>
      <w:r>
        <w:t xml:space="preserve"> </w:t>
      </w:r>
      <w:hyperlink r:id="rId19" w:history="1">
        <w:r w:rsidRPr="00545C5F">
          <w:rPr>
            <w:rStyle w:val="Hyperlink"/>
          </w:rPr>
          <w:t>https://www.homeaffairs.gov.au/reports-and-pubs/files/critical-infrastructure-consultation-submissions/EDS010-CISoNS-AustralianFoodandGroceryCouncil.PDF</w:t>
        </w:r>
      </w:hyperlink>
    </w:p>
  </w:footnote>
  <w:footnote w:id="292">
    <w:p w14:paraId="4FEC19C3" w14:textId="74A3A008" w:rsidR="000D213D" w:rsidRDefault="000D213D">
      <w:pPr>
        <w:pStyle w:val="FootnoteText"/>
      </w:pPr>
      <w:r>
        <w:rPr>
          <w:rStyle w:val="FootnoteReference"/>
        </w:rPr>
        <w:footnoteRef/>
      </w:r>
      <w:r>
        <w:t xml:space="preserve"> IbisWorld, </w:t>
      </w:r>
      <w:r>
        <w:rPr>
          <w:i/>
          <w:iCs/>
        </w:rPr>
        <w:t xml:space="preserve">Supermarket &amp; Grocery Stores In Australia, Industry Report G4111, </w:t>
      </w:r>
      <w:r w:rsidRPr="00F84AB3">
        <w:t>March 2022.</w:t>
      </w:r>
    </w:p>
  </w:footnote>
  <w:footnote w:id="293">
    <w:p w14:paraId="0A45E779" w14:textId="54742ABD" w:rsidR="000D213D" w:rsidRDefault="000D213D">
      <w:pPr>
        <w:pStyle w:val="FootnoteText"/>
      </w:pPr>
      <w:r>
        <w:rPr>
          <w:rStyle w:val="FootnoteReference"/>
        </w:rPr>
        <w:footnoteRef/>
      </w:r>
      <w:r>
        <w:t xml:space="preserve"> IbisWorld, </w:t>
      </w:r>
      <w:r>
        <w:rPr>
          <w:i/>
          <w:iCs/>
        </w:rPr>
        <w:t xml:space="preserve">Supermarket &amp; Grocery Stores In Australia, Industry Report G4111, </w:t>
      </w:r>
      <w:r w:rsidRPr="00F84AB3">
        <w:t>March 2022.</w:t>
      </w:r>
    </w:p>
  </w:footnote>
  <w:footnote w:id="294">
    <w:p w14:paraId="18AD3C6A" w14:textId="2F38C9FB" w:rsidR="000D213D" w:rsidRDefault="000D213D">
      <w:pPr>
        <w:pStyle w:val="FootnoteText"/>
      </w:pPr>
      <w:r>
        <w:rPr>
          <w:rStyle w:val="FootnoteReference"/>
        </w:rPr>
        <w:footnoteRef/>
      </w:r>
      <w:r>
        <w:t xml:space="preserve"> Ibid.</w:t>
      </w:r>
    </w:p>
  </w:footnote>
  <w:footnote w:id="295">
    <w:p w14:paraId="08ADECBD" w14:textId="60FEF8E9" w:rsidR="000D213D" w:rsidRDefault="000D213D">
      <w:pPr>
        <w:pStyle w:val="FootnoteText"/>
      </w:pPr>
      <w:r>
        <w:rPr>
          <w:rStyle w:val="FootnoteReference"/>
        </w:rPr>
        <w:footnoteRef/>
      </w:r>
      <w:r>
        <w:t xml:space="preserve"> </w:t>
      </w:r>
      <w:hyperlink r:id="rId20" w:history="1">
        <w:r w:rsidRPr="00A73846">
          <w:rPr>
            <w:rStyle w:val="Hyperlink"/>
          </w:rPr>
          <w:t>https://www.abc.net.au/news/2021-07-06/hackers-demand-92m-after-gargantuan-ransomware-attack/100269678</w:t>
        </w:r>
      </w:hyperlink>
      <w:r>
        <w:t xml:space="preserve"> </w:t>
      </w:r>
    </w:p>
  </w:footnote>
  <w:footnote w:id="296">
    <w:p w14:paraId="0EAA4E49" w14:textId="156A41B1" w:rsidR="000D213D" w:rsidRDefault="000D213D">
      <w:pPr>
        <w:pStyle w:val="FootnoteText"/>
      </w:pPr>
      <w:r>
        <w:rPr>
          <w:rStyle w:val="FootnoteReference"/>
        </w:rPr>
        <w:footnoteRef/>
      </w:r>
      <w:r>
        <w:t xml:space="preserve"> </w:t>
      </w:r>
      <w:hyperlink r:id="rId21" w:history="1">
        <w:r w:rsidRPr="00525759">
          <w:rPr>
            <w:rStyle w:val="Hyperlink"/>
          </w:rPr>
          <w:t>https://www.statista.com/statistics/1063165/revenue-of-coop-retail-stores-in-sweden-by-region/</w:t>
        </w:r>
      </w:hyperlink>
      <w:r>
        <w:t xml:space="preserve"> </w:t>
      </w:r>
    </w:p>
  </w:footnote>
  <w:footnote w:id="297">
    <w:p w14:paraId="2663B409" w14:textId="55F50358" w:rsidR="000D213D" w:rsidRDefault="000D213D">
      <w:pPr>
        <w:pStyle w:val="FootnoteText"/>
      </w:pPr>
      <w:r>
        <w:rPr>
          <w:rStyle w:val="FootnoteReference"/>
        </w:rPr>
        <w:footnoteRef/>
      </w:r>
      <w:r>
        <w:t xml:space="preserve"> </w:t>
      </w:r>
      <w:hyperlink r:id="rId22" w:history="1">
        <w:r w:rsidRPr="00533CC2">
          <w:rPr>
            <w:rStyle w:val="Hyperlink"/>
          </w:rPr>
          <w:t>https://jbsfoodsgroup.com/articles/jbs-usa-cyberattack-media-statement-june-9</w:t>
        </w:r>
      </w:hyperlink>
    </w:p>
  </w:footnote>
  <w:footnote w:id="298">
    <w:p w14:paraId="7DDFBACE" w14:textId="77777777" w:rsidR="000D213D" w:rsidRDefault="000D213D" w:rsidP="00276EF4">
      <w:pPr>
        <w:pStyle w:val="FootnoteText"/>
      </w:pPr>
      <w:r>
        <w:rPr>
          <w:rStyle w:val="FootnoteReference"/>
        </w:rPr>
        <w:footnoteRef/>
      </w:r>
      <w:r>
        <w:t xml:space="preserve"> </w:t>
      </w:r>
      <w:hyperlink r:id="rId23" w:history="1">
        <w:r w:rsidRPr="00087498">
          <w:rPr>
            <w:rStyle w:val="Hyperlink"/>
          </w:rPr>
          <w:t>https://www.abc.net.au/news/rural/2021-06-10/jbs-foods-pays-14million-ransom-cyber-attack/100204240</w:t>
        </w:r>
      </w:hyperlink>
    </w:p>
  </w:footnote>
  <w:footnote w:id="299">
    <w:p w14:paraId="7C1A3F66" w14:textId="6AB44D58" w:rsidR="000D213D" w:rsidRDefault="000D213D">
      <w:pPr>
        <w:pStyle w:val="FootnoteText"/>
      </w:pPr>
      <w:r>
        <w:rPr>
          <w:rStyle w:val="FootnoteReference"/>
        </w:rPr>
        <w:footnoteRef/>
      </w:r>
      <w:r>
        <w:t xml:space="preserve"> </w:t>
      </w:r>
      <w:hyperlink r:id="rId24" w:history="1">
        <w:r w:rsidRPr="003F506D">
          <w:rPr>
            <w:rStyle w:val="Hyperlink"/>
          </w:rPr>
          <w:t>https://www.afr.com/companies/infrastructure/rail-and-road-flooding-intensifies-supply-chain-crisis-20220131-p59sk3</w:t>
        </w:r>
      </w:hyperlink>
      <w:r>
        <w:t xml:space="preserve"> </w:t>
      </w:r>
    </w:p>
  </w:footnote>
  <w:footnote w:id="300">
    <w:p w14:paraId="4C392130" w14:textId="3ECDFE59" w:rsidR="000D213D" w:rsidRDefault="000D213D">
      <w:pPr>
        <w:pStyle w:val="FootnoteText"/>
      </w:pPr>
      <w:r>
        <w:rPr>
          <w:rStyle w:val="FootnoteReference"/>
        </w:rPr>
        <w:footnoteRef/>
      </w:r>
      <w:r>
        <w:t xml:space="preserve"> </w:t>
      </w:r>
      <w:hyperlink r:id="rId25" w:history="1">
        <w:r w:rsidRPr="00525759">
          <w:rPr>
            <w:rStyle w:val="Hyperlink"/>
          </w:rPr>
          <w:t>https://www.theguardian.com/australia-news/2022/feb/04/a-logistical-nightmare-flooding-takes-out-sole-rail-link-sparking-west-australian-food-shortage</w:t>
        </w:r>
      </w:hyperlink>
      <w:r>
        <w:t xml:space="preserve"> </w:t>
      </w:r>
    </w:p>
  </w:footnote>
  <w:footnote w:id="301">
    <w:p w14:paraId="5A23B568" w14:textId="2DC6ECFC" w:rsidR="000D213D" w:rsidRDefault="000D213D">
      <w:pPr>
        <w:pStyle w:val="FootnoteText"/>
      </w:pPr>
      <w:r>
        <w:rPr>
          <w:rStyle w:val="FootnoteReference"/>
        </w:rPr>
        <w:footnoteRef/>
      </w:r>
      <w:r>
        <w:t xml:space="preserve"> </w:t>
      </w:r>
      <w:hyperlink r:id="rId26" w:history="1">
        <w:r w:rsidRPr="003F506D">
          <w:rPr>
            <w:rStyle w:val="Hyperlink"/>
          </w:rPr>
          <w:t>https://www.abc.net.au/news/2022-02-15/nt-rail-link-reopens-25-days-after-flood-damage/100824484</w:t>
        </w:r>
      </w:hyperlink>
    </w:p>
  </w:footnote>
  <w:footnote w:id="302">
    <w:p w14:paraId="4FC05819" w14:textId="6ABE7537" w:rsidR="000D213D" w:rsidRDefault="000D213D">
      <w:pPr>
        <w:pStyle w:val="FootnoteText"/>
      </w:pPr>
      <w:r>
        <w:rPr>
          <w:rStyle w:val="FootnoteReference"/>
        </w:rPr>
        <w:footnoteRef/>
      </w:r>
      <w:r>
        <w:t xml:space="preserve"> </w:t>
      </w:r>
      <w:hyperlink r:id="rId27" w:history="1">
        <w:r w:rsidRPr="003F506D">
          <w:rPr>
            <w:rStyle w:val="Hyperlink"/>
          </w:rPr>
          <w:t>https://www.afr.com/companies/infrastructure/rail-and-road-flooding-intensifies-supply-chain-crisis-20220131-p59sk3</w:t>
        </w:r>
      </w:hyperlink>
      <w:r>
        <w:t xml:space="preserve"> </w:t>
      </w:r>
    </w:p>
  </w:footnote>
  <w:footnote w:id="303">
    <w:p w14:paraId="46C1CA64" w14:textId="32813AF9" w:rsidR="000D213D" w:rsidRDefault="000D213D">
      <w:pPr>
        <w:pStyle w:val="FootnoteText"/>
      </w:pPr>
      <w:r>
        <w:rPr>
          <w:rStyle w:val="FootnoteReference"/>
        </w:rPr>
        <w:footnoteRef/>
      </w:r>
      <w:r>
        <w:t xml:space="preserve"> </w:t>
      </w:r>
      <w:hyperlink r:id="rId28" w:history="1">
        <w:r w:rsidRPr="003F506D">
          <w:rPr>
            <w:rStyle w:val="Hyperlink"/>
          </w:rPr>
          <w:t>https://www.theguardian.com/australia-news/2022/feb/04/a-logistical-nightmare-flooding-takes-out-sole-rail-link-sparking-west-australian-food-shortage</w:t>
        </w:r>
      </w:hyperlink>
      <w:r>
        <w:t xml:space="preserve"> </w:t>
      </w:r>
    </w:p>
  </w:footnote>
  <w:footnote w:id="304">
    <w:p w14:paraId="7D2B6C54" w14:textId="4688ACE6" w:rsidR="000D213D" w:rsidRDefault="000D213D">
      <w:pPr>
        <w:pStyle w:val="FootnoteText"/>
      </w:pPr>
      <w:r>
        <w:rPr>
          <w:rStyle w:val="FootnoteReference"/>
        </w:rPr>
        <w:footnoteRef/>
      </w:r>
      <w:r>
        <w:t xml:space="preserve"> </w:t>
      </w:r>
      <w:hyperlink r:id="rId29" w:history="1">
        <w:r w:rsidRPr="00525759">
          <w:rPr>
            <w:rStyle w:val="Hyperlink"/>
          </w:rPr>
          <w:t>https://www.theguardian.com/australia-news/2022/mar/02/nothing-to-sell-queensland-and-nsw-flood-waters-hit-supermarket-grocery-supplies</w:t>
        </w:r>
      </w:hyperlink>
      <w:r>
        <w:t xml:space="preserve"> </w:t>
      </w:r>
    </w:p>
  </w:footnote>
  <w:footnote w:id="305">
    <w:p w14:paraId="51440093" w14:textId="0D52087B" w:rsidR="000D213D" w:rsidRDefault="000D213D">
      <w:pPr>
        <w:pStyle w:val="FootnoteText"/>
      </w:pPr>
      <w:r>
        <w:rPr>
          <w:rStyle w:val="FootnoteReference"/>
        </w:rPr>
        <w:footnoteRef/>
      </w:r>
      <w:r>
        <w:t xml:space="preserve"> </w:t>
      </w:r>
      <w:hyperlink r:id="rId30" w:history="1">
        <w:r w:rsidRPr="00525759">
          <w:rPr>
            <w:rStyle w:val="Hyperlink"/>
          </w:rPr>
          <w:t>https://www.theguardian.com/australia-news/2022/mar/02/nothing-to-sell-queensland-and-nsw-flood-waters-hit-supermarket-grocery-supplies</w:t>
        </w:r>
      </w:hyperlink>
    </w:p>
  </w:footnote>
  <w:footnote w:id="306">
    <w:p w14:paraId="0F09E1CD" w14:textId="6F43893D" w:rsidR="000D213D" w:rsidRDefault="000D213D">
      <w:pPr>
        <w:pStyle w:val="FootnoteText"/>
      </w:pPr>
      <w:r>
        <w:rPr>
          <w:rStyle w:val="FootnoteReference"/>
        </w:rPr>
        <w:footnoteRef/>
      </w:r>
      <w:r>
        <w:t xml:space="preserve"> </w:t>
      </w:r>
      <w:hyperlink r:id="rId31" w:history="1">
        <w:r w:rsidRPr="00525759">
          <w:rPr>
            <w:rStyle w:val="Hyperlink"/>
          </w:rPr>
          <w:t>https://www.theguardian.com/australia-news/2022/mar/02/nothing-to-sell-queensland-and-nsw-flood-waters-hit-supermarket-grocery-supplies</w:t>
        </w:r>
      </w:hyperlink>
    </w:p>
  </w:footnote>
  <w:footnote w:id="307">
    <w:p w14:paraId="11EC3A54" w14:textId="6874851F" w:rsidR="000D213D" w:rsidRDefault="000D213D">
      <w:pPr>
        <w:pStyle w:val="FootnoteText"/>
      </w:pPr>
      <w:r>
        <w:rPr>
          <w:rStyle w:val="FootnoteReference"/>
        </w:rPr>
        <w:footnoteRef/>
      </w:r>
      <w:r>
        <w:t xml:space="preserve"> </w:t>
      </w:r>
      <w:hyperlink r:id="rId32" w:history="1">
        <w:r w:rsidRPr="003F506D">
          <w:rPr>
            <w:rStyle w:val="Hyperlink"/>
          </w:rPr>
          <w:t>https://www.afr.com/politics/floods-damage-bill-set-to-top-2b-20220302-p5a0z5</w:t>
        </w:r>
      </w:hyperlink>
    </w:p>
  </w:footnote>
  <w:footnote w:id="308">
    <w:p w14:paraId="5B536E88" w14:textId="6D2E46D5" w:rsidR="000D213D" w:rsidRDefault="000D213D">
      <w:pPr>
        <w:pStyle w:val="FootnoteText"/>
      </w:pPr>
      <w:r>
        <w:rPr>
          <w:rStyle w:val="FootnoteReference"/>
        </w:rPr>
        <w:footnoteRef/>
      </w:r>
      <w:r>
        <w:t xml:space="preserve"> </w:t>
      </w:r>
      <w:hyperlink r:id="rId33" w:history="1">
        <w:r w:rsidRPr="003940E4">
          <w:rPr>
            <w:rStyle w:val="Hyperlink"/>
          </w:rPr>
          <w:t>https://www.abc.net.au/news/rural/2022-01-11/chicken-shortage-due-to-covid-staff-shortage-in-meat-processing/100749802</w:t>
        </w:r>
      </w:hyperlink>
    </w:p>
  </w:footnote>
  <w:footnote w:id="309">
    <w:p w14:paraId="3E821454" w14:textId="0860D12A" w:rsidR="000D213D" w:rsidRDefault="000D213D">
      <w:pPr>
        <w:pStyle w:val="FootnoteText"/>
      </w:pPr>
      <w:r>
        <w:rPr>
          <w:rStyle w:val="FootnoteReference"/>
        </w:rPr>
        <w:footnoteRef/>
      </w:r>
      <w:r>
        <w:t xml:space="preserve"> </w:t>
      </w:r>
      <w:hyperlink r:id="rId34" w:history="1">
        <w:r w:rsidRPr="00635D0D">
          <w:rPr>
            <w:rStyle w:val="Hyperlink"/>
          </w:rPr>
          <w:t>https://amic.org.au/domestic-meat-shortages-loom-as-processors-face-covid-induced-labour-shortage/</w:t>
        </w:r>
      </w:hyperlink>
      <w:r>
        <w:t xml:space="preserve"> </w:t>
      </w:r>
    </w:p>
  </w:footnote>
  <w:footnote w:id="310">
    <w:p w14:paraId="6FC8C2C4" w14:textId="5933F14F" w:rsidR="000D213D" w:rsidRDefault="000D213D">
      <w:pPr>
        <w:pStyle w:val="FootnoteText"/>
      </w:pPr>
      <w:r>
        <w:rPr>
          <w:rStyle w:val="FootnoteReference"/>
        </w:rPr>
        <w:footnoteRef/>
      </w:r>
      <w:r>
        <w:t xml:space="preserve"> </w:t>
      </w:r>
      <w:hyperlink r:id="rId35" w:history="1">
        <w:r w:rsidRPr="00635D0D">
          <w:rPr>
            <w:rStyle w:val="Hyperlink"/>
          </w:rPr>
          <w:t>https://committees.parliament.uk/publications/9580/documents/162177/default/</w:t>
        </w:r>
      </w:hyperlink>
      <w:r>
        <w:t xml:space="preserve"> </w:t>
      </w:r>
    </w:p>
  </w:footnote>
  <w:footnote w:id="311">
    <w:p w14:paraId="7F753A39" w14:textId="5DCF3CB3" w:rsidR="000D213D" w:rsidRDefault="000D213D">
      <w:pPr>
        <w:pStyle w:val="FootnoteText"/>
      </w:pPr>
      <w:r>
        <w:rPr>
          <w:rStyle w:val="FootnoteReference"/>
        </w:rPr>
        <w:footnoteRef/>
      </w:r>
      <w:r>
        <w:t xml:space="preserve"> </w:t>
      </w:r>
      <w:hyperlink r:id="rId36" w:history="1">
        <w:r w:rsidRPr="003940E4">
          <w:rPr>
            <w:rStyle w:val="Hyperlink"/>
          </w:rPr>
          <w:t>https://www.bbc.com/news/uk-northern-ireland-58637030</w:t>
        </w:r>
      </w:hyperlink>
    </w:p>
  </w:footnote>
  <w:footnote w:id="312">
    <w:p w14:paraId="272A8077" w14:textId="1926BF3D" w:rsidR="000D213D" w:rsidRDefault="000D213D">
      <w:pPr>
        <w:pStyle w:val="FootnoteText"/>
      </w:pPr>
      <w:r>
        <w:rPr>
          <w:rStyle w:val="FootnoteReference"/>
        </w:rPr>
        <w:footnoteRef/>
      </w:r>
      <w:r>
        <w:t xml:space="preserve"> </w:t>
      </w:r>
      <w:hyperlink r:id="rId37" w:history="1">
        <w:r w:rsidRPr="003940E4">
          <w:rPr>
            <w:rStyle w:val="Hyperlink"/>
          </w:rPr>
          <w:t>https://www.stuff.co.nz/southland-times/128309125/meatworks-losing-millions-in-valueadded-products</w:t>
        </w:r>
      </w:hyperlink>
    </w:p>
  </w:footnote>
  <w:footnote w:id="313">
    <w:p w14:paraId="2B520252" w14:textId="2105466E" w:rsidR="000D213D" w:rsidRDefault="000D213D">
      <w:pPr>
        <w:pStyle w:val="FootnoteText"/>
      </w:pPr>
      <w:r>
        <w:rPr>
          <w:rStyle w:val="FootnoteReference"/>
        </w:rPr>
        <w:footnoteRef/>
      </w:r>
      <w:r>
        <w:t xml:space="preserve"> </w:t>
      </w:r>
      <w:hyperlink r:id="rId38" w:history="1">
        <w:r w:rsidRPr="00525759">
          <w:rPr>
            <w:rStyle w:val="Hyperlink"/>
          </w:rPr>
          <w:t>https://www.smh.com.au/business/companies/bushfires-likely-to-impact-australian-retailers-analysts-say-20200108-p53pqi.html</w:t>
        </w:r>
      </w:hyperlink>
      <w:r>
        <w:t xml:space="preserve"> </w:t>
      </w:r>
    </w:p>
  </w:footnote>
  <w:footnote w:id="314">
    <w:p w14:paraId="3CC1AEA2" w14:textId="669C20EB" w:rsidR="000D213D" w:rsidRDefault="000D213D">
      <w:pPr>
        <w:pStyle w:val="FootnoteText"/>
      </w:pPr>
      <w:r>
        <w:rPr>
          <w:rStyle w:val="FootnoteReference"/>
        </w:rPr>
        <w:footnoteRef/>
      </w:r>
      <w:r>
        <w:t xml:space="preserve"> </w:t>
      </w:r>
      <w:r w:rsidRPr="002A085D">
        <w:t>https://www.theguardian.com/australia-news/2020/jan/17/australias-bushfires-could-affect-cost-and-availability-of-fresh-local-produce</w:t>
      </w:r>
    </w:p>
  </w:footnote>
  <w:footnote w:id="315">
    <w:p w14:paraId="5E31DAE6" w14:textId="666379E0" w:rsidR="000D213D" w:rsidRDefault="000D213D">
      <w:pPr>
        <w:pStyle w:val="FootnoteText"/>
      </w:pPr>
      <w:r>
        <w:rPr>
          <w:rStyle w:val="FootnoteReference"/>
        </w:rPr>
        <w:footnoteRef/>
      </w:r>
      <w:r>
        <w:t xml:space="preserve"> </w:t>
      </w:r>
      <w:r w:rsidRPr="00813B4C">
        <w:t>Ibid</w:t>
      </w:r>
    </w:p>
  </w:footnote>
  <w:footnote w:id="316">
    <w:p w14:paraId="6FF4B117" w14:textId="171F228D" w:rsidR="000D213D" w:rsidRDefault="000D213D">
      <w:pPr>
        <w:pStyle w:val="FootnoteText"/>
      </w:pPr>
      <w:r>
        <w:rPr>
          <w:rStyle w:val="FootnoteReference"/>
        </w:rPr>
        <w:footnoteRef/>
      </w:r>
      <w:r>
        <w:t xml:space="preserve"> </w:t>
      </w:r>
      <w:hyperlink r:id="rId39" w:history="1">
        <w:r w:rsidRPr="00635D0D">
          <w:rPr>
            <w:rStyle w:val="Hyperlink"/>
          </w:rPr>
          <w:t>https://www.pbs.org/newshour/economy/how-the-baby-formula-shortage-financially-strains-u-s-families</w:t>
        </w:r>
      </w:hyperlink>
      <w:r>
        <w:t xml:space="preserve"> </w:t>
      </w:r>
    </w:p>
  </w:footnote>
  <w:footnote w:id="317">
    <w:p w14:paraId="3A3B46A3" w14:textId="4C24B1F6" w:rsidR="000D213D" w:rsidRDefault="000D213D">
      <w:pPr>
        <w:pStyle w:val="FootnoteText"/>
      </w:pPr>
      <w:r>
        <w:rPr>
          <w:rStyle w:val="FootnoteReference"/>
        </w:rPr>
        <w:footnoteRef/>
      </w:r>
      <w:r>
        <w:t xml:space="preserve"> </w:t>
      </w:r>
      <w:hyperlink r:id="rId40" w:history="1">
        <w:r w:rsidRPr="00525759">
          <w:rPr>
            <w:rStyle w:val="Hyperlink"/>
          </w:rPr>
          <w:t>https://www.cnbc.com/2022/05/09/40-percent-of-americas-baby-formula-supplies-are-out-of-stock.html</w:t>
        </w:r>
      </w:hyperlink>
      <w:r>
        <w:t xml:space="preserve"> </w:t>
      </w:r>
    </w:p>
  </w:footnote>
  <w:footnote w:id="318">
    <w:p w14:paraId="5381BAFB" w14:textId="197772C8" w:rsidR="000D213D" w:rsidRDefault="000D213D">
      <w:pPr>
        <w:pStyle w:val="FootnoteText"/>
      </w:pPr>
      <w:r>
        <w:rPr>
          <w:rStyle w:val="FootnoteReference"/>
        </w:rPr>
        <w:footnoteRef/>
      </w:r>
      <w:r>
        <w:t xml:space="preserve"> </w:t>
      </w:r>
      <w:hyperlink r:id="rId41" w:history="1">
        <w:r w:rsidRPr="00635D0D">
          <w:rPr>
            <w:rStyle w:val="Hyperlink"/>
          </w:rPr>
          <w:t>https://www.pbs.org/newshour/economy/how-the-baby-formula-shortage-financially-strains-u-s-families</w:t>
        </w:r>
      </w:hyperlink>
      <w:r>
        <w:t xml:space="preserve"> </w:t>
      </w:r>
    </w:p>
  </w:footnote>
  <w:footnote w:id="319">
    <w:p w14:paraId="649EC896" w14:textId="136A3FD5" w:rsidR="000D213D" w:rsidRDefault="000D213D">
      <w:pPr>
        <w:pStyle w:val="FootnoteText"/>
      </w:pPr>
      <w:r>
        <w:rPr>
          <w:rStyle w:val="FootnoteReference"/>
        </w:rPr>
        <w:footnoteRef/>
      </w:r>
      <w:r>
        <w:t xml:space="preserve"> </w:t>
      </w:r>
      <w:hyperlink r:id="rId42" w:history="1">
        <w:r w:rsidRPr="00525759">
          <w:rPr>
            <w:rStyle w:val="Hyperlink"/>
          </w:rPr>
          <w:t>https://lighthouse.mq.edu.au/article/january-2022/more-supermarket-diversity-would-ease-supply-disruptions</w:t>
        </w:r>
      </w:hyperlink>
      <w:r>
        <w:t xml:space="preserve"> </w:t>
      </w:r>
    </w:p>
  </w:footnote>
  <w:footnote w:id="320">
    <w:p w14:paraId="5ED9B12D" w14:textId="442F1B87" w:rsidR="000D213D" w:rsidRDefault="000D213D">
      <w:pPr>
        <w:pStyle w:val="FootnoteText"/>
      </w:pPr>
      <w:r>
        <w:rPr>
          <w:rStyle w:val="FootnoteReference"/>
        </w:rPr>
        <w:footnoteRef/>
      </w:r>
      <w:r>
        <w:t xml:space="preserve"> </w:t>
      </w:r>
      <w:hyperlink r:id="rId43" w:history="1">
        <w:r w:rsidRPr="00525759">
          <w:rPr>
            <w:rStyle w:val="Hyperlink"/>
          </w:rPr>
          <w:t>https://www.theguardian.com/business/2020/apr/01/morrisons-is-not-liable-for-massive-staff-data-leak-court-rules</w:t>
        </w:r>
      </w:hyperlink>
      <w:r>
        <w:t xml:space="preserve"> </w:t>
      </w:r>
    </w:p>
  </w:footnote>
  <w:footnote w:id="321">
    <w:p w14:paraId="57D7A240" w14:textId="65E820FB" w:rsidR="000D213D" w:rsidRDefault="000D213D">
      <w:pPr>
        <w:pStyle w:val="FootnoteText"/>
      </w:pPr>
      <w:r>
        <w:rPr>
          <w:rStyle w:val="FootnoteReference"/>
        </w:rPr>
        <w:footnoteRef/>
      </w:r>
      <w:r>
        <w:t xml:space="preserve"> </w:t>
      </w:r>
      <w:r w:rsidRPr="00813B4C">
        <w:rPr>
          <w:rFonts w:asciiTheme="majorHAnsi" w:hAnsiTheme="majorHAnsi" w:cstheme="majorHAnsi"/>
          <w:szCs w:val="16"/>
        </w:rPr>
        <w:t>Office of Best Regulation Practice, 2021</w:t>
      </w:r>
    </w:p>
  </w:footnote>
  <w:footnote w:id="322">
    <w:p w14:paraId="1A53F0DE" w14:textId="77777777" w:rsidR="000D213D" w:rsidRPr="00813B4C" w:rsidRDefault="000D213D" w:rsidP="00EE40B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An assumption has been made that the distribution of critical electricity assets across responsible entities is the same as the market share allocations across generators, transmitters and distributors. </w:t>
      </w:r>
    </w:p>
  </w:footnote>
  <w:footnote w:id="323">
    <w:p w14:paraId="214C2A39" w14:textId="77777777" w:rsidR="000D213D" w:rsidRPr="00813B4C" w:rsidRDefault="000D213D" w:rsidP="009054D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IBISWorld(a), 2021 </w:t>
      </w:r>
    </w:p>
  </w:footnote>
  <w:footnote w:id="324">
    <w:p w14:paraId="01FCA1AE" w14:textId="77777777" w:rsidR="000D213D" w:rsidRPr="00813B4C" w:rsidRDefault="000D213D" w:rsidP="009054D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325">
    <w:p w14:paraId="53D342F0" w14:textId="77777777" w:rsidR="000D213D" w:rsidRPr="00813B4C" w:rsidRDefault="000D213D" w:rsidP="009054D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IBISWorld(b), 2021 </w:t>
      </w:r>
    </w:p>
  </w:footnote>
  <w:footnote w:id="326">
    <w:p w14:paraId="6ABBC9E7" w14:textId="77777777" w:rsidR="000D213D" w:rsidRPr="00813B4C" w:rsidRDefault="000D213D" w:rsidP="00C1322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27">
    <w:p w14:paraId="413D9628" w14:textId="77777777" w:rsidR="000D213D" w:rsidRPr="00813B4C" w:rsidRDefault="000D213D" w:rsidP="00C1322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risk management program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28">
    <w:p w14:paraId="72B6644E" w14:textId="77777777" w:rsidR="000D213D" w:rsidRPr="00813B4C" w:rsidRDefault="000D213D" w:rsidP="00836023">
      <w:pPr>
        <w:pStyle w:val="FootnoteText"/>
        <w:rPr>
          <w:rFonts w:asciiTheme="majorHAnsi" w:hAnsiTheme="majorHAnsi" w:cstheme="majorHAnsi"/>
          <w:szCs w:val="16"/>
        </w:rPr>
      </w:pPr>
      <w:r w:rsidRPr="00813B4C">
        <w:rPr>
          <w:rFonts w:asciiTheme="majorHAnsi" w:eastAsia="Univers 45 Light" w:hAnsiTheme="majorHAnsi" w:cstheme="majorHAnsi"/>
          <w:szCs w:val="16"/>
          <w:vertAlign w:val="superscript"/>
        </w:rPr>
        <w:footnoteRef/>
      </w:r>
      <w:r w:rsidRPr="00813B4C">
        <w:rPr>
          <w:rFonts w:asciiTheme="majorHAnsi" w:eastAsia="Univers 45 Light" w:hAnsiTheme="majorHAnsi" w:cstheme="majorHAnsi"/>
          <w:szCs w:val="16"/>
        </w:rPr>
        <w:t xml:space="preserve"> Australian Energy Regulator, 2018. </w:t>
      </w:r>
      <w:r w:rsidRPr="00813B4C">
        <w:rPr>
          <w:rFonts w:asciiTheme="majorHAnsi" w:hAnsiTheme="majorHAnsi" w:cstheme="majorHAnsi"/>
          <w:szCs w:val="16"/>
        </w:rPr>
        <w:t xml:space="preserve"> </w:t>
      </w:r>
    </w:p>
  </w:footnote>
  <w:footnote w:id="329">
    <w:p w14:paraId="5A32F421" w14:textId="77777777" w:rsidR="000D213D" w:rsidRPr="00813B4C" w:rsidRDefault="000D213D" w:rsidP="00836023">
      <w:pPr>
        <w:pStyle w:val="FootnoteText"/>
        <w:rPr>
          <w:rFonts w:asciiTheme="majorHAnsi" w:hAnsiTheme="majorHAnsi" w:cstheme="majorHAnsi"/>
          <w:szCs w:val="16"/>
        </w:rPr>
      </w:pPr>
      <w:r w:rsidRPr="00813B4C">
        <w:rPr>
          <w:rFonts w:asciiTheme="majorHAnsi" w:eastAsia="Univers 45 Light" w:hAnsiTheme="majorHAnsi" w:cstheme="majorHAnsi"/>
          <w:szCs w:val="16"/>
          <w:vertAlign w:val="superscript"/>
        </w:rPr>
        <w:footnoteRef/>
      </w:r>
      <w:r w:rsidRPr="00813B4C">
        <w:rPr>
          <w:rFonts w:asciiTheme="majorHAnsi" w:eastAsia="Univers 45 Light" w:hAnsiTheme="majorHAnsi" w:cstheme="majorHAnsi"/>
          <w:szCs w:val="16"/>
        </w:rPr>
        <w:t xml:space="preserve"> US – Canada Power Outage Task Force, 2004</w:t>
      </w:r>
    </w:p>
  </w:footnote>
  <w:footnote w:id="330">
    <w:p w14:paraId="6FCC7020" w14:textId="77777777" w:rsidR="000D213D" w:rsidRPr="00813B4C" w:rsidRDefault="000D213D" w:rsidP="00836023">
      <w:pPr>
        <w:pStyle w:val="FootnoteText"/>
        <w:rPr>
          <w:rFonts w:asciiTheme="majorHAnsi" w:hAnsiTheme="majorHAnsi" w:cstheme="majorHAnsi"/>
          <w:szCs w:val="16"/>
        </w:rPr>
      </w:pPr>
      <w:r w:rsidRPr="00813B4C">
        <w:rPr>
          <w:rFonts w:asciiTheme="majorHAnsi" w:eastAsia="Univers 45 Light" w:hAnsiTheme="majorHAnsi" w:cstheme="majorHAnsi"/>
          <w:szCs w:val="16"/>
          <w:vertAlign w:val="superscript"/>
        </w:rPr>
        <w:footnoteRef/>
      </w:r>
      <w:r w:rsidRPr="00813B4C">
        <w:rPr>
          <w:rFonts w:asciiTheme="majorHAnsi" w:eastAsia="Univers 45 Light" w:hAnsiTheme="majorHAnsi" w:cstheme="majorHAnsi"/>
          <w:szCs w:val="16"/>
        </w:rPr>
        <w:t xml:space="preserve"> CRO Forum, 2011</w:t>
      </w:r>
      <w:r w:rsidRPr="00813B4C">
        <w:rPr>
          <w:rFonts w:asciiTheme="majorHAnsi" w:hAnsiTheme="majorHAnsi" w:cstheme="majorHAnsi"/>
          <w:szCs w:val="16"/>
        </w:rPr>
        <w:t xml:space="preserve"> </w:t>
      </w:r>
    </w:p>
  </w:footnote>
  <w:footnote w:id="331">
    <w:p w14:paraId="10F6692C" w14:textId="77777777" w:rsidR="000D213D" w:rsidRPr="00813B4C" w:rsidRDefault="000D213D" w:rsidP="002074D2">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Univers 45 Light" w:hAnsiTheme="majorHAnsi" w:cstheme="majorHAnsi"/>
          <w:szCs w:val="16"/>
        </w:rPr>
        <w:t>AEMO, 2018, Australian Energy Regulator, 2020; AEMC, 2019.</w:t>
      </w:r>
    </w:p>
  </w:footnote>
  <w:footnote w:id="332">
    <w:p w14:paraId="582D860A" w14:textId="6951F535" w:rsidR="000D213D" w:rsidRPr="00813B4C" w:rsidRDefault="000D213D" w:rsidP="000E080D">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The total economic cost (being direct and indirect costs) was determined using the same CGE model approach used to estimate the benefits scenarios above. Total economic cost was determined by the CGE model and was based on an assumed economic shock equal to the cost of the draft risk management program framework (being a one-off cost of $46</w:t>
      </w:r>
      <w:r>
        <w:rPr>
          <w:rFonts w:asciiTheme="majorHAnsi" w:hAnsiTheme="majorHAnsi" w:cstheme="majorHAnsi"/>
          <w:sz w:val="16"/>
          <w:szCs w:val="16"/>
        </w:rPr>
        <w:t>3.3</w:t>
      </w:r>
      <w:r w:rsidRPr="00813B4C">
        <w:rPr>
          <w:rFonts w:asciiTheme="majorHAnsi" w:hAnsiTheme="majorHAnsi" w:cstheme="majorHAnsi"/>
          <w:sz w:val="16"/>
          <w:szCs w:val="16"/>
        </w:rPr>
        <w:t xml:space="preserve"> million and an ongoing cost of $22</w:t>
      </w:r>
      <w:r>
        <w:rPr>
          <w:rFonts w:asciiTheme="majorHAnsi" w:hAnsiTheme="majorHAnsi" w:cstheme="majorHAnsi"/>
          <w:sz w:val="16"/>
          <w:szCs w:val="16"/>
        </w:rPr>
        <w:t>8.0</w:t>
      </w:r>
      <w:r w:rsidRPr="00813B4C">
        <w:rPr>
          <w:rFonts w:asciiTheme="majorHAnsi" w:hAnsiTheme="majorHAnsi" w:cstheme="majorHAnsi"/>
          <w:sz w:val="16"/>
          <w:szCs w:val="16"/>
        </w:rPr>
        <w:t xml:space="preserve"> million). This resulted in a total economic impact of $</w:t>
      </w:r>
      <w:r>
        <w:rPr>
          <w:rFonts w:asciiTheme="majorHAnsi" w:hAnsiTheme="majorHAnsi" w:cstheme="majorHAnsi"/>
          <w:sz w:val="16"/>
          <w:szCs w:val="16"/>
        </w:rPr>
        <w:t>595.4</w:t>
      </w:r>
      <w:r w:rsidRPr="00813B4C">
        <w:rPr>
          <w:rFonts w:asciiTheme="majorHAnsi" w:hAnsiTheme="majorHAnsi" w:cstheme="majorHAnsi"/>
          <w:sz w:val="16"/>
          <w:szCs w:val="16"/>
        </w:rPr>
        <w:t xml:space="preserve"> million per year for the moderate scenario.</w:t>
      </w:r>
    </w:p>
    <w:p w14:paraId="62CA1808" w14:textId="77777777" w:rsidR="000D213D" w:rsidRPr="00813B4C" w:rsidRDefault="000D213D" w:rsidP="000E080D">
      <w:pPr>
        <w:pStyle w:val="FootnoteText"/>
        <w:rPr>
          <w:rFonts w:asciiTheme="majorHAnsi" w:hAnsiTheme="majorHAnsi" w:cstheme="majorHAnsi"/>
          <w:szCs w:val="16"/>
        </w:rPr>
      </w:pPr>
      <w:r w:rsidRPr="00813B4C">
        <w:rPr>
          <w:rFonts w:asciiTheme="majorHAnsi" w:hAnsiTheme="majorHAnsi" w:cstheme="majorHAnsi"/>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electricity supply.</w:t>
      </w:r>
    </w:p>
  </w:footnote>
  <w:footnote w:id="333">
    <w:p w14:paraId="7E08D84C" w14:textId="77777777" w:rsidR="000D213D" w:rsidRPr="00813B4C" w:rsidRDefault="000D213D" w:rsidP="001751F7">
      <w:pPr>
        <w:pStyle w:val="FootnoteText"/>
        <w:rPr>
          <w:rFonts w:asciiTheme="majorHAnsi" w:hAnsiTheme="majorHAnsi" w:cstheme="majorHAnsi"/>
          <w:szCs w:val="16"/>
        </w:rPr>
      </w:pPr>
      <w:r w:rsidRPr="00813B4C">
        <w:rPr>
          <w:rFonts w:asciiTheme="majorHAnsi" w:hAnsiTheme="majorHAnsi" w:cstheme="majorHAnsi"/>
          <w:szCs w:val="16"/>
        </w:rPr>
        <w:footnoteRef/>
      </w:r>
      <w:r w:rsidRPr="00813B4C">
        <w:rPr>
          <w:rFonts w:asciiTheme="majorHAnsi" w:hAnsiTheme="majorHAnsi" w:cstheme="majorHAnsi"/>
          <w:szCs w:val="16"/>
        </w:rPr>
        <w:t xml:space="preserve"> IBISWorld, 2021</w:t>
      </w:r>
    </w:p>
  </w:footnote>
  <w:footnote w:id="334">
    <w:p w14:paraId="345EE34E" w14:textId="77777777" w:rsidR="000D213D" w:rsidRPr="00813B4C" w:rsidRDefault="000D213D" w:rsidP="001751F7">
      <w:pPr>
        <w:pStyle w:val="FootnoteText"/>
        <w:rPr>
          <w:rFonts w:asciiTheme="majorHAnsi" w:hAnsiTheme="majorHAnsi" w:cstheme="majorHAnsi"/>
          <w:szCs w:val="16"/>
        </w:rPr>
      </w:pPr>
      <w:r w:rsidRPr="00813B4C">
        <w:rPr>
          <w:rFonts w:asciiTheme="majorHAnsi" w:hAnsiTheme="majorHAnsi" w:cstheme="majorHAnsi"/>
          <w:szCs w:val="16"/>
        </w:rPr>
        <w:footnoteRef/>
      </w:r>
      <w:r w:rsidRPr="00813B4C">
        <w:rPr>
          <w:rFonts w:asciiTheme="majorHAnsi" w:hAnsiTheme="majorHAnsi" w:cstheme="majorHAnsi"/>
          <w:szCs w:val="16"/>
        </w:rPr>
        <w:t xml:space="preserve"> Ibid</w:t>
      </w:r>
    </w:p>
  </w:footnote>
  <w:footnote w:id="335">
    <w:p w14:paraId="3742FF61" w14:textId="77777777" w:rsidR="000D213D" w:rsidRPr="00813B4C" w:rsidRDefault="000D213D" w:rsidP="00B7521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36">
    <w:p w14:paraId="204BF020" w14:textId="77777777" w:rsidR="000D213D" w:rsidRPr="00813B4C" w:rsidRDefault="000D213D" w:rsidP="0054629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risk management program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37">
    <w:p w14:paraId="1C47C4D5" w14:textId="77777777" w:rsidR="000D213D" w:rsidRPr="00813B4C" w:rsidRDefault="000D213D" w:rsidP="00C4612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Direct economic impacts refer to the ‘first-round’ effects that occur directly as a result of an incident, while indirect economic impacts refer to flow-on effects to the economy due to supply chain linkages and other feedback responses by all economic agents (e.g., households, businesses).</w:t>
      </w:r>
    </w:p>
  </w:footnote>
  <w:footnote w:id="338">
    <w:p w14:paraId="0856E49E" w14:textId="77777777" w:rsidR="000D213D" w:rsidRPr="00813B4C" w:rsidRDefault="000D213D" w:rsidP="00AA59F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Government of Western Australia – Office of Energy, </w:t>
      </w:r>
      <w:r w:rsidRPr="00813B4C">
        <w:rPr>
          <w:rFonts w:asciiTheme="majorHAnsi" w:hAnsiTheme="majorHAnsi" w:cstheme="majorHAnsi"/>
          <w:i/>
          <w:szCs w:val="16"/>
        </w:rPr>
        <w:t xml:space="preserve">Gas Supply and Emergency Management Committee – Report to Government, </w:t>
      </w:r>
      <w:r w:rsidRPr="00813B4C">
        <w:rPr>
          <w:rFonts w:asciiTheme="majorHAnsi" w:hAnsiTheme="majorHAnsi" w:cstheme="majorHAnsi"/>
          <w:szCs w:val="16"/>
        </w:rPr>
        <w:t xml:space="preserve">September 2009. </w:t>
      </w:r>
    </w:p>
  </w:footnote>
  <w:footnote w:id="339">
    <w:p w14:paraId="088D2E95" w14:textId="77777777" w:rsidR="000D213D" w:rsidRPr="00813B4C" w:rsidRDefault="000D213D" w:rsidP="00AA59F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Broadcasting Corporation, </w:t>
      </w:r>
      <w:r w:rsidRPr="00813B4C">
        <w:rPr>
          <w:rFonts w:asciiTheme="majorHAnsi" w:hAnsiTheme="majorHAnsi" w:cstheme="majorHAnsi"/>
          <w:i/>
          <w:szCs w:val="16"/>
        </w:rPr>
        <w:t xml:space="preserve">Longford gas plant workers remembered 20 years on from deadly explosion, </w:t>
      </w:r>
      <w:r w:rsidRPr="00813B4C">
        <w:rPr>
          <w:rFonts w:asciiTheme="majorHAnsi" w:hAnsiTheme="majorHAnsi" w:cstheme="majorHAnsi"/>
          <w:szCs w:val="16"/>
        </w:rPr>
        <w:t>September 2018</w:t>
      </w:r>
    </w:p>
  </w:footnote>
  <w:footnote w:id="340">
    <w:p w14:paraId="2B40D1E9" w14:textId="77777777" w:rsidR="000D213D" w:rsidRPr="00813B4C" w:rsidRDefault="000D213D" w:rsidP="00AA59F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Parliament of Australia, </w:t>
      </w:r>
      <w:r w:rsidRPr="00813B4C">
        <w:rPr>
          <w:rFonts w:asciiTheme="majorHAnsi" w:hAnsiTheme="majorHAnsi" w:cstheme="majorHAnsi"/>
          <w:i/>
          <w:szCs w:val="16"/>
        </w:rPr>
        <w:t xml:space="preserve">Natural gas: energy for the new millennium, </w:t>
      </w:r>
      <w:r w:rsidRPr="00813B4C">
        <w:rPr>
          <w:rFonts w:asciiTheme="majorHAnsi" w:hAnsiTheme="majorHAnsi" w:cstheme="majorHAnsi"/>
          <w:szCs w:val="16"/>
        </w:rPr>
        <w:t>December 1998.</w:t>
      </w:r>
    </w:p>
  </w:footnote>
  <w:footnote w:id="341">
    <w:p w14:paraId="70C1B1EE" w14:textId="77777777" w:rsidR="000D213D" w:rsidRPr="00813B4C" w:rsidRDefault="000D213D" w:rsidP="00AA59F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Financial Review, </w:t>
      </w:r>
      <w:r w:rsidRPr="00813B4C">
        <w:rPr>
          <w:rFonts w:asciiTheme="majorHAnsi" w:hAnsiTheme="majorHAnsi" w:cstheme="majorHAnsi"/>
          <w:i/>
          <w:szCs w:val="16"/>
        </w:rPr>
        <w:t xml:space="preserve">Longford disruption ups pressure on east coast gas as prices spike, </w:t>
      </w:r>
      <w:r w:rsidRPr="00813B4C">
        <w:rPr>
          <w:rFonts w:asciiTheme="majorHAnsi" w:hAnsiTheme="majorHAnsi" w:cstheme="majorHAnsi"/>
          <w:szCs w:val="16"/>
        </w:rPr>
        <w:t xml:space="preserve">July 20. </w:t>
      </w:r>
    </w:p>
  </w:footnote>
  <w:footnote w:id="342">
    <w:p w14:paraId="51D3F2F1" w14:textId="77777777" w:rsidR="000D213D" w:rsidRPr="00813B4C" w:rsidRDefault="000D213D" w:rsidP="00AA59FF">
      <w:pPr>
        <w:pStyle w:val="FootnoteText"/>
        <w:rPr>
          <w:rFonts w:asciiTheme="majorHAnsi" w:hAnsiTheme="majorHAnsi" w:cstheme="majorHAnsi"/>
          <w: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Transportation Safety Board of Canada, </w:t>
      </w:r>
      <w:r w:rsidRPr="00813B4C">
        <w:rPr>
          <w:rFonts w:asciiTheme="majorHAnsi" w:hAnsiTheme="majorHAnsi" w:cstheme="majorHAnsi"/>
          <w:i/>
          <w:szCs w:val="16"/>
        </w:rPr>
        <w:t xml:space="preserve">Pipeline Transportation Safety Investigation Report, </w:t>
      </w:r>
      <w:r w:rsidRPr="00813B4C">
        <w:rPr>
          <w:rFonts w:asciiTheme="majorHAnsi" w:hAnsiTheme="majorHAnsi" w:cstheme="majorHAnsi"/>
          <w:szCs w:val="16"/>
        </w:rPr>
        <w:t>October 2018.</w:t>
      </w:r>
      <w:r w:rsidRPr="00813B4C">
        <w:rPr>
          <w:rFonts w:asciiTheme="majorHAnsi" w:hAnsiTheme="majorHAnsi" w:cstheme="majorHAnsi"/>
          <w:i/>
          <w:szCs w:val="16"/>
        </w:rPr>
        <w:t xml:space="preserve"> </w:t>
      </w:r>
    </w:p>
  </w:footnote>
  <w:footnote w:id="343">
    <w:p w14:paraId="4B1BEE94" w14:textId="77777777" w:rsidR="000D213D" w:rsidRPr="00813B4C" w:rsidRDefault="000D213D" w:rsidP="00AA59FF">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US Cybersecurity and Infrastructure Security Agency, </w:t>
      </w:r>
      <w:r w:rsidRPr="00813B4C">
        <w:rPr>
          <w:rFonts w:asciiTheme="majorHAnsi" w:hAnsiTheme="majorHAnsi" w:cstheme="majorHAnsi"/>
          <w:i/>
          <w:szCs w:val="16"/>
        </w:rPr>
        <w:t xml:space="preserve">Alert – Ransomware impacting pipeline operations, </w:t>
      </w:r>
      <w:r w:rsidRPr="00813B4C">
        <w:rPr>
          <w:rFonts w:asciiTheme="majorHAnsi" w:hAnsiTheme="majorHAnsi" w:cstheme="majorHAnsi"/>
          <w:szCs w:val="16"/>
        </w:rPr>
        <w:t xml:space="preserve">October 2020. </w:t>
      </w:r>
    </w:p>
  </w:footnote>
  <w:footnote w:id="344">
    <w:p w14:paraId="099C743E" w14:textId="77777777" w:rsidR="000D213D" w:rsidRPr="00813B4C" w:rsidRDefault="000D213D" w:rsidP="0082438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This is </w:t>
      </w:r>
      <w:r w:rsidRPr="00813B4C">
        <w:rPr>
          <w:rFonts w:asciiTheme="majorHAnsi" w:eastAsia="Calibri" w:hAnsiTheme="majorHAnsi" w:cstheme="majorHAnsi"/>
          <w:szCs w:val="16"/>
        </w:rPr>
        <w:t>estimated using the timeline of the Varanus Island event and information about the quantity of gas demand and production sourced from the State of the Energy Market 2008 by Australian Energy Regulator.</w:t>
      </w:r>
    </w:p>
  </w:footnote>
  <w:footnote w:id="345">
    <w:p w14:paraId="52242525" w14:textId="77777777" w:rsidR="000D213D" w:rsidRPr="00813B4C" w:rsidRDefault="000D213D" w:rsidP="0082438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Institute for Disaster Resilience, </w:t>
      </w:r>
      <w:r w:rsidRPr="00813B4C">
        <w:rPr>
          <w:rFonts w:asciiTheme="majorHAnsi" w:hAnsiTheme="majorHAnsi" w:cstheme="majorHAnsi"/>
          <w:i/>
          <w:szCs w:val="16"/>
        </w:rPr>
        <w:t>Varanus Island gas explosion 2008</w:t>
      </w:r>
      <w:r w:rsidRPr="00813B4C">
        <w:rPr>
          <w:rFonts w:asciiTheme="majorHAnsi" w:hAnsiTheme="majorHAnsi" w:cstheme="majorHAnsi"/>
          <w:szCs w:val="16"/>
        </w:rPr>
        <w:t>, June 2008.</w:t>
      </w:r>
    </w:p>
  </w:footnote>
  <w:footnote w:id="346">
    <w:p w14:paraId="4FB1E63D" w14:textId="77777777" w:rsidR="000D213D" w:rsidRPr="00813B4C" w:rsidRDefault="000D213D" w:rsidP="0082438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Senate Standing Committee on Economics, </w:t>
      </w:r>
      <w:r w:rsidRPr="00813B4C">
        <w:rPr>
          <w:rFonts w:asciiTheme="majorHAnsi" w:hAnsiTheme="majorHAnsi" w:cstheme="majorHAnsi"/>
          <w:i/>
          <w:szCs w:val="16"/>
        </w:rPr>
        <w:t xml:space="preserve">Matters relating to the gas explosion at Varanus Island, Western Australia, </w:t>
      </w:r>
      <w:r w:rsidRPr="00813B4C">
        <w:rPr>
          <w:rFonts w:asciiTheme="majorHAnsi" w:hAnsiTheme="majorHAnsi" w:cstheme="majorHAnsi"/>
          <w:szCs w:val="16"/>
        </w:rPr>
        <w:t>December 2008.</w:t>
      </w:r>
    </w:p>
  </w:footnote>
  <w:footnote w:id="347">
    <w:p w14:paraId="76DA9E47" w14:textId="77777777" w:rsidR="000D213D" w:rsidRPr="00813B4C" w:rsidRDefault="000D213D" w:rsidP="0016531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Calibri" w:hAnsiTheme="majorHAnsi" w:cstheme="majorHAnsi"/>
          <w:szCs w:val="16"/>
        </w:rPr>
        <w:t>Total avoided cost of the incident to the economy is based on a conservative economy-wide impact estimation of an incident that results in a 4-5% gas supply shortage in annual terms to the national economy and the estimated normalised insurance cost of about $340 million (in 2021 dollars).</w:t>
      </w:r>
    </w:p>
  </w:footnote>
  <w:footnote w:id="348">
    <w:p w14:paraId="3BF70E1E" w14:textId="3DAAA1F1" w:rsidR="000D213D" w:rsidRPr="00813B4C" w:rsidRDefault="000D213D" w:rsidP="00936788">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The total economic cost (being direct and indirect costs) was determined using the same CGE model approach used to estimate the benefits scenarios above. Total economic cost was determined by the CGE model and was based on an assumed economic shock equal to the cost of the draft risk management program </w:t>
      </w:r>
      <w:r w:rsidRPr="00A44322">
        <w:rPr>
          <w:rFonts w:asciiTheme="majorHAnsi" w:hAnsiTheme="majorHAnsi" w:cstheme="majorHAnsi"/>
          <w:sz w:val="16"/>
          <w:szCs w:val="16"/>
        </w:rPr>
        <w:t>framework (being a one-off cost of $</w:t>
      </w:r>
      <w:r w:rsidRPr="007D243C">
        <w:rPr>
          <w:rFonts w:asciiTheme="majorHAnsi" w:hAnsiTheme="majorHAnsi" w:cstheme="majorHAnsi"/>
          <w:sz w:val="16"/>
          <w:szCs w:val="16"/>
        </w:rPr>
        <w:t>3</w:t>
      </w:r>
      <w:r>
        <w:rPr>
          <w:rFonts w:asciiTheme="majorHAnsi" w:hAnsiTheme="majorHAnsi" w:cstheme="majorHAnsi"/>
          <w:sz w:val="16"/>
          <w:szCs w:val="16"/>
        </w:rPr>
        <w:t>21.1</w:t>
      </w:r>
      <w:r w:rsidRPr="00A44322">
        <w:rPr>
          <w:rFonts w:asciiTheme="majorHAnsi" w:hAnsiTheme="majorHAnsi" w:cstheme="majorHAnsi"/>
          <w:sz w:val="16"/>
          <w:szCs w:val="16"/>
        </w:rPr>
        <w:t xml:space="preserve"> million and an ongoing cost of $</w:t>
      </w:r>
      <w:r w:rsidRPr="00A246B0">
        <w:rPr>
          <w:rFonts w:asciiTheme="majorHAnsi" w:hAnsiTheme="majorHAnsi" w:cstheme="majorHAnsi"/>
          <w:sz w:val="16"/>
          <w:szCs w:val="16"/>
        </w:rPr>
        <w:t>9</w:t>
      </w:r>
      <w:r>
        <w:rPr>
          <w:rFonts w:asciiTheme="majorHAnsi" w:hAnsiTheme="majorHAnsi" w:cstheme="majorHAnsi"/>
          <w:sz w:val="16"/>
          <w:szCs w:val="16"/>
        </w:rPr>
        <w:t>4</w:t>
      </w:r>
      <w:r w:rsidRPr="00A44322">
        <w:rPr>
          <w:rFonts w:asciiTheme="majorHAnsi" w:hAnsiTheme="majorHAnsi" w:cstheme="majorHAnsi"/>
          <w:sz w:val="16"/>
          <w:szCs w:val="16"/>
        </w:rPr>
        <w:t xml:space="preserve">.0 </w:t>
      </w:r>
      <w:r w:rsidRPr="007D243C">
        <w:rPr>
          <w:rFonts w:asciiTheme="majorHAnsi" w:hAnsiTheme="majorHAnsi" w:cstheme="majorHAnsi"/>
          <w:sz w:val="16"/>
          <w:szCs w:val="16"/>
        </w:rPr>
        <w:t xml:space="preserve">million). This resulted in a total economic impact of </w:t>
      </w:r>
      <w:r w:rsidRPr="00A246B0">
        <w:rPr>
          <w:rFonts w:asciiTheme="majorHAnsi" w:hAnsiTheme="majorHAnsi" w:cstheme="majorHAnsi"/>
          <w:sz w:val="16"/>
          <w:szCs w:val="16"/>
        </w:rPr>
        <w:t>$</w:t>
      </w:r>
      <w:r>
        <w:rPr>
          <w:rFonts w:asciiTheme="majorHAnsi" w:hAnsiTheme="majorHAnsi" w:cstheme="majorHAnsi"/>
          <w:sz w:val="16"/>
          <w:szCs w:val="16"/>
        </w:rPr>
        <w:t>159.0</w:t>
      </w:r>
      <w:r w:rsidRPr="00A246B0">
        <w:rPr>
          <w:rFonts w:asciiTheme="majorHAnsi" w:hAnsiTheme="majorHAnsi" w:cstheme="majorHAnsi"/>
          <w:sz w:val="16"/>
          <w:szCs w:val="16"/>
        </w:rPr>
        <w:t xml:space="preserve"> million per year for the moderate scenario.</w:t>
      </w:r>
    </w:p>
    <w:p w14:paraId="6E9428D0" w14:textId="77777777" w:rsidR="000D213D" w:rsidRPr="00813B4C" w:rsidRDefault="000D213D" w:rsidP="00936788">
      <w:pPr>
        <w:rPr>
          <w:rFonts w:asciiTheme="majorHAnsi" w:hAnsiTheme="majorHAnsi" w:cstheme="majorHAnsi"/>
          <w:sz w:val="16"/>
          <w:szCs w:val="16"/>
        </w:rPr>
      </w:pPr>
      <w:r w:rsidRPr="00813B4C">
        <w:rPr>
          <w:rFonts w:asciiTheme="majorHAnsi" w:hAnsiTheme="majorHAnsi" w:cstheme="majorHAnsi"/>
          <w:sz w:val="16"/>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gas supply.</w:t>
      </w:r>
    </w:p>
  </w:footnote>
  <w:footnote w:id="349">
    <w:p w14:paraId="44EEB484" w14:textId="77777777" w:rsidR="000D213D" w:rsidRPr="00813B4C" w:rsidRDefault="000D213D" w:rsidP="00FA7F0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50">
    <w:p w14:paraId="148FF6A9" w14:textId="77777777" w:rsidR="000D213D" w:rsidRPr="00813B4C" w:rsidRDefault="000D213D" w:rsidP="00FA7F0E">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RMP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51">
    <w:p w14:paraId="71F6688A" w14:textId="77777777" w:rsidR="000D213D" w:rsidRPr="00813B4C" w:rsidRDefault="000D213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WWAP 2016</w:t>
      </w:r>
    </w:p>
  </w:footnote>
  <w:footnote w:id="352">
    <w:p w14:paraId="15156A59" w14:textId="5BE10A0D" w:rsidR="000D213D" w:rsidRPr="00813B4C" w:rsidRDefault="000D213D" w:rsidP="00107992">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The total economic cost (being direct and indirect costs) was determined using the same CGE model approach used to estimate the benefits scenarios above. Total economic cost was determined by the CGE model and was based on an assumed economic shock equal to the cost of the draft risk management program framework (being a one-off cost of $1</w:t>
      </w:r>
      <w:r>
        <w:rPr>
          <w:rFonts w:asciiTheme="majorHAnsi" w:hAnsiTheme="majorHAnsi" w:cstheme="majorHAnsi"/>
          <w:sz w:val="16"/>
          <w:szCs w:val="16"/>
        </w:rPr>
        <w:t xml:space="preserve">57.5 </w:t>
      </w:r>
      <w:r w:rsidRPr="00813B4C">
        <w:rPr>
          <w:rFonts w:asciiTheme="majorHAnsi" w:hAnsiTheme="majorHAnsi" w:cstheme="majorHAnsi"/>
          <w:sz w:val="16"/>
          <w:szCs w:val="16"/>
        </w:rPr>
        <w:t>million and an ongoing cost of $</w:t>
      </w:r>
      <w:r>
        <w:rPr>
          <w:rFonts w:asciiTheme="majorHAnsi" w:hAnsiTheme="majorHAnsi" w:cstheme="majorHAnsi"/>
          <w:sz w:val="16"/>
          <w:szCs w:val="16"/>
        </w:rPr>
        <w:t>91.1</w:t>
      </w:r>
      <w:r w:rsidRPr="00813B4C">
        <w:rPr>
          <w:rFonts w:asciiTheme="majorHAnsi" w:hAnsiTheme="majorHAnsi" w:cstheme="majorHAnsi"/>
          <w:sz w:val="16"/>
          <w:szCs w:val="16"/>
        </w:rPr>
        <w:t xml:space="preserve"> million). This resulted in a total economic impact of $</w:t>
      </w:r>
      <w:r>
        <w:rPr>
          <w:rFonts w:asciiTheme="majorHAnsi" w:hAnsiTheme="majorHAnsi" w:cstheme="majorHAnsi"/>
          <w:sz w:val="16"/>
          <w:szCs w:val="16"/>
        </w:rPr>
        <w:t>227.1</w:t>
      </w:r>
      <w:r w:rsidRPr="00813B4C">
        <w:rPr>
          <w:rFonts w:asciiTheme="majorHAnsi" w:hAnsiTheme="majorHAnsi" w:cstheme="majorHAnsi"/>
          <w:sz w:val="16"/>
          <w:szCs w:val="16"/>
        </w:rPr>
        <w:t xml:space="preserve"> million per year for the moderate scenario.</w:t>
      </w:r>
    </w:p>
    <w:p w14:paraId="4836A5C3" w14:textId="77777777" w:rsidR="000D213D" w:rsidRPr="00813B4C" w:rsidRDefault="000D213D" w:rsidP="00107992">
      <w:pPr>
        <w:rPr>
          <w:rFonts w:asciiTheme="majorHAnsi" w:hAnsiTheme="majorHAnsi" w:cstheme="majorHAnsi"/>
          <w:sz w:val="16"/>
          <w:szCs w:val="16"/>
        </w:rPr>
      </w:pPr>
      <w:r w:rsidRPr="00813B4C">
        <w:rPr>
          <w:rFonts w:asciiTheme="majorHAnsi" w:hAnsiTheme="majorHAnsi" w:cstheme="majorHAnsi"/>
          <w:sz w:val="16"/>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gas supply.</w:t>
      </w:r>
    </w:p>
  </w:footnote>
  <w:footnote w:id="353">
    <w:p w14:paraId="738204E0" w14:textId="77777777" w:rsidR="000D213D" w:rsidRPr="00813B4C" w:rsidRDefault="000D213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Abelson 2007</w:t>
      </w:r>
    </w:p>
  </w:footnote>
  <w:footnote w:id="354">
    <w:p w14:paraId="5E01F9D0" w14:textId="77777777" w:rsidR="000D213D" w:rsidRPr="00813B4C" w:rsidRDefault="000D213D" w:rsidP="008D26F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55">
    <w:p w14:paraId="0CD984E5" w14:textId="77777777" w:rsidR="000D213D" w:rsidRPr="00813B4C" w:rsidRDefault="000D213D" w:rsidP="00E025C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RMP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56">
    <w:p w14:paraId="0FCC00FD" w14:textId="77777777" w:rsidR="000D213D" w:rsidRPr="00813B4C" w:rsidRDefault="000D213D" w:rsidP="00955268">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Direct economic impacts refer to the ‘first-round’ effects that occur directly as a result of an incident, while indirect economic impacts refer to flow-on effects to the economy due to supply chain linkages and other feedback responses by all economic agents (e.g., households, businesses).</w:t>
      </w:r>
    </w:p>
  </w:footnote>
  <w:footnote w:id="357">
    <w:p w14:paraId="204E9B71" w14:textId="472F9774" w:rsidR="000D213D" w:rsidRPr="00813B4C" w:rsidRDefault="000D213D" w:rsidP="00955268">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The total economic cost (being direct and indirect costs) was determined using the same CGE model approach used to estimate the benefits scenarios above. Total economic cost was determined by the CGE model and was based on an assumed economic shock equal to the cost of the draft risk management program framework (being a one-off cost of $</w:t>
      </w:r>
      <w:r w:rsidRPr="00A44322">
        <w:rPr>
          <w:rFonts w:asciiTheme="majorHAnsi" w:hAnsiTheme="majorHAnsi" w:cstheme="majorHAnsi"/>
          <w:sz w:val="16"/>
          <w:szCs w:val="16"/>
        </w:rPr>
        <w:t>11</w:t>
      </w:r>
      <w:r w:rsidRPr="00CE4B35">
        <w:rPr>
          <w:rFonts w:asciiTheme="majorHAnsi" w:hAnsiTheme="majorHAnsi" w:cstheme="majorHAnsi"/>
          <w:sz w:val="16"/>
          <w:szCs w:val="16"/>
        </w:rPr>
        <w:t>6.6</w:t>
      </w:r>
      <w:r w:rsidRPr="00A44322">
        <w:rPr>
          <w:rFonts w:asciiTheme="majorHAnsi" w:hAnsiTheme="majorHAnsi" w:cstheme="majorHAnsi"/>
          <w:sz w:val="16"/>
          <w:szCs w:val="16"/>
        </w:rPr>
        <w:t xml:space="preserve"> million and an ongoing cost of $</w:t>
      </w:r>
      <w:r w:rsidRPr="00CE4B35">
        <w:rPr>
          <w:rFonts w:asciiTheme="majorHAnsi" w:hAnsiTheme="majorHAnsi" w:cstheme="majorHAnsi"/>
          <w:sz w:val="16"/>
          <w:szCs w:val="16"/>
        </w:rPr>
        <w:t>296.9</w:t>
      </w:r>
      <w:r w:rsidRPr="00A44322">
        <w:rPr>
          <w:rFonts w:asciiTheme="majorHAnsi" w:hAnsiTheme="majorHAnsi" w:cstheme="majorHAnsi"/>
          <w:sz w:val="16"/>
          <w:szCs w:val="16"/>
        </w:rPr>
        <w:t xml:space="preserve"> </w:t>
      </w:r>
      <w:r w:rsidRPr="007D243C">
        <w:rPr>
          <w:rFonts w:asciiTheme="majorHAnsi" w:hAnsiTheme="majorHAnsi" w:cstheme="majorHAnsi"/>
          <w:sz w:val="16"/>
          <w:szCs w:val="16"/>
        </w:rPr>
        <w:t>million). This resulted in a total economic impact of $</w:t>
      </w:r>
      <w:r>
        <w:rPr>
          <w:rFonts w:asciiTheme="majorHAnsi" w:hAnsiTheme="majorHAnsi" w:cstheme="majorHAnsi"/>
          <w:sz w:val="16"/>
          <w:szCs w:val="16"/>
        </w:rPr>
        <w:t>738.0</w:t>
      </w:r>
      <w:r w:rsidRPr="00703B3E">
        <w:rPr>
          <w:rFonts w:asciiTheme="majorHAnsi" w:hAnsiTheme="majorHAnsi" w:cstheme="majorHAnsi"/>
          <w:sz w:val="16"/>
          <w:szCs w:val="16"/>
        </w:rPr>
        <w:t xml:space="preserve"> million per year for the moderate</w:t>
      </w:r>
      <w:r w:rsidRPr="00813B4C">
        <w:rPr>
          <w:rFonts w:asciiTheme="majorHAnsi" w:hAnsiTheme="majorHAnsi" w:cstheme="majorHAnsi"/>
          <w:sz w:val="16"/>
          <w:szCs w:val="16"/>
        </w:rPr>
        <w:t xml:space="preserve"> scenario.</w:t>
      </w:r>
    </w:p>
    <w:p w14:paraId="66767572" w14:textId="77777777" w:rsidR="000D213D" w:rsidRPr="00813B4C" w:rsidRDefault="000D213D" w:rsidP="00955268">
      <w:pPr>
        <w:rPr>
          <w:rFonts w:asciiTheme="majorHAnsi" w:hAnsiTheme="majorHAnsi" w:cstheme="majorHAnsi"/>
          <w:sz w:val="16"/>
          <w:szCs w:val="16"/>
        </w:rPr>
      </w:pPr>
      <w:r w:rsidRPr="00813B4C">
        <w:rPr>
          <w:rFonts w:asciiTheme="majorHAnsi" w:hAnsiTheme="majorHAnsi" w:cstheme="majorHAnsi"/>
          <w:sz w:val="16"/>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gas supply.</w:t>
      </w:r>
    </w:p>
  </w:footnote>
  <w:footnote w:id="358">
    <w:p w14:paraId="69848143" w14:textId="1C3DC38D" w:rsidR="000D213D" w:rsidRPr="00813B4C" w:rsidRDefault="000D213D">
      <w:pPr>
        <w:pStyle w:val="FootnoteText"/>
        <w:rPr>
          <w:rFonts w:asciiTheme="majorHAnsi" w:hAnsiTheme="majorHAnsi" w:cstheme="majorHAnsi"/>
          <w:szCs w:val="16"/>
        </w:rPr>
      </w:pPr>
      <w:r w:rsidRPr="009739FE">
        <w:rPr>
          <w:rStyle w:val="FootnoteReference"/>
          <w:rFonts w:asciiTheme="majorHAnsi" w:hAnsiTheme="majorHAnsi" w:cstheme="majorHAnsi"/>
          <w:szCs w:val="16"/>
        </w:rPr>
        <w:footnoteRef/>
      </w:r>
      <w:r w:rsidRPr="009739FE">
        <w:rPr>
          <w:rFonts w:asciiTheme="majorHAnsi" w:hAnsiTheme="majorHAnsi" w:cstheme="majorHAnsi"/>
          <w:szCs w:val="16"/>
        </w:rPr>
        <w:t xml:space="preserve"> The Department estimates that the number of responsible entities exceeds 300 </w:t>
      </w:r>
      <w:r w:rsidRPr="00DE4F4F">
        <w:rPr>
          <w:rFonts w:asciiTheme="majorHAnsi" w:hAnsiTheme="majorHAnsi" w:cstheme="majorHAnsi"/>
          <w:szCs w:val="16"/>
        </w:rPr>
        <w:t>based off the proposed asset definition.</w:t>
      </w:r>
    </w:p>
  </w:footnote>
  <w:footnote w:id="359">
    <w:p w14:paraId="47120A63" w14:textId="77777777" w:rsidR="000D213D" w:rsidRPr="00813B4C" w:rsidRDefault="000D213D" w:rsidP="00AD6A3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60">
    <w:p w14:paraId="1A254F55" w14:textId="77777777" w:rsidR="000D213D" w:rsidRPr="00813B4C" w:rsidRDefault="000D213D" w:rsidP="00AD6A3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risk management program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61">
    <w:p w14:paraId="246141C7" w14:textId="77777777" w:rsidR="000D213D" w:rsidRPr="00813B4C" w:rsidRDefault="000D213D" w:rsidP="003C041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Corera</w:t>
      </w:r>
      <w:r>
        <w:rPr>
          <w:rFonts w:asciiTheme="majorHAnsi" w:hAnsiTheme="majorHAnsi" w:cstheme="majorHAnsi"/>
          <w:szCs w:val="16"/>
        </w:rPr>
        <w:t>,</w:t>
      </w:r>
      <w:r w:rsidRPr="00813B4C">
        <w:rPr>
          <w:rFonts w:asciiTheme="majorHAnsi" w:hAnsiTheme="majorHAnsi" w:cstheme="majorHAnsi"/>
          <w:szCs w:val="16"/>
        </w:rPr>
        <w:t xml:space="preserve"> 2016</w:t>
      </w:r>
    </w:p>
  </w:footnote>
  <w:footnote w:id="362">
    <w:p w14:paraId="42253739" w14:textId="77777777" w:rsidR="000D213D" w:rsidRPr="00813B4C" w:rsidRDefault="000D213D" w:rsidP="003C0415">
      <w:pPr>
        <w:spacing w:line="256" w:lineRule="auto"/>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 Ibid</w:t>
      </w:r>
    </w:p>
  </w:footnote>
  <w:footnote w:id="363">
    <w:p w14:paraId="28C46DEF" w14:textId="1AA1F8EF" w:rsidR="000D213D" w:rsidRPr="00813B4C" w:rsidRDefault="000D213D" w:rsidP="0070160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hyperlink r:id="rId44" w:history="1">
        <w:r w:rsidRPr="00813B4C">
          <w:rPr>
            <w:rStyle w:val="Hyperlink"/>
            <w:rFonts w:asciiTheme="majorHAnsi" w:hAnsiTheme="majorHAnsi" w:cstheme="majorHAnsi"/>
            <w:szCs w:val="16"/>
            <w:u w:val="none"/>
          </w:rPr>
          <w:t>Lauder</w:t>
        </w:r>
      </w:hyperlink>
      <w:r w:rsidRPr="00813B4C">
        <w:rPr>
          <w:rStyle w:val="Hyperlink"/>
          <w:rFonts w:asciiTheme="majorHAnsi" w:hAnsiTheme="majorHAnsi" w:cstheme="majorHAnsi"/>
          <w:szCs w:val="16"/>
          <w:u w:val="none"/>
        </w:rPr>
        <w:t>, Reardon, McCutcheon 2020</w:t>
      </w:r>
    </w:p>
  </w:footnote>
  <w:footnote w:id="364">
    <w:p w14:paraId="12BA36B4" w14:textId="77777777" w:rsidR="000D213D" w:rsidRPr="00813B4C" w:rsidRDefault="000D213D" w:rsidP="0070160B">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365">
    <w:p w14:paraId="0CD158CE" w14:textId="0F0D16A1" w:rsidR="000D213D" w:rsidRPr="00813B4C" w:rsidRDefault="000D213D" w:rsidP="00AD6A3B">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The total economic cost (being direct and indirect costs) was determined using the same CGE model approach used to estimate the benefits scenarios above. Total economic cost was determined by the CGE model based on an assumed economic shock equal to the cost of the draft risk management program framework (being a one-off cost of $</w:t>
      </w:r>
      <w:r>
        <w:rPr>
          <w:rFonts w:asciiTheme="majorHAnsi" w:eastAsia="Calibri" w:hAnsiTheme="majorHAnsi" w:cstheme="majorHAnsi"/>
          <w:sz w:val="16"/>
          <w:szCs w:val="16"/>
        </w:rPr>
        <w:t>2</w:t>
      </w:r>
      <w:r w:rsidRPr="00813B4C">
        <w:rPr>
          <w:rFonts w:asciiTheme="majorHAnsi" w:eastAsia="Calibri" w:hAnsiTheme="majorHAnsi" w:cstheme="majorHAnsi"/>
          <w:sz w:val="16"/>
          <w:szCs w:val="16"/>
        </w:rPr>
        <w:t>.</w:t>
      </w:r>
      <w:r>
        <w:rPr>
          <w:rFonts w:asciiTheme="majorHAnsi" w:eastAsia="Calibri" w:hAnsiTheme="majorHAnsi" w:cstheme="majorHAnsi"/>
          <w:sz w:val="16"/>
          <w:szCs w:val="16"/>
        </w:rPr>
        <w:t>1</w:t>
      </w:r>
      <w:r w:rsidRPr="00813B4C">
        <w:rPr>
          <w:rFonts w:asciiTheme="majorHAnsi" w:eastAsia="Calibri" w:hAnsiTheme="majorHAnsi" w:cstheme="majorHAnsi"/>
          <w:sz w:val="16"/>
          <w:szCs w:val="16"/>
        </w:rPr>
        <w:t xml:space="preserve"> </w:t>
      </w:r>
      <w:r w:rsidRPr="00813B4C">
        <w:rPr>
          <w:rFonts w:asciiTheme="majorHAnsi" w:hAnsiTheme="majorHAnsi" w:cstheme="majorHAnsi"/>
          <w:sz w:val="16"/>
          <w:szCs w:val="16"/>
        </w:rPr>
        <w:t>million and an ongoing cost of $</w:t>
      </w:r>
      <w:r>
        <w:rPr>
          <w:rFonts w:asciiTheme="majorHAnsi" w:eastAsia="Calibri" w:hAnsiTheme="majorHAnsi" w:cstheme="majorHAnsi"/>
          <w:sz w:val="16"/>
          <w:szCs w:val="16"/>
        </w:rPr>
        <w:t>1.5</w:t>
      </w:r>
      <w:r w:rsidRPr="00813B4C">
        <w:rPr>
          <w:rFonts w:asciiTheme="majorHAnsi" w:eastAsia="Calibri" w:hAnsiTheme="majorHAnsi" w:cstheme="majorHAnsi"/>
          <w:sz w:val="16"/>
          <w:szCs w:val="16"/>
        </w:rPr>
        <w:t xml:space="preserve"> </w:t>
      </w:r>
      <w:r w:rsidRPr="00813B4C">
        <w:rPr>
          <w:rFonts w:asciiTheme="majorHAnsi" w:hAnsiTheme="majorHAnsi" w:cstheme="majorHAnsi"/>
          <w:sz w:val="16"/>
          <w:szCs w:val="16"/>
        </w:rPr>
        <w:t>million). This was a total economic impact of $</w:t>
      </w:r>
      <w:r>
        <w:rPr>
          <w:rFonts w:asciiTheme="majorHAnsi" w:eastAsia="Calibri" w:hAnsiTheme="majorHAnsi" w:cstheme="majorHAnsi"/>
          <w:sz w:val="16"/>
          <w:szCs w:val="16"/>
        </w:rPr>
        <w:t>6.8</w:t>
      </w:r>
      <w:r w:rsidRPr="00813B4C">
        <w:rPr>
          <w:rFonts w:asciiTheme="majorHAnsi" w:hAnsiTheme="majorHAnsi" w:cstheme="majorHAnsi"/>
          <w:sz w:val="16"/>
          <w:szCs w:val="16"/>
        </w:rPr>
        <w:t xml:space="preserve"> million per year for the moderate scenario.</w:t>
      </w:r>
    </w:p>
    <w:p w14:paraId="3B392AD8" w14:textId="77777777" w:rsidR="000D213D" w:rsidRPr="00813B4C" w:rsidRDefault="000D213D" w:rsidP="00AD6A3B">
      <w:pPr>
        <w:pStyle w:val="FootnoteText"/>
        <w:rPr>
          <w:rFonts w:asciiTheme="majorHAnsi" w:hAnsiTheme="majorHAnsi" w:cstheme="majorHAnsi"/>
          <w:szCs w:val="16"/>
        </w:rPr>
      </w:pPr>
      <w:r w:rsidRPr="00813B4C">
        <w:rPr>
          <w:rFonts w:asciiTheme="majorHAnsi" w:hAnsiTheme="majorHAnsi" w:cstheme="majorHAnsi"/>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broadcasting supply.</w:t>
      </w:r>
    </w:p>
  </w:footnote>
  <w:footnote w:id="366">
    <w:p w14:paraId="1B2D67A7" w14:textId="77777777" w:rsidR="000D213D" w:rsidRPr="00813B4C" w:rsidRDefault="000D213D" w:rsidP="00C20457">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67">
    <w:p w14:paraId="37EE3A93" w14:textId="77777777" w:rsidR="000D213D" w:rsidRPr="00813B4C" w:rsidRDefault="000D213D" w:rsidP="00C20457">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RMP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68">
    <w:p w14:paraId="4949E920" w14:textId="534643F4" w:rsidR="000D213D" w:rsidRPr="00813B4C" w:rsidRDefault="000D213D" w:rsidP="00C20457">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The total economic cost (being direct and indirect costs) was determined using the same CGE model approach used to estimate the benefits scenarios above. Total economic cost was determined by the CGE model based on an assumed economic shock equal to the cost of the draft RMP framework (being a one-off cost of $</w:t>
      </w:r>
      <w:r w:rsidRPr="00813B4C">
        <w:rPr>
          <w:rFonts w:asciiTheme="majorHAnsi" w:eastAsia="Calibri" w:hAnsiTheme="majorHAnsi" w:cstheme="majorHAnsi"/>
          <w:sz w:val="16"/>
          <w:szCs w:val="16"/>
        </w:rPr>
        <w:t xml:space="preserve">0.6 </w:t>
      </w:r>
      <w:r w:rsidRPr="00813B4C">
        <w:rPr>
          <w:rFonts w:asciiTheme="majorHAnsi" w:hAnsiTheme="majorHAnsi" w:cstheme="majorHAnsi"/>
          <w:sz w:val="16"/>
          <w:szCs w:val="16"/>
        </w:rPr>
        <w:t>million and an ongoing cost of $</w:t>
      </w:r>
      <w:r w:rsidRPr="00813B4C">
        <w:rPr>
          <w:rFonts w:asciiTheme="majorHAnsi" w:eastAsia="Calibri" w:hAnsiTheme="majorHAnsi" w:cstheme="majorHAnsi"/>
          <w:sz w:val="16"/>
          <w:szCs w:val="16"/>
        </w:rPr>
        <w:t>5.</w:t>
      </w:r>
      <w:r>
        <w:rPr>
          <w:rFonts w:asciiTheme="majorHAnsi" w:eastAsia="Calibri" w:hAnsiTheme="majorHAnsi" w:cstheme="majorHAnsi"/>
          <w:sz w:val="16"/>
          <w:szCs w:val="16"/>
        </w:rPr>
        <w:t>7</w:t>
      </w:r>
      <w:r w:rsidRPr="00813B4C">
        <w:rPr>
          <w:rFonts w:asciiTheme="majorHAnsi" w:eastAsia="Calibri" w:hAnsiTheme="majorHAnsi" w:cstheme="majorHAnsi"/>
          <w:sz w:val="16"/>
          <w:szCs w:val="16"/>
        </w:rPr>
        <w:t xml:space="preserve"> </w:t>
      </w:r>
      <w:r w:rsidRPr="00813B4C">
        <w:rPr>
          <w:rFonts w:asciiTheme="majorHAnsi" w:hAnsiTheme="majorHAnsi" w:cstheme="majorHAnsi"/>
          <w:sz w:val="16"/>
          <w:szCs w:val="16"/>
        </w:rPr>
        <w:t>million). This was a total economic impact of $</w:t>
      </w:r>
      <w:r>
        <w:rPr>
          <w:rFonts w:asciiTheme="majorHAnsi" w:eastAsia="Calibri" w:hAnsiTheme="majorHAnsi" w:cstheme="majorHAnsi"/>
          <w:sz w:val="16"/>
          <w:szCs w:val="16"/>
        </w:rPr>
        <w:t>11.6</w:t>
      </w:r>
      <w:r w:rsidRPr="00813B4C">
        <w:rPr>
          <w:rFonts w:asciiTheme="majorHAnsi" w:hAnsiTheme="majorHAnsi" w:cstheme="majorHAnsi"/>
          <w:sz w:val="16"/>
          <w:szCs w:val="16"/>
        </w:rPr>
        <w:t xml:space="preserve"> million per year for the moderate scenario.</w:t>
      </w:r>
    </w:p>
    <w:p w14:paraId="03997751" w14:textId="77777777" w:rsidR="000D213D" w:rsidRPr="00813B4C" w:rsidRDefault="000D213D" w:rsidP="00C20457">
      <w:pPr>
        <w:pStyle w:val="FootnoteText"/>
        <w:rPr>
          <w:rFonts w:asciiTheme="majorHAnsi" w:hAnsiTheme="majorHAnsi" w:cstheme="majorHAnsi"/>
          <w:szCs w:val="16"/>
        </w:rPr>
      </w:pPr>
      <w:r w:rsidRPr="00813B4C">
        <w:rPr>
          <w:rFonts w:asciiTheme="majorHAnsi" w:hAnsiTheme="majorHAnsi" w:cstheme="majorHAnsi"/>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payment systems supply.</w:t>
      </w:r>
    </w:p>
  </w:footnote>
  <w:footnote w:id="369">
    <w:p w14:paraId="31832070" w14:textId="77777777" w:rsidR="000D213D" w:rsidRPr="00813B4C" w:rsidRDefault="000D213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ACSC 2021</w:t>
      </w:r>
    </w:p>
  </w:footnote>
  <w:footnote w:id="370">
    <w:p w14:paraId="5922CC4A" w14:textId="77777777" w:rsidR="000D213D" w:rsidRPr="00813B4C" w:rsidRDefault="000D213D" w:rsidP="00C83F80">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71">
    <w:p w14:paraId="27042201" w14:textId="77777777" w:rsidR="000D213D" w:rsidRPr="00813B4C" w:rsidRDefault="000D213D" w:rsidP="00C83F80">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RMP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72">
    <w:p w14:paraId="64994226" w14:textId="77777777" w:rsidR="000D213D" w:rsidRPr="00813B4C" w:rsidRDefault="000D213D" w:rsidP="00FE22F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Direct economic impacts refer to the ‘first-round’ effects that occur directly as a result of an incident, while indirect economic impacts refer to flow-on effects to the economy due to supply chain linkages and other feedback responses by all economic agents (e.g., households, businesses).</w:t>
      </w:r>
    </w:p>
  </w:footnote>
  <w:footnote w:id="373">
    <w:p w14:paraId="668B9813" w14:textId="77777777" w:rsidR="000D213D" w:rsidRPr="00813B4C" w:rsidRDefault="000D213D" w:rsidP="00FE22F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Government of Western Australia – Office of Energy, </w:t>
      </w:r>
      <w:r w:rsidRPr="00813B4C">
        <w:rPr>
          <w:rFonts w:asciiTheme="majorHAnsi" w:hAnsiTheme="majorHAnsi" w:cstheme="majorHAnsi"/>
          <w:i/>
          <w:szCs w:val="16"/>
        </w:rPr>
        <w:t xml:space="preserve">Gas Supply and Emergency Management Committee – Report to Government, </w:t>
      </w:r>
      <w:r w:rsidRPr="00813B4C">
        <w:rPr>
          <w:rFonts w:asciiTheme="majorHAnsi" w:hAnsiTheme="majorHAnsi" w:cstheme="majorHAnsi"/>
          <w:szCs w:val="16"/>
        </w:rPr>
        <w:t xml:space="preserve">September 2009. </w:t>
      </w:r>
    </w:p>
  </w:footnote>
  <w:footnote w:id="374">
    <w:p w14:paraId="1455FCCD" w14:textId="77777777" w:rsidR="000D213D" w:rsidRPr="00813B4C" w:rsidRDefault="000D213D" w:rsidP="00FE22F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This is </w:t>
      </w:r>
      <w:r w:rsidRPr="00813B4C">
        <w:rPr>
          <w:rFonts w:asciiTheme="majorHAnsi" w:eastAsia="Calibri" w:hAnsiTheme="majorHAnsi" w:cstheme="majorHAnsi"/>
          <w:szCs w:val="16"/>
        </w:rPr>
        <w:t>estimated using the timeline of the Varanus Island event and information about the quantity of gas demand and production sourced from the State of the Energy Market 2008 by Australian Energy Regulator.</w:t>
      </w:r>
    </w:p>
  </w:footnote>
  <w:footnote w:id="375">
    <w:p w14:paraId="41D00D87" w14:textId="77777777" w:rsidR="000D213D" w:rsidRPr="00813B4C" w:rsidRDefault="000D213D" w:rsidP="00FE22F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Australian Institute for Disaster Resilience, </w:t>
      </w:r>
      <w:r w:rsidRPr="00813B4C">
        <w:rPr>
          <w:rFonts w:asciiTheme="majorHAnsi" w:hAnsiTheme="majorHAnsi" w:cstheme="majorHAnsi"/>
          <w:i/>
          <w:szCs w:val="16"/>
        </w:rPr>
        <w:t>Varanus Island gas explosion 2008</w:t>
      </w:r>
      <w:r w:rsidRPr="00813B4C">
        <w:rPr>
          <w:rFonts w:asciiTheme="majorHAnsi" w:hAnsiTheme="majorHAnsi" w:cstheme="majorHAnsi"/>
          <w:szCs w:val="16"/>
        </w:rPr>
        <w:t>, June 2008.</w:t>
      </w:r>
    </w:p>
  </w:footnote>
  <w:footnote w:id="376">
    <w:p w14:paraId="65A3D1B4" w14:textId="77777777" w:rsidR="000D213D" w:rsidRPr="00813B4C" w:rsidRDefault="000D213D" w:rsidP="00FE22F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The Senate Standing Committee on Economics, </w:t>
      </w:r>
      <w:r w:rsidRPr="00813B4C">
        <w:rPr>
          <w:rFonts w:asciiTheme="majorHAnsi" w:hAnsiTheme="majorHAnsi" w:cstheme="majorHAnsi"/>
          <w:i/>
          <w:szCs w:val="16"/>
        </w:rPr>
        <w:t xml:space="preserve">Matters relating to the gas explosion at Varanus Island, Western Australia, </w:t>
      </w:r>
      <w:r w:rsidRPr="00813B4C">
        <w:rPr>
          <w:rFonts w:asciiTheme="majorHAnsi" w:hAnsiTheme="majorHAnsi" w:cstheme="majorHAnsi"/>
          <w:szCs w:val="16"/>
        </w:rPr>
        <w:t>December 2008.</w:t>
      </w:r>
    </w:p>
  </w:footnote>
  <w:footnote w:id="377">
    <w:p w14:paraId="58B0C22D" w14:textId="77777777" w:rsidR="000D213D" w:rsidRPr="00813B4C" w:rsidRDefault="000D213D" w:rsidP="000F2DFA">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Calibri" w:hAnsiTheme="majorHAnsi" w:cstheme="majorHAnsi"/>
          <w:szCs w:val="16"/>
        </w:rPr>
        <w:t>Total avoided cost of the incident to the economy is based on a conservative economy-wide impact estimation of an incident that results in a 4-5% gas supply shortage in annual terms to the national economy and the estimated normalised insurance cost of about $340 million (in 2021 dollars).</w:t>
      </w:r>
    </w:p>
  </w:footnote>
  <w:footnote w:id="378">
    <w:p w14:paraId="101625BF" w14:textId="12088AFF" w:rsidR="000D213D" w:rsidRPr="00813B4C" w:rsidRDefault="000D213D" w:rsidP="00FE22FC">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The total economic cost (being direct and indirect costs) was determined using the same CGE model approach used to estimate the benefits scenarios above. Total economic cost was determined by the CGE model and was based on an assumed economic shock equal to the cost of the draft risk management program framework (being a one-off cost of $</w:t>
      </w:r>
      <w:r>
        <w:rPr>
          <w:rFonts w:asciiTheme="majorHAnsi" w:hAnsiTheme="majorHAnsi" w:cstheme="majorHAnsi"/>
          <w:sz w:val="16"/>
          <w:szCs w:val="16"/>
        </w:rPr>
        <w:t>35.8</w:t>
      </w:r>
      <w:r w:rsidRPr="00813B4C">
        <w:rPr>
          <w:rFonts w:asciiTheme="majorHAnsi" w:hAnsiTheme="majorHAnsi" w:cstheme="majorHAnsi"/>
          <w:sz w:val="16"/>
          <w:szCs w:val="16"/>
        </w:rPr>
        <w:t xml:space="preserve"> million and an ongoing cost of $</w:t>
      </w:r>
      <w:r>
        <w:rPr>
          <w:rFonts w:asciiTheme="majorHAnsi" w:hAnsiTheme="majorHAnsi" w:cstheme="majorHAnsi"/>
          <w:sz w:val="16"/>
          <w:szCs w:val="16"/>
        </w:rPr>
        <w:t>1</w:t>
      </w:r>
      <w:r w:rsidRPr="00813B4C">
        <w:rPr>
          <w:rFonts w:asciiTheme="majorHAnsi" w:hAnsiTheme="majorHAnsi" w:cstheme="majorHAnsi"/>
          <w:sz w:val="16"/>
          <w:szCs w:val="16"/>
        </w:rPr>
        <w:t>0</w:t>
      </w:r>
      <w:r>
        <w:rPr>
          <w:rFonts w:asciiTheme="majorHAnsi" w:hAnsiTheme="majorHAnsi" w:cstheme="majorHAnsi"/>
          <w:sz w:val="16"/>
          <w:szCs w:val="16"/>
        </w:rPr>
        <w:t>.5</w:t>
      </w:r>
      <w:r w:rsidRPr="00813B4C">
        <w:rPr>
          <w:rFonts w:asciiTheme="majorHAnsi" w:hAnsiTheme="majorHAnsi" w:cstheme="majorHAnsi"/>
          <w:sz w:val="16"/>
          <w:szCs w:val="16"/>
        </w:rPr>
        <w:t xml:space="preserve"> million). This resulted in a total economic impact of $15</w:t>
      </w:r>
      <w:r>
        <w:rPr>
          <w:rFonts w:asciiTheme="majorHAnsi" w:hAnsiTheme="majorHAnsi" w:cstheme="majorHAnsi"/>
          <w:sz w:val="16"/>
          <w:szCs w:val="16"/>
        </w:rPr>
        <w:t>.</w:t>
      </w:r>
      <w:r w:rsidRPr="00813B4C">
        <w:rPr>
          <w:rFonts w:asciiTheme="majorHAnsi" w:hAnsiTheme="majorHAnsi" w:cstheme="majorHAnsi"/>
          <w:sz w:val="16"/>
          <w:szCs w:val="16"/>
        </w:rPr>
        <w:t>9 million per year for the moderate scenario.</w:t>
      </w:r>
    </w:p>
    <w:p w14:paraId="3CB2CB5B" w14:textId="77777777" w:rsidR="000D213D" w:rsidRPr="00813B4C" w:rsidRDefault="000D213D" w:rsidP="00FE22FC">
      <w:pPr>
        <w:rPr>
          <w:rFonts w:asciiTheme="majorHAnsi" w:hAnsiTheme="majorHAnsi" w:cstheme="majorHAnsi"/>
          <w:sz w:val="16"/>
          <w:szCs w:val="16"/>
        </w:rPr>
      </w:pPr>
    </w:p>
    <w:p w14:paraId="32303A07" w14:textId="77777777" w:rsidR="000D213D" w:rsidRPr="00813B4C" w:rsidRDefault="000D213D" w:rsidP="00FE22FC">
      <w:pPr>
        <w:rPr>
          <w:rFonts w:asciiTheme="majorHAnsi" w:hAnsiTheme="majorHAnsi" w:cstheme="majorHAnsi"/>
          <w:sz w:val="16"/>
          <w:szCs w:val="16"/>
        </w:rPr>
      </w:pPr>
      <w:r w:rsidRPr="00813B4C">
        <w:rPr>
          <w:rFonts w:asciiTheme="majorHAnsi" w:hAnsiTheme="majorHAnsi" w:cstheme="majorHAnsi"/>
          <w:sz w:val="16"/>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gas supply.</w:t>
      </w:r>
    </w:p>
  </w:footnote>
  <w:footnote w:id="379">
    <w:p w14:paraId="7F2EDB75" w14:textId="77777777" w:rsidR="000D213D" w:rsidRPr="00813B4C" w:rsidRDefault="000D213D" w:rsidP="00824B9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80">
    <w:p w14:paraId="43A60B31" w14:textId="77777777" w:rsidR="000D213D" w:rsidRPr="00813B4C" w:rsidRDefault="000D213D" w:rsidP="00824B94">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RMP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81">
    <w:p w14:paraId="54084206" w14:textId="77777777" w:rsidR="000D213D" w:rsidRPr="00813B4C" w:rsidRDefault="000D213D" w:rsidP="00E73EC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NHE 2018</w:t>
      </w:r>
    </w:p>
  </w:footnote>
  <w:footnote w:id="382">
    <w:p w14:paraId="5BD9B73F" w14:textId="77777777" w:rsidR="000D213D" w:rsidRPr="00813B4C" w:rsidRDefault="000D213D" w:rsidP="00E73EC6">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Ibid</w:t>
      </w:r>
    </w:p>
  </w:footnote>
  <w:footnote w:id="383">
    <w:p w14:paraId="4A57C846" w14:textId="6CC901EB" w:rsidR="000D213D" w:rsidRPr="00813B4C" w:rsidRDefault="000D213D" w:rsidP="006912C4">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The total economic cost (being direct and indirect costs) was determined using the same CGE model approach used to estimate the benefits scenarios above. Total economic cost was determined by the CGE model and was based on an assumed economic shock equal to the cost of the draft risk management program framework (being a one-off cost </w:t>
      </w:r>
      <w:r w:rsidRPr="009E0848">
        <w:rPr>
          <w:rFonts w:asciiTheme="majorHAnsi" w:hAnsiTheme="majorHAnsi" w:cstheme="majorHAnsi"/>
          <w:sz w:val="16"/>
          <w:szCs w:val="16"/>
        </w:rPr>
        <w:t>of $</w:t>
      </w:r>
      <w:r w:rsidRPr="00CE4B35">
        <w:rPr>
          <w:rFonts w:asciiTheme="majorHAnsi" w:hAnsiTheme="majorHAnsi" w:cstheme="majorHAnsi"/>
          <w:sz w:val="16"/>
          <w:szCs w:val="16"/>
        </w:rPr>
        <w:t>342</w:t>
      </w:r>
      <w:r w:rsidRPr="009E0848">
        <w:rPr>
          <w:rFonts w:asciiTheme="majorHAnsi" w:hAnsiTheme="majorHAnsi" w:cstheme="majorHAnsi"/>
          <w:sz w:val="16"/>
          <w:szCs w:val="16"/>
        </w:rPr>
        <w:t>.6 million and an ongoing cost of $</w:t>
      </w:r>
      <w:r w:rsidRPr="00CE4B35">
        <w:rPr>
          <w:rFonts w:asciiTheme="majorHAnsi" w:hAnsiTheme="majorHAnsi" w:cstheme="majorHAnsi"/>
          <w:sz w:val="16"/>
          <w:szCs w:val="16"/>
        </w:rPr>
        <w:t>265.1</w:t>
      </w:r>
      <w:r w:rsidRPr="009E0848">
        <w:rPr>
          <w:rFonts w:asciiTheme="majorHAnsi" w:hAnsiTheme="majorHAnsi" w:cstheme="majorHAnsi"/>
          <w:sz w:val="16"/>
          <w:szCs w:val="16"/>
        </w:rPr>
        <w:t xml:space="preserve"> </w:t>
      </w:r>
      <w:r w:rsidRPr="00813B4C">
        <w:rPr>
          <w:rFonts w:asciiTheme="majorHAnsi" w:hAnsiTheme="majorHAnsi" w:cstheme="majorHAnsi"/>
          <w:sz w:val="16"/>
          <w:szCs w:val="16"/>
        </w:rPr>
        <w:t>million). This resulted in a total economic impact of $</w:t>
      </w:r>
      <w:r>
        <w:rPr>
          <w:rFonts w:asciiTheme="majorHAnsi" w:hAnsiTheme="majorHAnsi" w:cstheme="majorHAnsi"/>
          <w:sz w:val="16"/>
          <w:szCs w:val="16"/>
        </w:rPr>
        <w:t>935.3</w:t>
      </w:r>
      <w:r w:rsidRPr="00813B4C">
        <w:rPr>
          <w:rFonts w:asciiTheme="majorHAnsi" w:hAnsiTheme="majorHAnsi" w:cstheme="majorHAnsi"/>
          <w:sz w:val="16"/>
          <w:szCs w:val="16"/>
        </w:rPr>
        <w:t xml:space="preserve"> million per year for the moderate scenario.</w:t>
      </w:r>
    </w:p>
    <w:p w14:paraId="4ED92E32" w14:textId="77777777" w:rsidR="000D213D" w:rsidRPr="00813B4C" w:rsidRDefault="000D213D" w:rsidP="006912C4">
      <w:pPr>
        <w:rPr>
          <w:rFonts w:asciiTheme="majorHAnsi" w:hAnsiTheme="majorHAnsi" w:cstheme="majorHAnsi"/>
          <w:sz w:val="16"/>
          <w:szCs w:val="16"/>
        </w:rPr>
      </w:pPr>
      <w:r w:rsidRPr="00813B4C">
        <w:rPr>
          <w:rFonts w:asciiTheme="majorHAnsi" w:hAnsiTheme="majorHAnsi" w:cstheme="majorHAnsi"/>
          <w:sz w:val="16"/>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gas supply.</w:t>
      </w:r>
    </w:p>
  </w:footnote>
  <w:footnote w:id="384">
    <w:p w14:paraId="0972DC89" w14:textId="77777777" w:rsidR="000D213D" w:rsidRPr="00813B4C" w:rsidRDefault="000D213D" w:rsidP="00E9246D">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Abelson</w:t>
      </w:r>
      <w:r>
        <w:rPr>
          <w:rFonts w:asciiTheme="majorHAnsi" w:hAnsiTheme="majorHAnsi" w:cstheme="majorHAnsi"/>
          <w:szCs w:val="16"/>
        </w:rPr>
        <w:t>,</w:t>
      </w:r>
      <w:r w:rsidRPr="00813B4C">
        <w:rPr>
          <w:rFonts w:asciiTheme="majorHAnsi" w:hAnsiTheme="majorHAnsi" w:cstheme="majorHAnsi"/>
          <w:szCs w:val="16"/>
        </w:rPr>
        <w:t xml:space="preserve"> 2007</w:t>
      </w:r>
    </w:p>
  </w:footnote>
  <w:footnote w:id="385">
    <w:p w14:paraId="415FE3BB" w14:textId="77777777" w:rsidR="000D213D" w:rsidRPr="00813B4C" w:rsidRDefault="000D213D" w:rsidP="0058422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86">
    <w:p w14:paraId="16B05008" w14:textId="77777777" w:rsidR="000D213D" w:rsidRPr="00813B4C" w:rsidRDefault="000D213D" w:rsidP="00584221">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RMP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87">
    <w:p w14:paraId="04FB073F" w14:textId="77777777" w:rsidR="000D213D" w:rsidRPr="00813B4C" w:rsidRDefault="000D213D" w:rsidP="0013202C">
      <w:pPr>
        <w:pStyle w:val="FootnoteText"/>
        <w:rPr>
          <w:rFonts w:asciiTheme="majorHAnsi" w:hAnsiTheme="majorHAnsi" w:cstheme="majorHAnsi"/>
          <w:szCs w:val="16"/>
        </w:rPr>
      </w:pPr>
      <w:r w:rsidRPr="00813B4C">
        <w:rPr>
          <w:rFonts w:asciiTheme="majorHAnsi" w:eastAsia="Univers 45 Light" w:hAnsiTheme="majorHAnsi" w:cstheme="majorHAnsi"/>
          <w:szCs w:val="16"/>
          <w:vertAlign w:val="superscript"/>
        </w:rPr>
        <w:footnoteRef/>
      </w:r>
      <w:r w:rsidRPr="00813B4C">
        <w:rPr>
          <w:rFonts w:asciiTheme="majorHAnsi" w:eastAsia="Univers 45 Light" w:hAnsiTheme="majorHAnsi" w:cstheme="majorHAnsi"/>
          <w:szCs w:val="16"/>
        </w:rPr>
        <w:t xml:space="preserve"> Australian Energy Regulator, 2018. </w:t>
      </w:r>
      <w:r w:rsidRPr="00813B4C">
        <w:rPr>
          <w:rFonts w:asciiTheme="majorHAnsi" w:hAnsiTheme="majorHAnsi" w:cstheme="majorHAnsi"/>
          <w:szCs w:val="16"/>
        </w:rPr>
        <w:t xml:space="preserve"> </w:t>
      </w:r>
    </w:p>
  </w:footnote>
  <w:footnote w:id="388">
    <w:p w14:paraId="2D51A22D" w14:textId="77777777" w:rsidR="000D213D" w:rsidRPr="00813B4C" w:rsidRDefault="000D213D" w:rsidP="00E9425D">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Foley 2020</w:t>
      </w:r>
    </w:p>
  </w:footnote>
  <w:footnote w:id="389">
    <w:p w14:paraId="2FC76B38" w14:textId="77777777" w:rsidR="000D213D" w:rsidRPr="00813B4C" w:rsidRDefault="000D213D" w:rsidP="00E9425D">
      <w:pPr>
        <w:pStyle w:val="FootnoteText"/>
        <w:rPr>
          <w:rFonts w:asciiTheme="majorHAnsi" w:hAnsiTheme="majorHAnsi" w:cstheme="majorHAnsi"/>
          <w:color w:val="000000"/>
          <w:szCs w:val="16"/>
        </w:rPr>
      </w:pPr>
      <w:r w:rsidRPr="00813B4C">
        <w:rPr>
          <w:rStyle w:val="FootnoteReference"/>
          <w:rFonts w:asciiTheme="majorHAnsi" w:hAnsiTheme="majorHAnsi" w:cstheme="majorHAnsi"/>
          <w:color w:val="000000"/>
          <w:szCs w:val="16"/>
        </w:rPr>
        <w:footnoteRef/>
      </w:r>
      <w:r w:rsidRPr="00813B4C">
        <w:rPr>
          <w:rFonts w:asciiTheme="majorHAnsi" w:hAnsiTheme="majorHAnsi" w:cstheme="majorHAnsi"/>
          <w:color w:val="000000"/>
          <w:szCs w:val="16"/>
        </w:rPr>
        <w:t xml:space="preserve"> Ibid</w:t>
      </w:r>
    </w:p>
  </w:footnote>
  <w:footnote w:id="390">
    <w:p w14:paraId="10691924" w14:textId="77777777" w:rsidR="000D213D" w:rsidRPr="00813B4C" w:rsidRDefault="000D213D" w:rsidP="0013202C">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Univers 45 Light" w:hAnsiTheme="majorHAnsi" w:cstheme="majorHAnsi"/>
          <w:szCs w:val="16"/>
        </w:rPr>
        <w:t>AEMO, 2018, Australian Energy Regulator, 2020; AEMC, 2019</w:t>
      </w:r>
    </w:p>
  </w:footnote>
  <w:footnote w:id="391">
    <w:p w14:paraId="2AF62CBB" w14:textId="765B97CB" w:rsidR="000D213D" w:rsidRPr="00813B4C" w:rsidRDefault="000D213D" w:rsidP="00B54B62">
      <w:pPr>
        <w:pStyle w:val="FootnoteText"/>
      </w:pPr>
      <w:r w:rsidRPr="00813B4C">
        <w:rPr>
          <w:rStyle w:val="FootnoteReference"/>
          <w:rFonts w:asciiTheme="majorHAnsi" w:hAnsiTheme="majorHAnsi" w:cstheme="majorHAnsi"/>
          <w:szCs w:val="16"/>
        </w:rPr>
        <w:footnoteRef/>
      </w:r>
      <w:r w:rsidRPr="00813B4C">
        <w:t>The total economic cost (being direct and indirect costs) was determined using the same CGE model approach used to estimate the benefits scenarios above. Total economic cost was determined by the CGE model and was based on an assumed economic shock equal to the cost of the draft risk management program framework (being a one-off cost of $88.</w:t>
      </w:r>
      <w:r>
        <w:t>3</w:t>
      </w:r>
      <w:r w:rsidRPr="00813B4C">
        <w:t xml:space="preserve"> million and an ongoing cost of $26.</w:t>
      </w:r>
      <w:r>
        <w:t>9</w:t>
      </w:r>
      <w:r w:rsidRPr="00813B4C">
        <w:t xml:space="preserve"> million). This resulted in a total economic impact of $</w:t>
      </w:r>
      <w:r>
        <w:t>68.6</w:t>
      </w:r>
      <w:r w:rsidRPr="00813B4C">
        <w:t xml:space="preserve"> million per year for the moderate scenario.</w:t>
      </w:r>
    </w:p>
    <w:p w14:paraId="56AB9A91" w14:textId="77777777" w:rsidR="000D213D" w:rsidRPr="00813B4C" w:rsidRDefault="000D213D" w:rsidP="00B54B62">
      <w:pPr>
        <w:pStyle w:val="FootnoteText"/>
      </w:pPr>
      <w:r w:rsidRPr="00813B4C">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electricity supply.</w:t>
      </w:r>
    </w:p>
  </w:footnote>
  <w:footnote w:id="392">
    <w:p w14:paraId="1FAD7735" w14:textId="77777777" w:rsidR="000D213D" w:rsidRPr="00813B4C" w:rsidRDefault="000D213D" w:rsidP="00F775C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93">
    <w:p w14:paraId="5CC30199" w14:textId="77777777" w:rsidR="000D213D" w:rsidRPr="00813B4C" w:rsidRDefault="000D213D" w:rsidP="00F775C3">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RMP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94">
    <w:p w14:paraId="00AB7E43" w14:textId="32DB37AA" w:rsidR="000D213D" w:rsidRPr="00813B4C" w:rsidRDefault="000D213D" w:rsidP="00FD765A">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The total economic cost (being direct and indirect costs) was determined using the same CGE model approach used to estimate the benefits scenarios above. Total economic cost was determined by the CGE model based on an assumed economic shock equal to the cost of the draft risk management program framework (being a one-off cost of $</w:t>
      </w:r>
      <w:r>
        <w:rPr>
          <w:rFonts w:asciiTheme="majorHAnsi" w:eastAsia="Calibri" w:hAnsiTheme="majorHAnsi" w:cstheme="majorHAnsi"/>
          <w:sz w:val="16"/>
          <w:szCs w:val="16"/>
        </w:rPr>
        <w:t>60</w:t>
      </w:r>
      <w:r w:rsidRPr="00813B4C">
        <w:rPr>
          <w:rFonts w:asciiTheme="majorHAnsi" w:eastAsia="Calibri" w:hAnsiTheme="majorHAnsi" w:cstheme="majorHAnsi"/>
          <w:sz w:val="16"/>
          <w:szCs w:val="16"/>
        </w:rPr>
        <w:t xml:space="preserve">.9 </w:t>
      </w:r>
      <w:r w:rsidRPr="00813B4C">
        <w:rPr>
          <w:rFonts w:asciiTheme="majorHAnsi" w:hAnsiTheme="majorHAnsi" w:cstheme="majorHAnsi"/>
          <w:sz w:val="16"/>
          <w:szCs w:val="16"/>
        </w:rPr>
        <w:t>million and an ongoing cost of $</w:t>
      </w:r>
      <w:r>
        <w:rPr>
          <w:rFonts w:asciiTheme="majorHAnsi" w:eastAsia="Calibri" w:hAnsiTheme="majorHAnsi" w:cstheme="majorHAnsi"/>
          <w:sz w:val="16"/>
          <w:szCs w:val="16"/>
        </w:rPr>
        <w:t>50.0</w:t>
      </w:r>
      <w:r w:rsidRPr="00813B4C">
        <w:rPr>
          <w:rFonts w:asciiTheme="majorHAnsi" w:eastAsia="Calibri" w:hAnsiTheme="majorHAnsi" w:cstheme="majorHAnsi"/>
          <w:sz w:val="16"/>
          <w:szCs w:val="16"/>
        </w:rPr>
        <w:t xml:space="preserve"> </w:t>
      </w:r>
      <w:r w:rsidRPr="00813B4C">
        <w:rPr>
          <w:rFonts w:asciiTheme="majorHAnsi" w:hAnsiTheme="majorHAnsi" w:cstheme="majorHAnsi"/>
          <w:sz w:val="16"/>
          <w:szCs w:val="16"/>
        </w:rPr>
        <w:t>million). This was a total economic impact of $</w:t>
      </w:r>
      <w:r>
        <w:rPr>
          <w:rFonts w:asciiTheme="majorHAnsi" w:eastAsia="Calibri" w:hAnsiTheme="majorHAnsi" w:cstheme="majorHAnsi"/>
          <w:sz w:val="16"/>
          <w:szCs w:val="16"/>
        </w:rPr>
        <w:t>281.6</w:t>
      </w:r>
      <w:r w:rsidRPr="00813B4C">
        <w:rPr>
          <w:rFonts w:asciiTheme="majorHAnsi" w:hAnsiTheme="majorHAnsi" w:cstheme="majorHAnsi"/>
          <w:sz w:val="16"/>
          <w:szCs w:val="16"/>
        </w:rPr>
        <w:t xml:space="preserve"> million per year for the moderate scenario.</w:t>
      </w:r>
    </w:p>
    <w:p w14:paraId="4E177EB8" w14:textId="77777777" w:rsidR="000D213D" w:rsidRPr="00813B4C" w:rsidRDefault="000D213D" w:rsidP="00FD765A">
      <w:pPr>
        <w:pStyle w:val="FootnoteText"/>
        <w:rPr>
          <w:rFonts w:asciiTheme="majorHAnsi" w:hAnsiTheme="majorHAnsi" w:cstheme="majorHAnsi"/>
          <w:szCs w:val="16"/>
        </w:rPr>
      </w:pPr>
      <w:r w:rsidRPr="00813B4C">
        <w:rPr>
          <w:rFonts w:asciiTheme="majorHAnsi" w:hAnsiTheme="majorHAnsi" w:cstheme="majorHAnsi"/>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freight supply.</w:t>
      </w:r>
    </w:p>
  </w:footnote>
  <w:footnote w:id="395">
    <w:p w14:paraId="2FD0AE74" w14:textId="77777777" w:rsidR="000D213D" w:rsidRPr="00813B4C" w:rsidRDefault="000D213D" w:rsidP="00BE078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Department of Prime Minister and Cabinet, 2020</w:t>
      </w:r>
    </w:p>
  </w:footnote>
  <w:footnote w:id="396">
    <w:p w14:paraId="73C17726" w14:textId="77777777" w:rsidR="000D213D" w:rsidRPr="00813B4C" w:rsidRDefault="000D213D" w:rsidP="00BE0785">
      <w:pPr>
        <w:pStyle w:val="FootnoteText"/>
        <w:rPr>
          <w:rFonts w:asciiTheme="majorHAnsi" w:hAnsiTheme="majorHAnsi" w:cstheme="majorHAnsi"/>
          <w:szCs w:val="16"/>
        </w:rPr>
      </w:pPr>
      <w:r w:rsidRPr="00813B4C">
        <w:rPr>
          <w:rStyle w:val="FootnoteReference"/>
          <w:rFonts w:asciiTheme="majorHAnsi" w:hAnsiTheme="majorHAnsi" w:cstheme="majorHAnsi"/>
          <w:szCs w:val="16"/>
        </w:rPr>
        <w:footnoteRef/>
      </w:r>
      <w:r w:rsidRPr="00813B4C">
        <w:rPr>
          <w:rFonts w:asciiTheme="majorHAnsi" w:hAnsiTheme="majorHAnsi" w:cstheme="majorHAnsi"/>
          <w:szCs w:val="16"/>
        </w:rPr>
        <w:t xml:space="preserve"> </w:t>
      </w:r>
      <w:r w:rsidRPr="00813B4C">
        <w:rPr>
          <w:rFonts w:asciiTheme="majorHAnsi" w:eastAsia="Times New Roman" w:hAnsiTheme="majorHAnsi" w:cstheme="majorHAnsi"/>
          <w:szCs w:val="16"/>
        </w:rPr>
        <w:t>For the purposes of calculating a total 10 year cost of compliance with the RMP framework, ongoing costs were assumed to commence in the year after the required implementation date (for example, for a rule requiring implementation within 2 years, the ongoing costs associated with the rule were assumed to start in year 3 of the 10 year period).</w:t>
      </w:r>
    </w:p>
  </w:footnote>
  <w:footnote w:id="397">
    <w:p w14:paraId="1AA94BCC" w14:textId="77777777" w:rsidR="000D213D" w:rsidRDefault="000D213D" w:rsidP="00316F07">
      <w:pPr>
        <w:pStyle w:val="FootnoteText"/>
      </w:pPr>
      <w:r>
        <w:rPr>
          <w:rStyle w:val="FootnoteReference"/>
        </w:rPr>
        <w:footnoteRef/>
      </w:r>
      <w:r>
        <w:t xml:space="preserve"> </w:t>
      </w:r>
      <w:hyperlink r:id="rId45" w:history="1">
        <w:r w:rsidRPr="00525759">
          <w:rPr>
            <w:rStyle w:val="Hyperlink"/>
          </w:rPr>
          <w:t>https://www.statista.com/statistics/1063165/revenue-of-coop-retail-stores-in-sweden-by-region/</w:t>
        </w:r>
      </w:hyperlink>
      <w:r>
        <w:t xml:space="preserve"> </w:t>
      </w:r>
    </w:p>
  </w:footnote>
  <w:footnote w:id="398">
    <w:p w14:paraId="09E436D4" w14:textId="77777777" w:rsidR="000D213D" w:rsidRDefault="000D213D" w:rsidP="00E415F9">
      <w:pPr>
        <w:pStyle w:val="FootnoteText"/>
      </w:pPr>
      <w:r>
        <w:rPr>
          <w:rStyle w:val="FootnoteReference"/>
        </w:rPr>
        <w:footnoteRef/>
      </w:r>
      <w:r>
        <w:t xml:space="preserve"> </w:t>
      </w:r>
      <w:hyperlink r:id="rId46" w:history="1">
        <w:r w:rsidRPr="00087498">
          <w:rPr>
            <w:rStyle w:val="Hyperlink"/>
          </w:rPr>
          <w:t>https://www.abc.net.au/news/rural/2021-06-10/jbs-foods-pays-14million-ransom-cyber-attack/100204240</w:t>
        </w:r>
      </w:hyperlink>
    </w:p>
  </w:footnote>
  <w:footnote w:id="399">
    <w:p w14:paraId="6004D2EE" w14:textId="508F0ABC" w:rsidR="000D213D" w:rsidRPr="00813B4C" w:rsidRDefault="000D213D" w:rsidP="00BE0785">
      <w:pPr>
        <w:rPr>
          <w:rFonts w:asciiTheme="majorHAnsi" w:hAnsiTheme="majorHAnsi" w:cstheme="majorHAnsi"/>
          <w:sz w:val="16"/>
          <w:szCs w:val="16"/>
        </w:rPr>
      </w:pPr>
      <w:r w:rsidRPr="00813B4C">
        <w:rPr>
          <w:rStyle w:val="FootnoteReference"/>
          <w:rFonts w:asciiTheme="majorHAnsi" w:hAnsiTheme="majorHAnsi" w:cstheme="majorHAnsi"/>
          <w:sz w:val="16"/>
          <w:szCs w:val="16"/>
        </w:rPr>
        <w:footnoteRef/>
      </w:r>
      <w:r w:rsidRPr="00813B4C">
        <w:rPr>
          <w:rFonts w:asciiTheme="majorHAnsi" w:hAnsiTheme="majorHAnsi" w:cstheme="majorHAnsi"/>
          <w:sz w:val="16"/>
          <w:szCs w:val="16"/>
        </w:rPr>
        <w:t xml:space="preserve">The total economic cost (being direct and indirect costs) was determined using the same CGE model approach used to estimate the benefits scenarios above. Total economic cost was determined by the CGE model based on an assumed economic shock equal to the cost of the draft risk management program framework (being a one-off cost of </w:t>
      </w:r>
      <w:r>
        <w:rPr>
          <w:rFonts w:asciiTheme="majorHAnsi" w:hAnsiTheme="majorHAnsi" w:cstheme="majorHAnsi"/>
          <w:sz w:val="16"/>
          <w:szCs w:val="16"/>
        </w:rPr>
        <w:t>$12.2</w:t>
      </w:r>
      <w:r w:rsidRPr="00813B4C">
        <w:rPr>
          <w:rFonts w:asciiTheme="majorHAnsi" w:eastAsia="Calibri" w:hAnsiTheme="majorHAnsi" w:cstheme="majorHAnsi"/>
          <w:sz w:val="16"/>
          <w:szCs w:val="16"/>
        </w:rPr>
        <w:t xml:space="preserve"> </w:t>
      </w:r>
      <w:r w:rsidRPr="00813B4C">
        <w:rPr>
          <w:rFonts w:asciiTheme="majorHAnsi" w:hAnsiTheme="majorHAnsi" w:cstheme="majorHAnsi"/>
          <w:sz w:val="16"/>
          <w:szCs w:val="16"/>
        </w:rPr>
        <w:t>million and an ongoing cost of $</w:t>
      </w:r>
      <w:r>
        <w:rPr>
          <w:rFonts w:asciiTheme="majorHAnsi" w:hAnsiTheme="majorHAnsi" w:cstheme="majorHAnsi"/>
          <w:sz w:val="16"/>
          <w:szCs w:val="16"/>
        </w:rPr>
        <w:t>6.6</w:t>
      </w:r>
      <w:r w:rsidRPr="00813B4C">
        <w:rPr>
          <w:rFonts w:asciiTheme="majorHAnsi" w:eastAsia="Calibri" w:hAnsiTheme="majorHAnsi" w:cstheme="majorHAnsi"/>
          <w:sz w:val="16"/>
          <w:szCs w:val="16"/>
        </w:rPr>
        <w:t xml:space="preserve"> </w:t>
      </w:r>
      <w:r w:rsidRPr="00813B4C">
        <w:rPr>
          <w:rFonts w:asciiTheme="majorHAnsi" w:hAnsiTheme="majorHAnsi" w:cstheme="majorHAnsi"/>
          <w:sz w:val="16"/>
          <w:szCs w:val="16"/>
        </w:rPr>
        <w:t>million). This was a total economic impact of $</w:t>
      </w:r>
      <w:r>
        <w:rPr>
          <w:rFonts w:asciiTheme="majorHAnsi" w:eastAsia="Calibri" w:hAnsiTheme="majorHAnsi" w:cstheme="majorHAnsi"/>
          <w:sz w:val="16"/>
          <w:szCs w:val="16"/>
        </w:rPr>
        <w:t>12.5</w:t>
      </w:r>
      <w:r w:rsidRPr="00813B4C">
        <w:rPr>
          <w:rFonts w:asciiTheme="majorHAnsi" w:hAnsiTheme="majorHAnsi" w:cstheme="majorHAnsi"/>
          <w:sz w:val="16"/>
          <w:szCs w:val="16"/>
        </w:rPr>
        <w:t xml:space="preserve"> million per year for the moderate scenario.</w:t>
      </w:r>
    </w:p>
    <w:p w14:paraId="341CE47B" w14:textId="77777777" w:rsidR="000D213D" w:rsidRPr="00813B4C" w:rsidRDefault="000D213D" w:rsidP="00BE0785">
      <w:pPr>
        <w:pStyle w:val="FootnoteText"/>
        <w:rPr>
          <w:rFonts w:asciiTheme="majorHAnsi" w:hAnsiTheme="majorHAnsi" w:cstheme="majorHAnsi"/>
          <w:szCs w:val="16"/>
        </w:rPr>
      </w:pPr>
      <w:r w:rsidRPr="00813B4C">
        <w:rPr>
          <w:rFonts w:asciiTheme="majorHAnsi" w:hAnsiTheme="majorHAnsi" w:cstheme="majorHAnsi"/>
          <w:szCs w:val="16"/>
        </w:rPr>
        <w:t>CGE modelling is a whole-of-economy approach that represents the Australian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In this context, indirect costs refer to flow-on costs to the economy due to supply chain linkages and other feedback responses by all economic agents (e.g. households, businesses), including those due to changes in prices or a decline in production caused by the absence of freight supply.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ED09A" w14:textId="77777777" w:rsidR="00AF3B5C" w:rsidRDefault="00AF3B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F8788" w14:textId="1A80DCBE" w:rsidR="000D213D" w:rsidRPr="0030502B" w:rsidRDefault="000D213D" w:rsidP="002A6322">
    <w:pPr>
      <w:pStyle w:val="Protection"/>
      <w:jc w:val="right"/>
    </w:pPr>
    <w:r w:rsidRPr="00621F4C">
      <w:rPr>
        <w:noProof/>
        <w:color w:val="000000" w:themeColor="text1"/>
        <w:lang w:eastAsia="en-AU"/>
      </w:rPr>
      <w:drawing>
        <wp:anchor distT="0" distB="0" distL="114300" distR="114300" simplePos="0" relativeHeight="251658245" behindDoc="1" locked="1" layoutInCell="1" allowOverlap="0" wp14:anchorId="7B7B0435" wp14:editId="395D5E44">
          <wp:simplePos x="0" y="0"/>
          <wp:positionH relativeFrom="page">
            <wp:align>left</wp:align>
          </wp:positionH>
          <wp:positionV relativeFrom="page">
            <wp:posOffset>0</wp:posOffset>
          </wp:positionV>
          <wp:extent cx="7560000" cy="536400"/>
          <wp:effectExtent l="0" t="0" r="3175" b="0"/>
          <wp:wrapNone/>
          <wp:docPr id="245" name="Picture 24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llower_Portrait.jpg"/>
                  <pic:cNvPicPr/>
                </pic:nvPicPr>
                <pic:blipFill>
                  <a:blip r:embed="rId1"/>
                  <a:stretch>
                    <a:fillRect/>
                  </a:stretch>
                </pic:blipFill>
                <pic:spPr>
                  <a:xfrm>
                    <a:off x="0" y="0"/>
                    <a:ext cx="7560000" cy="536400"/>
                  </a:xfrm>
                  <a:prstGeom prst="rect">
                    <a:avLst/>
                  </a:prstGeom>
                </pic:spPr>
              </pic:pic>
            </a:graphicData>
          </a:graphic>
          <wp14:sizeRelH relativeFrom="margin">
            <wp14:pctWidth>0</wp14:pctWidth>
          </wp14:sizeRelH>
          <wp14:sizeRelV relativeFrom="margin">
            <wp14:pctHeight>0</wp14:pctHeight>
          </wp14:sizeRelV>
        </wp:anchor>
      </w:drawing>
    </w:r>
  </w:p>
  <w:p w14:paraId="1F0F4FB0" w14:textId="77777777" w:rsidR="000D213D" w:rsidRPr="0030502B" w:rsidRDefault="00A11971" w:rsidP="001E2EFC">
    <w:pPr>
      <w:pStyle w:val="Protection"/>
    </w:pPr>
    <w:sdt>
      <w:sdtPr>
        <w:alias w:val="IMM"/>
        <w:tag w:val="DLM"/>
        <w:id w:val="-1417079864"/>
        <w:placeholder>
          <w:docPart w:val="E17B7016F66C4C2C89BD2A1877DFFCAB"/>
        </w:placeholder>
        <w:dataBinding w:xpath="/ns0:Minute_Root[1]/ns0:dlm[1]" w:storeItemID="{00000000-0000-0000-0000-000000000000}"/>
        <w:text/>
      </w:sdtPr>
      <w:sdtEndPr/>
      <w:sdtContent>
        <w:r w:rsidR="000D213D">
          <w:t xml:space="preserve">  </w:t>
        </w:r>
      </w:sdtContent>
    </w:sdt>
  </w:p>
  <w:p w14:paraId="2970E057" w14:textId="77777777" w:rsidR="000D213D" w:rsidRPr="00250BFB" w:rsidRDefault="000D213D" w:rsidP="001E2EFC">
    <w:pPr>
      <w:pStyle w:val="Header"/>
      <w:spacing w:after="2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9B6CA" w14:textId="77777777" w:rsidR="00AF3B5C" w:rsidRDefault="00AF3B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4AB8DFC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08813F6"/>
    <w:multiLevelType w:val="hybridMultilevel"/>
    <w:tmpl w:val="D2B611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1250406"/>
    <w:multiLevelType w:val="hybridMultilevel"/>
    <w:tmpl w:val="0DBC5B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1610ED5"/>
    <w:multiLevelType w:val="multilevel"/>
    <w:tmpl w:val="2572CDE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01FB28C5"/>
    <w:multiLevelType w:val="multilevel"/>
    <w:tmpl w:val="11C64328"/>
    <w:styleLink w:val="ListParagraph0"/>
    <w:lvl w:ilvl="0">
      <w:start w:val="1"/>
      <w:numFmt w:val="none"/>
      <w:suff w:val="nothing"/>
      <w:lvlText w:val=""/>
      <w:lvlJc w:val="left"/>
      <w:pPr>
        <w:ind w:left="284" w:firstLine="0"/>
      </w:pPr>
      <w:rPr>
        <w:rFonts w:asciiTheme="minorHAnsi" w:hAnsiTheme="minorHAnsi" w:hint="default"/>
        <w:color w:val="auto"/>
      </w:rPr>
    </w:lvl>
    <w:lvl w:ilvl="1">
      <w:start w:val="1"/>
      <w:numFmt w:val="none"/>
      <w:suff w:val="nothing"/>
      <w:lvlText w:val=""/>
      <w:lvlJc w:val="left"/>
      <w:pPr>
        <w:ind w:left="567" w:firstLine="0"/>
      </w:pPr>
      <w:rPr>
        <w:rFonts w:asciiTheme="minorHAnsi" w:hAnsiTheme="minorHAnsi" w:hint="default"/>
        <w:color w:val="auto"/>
      </w:rPr>
    </w:lvl>
    <w:lvl w:ilvl="2">
      <w:start w:val="1"/>
      <w:numFmt w:val="none"/>
      <w:suff w:val="nothing"/>
      <w:lvlText w:val=""/>
      <w:lvlJc w:val="left"/>
      <w:pPr>
        <w:ind w:left="851" w:firstLine="0"/>
      </w:pPr>
      <w:rPr>
        <w:rFonts w:asciiTheme="minorHAnsi" w:hAnsiTheme="minorHAnsi" w:hint="default"/>
        <w:color w:val="auto"/>
      </w:rPr>
    </w:lvl>
    <w:lvl w:ilvl="3">
      <w:start w:val="1"/>
      <w:numFmt w:val="none"/>
      <w:suff w:val="nothing"/>
      <w:lvlText w:val=""/>
      <w:lvlJc w:val="left"/>
      <w:pPr>
        <w:ind w:left="1134" w:firstLine="0"/>
      </w:pPr>
      <w:rPr>
        <w:rFonts w:asciiTheme="minorHAnsi" w:hAnsiTheme="minorHAnsi" w:hint="default"/>
        <w:color w:val="auto"/>
      </w:rPr>
    </w:lvl>
    <w:lvl w:ilvl="4">
      <w:start w:val="1"/>
      <w:numFmt w:val="none"/>
      <w:suff w:val="nothing"/>
      <w:lvlText w:val=""/>
      <w:lvlJc w:val="left"/>
      <w:pPr>
        <w:ind w:left="1418" w:firstLine="0"/>
      </w:pPr>
      <w:rPr>
        <w:rFonts w:asciiTheme="minorHAnsi" w:hAnsiTheme="minorHAnsi" w:hint="default"/>
        <w:color w:val="auto"/>
      </w:rPr>
    </w:lvl>
    <w:lvl w:ilvl="5">
      <w:start w:val="1"/>
      <w:numFmt w:val="none"/>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5" w15:restartNumberingAfterBreak="0">
    <w:nsid w:val="02581EB3"/>
    <w:multiLevelType w:val="multilevel"/>
    <w:tmpl w:val="CCE02DC4"/>
    <w:lvl w:ilvl="0">
      <w:start w:val="1"/>
      <w:numFmt w:val="lowerRoman"/>
      <w:lvlText w:val="%1."/>
      <w:lvlJc w:val="righ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6" w15:restartNumberingAfterBreak="0">
    <w:nsid w:val="043F1A03"/>
    <w:multiLevelType w:val="hybridMultilevel"/>
    <w:tmpl w:val="5C78D8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05984D89"/>
    <w:multiLevelType w:val="multilevel"/>
    <w:tmpl w:val="32345D04"/>
    <w:numStyleLink w:val="Style1"/>
  </w:abstractNum>
  <w:abstractNum w:abstractNumId="8" w15:restartNumberingAfterBreak="0">
    <w:nsid w:val="05AF2E3C"/>
    <w:multiLevelType w:val="hybridMultilevel"/>
    <w:tmpl w:val="596040CE"/>
    <w:lvl w:ilvl="0" w:tplc="0C090001">
      <w:start w:val="1"/>
      <w:numFmt w:val="bullet"/>
      <w:lvlText w:val=""/>
      <w:lvlJc w:val="left"/>
      <w:pPr>
        <w:ind w:left="360" w:hanging="360"/>
      </w:pPr>
      <w:rPr>
        <w:rFonts w:ascii="Symbol" w:hAnsi="Symbol" w:hint="default"/>
      </w:rPr>
    </w:lvl>
    <w:lvl w:ilvl="1" w:tplc="6B8A0E30">
      <w:numFmt w:val="bullet"/>
      <w:lvlText w:val="•"/>
      <w:lvlJc w:val="left"/>
      <w:pPr>
        <w:ind w:left="1080" w:hanging="36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5E43B43"/>
    <w:multiLevelType w:val="hybridMultilevel"/>
    <w:tmpl w:val="7EB2EC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066B6811"/>
    <w:multiLevelType w:val="hybridMultilevel"/>
    <w:tmpl w:val="5574B43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6CA2479"/>
    <w:multiLevelType w:val="multilevel"/>
    <w:tmpl w:val="EBA22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7284AE9"/>
    <w:multiLevelType w:val="multilevel"/>
    <w:tmpl w:val="3F1EBC72"/>
    <w:styleLink w:val="ListAlpha"/>
    <w:lvl w:ilvl="0">
      <w:start w:val="1"/>
      <w:numFmt w:val="upperLetter"/>
      <w:lvlText w:val="%1."/>
      <w:lvlJc w:val="left"/>
      <w:pPr>
        <w:tabs>
          <w:tab w:val="num" w:pos="284"/>
        </w:tabs>
        <w:ind w:left="567" w:hanging="567"/>
      </w:pPr>
      <w:rPr>
        <w:rFonts w:asciiTheme="minorHAnsi" w:hAnsiTheme="minorHAnsi" w:hint="default"/>
        <w:color w:val="auto"/>
        <w:sz w:val="20"/>
      </w:rPr>
    </w:lvl>
    <w:lvl w:ilvl="1">
      <w:start w:val="1"/>
      <w:numFmt w:val="lowerRoman"/>
      <w:lvlText w:val="%2."/>
      <w:lvlJc w:val="left"/>
      <w:pPr>
        <w:tabs>
          <w:tab w:val="num" w:pos="1134"/>
        </w:tabs>
        <w:ind w:left="1134" w:hanging="567"/>
      </w:pPr>
      <w:rPr>
        <w:rFonts w:asciiTheme="minorHAnsi" w:hAnsiTheme="minorHAnsi" w:hint="default"/>
        <w:color w:val="auto"/>
        <w:sz w:val="22"/>
      </w:rPr>
    </w:lvl>
    <w:lvl w:ilvl="2">
      <w:start w:val="1"/>
      <w:numFmt w:val="lowerLetter"/>
      <w:lvlText w:val="%3."/>
      <w:lvlJc w:val="left"/>
      <w:pPr>
        <w:tabs>
          <w:tab w:val="num" w:pos="1701"/>
        </w:tabs>
        <w:ind w:left="1701" w:hanging="567"/>
      </w:pPr>
      <w:rPr>
        <w:rFonts w:asciiTheme="minorHAnsi" w:hAnsiTheme="minorHAnsi" w:hint="default"/>
        <w:color w:val="auto"/>
        <w:sz w:val="20"/>
      </w:rPr>
    </w:lvl>
    <w:lvl w:ilvl="3">
      <w:start w:val="1"/>
      <w:numFmt w:val="upperRoman"/>
      <w:lvlText w:val="%4."/>
      <w:lvlJc w:val="left"/>
      <w:pPr>
        <w:tabs>
          <w:tab w:val="num" w:pos="2268"/>
        </w:tabs>
        <w:ind w:left="2268" w:hanging="567"/>
      </w:pPr>
      <w:rPr>
        <w:rFonts w:asciiTheme="minorHAnsi" w:hAnsiTheme="minorHAnsi" w:hint="default"/>
        <w:color w:val="auto"/>
        <w:sz w:val="20"/>
      </w:rPr>
    </w:lvl>
    <w:lvl w:ilvl="4">
      <w:start w:val="1"/>
      <w:numFmt w:val="decimal"/>
      <w:lvlText w:val="%5."/>
      <w:lvlJc w:val="left"/>
      <w:pPr>
        <w:tabs>
          <w:tab w:val="num" w:pos="2835"/>
        </w:tabs>
        <w:ind w:left="2835" w:hanging="567"/>
      </w:pPr>
      <w:rPr>
        <w:rFonts w:asciiTheme="minorHAnsi" w:hAnsiTheme="minorHAnsi" w:hint="default"/>
        <w:color w:val="auto"/>
        <w:sz w:val="20"/>
      </w:rPr>
    </w:lvl>
    <w:lvl w:ilvl="5">
      <w:start w:val="1"/>
      <w:numFmt w:val="lowerLetter"/>
      <w:lvlText w:val="%6."/>
      <w:lvlJc w:val="left"/>
      <w:pPr>
        <w:tabs>
          <w:tab w:val="num" w:pos="3402"/>
        </w:tabs>
        <w:ind w:left="3402" w:hanging="567"/>
      </w:pPr>
      <w:rPr>
        <w:rFonts w:asciiTheme="minorHAnsi" w:hAnsiTheme="minorHAnsi" w:hint="default"/>
        <w:color w:val="auto"/>
        <w:sz w:val="20"/>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13" w15:restartNumberingAfterBreak="0">
    <w:nsid w:val="074E5E84"/>
    <w:multiLevelType w:val="hybridMultilevel"/>
    <w:tmpl w:val="FFFFFFFF"/>
    <w:lvl w:ilvl="0" w:tplc="939C2FBA">
      <w:start w:val="1"/>
      <w:numFmt w:val="bullet"/>
      <w:lvlText w:val=""/>
      <w:lvlJc w:val="left"/>
      <w:pPr>
        <w:ind w:left="360" w:hanging="360"/>
      </w:pPr>
      <w:rPr>
        <w:rFonts w:ascii="Symbol" w:hAnsi="Symbol" w:hint="default"/>
      </w:rPr>
    </w:lvl>
    <w:lvl w:ilvl="1" w:tplc="41D27448">
      <w:start w:val="1"/>
      <w:numFmt w:val="bullet"/>
      <w:lvlText w:val="o"/>
      <w:lvlJc w:val="left"/>
      <w:pPr>
        <w:ind w:left="1080" w:hanging="360"/>
      </w:pPr>
      <w:rPr>
        <w:rFonts w:ascii="Courier New" w:hAnsi="Courier New" w:hint="default"/>
      </w:rPr>
    </w:lvl>
    <w:lvl w:ilvl="2" w:tplc="64A0AED4">
      <w:start w:val="1"/>
      <w:numFmt w:val="bullet"/>
      <w:lvlText w:val=""/>
      <w:lvlJc w:val="left"/>
      <w:pPr>
        <w:ind w:left="1800" w:hanging="360"/>
      </w:pPr>
      <w:rPr>
        <w:rFonts w:ascii="Wingdings" w:hAnsi="Wingdings" w:hint="default"/>
      </w:rPr>
    </w:lvl>
    <w:lvl w:ilvl="3" w:tplc="81FAD222">
      <w:start w:val="1"/>
      <w:numFmt w:val="bullet"/>
      <w:lvlText w:val=""/>
      <w:lvlJc w:val="left"/>
      <w:pPr>
        <w:ind w:left="2520" w:hanging="360"/>
      </w:pPr>
      <w:rPr>
        <w:rFonts w:ascii="Symbol" w:hAnsi="Symbol" w:hint="default"/>
      </w:rPr>
    </w:lvl>
    <w:lvl w:ilvl="4" w:tplc="104699FC">
      <w:start w:val="1"/>
      <w:numFmt w:val="bullet"/>
      <w:lvlText w:val="o"/>
      <w:lvlJc w:val="left"/>
      <w:pPr>
        <w:ind w:left="3240" w:hanging="360"/>
      </w:pPr>
      <w:rPr>
        <w:rFonts w:ascii="Courier New" w:hAnsi="Courier New" w:hint="default"/>
      </w:rPr>
    </w:lvl>
    <w:lvl w:ilvl="5" w:tplc="D31EAD78">
      <w:start w:val="1"/>
      <w:numFmt w:val="bullet"/>
      <w:lvlText w:val=""/>
      <w:lvlJc w:val="left"/>
      <w:pPr>
        <w:ind w:left="3960" w:hanging="360"/>
      </w:pPr>
      <w:rPr>
        <w:rFonts w:ascii="Wingdings" w:hAnsi="Wingdings" w:hint="default"/>
      </w:rPr>
    </w:lvl>
    <w:lvl w:ilvl="6" w:tplc="6D0E32AE">
      <w:start w:val="1"/>
      <w:numFmt w:val="bullet"/>
      <w:lvlText w:val=""/>
      <w:lvlJc w:val="left"/>
      <w:pPr>
        <w:ind w:left="4680" w:hanging="360"/>
      </w:pPr>
      <w:rPr>
        <w:rFonts w:ascii="Symbol" w:hAnsi="Symbol" w:hint="default"/>
      </w:rPr>
    </w:lvl>
    <w:lvl w:ilvl="7" w:tplc="9C0C1494">
      <w:start w:val="1"/>
      <w:numFmt w:val="bullet"/>
      <w:lvlText w:val="o"/>
      <w:lvlJc w:val="left"/>
      <w:pPr>
        <w:ind w:left="5400" w:hanging="360"/>
      </w:pPr>
      <w:rPr>
        <w:rFonts w:ascii="Courier New" w:hAnsi="Courier New" w:hint="default"/>
      </w:rPr>
    </w:lvl>
    <w:lvl w:ilvl="8" w:tplc="D5FA4E6C">
      <w:start w:val="1"/>
      <w:numFmt w:val="bullet"/>
      <w:lvlText w:val=""/>
      <w:lvlJc w:val="left"/>
      <w:pPr>
        <w:ind w:left="6120" w:hanging="360"/>
      </w:pPr>
      <w:rPr>
        <w:rFonts w:ascii="Wingdings" w:hAnsi="Wingdings" w:hint="default"/>
      </w:rPr>
    </w:lvl>
  </w:abstractNum>
  <w:abstractNum w:abstractNumId="14" w15:restartNumberingAfterBreak="0">
    <w:nsid w:val="076E3A74"/>
    <w:multiLevelType w:val="hybridMultilevel"/>
    <w:tmpl w:val="451A4E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84D1DAD"/>
    <w:multiLevelType w:val="hybridMultilevel"/>
    <w:tmpl w:val="FF08974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6" w15:restartNumberingAfterBreak="0">
    <w:nsid w:val="08D457C5"/>
    <w:multiLevelType w:val="multilevel"/>
    <w:tmpl w:val="624681D2"/>
    <w:numStyleLink w:val="ListTableBullet"/>
  </w:abstractNum>
  <w:abstractNum w:abstractNumId="17" w15:restartNumberingAfterBreak="0">
    <w:nsid w:val="0A0A4B4B"/>
    <w:multiLevelType w:val="multilevel"/>
    <w:tmpl w:val="641AA100"/>
    <w:lvl w:ilvl="0">
      <w:start w:val="1"/>
      <w:numFmt w:val="decimal"/>
      <w:lvlText w:val="%1."/>
      <w:lvlJc w:val="left"/>
      <w:pPr>
        <w:ind w:left="357" w:hanging="360"/>
      </w:pPr>
      <w:rPr>
        <w:rFonts w:hint="default"/>
      </w:rPr>
    </w:lvl>
    <w:lvl w:ilvl="1">
      <w:start w:val="1"/>
      <w:numFmt w:val="lowerLetter"/>
      <w:lvlText w:val="%2."/>
      <w:lvlJc w:val="left"/>
      <w:pPr>
        <w:ind w:left="1077" w:hanging="360"/>
      </w:pPr>
      <w:rPr>
        <w:rFonts w:hint="default"/>
      </w:rPr>
    </w:lvl>
    <w:lvl w:ilvl="2">
      <w:start w:val="1"/>
      <w:numFmt w:val="decimal"/>
      <w:lvlText w:val="%3."/>
      <w:lvlJc w:val="left"/>
      <w:pPr>
        <w:ind w:left="1977" w:hanging="360"/>
      </w:pPr>
      <w:rPr>
        <w:rFonts w:hint="default"/>
      </w:rPr>
    </w:lvl>
    <w:lvl w:ilvl="3">
      <w:start w:val="1"/>
      <w:numFmt w:val="decimal"/>
      <w:lvlText w:val="%4."/>
      <w:lvlJc w:val="left"/>
      <w:pPr>
        <w:ind w:left="2517" w:hanging="360"/>
      </w:pPr>
      <w:rPr>
        <w:rFonts w:hint="default"/>
      </w:rPr>
    </w:lvl>
    <w:lvl w:ilvl="4">
      <w:start w:val="1"/>
      <w:numFmt w:val="lowerLetter"/>
      <w:lvlText w:val="%5."/>
      <w:lvlJc w:val="left"/>
      <w:pPr>
        <w:ind w:left="3237" w:hanging="360"/>
      </w:pPr>
      <w:rPr>
        <w:rFonts w:hint="default"/>
      </w:rPr>
    </w:lvl>
    <w:lvl w:ilvl="5">
      <w:start w:val="1"/>
      <w:numFmt w:val="lowerRoman"/>
      <w:lvlText w:val="%6."/>
      <w:lvlJc w:val="right"/>
      <w:pPr>
        <w:ind w:left="3957" w:hanging="180"/>
      </w:pPr>
      <w:rPr>
        <w:rFonts w:hint="default"/>
      </w:rPr>
    </w:lvl>
    <w:lvl w:ilvl="6">
      <w:start w:val="1"/>
      <w:numFmt w:val="decimal"/>
      <w:lvlText w:val="%7."/>
      <w:lvlJc w:val="left"/>
      <w:pPr>
        <w:ind w:left="4677" w:hanging="360"/>
      </w:pPr>
      <w:rPr>
        <w:rFonts w:hint="default"/>
      </w:rPr>
    </w:lvl>
    <w:lvl w:ilvl="7">
      <w:start w:val="1"/>
      <w:numFmt w:val="lowerLetter"/>
      <w:lvlText w:val="%8."/>
      <w:lvlJc w:val="left"/>
      <w:pPr>
        <w:ind w:left="5397" w:hanging="360"/>
      </w:pPr>
      <w:rPr>
        <w:rFonts w:hint="default"/>
      </w:rPr>
    </w:lvl>
    <w:lvl w:ilvl="8">
      <w:start w:val="1"/>
      <w:numFmt w:val="lowerRoman"/>
      <w:lvlText w:val="%9."/>
      <w:lvlJc w:val="right"/>
      <w:pPr>
        <w:ind w:left="6117" w:hanging="180"/>
      </w:pPr>
      <w:rPr>
        <w:rFonts w:hint="default"/>
      </w:rPr>
    </w:lvl>
  </w:abstractNum>
  <w:abstractNum w:abstractNumId="18" w15:restartNumberingAfterBreak="0">
    <w:nsid w:val="0A4D6793"/>
    <w:multiLevelType w:val="hybridMultilevel"/>
    <w:tmpl w:val="67F6B424"/>
    <w:lvl w:ilvl="0" w:tplc="4D763EF0">
      <w:start w:val="1"/>
      <w:numFmt w:val="bullet"/>
      <w:pStyle w:val="Bullet1stlevel"/>
      <w:lvlText w:val=""/>
      <w:lvlJc w:val="left"/>
      <w:pPr>
        <w:tabs>
          <w:tab w:val="num" w:pos="340"/>
        </w:tabs>
        <w:ind w:left="340" w:hanging="340"/>
      </w:pPr>
      <w:rPr>
        <w:rFonts w:ascii="Symbol" w:hAnsi="Symbol" w:hint="default"/>
        <w:color w:val="auto"/>
        <w:sz w:val="22"/>
      </w:rPr>
    </w:lvl>
    <w:lvl w:ilvl="1" w:tplc="C5223D38">
      <w:numFmt w:val="decimal"/>
      <w:lvlText w:val=""/>
      <w:lvlJc w:val="left"/>
    </w:lvl>
    <w:lvl w:ilvl="2" w:tplc="02142D5C">
      <w:numFmt w:val="decimal"/>
      <w:lvlText w:val=""/>
      <w:lvlJc w:val="left"/>
    </w:lvl>
    <w:lvl w:ilvl="3" w:tplc="81DC3DAA">
      <w:numFmt w:val="decimal"/>
      <w:lvlText w:val=""/>
      <w:lvlJc w:val="left"/>
    </w:lvl>
    <w:lvl w:ilvl="4" w:tplc="0AE8BAEA">
      <w:numFmt w:val="decimal"/>
      <w:lvlText w:val=""/>
      <w:lvlJc w:val="left"/>
    </w:lvl>
    <w:lvl w:ilvl="5" w:tplc="186670A4">
      <w:numFmt w:val="decimal"/>
      <w:lvlText w:val=""/>
      <w:lvlJc w:val="left"/>
    </w:lvl>
    <w:lvl w:ilvl="6" w:tplc="E5941FE0">
      <w:numFmt w:val="decimal"/>
      <w:lvlText w:val=""/>
      <w:lvlJc w:val="left"/>
    </w:lvl>
    <w:lvl w:ilvl="7" w:tplc="4EB6076C">
      <w:numFmt w:val="decimal"/>
      <w:lvlText w:val=""/>
      <w:lvlJc w:val="left"/>
    </w:lvl>
    <w:lvl w:ilvl="8" w:tplc="091CCC24">
      <w:numFmt w:val="decimal"/>
      <w:lvlText w:val=""/>
      <w:lvlJc w:val="left"/>
    </w:lvl>
  </w:abstractNum>
  <w:abstractNum w:abstractNumId="19" w15:restartNumberingAfterBreak="0">
    <w:nsid w:val="0A5D309E"/>
    <w:multiLevelType w:val="multilevel"/>
    <w:tmpl w:val="32345D04"/>
    <w:numStyleLink w:val="Style1"/>
  </w:abstractNum>
  <w:abstractNum w:abstractNumId="20" w15:restartNumberingAfterBreak="0">
    <w:nsid w:val="0B515F52"/>
    <w:multiLevelType w:val="hybridMultilevel"/>
    <w:tmpl w:val="233E6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B864A30"/>
    <w:multiLevelType w:val="hybridMultilevel"/>
    <w:tmpl w:val="C37012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0CC46F06"/>
    <w:multiLevelType w:val="hybridMultilevel"/>
    <w:tmpl w:val="FF6C7B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0CCD4DAA"/>
    <w:multiLevelType w:val="multilevel"/>
    <w:tmpl w:val="BDFC207A"/>
    <w:styleLink w:val="ListTableNumber"/>
    <w:lvl w:ilvl="0">
      <w:start w:val="1"/>
      <w:numFmt w:val="decimal"/>
      <w:lvlText w:val="%1."/>
      <w:lvlJc w:val="left"/>
      <w:pPr>
        <w:tabs>
          <w:tab w:val="num" w:pos="284"/>
        </w:tabs>
        <w:ind w:left="284" w:hanging="284"/>
      </w:pPr>
      <w:rPr>
        <w:rFonts w:asciiTheme="minorHAnsi" w:hAnsiTheme="minorHAnsi" w:hint="default"/>
        <w:b w:val="0"/>
        <w:i w:val="0"/>
        <w:color w:val="auto"/>
        <w:sz w:val="20"/>
        <w:szCs w:val="21"/>
      </w:rPr>
    </w:lvl>
    <w:lvl w:ilvl="1">
      <w:start w:val="1"/>
      <w:numFmt w:val="lowerLetter"/>
      <w:lvlText w:val="%2."/>
      <w:lvlJc w:val="left"/>
      <w:pPr>
        <w:tabs>
          <w:tab w:val="num" w:pos="567"/>
        </w:tabs>
        <w:ind w:left="567" w:hanging="283"/>
      </w:pPr>
      <w:rPr>
        <w:rFonts w:asciiTheme="minorHAnsi" w:hAnsiTheme="minorHAnsi" w:hint="default"/>
        <w:b w:val="0"/>
        <w:i w:val="0"/>
        <w:color w:val="auto"/>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0DD55E53"/>
    <w:multiLevelType w:val="hybridMultilevel"/>
    <w:tmpl w:val="DBF28EF6"/>
    <w:lvl w:ilvl="0" w:tplc="E95E3CE4">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0E3960FA"/>
    <w:multiLevelType w:val="hybridMultilevel"/>
    <w:tmpl w:val="53F8A8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15:restartNumberingAfterBreak="0">
    <w:nsid w:val="0FB66859"/>
    <w:multiLevelType w:val="hybridMultilevel"/>
    <w:tmpl w:val="DE946598"/>
    <w:lvl w:ilvl="0" w:tplc="0C09001B">
      <w:start w:val="1"/>
      <w:numFmt w:val="lowerRoman"/>
      <w:lvlText w:val="%1."/>
      <w:lvlJc w:val="right"/>
      <w:pPr>
        <w:tabs>
          <w:tab w:val="num" w:pos="765"/>
        </w:tabs>
        <w:ind w:left="765" w:hanging="340"/>
      </w:pPr>
      <w:rPr>
        <w:rFonts w:hint="default"/>
        <w:color w:val="auto"/>
        <w:sz w:val="22"/>
      </w:rPr>
    </w:lvl>
    <w:lvl w:ilvl="1" w:tplc="FFFFFFFF">
      <w:start w:val="1"/>
      <w:numFmt w:val="bullet"/>
      <w:lvlText w:val="o"/>
      <w:lvlJc w:val="left"/>
    </w:lvl>
    <w:lvl w:ilvl="2" w:tplc="FFFFFFFF">
      <w:start w:val="1"/>
      <w:numFmt w:val="bullet"/>
      <w:lvlText w:val="o"/>
      <w:lvlJc w:val="left"/>
      <w:rPr>
        <w:rFonts w:ascii="Courier New" w:hAnsi="Courier New" w:hint="default"/>
      </w:rPr>
    </w:lvl>
    <w:lvl w:ilvl="3" w:tplc="FFFFFFFF">
      <w:start w:val="1"/>
      <w:numFmt w:val="bullet"/>
      <w:lvlText w:val="o"/>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137616AE">
      <w:numFmt w:val="decimal"/>
      <w:lvlText w:val=""/>
      <w:lvlJc w:val="left"/>
    </w:lvl>
    <w:lvl w:ilvl="8" w:tplc="58FE7996">
      <w:numFmt w:val="decimal"/>
      <w:lvlText w:val=""/>
      <w:lvlJc w:val="left"/>
    </w:lvl>
  </w:abstractNum>
  <w:abstractNum w:abstractNumId="27" w15:restartNumberingAfterBreak="0">
    <w:nsid w:val="11AF2C2D"/>
    <w:multiLevelType w:val="hybridMultilevel"/>
    <w:tmpl w:val="FBFEFC20"/>
    <w:lvl w:ilvl="0" w:tplc="1E1ECCB0">
      <w:start w:val="1"/>
      <w:numFmt w:val="bullet"/>
      <w:pStyle w:val="Bullet2ndlevel"/>
      <w:lvlText w:val="–"/>
      <w:lvlJc w:val="left"/>
      <w:pPr>
        <w:tabs>
          <w:tab w:val="num" w:pos="765"/>
        </w:tabs>
        <w:ind w:left="765" w:hanging="340"/>
      </w:pPr>
      <w:rPr>
        <w:rFonts w:ascii="Univers 45 Light" w:hAnsi="Univers 45 Light" w:hint="default"/>
        <w:color w:val="auto"/>
        <w:sz w:val="22"/>
      </w:rPr>
    </w:lvl>
    <w:lvl w:ilvl="1" w:tplc="FFFFFFFF">
      <w:start w:val="1"/>
      <w:numFmt w:val="bullet"/>
      <w:lvlText w:val="o"/>
      <w:lvlJc w:val="left"/>
    </w:lvl>
    <w:lvl w:ilvl="2" w:tplc="FFFFFFFF">
      <w:start w:val="1"/>
      <w:numFmt w:val="bullet"/>
      <w:lvlText w:val="o"/>
      <w:lvlJc w:val="left"/>
      <w:rPr>
        <w:rFonts w:ascii="Courier New" w:hAnsi="Courier New" w:hint="default"/>
      </w:rPr>
    </w:lvl>
    <w:lvl w:ilvl="3" w:tplc="FFFFFFFF">
      <w:start w:val="1"/>
      <w:numFmt w:val="bullet"/>
      <w:lvlText w:val="o"/>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137616AE">
      <w:numFmt w:val="decimal"/>
      <w:lvlText w:val=""/>
      <w:lvlJc w:val="left"/>
    </w:lvl>
    <w:lvl w:ilvl="8" w:tplc="58FE7996">
      <w:numFmt w:val="decimal"/>
      <w:lvlText w:val=""/>
      <w:lvlJc w:val="left"/>
    </w:lvl>
  </w:abstractNum>
  <w:abstractNum w:abstractNumId="28" w15:restartNumberingAfterBreak="0">
    <w:nsid w:val="12AD2B25"/>
    <w:multiLevelType w:val="multilevel"/>
    <w:tmpl w:val="E9DE9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2AE5878"/>
    <w:multiLevelType w:val="hybridMultilevel"/>
    <w:tmpl w:val="785823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30F518E"/>
    <w:multiLevelType w:val="hybridMultilevel"/>
    <w:tmpl w:val="F67217B0"/>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1" w15:restartNumberingAfterBreak="0">
    <w:nsid w:val="137054AB"/>
    <w:multiLevelType w:val="hybridMultilevel"/>
    <w:tmpl w:val="F44485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3FE19A9"/>
    <w:multiLevelType w:val="hybridMultilevel"/>
    <w:tmpl w:val="454CE7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15:restartNumberingAfterBreak="0">
    <w:nsid w:val="15E10024"/>
    <w:multiLevelType w:val="hybridMultilevel"/>
    <w:tmpl w:val="030C3C34"/>
    <w:lvl w:ilvl="0" w:tplc="0C090019">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163D479B"/>
    <w:multiLevelType w:val="hybridMultilevel"/>
    <w:tmpl w:val="0A2A4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66E294B"/>
    <w:multiLevelType w:val="hybridMultilevel"/>
    <w:tmpl w:val="F3EEA39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79B3801"/>
    <w:multiLevelType w:val="multilevel"/>
    <w:tmpl w:val="E52A052A"/>
    <w:styleLink w:val="ListFeatureBullet"/>
    <w:lvl w:ilvl="0">
      <w:start w:val="1"/>
      <w:numFmt w:val="bullet"/>
      <w:lvlText w:val=""/>
      <w:lvlJc w:val="left"/>
      <w:pPr>
        <w:tabs>
          <w:tab w:val="num" w:pos="567"/>
        </w:tabs>
        <w:ind w:left="567" w:hanging="567"/>
      </w:pPr>
      <w:rPr>
        <w:rFonts w:ascii="Wingdings 3" w:hAnsi="Wingdings 3" w:hint="default"/>
        <w:color w:val="034EA2" w:themeColor="accent1"/>
        <w:sz w:val="18"/>
      </w:rPr>
    </w:lvl>
    <w:lvl w:ilvl="1">
      <w:start w:val="1"/>
      <w:numFmt w:val="bullet"/>
      <w:lvlText w:val="–"/>
      <w:lvlJc w:val="left"/>
      <w:pPr>
        <w:tabs>
          <w:tab w:val="num" w:pos="1134"/>
        </w:tabs>
        <w:ind w:left="1134" w:hanging="567"/>
      </w:pPr>
      <w:rPr>
        <w:rFonts w:ascii="Helvetica" w:hAnsi="Helvetica" w:hint="default"/>
        <w:color w:val="auto"/>
      </w:rPr>
    </w:lvl>
    <w:lvl w:ilvl="2">
      <w:start w:val="1"/>
      <w:numFmt w:val="bullet"/>
      <w:lvlText w:val=""/>
      <w:lvlJc w:val="left"/>
      <w:pPr>
        <w:tabs>
          <w:tab w:val="num" w:pos="1701"/>
        </w:tabs>
        <w:ind w:left="1701" w:hanging="567"/>
      </w:pPr>
      <w:rPr>
        <w:rFonts w:ascii="Wingdings 2" w:hAnsi="Wingdings 2" w:hint="default"/>
        <w:color w:val="auto"/>
      </w:rPr>
    </w:lvl>
    <w:lvl w:ilvl="3">
      <w:start w:val="1"/>
      <w:numFmt w:val="bullet"/>
      <w:lvlText w:val=""/>
      <w:lvlJc w:val="left"/>
      <w:pPr>
        <w:tabs>
          <w:tab w:val="num" w:pos="2268"/>
        </w:tabs>
        <w:ind w:left="2268" w:hanging="567"/>
      </w:pPr>
      <w:rPr>
        <w:rFonts w:ascii="Wingdings 3" w:hAnsi="Wingdings 3" w:hint="default"/>
        <w:color w:val="034EA2" w:themeColor="accent1"/>
        <w:sz w:val="18"/>
      </w:rPr>
    </w:lvl>
    <w:lvl w:ilvl="4">
      <w:start w:val="1"/>
      <w:numFmt w:val="bullet"/>
      <w:lvlText w:val="–"/>
      <w:lvlJc w:val="left"/>
      <w:pPr>
        <w:tabs>
          <w:tab w:val="num" w:pos="2835"/>
        </w:tabs>
        <w:ind w:left="2835" w:hanging="567"/>
      </w:pPr>
      <w:rPr>
        <w:rFonts w:ascii="Arial" w:hAnsi="Arial" w:hint="default"/>
        <w:color w:val="auto"/>
      </w:rPr>
    </w:lvl>
    <w:lvl w:ilvl="5">
      <w:start w:val="1"/>
      <w:numFmt w:val="bullet"/>
      <w:lvlText w:val=""/>
      <w:lvlJc w:val="left"/>
      <w:pPr>
        <w:tabs>
          <w:tab w:val="num" w:pos="3402"/>
        </w:tabs>
        <w:ind w:left="3402" w:hanging="567"/>
      </w:pPr>
      <w:rPr>
        <w:rFonts w:ascii="Wingdings 2" w:hAnsi="Wingdings 2" w:hint="default"/>
        <w:color w:val="auto"/>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7" w15:restartNumberingAfterBreak="0">
    <w:nsid w:val="186E749B"/>
    <w:multiLevelType w:val="multilevel"/>
    <w:tmpl w:val="CCE02DC4"/>
    <w:lvl w:ilvl="0">
      <w:start w:val="1"/>
      <w:numFmt w:val="lowerRoman"/>
      <w:lvlText w:val="%1."/>
      <w:lvlJc w:val="righ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8" w15:restartNumberingAfterBreak="0">
    <w:nsid w:val="18B811F9"/>
    <w:multiLevelType w:val="hybridMultilevel"/>
    <w:tmpl w:val="7D0829F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19697F8D"/>
    <w:multiLevelType w:val="hybridMultilevel"/>
    <w:tmpl w:val="44CA58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19E05B7B"/>
    <w:multiLevelType w:val="hybridMultilevel"/>
    <w:tmpl w:val="6A4ECD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19E639B7"/>
    <w:multiLevelType w:val="hybridMultilevel"/>
    <w:tmpl w:val="58BA6F0C"/>
    <w:lvl w:ilvl="0" w:tplc="AC30635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9F50A4E"/>
    <w:multiLevelType w:val="hybridMultilevel"/>
    <w:tmpl w:val="1C0EA2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1B59562F"/>
    <w:multiLevelType w:val="hybridMultilevel"/>
    <w:tmpl w:val="D8B67BD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1B677154"/>
    <w:multiLevelType w:val="singleLevel"/>
    <w:tmpl w:val="0C090001"/>
    <w:lvl w:ilvl="0">
      <w:start w:val="1"/>
      <w:numFmt w:val="bullet"/>
      <w:lvlText w:val=""/>
      <w:lvlJc w:val="left"/>
      <w:pPr>
        <w:ind w:left="360" w:hanging="360"/>
      </w:pPr>
      <w:rPr>
        <w:rFonts w:ascii="Symbol" w:hAnsi="Symbol" w:hint="default"/>
        <w:color w:val="auto"/>
        <w:sz w:val="24"/>
      </w:rPr>
    </w:lvl>
  </w:abstractNum>
  <w:abstractNum w:abstractNumId="45" w15:restartNumberingAfterBreak="0">
    <w:nsid w:val="1B874538"/>
    <w:multiLevelType w:val="hybridMultilevel"/>
    <w:tmpl w:val="730C36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6" w15:restartNumberingAfterBreak="0">
    <w:nsid w:val="1C454273"/>
    <w:multiLevelType w:val="hybridMultilevel"/>
    <w:tmpl w:val="B5FC07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1C8726AC"/>
    <w:multiLevelType w:val="hybridMultilevel"/>
    <w:tmpl w:val="FB0213A0"/>
    <w:lvl w:ilvl="0" w:tplc="64823BF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8" w15:restartNumberingAfterBreak="0">
    <w:nsid w:val="1D9513D9"/>
    <w:multiLevelType w:val="hybridMultilevel"/>
    <w:tmpl w:val="52F600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9" w15:restartNumberingAfterBreak="0">
    <w:nsid w:val="1E1B33B9"/>
    <w:multiLevelType w:val="hybridMultilevel"/>
    <w:tmpl w:val="ED86AC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1B434DF"/>
    <w:multiLevelType w:val="multilevel"/>
    <w:tmpl w:val="719E2BFE"/>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1" w15:restartNumberingAfterBreak="0">
    <w:nsid w:val="21DB098E"/>
    <w:multiLevelType w:val="hybridMultilevel"/>
    <w:tmpl w:val="279E27F6"/>
    <w:lvl w:ilvl="0" w:tplc="867CB7E0">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3E96BF8"/>
    <w:multiLevelType w:val="multilevel"/>
    <w:tmpl w:val="4A4A7EFE"/>
    <w:numStyleLink w:val="ListNumberedHeadings"/>
  </w:abstractNum>
  <w:abstractNum w:abstractNumId="53" w15:restartNumberingAfterBreak="0">
    <w:nsid w:val="240D2E8E"/>
    <w:multiLevelType w:val="hybridMultilevel"/>
    <w:tmpl w:val="846245FE"/>
    <w:lvl w:ilvl="0" w:tplc="0C09000F">
      <w:start w:val="1"/>
      <w:numFmt w:val="decimal"/>
      <w:lvlText w:val="%1."/>
      <w:lvlJc w:val="left"/>
      <w:pPr>
        <w:ind w:left="360" w:hanging="360"/>
      </w:pPr>
    </w:lvl>
    <w:lvl w:ilvl="1" w:tplc="178496BA">
      <w:start w:val="1"/>
      <w:numFmt w:val="lowerLetter"/>
      <w:lvlText w:val="(%2)"/>
      <w:lvlJc w:val="left"/>
      <w:pPr>
        <w:ind w:left="1080" w:hanging="360"/>
      </w:pPr>
      <w:rPr>
        <w:rFonts w:hint="default"/>
      </w:rPr>
    </w:lvl>
    <w:lvl w:ilvl="2" w:tplc="A2AADCDE">
      <w:start w:val="1"/>
      <w:numFmt w:val="decimal"/>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24741D40"/>
    <w:multiLevelType w:val="multilevel"/>
    <w:tmpl w:val="814A7C94"/>
    <w:styleLink w:val="ListNumber"/>
    <w:lvl w:ilvl="0">
      <w:start w:val="1"/>
      <w:numFmt w:val="decimal"/>
      <w:lvlText w:val="%1."/>
      <w:lvlJc w:val="left"/>
      <w:pPr>
        <w:tabs>
          <w:tab w:val="num" w:pos="567"/>
        </w:tabs>
        <w:ind w:left="567" w:hanging="567"/>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134"/>
        </w:tabs>
        <w:ind w:left="1134" w:hanging="567"/>
      </w:pPr>
      <w:rPr>
        <w:rFonts w:asciiTheme="minorHAnsi" w:hAnsiTheme="minorHAnsi" w:hint="default"/>
        <w:b w:val="0"/>
        <w:i w:val="0"/>
        <w:color w:val="auto"/>
        <w:sz w:val="20"/>
      </w:rPr>
    </w:lvl>
    <w:lvl w:ilvl="2">
      <w:start w:val="1"/>
      <w:numFmt w:val="lowerRoman"/>
      <w:lvlText w:val="%3."/>
      <w:lvlJc w:val="left"/>
      <w:pPr>
        <w:tabs>
          <w:tab w:val="num" w:pos="1701"/>
        </w:tabs>
        <w:ind w:left="1701" w:hanging="567"/>
      </w:pPr>
      <w:rPr>
        <w:rFonts w:asciiTheme="minorHAnsi" w:hAnsiTheme="minorHAnsi" w:hint="default"/>
        <w:b w:val="0"/>
        <w:i w:val="0"/>
        <w:color w:val="auto"/>
        <w:sz w:val="20"/>
      </w:rPr>
    </w:lvl>
    <w:lvl w:ilvl="3">
      <w:start w:val="1"/>
      <w:numFmt w:val="decimal"/>
      <w:lvlText w:val="%4."/>
      <w:lvlJc w:val="left"/>
      <w:pPr>
        <w:tabs>
          <w:tab w:val="num" w:pos="2268"/>
        </w:tabs>
        <w:ind w:left="2268" w:hanging="567"/>
      </w:pPr>
      <w:rPr>
        <w:rFonts w:asciiTheme="minorHAnsi" w:hAnsiTheme="minorHAnsi" w:hint="default"/>
        <w:b w:val="0"/>
        <w:i w:val="0"/>
        <w:color w:val="auto"/>
        <w:sz w:val="20"/>
      </w:rPr>
    </w:lvl>
    <w:lvl w:ilvl="4">
      <w:start w:val="1"/>
      <w:numFmt w:val="lowerLetter"/>
      <w:lvlText w:val="%5."/>
      <w:lvlJc w:val="left"/>
      <w:pPr>
        <w:tabs>
          <w:tab w:val="num" w:pos="2835"/>
        </w:tabs>
        <w:ind w:left="2835" w:hanging="567"/>
      </w:pPr>
      <w:rPr>
        <w:rFonts w:asciiTheme="minorHAnsi" w:hAnsiTheme="minorHAnsi" w:hint="default"/>
        <w:b w:val="0"/>
        <w:i w:val="0"/>
        <w:color w:val="auto"/>
        <w:sz w:val="20"/>
      </w:rPr>
    </w:lvl>
    <w:lvl w:ilvl="5">
      <w:start w:val="1"/>
      <w:numFmt w:val="lowerRoman"/>
      <w:lvlText w:val="%6."/>
      <w:lvlJc w:val="left"/>
      <w:pPr>
        <w:tabs>
          <w:tab w:val="num" w:pos="3402"/>
        </w:tabs>
        <w:ind w:left="3402" w:hanging="567"/>
      </w:pPr>
      <w:rPr>
        <w:rFonts w:asciiTheme="minorHAnsi" w:hAnsiTheme="minorHAns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55" w15:restartNumberingAfterBreak="0">
    <w:nsid w:val="24D8195F"/>
    <w:multiLevelType w:val="hybridMultilevel"/>
    <w:tmpl w:val="8C2CE872"/>
    <w:lvl w:ilvl="0" w:tplc="13B6A8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5F61169"/>
    <w:multiLevelType w:val="hybridMultilevel"/>
    <w:tmpl w:val="4C7C81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6026413"/>
    <w:multiLevelType w:val="multilevel"/>
    <w:tmpl w:val="0BB4736C"/>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Calibri" w:hAnsi="Calibri" w:hint="default"/>
      </w:rPr>
    </w:lvl>
    <w:lvl w:ilvl="2">
      <w:start w:val="1"/>
      <w:numFmt w:val="bullet"/>
      <w:pStyle w:val="ListBullet3"/>
      <w:lvlText w:val="o"/>
      <w:lvlJc w:val="left"/>
      <w:pPr>
        <w:ind w:left="852" w:hanging="284"/>
      </w:pPr>
      <w:rPr>
        <w:rFonts w:ascii="Courier New" w:hAnsi="Courier New" w:hint="default"/>
      </w:rPr>
    </w:lvl>
    <w:lvl w:ilvl="3">
      <w:start w:val="1"/>
      <w:numFmt w:val="bullet"/>
      <w:pStyle w:val="ListBullet4"/>
      <w:lvlText w:val=""/>
      <w:lvlJc w:val="left"/>
      <w:pPr>
        <w:ind w:left="1136" w:hanging="284"/>
      </w:pPr>
      <w:rPr>
        <w:rFonts w:ascii="Wingdings" w:hAnsi="Wingdings" w:hint="default"/>
      </w:rPr>
    </w:lvl>
    <w:lvl w:ilvl="4">
      <w:start w:val="1"/>
      <w:numFmt w:val="bullet"/>
      <w:lvlText w:val=""/>
      <w:lvlJc w:val="left"/>
      <w:pPr>
        <w:ind w:left="1420" w:hanging="284"/>
      </w:pPr>
      <w:rPr>
        <w:rFonts w:ascii="Symbol" w:hAnsi="Symbol"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8" w15:restartNumberingAfterBreak="0">
    <w:nsid w:val="262932CA"/>
    <w:multiLevelType w:val="singleLevel"/>
    <w:tmpl w:val="0C090001"/>
    <w:lvl w:ilvl="0">
      <w:start w:val="1"/>
      <w:numFmt w:val="bullet"/>
      <w:lvlText w:val=""/>
      <w:lvlJc w:val="left"/>
      <w:pPr>
        <w:ind w:left="360" w:hanging="360"/>
      </w:pPr>
      <w:rPr>
        <w:rFonts w:ascii="Symbol" w:hAnsi="Symbol" w:hint="default"/>
        <w:color w:val="auto"/>
        <w:sz w:val="24"/>
      </w:rPr>
    </w:lvl>
  </w:abstractNum>
  <w:abstractNum w:abstractNumId="59" w15:restartNumberingAfterBreak="0">
    <w:nsid w:val="29F43DB7"/>
    <w:multiLevelType w:val="multilevel"/>
    <w:tmpl w:val="846245FE"/>
    <w:lvl w:ilvl="0">
      <w:start w:val="1"/>
      <w:numFmt w:val="decimal"/>
      <w:lvlText w:val="%1."/>
      <w:lvlJc w:val="left"/>
      <w:pPr>
        <w:ind w:left="360" w:hanging="360"/>
      </w:pPr>
    </w:lvl>
    <w:lvl w:ilvl="1">
      <w:start w:val="1"/>
      <w:numFmt w:val="lowerLetter"/>
      <w:lvlText w:val="(%2)"/>
      <w:lvlJc w:val="left"/>
      <w:pPr>
        <w:ind w:left="1080" w:hanging="360"/>
      </w:pPr>
      <w:rPr>
        <w:rFonts w:hint="default"/>
      </w:r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0" w15:restartNumberingAfterBreak="0">
    <w:nsid w:val="2A3F74D2"/>
    <w:multiLevelType w:val="hybridMultilevel"/>
    <w:tmpl w:val="C5087F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1" w15:restartNumberingAfterBreak="0">
    <w:nsid w:val="2C643B24"/>
    <w:multiLevelType w:val="singleLevel"/>
    <w:tmpl w:val="0C090001"/>
    <w:lvl w:ilvl="0">
      <w:start w:val="1"/>
      <w:numFmt w:val="bullet"/>
      <w:lvlText w:val=""/>
      <w:lvlJc w:val="left"/>
      <w:pPr>
        <w:ind w:left="360" w:hanging="360"/>
      </w:pPr>
      <w:rPr>
        <w:rFonts w:ascii="Symbol" w:hAnsi="Symbol" w:hint="default"/>
        <w:color w:val="auto"/>
        <w:sz w:val="24"/>
      </w:rPr>
    </w:lvl>
  </w:abstractNum>
  <w:abstractNum w:abstractNumId="62" w15:restartNumberingAfterBreak="0">
    <w:nsid w:val="2CF16789"/>
    <w:multiLevelType w:val="hybridMultilevel"/>
    <w:tmpl w:val="A24233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3" w15:restartNumberingAfterBreak="0">
    <w:nsid w:val="2D026FFF"/>
    <w:multiLevelType w:val="multilevel"/>
    <w:tmpl w:val="1C44A84C"/>
    <w:lvl w:ilvl="0">
      <w:start w:val="2"/>
      <w:numFmt w:val="decimal"/>
      <w:lvlText w:val="%1."/>
      <w:lvlJc w:val="left"/>
      <w:pPr>
        <w:ind w:left="357" w:hanging="360"/>
      </w:pPr>
      <w:rPr>
        <w:rFonts w:hint="default"/>
      </w:rPr>
    </w:lvl>
    <w:lvl w:ilvl="1">
      <w:start w:val="1"/>
      <w:numFmt w:val="lowerLetter"/>
      <w:lvlText w:val="%2."/>
      <w:lvlJc w:val="left"/>
      <w:pPr>
        <w:ind w:left="1077" w:hanging="360"/>
      </w:pPr>
      <w:rPr>
        <w:rFonts w:hint="default"/>
      </w:rPr>
    </w:lvl>
    <w:lvl w:ilvl="2">
      <w:start w:val="1"/>
      <w:numFmt w:val="decimal"/>
      <w:lvlText w:val="%3."/>
      <w:lvlJc w:val="left"/>
      <w:pPr>
        <w:ind w:left="1977" w:hanging="360"/>
      </w:pPr>
      <w:rPr>
        <w:rFonts w:hint="default"/>
      </w:rPr>
    </w:lvl>
    <w:lvl w:ilvl="3">
      <w:start w:val="1"/>
      <w:numFmt w:val="decimal"/>
      <w:lvlText w:val="%4."/>
      <w:lvlJc w:val="left"/>
      <w:pPr>
        <w:ind w:left="2517" w:hanging="360"/>
      </w:pPr>
      <w:rPr>
        <w:rFonts w:hint="default"/>
      </w:rPr>
    </w:lvl>
    <w:lvl w:ilvl="4">
      <w:start w:val="1"/>
      <w:numFmt w:val="lowerLetter"/>
      <w:lvlText w:val="%5."/>
      <w:lvlJc w:val="left"/>
      <w:pPr>
        <w:ind w:left="3237" w:hanging="360"/>
      </w:pPr>
      <w:rPr>
        <w:rFonts w:hint="default"/>
      </w:rPr>
    </w:lvl>
    <w:lvl w:ilvl="5">
      <w:start w:val="1"/>
      <w:numFmt w:val="lowerRoman"/>
      <w:lvlText w:val="%6."/>
      <w:lvlJc w:val="right"/>
      <w:pPr>
        <w:ind w:left="3957" w:hanging="180"/>
      </w:pPr>
      <w:rPr>
        <w:rFonts w:hint="default"/>
      </w:rPr>
    </w:lvl>
    <w:lvl w:ilvl="6">
      <w:start w:val="1"/>
      <w:numFmt w:val="decimal"/>
      <w:lvlText w:val="%7."/>
      <w:lvlJc w:val="left"/>
      <w:pPr>
        <w:ind w:left="4677" w:hanging="360"/>
      </w:pPr>
      <w:rPr>
        <w:rFonts w:hint="default"/>
      </w:rPr>
    </w:lvl>
    <w:lvl w:ilvl="7">
      <w:start w:val="1"/>
      <w:numFmt w:val="lowerLetter"/>
      <w:lvlText w:val="%8."/>
      <w:lvlJc w:val="left"/>
      <w:pPr>
        <w:ind w:left="5397" w:hanging="360"/>
      </w:pPr>
      <w:rPr>
        <w:rFonts w:hint="default"/>
      </w:rPr>
    </w:lvl>
    <w:lvl w:ilvl="8">
      <w:start w:val="1"/>
      <w:numFmt w:val="lowerRoman"/>
      <w:lvlText w:val="%9."/>
      <w:lvlJc w:val="right"/>
      <w:pPr>
        <w:ind w:left="6117" w:hanging="180"/>
      </w:pPr>
      <w:rPr>
        <w:rFonts w:hint="default"/>
      </w:rPr>
    </w:lvl>
  </w:abstractNum>
  <w:abstractNum w:abstractNumId="64" w15:restartNumberingAfterBreak="0">
    <w:nsid w:val="2DFEB018"/>
    <w:multiLevelType w:val="hybridMultilevel"/>
    <w:tmpl w:val="EBC2000C"/>
    <w:lvl w:ilvl="0" w:tplc="0D28FD16">
      <w:start w:val="1"/>
      <w:numFmt w:val="bullet"/>
      <w:lvlText w:val=""/>
      <w:lvlJc w:val="left"/>
      <w:pPr>
        <w:ind w:left="720" w:hanging="360"/>
      </w:pPr>
      <w:rPr>
        <w:rFonts w:ascii="Symbol" w:hAnsi="Symbol" w:hint="default"/>
      </w:rPr>
    </w:lvl>
    <w:lvl w:ilvl="1" w:tplc="FB20A648">
      <w:start w:val="1"/>
      <w:numFmt w:val="bullet"/>
      <w:lvlText w:val="o"/>
      <w:lvlJc w:val="left"/>
      <w:pPr>
        <w:ind w:left="1440" w:hanging="360"/>
      </w:pPr>
      <w:rPr>
        <w:rFonts w:ascii="Courier New" w:hAnsi="Courier New" w:cs="Times New Roman" w:hint="default"/>
      </w:rPr>
    </w:lvl>
    <w:lvl w:ilvl="2" w:tplc="86DE8B90">
      <w:start w:val="1"/>
      <w:numFmt w:val="bullet"/>
      <w:lvlText w:val=""/>
      <w:lvlJc w:val="left"/>
      <w:pPr>
        <w:ind w:left="2160" w:hanging="360"/>
      </w:pPr>
      <w:rPr>
        <w:rFonts w:ascii="Wingdings" w:hAnsi="Wingdings" w:hint="default"/>
      </w:rPr>
    </w:lvl>
    <w:lvl w:ilvl="3" w:tplc="AF48E460">
      <w:start w:val="1"/>
      <w:numFmt w:val="bullet"/>
      <w:lvlText w:val=""/>
      <w:lvlJc w:val="left"/>
      <w:pPr>
        <w:ind w:left="2880" w:hanging="360"/>
      </w:pPr>
      <w:rPr>
        <w:rFonts w:ascii="Symbol" w:hAnsi="Symbol" w:hint="default"/>
      </w:rPr>
    </w:lvl>
    <w:lvl w:ilvl="4" w:tplc="F5EAB35A">
      <w:start w:val="1"/>
      <w:numFmt w:val="bullet"/>
      <w:lvlText w:val="o"/>
      <w:lvlJc w:val="left"/>
      <w:pPr>
        <w:ind w:left="3600" w:hanging="360"/>
      </w:pPr>
      <w:rPr>
        <w:rFonts w:ascii="Courier New" w:hAnsi="Courier New" w:cs="Times New Roman" w:hint="default"/>
      </w:rPr>
    </w:lvl>
    <w:lvl w:ilvl="5" w:tplc="030A0492">
      <w:start w:val="1"/>
      <w:numFmt w:val="bullet"/>
      <w:lvlText w:val=""/>
      <w:lvlJc w:val="left"/>
      <w:pPr>
        <w:ind w:left="4320" w:hanging="360"/>
      </w:pPr>
      <w:rPr>
        <w:rFonts w:ascii="Wingdings" w:hAnsi="Wingdings" w:hint="default"/>
      </w:rPr>
    </w:lvl>
    <w:lvl w:ilvl="6" w:tplc="96B2C3AC">
      <w:start w:val="1"/>
      <w:numFmt w:val="bullet"/>
      <w:lvlText w:val=""/>
      <w:lvlJc w:val="left"/>
      <w:pPr>
        <w:ind w:left="5040" w:hanging="360"/>
      </w:pPr>
      <w:rPr>
        <w:rFonts w:ascii="Symbol" w:hAnsi="Symbol" w:hint="default"/>
      </w:rPr>
    </w:lvl>
    <w:lvl w:ilvl="7" w:tplc="41BAE32A">
      <w:start w:val="1"/>
      <w:numFmt w:val="bullet"/>
      <w:lvlText w:val="o"/>
      <w:lvlJc w:val="left"/>
      <w:pPr>
        <w:ind w:left="5760" w:hanging="360"/>
      </w:pPr>
      <w:rPr>
        <w:rFonts w:ascii="Courier New" w:hAnsi="Courier New" w:cs="Times New Roman" w:hint="default"/>
      </w:rPr>
    </w:lvl>
    <w:lvl w:ilvl="8" w:tplc="8398CC24">
      <w:start w:val="1"/>
      <w:numFmt w:val="bullet"/>
      <w:lvlText w:val=""/>
      <w:lvlJc w:val="left"/>
      <w:pPr>
        <w:ind w:left="6480" w:hanging="360"/>
      </w:pPr>
      <w:rPr>
        <w:rFonts w:ascii="Wingdings" w:hAnsi="Wingdings" w:hint="default"/>
      </w:rPr>
    </w:lvl>
  </w:abstractNum>
  <w:abstractNum w:abstractNumId="65" w15:restartNumberingAfterBreak="0">
    <w:nsid w:val="2E674FAC"/>
    <w:multiLevelType w:val="hybridMultilevel"/>
    <w:tmpl w:val="97344B90"/>
    <w:lvl w:ilvl="0" w:tplc="4E16FEBE">
      <w:start w:val="1"/>
      <w:numFmt w:val="bullet"/>
      <w:lvlText w:val=""/>
      <w:lvlJc w:val="left"/>
      <w:pPr>
        <w:ind w:left="720" w:hanging="360"/>
      </w:pPr>
      <w:rPr>
        <w:rFonts w:ascii="Symbol" w:hAnsi="Symbol" w:hint="default"/>
        <w:sz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6" w15:restartNumberingAfterBreak="0">
    <w:nsid w:val="2E885735"/>
    <w:multiLevelType w:val="hybridMultilevel"/>
    <w:tmpl w:val="B5FC07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2F0A4D3F"/>
    <w:multiLevelType w:val="multilevel"/>
    <w:tmpl w:val="A7BC80B4"/>
    <w:lvl w:ilvl="0">
      <w:start w:val="3"/>
      <w:numFmt w:val="decimal"/>
      <w:lvlText w:val="%1."/>
      <w:lvlJc w:val="left"/>
      <w:pPr>
        <w:ind w:left="357" w:hanging="360"/>
      </w:pPr>
      <w:rPr>
        <w:rFonts w:hint="default"/>
      </w:rPr>
    </w:lvl>
    <w:lvl w:ilvl="1">
      <w:start w:val="1"/>
      <w:numFmt w:val="lowerLetter"/>
      <w:lvlText w:val="%2."/>
      <w:lvlJc w:val="left"/>
      <w:pPr>
        <w:ind w:left="1077" w:hanging="360"/>
      </w:pPr>
      <w:rPr>
        <w:rFonts w:hint="default"/>
      </w:rPr>
    </w:lvl>
    <w:lvl w:ilvl="2">
      <w:start w:val="1"/>
      <w:numFmt w:val="decimal"/>
      <w:lvlText w:val="%3."/>
      <w:lvlJc w:val="left"/>
      <w:pPr>
        <w:ind w:left="1977" w:hanging="360"/>
      </w:pPr>
      <w:rPr>
        <w:rFonts w:hint="default"/>
      </w:rPr>
    </w:lvl>
    <w:lvl w:ilvl="3">
      <w:start w:val="1"/>
      <w:numFmt w:val="decimal"/>
      <w:lvlText w:val="%4."/>
      <w:lvlJc w:val="left"/>
      <w:pPr>
        <w:ind w:left="2517" w:hanging="360"/>
      </w:pPr>
      <w:rPr>
        <w:rFonts w:hint="default"/>
      </w:rPr>
    </w:lvl>
    <w:lvl w:ilvl="4">
      <w:start w:val="1"/>
      <w:numFmt w:val="lowerLetter"/>
      <w:lvlText w:val="%5."/>
      <w:lvlJc w:val="left"/>
      <w:pPr>
        <w:ind w:left="3237" w:hanging="360"/>
      </w:pPr>
      <w:rPr>
        <w:rFonts w:hint="default"/>
      </w:rPr>
    </w:lvl>
    <w:lvl w:ilvl="5">
      <w:start w:val="1"/>
      <w:numFmt w:val="lowerRoman"/>
      <w:lvlText w:val="%6."/>
      <w:lvlJc w:val="right"/>
      <w:pPr>
        <w:ind w:left="3957" w:hanging="180"/>
      </w:pPr>
      <w:rPr>
        <w:rFonts w:hint="default"/>
      </w:rPr>
    </w:lvl>
    <w:lvl w:ilvl="6">
      <w:start w:val="1"/>
      <w:numFmt w:val="decimal"/>
      <w:lvlText w:val="%7."/>
      <w:lvlJc w:val="left"/>
      <w:pPr>
        <w:ind w:left="4677" w:hanging="360"/>
      </w:pPr>
      <w:rPr>
        <w:rFonts w:hint="default"/>
      </w:rPr>
    </w:lvl>
    <w:lvl w:ilvl="7">
      <w:start w:val="1"/>
      <w:numFmt w:val="lowerLetter"/>
      <w:lvlText w:val="%8."/>
      <w:lvlJc w:val="left"/>
      <w:pPr>
        <w:ind w:left="5397" w:hanging="360"/>
      </w:pPr>
      <w:rPr>
        <w:rFonts w:hint="default"/>
      </w:rPr>
    </w:lvl>
    <w:lvl w:ilvl="8">
      <w:start w:val="1"/>
      <w:numFmt w:val="lowerRoman"/>
      <w:lvlText w:val="%9."/>
      <w:lvlJc w:val="right"/>
      <w:pPr>
        <w:ind w:left="6117" w:hanging="180"/>
      </w:pPr>
      <w:rPr>
        <w:rFonts w:hint="default"/>
      </w:rPr>
    </w:lvl>
  </w:abstractNum>
  <w:abstractNum w:abstractNumId="68" w15:restartNumberingAfterBreak="0">
    <w:nsid w:val="2F934549"/>
    <w:multiLevelType w:val="hybridMultilevel"/>
    <w:tmpl w:val="63C4DE60"/>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9" w15:restartNumberingAfterBreak="0">
    <w:nsid w:val="306A052B"/>
    <w:multiLevelType w:val="multilevel"/>
    <w:tmpl w:val="32345D04"/>
    <w:numStyleLink w:val="Style1"/>
  </w:abstractNum>
  <w:abstractNum w:abstractNumId="70" w15:restartNumberingAfterBreak="0">
    <w:nsid w:val="3098613E"/>
    <w:multiLevelType w:val="multilevel"/>
    <w:tmpl w:val="32345D04"/>
    <w:numStyleLink w:val="Style1"/>
  </w:abstractNum>
  <w:abstractNum w:abstractNumId="71" w15:restartNumberingAfterBreak="0">
    <w:nsid w:val="31DD2814"/>
    <w:multiLevelType w:val="hybridMultilevel"/>
    <w:tmpl w:val="CCE02DC4"/>
    <w:lvl w:ilvl="0" w:tplc="0C09001B">
      <w:start w:val="1"/>
      <w:numFmt w:val="lowerRoman"/>
      <w:lvlText w:val="%1."/>
      <w:lvlJc w:val="right"/>
      <w:pPr>
        <w:ind w:left="1077" w:hanging="360"/>
      </w:pPr>
    </w:lvl>
    <w:lvl w:ilvl="1" w:tplc="0C090019">
      <w:start w:val="1"/>
      <w:numFmt w:val="lowerLetter"/>
      <w:lvlText w:val="%2."/>
      <w:lvlJc w:val="left"/>
      <w:pPr>
        <w:ind w:left="1797" w:hanging="360"/>
      </w:pPr>
    </w:lvl>
    <w:lvl w:ilvl="2" w:tplc="0C09001B">
      <w:start w:val="1"/>
      <w:numFmt w:val="lowerRoman"/>
      <w:lvlText w:val="%3."/>
      <w:lvlJc w:val="right"/>
      <w:pPr>
        <w:ind w:left="2517" w:hanging="180"/>
      </w:pPr>
    </w:lvl>
    <w:lvl w:ilvl="3" w:tplc="0C09000F">
      <w:start w:val="1"/>
      <w:numFmt w:val="decimal"/>
      <w:lvlText w:val="%4."/>
      <w:lvlJc w:val="left"/>
      <w:pPr>
        <w:ind w:left="3237" w:hanging="360"/>
      </w:pPr>
    </w:lvl>
    <w:lvl w:ilvl="4" w:tplc="0C090019">
      <w:start w:val="1"/>
      <w:numFmt w:val="lowerLetter"/>
      <w:lvlText w:val="%5."/>
      <w:lvlJc w:val="left"/>
      <w:pPr>
        <w:ind w:left="3957" w:hanging="360"/>
      </w:pPr>
    </w:lvl>
    <w:lvl w:ilvl="5" w:tplc="0C09001B">
      <w:start w:val="1"/>
      <w:numFmt w:val="lowerRoman"/>
      <w:lvlText w:val="%6."/>
      <w:lvlJc w:val="right"/>
      <w:pPr>
        <w:ind w:left="4677" w:hanging="180"/>
      </w:pPr>
    </w:lvl>
    <w:lvl w:ilvl="6" w:tplc="0C09000F">
      <w:start w:val="1"/>
      <w:numFmt w:val="decimal"/>
      <w:lvlText w:val="%7."/>
      <w:lvlJc w:val="left"/>
      <w:pPr>
        <w:ind w:left="5397" w:hanging="360"/>
      </w:pPr>
    </w:lvl>
    <w:lvl w:ilvl="7" w:tplc="0C090019">
      <w:start w:val="1"/>
      <w:numFmt w:val="lowerLetter"/>
      <w:lvlText w:val="%8."/>
      <w:lvlJc w:val="left"/>
      <w:pPr>
        <w:ind w:left="6117" w:hanging="360"/>
      </w:pPr>
    </w:lvl>
    <w:lvl w:ilvl="8" w:tplc="0C09001B">
      <w:start w:val="1"/>
      <w:numFmt w:val="lowerRoman"/>
      <w:lvlText w:val="%9."/>
      <w:lvlJc w:val="right"/>
      <w:pPr>
        <w:ind w:left="6837" w:hanging="180"/>
      </w:pPr>
    </w:lvl>
  </w:abstractNum>
  <w:abstractNum w:abstractNumId="72" w15:restartNumberingAfterBreak="0">
    <w:nsid w:val="325C2E72"/>
    <w:multiLevelType w:val="multilevel"/>
    <w:tmpl w:val="E3108540"/>
    <w:lvl w:ilvl="0">
      <w:start w:val="1"/>
      <w:numFmt w:val="decimal"/>
      <w:lvlText w:val="%1."/>
      <w:lvlJc w:val="left"/>
      <w:pPr>
        <w:ind w:left="357" w:hanging="360"/>
      </w:pPr>
      <w:rPr>
        <w:b w:val="0"/>
        <w:bCs/>
      </w:rPr>
    </w:lvl>
    <w:lvl w:ilvl="1">
      <w:start w:val="1"/>
      <w:numFmt w:val="bullet"/>
      <w:lvlText w:val="o"/>
      <w:lvlJc w:val="left"/>
      <w:pPr>
        <w:ind w:left="1077" w:hanging="360"/>
      </w:pPr>
      <w:rPr>
        <w:rFonts w:ascii="Courier New" w:hAnsi="Courier New" w:cs="Courier New" w:hint="default"/>
      </w:rPr>
    </w:lvl>
    <w:lvl w:ilvl="2">
      <w:start w:val="1"/>
      <w:numFmt w:val="decimal"/>
      <w:lvlText w:val="%3."/>
      <w:lvlJc w:val="left"/>
      <w:pPr>
        <w:ind w:left="1977" w:hanging="360"/>
      </w:pPr>
      <w:rPr>
        <w:rFonts w:hint="default"/>
      </w:rPr>
    </w:lvl>
    <w:lvl w:ilvl="3">
      <w:start w:val="3"/>
      <w:numFmt w:val="bullet"/>
      <w:lvlText w:val="-"/>
      <w:lvlJc w:val="left"/>
      <w:pPr>
        <w:ind w:left="2517" w:hanging="360"/>
      </w:pPr>
      <w:rPr>
        <w:rFonts w:ascii="Arial" w:eastAsiaTheme="minorHAnsi" w:hAnsi="Arial" w:cs="Arial" w:hint="default"/>
      </w:rPr>
    </w:lvl>
    <w:lvl w:ilvl="4" w:tentative="1">
      <w:start w:val="1"/>
      <w:numFmt w:val="lowerLetter"/>
      <w:lvlText w:val="%5."/>
      <w:lvlJc w:val="left"/>
      <w:pPr>
        <w:ind w:left="3237" w:hanging="360"/>
      </w:pPr>
    </w:lvl>
    <w:lvl w:ilvl="5" w:tentative="1">
      <w:start w:val="1"/>
      <w:numFmt w:val="lowerRoman"/>
      <w:lvlText w:val="%6."/>
      <w:lvlJc w:val="right"/>
      <w:pPr>
        <w:ind w:left="3957" w:hanging="180"/>
      </w:pPr>
    </w:lvl>
    <w:lvl w:ilvl="6" w:tentative="1">
      <w:start w:val="1"/>
      <w:numFmt w:val="decimal"/>
      <w:lvlText w:val="%7."/>
      <w:lvlJc w:val="left"/>
      <w:pPr>
        <w:ind w:left="4677" w:hanging="360"/>
      </w:pPr>
    </w:lvl>
    <w:lvl w:ilvl="7" w:tentative="1">
      <w:start w:val="1"/>
      <w:numFmt w:val="lowerLetter"/>
      <w:lvlText w:val="%8."/>
      <w:lvlJc w:val="left"/>
      <w:pPr>
        <w:ind w:left="5397" w:hanging="360"/>
      </w:pPr>
    </w:lvl>
    <w:lvl w:ilvl="8" w:tentative="1">
      <w:start w:val="1"/>
      <w:numFmt w:val="lowerRoman"/>
      <w:lvlText w:val="%9."/>
      <w:lvlJc w:val="right"/>
      <w:pPr>
        <w:ind w:left="6117" w:hanging="180"/>
      </w:pPr>
    </w:lvl>
  </w:abstractNum>
  <w:abstractNum w:abstractNumId="73" w15:restartNumberingAfterBreak="0">
    <w:nsid w:val="328138BC"/>
    <w:multiLevelType w:val="hybridMultilevel"/>
    <w:tmpl w:val="8C46E6F4"/>
    <w:lvl w:ilvl="0" w:tplc="0C09001B">
      <w:start w:val="1"/>
      <w:numFmt w:val="lowerRoman"/>
      <w:lvlText w:val="%1."/>
      <w:lvlJc w:val="right"/>
      <w:pPr>
        <w:tabs>
          <w:tab w:val="num" w:pos="765"/>
        </w:tabs>
        <w:ind w:left="765" w:hanging="340"/>
      </w:pPr>
      <w:rPr>
        <w:rFonts w:hint="default"/>
        <w:color w:val="auto"/>
        <w:sz w:val="22"/>
      </w:rPr>
    </w:lvl>
    <w:lvl w:ilvl="1" w:tplc="FFFFFFFF">
      <w:start w:val="1"/>
      <w:numFmt w:val="bullet"/>
      <w:lvlText w:val="o"/>
      <w:lvlJc w:val="left"/>
    </w:lvl>
    <w:lvl w:ilvl="2" w:tplc="FFFFFFFF">
      <w:start w:val="1"/>
      <w:numFmt w:val="bullet"/>
      <w:lvlText w:val="o"/>
      <w:lvlJc w:val="left"/>
      <w:rPr>
        <w:rFonts w:ascii="Courier New" w:hAnsi="Courier New" w:hint="default"/>
      </w:rPr>
    </w:lvl>
    <w:lvl w:ilvl="3" w:tplc="FFFFFFFF">
      <w:start w:val="1"/>
      <w:numFmt w:val="bullet"/>
      <w:lvlText w:val="o"/>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137616AE">
      <w:numFmt w:val="decimal"/>
      <w:lvlText w:val=""/>
      <w:lvlJc w:val="left"/>
    </w:lvl>
    <w:lvl w:ilvl="8" w:tplc="58FE7996">
      <w:numFmt w:val="decimal"/>
      <w:lvlText w:val=""/>
      <w:lvlJc w:val="left"/>
    </w:lvl>
  </w:abstractNum>
  <w:abstractNum w:abstractNumId="74" w15:restartNumberingAfterBreak="0">
    <w:nsid w:val="32C0211C"/>
    <w:multiLevelType w:val="hybridMultilevel"/>
    <w:tmpl w:val="EA6CE5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40312B5"/>
    <w:multiLevelType w:val="hybridMultilevel"/>
    <w:tmpl w:val="ADCAC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4F55397"/>
    <w:multiLevelType w:val="hybridMultilevel"/>
    <w:tmpl w:val="2E724F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350C4C72"/>
    <w:multiLevelType w:val="multilevel"/>
    <w:tmpl w:val="69CE6B3A"/>
    <w:lvl w:ilvl="0">
      <w:start w:val="1"/>
      <w:numFmt w:val="decimal"/>
      <w:lvlText w:val="%1."/>
      <w:lvlJc w:val="left"/>
      <w:pPr>
        <w:ind w:left="357" w:hanging="360"/>
      </w:pPr>
      <w:rPr>
        <w:b w:val="0"/>
        <w:bCs/>
      </w:rPr>
    </w:lvl>
    <w:lvl w:ilvl="1">
      <w:start w:val="1"/>
      <w:numFmt w:val="bullet"/>
      <w:lvlText w:val="o"/>
      <w:lvlJc w:val="left"/>
      <w:pPr>
        <w:ind w:left="1077" w:hanging="360"/>
      </w:pPr>
      <w:rPr>
        <w:rFonts w:ascii="Courier New" w:hAnsi="Courier New" w:cs="Courier New" w:hint="default"/>
      </w:rPr>
    </w:lvl>
    <w:lvl w:ilvl="2">
      <w:start w:val="1"/>
      <w:numFmt w:val="decimal"/>
      <w:lvlText w:val="%3."/>
      <w:lvlJc w:val="left"/>
      <w:pPr>
        <w:ind w:left="1977" w:hanging="360"/>
      </w:pPr>
      <w:rPr>
        <w:rFonts w:hint="default"/>
      </w:rPr>
    </w:lvl>
    <w:lvl w:ilvl="3">
      <w:start w:val="3"/>
      <w:numFmt w:val="bullet"/>
      <w:lvlText w:val="-"/>
      <w:lvlJc w:val="left"/>
      <w:pPr>
        <w:ind w:left="2517" w:hanging="360"/>
      </w:pPr>
      <w:rPr>
        <w:rFonts w:ascii="Arial" w:eastAsiaTheme="minorHAnsi" w:hAnsi="Arial" w:cs="Arial" w:hint="default"/>
      </w:rPr>
    </w:lvl>
    <w:lvl w:ilvl="4" w:tentative="1">
      <w:start w:val="1"/>
      <w:numFmt w:val="lowerLetter"/>
      <w:lvlText w:val="%5."/>
      <w:lvlJc w:val="left"/>
      <w:pPr>
        <w:ind w:left="3237" w:hanging="360"/>
      </w:pPr>
    </w:lvl>
    <w:lvl w:ilvl="5" w:tentative="1">
      <w:start w:val="1"/>
      <w:numFmt w:val="lowerRoman"/>
      <w:lvlText w:val="%6."/>
      <w:lvlJc w:val="right"/>
      <w:pPr>
        <w:ind w:left="3957" w:hanging="180"/>
      </w:pPr>
    </w:lvl>
    <w:lvl w:ilvl="6" w:tentative="1">
      <w:start w:val="1"/>
      <w:numFmt w:val="decimal"/>
      <w:lvlText w:val="%7."/>
      <w:lvlJc w:val="left"/>
      <w:pPr>
        <w:ind w:left="4677" w:hanging="360"/>
      </w:pPr>
    </w:lvl>
    <w:lvl w:ilvl="7" w:tentative="1">
      <w:start w:val="1"/>
      <w:numFmt w:val="lowerLetter"/>
      <w:lvlText w:val="%8."/>
      <w:lvlJc w:val="left"/>
      <w:pPr>
        <w:ind w:left="5397" w:hanging="360"/>
      </w:pPr>
    </w:lvl>
    <w:lvl w:ilvl="8" w:tentative="1">
      <w:start w:val="1"/>
      <w:numFmt w:val="lowerRoman"/>
      <w:lvlText w:val="%9."/>
      <w:lvlJc w:val="right"/>
      <w:pPr>
        <w:ind w:left="6117" w:hanging="180"/>
      </w:pPr>
    </w:lvl>
  </w:abstractNum>
  <w:abstractNum w:abstractNumId="78" w15:restartNumberingAfterBreak="0">
    <w:nsid w:val="353912ED"/>
    <w:multiLevelType w:val="multilevel"/>
    <w:tmpl w:val="7228EA06"/>
    <w:styleLink w:val="ListBullet0"/>
    <w:lvl w:ilvl="0">
      <w:start w:val="1"/>
      <w:numFmt w:val="bullet"/>
      <w:lvlText w:val=""/>
      <w:lvlJc w:val="left"/>
      <w:pPr>
        <w:tabs>
          <w:tab w:val="num" w:pos="284"/>
        </w:tabs>
        <w:ind w:left="284" w:hanging="284"/>
      </w:pPr>
      <w:rPr>
        <w:rFonts w:ascii="Symbol" w:hAnsi="Symbol" w:hint="default"/>
        <w:b w:val="0"/>
        <w:i w:val="0"/>
        <w:color w:val="auto"/>
        <w:sz w:val="20"/>
        <w:szCs w:val="20"/>
      </w:rPr>
    </w:lvl>
    <w:lvl w:ilvl="1">
      <w:start w:val="1"/>
      <w:numFmt w:val="bullet"/>
      <w:lvlText w:val="○"/>
      <w:lvlJc w:val="left"/>
      <w:pPr>
        <w:tabs>
          <w:tab w:val="num" w:pos="567"/>
        </w:tabs>
        <w:ind w:left="567" w:hanging="283"/>
      </w:pPr>
      <w:rPr>
        <w:rFonts w:ascii="Courier New" w:hAnsi="Courier New" w:hint="default"/>
        <w:caps w:val="0"/>
        <w:strike w:val="0"/>
        <w:dstrike w:val="0"/>
        <w:vanish w:val="0"/>
        <w:color w:val="auto"/>
        <w:sz w:val="20"/>
        <w:u w:val="none"/>
        <w:vertAlign w:val="baseline"/>
      </w:rPr>
    </w:lvl>
    <w:lvl w:ilvl="2">
      <w:start w:val="1"/>
      <w:numFmt w:val="bullet"/>
      <w:lvlText w:val=""/>
      <w:lvlJc w:val="left"/>
      <w:pPr>
        <w:tabs>
          <w:tab w:val="num" w:pos="851"/>
        </w:tabs>
        <w:ind w:left="851" w:hanging="284"/>
      </w:pPr>
      <w:rPr>
        <w:rFonts w:ascii="Symbol" w:hAnsi="Symbol" w:hint="default"/>
        <w:color w:val="auto"/>
        <w:sz w:val="20"/>
      </w:rPr>
    </w:lvl>
    <w:lvl w:ilvl="3">
      <w:start w:val="1"/>
      <w:numFmt w:val="bullet"/>
      <w:lvlText w:val="○"/>
      <w:lvlJc w:val="left"/>
      <w:pPr>
        <w:tabs>
          <w:tab w:val="num" w:pos="1134"/>
        </w:tabs>
        <w:ind w:left="1134" w:hanging="283"/>
      </w:pPr>
      <w:rPr>
        <w:rFonts w:ascii="Courier New" w:hAnsi="Courier New" w:hint="default"/>
        <w:caps w:val="0"/>
        <w:strike w:val="0"/>
        <w:dstrike w:val="0"/>
        <w:vanish w:val="0"/>
        <w:color w:val="auto"/>
        <w:sz w:val="20"/>
        <w:u w:val="none"/>
        <w:vertAlign w:val="baseline"/>
      </w:rPr>
    </w:lvl>
    <w:lvl w:ilvl="4">
      <w:start w:val="1"/>
      <w:numFmt w:val="bullet"/>
      <w:lvlText w:val=""/>
      <w:lvlJc w:val="left"/>
      <w:pPr>
        <w:tabs>
          <w:tab w:val="num" w:pos="1418"/>
        </w:tabs>
        <w:ind w:left="1418" w:hanging="284"/>
      </w:pPr>
      <w:rPr>
        <w:rFonts w:ascii="Symbol" w:hAnsi="Symbol" w:hint="default"/>
        <w:color w:val="auto"/>
        <w:sz w:val="20"/>
      </w:rPr>
    </w:lvl>
    <w:lvl w:ilvl="5">
      <w:start w:val="1"/>
      <w:numFmt w:val="bullet"/>
      <w:lvlText w:val="○"/>
      <w:lvlJc w:val="left"/>
      <w:pPr>
        <w:tabs>
          <w:tab w:val="num" w:pos="1701"/>
        </w:tabs>
        <w:ind w:left="1701" w:hanging="283"/>
      </w:pPr>
      <w:rPr>
        <w:rFonts w:ascii="Courier New" w:hAnsi="Courier New"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79" w15:restartNumberingAfterBreak="0">
    <w:nsid w:val="353B483B"/>
    <w:multiLevelType w:val="hybridMultilevel"/>
    <w:tmpl w:val="525E4AA8"/>
    <w:lvl w:ilvl="0" w:tplc="178496B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0" w15:restartNumberingAfterBreak="0">
    <w:nsid w:val="35A65583"/>
    <w:multiLevelType w:val="hybridMultilevel"/>
    <w:tmpl w:val="85E2C6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368E2EAA"/>
    <w:multiLevelType w:val="hybridMultilevel"/>
    <w:tmpl w:val="4262FAC4"/>
    <w:lvl w:ilvl="0" w:tplc="6BA058D4">
      <w:start w:val="1"/>
      <w:numFmt w:val="upperRoman"/>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370F6B00"/>
    <w:multiLevelType w:val="multilevel"/>
    <w:tmpl w:val="86B44928"/>
    <w:lvl w:ilvl="0">
      <w:start w:val="1"/>
      <w:numFmt w:val="decimal"/>
      <w:lvlText w:val="%1."/>
      <w:lvlJc w:val="left"/>
      <w:pPr>
        <w:ind w:left="357" w:hanging="360"/>
      </w:pPr>
    </w:lvl>
    <w:lvl w:ilvl="1">
      <w:start w:val="1"/>
      <w:numFmt w:val="bullet"/>
      <w:lvlText w:val="o"/>
      <w:lvlJc w:val="left"/>
      <w:pPr>
        <w:ind w:left="1077" w:hanging="360"/>
      </w:pPr>
      <w:rPr>
        <w:rFonts w:ascii="Courier New" w:hAnsi="Courier New" w:cs="Courier New" w:hint="default"/>
      </w:rPr>
    </w:lvl>
    <w:lvl w:ilvl="2">
      <w:start w:val="1"/>
      <w:numFmt w:val="decimal"/>
      <w:lvlText w:val="%3."/>
      <w:lvlJc w:val="left"/>
      <w:pPr>
        <w:ind w:left="1977" w:hanging="360"/>
      </w:pPr>
      <w:rPr>
        <w:rFonts w:hint="default"/>
      </w:rPr>
    </w:lvl>
    <w:lvl w:ilvl="3" w:tentative="1">
      <w:start w:val="1"/>
      <w:numFmt w:val="decimal"/>
      <w:lvlText w:val="%4."/>
      <w:lvlJc w:val="left"/>
      <w:pPr>
        <w:ind w:left="2517" w:hanging="360"/>
      </w:pPr>
    </w:lvl>
    <w:lvl w:ilvl="4" w:tentative="1">
      <w:start w:val="1"/>
      <w:numFmt w:val="lowerLetter"/>
      <w:lvlText w:val="%5."/>
      <w:lvlJc w:val="left"/>
      <w:pPr>
        <w:ind w:left="3237" w:hanging="360"/>
      </w:pPr>
    </w:lvl>
    <w:lvl w:ilvl="5" w:tentative="1">
      <w:start w:val="1"/>
      <w:numFmt w:val="lowerRoman"/>
      <w:lvlText w:val="%6."/>
      <w:lvlJc w:val="right"/>
      <w:pPr>
        <w:ind w:left="3957" w:hanging="180"/>
      </w:pPr>
    </w:lvl>
    <w:lvl w:ilvl="6" w:tentative="1">
      <w:start w:val="1"/>
      <w:numFmt w:val="decimal"/>
      <w:lvlText w:val="%7."/>
      <w:lvlJc w:val="left"/>
      <w:pPr>
        <w:ind w:left="4677" w:hanging="360"/>
      </w:pPr>
    </w:lvl>
    <w:lvl w:ilvl="7" w:tentative="1">
      <w:start w:val="1"/>
      <w:numFmt w:val="lowerLetter"/>
      <w:lvlText w:val="%8."/>
      <w:lvlJc w:val="left"/>
      <w:pPr>
        <w:ind w:left="5397" w:hanging="360"/>
      </w:pPr>
    </w:lvl>
    <w:lvl w:ilvl="8" w:tentative="1">
      <w:start w:val="1"/>
      <w:numFmt w:val="lowerRoman"/>
      <w:lvlText w:val="%9."/>
      <w:lvlJc w:val="right"/>
      <w:pPr>
        <w:ind w:left="6117" w:hanging="180"/>
      </w:pPr>
    </w:lvl>
  </w:abstractNum>
  <w:abstractNum w:abstractNumId="83" w15:restartNumberingAfterBreak="0">
    <w:nsid w:val="388508A4"/>
    <w:multiLevelType w:val="hybridMultilevel"/>
    <w:tmpl w:val="F840519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4" w15:restartNumberingAfterBreak="0">
    <w:nsid w:val="38D33FDB"/>
    <w:multiLevelType w:val="hybridMultilevel"/>
    <w:tmpl w:val="E3F6F8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5" w15:restartNumberingAfterBreak="0">
    <w:nsid w:val="38EC6841"/>
    <w:multiLevelType w:val="hybridMultilevel"/>
    <w:tmpl w:val="84E489B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393F56E3"/>
    <w:multiLevelType w:val="hybridMultilevel"/>
    <w:tmpl w:val="05B42BDE"/>
    <w:lvl w:ilvl="0" w:tplc="5D9479C0">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7" w15:restartNumberingAfterBreak="0">
    <w:nsid w:val="3A3E2705"/>
    <w:multiLevelType w:val="hybridMultilevel"/>
    <w:tmpl w:val="30383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3AB45CEB"/>
    <w:multiLevelType w:val="hybridMultilevel"/>
    <w:tmpl w:val="B75CF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3BB42CC8"/>
    <w:multiLevelType w:val="hybridMultilevel"/>
    <w:tmpl w:val="64AA3B5E"/>
    <w:lvl w:ilvl="0" w:tplc="178496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3BC0671A"/>
    <w:multiLevelType w:val="hybridMultilevel"/>
    <w:tmpl w:val="13EEFF3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91" w15:restartNumberingAfterBreak="0">
    <w:nsid w:val="3CF37218"/>
    <w:multiLevelType w:val="singleLevel"/>
    <w:tmpl w:val="DBB6670E"/>
    <w:lvl w:ilvl="0">
      <w:start w:val="1"/>
      <w:numFmt w:val="bullet"/>
      <w:lvlText w:val="•"/>
      <w:lvlJc w:val="left"/>
      <w:pPr>
        <w:ind w:left="360" w:hanging="360"/>
      </w:pPr>
      <w:rPr>
        <w:rFonts w:ascii="Arial" w:hAnsi="Arial" w:hint="default"/>
        <w:color w:val="auto"/>
        <w:sz w:val="24"/>
      </w:rPr>
    </w:lvl>
  </w:abstractNum>
  <w:abstractNum w:abstractNumId="92" w15:restartNumberingAfterBreak="0">
    <w:nsid w:val="3DAB76D5"/>
    <w:multiLevelType w:val="hybridMultilevel"/>
    <w:tmpl w:val="4BFA18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3E4E7C49"/>
    <w:multiLevelType w:val="multilevel"/>
    <w:tmpl w:val="31EECCD6"/>
    <w:lvl w:ilvl="0">
      <w:start w:val="1"/>
      <w:numFmt w:val="decimal"/>
      <w:lvlText w:val="%1."/>
      <w:lvlJc w:val="left"/>
      <w:pPr>
        <w:ind w:left="357" w:hanging="360"/>
      </w:pPr>
      <w:rPr>
        <w:b w:val="0"/>
        <w:bCs/>
      </w:rPr>
    </w:lvl>
    <w:lvl w:ilvl="1">
      <w:start w:val="1"/>
      <w:numFmt w:val="bullet"/>
      <w:lvlText w:val="o"/>
      <w:lvlJc w:val="left"/>
      <w:pPr>
        <w:ind w:left="1077" w:hanging="360"/>
      </w:pPr>
      <w:rPr>
        <w:rFonts w:ascii="Courier New" w:hAnsi="Courier New" w:cs="Courier New" w:hint="default"/>
      </w:rPr>
    </w:lvl>
    <w:lvl w:ilvl="2">
      <w:start w:val="1"/>
      <w:numFmt w:val="decimal"/>
      <w:lvlText w:val="%3."/>
      <w:lvlJc w:val="left"/>
      <w:pPr>
        <w:ind w:left="1977" w:hanging="360"/>
      </w:pPr>
      <w:rPr>
        <w:rFonts w:hint="default"/>
      </w:rPr>
    </w:lvl>
    <w:lvl w:ilvl="3">
      <w:start w:val="3"/>
      <w:numFmt w:val="bullet"/>
      <w:lvlText w:val="-"/>
      <w:lvlJc w:val="left"/>
      <w:pPr>
        <w:ind w:left="2517" w:hanging="360"/>
      </w:pPr>
      <w:rPr>
        <w:rFonts w:ascii="Arial" w:eastAsiaTheme="minorHAnsi" w:hAnsi="Arial" w:cs="Arial" w:hint="default"/>
      </w:rPr>
    </w:lvl>
    <w:lvl w:ilvl="4" w:tentative="1">
      <w:start w:val="1"/>
      <w:numFmt w:val="lowerLetter"/>
      <w:lvlText w:val="%5."/>
      <w:lvlJc w:val="left"/>
      <w:pPr>
        <w:ind w:left="3237" w:hanging="360"/>
      </w:pPr>
    </w:lvl>
    <w:lvl w:ilvl="5" w:tentative="1">
      <w:start w:val="1"/>
      <w:numFmt w:val="lowerRoman"/>
      <w:lvlText w:val="%6."/>
      <w:lvlJc w:val="right"/>
      <w:pPr>
        <w:ind w:left="3957" w:hanging="180"/>
      </w:pPr>
    </w:lvl>
    <w:lvl w:ilvl="6" w:tentative="1">
      <w:start w:val="1"/>
      <w:numFmt w:val="decimal"/>
      <w:lvlText w:val="%7."/>
      <w:lvlJc w:val="left"/>
      <w:pPr>
        <w:ind w:left="4677" w:hanging="360"/>
      </w:pPr>
    </w:lvl>
    <w:lvl w:ilvl="7" w:tentative="1">
      <w:start w:val="1"/>
      <w:numFmt w:val="lowerLetter"/>
      <w:lvlText w:val="%8."/>
      <w:lvlJc w:val="left"/>
      <w:pPr>
        <w:ind w:left="5397" w:hanging="360"/>
      </w:pPr>
    </w:lvl>
    <w:lvl w:ilvl="8" w:tentative="1">
      <w:start w:val="1"/>
      <w:numFmt w:val="lowerRoman"/>
      <w:lvlText w:val="%9."/>
      <w:lvlJc w:val="right"/>
      <w:pPr>
        <w:ind w:left="6117" w:hanging="180"/>
      </w:pPr>
    </w:lvl>
  </w:abstractNum>
  <w:abstractNum w:abstractNumId="94" w15:restartNumberingAfterBreak="0">
    <w:nsid w:val="3E807501"/>
    <w:multiLevelType w:val="hybridMultilevel"/>
    <w:tmpl w:val="B302D39E"/>
    <w:lvl w:ilvl="0" w:tplc="EE0258A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5" w15:restartNumberingAfterBreak="0">
    <w:nsid w:val="40071FAE"/>
    <w:multiLevelType w:val="multilevel"/>
    <w:tmpl w:val="4A4A7EFE"/>
    <w:styleLink w:val="ListNumberedHeadings"/>
    <w:lvl w:ilvl="0">
      <w:start w:val="1"/>
      <w:numFmt w:val="decimal"/>
      <w:pStyle w:val="AltHeading1"/>
      <w:lvlText w:val="%1"/>
      <w:lvlJc w:val="left"/>
      <w:pPr>
        <w:tabs>
          <w:tab w:val="num" w:pos="1134"/>
        </w:tabs>
        <w:ind w:left="1134" w:hanging="1134"/>
      </w:pPr>
      <w:rPr>
        <w:rFonts w:asciiTheme="majorHAnsi" w:hAnsiTheme="majorHAnsi" w:hint="default"/>
        <w:color w:val="034EA2" w:themeColor="accent1"/>
        <w:sz w:val="40"/>
      </w:rPr>
    </w:lvl>
    <w:lvl w:ilvl="1">
      <w:start w:val="1"/>
      <w:numFmt w:val="decimal"/>
      <w:lvlText w:val="%1.%2"/>
      <w:lvlJc w:val="left"/>
      <w:pPr>
        <w:tabs>
          <w:tab w:val="num" w:pos="1134"/>
        </w:tabs>
        <w:ind w:left="1134" w:hanging="1134"/>
      </w:pPr>
      <w:rPr>
        <w:rFonts w:asciiTheme="majorHAnsi" w:hAnsiTheme="majorHAnsi" w:hint="default"/>
        <w:color w:val="007BC3" w:themeColor="accent2"/>
        <w:sz w:val="32"/>
      </w:rPr>
    </w:lvl>
    <w:lvl w:ilvl="2">
      <w:start w:val="1"/>
      <w:numFmt w:val="decimal"/>
      <w:pStyle w:val="AltHeading3"/>
      <w:lvlText w:val="%1.%2.%3"/>
      <w:lvlJc w:val="left"/>
      <w:pPr>
        <w:tabs>
          <w:tab w:val="num" w:pos="1134"/>
        </w:tabs>
        <w:ind w:left="1134" w:hanging="1134"/>
      </w:pPr>
      <w:rPr>
        <w:rFonts w:asciiTheme="majorHAnsi" w:hAnsiTheme="majorHAnsi" w:hint="default"/>
        <w:color w:val="007BC3" w:themeColor="accent2"/>
        <w:sz w:val="28"/>
      </w:rPr>
    </w:lvl>
    <w:lvl w:ilvl="3">
      <w:start w:val="1"/>
      <w:numFmt w:val="decimal"/>
      <w:pStyle w:val="AltHeading4"/>
      <w:lvlText w:val="%1.%2.%3.%4"/>
      <w:lvlJc w:val="left"/>
      <w:pPr>
        <w:tabs>
          <w:tab w:val="num" w:pos="1134"/>
        </w:tabs>
        <w:ind w:left="1134" w:hanging="1134"/>
      </w:pPr>
      <w:rPr>
        <w:rFonts w:asciiTheme="majorHAnsi" w:hAnsiTheme="majorHAnsi" w:hint="default"/>
        <w:color w:val="007BC3" w:themeColor="accent2"/>
        <w:sz w:val="24"/>
      </w:rPr>
    </w:lvl>
    <w:lvl w:ilvl="4">
      <w:start w:val="1"/>
      <w:numFmt w:val="decimal"/>
      <w:pStyle w:val="AltHeading5"/>
      <w:lvlText w:val="%1.%2.%3.%4.%5."/>
      <w:lvlJc w:val="left"/>
      <w:pPr>
        <w:tabs>
          <w:tab w:val="num" w:pos="1134"/>
        </w:tabs>
        <w:ind w:left="1134" w:hanging="1134"/>
      </w:pPr>
      <w:rPr>
        <w:rFonts w:asciiTheme="majorHAnsi" w:hAnsiTheme="majorHAnsi" w:hint="default"/>
        <w:color w:val="007BC3" w:themeColor="accent2"/>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96" w15:restartNumberingAfterBreak="0">
    <w:nsid w:val="418F5A35"/>
    <w:multiLevelType w:val="hybridMultilevel"/>
    <w:tmpl w:val="CE1EFC4A"/>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7" w15:restartNumberingAfterBreak="0">
    <w:nsid w:val="42D77074"/>
    <w:multiLevelType w:val="hybridMultilevel"/>
    <w:tmpl w:val="AC6E88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8" w15:restartNumberingAfterBreak="0">
    <w:nsid w:val="4308468F"/>
    <w:multiLevelType w:val="hybridMultilevel"/>
    <w:tmpl w:val="5AB8B6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43A7331F"/>
    <w:multiLevelType w:val="multilevel"/>
    <w:tmpl w:val="B9602BCA"/>
    <w:lvl w:ilvl="0">
      <w:start w:val="1"/>
      <w:numFmt w:val="upperLetter"/>
      <w:pStyle w:val="ListAlpha0"/>
      <w:lvlText w:val="%1."/>
      <w:lvlJc w:val="left"/>
      <w:pPr>
        <w:tabs>
          <w:tab w:val="num" w:pos="284"/>
        </w:tabs>
        <w:ind w:left="284" w:hanging="284"/>
      </w:pPr>
      <w:rPr>
        <w:rFonts w:asciiTheme="minorHAnsi" w:hAnsiTheme="minorHAnsi" w:hint="default"/>
        <w:color w:val="auto"/>
        <w:sz w:val="20"/>
      </w:rPr>
    </w:lvl>
    <w:lvl w:ilvl="1">
      <w:start w:val="1"/>
      <w:numFmt w:val="lowerRoman"/>
      <w:lvlText w:val="%2."/>
      <w:lvlJc w:val="left"/>
      <w:pPr>
        <w:tabs>
          <w:tab w:val="num" w:pos="568"/>
        </w:tabs>
        <w:ind w:left="568" w:hanging="284"/>
      </w:pPr>
      <w:rPr>
        <w:rFonts w:asciiTheme="minorHAnsi" w:hAnsiTheme="minorHAnsi" w:hint="default"/>
        <w:color w:val="auto"/>
        <w:sz w:val="22"/>
      </w:rPr>
    </w:lvl>
    <w:lvl w:ilvl="2">
      <w:start w:val="1"/>
      <w:numFmt w:val="lowerLetter"/>
      <w:lvlText w:val="%3."/>
      <w:lvlJc w:val="left"/>
      <w:pPr>
        <w:tabs>
          <w:tab w:val="num" w:pos="852"/>
        </w:tabs>
        <w:ind w:left="852" w:hanging="284"/>
      </w:pPr>
      <w:rPr>
        <w:rFonts w:asciiTheme="minorHAnsi" w:hAnsiTheme="minorHAnsi" w:hint="default"/>
        <w:color w:val="auto"/>
        <w:sz w:val="20"/>
      </w:rPr>
    </w:lvl>
    <w:lvl w:ilvl="3">
      <w:start w:val="1"/>
      <w:numFmt w:val="upperRoman"/>
      <w:lvlText w:val="%4."/>
      <w:lvlJc w:val="left"/>
      <w:pPr>
        <w:tabs>
          <w:tab w:val="num" w:pos="1136"/>
        </w:tabs>
        <w:ind w:left="1136" w:hanging="284"/>
      </w:pPr>
      <w:rPr>
        <w:rFonts w:asciiTheme="minorHAnsi" w:hAnsiTheme="minorHAnsi" w:hint="default"/>
        <w:color w:val="auto"/>
        <w:sz w:val="20"/>
      </w:rPr>
    </w:lvl>
    <w:lvl w:ilvl="4">
      <w:start w:val="1"/>
      <w:numFmt w:val="decimal"/>
      <w:lvlText w:val="%5."/>
      <w:lvlJc w:val="left"/>
      <w:pPr>
        <w:tabs>
          <w:tab w:val="num" w:pos="1420"/>
        </w:tabs>
        <w:ind w:left="1420" w:hanging="284"/>
      </w:pPr>
      <w:rPr>
        <w:rFonts w:asciiTheme="minorHAnsi" w:hAnsiTheme="minorHAnsi" w:hint="default"/>
        <w:color w:val="auto"/>
        <w:sz w:val="20"/>
      </w:rPr>
    </w:lvl>
    <w:lvl w:ilvl="5">
      <w:start w:val="1"/>
      <w:numFmt w:val="lowerLetter"/>
      <w:lvlText w:val="%6."/>
      <w:lvlJc w:val="left"/>
      <w:pPr>
        <w:tabs>
          <w:tab w:val="num" w:pos="1704"/>
        </w:tabs>
        <w:ind w:left="1704" w:hanging="284"/>
      </w:pPr>
      <w:rPr>
        <w:rFonts w:asciiTheme="minorHAnsi" w:hAnsiTheme="minorHAnsi" w:hint="default"/>
        <w:color w:val="auto"/>
        <w:sz w:val="20"/>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100" w15:restartNumberingAfterBreak="0">
    <w:nsid w:val="445230EA"/>
    <w:multiLevelType w:val="hybridMultilevel"/>
    <w:tmpl w:val="6CB85AE4"/>
    <w:lvl w:ilvl="0" w:tplc="2AA6AB24">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1" w15:restartNumberingAfterBreak="0">
    <w:nsid w:val="4465205E"/>
    <w:multiLevelType w:val="hybridMultilevel"/>
    <w:tmpl w:val="F8881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47111FC4"/>
    <w:multiLevelType w:val="hybridMultilevel"/>
    <w:tmpl w:val="0652D8F2"/>
    <w:lvl w:ilvl="0" w:tplc="6748BFFC">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47C3526E"/>
    <w:multiLevelType w:val="multilevel"/>
    <w:tmpl w:val="42842396"/>
    <w:lvl w:ilvl="0">
      <w:start w:val="4"/>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decimal"/>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4" w15:restartNumberingAfterBreak="0">
    <w:nsid w:val="4814788C"/>
    <w:multiLevelType w:val="multilevel"/>
    <w:tmpl w:val="A6580E26"/>
    <w:lvl w:ilvl="0">
      <w:start w:val="1"/>
      <w:numFmt w:val="decimal"/>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5" w15:restartNumberingAfterBreak="0">
    <w:nsid w:val="4907500B"/>
    <w:multiLevelType w:val="hybridMultilevel"/>
    <w:tmpl w:val="01B49A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4A3B79FD"/>
    <w:multiLevelType w:val="hybridMultilevel"/>
    <w:tmpl w:val="71B6DF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7" w15:restartNumberingAfterBreak="0">
    <w:nsid w:val="4BF07B61"/>
    <w:multiLevelType w:val="hybridMultilevel"/>
    <w:tmpl w:val="34BA3D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8" w15:restartNumberingAfterBreak="0">
    <w:nsid w:val="4D917174"/>
    <w:multiLevelType w:val="hybridMultilevel"/>
    <w:tmpl w:val="BD54F990"/>
    <w:lvl w:ilvl="0" w:tplc="62FE254C">
      <w:start w:val="1"/>
      <w:numFmt w:val="lowerLetter"/>
      <w:pStyle w:val="a"/>
      <w:lvlText w:val="(%1)"/>
      <w:lvlJc w:val="left"/>
      <w:pPr>
        <w:ind w:left="1137" w:hanging="57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9" w15:restartNumberingAfterBreak="0">
    <w:nsid w:val="4DCA774E"/>
    <w:multiLevelType w:val="hybridMultilevel"/>
    <w:tmpl w:val="849E1DC4"/>
    <w:lvl w:ilvl="0" w:tplc="2FA402BA">
      <w:start w:val="1"/>
      <w:numFmt w:val="upperLetter"/>
      <w:pStyle w:val="Heading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4E211485"/>
    <w:multiLevelType w:val="multilevel"/>
    <w:tmpl w:val="06CE5AEC"/>
    <w:lvl w:ilvl="0">
      <w:start w:val="1"/>
      <w:numFmt w:val="decimal"/>
      <w:lvlText w:val="%1."/>
      <w:lvlJc w:val="left"/>
      <w:pPr>
        <w:tabs>
          <w:tab w:val="num" w:pos="340"/>
        </w:tabs>
        <w:ind w:left="340" w:hanging="340"/>
      </w:pPr>
      <w:rPr>
        <w:b w:val="0"/>
        <w:bCs/>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11" w15:restartNumberingAfterBreak="0">
    <w:nsid w:val="4EB24229"/>
    <w:multiLevelType w:val="hybridMultilevel"/>
    <w:tmpl w:val="E3C6A0BA"/>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start w:val="1"/>
      <w:numFmt w:val="bullet"/>
      <w:lvlText w:val=""/>
      <w:lvlJc w:val="left"/>
      <w:pPr>
        <w:ind w:left="2877" w:hanging="360"/>
      </w:pPr>
      <w:rPr>
        <w:rFonts w:ascii="Symbol" w:hAnsi="Symbol" w:hint="default"/>
      </w:rPr>
    </w:lvl>
    <w:lvl w:ilvl="4" w:tplc="0C090003">
      <w:start w:val="1"/>
      <w:numFmt w:val="bullet"/>
      <w:lvlText w:val="o"/>
      <w:lvlJc w:val="left"/>
      <w:pPr>
        <w:ind w:left="3597" w:hanging="360"/>
      </w:pPr>
      <w:rPr>
        <w:rFonts w:ascii="Courier New" w:hAnsi="Courier New" w:cs="Courier New" w:hint="default"/>
      </w:rPr>
    </w:lvl>
    <w:lvl w:ilvl="5" w:tplc="0C090005">
      <w:start w:val="1"/>
      <w:numFmt w:val="bullet"/>
      <w:lvlText w:val=""/>
      <w:lvlJc w:val="left"/>
      <w:pPr>
        <w:ind w:left="4317" w:hanging="360"/>
      </w:pPr>
      <w:rPr>
        <w:rFonts w:ascii="Wingdings" w:hAnsi="Wingdings" w:hint="default"/>
      </w:rPr>
    </w:lvl>
    <w:lvl w:ilvl="6" w:tplc="0C090001">
      <w:start w:val="1"/>
      <w:numFmt w:val="bullet"/>
      <w:lvlText w:val=""/>
      <w:lvlJc w:val="left"/>
      <w:pPr>
        <w:ind w:left="5037" w:hanging="360"/>
      </w:pPr>
      <w:rPr>
        <w:rFonts w:ascii="Symbol" w:hAnsi="Symbol" w:hint="default"/>
      </w:rPr>
    </w:lvl>
    <w:lvl w:ilvl="7" w:tplc="0C090003">
      <w:start w:val="1"/>
      <w:numFmt w:val="bullet"/>
      <w:lvlText w:val="o"/>
      <w:lvlJc w:val="left"/>
      <w:pPr>
        <w:ind w:left="5757" w:hanging="360"/>
      </w:pPr>
      <w:rPr>
        <w:rFonts w:ascii="Courier New" w:hAnsi="Courier New" w:cs="Courier New" w:hint="default"/>
      </w:rPr>
    </w:lvl>
    <w:lvl w:ilvl="8" w:tplc="0C090005">
      <w:start w:val="1"/>
      <w:numFmt w:val="bullet"/>
      <w:lvlText w:val=""/>
      <w:lvlJc w:val="left"/>
      <w:pPr>
        <w:ind w:left="6477" w:hanging="360"/>
      </w:pPr>
      <w:rPr>
        <w:rFonts w:ascii="Wingdings" w:hAnsi="Wingdings" w:hint="default"/>
      </w:rPr>
    </w:lvl>
  </w:abstractNum>
  <w:abstractNum w:abstractNumId="112" w15:restartNumberingAfterBreak="0">
    <w:nsid w:val="516A13C1"/>
    <w:multiLevelType w:val="hybridMultilevel"/>
    <w:tmpl w:val="FDDA51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3" w15:restartNumberingAfterBreak="0">
    <w:nsid w:val="51A201EA"/>
    <w:multiLevelType w:val="hybridMultilevel"/>
    <w:tmpl w:val="2C6CBA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51BE3576"/>
    <w:multiLevelType w:val="hybridMultilevel"/>
    <w:tmpl w:val="3A1C9E9C"/>
    <w:lvl w:ilvl="0" w:tplc="0C09001B">
      <w:start w:val="1"/>
      <w:numFmt w:val="lowerRoman"/>
      <w:lvlText w:val="%1."/>
      <w:lvlJc w:val="righ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5" w15:restartNumberingAfterBreak="0">
    <w:nsid w:val="531C286E"/>
    <w:multiLevelType w:val="hybridMultilevel"/>
    <w:tmpl w:val="98A8FB3A"/>
    <w:lvl w:ilvl="0" w:tplc="DD465E50">
      <w:start w:val="1"/>
      <w:numFmt w:val="lowerRoman"/>
      <w:lvlText w:val="(%1)"/>
      <w:lvlJc w:val="left"/>
      <w:pPr>
        <w:ind w:left="1077" w:hanging="72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6" w15:restartNumberingAfterBreak="0">
    <w:nsid w:val="53D142A1"/>
    <w:multiLevelType w:val="multilevel"/>
    <w:tmpl w:val="32345D04"/>
    <w:lvl w:ilvl="0">
      <w:start w:val="1"/>
      <w:numFmt w:val="decimal"/>
      <w:lvlText w:val="%1."/>
      <w:lvlJc w:val="left"/>
      <w:pPr>
        <w:ind w:left="357" w:hanging="360"/>
      </w:pPr>
    </w:lvl>
    <w:lvl w:ilvl="1">
      <w:start w:val="1"/>
      <w:numFmt w:val="bullet"/>
      <w:lvlText w:val="o"/>
      <w:lvlJc w:val="left"/>
      <w:pPr>
        <w:ind w:left="1077" w:hanging="360"/>
      </w:pPr>
      <w:rPr>
        <w:rFonts w:ascii="Courier New" w:hAnsi="Courier New" w:cs="Courier New" w:hint="default"/>
      </w:rPr>
    </w:lvl>
    <w:lvl w:ilvl="2">
      <w:start w:val="1"/>
      <w:numFmt w:val="decimal"/>
      <w:lvlText w:val="%3."/>
      <w:lvlJc w:val="left"/>
      <w:pPr>
        <w:ind w:left="1977" w:hanging="360"/>
      </w:pPr>
      <w:rPr>
        <w:rFonts w:hint="default"/>
      </w:rPr>
    </w:lvl>
    <w:lvl w:ilvl="3">
      <w:start w:val="3"/>
      <w:numFmt w:val="bullet"/>
      <w:lvlText w:val="-"/>
      <w:lvlJc w:val="left"/>
      <w:pPr>
        <w:ind w:left="2517" w:hanging="360"/>
      </w:pPr>
      <w:rPr>
        <w:rFonts w:ascii="Arial" w:eastAsiaTheme="minorHAnsi" w:hAnsi="Arial" w:cs="Arial" w:hint="default"/>
      </w:rPr>
    </w:lvl>
    <w:lvl w:ilvl="4" w:tentative="1">
      <w:start w:val="1"/>
      <w:numFmt w:val="lowerLetter"/>
      <w:lvlText w:val="%5."/>
      <w:lvlJc w:val="left"/>
      <w:pPr>
        <w:ind w:left="3237" w:hanging="360"/>
      </w:pPr>
    </w:lvl>
    <w:lvl w:ilvl="5" w:tentative="1">
      <w:start w:val="1"/>
      <w:numFmt w:val="lowerRoman"/>
      <w:lvlText w:val="%6."/>
      <w:lvlJc w:val="right"/>
      <w:pPr>
        <w:ind w:left="3957" w:hanging="180"/>
      </w:pPr>
    </w:lvl>
    <w:lvl w:ilvl="6" w:tentative="1">
      <w:start w:val="1"/>
      <w:numFmt w:val="decimal"/>
      <w:lvlText w:val="%7."/>
      <w:lvlJc w:val="left"/>
      <w:pPr>
        <w:ind w:left="4677" w:hanging="360"/>
      </w:pPr>
    </w:lvl>
    <w:lvl w:ilvl="7" w:tentative="1">
      <w:start w:val="1"/>
      <w:numFmt w:val="lowerLetter"/>
      <w:lvlText w:val="%8."/>
      <w:lvlJc w:val="left"/>
      <w:pPr>
        <w:ind w:left="5397" w:hanging="360"/>
      </w:pPr>
    </w:lvl>
    <w:lvl w:ilvl="8" w:tentative="1">
      <w:start w:val="1"/>
      <w:numFmt w:val="lowerRoman"/>
      <w:lvlText w:val="%9."/>
      <w:lvlJc w:val="right"/>
      <w:pPr>
        <w:ind w:left="6117" w:hanging="180"/>
      </w:pPr>
    </w:lvl>
  </w:abstractNum>
  <w:abstractNum w:abstractNumId="117" w15:restartNumberingAfterBreak="0">
    <w:nsid w:val="53DF50DB"/>
    <w:multiLevelType w:val="hybridMultilevel"/>
    <w:tmpl w:val="756E6730"/>
    <w:lvl w:ilvl="0" w:tplc="369086DE">
      <w:start w:val="1"/>
      <w:numFmt w:val="upperRoman"/>
      <w:lvlText w:val="%1."/>
      <w:lvlJc w:val="left"/>
      <w:pPr>
        <w:ind w:left="1080" w:hanging="720"/>
      </w:pPr>
      <w:rPr>
        <w:rFonts w:asciiTheme="minorHAnsi" w:hAnsiTheme="minorHAnsi" w:cs="Times New Roman" w:hint="default"/>
        <w:b/>
        <w:color w:val="034EA2" w:themeColor="accent1"/>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549F1ECB"/>
    <w:multiLevelType w:val="multilevel"/>
    <w:tmpl w:val="32345D04"/>
    <w:numStyleLink w:val="Style1"/>
  </w:abstractNum>
  <w:abstractNum w:abstractNumId="119" w15:restartNumberingAfterBreak="0">
    <w:nsid w:val="54AA3AC2"/>
    <w:multiLevelType w:val="hybridMultilevel"/>
    <w:tmpl w:val="C700CD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0" w15:restartNumberingAfterBreak="0">
    <w:nsid w:val="54B44BB7"/>
    <w:multiLevelType w:val="hybridMultilevel"/>
    <w:tmpl w:val="D7BCD51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1" w15:restartNumberingAfterBreak="0">
    <w:nsid w:val="55F3088B"/>
    <w:multiLevelType w:val="hybridMultilevel"/>
    <w:tmpl w:val="E028F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5683388F"/>
    <w:multiLevelType w:val="multilevel"/>
    <w:tmpl w:val="32345D04"/>
    <w:numStyleLink w:val="Style1"/>
  </w:abstractNum>
  <w:abstractNum w:abstractNumId="123" w15:restartNumberingAfterBreak="0">
    <w:nsid w:val="56C225A5"/>
    <w:multiLevelType w:val="hybridMultilevel"/>
    <w:tmpl w:val="A4E0A3F0"/>
    <w:lvl w:ilvl="0" w:tplc="178496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574406F6"/>
    <w:multiLevelType w:val="hybridMultilevel"/>
    <w:tmpl w:val="863AC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58A04D33"/>
    <w:multiLevelType w:val="multilevel"/>
    <w:tmpl w:val="7988D8CE"/>
    <w:lvl w:ilvl="0">
      <w:start w:val="1"/>
      <w:numFmt w:val="lowerLetter"/>
      <w:lvlText w:val="%1."/>
      <w:lvlJc w:val="left"/>
      <w:pPr>
        <w:ind w:left="284" w:hanging="284"/>
      </w:pPr>
      <w:rPr>
        <w:rFonts w:hint="default"/>
      </w:rPr>
    </w:lvl>
    <w:lvl w:ilvl="1">
      <w:start w:val="1"/>
      <w:numFmt w:val="lowerRoman"/>
      <w:pStyle w:val="ListAlpha2"/>
      <w:lvlText w:val="%2."/>
      <w:lvlJc w:val="left"/>
      <w:pPr>
        <w:ind w:left="568" w:hanging="284"/>
      </w:pPr>
      <w:rPr>
        <w:rFonts w:hint="default"/>
      </w:rPr>
    </w:lvl>
    <w:lvl w:ilvl="2">
      <w:start w:val="1"/>
      <w:numFmt w:val="lowerLetter"/>
      <w:pStyle w:val="ListAlpha3"/>
      <w:lvlText w:val="%3."/>
      <w:lvlJc w:val="left"/>
      <w:pPr>
        <w:ind w:left="852" w:hanging="284"/>
      </w:pPr>
      <w:rPr>
        <w:rFonts w:hint="default"/>
      </w:rPr>
    </w:lvl>
    <w:lvl w:ilvl="3">
      <w:start w:val="1"/>
      <w:numFmt w:val="decimal"/>
      <w:pStyle w:val="ListAlpha4"/>
      <w:lvlText w:val="%4."/>
      <w:lvlJc w:val="left"/>
      <w:pPr>
        <w:ind w:left="1136" w:hanging="284"/>
      </w:pPr>
      <w:rPr>
        <w:rFonts w:hint="default"/>
      </w:rPr>
    </w:lvl>
    <w:lvl w:ilvl="4">
      <w:start w:val="1"/>
      <w:numFmt w:val="lowerLetter"/>
      <w:pStyle w:val="ListAlpha5"/>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6" w15:restartNumberingAfterBreak="0">
    <w:nsid w:val="58E34F39"/>
    <w:multiLevelType w:val="hybridMultilevel"/>
    <w:tmpl w:val="173E177A"/>
    <w:lvl w:ilvl="0" w:tplc="0C09001B">
      <w:start w:val="1"/>
      <w:numFmt w:val="lowerRoman"/>
      <w:lvlText w:val="%1."/>
      <w:lvlJc w:val="right"/>
      <w:pPr>
        <w:tabs>
          <w:tab w:val="num" w:pos="765"/>
        </w:tabs>
        <w:ind w:left="765" w:hanging="340"/>
      </w:pPr>
      <w:rPr>
        <w:rFonts w:hint="default"/>
        <w:color w:val="auto"/>
        <w:sz w:val="22"/>
      </w:rPr>
    </w:lvl>
    <w:lvl w:ilvl="1" w:tplc="FFFFFFFF">
      <w:start w:val="1"/>
      <w:numFmt w:val="bullet"/>
      <w:lvlText w:val="o"/>
      <w:lvlJc w:val="left"/>
    </w:lvl>
    <w:lvl w:ilvl="2" w:tplc="FFFFFFFF">
      <w:start w:val="1"/>
      <w:numFmt w:val="bullet"/>
      <w:lvlText w:val="o"/>
      <w:lvlJc w:val="left"/>
      <w:rPr>
        <w:rFonts w:ascii="Courier New" w:hAnsi="Courier New" w:hint="default"/>
      </w:rPr>
    </w:lvl>
    <w:lvl w:ilvl="3" w:tplc="FFFFFFFF">
      <w:start w:val="1"/>
      <w:numFmt w:val="bullet"/>
      <w:lvlText w:val="o"/>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137616AE">
      <w:numFmt w:val="decimal"/>
      <w:lvlText w:val=""/>
      <w:lvlJc w:val="left"/>
    </w:lvl>
    <w:lvl w:ilvl="8" w:tplc="58FE7996">
      <w:numFmt w:val="decimal"/>
      <w:lvlText w:val=""/>
      <w:lvlJc w:val="left"/>
    </w:lvl>
  </w:abstractNum>
  <w:abstractNum w:abstractNumId="127" w15:restartNumberingAfterBreak="0">
    <w:nsid w:val="5AF655F0"/>
    <w:multiLevelType w:val="hybridMultilevel"/>
    <w:tmpl w:val="4B08E7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5BB0295B"/>
    <w:multiLevelType w:val="hybridMultilevel"/>
    <w:tmpl w:val="9CDE8A30"/>
    <w:lvl w:ilvl="0" w:tplc="0C090001">
      <w:start w:val="1"/>
      <w:numFmt w:val="bullet"/>
      <w:lvlText w:val=""/>
      <w:lvlJc w:val="left"/>
      <w:pPr>
        <w:ind w:left="284" w:firstLine="0"/>
      </w:pPr>
      <w:rPr>
        <w:rFonts w:ascii="Symbol" w:hAnsi="Symbol" w:hint="default"/>
        <w:color w:val="auto"/>
      </w:rPr>
    </w:lvl>
    <w:lvl w:ilvl="1" w:tplc="B50AC96C">
      <w:start w:val="1"/>
      <w:numFmt w:val="decimal"/>
      <w:suff w:val="nothing"/>
      <w:lvlText w:val=""/>
      <w:lvlJc w:val="left"/>
      <w:pPr>
        <w:ind w:left="568" w:firstLine="0"/>
      </w:pPr>
      <w:rPr>
        <w:color w:val="auto"/>
      </w:rPr>
    </w:lvl>
    <w:lvl w:ilvl="2" w:tplc="B63E0F76">
      <w:start w:val="1"/>
      <w:numFmt w:val="decimal"/>
      <w:suff w:val="nothing"/>
      <w:lvlText w:val=""/>
      <w:lvlJc w:val="left"/>
      <w:pPr>
        <w:ind w:left="852" w:firstLine="0"/>
      </w:pPr>
      <w:rPr>
        <w:color w:val="auto"/>
      </w:rPr>
    </w:lvl>
    <w:lvl w:ilvl="3" w:tplc="78E2D816">
      <w:start w:val="1"/>
      <w:numFmt w:val="decimal"/>
      <w:suff w:val="nothing"/>
      <w:lvlText w:val=""/>
      <w:lvlJc w:val="left"/>
      <w:pPr>
        <w:ind w:left="1136" w:firstLine="0"/>
      </w:pPr>
      <w:rPr>
        <w:color w:val="auto"/>
      </w:rPr>
    </w:lvl>
    <w:lvl w:ilvl="4" w:tplc="3DC8B1DA">
      <w:start w:val="1"/>
      <w:numFmt w:val="decimal"/>
      <w:suff w:val="nothing"/>
      <w:lvlText w:val=""/>
      <w:lvlJc w:val="left"/>
      <w:pPr>
        <w:ind w:left="1420" w:firstLine="0"/>
      </w:pPr>
      <w:rPr>
        <w:color w:val="auto"/>
      </w:rPr>
    </w:lvl>
    <w:lvl w:ilvl="5" w:tplc="8974A112">
      <w:start w:val="1"/>
      <w:numFmt w:val="decimal"/>
      <w:suff w:val="nothing"/>
      <w:lvlText w:val=""/>
      <w:lvlJc w:val="left"/>
      <w:pPr>
        <w:ind w:left="1704" w:firstLine="0"/>
      </w:pPr>
      <w:rPr>
        <w:color w:val="auto"/>
      </w:rPr>
    </w:lvl>
    <w:lvl w:ilvl="6" w:tplc="C942947E">
      <w:start w:val="1"/>
      <w:numFmt w:val="decimal"/>
      <w:suff w:val="nothing"/>
      <w:lvlText w:val=""/>
      <w:lvlJc w:val="left"/>
      <w:pPr>
        <w:ind w:left="1988" w:firstLine="0"/>
      </w:pPr>
      <w:rPr>
        <w:color w:val="000000"/>
      </w:rPr>
    </w:lvl>
    <w:lvl w:ilvl="7" w:tplc="10108ED6">
      <w:start w:val="1"/>
      <w:numFmt w:val="decimal"/>
      <w:suff w:val="nothing"/>
      <w:lvlText w:val=""/>
      <w:lvlJc w:val="left"/>
      <w:pPr>
        <w:ind w:left="2272" w:firstLine="0"/>
      </w:pPr>
    </w:lvl>
    <w:lvl w:ilvl="8" w:tplc="1B7CD5C2">
      <w:numFmt w:val="decimal"/>
      <w:lvlText w:val=""/>
      <w:lvlJc w:val="left"/>
      <w:pPr>
        <w:tabs>
          <w:tab w:val="num" w:pos="3407"/>
        </w:tabs>
        <w:ind w:left="2556" w:firstLine="0"/>
      </w:pPr>
    </w:lvl>
  </w:abstractNum>
  <w:abstractNum w:abstractNumId="129" w15:restartNumberingAfterBreak="0">
    <w:nsid w:val="5D861B02"/>
    <w:multiLevelType w:val="hybridMultilevel"/>
    <w:tmpl w:val="85EE5E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0" w15:restartNumberingAfterBreak="0">
    <w:nsid w:val="5DB93B97"/>
    <w:multiLevelType w:val="multilevel"/>
    <w:tmpl w:val="624681D2"/>
    <w:styleLink w:val="List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bullet"/>
      <w:pStyle w:val="TableBullet2"/>
      <w:lvlText w:val="–"/>
      <w:lvlJc w:val="left"/>
      <w:pPr>
        <w:tabs>
          <w:tab w:val="num" w:pos="567"/>
        </w:tabs>
        <w:ind w:left="567" w:hanging="283"/>
      </w:pPr>
      <w:rPr>
        <w:rFonts w:ascii="Arial" w:hAnsi="Arial" w:cs="Times New Roman" w:hint="default"/>
        <w:color w:val="auto"/>
        <w:sz w:val="20"/>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131" w15:restartNumberingAfterBreak="0">
    <w:nsid w:val="5F5D36F5"/>
    <w:multiLevelType w:val="hybridMultilevel"/>
    <w:tmpl w:val="10BEAC78"/>
    <w:lvl w:ilvl="0" w:tplc="0C09001B">
      <w:start w:val="1"/>
      <w:numFmt w:val="lowerRoman"/>
      <w:lvlText w:val="%1."/>
      <w:lvlJc w:val="right"/>
      <w:pPr>
        <w:tabs>
          <w:tab w:val="num" w:pos="765"/>
        </w:tabs>
        <w:ind w:left="765" w:hanging="340"/>
      </w:pPr>
      <w:rPr>
        <w:rFonts w:hint="default"/>
        <w:color w:val="auto"/>
        <w:sz w:val="22"/>
      </w:rPr>
    </w:lvl>
    <w:lvl w:ilvl="1" w:tplc="FFFFFFFF">
      <w:start w:val="1"/>
      <w:numFmt w:val="bullet"/>
      <w:lvlText w:val="o"/>
      <w:lvlJc w:val="left"/>
    </w:lvl>
    <w:lvl w:ilvl="2" w:tplc="FFFFFFFF">
      <w:start w:val="1"/>
      <w:numFmt w:val="bullet"/>
      <w:lvlText w:val="o"/>
      <w:lvlJc w:val="left"/>
      <w:rPr>
        <w:rFonts w:ascii="Courier New" w:hAnsi="Courier New" w:hint="default"/>
      </w:rPr>
    </w:lvl>
    <w:lvl w:ilvl="3" w:tplc="FFFFFFFF">
      <w:start w:val="1"/>
      <w:numFmt w:val="bullet"/>
      <w:lvlText w:val="o"/>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137616AE">
      <w:numFmt w:val="decimal"/>
      <w:lvlText w:val=""/>
      <w:lvlJc w:val="left"/>
    </w:lvl>
    <w:lvl w:ilvl="8" w:tplc="58FE7996">
      <w:numFmt w:val="decimal"/>
      <w:lvlText w:val=""/>
      <w:lvlJc w:val="left"/>
    </w:lvl>
  </w:abstractNum>
  <w:abstractNum w:abstractNumId="132" w15:restartNumberingAfterBreak="0">
    <w:nsid w:val="62226C95"/>
    <w:multiLevelType w:val="hybridMultilevel"/>
    <w:tmpl w:val="0B9EF302"/>
    <w:lvl w:ilvl="0" w:tplc="19C6202C">
      <w:start w:val="1"/>
      <w:numFmt w:val="bullet"/>
      <w:pStyle w:val="TableofAuthoritie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6628665D"/>
    <w:multiLevelType w:val="multilevel"/>
    <w:tmpl w:val="846245FE"/>
    <w:lvl w:ilvl="0">
      <w:start w:val="1"/>
      <w:numFmt w:val="decimal"/>
      <w:lvlText w:val="%1."/>
      <w:lvlJc w:val="left"/>
      <w:pPr>
        <w:ind w:left="360" w:hanging="360"/>
      </w:pPr>
    </w:lvl>
    <w:lvl w:ilvl="1">
      <w:start w:val="1"/>
      <w:numFmt w:val="lowerLetter"/>
      <w:lvlText w:val="(%2)"/>
      <w:lvlJc w:val="left"/>
      <w:pPr>
        <w:ind w:left="1080" w:hanging="360"/>
      </w:pPr>
      <w:rPr>
        <w:rFonts w:hint="default"/>
      </w:rPr>
    </w:lvl>
    <w:lvl w:ilvl="2">
      <w:start w:val="1"/>
      <w:numFmt w:val="decimal"/>
      <w:lvlText w:val="%3."/>
      <w:lvlJc w:val="left"/>
      <w:pPr>
        <w:ind w:left="1980" w:hanging="360"/>
      </w:pPr>
      <w:rPr>
        <w:rFonts w:hint="default"/>
      </w:rPr>
    </w:lvl>
    <w:lvl w:ilvl="3">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4" w15:restartNumberingAfterBreak="0">
    <w:nsid w:val="666C143F"/>
    <w:multiLevelType w:val="hybridMultilevel"/>
    <w:tmpl w:val="DA5A3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66C3259F"/>
    <w:multiLevelType w:val="hybridMultilevel"/>
    <w:tmpl w:val="EE8E5F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67847D7C"/>
    <w:multiLevelType w:val="hybridMultilevel"/>
    <w:tmpl w:val="A72CBFF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37" w15:restartNumberingAfterBreak="0">
    <w:nsid w:val="69BE7E8E"/>
    <w:multiLevelType w:val="hybridMultilevel"/>
    <w:tmpl w:val="AB3CA4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8" w15:restartNumberingAfterBreak="0">
    <w:nsid w:val="6D546DA0"/>
    <w:multiLevelType w:val="multilevel"/>
    <w:tmpl w:val="CCE02DC4"/>
    <w:lvl w:ilvl="0">
      <w:start w:val="1"/>
      <w:numFmt w:val="lowerRoman"/>
      <w:lvlText w:val="%1."/>
      <w:lvlJc w:val="righ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39" w15:restartNumberingAfterBreak="0">
    <w:nsid w:val="6DBA3F82"/>
    <w:multiLevelType w:val="multilevel"/>
    <w:tmpl w:val="74B02582"/>
    <w:lvl w:ilvl="0">
      <w:start w:val="1"/>
      <w:numFmt w:val="decimal"/>
      <w:pStyle w:val="Heading1numbered"/>
      <w:lvlText w:val="%1."/>
      <w:lvlJc w:val="left"/>
      <w:pPr>
        <w:tabs>
          <w:tab w:val="num" w:pos="1134"/>
        </w:tabs>
        <w:ind w:left="1134" w:hanging="1134"/>
      </w:pPr>
      <w:rPr>
        <w:rFonts w:hint="default"/>
      </w:rPr>
    </w:lvl>
    <w:lvl w:ilvl="1">
      <w:start w:val="1"/>
      <w:numFmt w:val="decimal"/>
      <w:pStyle w:val="Heading2numbered"/>
      <w:lvlText w:val="%1.%2."/>
      <w:lvlJc w:val="left"/>
      <w:pPr>
        <w:tabs>
          <w:tab w:val="num" w:pos="1134"/>
        </w:tabs>
        <w:ind w:left="1134" w:hanging="1134"/>
      </w:pPr>
      <w:rPr>
        <w:rFonts w:hint="default"/>
      </w:rPr>
    </w:lvl>
    <w:lvl w:ilvl="2">
      <w:start w:val="1"/>
      <w:numFmt w:val="decimal"/>
      <w:pStyle w:val="Heading3numbered"/>
      <w:lvlText w:val="%1.%2.%3."/>
      <w:lvlJc w:val="left"/>
      <w:pPr>
        <w:tabs>
          <w:tab w:val="num" w:pos="1134"/>
        </w:tabs>
        <w:ind w:left="1134" w:hanging="1134"/>
      </w:pPr>
      <w:rPr>
        <w:rFonts w:hint="default"/>
      </w:rPr>
    </w:lvl>
    <w:lvl w:ilvl="3">
      <w:start w:val="1"/>
      <w:numFmt w:val="decimal"/>
      <w:pStyle w:val="Heading4numbered"/>
      <w:lvlText w:val="%1.%2.%3.%4."/>
      <w:lvlJc w:val="left"/>
      <w:pPr>
        <w:tabs>
          <w:tab w:val="num" w:pos="1134"/>
        </w:tabs>
        <w:ind w:left="1134" w:hanging="1134"/>
      </w:pPr>
      <w:rPr>
        <w:rFonts w:hint="default"/>
      </w:rPr>
    </w:lvl>
    <w:lvl w:ilvl="4">
      <w:start w:val="1"/>
      <w:numFmt w:val="decimal"/>
      <w:pStyle w:val="Heading5numbered"/>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140" w15:restartNumberingAfterBreak="0">
    <w:nsid w:val="6E3E0F07"/>
    <w:multiLevelType w:val="multilevel"/>
    <w:tmpl w:val="32345D04"/>
    <w:styleLink w:val="Style1"/>
    <w:lvl w:ilvl="0">
      <w:start w:val="1"/>
      <w:numFmt w:val="decimal"/>
      <w:lvlText w:val="%1."/>
      <w:lvlJc w:val="left"/>
      <w:pPr>
        <w:ind w:left="357" w:hanging="360"/>
      </w:pPr>
    </w:lvl>
    <w:lvl w:ilvl="1">
      <w:start w:val="1"/>
      <w:numFmt w:val="bullet"/>
      <w:lvlText w:val="o"/>
      <w:lvlJc w:val="left"/>
      <w:pPr>
        <w:ind w:left="1077" w:hanging="360"/>
      </w:pPr>
      <w:rPr>
        <w:rFonts w:ascii="Courier New" w:hAnsi="Courier New" w:cs="Courier New" w:hint="default"/>
      </w:rPr>
    </w:lvl>
    <w:lvl w:ilvl="2">
      <w:start w:val="1"/>
      <w:numFmt w:val="decimal"/>
      <w:lvlText w:val="%3."/>
      <w:lvlJc w:val="left"/>
      <w:pPr>
        <w:ind w:left="1977" w:hanging="360"/>
      </w:pPr>
      <w:rPr>
        <w:rFonts w:hint="default"/>
      </w:rPr>
    </w:lvl>
    <w:lvl w:ilvl="3">
      <w:start w:val="3"/>
      <w:numFmt w:val="bullet"/>
      <w:lvlText w:val="-"/>
      <w:lvlJc w:val="left"/>
      <w:pPr>
        <w:ind w:left="2517" w:hanging="360"/>
      </w:pPr>
      <w:rPr>
        <w:rFonts w:ascii="Arial" w:eastAsiaTheme="minorHAnsi" w:hAnsi="Arial" w:cs="Arial" w:hint="default"/>
      </w:rPr>
    </w:lvl>
    <w:lvl w:ilvl="4" w:tentative="1">
      <w:start w:val="1"/>
      <w:numFmt w:val="lowerLetter"/>
      <w:lvlText w:val="%5."/>
      <w:lvlJc w:val="left"/>
      <w:pPr>
        <w:ind w:left="3237" w:hanging="360"/>
      </w:pPr>
    </w:lvl>
    <w:lvl w:ilvl="5" w:tentative="1">
      <w:start w:val="1"/>
      <w:numFmt w:val="lowerRoman"/>
      <w:lvlText w:val="%6."/>
      <w:lvlJc w:val="right"/>
      <w:pPr>
        <w:ind w:left="3957" w:hanging="180"/>
      </w:pPr>
    </w:lvl>
    <w:lvl w:ilvl="6" w:tentative="1">
      <w:start w:val="1"/>
      <w:numFmt w:val="decimal"/>
      <w:lvlText w:val="%7."/>
      <w:lvlJc w:val="left"/>
      <w:pPr>
        <w:ind w:left="4677" w:hanging="360"/>
      </w:pPr>
    </w:lvl>
    <w:lvl w:ilvl="7" w:tentative="1">
      <w:start w:val="1"/>
      <w:numFmt w:val="lowerLetter"/>
      <w:lvlText w:val="%8."/>
      <w:lvlJc w:val="left"/>
      <w:pPr>
        <w:ind w:left="5397" w:hanging="360"/>
      </w:pPr>
    </w:lvl>
    <w:lvl w:ilvl="8" w:tentative="1">
      <w:start w:val="1"/>
      <w:numFmt w:val="lowerRoman"/>
      <w:lvlText w:val="%9."/>
      <w:lvlJc w:val="right"/>
      <w:pPr>
        <w:ind w:left="6117" w:hanging="180"/>
      </w:pPr>
    </w:lvl>
  </w:abstractNum>
  <w:abstractNum w:abstractNumId="141" w15:restartNumberingAfterBreak="0">
    <w:nsid w:val="6E9524F9"/>
    <w:multiLevelType w:val="hybridMultilevel"/>
    <w:tmpl w:val="FF82A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7097233B"/>
    <w:multiLevelType w:val="multilevel"/>
    <w:tmpl w:val="EDE64672"/>
    <w:lvl w:ilvl="0">
      <w:start w:val="1"/>
      <w:numFmt w:val="decimal"/>
      <w:lvlText w:val="%1."/>
      <w:lvlJc w:val="left"/>
      <w:pPr>
        <w:ind w:left="360" w:hanging="360"/>
      </w:pPr>
      <w:rPr>
        <w:rFonts w:hint="default"/>
      </w:rPr>
    </w:lvl>
    <w:lvl w:ilvl="1">
      <w:start w:val="3"/>
      <w:numFmt w:val="decimal"/>
      <w:isLgl/>
      <w:lvlText w:val="%1.%2"/>
      <w:lvlJc w:val="left"/>
      <w:pPr>
        <w:ind w:left="432" w:hanging="43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15:restartNumberingAfterBreak="0">
    <w:nsid w:val="7139706E"/>
    <w:multiLevelType w:val="hybridMultilevel"/>
    <w:tmpl w:val="DD50EF50"/>
    <w:lvl w:ilvl="0" w:tplc="64EAEECC">
      <w:start w:val="1"/>
      <w:numFmt w:val="decimal"/>
      <w:suff w:val="nothing"/>
      <w:lvlText w:val="%1."/>
      <w:lvlJc w:val="left"/>
      <w:pPr>
        <w:ind w:left="284" w:firstLine="0"/>
      </w:pPr>
      <w:rPr>
        <w:color w:val="auto"/>
      </w:rPr>
    </w:lvl>
    <w:lvl w:ilvl="1" w:tplc="B50AC96C">
      <w:start w:val="1"/>
      <w:numFmt w:val="decimal"/>
      <w:pStyle w:val="ListParagraph2"/>
      <w:suff w:val="nothing"/>
      <w:lvlText w:val=""/>
      <w:lvlJc w:val="left"/>
      <w:pPr>
        <w:ind w:left="568" w:firstLine="0"/>
      </w:pPr>
      <w:rPr>
        <w:color w:val="auto"/>
      </w:rPr>
    </w:lvl>
    <w:lvl w:ilvl="2" w:tplc="B63E0F76">
      <w:start w:val="1"/>
      <w:numFmt w:val="decimal"/>
      <w:pStyle w:val="ListParagraph3"/>
      <w:suff w:val="nothing"/>
      <w:lvlText w:val=""/>
      <w:lvlJc w:val="left"/>
      <w:pPr>
        <w:ind w:left="852" w:firstLine="0"/>
      </w:pPr>
      <w:rPr>
        <w:color w:val="auto"/>
      </w:rPr>
    </w:lvl>
    <w:lvl w:ilvl="3" w:tplc="78E2D816">
      <w:start w:val="1"/>
      <w:numFmt w:val="decimal"/>
      <w:pStyle w:val="ListParagraph4"/>
      <w:suff w:val="nothing"/>
      <w:lvlText w:val=""/>
      <w:lvlJc w:val="left"/>
      <w:pPr>
        <w:ind w:left="1136" w:firstLine="0"/>
      </w:pPr>
      <w:rPr>
        <w:color w:val="auto"/>
      </w:rPr>
    </w:lvl>
    <w:lvl w:ilvl="4" w:tplc="3DC8B1DA">
      <w:start w:val="1"/>
      <w:numFmt w:val="decimal"/>
      <w:pStyle w:val="ListParagraph5"/>
      <w:suff w:val="nothing"/>
      <w:lvlText w:val=""/>
      <w:lvlJc w:val="left"/>
      <w:pPr>
        <w:ind w:left="1420" w:firstLine="0"/>
      </w:pPr>
      <w:rPr>
        <w:color w:val="auto"/>
      </w:rPr>
    </w:lvl>
    <w:lvl w:ilvl="5" w:tplc="8974A112">
      <w:start w:val="1"/>
      <w:numFmt w:val="decimal"/>
      <w:pStyle w:val="ListParagraph6"/>
      <w:suff w:val="nothing"/>
      <w:lvlText w:val=""/>
      <w:lvlJc w:val="left"/>
      <w:pPr>
        <w:ind w:left="1704" w:firstLine="0"/>
      </w:pPr>
      <w:rPr>
        <w:color w:val="auto"/>
      </w:rPr>
    </w:lvl>
    <w:lvl w:ilvl="6" w:tplc="C942947E">
      <w:start w:val="1"/>
      <w:numFmt w:val="decimal"/>
      <w:suff w:val="nothing"/>
      <w:lvlText w:val=""/>
      <w:lvlJc w:val="left"/>
      <w:pPr>
        <w:ind w:left="1988" w:firstLine="0"/>
      </w:pPr>
      <w:rPr>
        <w:color w:val="000000"/>
      </w:rPr>
    </w:lvl>
    <w:lvl w:ilvl="7" w:tplc="10108ED6">
      <w:start w:val="1"/>
      <w:numFmt w:val="decimal"/>
      <w:suff w:val="nothing"/>
      <w:lvlText w:val=""/>
      <w:lvlJc w:val="left"/>
      <w:pPr>
        <w:ind w:left="2272" w:firstLine="0"/>
      </w:pPr>
    </w:lvl>
    <w:lvl w:ilvl="8" w:tplc="1B7CD5C2">
      <w:numFmt w:val="decimal"/>
      <w:lvlText w:val=""/>
      <w:lvlJc w:val="left"/>
      <w:pPr>
        <w:tabs>
          <w:tab w:val="num" w:pos="3407"/>
        </w:tabs>
        <w:ind w:left="2556" w:firstLine="0"/>
      </w:pPr>
    </w:lvl>
  </w:abstractNum>
  <w:abstractNum w:abstractNumId="144" w15:restartNumberingAfterBreak="0">
    <w:nsid w:val="715E6722"/>
    <w:multiLevelType w:val="hybridMultilevel"/>
    <w:tmpl w:val="C0A86B68"/>
    <w:lvl w:ilvl="0" w:tplc="5D9479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71EE7D90"/>
    <w:multiLevelType w:val="hybridMultilevel"/>
    <w:tmpl w:val="99606C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6" w15:restartNumberingAfterBreak="0">
    <w:nsid w:val="732A50E2"/>
    <w:multiLevelType w:val="hybridMultilevel"/>
    <w:tmpl w:val="5DA61B2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7" w15:restartNumberingAfterBreak="0">
    <w:nsid w:val="738A3DAD"/>
    <w:multiLevelType w:val="hybridMultilevel"/>
    <w:tmpl w:val="A306C2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8" w15:restartNumberingAfterBreak="0">
    <w:nsid w:val="73DB5DD8"/>
    <w:multiLevelType w:val="singleLevel"/>
    <w:tmpl w:val="EAC8B9F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49" w15:restartNumberingAfterBreak="0">
    <w:nsid w:val="749665BA"/>
    <w:multiLevelType w:val="hybridMultilevel"/>
    <w:tmpl w:val="A3C64B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0" w15:restartNumberingAfterBreak="0">
    <w:nsid w:val="772F0A3D"/>
    <w:multiLevelType w:val="hybridMultilevel"/>
    <w:tmpl w:val="F5A8DF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1" w15:restartNumberingAfterBreak="0">
    <w:nsid w:val="77776916"/>
    <w:multiLevelType w:val="hybridMultilevel"/>
    <w:tmpl w:val="8382BB4C"/>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2" w15:restartNumberingAfterBreak="0">
    <w:nsid w:val="77791E24"/>
    <w:multiLevelType w:val="multilevel"/>
    <w:tmpl w:val="B6A0B1EA"/>
    <w:lvl w:ilvl="0">
      <w:start w:val="5"/>
      <w:numFmt w:val="decimal"/>
      <w:lvlText w:val="%1."/>
      <w:lvlJc w:val="left"/>
      <w:pPr>
        <w:ind w:left="357" w:hanging="360"/>
      </w:pPr>
      <w:rPr>
        <w:rFonts w:hint="default"/>
        <w:b w:val="0"/>
        <w:bCs/>
      </w:rPr>
    </w:lvl>
    <w:lvl w:ilvl="1">
      <w:start w:val="1"/>
      <w:numFmt w:val="bullet"/>
      <w:lvlText w:val="o"/>
      <w:lvlJc w:val="left"/>
      <w:pPr>
        <w:ind w:left="1077" w:hanging="360"/>
      </w:pPr>
      <w:rPr>
        <w:rFonts w:ascii="Courier New" w:hAnsi="Courier New" w:cs="Courier New" w:hint="default"/>
      </w:rPr>
    </w:lvl>
    <w:lvl w:ilvl="2">
      <w:start w:val="1"/>
      <w:numFmt w:val="decimal"/>
      <w:lvlText w:val="%3."/>
      <w:lvlJc w:val="left"/>
      <w:pPr>
        <w:ind w:left="1977" w:hanging="360"/>
      </w:pPr>
      <w:rPr>
        <w:rFonts w:hint="default"/>
      </w:rPr>
    </w:lvl>
    <w:lvl w:ilvl="3">
      <w:start w:val="3"/>
      <w:numFmt w:val="bullet"/>
      <w:lvlText w:val="-"/>
      <w:lvlJc w:val="left"/>
      <w:pPr>
        <w:ind w:left="2517" w:hanging="360"/>
      </w:pPr>
      <w:rPr>
        <w:rFonts w:ascii="Arial" w:eastAsiaTheme="minorHAnsi" w:hAnsi="Arial" w:cs="Arial" w:hint="default"/>
      </w:rPr>
    </w:lvl>
    <w:lvl w:ilvl="4">
      <w:start w:val="1"/>
      <w:numFmt w:val="lowerLetter"/>
      <w:lvlText w:val="%5."/>
      <w:lvlJc w:val="left"/>
      <w:pPr>
        <w:ind w:left="3237" w:hanging="360"/>
      </w:pPr>
      <w:rPr>
        <w:rFonts w:hint="default"/>
      </w:rPr>
    </w:lvl>
    <w:lvl w:ilvl="5">
      <w:start w:val="1"/>
      <w:numFmt w:val="lowerRoman"/>
      <w:lvlText w:val="%6."/>
      <w:lvlJc w:val="right"/>
      <w:pPr>
        <w:ind w:left="3957" w:hanging="180"/>
      </w:pPr>
      <w:rPr>
        <w:rFonts w:hint="default"/>
      </w:rPr>
    </w:lvl>
    <w:lvl w:ilvl="6">
      <w:start w:val="1"/>
      <w:numFmt w:val="decimal"/>
      <w:lvlText w:val="%7."/>
      <w:lvlJc w:val="left"/>
      <w:pPr>
        <w:ind w:left="4677" w:hanging="360"/>
      </w:pPr>
      <w:rPr>
        <w:rFonts w:hint="default"/>
      </w:rPr>
    </w:lvl>
    <w:lvl w:ilvl="7">
      <w:start w:val="1"/>
      <w:numFmt w:val="lowerLetter"/>
      <w:lvlText w:val="%8."/>
      <w:lvlJc w:val="left"/>
      <w:pPr>
        <w:ind w:left="5397" w:hanging="360"/>
      </w:pPr>
      <w:rPr>
        <w:rFonts w:hint="default"/>
      </w:rPr>
    </w:lvl>
    <w:lvl w:ilvl="8">
      <w:start w:val="1"/>
      <w:numFmt w:val="lowerRoman"/>
      <w:lvlText w:val="%9."/>
      <w:lvlJc w:val="right"/>
      <w:pPr>
        <w:ind w:left="6117" w:hanging="180"/>
      </w:pPr>
      <w:rPr>
        <w:rFonts w:hint="default"/>
      </w:rPr>
    </w:lvl>
  </w:abstractNum>
  <w:abstractNum w:abstractNumId="153" w15:restartNumberingAfterBreak="0">
    <w:nsid w:val="77C21E35"/>
    <w:multiLevelType w:val="multilevel"/>
    <w:tmpl w:val="1C44A84C"/>
    <w:lvl w:ilvl="0">
      <w:start w:val="2"/>
      <w:numFmt w:val="decimal"/>
      <w:lvlText w:val="%1."/>
      <w:lvlJc w:val="left"/>
      <w:pPr>
        <w:ind w:left="357" w:hanging="360"/>
      </w:pPr>
      <w:rPr>
        <w:rFonts w:hint="default"/>
      </w:rPr>
    </w:lvl>
    <w:lvl w:ilvl="1">
      <w:start w:val="1"/>
      <w:numFmt w:val="lowerLetter"/>
      <w:lvlText w:val="%2."/>
      <w:lvlJc w:val="left"/>
      <w:pPr>
        <w:ind w:left="1077" w:hanging="360"/>
      </w:pPr>
      <w:rPr>
        <w:rFonts w:hint="default"/>
      </w:rPr>
    </w:lvl>
    <w:lvl w:ilvl="2">
      <w:start w:val="1"/>
      <w:numFmt w:val="decimal"/>
      <w:lvlText w:val="%3."/>
      <w:lvlJc w:val="left"/>
      <w:pPr>
        <w:ind w:left="1977" w:hanging="360"/>
      </w:pPr>
      <w:rPr>
        <w:rFonts w:hint="default"/>
      </w:rPr>
    </w:lvl>
    <w:lvl w:ilvl="3">
      <w:start w:val="1"/>
      <w:numFmt w:val="decimal"/>
      <w:lvlText w:val="%4."/>
      <w:lvlJc w:val="left"/>
      <w:pPr>
        <w:ind w:left="2517" w:hanging="360"/>
      </w:pPr>
      <w:rPr>
        <w:rFonts w:hint="default"/>
      </w:rPr>
    </w:lvl>
    <w:lvl w:ilvl="4">
      <w:start w:val="1"/>
      <w:numFmt w:val="lowerLetter"/>
      <w:lvlText w:val="%5."/>
      <w:lvlJc w:val="left"/>
      <w:pPr>
        <w:ind w:left="3237" w:hanging="360"/>
      </w:pPr>
      <w:rPr>
        <w:rFonts w:hint="default"/>
      </w:rPr>
    </w:lvl>
    <w:lvl w:ilvl="5">
      <w:start w:val="1"/>
      <w:numFmt w:val="lowerRoman"/>
      <w:lvlText w:val="%6."/>
      <w:lvlJc w:val="right"/>
      <w:pPr>
        <w:ind w:left="3957" w:hanging="180"/>
      </w:pPr>
      <w:rPr>
        <w:rFonts w:hint="default"/>
      </w:rPr>
    </w:lvl>
    <w:lvl w:ilvl="6">
      <w:start w:val="1"/>
      <w:numFmt w:val="decimal"/>
      <w:lvlText w:val="%7."/>
      <w:lvlJc w:val="left"/>
      <w:pPr>
        <w:ind w:left="4677" w:hanging="360"/>
      </w:pPr>
      <w:rPr>
        <w:rFonts w:hint="default"/>
      </w:rPr>
    </w:lvl>
    <w:lvl w:ilvl="7">
      <w:start w:val="1"/>
      <w:numFmt w:val="lowerLetter"/>
      <w:lvlText w:val="%8."/>
      <w:lvlJc w:val="left"/>
      <w:pPr>
        <w:ind w:left="5397" w:hanging="360"/>
      </w:pPr>
      <w:rPr>
        <w:rFonts w:hint="default"/>
      </w:rPr>
    </w:lvl>
    <w:lvl w:ilvl="8">
      <w:start w:val="1"/>
      <w:numFmt w:val="lowerRoman"/>
      <w:lvlText w:val="%9."/>
      <w:lvlJc w:val="right"/>
      <w:pPr>
        <w:ind w:left="6117" w:hanging="180"/>
      </w:pPr>
      <w:rPr>
        <w:rFonts w:hint="default"/>
      </w:rPr>
    </w:lvl>
  </w:abstractNum>
  <w:abstractNum w:abstractNumId="154" w15:restartNumberingAfterBreak="0">
    <w:nsid w:val="798F3610"/>
    <w:multiLevelType w:val="hybridMultilevel"/>
    <w:tmpl w:val="6902D070"/>
    <w:lvl w:ilvl="0" w:tplc="31A29E24">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31A29E24">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15:restartNumberingAfterBreak="0">
    <w:nsid w:val="79A86ACD"/>
    <w:multiLevelType w:val="hybridMultilevel"/>
    <w:tmpl w:val="F3F6AA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6" w15:restartNumberingAfterBreak="0">
    <w:nsid w:val="7A0A23D4"/>
    <w:multiLevelType w:val="hybridMultilevel"/>
    <w:tmpl w:val="80606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7B4D11EF"/>
    <w:multiLevelType w:val="hybridMultilevel"/>
    <w:tmpl w:val="6CAA3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8" w15:restartNumberingAfterBreak="0">
    <w:nsid w:val="7BD26DA2"/>
    <w:multiLevelType w:val="hybridMultilevel"/>
    <w:tmpl w:val="3C40B2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9" w15:restartNumberingAfterBreak="0">
    <w:nsid w:val="7E0F5F26"/>
    <w:multiLevelType w:val="multilevel"/>
    <w:tmpl w:val="59D0DE14"/>
    <w:lvl w:ilvl="0">
      <w:start w:val="1"/>
      <w:numFmt w:val="upperLetter"/>
      <w:pStyle w:val="AppendixH1"/>
      <w:lvlText w:val="Appendix %1:"/>
      <w:lvlJc w:val="left"/>
      <w:pPr>
        <w:ind w:left="0" w:firstLine="0"/>
      </w:pPr>
      <w:rPr>
        <w:rFonts w:hint="default"/>
        <w:color w:val="034EA2" w:themeColor="accent1"/>
        <w:sz w:val="36"/>
        <w:szCs w:val="36"/>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60" w15:restartNumberingAfterBreak="0">
    <w:nsid w:val="7F372F8C"/>
    <w:multiLevelType w:val="hybridMultilevel"/>
    <w:tmpl w:val="83A035CA"/>
    <w:lvl w:ilvl="0" w:tplc="0C09001B">
      <w:start w:val="1"/>
      <w:numFmt w:val="lowerRoman"/>
      <w:lvlText w:val="%1."/>
      <w:lvlJc w:val="right"/>
      <w:pPr>
        <w:tabs>
          <w:tab w:val="num" w:pos="765"/>
        </w:tabs>
        <w:ind w:left="765" w:hanging="340"/>
      </w:pPr>
      <w:rPr>
        <w:rFonts w:hint="default"/>
        <w:color w:val="auto"/>
        <w:sz w:val="22"/>
      </w:rPr>
    </w:lvl>
    <w:lvl w:ilvl="1" w:tplc="FFFFFFFF">
      <w:start w:val="1"/>
      <w:numFmt w:val="bullet"/>
      <w:lvlText w:val="o"/>
      <w:lvlJc w:val="left"/>
    </w:lvl>
    <w:lvl w:ilvl="2" w:tplc="FFFFFFFF">
      <w:start w:val="1"/>
      <w:numFmt w:val="bullet"/>
      <w:lvlText w:val="o"/>
      <w:lvlJc w:val="left"/>
      <w:rPr>
        <w:rFonts w:ascii="Courier New" w:hAnsi="Courier New" w:hint="default"/>
      </w:rPr>
    </w:lvl>
    <w:lvl w:ilvl="3" w:tplc="FFFFFFFF">
      <w:start w:val="1"/>
      <w:numFmt w:val="bullet"/>
      <w:lvlText w:val="o"/>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137616AE">
      <w:numFmt w:val="decimal"/>
      <w:lvlText w:val=""/>
      <w:lvlJc w:val="left"/>
    </w:lvl>
    <w:lvl w:ilvl="8" w:tplc="58FE7996">
      <w:numFmt w:val="decimal"/>
      <w:lvlText w:val=""/>
      <w:lvlJc w:val="left"/>
    </w:lvl>
  </w:abstractNum>
  <w:abstractNum w:abstractNumId="161" w15:restartNumberingAfterBreak="0">
    <w:nsid w:val="7FA817B6"/>
    <w:multiLevelType w:val="hybridMultilevel"/>
    <w:tmpl w:val="323219C6"/>
    <w:lvl w:ilvl="0" w:tplc="0C09000F">
      <w:start w:val="1"/>
      <w:numFmt w:val="decimal"/>
      <w:lvlText w:val="%1."/>
      <w:lvlJc w:val="left"/>
      <w:pPr>
        <w:ind w:left="360" w:hanging="360"/>
      </w:pPr>
    </w:lvl>
    <w:lvl w:ilvl="1" w:tplc="178496BA">
      <w:start w:val="1"/>
      <w:numFmt w:val="lowerLetter"/>
      <w:lvlText w:val="(%2)"/>
      <w:lvlJc w:val="left"/>
      <w:pPr>
        <w:ind w:left="1080" w:hanging="360"/>
      </w:pPr>
      <w:rPr>
        <w:rFonts w:hint="default"/>
      </w:rPr>
    </w:lvl>
    <w:lvl w:ilvl="2" w:tplc="A2AADCDE">
      <w:start w:val="1"/>
      <w:numFmt w:val="decimal"/>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2" w15:restartNumberingAfterBreak="0">
    <w:nsid w:val="7FBD5350"/>
    <w:multiLevelType w:val="hybridMultilevel"/>
    <w:tmpl w:val="FB84C296"/>
    <w:lvl w:ilvl="0" w:tplc="11F44518">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7FD159A5"/>
    <w:multiLevelType w:val="hybridMultilevel"/>
    <w:tmpl w:val="8E001032"/>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7">
      <w:start w:val="1"/>
      <w:numFmt w:val="lowerLetter"/>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2"/>
  </w:num>
  <w:num w:numId="2">
    <w:abstractNumId w:val="159"/>
  </w:num>
  <w:num w:numId="3">
    <w:abstractNumId w:val="78"/>
  </w:num>
  <w:num w:numId="4">
    <w:abstractNumId w:val="54"/>
  </w:num>
  <w:num w:numId="5">
    <w:abstractNumId w:val="95"/>
  </w:num>
  <w:num w:numId="6">
    <w:abstractNumId w:val="130"/>
  </w:num>
  <w:num w:numId="7">
    <w:abstractNumId w:val="23"/>
  </w:num>
  <w:num w:numId="8">
    <w:abstractNumId w:val="143"/>
  </w:num>
  <w:num w:numId="9">
    <w:abstractNumId w:val="52"/>
  </w:num>
  <w:num w:numId="10">
    <w:abstractNumId w:val="139"/>
  </w:num>
  <w:num w:numId="11">
    <w:abstractNumId w:val="125"/>
  </w:num>
  <w:num w:numId="12">
    <w:abstractNumId w:val="57"/>
  </w:num>
  <w:num w:numId="13">
    <w:abstractNumId w:val="104"/>
  </w:num>
  <w:num w:numId="14">
    <w:abstractNumId w:val="0"/>
  </w:num>
  <w:num w:numId="15">
    <w:abstractNumId w:val="99"/>
  </w:num>
  <w:num w:numId="16">
    <w:abstractNumId w:val="16"/>
    <w:lvlOverride w:ilvl="0">
      <w:lvl w:ilvl="0">
        <w:start w:val="1"/>
        <w:numFmt w:val="bullet"/>
        <w:pStyle w:val="TableBullet"/>
        <w:lvlText w:val=""/>
        <w:lvlJc w:val="left"/>
        <w:pPr>
          <w:tabs>
            <w:tab w:val="num" w:pos="284"/>
          </w:tabs>
          <w:ind w:left="170" w:hanging="170"/>
        </w:pPr>
        <w:rPr>
          <w:rFonts w:ascii="Symbol" w:hAnsi="Symbol" w:hint="default"/>
          <w:color w:val="auto"/>
          <w:sz w:val="20"/>
        </w:rPr>
      </w:lvl>
    </w:lvlOverride>
    <w:lvlOverride w:ilvl="1">
      <w:lvl w:ilvl="1">
        <w:start w:val="1"/>
        <w:numFmt w:val="bullet"/>
        <w:pStyle w:val="TableBullet2"/>
        <w:lvlText w:val="–"/>
        <w:lvlJc w:val="left"/>
        <w:pPr>
          <w:tabs>
            <w:tab w:val="num" w:pos="454"/>
          </w:tabs>
          <w:ind w:left="340" w:hanging="170"/>
        </w:pPr>
        <w:rPr>
          <w:rFonts w:ascii="Arial" w:hAnsi="Arial" w:cs="Times New Roman" w:hint="default"/>
          <w:color w:val="auto"/>
          <w:sz w:val="20"/>
        </w:rPr>
      </w:lvl>
    </w:lvlOverride>
    <w:lvlOverride w:ilvl="2">
      <w:lvl w:ilvl="2">
        <w:start w:val="1"/>
        <w:numFmt w:val="none"/>
        <w:lvlText w:val=""/>
        <w:lvlJc w:val="left"/>
        <w:pPr>
          <w:tabs>
            <w:tab w:val="num" w:pos="624"/>
          </w:tabs>
          <w:ind w:left="510" w:hanging="170"/>
        </w:pPr>
        <w:rPr>
          <w:rFonts w:hint="default"/>
          <w:color w:val="000000"/>
        </w:rPr>
      </w:lvl>
    </w:lvlOverride>
    <w:lvlOverride w:ilvl="3">
      <w:lvl w:ilvl="3">
        <w:start w:val="1"/>
        <w:numFmt w:val="none"/>
        <w:lvlText w:val="%4"/>
        <w:lvlJc w:val="left"/>
        <w:pPr>
          <w:tabs>
            <w:tab w:val="num" w:pos="794"/>
          </w:tabs>
          <w:ind w:left="680" w:hanging="170"/>
        </w:pPr>
        <w:rPr>
          <w:rFonts w:hint="default"/>
        </w:rPr>
      </w:lvl>
    </w:lvlOverride>
    <w:lvlOverride w:ilvl="4">
      <w:lvl w:ilvl="4">
        <w:start w:val="1"/>
        <w:numFmt w:val="none"/>
        <w:lvlText w:val=""/>
        <w:lvlJc w:val="left"/>
        <w:pPr>
          <w:tabs>
            <w:tab w:val="num" w:pos="964"/>
          </w:tabs>
          <w:ind w:left="850" w:hanging="170"/>
        </w:pPr>
        <w:rPr>
          <w:rFonts w:hint="default"/>
          <w:color w:val="000000"/>
        </w:rPr>
      </w:lvl>
    </w:lvlOverride>
    <w:lvlOverride w:ilvl="5">
      <w:lvl w:ilvl="5">
        <w:start w:val="1"/>
        <w:numFmt w:val="none"/>
        <w:lvlText w:val=""/>
        <w:lvlJc w:val="left"/>
        <w:pPr>
          <w:tabs>
            <w:tab w:val="num" w:pos="1134"/>
          </w:tabs>
          <w:ind w:left="1020" w:hanging="170"/>
        </w:pPr>
        <w:rPr>
          <w:rFonts w:hint="default"/>
        </w:rPr>
      </w:lvl>
    </w:lvlOverride>
    <w:lvlOverride w:ilvl="6">
      <w:lvl w:ilvl="6">
        <w:start w:val="1"/>
        <w:numFmt w:val="none"/>
        <w:lvlText w:val=""/>
        <w:lvlJc w:val="left"/>
        <w:pPr>
          <w:tabs>
            <w:tab w:val="num" w:pos="1304"/>
          </w:tabs>
          <w:ind w:left="1190" w:hanging="170"/>
        </w:pPr>
        <w:rPr>
          <w:rFonts w:hint="default"/>
          <w:color w:val="000000"/>
        </w:rPr>
      </w:lvl>
    </w:lvlOverride>
    <w:lvlOverride w:ilvl="7">
      <w:lvl w:ilvl="7">
        <w:start w:val="1"/>
        <w:numFmt w:val="none"/>
        <w:lvlText w:val="%8"/>
        <w:lvlJc w:val="left"/>
        <w:pPr>
          <w:tabs>
            <w:tab w:val="num" w:pos="1474"/>
          </w:tabs>
          <w:ind w:left="1360" w:hanging="170"/>
        </w:pPr>
        <w:rPr>
          <w:rFonts w:hint="default"/>
        </w:rPr>
      </w:lvl>
    </w:lvlOverride>
    <w:lvlOverride w:ilvl="8">
      <w:lvl w:ilvl="8">
        <w:start w:val="1"/>
        <w:numFmt w:val="none"/>
        <w:lvlText w:val=""/>
        <w:lvlJc w:val="left"/>
        <w:pPr>
          <w:tabs>
            <w:tab w:val="num" w:pos="1644"/>
          </w:tabs>
          <w:ind w:left="1530" w:hanging="170"/>
        </w:pPr>
        <w:rPr>
          <w:rFonts w:hint="default"/>
          <w:color w:val="000000"/>
        </w:rPr>
      </w:lvl>
    </w:lvlOverride>
  </w:num>
  <w:num w:numId="17">
    <w:abstractNumId w:val="117"/>
  </w:num>
  <w:num w:numId="18">
    <w:abstractNumId w:val="102"/>
  </w:num>
  <w:num w:numId="19">
    <w:abstractNumId w:val="43"/>
  </w:num>
  <w:num w:numId="20">
    <w:abstractNumId w:val="53"/>
  </w:num>
  <w:num w:numId="21">
    <w:abstractNumId w:val="161"/>
  </w:num>
  <w:num w:numId="22">
    <w:abstractNumId w:val="89"/>
  </w:num>
  <w:num w:numId="23">
    <w:abstractNumId w:val="100"/>
  </w:num>
  <w:num w:numId="24">
    <w:abstractNumId w:val="79"/>
  </w:num>
  <w:num w:numId="25">
    <w:abstractNumId w:val="109"/>
  </w:num>
  <w:num w:numId="26">
    <w:abstractNumId w:val="8"/>
  </w:num>
  <w:num w:numId="27">
    <w:abstractNumId w:val="142"/>
  </w:num>
  <w:num w:numId="28">
    <w:abstractNumId w:val="150"/>
  </w:num>
  <w:num w:numId="29">
    <w:abstractNumId w:val="85"/>
  </w:num>
  <w:num w:numId="30">
    <w:abstractNumId w:val="133"/>
  </w:num>
  <w:num w:numId="31">
    <w:abstractNumId w:val="31"/>
  </w:num>
  <w:num w:numId="32">
    <w:abstractNumId w:val="136"/>
  </w:num>
  <w:num w:numId="33">
    <w:abstractNumId w:val="123"/>
  </w:num>
  <w:num w:numId="34">
    <w:abstractNumId w:val="33"/>
  </w:num>
  <w:num w:numId="35">
    <w:abstractNumId w:val="103"/>
  </w:num>
  <w:num w:numId="36">
    <w:abstractNumId w:val="49"/>
  </w:num>
  <w:num w:numId="37">
    <w:abstractNumId w:val="59"/>
  </w:num>
  <w:num w:numId="38">
    <w:abstractNumId w:val="42"/>
  </w:num>
  <w:num w:numId="39">
    <w:abstractNumId w:val="29"/>
  </w:num>
  <w:num w:numId="40">
    <w:abstractNumId w:val="87"/>
  </w:num>
  <w:num w:numId="41">
    <w:abstractNumId w:val="46"/>
  </w:num>
  <w:num w:numId="42">
    <w:abstractNumId w:val="27"/>
  </w:num>
  <w:num w:numId="43">
    <w:abstractNumId w:val="124"/>
  </w:num>
  <w:num w:numId="44">
    <w:abstractNumId w:val="14"/>
  </w:num>
  <w:num w:numId="45">
    <w:abstractNumId w:val="75"/>
  </w:num>
  <w:num w:numId="46">
    <w:abstractNumId w:val="145"/>
  </w:num>
  <w:num w:numId="47">
    <w:abstractNumId w:val="1"/>
  </w:num>
  <w:num w:numId="48">
    <w:abstractNumId w:val="113"/>
  </w:num>
  <w:num w:numId="49">
    <w:abstractNumId w:val="82"/>
  </w:num>
  <w:num w:numId="50">
    <w:abstractNumId w:val="2"/>
  </w:num>
  <w:num w:numId="51">
    <w:abstractNumId w:val="30"/>
  </w:num>
  <w:num w:numId="52">
    <w:abstractNumId w:val="51"/>
  </w:num>
  <w:num w:numId="53">
    <w:abstractNumId w:val="98"/>
  </w:num>
  <w:num w:numId="54">
    <w:abstractNumId w:val="92"/>
  </w:num>
  <w:num w:numId="55">
    <w:abstractNumId w:val="135"/>
  </w:num>
  <w:num w:numId="56">
    <w:abstractNumId w:val="80"/>
  </w:num>
  <w:num w:numId="57">
    <w:abstractNumId w:val="18"/>
  </w:num>
  <w:num w:numId="58">
    <w:abstractNumId w:val="108"/>
  </w:num>
  <w:num w:numId="59">
    <w:abstractNumId w:val="36"/>
  </w:num>
  <w:num w:numId="60">
    <w:abstractNumId w:val="4"/>
  </w:num>
  <w:num w:numId="61">
    <w:abstractNumId w:val="134"/>
  </w:num>
  <w:num w:numId="62">
    <w:abstractNumId w:val="132"/>
  </w:num>
  <w:num w:numId="63">
    <w:abstractNumId w:val="67"/>
  </w:num>
  <w:num w:numId="64">
    <w:abstractNumId w:val="17"/>
  </w:num>
  <w:num w:numId="65">
    <w:abstractNumId w:val="153"/>
  </w:num>
  <w:num w:numId="66">
    <w:abstractNumId w:val="63"/>
  </w:num>
  <w:num w:numId="67">
    <w:abstractNumId w:val="65"/>
  </w:num>
  <w:num w:numId="68">
    <w:abstractNumId w:val="58"/>
  </w:num>
  <w:num w:numId="69">
    <w:abstractNumId w:val="48"/>
  </w:num>
  <w:num w:numId="70">
    <w:abstractNumId w:val="22"/>
  </w:num>
  <w:num w:numId="71">
    <w:abstractNumId w:val="97"/>
  </w:num>
  <w:num w:numId="72">
    <w:abstractNumId w:val="25"/>
  </w:num>
  <w:num w:numId="73">
    <w:abstractNumId w:val="32"/>
  </w:num>
  <w:num w:numId="74">
    <w:abstractNumId w:val="62"/>
  </w:num>
  <w:num w:numId="75">
    <w:abstractNumId w:val="137"/>
  </w:num>
  <w:num w:numId="76">
    <w:abstractNumId w:val="140"/>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0"/>
  </w:num>
  <w:num w:numId="78">
    <w:abstractNumId w:val="147"/>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9"/>
  </w:num>
  <w:num w:numId="8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
  </w:num>
  <w:num w:numId="8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6"/>
  </w:num>
  <w:num w:numId="85">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6">
    <w:abstractNumId w:val="91"/>
  </w:num>
  <w:num w:numId="87">
    <w:abstractNumId w:val="74"/>
  </w:num>
  <w:num w:numId="88">
    <w:abstractNumId w:val="141"/>
  </w:num>
  <w:num w:numId="89">
    <w:abstractNumId w:val="21"/>
  </w:num>
  <w:num w:numId="90">
    <w:abstractNumId w:val="6"/>
  </w:num>
  <w:num w:numId="91">
    <w:abstractNumId w:val="119"/>
  </w:num>
  <w:num w:numId="92">
    <w:abstractNumId w:val="39"/>
  </w:num>
  <w:num w:numId="93">
    <w:abstractNumId w:val="149"/>
  </w:num>
  <w:num w:numId="94">
    <w:abstractNumId w:val="61"/>
  </w:num>
  <w:num w:numId="95">
    <w:abstractNumId w:val="157"/>
  </w:num>
  <w:num w:numId="96">
    <w:abstractNumId w:val="45"/>
  </w:num>
  <w:num w:numId="97">
    <w:abstractNumId w:val="158"/>
  </w:num>
  <w:num w:numId="98">
    <w:abstractNumId w:val="129"/>
  </w:num>
  <w:num w:numId="99">
    <w:abstractNumId w:val="155"/>
  </w:num>
  <w:num w:numId="100">
    <w:abstractNumId w:val="44"/>
  </w:num>
  <w:num w:numId="101">
    <w:abstractNumId w:val="60"/>
  </w:num>
  <w:num w:numId="102">
    <w:abstractNumId w:val="9"/>
  </w:num>
  <w:num w:numId="103">
    <w:abstractNumId w:val="84"/>
  </w:num>
  <w:num w:numId="104">
    <w:abstractNumId w:val="111"/>
  </w:num>
  <w:num w:numId="105">
    <w:abstractNumId w:val="112"/>
  </w:num>
  <w:num w:numId="106">
    <w:abstractNumId w:val="106"/>
  </w:num>
  <w:num w:numId="107">
    <w:abstractNumId w:val="66"/>
  </w:num>
  <w:num w:numId="108">
    <w:abstractNumId w:val="71"/>
  </w:num>
  <w:num w:numId="109">
    <w:abstractNumId w:val="140"/>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1"/>
  </w:num>
  <w:num w:numId="113">
    <w:abstractNumId w:val="47"/>
  </w:num>
  <w:num w:numId="114">
    <w:abstractNumId w:val="88"/>
  </w:num>
  <w:num w:numId="115">
    <w:abstractNumId w:val="94"/>
  </w:num>
  <w:num w:numId="116">
    <w:abstractNumId w:val="121"/>
  </w:num>
  <w:num w:numId="117">
    <w:abstractNumId w:val="140"/>
  </w:num>
  <w:num w:numId="118">
    <w:abstractNumId w:val="122"/>
  </w:num>
  <w:num w:numId="119">
    <w:abstractNumId w:val="118"/>
  </w:num>
  <w:num w:numId="120">
    <w:abstractNumId w:val="34"/>
  </w:num>
  <w:num w:numId="121">
    <w:abstractNumId w:val="77"/>
  </w:num>
  <w:num w:numId="122">
    <w:abstractNumId w:val="96"/>
  </w:num>
  <w:num w:numId="123">
    <w:abstractNumId w:val="69"/>
  </w:num>
  <w:num w:numId="124">
    <w:abstractNumId w:val="55"/>
  </w:num>
  <w:num w:numId="125">
    <w:abstractNumId w:val="83"/>
  </w:num>
  <w:num w:numId="126">
    <w:abstractNumId w:val="68"/>
  </w:num>
  <w:num w:numId="127">
    <w:abstractNumId w:val="151"/>
  </w:num>
  <w:num w:numId="128">
    <w:abstractNumId w:val="35"/>
  </w:num>
  <w:num w:numId="129">
    <w:abstractNumId w:val="163"/>
  </w:num>
  <w:num w:numId="130">
    <w:abstractNumId w:val="76"/>
  </w:num>
  <w:num w:numId="131">
    <w:abstractNumId w:val="115"/>
  </w:num>
  <w:num w:numId="132">
    <w:abstractNumId w:val="154"/>
  </w:num>
  <w:num w:numId="133">
    <w:abstractNumId w:val="162"/>
  </w:num>
  <w:num w:numId="134">
    <w:abstractNumId w:val="24"/>
  </w:num>
  <w:num w:numId="135">
    <w:abstractNumId w:val="40"/>
  </w:num>
  <w:num w:numId="136">
    <w:abstractNumId w:val="3"/>
  </w:num>
  <w:num w:numId="137">
    <w:abstractNumId w:val="13"/>
  </w:num>
  <w:num w:numId="138">
    <w:abstractNumId w:val="105"/>
  </w:num>
  <w:num w:numId="139">
    <w:abstractNumId w:val="127"/>
  </w:num>
  <w:num w:numId="140">
    <w:abstractNumId w:val="101"/>
  </w:num>
  <w:num w:numId="141">
    <w:abstractNumId w:val="146"/>
  </w:num>
  <w:num w:numId="142">
    <w:abstractNumId w:val="19"/>
  </w:num>
  <w:num w:numId="143">
    <w:abstractNumId w:val="156"/>
  </w:num>
  <w:num w:numId="144">
    <w:abstractNumId w:val="70"/>
  </w:num>
  <w:num w:numId="145">
    <w:abstractNumId w:val="72"/>
  </w:num>
  <w:num w:numId="146">
    <w:abstractNumId w:val="116"/>
  </w:num>
  <w:num w:numId="147">
    <w:abstractNumId w:val="138"/>
  </w:num>
  <w:num w:numId="148">
    <w:abstractNumId w:val="7"/>
  </w:num>
  <w:num w:numId="149">
    <w:abstractNumId w:val="110"/>
  </w:num>
  <w:num w:numId="150">
    <w:abstractNumId w:val="128"/>
  </w:num>
  <w:num w:numId="151">
    <w:abstractNumId w:val="15"/>
  </w:num>
  <w:num w:numId="152">
    <w:abstractNumId w:val="20"/>
  </w:num>
  <w:num w:numId="153">
    <w:abstractNumId w:val="107"/>
  </w:num>
  <w:num w:numId="154">
    <w:abstractNumId w:val="107"/>
  </w:num>
  <w:num w:numId="155">
    <w:abstractNumId w:val="81"/>
  </w:num>
  <w:num w:numId="156">
    <w:abstractNumId w:val="5"/>
  </w:num>
  <w:num w:numId="157">
    <w:abstractNumId w:val="37"/>
  </w:num>
  <w:num w:numId="158">
    <w:abstractNumId w:val="159"/>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59"/>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59"/>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8"/>
  </w:num>
  <w:num w:numId="162">
    <w:abstractNumId w:val="11"/>
  </w:num>
  <w:num w:numId="163">
    <w:abstractNumId w:val="93"/>
  </w:num>
  <w:num w:numId="164">
    <w:abstractNumId w:val="38"/>
  </w:num>
  <w:num w:numId="165">
    <w:abstractNumId w:val="18"/>
  </w:num>
  <w:num w:numId="166">
    <w:abstractNumId w:val="118"/>
    <w:lvlOverride w:ilvl="0">
      <w:lvl w:ilvl="0">
        <w:start w:val="1"/>
        <w:numFmt w:val="decimal"/>
        <w:lvlText w:val="%1."/>
        <w:lvlJc w:val="left"/>
        <w:pPr>
          <w:ind w:left="357" w:hanging="360"/>
        </w:pPr>
        <w:rPr>
          <w:b w:val="0"/>
          <w:bCs/>
        </w:rPr>
      </w:lvl>
    </w:lvlOverride>
  </w:num>
  <w:num w:numId="167">
    <w:abstractNumId w:val="69"/>
    <w:lvlOverride w:ilvl="0">
      <w:lvl w:ilvl="0">
        <w:start w:val="1"/>
        <w:numFmt w:val="decimal"/>
        <w:lvlText w:val="%1."/>
        <w:lvlJc w:val="left"/>
        <w:pPr>
          <w:ind w:left="357" w:hanging="360"/>
        </w:pPr>
        <w:rPr>
          <w:b w:val="0"/>
          <w:bCs/>
        </w:rPr>
      </w:lvl>
    </w:lvlOverride>
    <w:lvlOverride w:ilvl="1">
      <w:lvl w:ilvl="1">
        <w:start w:val="1"/>
        <w:numFmt w:val="bullet"/>
        <w:lvlText w:val="o"/>
        <w:lvlJc w:val="left"/>
        <w:pPr>
          <w:ind w:left="1077" w:hanging="360"/>
        </w:pPr>
        <w:rPr>
          <w:rFonts w:ascii="Courier New" w:hAnsi="Courier New" w:cs="Courier New" w:hint="default"/>
        </w:rPr>
      </w:lvl>
    </w:lvlOverride>
    <w:lvlOverride w:ilvl="2">
      <w:lvl w:ilvl="2">
        <w:start w:val="1"/>
        <w:numFmt w:val="decimal"/>
        <w:lvlText w:val="%3."/>
        <w:lvlJc w:val="left"/>
        <w:pPr>
          <w:ind w:left="1977" w:hanging="360"/>
        </w:pPr>
        <w:rPr>
          <w:rFonts w:hint="default"/>
        </w:rPr>
      </w:lvl>
    </w:lvlOverride>
    <w:lvlOverride w:ilvl="3">
      <w:lvl w:ilvl="3">
        <w:start w:val="3"/>
        <w:numFmt w:val="bullet"/>
        <w:lvlText w:val="-"/>
        <w:lvlJc w:val="left"/>
        <w:pPr>
          <w:ind w:left="2517" w:hanging="360"/>
        </w:pPr>
        <w:rPr>
          <w:rFonts w:ascii="Arial" w:eastAsiaTheme="minorHAnsi" w:hAnsi="Arial" w:cs="Arial" w:hint="default"/>
        </w:rPr>
      </w:lvl>
    </w:lvlOverride>
    <w:lvlOverride w:ilvl="4">
      <w:lvl w:ilvl="4" w:tentative="1">
        <w:start w:val="1"/>
        <w:numFmt w:val="lowerLetter"/>
        <w:lvlText w:val="%5."/>
        <w:lvlJc w:val="left"/>
        <w:pPr>
          <w:ind w:left="3237" w:hanging="360"/>
        </w:pPr>
      </w:lvl>
    </w:lvlOverride>
    <w:lvlOverride w:ilvl="5">
      <w:lvl w:ilvl="5" w:tentative="1">
        <w:start w:val="1"/>
        <w:numFmt w:val="lowerRoman"/>
        <w:lvlText w:val="%6."/>
        <w:lvlJc w:val="right"/>
        <w:pPr>
          <w:ind w:left="3957" w:hanging="180"/>
        </w:pPr>
      </w:lvl>
    </w:lvlOverride>
    <w:lvlOverride w:ilvl="6">
      <w:lvl w:ilvl="6" w:tentative="1">
        <w:start w:val="1"/>
        <w:numFmt w:val="decimal"/>
        <w:lvlText w:val="%7."/>
        <w:lvlJc w:val="left"/>
        <w:pPr>
          <w:ind w:left="4677" w:hanging="360"/>
        </w:pPr>
      </w:lvl>
    </w:lvlOverride>
    <w:lvlOverride w:ilvl="7">
      <w:lvl w:ilvl="7" w:tentative="1">
        <w:start w:val="1"/>
        <w:numFmt w:val="lowerLetter"/>
        <w:lvlText w:val="%8."/>
        <w:lvlJc w:val="left"/>
        <w:pPr>
          <w:ind w:left="5397" w:hanging="360"/>
        </w:pPr>
      </w:lvl>
    </w:lvlOverride>
    <w:lvlOverride w:ilvl="8">
      <w:lvl w:ilvl="8" w:tentative="1">
        <w:start w:val="1"/>
        <w:numFmt w:val="lowerRoman"/>
        <w:lvlText w:val="%9."/>
        <w:lvlJc w:val="right"/>
        <w:pPr>
          <w:ind w:left="6117" w:hanging="180"/>
        </w:pPr>
      </w:lvl>
    </w:lvlOverride>
  </w:num>
  <w:num w:numId="168">
    <w:abstractNumId w:val="70"/>
    <w:lvlOverride w:ilvl="0">
      <w:lvl w:ilvl="0">
        <w:start w:val="1"/>
        <w:numFmt w:val="decimal"/>
        <w:lvlText w:val="%1."/>
        <w:lvlJc w:val="left"/>
        <w:pPr>
          <w:ind w:left="357" w:hanging="360"/>
        </w:pPr>
        <w:rPr>
          <w:b w:val="0"/>
          <w:bCs/>
        </w:rPr>
      </w:lvl>
    </w:lvlOverride>
  </w:num>
  <w:num w:numId="169">
    <w:abstractNumId w:val="7"/>
    <w:lvlOverride w:ilvl="0">
      <w:lvl w:ilvl="0">
        <w:start w:val="1"/>
        <w:numFmt w:val="decimal"/>
        <w:lvlText w:val="%1."/>
        <w:lvlJc w:val="left"/>
        <w:pPr>
          <w:ind w:left="357" w:hanging="360"/>
        </w:pPr>
        <w:rPr>
          <w:b w:val="0"/>
          <w:bCs/>
        </w:rPr>
      </w:lvl>
    </w:lvlOverride>
  </w:num>
  <w:num w:numId="170">
    <w:abstractNumId w:val="148"/>
  </w:num>
  <w:num w:numId="171">
    <w:abstractNumId w:val="152"/>
  </w:num>
  <w:num w:numId="172">
    <w:abstractNumId w:val="10"/>
  </w:num>
  <w:num w:numId="173">
    <w:abstractNumId w:val="144"/>
  </w:num>
  <w:num w:numId="174">
    <w:abstractNumId w:val="114"/>
  </w:num>
  <w:num w:numId="175">
    <w:abstractNumId w:val="86"/>
  </w:num>
  <w:num w:numId="176">
    <w:abstractNumId w:val="73"/>
  </w:num>
  <w:num w:numId="177">
    <w:abstractNumId w:val="26"/>
  </w:num>
  <w:num w:numId="178">
    <w:abstractNumId w:val="160"/>
  </w:num>
  <w:num w:numId="179">
    <w:abstractNumId w:val="126"/>
  </w:num>
  <w:num w:numId="180">
    <w:abstractNumId w:val="131"/>
  </w:num>
  <w:num w:numId="181">
    <w:abstractNumId w:val="64"/>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A1D"/>
    <w:rsid w:val="0000006B"/>
    <w:rsid w:val="00000117"/>
    <w:rsid w:val="00000448"/>
    <w:rsid w:val="00000530"/>
    <w:rsid w:val="00000568"/>
    <w:rsid w:val="000005DE"/>
    <w:rsid w:val="00000674"/>
    <w:rsid w:val="0000126B"/>
    <w:rsid w:val="0000139C"/>
    <w:rsid w:val="0000143D"/>
    <w:rsid w:val="0000181C"/>
    <w:rsid w:val="0000199B"/>
    <w:rsid w:val="00001B8B"/>
    <w:rsid w:val="00001F9C"/>
    <w:rsid w:val="00001FCE"/>
    <w:rsid w:val="000020F8"/>
    <w:rsid w:val="000024D9"/>
    <w:rsid w:val="00002527"/>
    <w:rsid w:val="0000252F"/>
    <w:rsid w:val="00002862"/>
    <w:rsid w:val="00003078"/>
    <w:rsid w:val="0000327A"/>
    <w:rsid w:val="00003613"/>
    <w:rsid w:val="00003617"/>
    <w:rsid w:val="000039CA"/>
    <w:rsid w:val="00003BCC"/>
    <w:rsid w:val="00003D58"/>
    <w:rsid w:val="00003DDC"/>
    <w:rsid w:val="000044D9"/>
    <w:rsid w:val="000045DA"/>
    <w:rsid w:val="00004618"/>
    <w:rsid w:val="000046C2"/>
    <w:rsid w:val="00004714"/>
    <w:rsid w:val="00004765"/>
    <w:rsid w:val="00004981"/>
    <w:rsid w:val="000049F6"/>
    <w:rsid w:val="00004A4C"/>
    <w:rsid w:val="00004C56"/>
    <w:rsid w:val="00005037"/>
    <w:rsid w:val="0000533A"/>
    <w:rsid w:val="00005635"/>
    <w:rsid w:val="0000581C"/>
    <w:rsid w:val="000058C5"/>
    <w:rsid w:val="00006089"/>
    <w:rsid w:val="000060CB"/>
    <w:rsid w:val="00006100"/>
    <w:rsid w:val="000062A7"/>
    <w:rsid w:val="000069AB"/>
    <w:rsid w:val="00006A27"/>
    <w:rsid w:val="00006ADD"/>
    <w:rsid w:val="00006CD9"/>
    <w:rsid w:val="00006D39"/>
    <w:rsid w:val="00006E78"/>
    <w:rsid w:val="00006E8E"/>
    <w:rsid w:val="00007A90"/>
    <w:rsid w:val="00007AF0"/>
    <w:rsid w:val="00007EA8"/>
    <w:rsid w:val="0001034E"/>
    <w:rsid w:val="00010572"/>
    <w:rsid w:val="000105EB"/>
    <w:rsid w:val="00010E7F"/>
    <w:rsid w:val="0001111F"/>
    <w:rsid w:val="0001118C"/>
    <w:rsid w:val="0001130C"/>
    <w:rsid w:val="00011D30"/>
    <w:rsid w:val="000127A6"/>
    <w:rsid w:val="000128C8"/>
    <w:rsid w:val="00012DB1"/>
    <w:rsid w:val="00012E82"/>
    <w:rsid w:val="00012E93"/>
    <w:rsid w:val="00013207"/>
    <w:rsid w:val="0001342C"/>
    <w:rsid w:val="000137AD"/>
    <w:rsid w:val="00013A40"/>
    <w:rsid w:val="00013A49"/>
    <w:rsid w:val="00013ACD"/>
    <w:rsid w:val="00013BCF"/>
    <w:rsid w:val="00013C85"/>
    <w:rsid w:val="00014047"/>
    <w:rsid w:val="0001445E"/>
    <w:rsid w:val="00014C5E"/>
    <w:rsid w:val="00014E7F"/>
    <w:rsid w:val="000154DF"/>
    <w:rsid w:val="00015690"/>
    <w:rsid w:val="000159C2"/>
    <w:rsid w:val="00015A85"/>
    <w:rsid w:val="0001605C"/>
    <w:rsid w:val="000164C3"/>
    <w:rsid w:val="0001662D"/>
    <w:rsid w:val="00016992"/>
    <w:rsid w:val="00016C4F"/>
    <w:rsid w:val="00016E61"/>
    <w:rsid w:val="00017697"/>
    <w:rsid w:val="00017BE4"/>
    <w:rsid w:val="00020247"/>
    <w:rsid w:val="000204AB"/>
    <w:rsid w:val="0002052E"/>
    <w:rsid w:val="00020544"/>
    <w:rsid w:val="00020657"/>
    <w:rsid w:val="000206BA"/>
    <w:rsid w:val="000206FD"/>
    <w:rsid w:val="00020C70"/>
    <w:rsid w:val="00020C93"/>
    <w:rsid w:val="000211AC"/>
    <w:rsid w:val="00021484"/>
    <w:rsid w:val="00021642"/>
    <w:rsid w:val="00021793"/>
    <w:rsid w:val="00021A67"/>
    <w:rsid w:val="00021C9B"/>
    <w:rsid w:val="00021F4E"/>
    <w:rsid w:val="0002213B"/>
    <w:rsid w:val="00022826"/>
    <w:rsid w:val="00022A32"/>
    <w:rsid w:val="00022DC2"/>
    <w:rsid w:val="00022E2C"/>
    <w:rsid w:val="000232A9"/>
    <w:rsid w:val="00023423"/>
    <w:rsid w:val="00023C05"/>
    <w:rsid w:val="00023F56"/>
    <w:rsid w:val="000240BE"/>
    <w:rsid w:val="000241BD"/>
    <w:rsid w:val="00024688"/>
    <w:rsid w:val="00024A96"/>
    <w:rsid w:val="00024B1B"/>
    <w:rsid w:val="00024F04"/>
    <w:rsid w:val="000250C8"/>
    <w:rsid w:val="0002521C"/>
    <w:rsid w:val="00025753"/>
    <w:rsid w:val="0002586C"/>
    <w:rsid w:val="00025C8E"/>
    <w:rsid w:val="00025DC2"/>
    <w:rsid w:val="0002630F"/>
    <w:rsid w:val="000264C0"/>
    <w:rsid w:val="00026546"/>
    <w:rsid w:val="00026613"/>
    <w:rsid w:val="00026C8B"/>
    <w:rsid w:val="00026F26"/>
    <w:rsid w:val="00026FC0"/>
    <w:rsid w:val="000272D4"/>
    <w:rsid w:val="0002758A"/>
    <w:rsid w:val="0002765E"/>
    <w:rsid w:val="00030038"/>
    <w:rsid w:val="000304C9"/>
    <w:rsid w:val="00030768"/>
    <w:rsid w:val="00030E92"/>
    <w:rsid w:val="00030F46"/>
    <w:rsid w:val="00031101"/>
    <w:rsid w:val="00031251"/>
    <w:rsid w:val="000317E4"/>
    <w:rsid w:val="00031955"/>
    <w:rsid w:val="00031A37"/>
    <w:rsid w:val="00031BFA"/>
    <w:rsid w:val="00031CF1"/>
    <w:rsid w:val="00031D4A"/>
    <w:rsid w:val="00031E22"/>
    <w:rsid w:val="00031ED4"/>
    <w:rsid w:val="00032939"/>
    <w:rsid w:val="00032A2B"/>
    <w:rsid w:val="00032D33"/>
    <w:rsid w:val="00032F26"/>
    <w:rsid w:val="00033260"/>
    <w:rsid w:val="000332FA"/>
    <w:rsid w:val="00033362"/>
    <w:rsid w:val="00033916"/>
    <w:rsid w:val="0003393B"/>
    <w:rsid w:val="0003395C"/>
    <w:rsid w:val="00033C80"/>
    <w:rsid w:val="00033EC8"/>
    <w:rsid w:val="00034183"/>
    <w:rsid w:val="0003455E"/>
    <w:rsid w:val="00034AD0"/>
    <w:rsid w:val="00035103"/>
    <w:rsid w:val="00035294"/>
    <w:rsid w:val="0003579B"/>
    <w:rsid w:val="000357B2"/>
    <w:rsid w:val="00035FB0"/>
    <w:rsid w:val="00036071"/>
    <w:rsid w:val="00036545"/>
    <w:rsid w:val="00036A9E"/>
    <w:rsid w:val="00036AC7"/>
    <w:rsid w:val="00036C40"/>
    <w:rsid w:val="00036CF8"/>
    <w:rsid w:val="00036DEC"/>
    <w:rsid w:val="00036EAB"/>
    <w:rsid w:val="0003786F"/>
    <w:rsid w:val="0003788B"/>
    <w:rsid w:val="000379B0"/>
    <w:rsid w:val="000379FA"/>
    <w:rsid w:val="00037F44"/>
    <w:rsid w:val="0004076C"/>
    <w:rsid w:val="00040B09"/>
    <w:rsid w:val="00040F07"/>
    <w:rsid w:val="0004128B"/>
    <w:rsid w:val="00041702"/>
    <w:rsid w:val="00041DE3"/>
    <w:rsid w:val="000426AB"/>
    <w:rsid w:val="00042777"/>
    <w:rsid w:val="000427B8"/>
    <w:rsid w:val="00042AFC"/>
    <w:rsid w:val="00042BCC"/>
    <w:rsid w:val="00042DA3"/>
    <w:rsid w:val="00042DAC"/>
    <w:rsid w:val="00042EAD"/>
    <w:rsid w:val="0004328F"/>
    <w:rsid w:val="00043596"/>
    <w:rsid w:val="00043DB4"/>
    <w:rsid w:val="000440F6"/>
    <w:rsid w:val="0004445A"/>
    <w:rsid w:val="000444C8"/>
    <w:rsid w:val="00044502"/>
    <w:rsid w:val="00044837"/>
    <w:rsid w:val="00044D7D"/>
    <w:rsid w:val="000452AF"/>
    <w:rsid w:val="00045391"/>
    <w:rsid w:val="000455CB"/>
    <w:rsid w:val="00045898"/>
    <w:rsid w:val="00045976"/>
    <w:rsid w:val="000459F4"/>
    <w:rsid w:val="00045BF2"/>
    <w:rsid w:val="00045C24"/>
    <w:rsid w:val="00045DF3"/>
    <w:rsid w:val="00045F60"/>
    <w:rsid w:val="00046200"/>
    <w:rsid w:val="00046335"/>
    <w:rsid w:val="00046BCD"/>
    <w:rsid w:val="0004778F"/>
    <w:rsid w:val="00047ADD"/>
    <w:rsid w:val="00050363"/>
    <w:rsid w:val="0005039C"/>
    <w:rsid w:val="00050A07"/>
    <w:rsid w:val="00050A1D"/>
    <w:rsid w:val="00050A46"/>
    <w:rsid w:val="00050B19"/>
    <w:rsid w:val="00050B5C"/>
    <w:rsid w:val="00050C7F"/>
    <w:rsid w:val="00050D2C"/>
    <w:rsid w:val="0005125A"/>
    <w:rsid w:val="000514B0"/>
    <w:rsid w:val="00051944"/>
    <w:rsid w:val="0005198D"/>
    <w:rsid w:val="000519BE"/>
    <w:rsid w:val="00051AB1"/>
    <w:rsid w:val="00051AC9"/>
    <w:rsid w:val="00051EF4"/>
    <w:rsid w:val="000520B6"/>
    <w:rsid w:val="0005232B"/>
    <w:rsid w:val="0005294C"/>
    <w:rsid w:val="00052AA4"/>
    <w:rsid w:val="00052C34"/>
    <w:rsid w:val="000532AC"/>
    <w:rsid w:val="00053A03"/>
    <w:rsid w:val="00053BC1"/>
    <w:rsid w:val="00054432"/>
    <w:rsid w:val="0005444D"/>
    <w:rsid w:val="0005469D"/>
    <w:rsid w:val="00054EA1"/>
    <w:rsid w:val="00056832"/>
    <w:rsid w:val="00056918"/>
    <w:rsid w:val="00056984"/>
    <w:rsid w:val="00056B6E"/>
    <w:rsid w:val="00056FBB"/>
    <w:rsid w:val="00056FC8"/>
    <w:rsid w:val="000570F4"/>
    <w:rsid w:val="0005733D"/>
    <w:rsid w:val="00057646"/>
    <w:rsid w:val="000577B8"/>
    <w:rsid w:val="000606E0"/>
    <w:rsid w:val="00060A6D"/>
    <w:rsid w:val="0006144F"/>
    <w:rsid w:val="0006159F"/>
    <w:rsid w:val="000622A1"/>
    <w:rsid w:val="000626A0"/>
    <w:rsid w:val="00062FC3"/>
    <w:rsid w:val="00063210"/>
    <w:rsid w:val="000633F5"/>
    <w:rsid w:val="00063755"/>
    <w:rsid w:val="00063AC7"/>
    <w:rsid w:val="00063E4A"/>
    <w:rsid w:val="000640C8"/>
    <w:rsid w:val="000641FA"/>
    <w:rsid w:val="00064201"/>
    <w:rsid w:val="00064A8B"/>
    <w:rsid w:val="00065094"/>
    <w:rsid w:val="000650EE"/>
    <w:rsid w:val="000651D0"/>
    <w:rsid w:val="00065211"/>
    <w:rsid w:val="0006554A"/>
    <w:rsid w:val="0006574C"/>
    <w:rsid w:val="00065DAB"/>
    <w:rsid w:val="0006611A"/>
    <w:rsid w:val="00066325"/>
    <w:rsid w:val="000664A7"/>
    <w:rsid w:val="0006650E"/>
    <w:rsid w:val="000665DB"/>
    <w:rsid w:val="000665DE"/>
    <w:rsid w:val="00066746"/>
    <w:rsid w:val="00066763"/>
    <w:rsid w:val="00066A5C"/>
    <w:rsid w:val="00066B0B"/>
    <w:rsid w:val="00066CEA"/>
    <w:rsid w:val="00066E21"/>
    <w:rsid w:val="00066E44"/>
    <w:rsid w:val="00066EC9"/>
    <w:rsid w:val="00066F0A"/>
    <w:rsid w:val="00066F22"/>
    <w:rsid w:val="00067B36"/>
    <w:rsid w:val="00067EDE"/>
    <w:rsid w:val="0007034E"/>
    <w:rsid w:val="00070449"/>
    <w:rsid w:val="00070C01"/>
    <w:rsid w:val="00070D64"/>
    <w:rsid w:val="00070F71"/>
    <w:rsid w:val="00070FCD"/>
    <w:rsid w:val="000715E0"/>
    <w:rsid w:val="0007192D"/>
    <w:rsid w:val="00071A19"/>
    <w:rsid w:val="00071C02"/>
    <w:rsid w:val="00071C1F"/>
    <w:rsid w:val="00071C7D"/>
    <w:rsid w:val="00071D47"/>
    <w:rsid w:val="00071D95"/>
    <w:rsid w:val="0007219A"/>
    <w:rsid w:val="000721BF"/>
    <w:rsid w:val="000728EE"/>
    <w:rsid w:val="00072FD5"/>
    <w:rsid w:val="0007341A"/>
    <w:rsid w:val="0007366B"/>
    <w:rsid w:val="000736A5"/>
    <w:rsid w:val="00073C3E"/>
    <w:rsid w:val="00073CBF"/>
    <w:rsid w:val="00074222"/>
    <w:rsid w:val="000743B8"/>
    <w:rsid w:val="00074551"/>
    <w:rsid w:val="000747C1"/>
    <w:rsid w:val="0007493F"/>
    <w:rsid w:val="0007499E"/>
    <w:rsid w:val="00074BC5"/>
    <w:rsid w:val="00074CDE"/>
    <w:rsid w:val="00074D98"/>
    <w:rsid w:val="00075453"/>
    <w:rsid w:val="00075862"/>
    <w:rsid w:val="00075A50"/>
    <w:rsid w:val="00076248"/>
    <w:rsid w:val="000766BB"/>
    <w:rsid w:val="000767C1"/>
    <w:rsid w:val="00076CB7"/>
    <w:rsid w:val="00076F97"/>
    <w:rsid w:val="00077047"/>
    <w:rsid w:val="000770E4"/>
    <w:rsid w:val="00077174"/>
    <w:rsid w:val="0007726A"/>
    <w:rsid w:val="000774D6"/>
    <w:rsid w:val="00077B6C"/>
    <w:rsid w:val="000809B2"/>
    <w:rsid w:val="00080D85"/>
    <w:rsid w:val="000814C9"/>
    <w:rsid w:val="00081566"/>
    <w:rsid w:val="000815A0"/>
    <w:rsid w:val="00081DC4"/>
    <w:rsid w:val="00081DFB"/>
    <w:rsid w:val="00081EF1"/>
    <w:rsid w:val="0008215E"/>
    <w:rsid w:val="0008232C"/>
    <w:rsid w:val="000823B5"/>
    <w:rsid w:val="000824A5"/>
    <w:rsid w:val="00082E1B"/>
    <w:rsid w:val="00082EC5"/>
    <w:rsid w:val="00082FF2"/>
    <w:rsid w:val="0008334A"/>
    <w:rsid w:val="0008372F"/>
    <w:rsid w:val="000837DC"/>
    <w:rsid w:val="00083D1D"/>
    <w:rsid w:val="000840EB"/>
    <w:rsid w:val="000841BE"/>
    <w:rsid w:val="00084481"/>
    <w:rsid w:val="00084749"/>
    <w:rsid w:val="00084857"/>
    <w:rsid w:val="00084BCB"/>
    <w:rsid w:val="00084E39"/>
    <w:rsid w:val="00084F0E"/>
    <w:rsid w:val="00085757"/>
    <w:rsid w:val="000859CB"/>
    <w:rsid w:val="00085DC5"/>
    <w:rsid w:val="00085ED4"/>
    <w:rsid w:val="00086215"/>
    <w:rsid w:val="0008632C"/>
    <w:rsid w:val="00086428"/>
    <w:rsid w:val="000865F9"/>
    <w:rsid w:val="000867EC"/>
    <w:rsid w:val="000870BB"/>
    <w:rsid w:val="000872D5"/>
    <w:rsid w:val="00087456"/>
    <w:rsid w:val="00087498"/>
    <w:rsid w:val="0008763A"/>
    <w:rsid w:val="000876A3"/>
    <w:rsid w:val="00087879"/>
    <w:rsid w:val="0008794A"/>
    <w:rsid w:val="00087B61"/>
    <w:rsid w:val="00087C02"/>
    <w:rsid w:val="00087D93"/>
    <w:rsid w:val="00087F52"/>
    <w:rsid w:val="0009030F"/>
    <w:rsid w:val="00090450"/>
    <w:rsid w:val="00090505"/>
    <w:rsid w:val="00090919"/>
    <w:rsid w:val="00090941"/>
    <w:rsid w:val="00090BF2"/>
    <w:rsid w:val="00090F39"/>
    <w:rsid w:val="000912BA"/>
    <w:rsid w:val="00091A1C"/>
    <w:rsid w:val="00091B7B"/>
    <w:rsid w:val="0009211B"/>
    <w:rsid w:val="00092395"/>
    <w:rsid w:val="0009250F"/>
    <w:rsid w:val="00092596"/>
    <w:rsid w:val="00092849"/>
    <w:rsid w:val="00092A31"/>
    <w:rsid w:val="00092A35"/>
    <w:rsid w:val="00092B74"/>
    <w:rsid w:val="00092EAE"/>
    <w:rsid w:val="00093103"/>
    <w:rsid w:val="0009317E"/>
    <w:rsid w:val="00093291"/>
    <w:rsid w:val="000934B6"/>
    <w:rsid w:val="00093881"/>
    <w:rsid w:val="00093AAB"/>
    <w:rsid w:val="00093C4B"/>
    <w:rsid w:val="00093E17"/>
    <w:rsid w:val="00094222"/>
    <w:rsid w:val="000945C2"/>
    <w:rsid w:val="000948C2"/>
    <w:rsid w:val="00094C0B"/>
    <w:rsid w:val="00094C0E"/>
    <w:rsid w:val="0009537D"/>
    <w:rsid w:val="0009587F"/>
    <w:rsid w:val="00095B17"/>
    <w:rsid w:val="00095B5E"/>
    <w:rsid w:val="00096022"/>
    <w:rsid w:val="00096043"/>
    <w:rsid w:val="00096107"/>
    <w:rsid w:val="00096224"/>
    <w:rsid w:val="000969A2"/>
    <w:rsid w:val="00096A3D"/>
    <w:rsid w:val="00096A53"/>
    <w:rsid w:val="00097067"/>
    <w:rsid w:val="0009747B"/>
    <w:rsid w:val="0009760A"/>
    <w:rsid w:val="00097615"/>
    <w:rsid w:val="00097A00"/>
    <w:rsid w:val="00097A11"/>
    <w:rsid w:val="00097BAE"/>
    <w:rsid w:val="00097E9B"/>
    <w:rsid w:val="000A019C"/>
    <w:rsid w:val="000A0402"/>
    <w:rsid w:val="000A07A3"/>
    <w:rsid w:val="000A07AC"/>
    <w:rsid w:val="000A0806"/>
    <w:rsid w:val="000A0BA8"/>
    <w:rsid w:val="000A0BEE"/>
    <w:rsid w:val="000A0CB4"/>
    <w:rsid w:val="000A1019"/>
    <w:rsid w:val="000A1237"/>
    <w:rsid w:val="000A1743"/>
    <w:rsid w:val="000A19AB"/>
    <w:rsid w:val="000A1A1B"/>
    <w:rsid w:val="000A1A32"/>
    <w:rsid w:val="000A1E04"/>
    <w:rsid w:val="000A228A"/>
    <w:rsid w:val="000A2927"/>
    <w:rsid w:val="000A29E0"/>
    <w:rsid w:val="000A2DC8"/>
    <w:rsid w:val="000A2EEF"/>
    <w:rsid w:val="000A328A"/>
    <w:rsid w:val="000A372A"/>
    <w:rsid w:val="000A3C53"/>
    <w:rsid w:val="000A3C6F"/>
    <w:rsid w:val="000A3DF6"/>
    <w:rsid w:val="000A3E48"/>
    <w:rsid w:val="000A42D2"/>
    <w:rsid w:val="000A4303"/>
    <w:rsid w:val="000A43BA"/>
    <w:rsid w:val="000A4BCA"/>
    <w:rsid w:val="000A4F2C"/>
    <w:rsid w:val="000A4FF7"/>
    <w:rsid w:val="000A505F"/>
    <w:rsid w:val="000A5458"/>
    <w:rsid w:val="000A6287"/>
    <w:rsid w:val="000A6570"/>
    <w:rsid w:val="000A67F0"/>
    <w:rsid w:val="000A6D01"/>
    <w:rsid w:val="000A6D7F"/>
    <w:rsid w:val="000A6DD3"/>
    <w:rsid w:val="000A6E83"/>
    <w:rsid w:val="000A6EFD"/>
    <w:rsid w:val="000A71B4"/>
    <w:rsid w:val="000A7579"/>
    <w:rsid w:val="000A76EB"/>
    <w:rsid w:val="000A770E"/>
    <w:rsid w:val="000A7785"/>
    <w:rsid w:val="000A795B"/>
    <w:rsid w:val="000A7B9A"/>
    <w:rsid w:val="000B03D9"/>
    <w:rsid w:val="000B05B0"/>
    <w:rsid w:val="000B0868"/>
    <w:rsid w:val="000B0B9C"/>
    <w:rsid w:val="000B0E7E"/>
    <w:rsid w:val="000B18D5"/>
    <w:rsid w:val="000B1B66"/>
    <w:rsid w:val="000B1BCF"/>
    <w:rsid w:val="000B1EE1"/>
    <w:rsid w:val="000B22E7"/>
    <w:rsid w:val="000B232C"/>
    <w:rsid w:val="000B2655"/>
    <w:rsid w:val="000B28C0"/>
    <w:rsid w:val="000B338C"/>
    <w:rsid w:val="000B3874"/>
    <w:rsid w:val="000B3892"/>
    <w:rsid w:val="000B38B1"/>
    <w:rsid w:val="000B3963"/>
    <w:rsid w:val="000B3B0D"/>
    <w:rsid w:val="000B3CC0"/>
    <w:rsid w:val="000B3D5B"/>
    <w:rsid w:val="000B3E42"/>
    <w:rsid w:val="000B3EBE"/>
    <w:rsid w:val="000B4078"/>
    <w:rsid w:val="000B40AA"/>
    <w:rsid w:val="000B4180"/>
    <w:rsid w:val="000B4656"/>
    <w:rsid w:val="000B475B"/>
    <w:rsid w:val="000B496F"/>
    <w:rsid w:val="000B4DB5"/>
    <w:rsid w:val="000B5008"/>
    <w:rsid w:val="000B5234"/>
    <w:rsid w:val="000B528B"/>
    <w:rsid w:val="000B557A"/>
    <w:rsid w:val="000B568F"/>
    <w:rsid w:val="000B5920"/>
    <w:rsid w:val="000B606D"/>
    <w:rsid w:val="000B61C1"/>
    <w:rsid w:val="000B63E8"/>
    <w:rsid w:val="000B6DA2"/>
    <w:rsid w:val="000B6F27"/>
    <w:rsid w:val="000B6FA1"/>
    <w:rsid w:val="000B710A"/>
    <w:rsid w:val="000B7782"/>
    <w:rsid w:val="000B7912"/>
    <w:rsid w:val="000B7942"/>
    <w:rsid w:val="000C0214"/>
    <w:rsid w:val="000C03E5"/>
    <w:rsid w:val="000C07AF"/>
    <w:rsid w:val="000C0B14"/>
    <w:rsid w:val="000C0C22"/>
    <w:rsid w:val="000C0C94"/>
    <w:rsid w:val="000C1131"/>
    <w:rsid w:val="000C11D5"/>
    <w:rsid w:val="000C1D1E"/>
    <w:rsid w:val="000C1FCD"/>
    <w:rsid w:val="000C200D"/>
    <w:rsid w:val="000C20F8"/>
    <w:rsid w:val="000C213E"/>
    <w:rsid w:val="000C2569"/>
    <w:rsid w:val="000C25D6"/>
    <w:rsid w:val="000C2734"/>
    <w:rsid w:val="000C2744"/>
    <w:rsid w:val="000C29EB"/>
    <w:rsid w:val="000C33B5"/>
    <w:rsid w:val="000C39A1"/>
    <w:rsid w:val="000C3D44"/>
    <w:rsid w:val="000C3DB1"/>
    <w:rsid w:val="000C3F3D"/>
    <w:rsid w:val="000C41CE"/>
    <w:rsid w:val="000C41D5"/>
    <w:rsid w:val="000C47E6"/>
    <w:rsid w:val="000C498D"/>
    <w:rsid w:val="000C4D13"/>
    <w:rsid w:val="000C4E8A"/>
    <w:rsid w:val="000C4F48"/>
    <w:rsid w:val="000C506E"/>
    <w:rsid w:val="000C52B0"/>
    <w:rsid w:val="000C599A"/>
    <w:rsid w:val="000C59CE"/>
    <w:rsid w:val="000C5B1E"/>
    <w:rsid w:val="000C5D31"/>
    <w:rsid w:val="000C5D4A"/>
    <w:rsid w:val="000C5E18"/>
    <w:rsid w:val="000C6399"/>
    <w:rsid w:val="000C6485"/>
    <w:rsid w:val="000C650C"/>
    <w:rsid w:val="000C687C"/>
    <w:rsid w:val="000C692D"/>
    <w:rsid w:val="000C6AEA"/>
    <w:rsid w:val="000C6DEB"/>
    <w:rsid w:val="000C6E62"/>
    <w:rsid w:val="000C6FA3"/>
    <w:rsid w:val="000C6FDD"/>
    <w:rsid w:val="000C7518"/>
    <w:rsid w:val="000C77D2"/>
    <w:rsid w:val="000C7E15"/>
    <w:rsid w:val="000C7F8C"/>
    <w:rsid w:val="000D018F"/>
    <w:rsid w:val="000D02B0"/>
    <w:rsid w:val="000D0833"/>
    <w:rsid w:val="000D083C"/>
    <w:rsid w:val="000D0A09"/>
    <w:rsid w:val="000D0B03"/>
    <w:rsid w:val="000D11B3"/>
    <w:rsid w:val="000D12E2"/>
    <w:rsid w:val="000D18A2"/>
    <w:rsid w:val="000D19A9"/>
    <w:rsid w:val="000D1A3F"/>
    <w:rsid w:val="000D1A8A"/>
    <w:rsid w:val="000D1AA4"/>
    <w:rsid w:val="000D1BFC"/>
    <w:rsid w:val="000D1C2B"/>
    <w:rsid w:val="000D1D1E"/>
    <w:rsid w:val="000D2052"/>
    <w:rsid w:val="000D213D"/>
    <w:rsid w:val="000D2A16"/>
    <w:rsid w:val="000D2CE1"/>
    <w:rsid w:val="000D2D5D"/>
    <w:rsid w:val="000D2DCD"/>
    <w:rsid w:val="000D2FA0"/>
    <w:rsid w:val="000D333C"/>
    <w:rsid w:val="000D3872"/>
    <w:rsid w:val="000D39B6"/>
    <w:rsid w:val="000D3C8E"/>
    <w:rsid w:val="000D3D1C"/>
    <w:rsid w:val="000D3E62"/>
    <w:rsid w:val="000D4162"/>
    <w:rsid w:val="000D45F1"/>
    <w:rsid w:val="000D4962"/>
    <w:rsid w:val="000D4B32"/>
    <w:rsid w:val="000D4B43"/>
    <w:rsid w:val="000D4F8A"/>
    <w:rsid w:val="000D57D9"/>
    <w:rsid w:val="000D58D9"/>
    <w:rsid w:val="000D590B"/>
    <w:rsid w:val="000D5C37"/>
    <w:rsid w:val="000D5D78"/>
    <w:rsid w:val="000D62D4"/>
    <w:rsid w:val="000D6538"/>
    <w:rsid w:val="000D6B71"/>
    <w:rsid w:val="000D71D1"/>
    <w:rsid w:val="000D73D8"/>
    <w:rsid w:val="000D78C1"/>
    <w:rsid w:val="000D791E"/>
    <w:rsid w:val="000D7B27"/>
    <w:rsid w:val="000D7DE7"/>
    <w:rsid w:val="000E05A0"/>
    <w:rsid w:val="000E080D"/>
    <w:rsid w:val="000E09CE"/>
    <w:rsid w:val="000E0A46"/>
    <w:rsid w:val="000E13CE"/>
    <w:rsid w:val="000E144C"/>
    <w:rsid w:val="000E196E"/>
    <w:rsid w:val="000E2117"/>
    <w:rsid w:val="000E3258"/>
    <w:rsid w:val="000E3846"/>
    <w:rsid w:val="000E3AC0"/>
    <w:rsid w:val="000E3E2B"/>
    <w:rsid w:val="000E3E32"/>
    <w:rsid w:val="000E3E7E"/>
    <w:rsid w:val="000E402E"/>
    <w:rsid w:val="000E4035"/>
    <w:rsid w:val="000E4060"/>
    <w:rsid w:val="000E4230"/>
    <w:rsid w:val="000E44C8"/>
    <w:rsid w:val="000E45CA"/>
    <w:rsid w:val="000E4693"/>
    <w:rsid w:val="000E47AE"/>
    <w:rsid w:val="000E48A6"/>
    <w:rsid w:val="000E4900"/>
    <w:rsid w:val="000E49AB"/>
    <w:rsid w:val="000E49BD"/>
    <w:rsid w:val="000E4B2E"/>
    <w:rsid w:val="000E4D84"/>
    <w:rsid w:val="000E4DC8"/>
    <w:rsid w:val="000E50E5"/>
    <w:rsid w:val="000E51B4"/>
    <w:rsid w:val="000E53A3"/>
    <w:rsid w:val="000E579B"/>
    <w:rsid w:val="000E588A"/>
    <w:rsid w:val="000E6062"/>
    <w:rsid w:val="000E609A"/>
    <w:rsid w:val="000E611F"/>
    <w:rsid w:val="000E62EF"/>
    <w:rsid w:val="000E62F5"/>
    <w:rsid w:val="000E6A31"/>
    <w:rsid w:val="000E703B"/>
    <w:rsid w:val="000E7282"/>
    <w:rsid w:val="000E759E"/>
    <w:rsid w:val="000E7645"/>
    <w:rsid w:val="000E7674"/>
    <w:rsid w:val="000E774E"/>
    <w:rsid w:val="000E7A33"/>
    <w:rsid w:val="000E7A7A"/>
    <w:rsid w:val="000E7C5B"/>
    <w:rsid w:val="000E7DAF"/>
    <w:rsid w:val="000F06DB"/>
    <w:rsid w:val="000F08C1"/>
    <w:rsid w:val="000F0C73"/>
    <w:rsid w:val="000F0D9D"/>
    <w:rsid w:val="000F113C"/>
    <w:rsid w:val="000F14D6"/>
    <w:rsid w:val="000F153C"/>
    <w:rsid w:val="000F1AA8"/>
    <w:rsid w:val="000F1D14"/>
    <w:rsid w:val="000F2097"/>
    <w:rsid w:val="000F20CF"/>
    <w:rsid w:val="000F20E8"/>
    <w:rsid w:val="000F2455"/>
    <w:rsid w:val="000F28F4"/>
    <w:rsid w:val="000F2DFA"/>
    <w:rsid w:val="000F2E44"/>
    <w:rsid w:val="000F3133"/>
    <w:rsid w:val="000F330E"/>
    <w:rsid w:val="000F3495"/>
    <w:rsid w:val="000F357D"/>
    <w:rsid w:val="000F3780"/>
    <w:rsid w:val="000F3A0E"/>
    <w:rsid w:val="000F3B17"/>
    <w:rsid w:val="000F3B2A"/>
    <w:rsid w:val="000F3E10"/>
    <w:rsid w:val="000F401C"/>
    <w:rsid w:val="000F403D"/>
    <w:rsid w:val="000F42A4"/>
    <w:rsid w:val="000F4350"/>
    <w:rsid w:val="000F4A35"/>
    <w:rsid w:val="000F4A5E"/>
    <w:rsid w:val="000F4AE3"/>
    <w:rsid w:val="000F4D82"/>
    <w:rsid w:val="000F4EBC"/>
    <w:rsid w:val="000F4FA1"/>
    <w:rsid w:val="000F5B4D"/>
    <w:rsid w:val="000F5F21"/>
    <w:rsid w:val="000F605B"/>
    <w:rsid w:val="000F6098"/>
    <w:rsid w:val="000F6730"/>
    <w:rsid w:val="000F6857"/>
    <w:rsid w:val="000F6A2D"/>
    <w:rsid w:val="000F6CE6"/>
    <w:rsid w:val="000F6F83"/>
    <w:rsid w:val="000F74C2"/>
    <w:rsid w:val="000F7CDA"/>
    <w:rsid w:val="001001F4"/>
    <w:rsid w:val="00100367"/>
    <w:rsid w:val="00100426"/>
    <w:rsid w:val="00100E42"/>
    <w:rsid w:val="0010165E"/>
    <w:rsid w:val="00101B7E"/>
    <w:rsid w:val="00101B80"/>
    <w:rsid w:val="00101EF9"/>
    <w:rsid w:val="00101FDA"/>
    <w:rsid w:val="001020D7"/>
    <w:rsid w:val="00102F0D"/>
    <w:rsid w:val="001036C3"/>
    <w:rsid w:val="00103970"/>
    <w:rsid w:val="00103EAF"/>
    <w:rsid w:val="00103F4E"/>
    <w:rsid w:val="00103FE3"/>
    <w:rsid w:val="0010427F"/>
    <w:rsid w:val="00104358"/>
    <w:rsid w:val="001044C4"/>
    <w:rsid w:val="001044CC"/>
    <w:rsid w:val="0010486B"/>
    <w:rsid w:val="001049F2"/>
    <w:rsid w:val="00104B82"/>
    <w:rsid w:val="00104C26"/>
    <w:rsid w:val="00104C2D"/>
    <w:rsid w:val="00104F84"/>
    <w:rsid w:val="00105180"/>
    <w:rsid w:val="0010518F"/>
    <w:rsid w:val="001053AA"/>
    <w:rsid w:val="00105594"/>
    <w:rsid w:val="001055E1"/>
    <w:rsid w:val="0010561A"/>
    <w:rsid w:val="0010572F"/>
    <w:rsid w:val="00105A14"/>
    <w:rsid w:val="00105AA0"/>
    <w:rsid w:val="00105BFC"/>
    <w:rsid w:val="00105D40"/>
    <w:rsid w:val="00105F0E"/>
    <w:rsid w:val="0010602B"/>
    <w:rsid w:val="001060A5"/>
    <w:rsid w:val="00106357"/>
    <w:rsid w:val="001063C6"/>
    <w:rsid w:val="00106670"/>
    <w:rsid w:val="001066D1"/>
    <w:rsid w:val="00106952"/>
    <w:rsid w:val="00106A39"/>
    <w:rsid w:val="00106C06"/>
    <w:rsid w:val="001071CE"/>
    <w:rsid w:val="001071E1"/>
    <w:rsid w:val="001076B2"/>
    <w:rsid w:val="001077E2"/>
    <w:rsid w:val="00107992"/>
    <w:rsid w:val="00107B5A"/>
    <w:rsid w:val="00110412"/>
    <w:rsid w:val="001105C2"/>
    <w:rsid w:val="00110DCA"/>
    <w:rsid w:val="0011104B"/>
    <w:rsid w:val="001110A6"/>
    <w:rsid w:val="0011121F"/>
    <w:rsid w:val="0011124E"/>
    <w:rsid w:val="0011140D"/>
    <w:rsid w:val="0011155B"/>
    <w:rsid w:val="00111617"/>
    <w:rsid w:val="00111D49"/>
    <w:rsid w:val="00112008"/>
    <w:rsid w:val="001121CD"/>
    <w:rsid w:val="00112412"/>
    <w:rsid w:val="001125C2"/>
    <w:rsid w:val="001128AA"/>
    <w:rsid w:val="00112A6E"/>
    <w:rsid w:val="00112E68"/>
    <w:rsid w:val="0011352E"/>
    <w:rsid w:val="0011379A"/>
    <w:rsid w:val="0011381F"/>
    <w:rsid w:val="0011393E"/>
    <w:rsid w:val="00113B56"/>
    <w:rsid w:val="00113C80"/>
    <w:rsid w:val="00114467"/>
    <w:rsid w:val="00114E76"/>
    <w:rsid w:val="001156B1"/>
    <w:rsid w:val="00115A6D"/>
    <w:rsid w:val="00115CF1"/>
    <w:rsid w:val="00115D03"/>
    <w:rsid w:val="00116769"/>
    <w:rsid w:val="001170AA"/>
    <w:rsid w:val="001172FF"/>
    <w:rsid w:val="001177B3"/>
    <w:rsid w:val="00117BA8"/>
    <w:rsid w:val="00117D6E"/>
    <w:rsid w:val="00117F50"/>
    <w:rsid w:val="00120137"/>
    <w:rsid w:val="0012064F"/>
    <w:rsid w:val="00120919"/>
    <w:rsid w:val="00120D42"/>
    <w:rsid w:val="001212DF"/>
    <w:rsid w:val="001212E1"/>
    <w:rsid w:val="00121441"/>
    <w:rsid w:val="00121A2B"/>
    <w:rsid w:val="00121A68"/>
    <w:rsid w:val="001221D1"/>
    <w:rsid w:val="001221D8"/>
    <w:rsid w:val="0012238E"/>
    <w:rsid w:val="0012241A"/>
    <w:rsid w:val="001226AF"/>
    <w:rsid w:val="001226F1"/>
    <w:rsid w:val="00122BA5"/>
    <w:rsid w:val="00123714"/>
    <w:rsid w:val="00123824"/>
    <w:rsid w:val="0012383A"/>
    <w:rsid w:val="00123B5A"/>
    <w:rsid w:val="00123B60"/>
    <w:rsid w:val="00123E33"/>
    <w:rsid w:val="00124326"/>
    <w:rsid w:val="001244CB"/>
    <w:rsid w:val="001248CD"/>
    <w:rsid w:val="00124C5E"/>
    <w:rsid w:val="00125127"/>
    <w:rsid w:val="001252F7"/>
    <w:rsid w:val="0012556C"/>
    <w:rsid w:val="0012592F"/>
    <w:rsid w:val="00125EEB"/>
    <w:rsid w:val="00126481"/>
    <w:rsid w:val="0012675F"/>
    <w:rsid w:val="00126A05"/>
    <w:rsid w:val="00126A64"/>
    <w:rsid w:val="00126BB6"/>
    <w:rsid w:val="00126D7F"/>
    <w:rsid w:val="0012710D"/>
    <w:rsid w:val="00127363"/>
    <w:rsid w:val="0012752A"/>
    <w:rsid w:val="00127747"/>
    <w:rsid w:val="00127972"/>
    <w:rsid w:val="00127A5C"/>
    <w:rsid w:val="001304A0"/>
    <w:rsid w:val="001308F1"/>
    <w:rsid w:val="00130AC9"/>
    <w:rsid w:val="00130CBA"/>
    <w:rsid w:val="00130D00"/>
    <w:rsid w:val="00130D38"/>
    <w:rsid w:val="00130DF3"/>
    <w:rsid w:val="00130ECB"/>
    <w:rsid w:val="00131002"/>
    <w:rsid w:val="00131137"/>
    <w:rsid w:val="00131158"/>
    <w:rsid w:val="00131310"/>
    <w:rsid w:val="00131360"/>
    <w:rsid w:val="001313E2"/>
    <w:rsid w:val="00131591"/>
    <w:rsid w:val="00131FF9"/>
    <w:rsid w:val="0013202C"/>
    <w:rsid w:val="001320A2"/>
    <w:rsid w:val="001320F1"/>
    <w:rsid w:val="0013218E"/>
    <w:rsid w:val="001322F0"/>
    <w:rsid w:val="0013231C"/>
    <w:rsid w:val="001323B9"/>
    <w:rsid w:val="001325A5"/>
    <w:rsid w:val="00132755"/>
    <w:rsid w:val="00132BEE"/>
    <w:rsid w:val="00132BF1"/>
    <w:rsid w:val="00132E28"/>
    <w:rsid w:val="00132E6D"/>
    <w:rsid w:val="0013304F"/>
    <w:rsid w:val="00133124"/>
    <w:rsid w:val="00133354"/>
    <w:rsid w:val="00133CB0"/>
    <w:rsid w:val="00133DC2"/>
    <w:rsid w:val="00133ECB"/>
    <w:rsid w:val="00134344"/>
    <w:rsid w:val="00134523"/>
    <w:rsid w:val="00134A47"/>
    <w:rsid w:val="00134DD2"/>
    <w:rsid w:val="00135078"/>
    <w:rsid w:val="00135679"/>
    <w:rsid w:val="00135CD9"/>
    <w:rsid w:val="00135D43"/>
    <w:rsid w:val="00135EC2"/>
    <w:rsid w:val="0013613A"/>
    <w:rsid w:val="001362C1"/>
    <w:rsid w:val="0013646C"/>
    <w:rsid w:val="00136583"/>
    <w:rsid w:val="0013659B"/>
    <w:rsid w:val="0013676D"/>
    <w:rsid w:val="0013691D"/>
    <w:rsid w:val="001369F2"/>
    <w:rsid w:val="00136B71"/>
    <w:rsid w:val="00136FAA"/>
    <w:rsid w:val="00136FB9"/>
    <w:rsid w:val="00136FE1"/>
    <w:rsid w:val="0013701E"/>
    <w:rsid w:val="001371BF"/>
    <w:rsid w:val="001371E3"/>
    <w:rsid w:val="0013724F"/>
    <w:rsid w:val="001372E6"/>
    <w:rsid w:val="0013742C"/>
    <w:rsid w:val="0013748C"/>
    <w:rsid w:val="00137FA3"/>
    <w:rsid w:val="00140FD5"/>
    <w:rsid w:val="001410A0"/>
    <w:rsid w:val="00141376"/>
    <w:rsid w:val="00141581"/>
    <w:rsid w:val="00141795"/>
    <w:rsid w:val="0014199F"/>
    <w:rsid w:val="00141DB7"/>
    <w:rsid w:val="00141EAB"/>
    <w:rsid w:val="00141EEE"/>
    <w:rsid w:val="00142004"/>
    <w:rsid w:val="001421E6"/>
    <w:rsid w:val="00142330"/>
    <w:rsid w:val="0014256E"/>
    <w:rsid w:val="0014273F"/>
    <w:rsid w:val="0014276B"/>
    <w:rsid w:val="00142875"/>
    <w:rsid w:val="00142AB6"/>
    <w:rsid w:val="00142BE6"/>
    <w:rsid w:val="00142FBA"/>
    <w:rsid w:val="00142FD6"/>
    <w:rsid w:val="00143477"/>
    <w:rsid w:val="001439A4"/>
    <w:rsid w:val="00143B7F"/>
    <w:rsid w:val="00143CD4"/>
    <w:rsid w:val="00143E92"/>
    <w:rsid w:val="00144046"/>
    <w:rsid w:val="00144089"/>
    <w:rsid w:val="001441C7"/>
    <w:rsid w:val="0014466D"/>
    <w:rsid w:val="00144BF3"/>
    <w:rsid w:val="00144D0A"/>
    <w:rsid w:val="00144D23"/>
    <w:rsid w:val="00144F66"/>
    <w:rsid w:val="00145147"/>
    <w:rsid w:val="001456E8"/>
    <w:rsid w:val="001459D3"/>
    <w:rsid w:val="00145BBD"/>
    <w:rsid w:val="00145CCD"/>
    <w:rsid w:val="00145D0F"/>
    <w:rsid w:val="00145DEA"/>
    <w:rsid w:val="00146290"/>
    <w:rsid w:val="001464FA"/>
    <w:rsid w:val="00146B9E"/>
    <w:rsid w:val="00146CFA"/>
    <w:rsid w:val="00146FDB"/>
    <w:rsid w:val="00147858"/>
    <w:rsid w:val="001478ED"/>
    <w:rsid w:val="001479A5"/>
    <w:rsid w:val="00147E53"/>
    <w:rsid w:val="00147EFB"/>
    <w:rsid w:val="0015050F"/>
    <w:rsid w:val="00150574"/>
    <w:rsid w:val="001505D8"/>
    <w:rsid w:val="00150D4D"/>
    <w:rsid w:val="00150F75"/>
    <w:rsid w:val="00150FBB"/>
    <w:rsid w:val="00151012"/>
    <w:rsid w:val="0015122C"/>
    <w:rsid w:val="001513DF"/>
    <w:rsid w:val="00151519"/>
    <w:rsid w:val="00151708"/>
    <w:rsid w:val="001517A9"/>
    <w:rsid w:val="001519A6"/>
    <w:rsid w:val="00151B8F"/>
    <w:rsid w:val="00151E30"/>
    <w:rsid w:val="00151EE5"/>
    <w:rsid w:val="0015201C"/>
    <w:rsid w:val="0015223A"/>
    <w:rsid w:val="001523B4"/>
    <w:rsid w:val="001523D8"/>
    <w:rsid w:val="0015248B"/>
    <w:rsid w:val="00152AB7"/>
    <w:rsid w:val="00152BCD"/>
    <w:rsid w:val="001530E9"/>
    <w:rsid w:val="001531B4"/>
    <w:rsid w:val="00153359"/>
    <w:rsid w:val="001534BD"/>
    <w:rsid w:val="001535E6"/>
    <w:rsid w:val="0015368A"/>
    <w:rsid w:val="00153717"/>
    <w:rsid w:val="001541C6"/>
    <w:rsid w:val="00154783"/>
    <w:rsid w:val="00154790"/>
    <w:rsid w:val="0015482D"/>
    <w:rsid w:val="00154933"/>
    <w:rsid w:val="00154A1B"/>
    <w:rsid w:val="0015543B"/>
    <w:rsid w:val="001555EC"/>
    <w:rsid w:val="00155762"/>
    <w:rsid w:val="0015585E"/>
    <w:rsid w:val="00155868"/>
    <w:rsid w:val="00155B40"/>
    <w:rsid w:val="00155F26"/>
    <w:rsid w:val="00156246"/>
    <w:rsid w:val="00156369"/>
    <w:rsid w:val="00156390"/>
    <w:rsid w:val="00156423"/>
    <w:rsid w:val="0015666E"/>
    <w:rsid w:val="00156702"/>
    <w:rsid w:val="0015702D"/>
    <w:rsid w:val="00157E01"/>
    <w:rsid w:val="00157E48"/>
    <w:rsid w:val="001600E5"/>
    <w:rsid w:val="00160291"/>
    <w:rsid w:val="001603F4"/>
    <w:rsid w:val="00160656"/>
    <w:rsid w:val="00160839"/>
    <w:rsid w:val="00160939"/>
    <w:rsid w:val="00160B37"/>
    <w:rsid w:val="00160D1E"/>
    <w:rsid w:val="00161160"/>
    <w:rsid w:val="001614E0"/>
    <w:rsid w:val="0016152F"/>
    <w:rsid w:val="00161814"/>
    <w:rsid w:val="0016183D"/>
    <w:rsid w:val="00161C5C"/>
    <w:rsid w:val="00161C79"/>
    <w:rsid w:val="001624F1"/>
    <w:rsid w:val="00162B59"/>
    <w:rsid w:val="00162F7F"/>
    <w:rsid w:val="001638BF"/>
    <w:rsid w:val="00163B97"/>
    <w:rsid w:val="00163BF5"/>
    <w:rsid w:val="00163C6A"/>
    <w:rsid w:val="00163CC2"/>
    <w:rsid w:val="00164071"/>
    <w:rsid w:val="001642A5"/>
    <w:rsid w:val="0016439F"/>
    <w:rsid w:val="0016450F"/>
    <w:rsid w:val="00164740"/>
    <w:rsid w:val="00164E32"/>
    <w:rsid w:val="00165066"/>
    <w:rsid w:val="00165316"/>
    <w:rsid w:val="00165334"/>
    <w:rsid w:val="001656B3"/>
    <w:rsid w:val="00165DE0"/>
    <w:rsid w:val="00165EC6"/>
    <w:rsid w:val="0016603A"/>
    <w:rsid w:val="0016640A"/>
    <w:rsid w:val="001665F1"/>
    <w:rsid w:val="00166893"/>
    <w:rsid w:val="00166AD0"/>
    <w:rsid w:val="0016730B"/>
    <w:rsid w:val="001673A7"/>
    <w:rsid w:val="00167445"/>
    <w:rsid w:val="00167618"/>
    <w:rsid w:val="0016787C"/>
    <w:rsid w:val="00167CB2"/>
    <w:rsid w:val="00167F4F"/>
    <w:rsid w:val="00170696"/>
    <w:rsid w:val="00170720"/>
    <w:rsid w:val="001707FD"/>
    <w:rsid w:val="00170C87"/>
    <w:rsid w:val="00170FD0"/>
    <w:rsid w:val="0017166F"/>
    <w:rsid w:val="00171C86"/>
    <w:rsid w:val="001721F3"/>
    <w:rsid w:val="00172478"/>
    <w:rsid w:val="001724AD"/>
    <w:rsid w:val="00172793"/>
    <w:rsid w:val="00173114"/>
    <w:rsid w:val="00173498"/>
    <w:rsid w:val="001737D4"/>
    <w:rsid w:val="00173BC9"/>
    <w:rsid w:val="00174572"/>
    <w:rsid w:val="00174C80"/>
    <w:rsid w:val="00174CBF"/>
    <w:rsid w:val="001751F7"/>
    <w:rsid w:val="00175412"/>
    <w:rsid w:val="00175493"/>
    <w:rsid w:val="0017567C"/>
    <w:rsid w:val="001757B6"/>
    <w:rsid w:val="001758B4"/>
    <w:rsid w:val="001761E4"/>
    <w:rsid w:val="00176310"/>
    <w:rsid w:val="00176704"/>
    <w:rsid w:val="00176B28"/>
    <w:rsid w:val="00177177"/>
    <w:rsid w:val="0017732D"/>
    <w:rsid w:val="00177404"/>
    <w:rsid w:val="00177461"/>
    <w:rsid w:val="001775A8"/>
    <w:rsid w:val="00177639"/>
    <w:rsid w:val="00177A73"/>
    <w:rsid w:val="00177BCE"/>
    <w:rsid w:val="00177E39"/>
    <w:rsid w:val="00177FE5"/>
    <w:rsid w:val="00177FF7"/>
    <w:rsid w:val="00180064"/>
    <w:rsid w:val="001805BD"/>
    <w:rsid w:val="00180831"/>
    <w:rsid w:val="00180A8F"/>
    <w:rsid w:val="00180C32"/>
    <w:rsid w:val="00180D15"/>
    <w:rsid w:val="00180D3A"/>
    <w:rsid w:val="00181094"/>
    <w:rsid w:val="00181357"/>
    <w:rsid w:val="0018136C"/>
    <w:rsid w:val="0018143C"/>
    <w:rsid w:val="001819D9"/>
    <w:rsid w:val="00181A1F"/>
    <w:rsid w:val="00181D77"/>
    <w:rsid w:val="001829A7"/>
    <w:rsid w:val="00182C98"/>
    <w:rsid w:val="00182CDE"/>
    <w:rsid w:val="00182DE3"/>
    <w:rsid w:val="00182E77"/>
    <w:rsid w:val="00183242"/>
    <w:rsid w:val="0018341E"/>
    <w:rsid w:val="001835C8"/>
    <w:rsid w:val="00183608"/>
    <w:rsid w:val="00183888"/>
    <w:rsid w:val="00183AEE"/>
    <w:rsid w:val="00183DEC"/>
    <w:rsid w:val="00183E0E"/>
    <w:rsid w:val="00183F24"/>
    <w:rsid w:val="001845D5"/>
    <w:rsid w:val="00184B6C"/>
    <w:rsid w:val="00184C4B"/>
    <w:rsid w:val="00184CA2"/>
    <w:rsid w:val="00185154"/>
    <w:rsid w:val="0018557F"/>
    <w:rsid w:val="00185782"/>
    <w:rsid w:val="001857AF"/>
    <w:rsid w:val="00185D1E"/>
    <w:rsid w:val="001863E9"/>
    <w:rsid w:val="00186496"/>
    <w:rsid w:val="001866E9"/>
    <w:rsid w:val="00186831"/>
    <w:rsid w:val="0018704F"/>
    <w:rsid w:val="00187570"/>
    <w:rsid w:val="00187ACB"/>
    <w:rsid w:val="00187D21"/>
    <w:rsid w:val="00187D57"/>
    <w:rsid w:val="00187D6C"/>
    <w:rsid w:val="00187EDB"/>
    <w:rsid w:val="00190498"/>
    <w:rsid w:val="00190758"/>
    <w:rsid w:val="0019114D"/>
    <w:rsid w:val="0019115D"/>
    <w:rsid w:val="001911BE"/>
    <w:rsid w:val="001913C6"/>
    <w:rsid w:val="001914E1"/>
    <w:rsid w:val="0019150F"/>
    <w:rsid w:val="00191860"/>
    <w:rsid w:val="00191E77"/>
    <w:rsid w:val="001926D2"/>
    <w:rsid w:val="00192AC3"/>
    <w:rsid w:val="00192C24"/>
    <w:rsid w:val="00192C7C"/>
    <w:rsid w:val="00192FD0"/>
    <w:rsid w:val="00192FD1"/>
    <w:rsid w:val="0019306E"/>
    <w:rsid w:val="0019306F"/>
    <w:rsid w:val="00193172"/>
    <w:rsid w:val="0019335F"/>
    <w:rsid w:val="001933B4"/>
    <w:rsid w:val="001937D5"/>
    <w:rsid w:val="00193E49"/>
    <w:rsid w:val="0019429A"/>
    <w:rsid w:val="00194812"/>
    <w:rsid w:val="00194E83"/>
    <w:rsid w:val="001953AF"/>
    <w:rsid w:val="00195444"/>
    <w:rsid w:val="00195AC5"/>
    <w:rsid w:val="00195C88"/>
    <w:rsid w:val="00195EC6"/>
    <w:rsid w:val="00196706"/>
    <w:rsid w:val="001968F4"/>
    <w:rsid w:val="00196F8F"/>
    <w:rsid w:val="00196FFB"/>
    <w:rsid w:val="0019737F"/>
    <w:rsid w:val="001973BF"/>
    <w:rsid w:val="001974CF"/>
    <w:rsid w:val="00197787"/>
    <w:rsid w:val="00197946"/>
    <w:rsid w:val="00197B44"/>
    <w:rsid w:val="001A01E5"/>
    <w:rsid w:val="001A0510"/>
    <w:rsid w:val="001A055A"/>
    <w:rsid w:val="001A0B40"/>
    <w:rsid w:val="001A0D5E"/>
    <w:rsid w:val="001A1049"/>
    <w:rsid w:val="001A1050"/>
    <w:rsid w:val="001A11EF"/>
    <w:rsid w:val="001A130F"/>
    <w:rsid w:val="001A141C"/>
    <w:rsid w:val="001A14A1"/>
    <w:rsid w:val="001A1686"/>
    <w:rsid w:val="001A169E"/>
    <w:rsid w:val="001A17D9"/>
    <w:rsid w:val="001A1B76"/>
    <w:rsid w:val="001A1BE4"/>
    <w:rsid w:val="001A1E6E"/>
    <w:rsid w:val="001A201D"/>
    <w:rsid w:val="001A22C1"/>
    <w:rsid w:val="001A246D"/>
    <w:rsid w:val="001A24B1"/>
    <w:rsid w:val="001A2510"/>
    <w:rsid w:val="001A28E0"/>
    <w:rsid w:val="001A28FB"/>
    <w:rsid w:val="001A298D"/>
    <w:rsid w:val="001A2AEF"/>
    <w:rsid w:val="001A2C14"/>
    <w:rsid w:val="001A2E30"/>
    <w:rsid w:val="001A309B"/>
    <w:rsid w:val="001A30D2"/>
    <w:rsid w:val="001A3340"/>
    <w:rsid w:val="001A3641"/>
    <w:rsid w:val="001A3C52"/>
    <w:rsid w:val="001A3FC0"/>
    <w:rsid w:val="001A40B7"/>
    <w:rsid w:val="001A432A"/>
    <w:rsid w:val="001A43CC"/>
    <w:rsid w:val="001A4411"/>
    <w:rsid w:val="001A47A4"/>
    <w:rsid w:val="001A4884"/>
    <w:rsid w:val="001A49A1"/>
    <w:rsid w:val="001A4A03"/>
    <w:rsid w:val="001A529D"/>
    <w:rsid w:val="001A5355"/>
    <w:rsid w:val="001A5679"/>
    <w:rsid w:val="001A5772"/>
    <w:rsid w:val="001A5ACC"/>
    <w:rsid w:val="001A5CB5"/>
    <w:rsid w:val="001A5CEE"/>
    <w:rsid w:val="001A5F04"/>
    <w:rsid w:val="001A6070"/>
    <w:rsid w:val="001A6584"/>
    <w:rsid w:val="001A6688"/>
    <w:rsid w:val="001A6CE2"/>
    <w:rsid w:val="001A6F5F"/>
    <w:rsid w:val="001A71B0"/>
    <w:rsid w:val="001A7264"/>
    <w:rsid w:val="001A74DB"/>
    <w:rsid w:val="001A7AF2"/>
    <w:rsid w:val="001B02A8"/>
    <w:rsid w:val="001B02CE"/>
    <w:rsid w:val="001B044E"/>
    <w:rsid w:val="001B0687"/>
    <w:rsid w:val="001B08E4"/>
    <w:rsid w:val="001B0A11"/>
    <w:rsid w:val="001B0C10"/>
    <w:rsid w:val="001B0D5D"/>
    <w:rsid w:val="001B13A8"/>
    <w:rsid w:val="001B1AAD"/>
    <w:rsid w:val="001B1BA6"/>
    <w:rsid w:val="001B21B6"/>
    <w:rsid w:val="001B2276"/>
    <w:rsid w:val="001B242C"/>
    <w:rsid w:val="001B25F1"/>
    <w:rsid w:val="001B3333"/>
    <w:rsid w:val="001B387F"/>
    <w:rsid w:val="001B3984"/>
    <w:rsid w:val="001B47E7"/>
    <w:rsid w:val="001B481A"/>
    <w:rsid w:val="001B4C72"/>
    <w:rsid w:val="001B5086"/>
    <w:rsid w:val="001B5165"/>
    <w:rsid w:val="001B5334"/>
    <w:rsid w:val="001B5641"/>
    <w:rsid w:val="001B5961"/>
    <w:rsid w:val="001B5A0E"/>
    <w:rsid w:val="001B5C9D"/>
    <w:rsid w:val="001B5CE9"/>
    <w:rsid w:val="001B601D"/>
    <w:rsid w:val="001B61E2"/>
    <w:rsid w:val="001B62FD"/>
    <w:rsid w:val="001B66E0"/>
    <w:rsid w:val="001B68F8"/>
    <w:rsid w:val="001B6BE5"/>
    <w:rsid w:val="001B6C8A"/>
    <w:rsid w:val="001B71A2"/>
    <w:rsid w:val="001B73E0"/>
    <w:rsid w:val="001B77BE"/>
    <w:rsid w:val="001B77F5"/>
    <w:rsid w:val="001B7D17"/>
    <w:rsid w:val="001C0003"/>
    <w:rsid w:val="001C0174"/>
    <w:rsid w:val="001C01C5"/>
    <w:rsid w:val="001C02AC"/>
    <w:rsid w:val="001C034B"/>
    <w:rsid w:val="001C0632"/>
    <w:rsid w:val="001C06D6"/>
    <w:rsid w:val="001C0892"/>
    <w:rsid w:val="001C0969"/>
    <w:rsid w:val="001C0A95"/>
    <w:rsid w:val="001C0DF3"/>
    <w:rsid w:val="001C0E95"/>
    <w:rsid w:val="001C0EBA"/>
    <w:rsid w:val="001C1021"/>
    <w:rsid w:val="001C1103"/>
    <w:rsid w:val="001C11A1"/>
    <w:rsid w:val="001C11DC"/>
    <w:rsid w:val="001C120E"/>
    <w:rsid w:val="001C168F"/>
    <w:rsid w:val="001C1A15"/>
    <w:rsid w:val="001C22F9"/>
    <w:rsid w:val="001C231C"/>
    <w:rsid w:val="001C282E"/>
    <w:rsid w:val="001C2960"/>
    <w:rsid w:val="001C2C26"/>
    <w:rsid w:val="001C2D8B"/>
    <w:rsid w:val="001C308F"/>
    <w:rsid w:val="001C31F4"/>
    <w:rsid w:val="001C3621"/>
    <w:rsid w:val="001C39F4"/>
    <w:rsid w:val="001C3B43"/>
    <w:rsid w:val="001C3EF3"/>
    <w:rsid w:val="001C4024"/>
    <w:rsid w:val="001C40AA"/>
    <w:rsid w:val="001C4155"/>
    <w:rsid w:val="001C422E"/>
    <w:rsid w:val="001C4938"/>
    <w:rsid w:val="001C4B73"/>
    <w:rsid w:val="001C50F7"/>
    <w:rsid w:val="001C534A"/>
    <w:rsid w:val="001C53CE"/>
    <w:rsid w:val="001C551D"/>
    <w:rsid w:val="001C5A56"/>
    <w:rsid w:val="001C5AB2"/>
    <w:rsid w:val="001C5B9D"/>
    <w:rsid w:val="001C5BD0"/>
    <w:rsid w:val="001C5E54"/>
    <w:rsid w:val="001C611E"/>
    <w:rsid w:val="001C655D"/>
    <w:rsid w:val="001C67D1"/>
    <w:rsid w:val="001C6860"/>
    <w:rsid w:val="001C6CB0"/>
    <w:rsid w:val="001C7044"/>
    <w:rsid w:val="001C7271"/>
    <w:rsid w:val="001C73CB"/>
    <w:rsid w:val="001C7696"/>
    <w:rsid w:val="001C7AE6"/>
    <w:rsid w:val="001C7B08"/>
    <w:rsid w:val="001C7EC4"/>
    <w:rsid w:val="001D004A"/>
    <w:rsid w:val="001D0065"/>
    <w:rsid w:val="001D03EA"/>
    <w:rsid w:val="001D068F"/>
    <w:rsid w:val="001D0B3C"/>
    <w:rsid w:val="001D0DDA"/>
    <w:rsid w:val="001D1211"/>
    <w:rsid w:val="001D1895"/>
    <w:rsid w:val="001D18F4"/>
    <w:rsid w:val="001D1D89"/>
    <w:rsid w:val="001D21D7"/>
    <w:rsid w:val="001D233D"/>
    <w:rsid w:val="001D2760"/>
    <w:rsid w:val="001D2E4C"/>
    <w:rsid w:val="001D3031"/>
    <w:rsid w:val="001D33DB"/>
    <w:rsid w:val="001D347E"/>
    <w:rsid w:val="001D36AE"/>
    <w:rsid w:val="001D3868"/>
    <w:rsid w:val="001D3879"/>
    <w:rsid w:val="001D38C1"/>
    <w:rsid w:val="001D39DA"/>
    <w:rsid w:val="001D436A"/>
    <w:rsid w:val="001D46D6"/>
    <w:rsid w:val="001D4ABC"/>
    <w:rsid w:val="001D4BEF"/>
    <w:rsid w:val="001D4CE6"/>
    <w:rsid w:val="001D4EA3"/>
    <w:rsid w:val="001D4EEE"/>
    <w:rsid w:val="001D4FD6"/>
    <w:rsid w:val="001D5077"/>
    <w:rsid w:val="001D51B2"/>
    <w:rsid w:val="001D5516"/>
    <w:rsid w:val="001D575C"/>
    <w:rsid w:val="001D5953"/>
    <w:rsid w:val="001D5DBA"/>
    <w:rsid w:val="001D5F7B"/>
    <w:rsid w:val="001D624D"/>
    <w:rsid w:val="001D64F8"/>
    <w:rsid w:val="001D6705"/>
    <w:rsid w:val="001D6A05"/>
    <w:rsid w:val="001D6FEA"/>
    <w:rsid w:val="001D7856"/>
    <w:rsid w:val="001E0601"/>
    <w:rsid w:val="001E0EE7"/>
    <w:rsid w:val="001E1024"/>
    <w:rsid w:val="001E117F"/>
    <w:rsid w:val="001E13D5"/>
    <w:rsid w:val="001E1EB0"/>
    <w:rsid w:val="001E206A"/>
    <w:rsid w:val="001E28A5"/>
    <w:rsid w:val="001E2A40"/>
    <w:rsid w:val="001E2A50"/>
    <w:rsid w:val="001E2C91"/>
    <w:rsid w:val="001E2D1D"/>
    <w:rsid w:val="001E2DFC"/>
    <w:rsid w:val="001E2EFC"/>
    <w:rsid w:val="001E31A3"/>
    <w:rsid w:val="001E31CB"/>
    <w:rsid w:val="001E33C5"/>
    <w:rsid w:val="001E33CD"/>
    <w:rsid w:val="001E343F"/>
    <w:rsid w:val="001E3BA5"/>
    <w:rsid w:val="001E3D78"/>
    <w:rsid w:val="001E4026"/>
    <w:rsid w:val="001E4177"/>
    <w:rsid w:val="001E41D7"/>
    <w:rsid w:val="001E4328"/>
    <w:rsid w:val="001E4369"/>
    <w:rsid w:val="001E46B4"/>
    <w:rsid w:val="001E48E1"/>
    <w:rsid w:val="001E4978"/>
    <w:rsid w:val="001E4A19"/>
    <w:rsid w:val="001E4B40"/>
    <w:rsid w:val="001E5244"/>
    <w:rsid w:val="001E5987"/>
    <w:rsid w:val="001E5F05"/>
    <w:rsid w:val="001E60BC"/>
    <w:rsid w:val="001E6289"/>
    <w:rsid w:val="001E670A"/>
    <w:rsid w:val="001E6714"/>
    <w:rsid w:val="001E683F"/>
    <w:rsid w:val="001E6868"/>
    <w:rsid w:val="001E68A9"/>
    <w:rsid w:val="001E6FD1"/>
    <w:rsid w:val="001E711D"/>
    <w:rsid w:val="001E7193"/>
    <w:rsid w:val="001E76D5"/>
    <w:rsid w:val="001E7798"/>
    <w:rsid w:val="001E780B"/>
    <w:rsid w:val="001E7A74"/>
    <w:rsid w:val="001E7A77"/>
    <w:rsid w:val="001E7C2D"/>
    <w:rsid w:val="001E7C73"/>
    <w:rsid w:val="001E7E52"/>
    <w:rsid w:val="001F02F7"/>
    <w:rsid w:val="001F0A77"/>
    <w:rsid w:val="001F0BED"/>
    <w:rsid w:val="001F0D08"/>
    <w:rsid w:val="001F0D26"/>
    <w:rsid w:val="001F12AB"/>
    <w:rsid w:val="001F161E"/>
    <w:rsid w:val="001F16CA"/>
    <w:rsid w:val="001F1A4D"/>
    <w:rsid w:val="001F1E54"/>
    <w:rsid w:val="001F1EAC"/>
    <w:rsid w:val="001F2597"/>
    <w:rsid w:val="001F25F4"/>
    <w:rsid w:val="001F2B11"/>
    <w:rsid w:val="001F2CBD"/>
    <w:rsid w:val="001F2E94"/>
    <w:rsid w:val="001F3315"/>
    <w:rsid w:val="001F3B90"/>
    <w:rsid w:val="001F3BF1"/>
    <w:rsid w:val="001F3E17"/>
    <w:rsid w:val="001F40DE"/>
    <w:rsid w:val="001F4570"/>
    <w:rsid w:val="001F4704"/>
    <w:rsid w:val="001F480D"/>
    <w:rsid w:val="001F4A12"/>
    <w:rsid w:val="001F4E73"/>
    <w:rsid w:val="001F4F1A"/>
    <w:rsid w:val="001F5484"/>
    <w:rsid w:val="001F5DFF"/>
    <w:rsid w:val="001F5EB9"/>
    <w:rsid w:val="001F6996"/>
    <w:rsid w:val="001F7A75"/>
    <w:rsid w:val="001F7C19"/>
    <w:rsid w:val="001F7E54"/>
    <w:rsid w:val="001F7ECD"/>
    <w:rsid w:val="0020077D"/>
    <w:rsid w:val="00200BF5"/>
    <w:rsid w:val="00200FD8"/>
    <w:rsid w:val="00201288"/>
    <w:rsid w:val="0020149D"/>
    <w:rsid w:val="00201742"/>
    <w:rsid w:val="00201CFC"/>
    <w:rsid w:val="00201F5E"/>
    <w:rsid w:val="00201FBA"/>
    <w:rsid w:val="00202087"/>
    <w:rsid w:val="00202249"/>
    <w:rsid w:val="0020237B"/>
    <w:rsid w:val="00202C09"/>
    <w:rsid w:val="00204201"/>
    <w:rsid w:val="00204393"/>
    <w:rsid w:val="002043E3"/>
    <w:rsid w:val="002044A8"/>
    <w:rsid w:val="002045CB"/>
    <w:rsid w:val="002049EE"/>
    <w:rsid w:val="00204D0A"/>
    <w:rsid w:val="00204E95"/>
    <w:rsid w:val="00204FFF"/>
    <w:rsid w:val="002055CA"/>
    <w:rsid w:val="00205722"/>
    <w:rsid w:val="0020598D"/>
    <w:rsid w:val="00205F6E"/>
    <w:rsid w:val="00205FE7"/>
    <w:rsid w:val="0020611D"/>
    <w:rsid w:val="00206270"/>
    <w:rsid w:val="00206D8A"/>
    <w:rsid w:val="0020716F"/>
    <w:rsid w:val="002071B9"/>
    <w:rsid w:val="002074D2"/>
    <w:rsid w:val="00207831"/>
    <w:rsid w:val="00207846"/>
    <w:rsid w:val="002078C1"/>
    <w:rsid w:val="00207911"/>
    <w:rsid w:val="00207F02"/>
    <w:rsid w:val="0021010E"/>
    <w:rsid w:val="00210191"/>
    <w:rsid w:val="0021025D"/>
    <w:rsid w:val="00210510"/>
    <w:rsid w:val="0021069F"/>
    <w:rsid w:val="002106C4"/>
    <w:rsid w:val="00210926"/>
    <w:rsid w:val="00210DEF"/>
    <w:rsid w:val="00210F46"/>
    <w:rsid w:val="002113FB"/>
    <w:rsid w:val="002117A4"/>
    <w:rsid w:val="00211DB9"/>
    <w:rsid w:val="00211F01"/>
    <w:rsid w:val="002120C7"/>
    <w:rsid w:val="00212266"/>
    <w:rsid w:val="002122F3"/>
    <w:rsid w:val="0021240B"/>
    <w:rsid w:val="0021240C"/>
    <w:rsid w:val="002125E1"/>
    <w:rsid w:val="0021270B"/>
    <w:rsid w:val="00212787"/>
    <w:rsid w:val="0021297F"/>
    <w:rsid w:val="002129E1"/>
    <w:rsid w:val="00212DEE"/>
    <w:rsid w:val="00212EC8"/>
    <w:rsid w:val="00212FD4"/>
    <w:rsid w:val="002130BC"/>
    <w:rsid w:val="002134E4"/>
    <w:rsid w:val="002136D3"/>
    <w:rsid w:val="00213CE9"/>
    <w:rsid w:val="0021426E"/>
    <w:rsid w:val="00214296"/>
    <w:rsid w:val="00214532"/>
    <w:rsid w:val="002145D6"/>
    <w:rsid w:val="00214876"/>
    <w:rsid w:val="00214CDF"/>
    <w:rsid w:val="00214D4B"/>
    <w:rsid w:val="00214EB5"/>
    <w:rsid w:val="00214EF5"/>
    <w:rsid w:val="002153A1"/>
    <w:rsid w:val="00215C8A"/>
    <w:rsid w:val="002163B0"/>
    <w:rsid w:val="002166A0"/>
    <w:rsid w:val="00216A15"/>
    <w:rsid w:val="00216A2D"/>
    <w:rsid w:val="00216BC2"/>
    <w:rsid w:val="00217025"/>
    <w:rsid w:val="002170FF"/>
    <w:rsid w:val="00217474"/>
    <w:rsid w:val="002176AD"/>
    <w:rsid w:val="002176CC"/>
    <w:rsid w:val="00217AC3"/>
    <w:rsid w:val="00217EC3"/>
    <w:rsid w:val="002200F0"/>
    <w:rsid w:val="00220219"/>
    <w:rsid w:val="0022075F"/>
    <w:rsid w:val="00220B27"/>
    <w:rsid w:val="00220D9C"/>
    <w:rsid w:val="00220EA2"/>
    <w:rsid w:val="00220FCC"/>
    <w:rsid w:val="002212B6"/>
    <w:rsid w:val="002217A4"/>
    <w:rsid w:val="00221A3E"/>
    <w:rsid w:val="00221AA6"/>
    <w:rsid w:val="00221E0B"/>
    <w:rsid w:val="00221ED7"/>
    <w:rsid w:val="00222215"/>
    <w:rsid w:val="0022244F"/>
    <w:rsid w:val="002224E3"/>
    <w:rsid w:val="00222592"/>
    <w:rsid w:val="00222DA9"/>
    <w:rsid w:val="00222DD2"/>
    <w:rsid w:val="00222E89"/>
    <w:rsid w:val="00223167"/>
    <w:rsid w:val="002231BE"/>
    <w:rsid w:val="0022347B"/>
    <w:rsid w:val="002238CE"/>
    <w:rsid w:val="00223980"/>
    <w:rsid w:val="00223B0E"/>
    <w:rsid w:val="00223C30"/>
    <w:rsid w:val="00223C34"/>
    <w:rsid w:val="00223D10"/>
    <w:rsid w:val="00224048"/>
    <w:rsid w:val="00224163"/>
    <w:rsid w:val="002243BC"/>
    <w:rsid w:val="002246EB"/>
    <w:rsid w:val="002248C2"/>
    <w:rsid w:val="00224D3F"/>
    <w:rsid w:val="00224F93"/>
    <w:rsid w:val="00225293"/>
    <w:rsid w:val="0022536D"/>
    <w:rsid w:val="002255D0"/>
    <w:rsid w:val="0022595C"/>
    <w:rsid w:val="0022598E"/>
    <w:rsid w:val="00225AAA"/>
    <w:rsid w:val="00225C16"/>
    <w:rsid w:val="00225C3B"/>
    <w:rsid w:val="00226303"/>
    <w:rsid w:val="0022647A"/>
    <w:rsid w:val="00226967"/>
    <w:rsid w:val="00226FD9"/>
    <w:rsid w:val="0022717E"/>
    <w:rsid w:val="002271F7"/>
    <w:rsid w:val="00227473"/>
    <w:rsid w:val="00227A24"/>
    <w:rsid w:val="00227A35"/>
    <w:rsid w:val="00227AB1"/>
    <w:rsid w:val="00227C18"/>
    <w:rsid w:val="00227D79"/>
    <w:rsid w:val="00230180"/>
    <w:rsid w:val="002301C9"/>
    <w:rsid w:val="00230435"/>
    <w:rsid w:val="002305A6"/>
    <w:rsid w:val="00230707"/>
    <w:rsid w:val="002309B4"/>
    <w:rsid w:val="00230F12"/>
    <w:rsid w:val="002312AA"/>
    <w:rsid w:val="00231493"/>
    <w:rsid w:val="00231B94"/>
    <w:rsid w:val="00231BA8"/>
    <w:rsid w:val="00231D42"/>
    <w:rsid w:val="00232037"/>
    <w:rsid w:val="00232050"/>
    <w:rsid w:val="002329D3"/>
    <w:rsid w:val="00232B6B"/>
    <w:rsid w:val="00232BDB"/>
    <w:rsid w:val="00232E4B"/>
    <w:rsid w:val="00232FE0"/>
    <w:rsid w:val="0023309A"/>
    <w:rsid w:val="002335E0"/>
    <w:rsid w:val="0023376D"/>
    <w:rsid w:val="00233782"/>
    <w:rsid w:val="002337B6"/>
    <w:rsid w:val="002337E7"/>
    <w:rsid w:val="00233A14"/>
    <w:rsid w:val="00233E4E"/>
    <w:rsid w:val="00233ED7"/>
    <w:rsid w:val="00234056"/>
    <w:rsid w:val="00234098"/>
    <w:rsid w:val="0023434E"/>
    <w:rsid w:val="0023441B"/>
    <w:rsid w:val="002345B0"/>
    <w:rsid w:val="002346BD"/>
    <w:rsid w:val="002347DD"/>
    <w:rsid w:val="0023517B"/>
    <w:rsid w:val="002352F9"/>
    <w:rsid w:val="002353DC"/>
    <w:rsid w:val="0023554E"/>
    <w:rsid w:val="00235582"/>
    <w:rsid w:val="0023575D"/>
    <w:rsid w:val="00235AC9"/>
    <w:rsid w:val="00235ECA"/>
    <w:rsid w:val="00235ED7"/>
    <w:rsid w:val="00236003"/>
    <w:rsid w:val="00236034"/>
    <w:rsid w:val="00236116"/>
    <w:rsid w:val="00236625"/>
    <w:rsid w:val="00236B87"/>
    <w:rsid w:val="00236C75"/>
    <w:rsid w:val="00236D42"/>
    <w:rsid w:val="00237444"/>
    <w:rsid w:val="0023746A"/>
    <w:rsid w:val="002374C9"/>
    <w:rsid w:val="002378C1"/>
    <w:rsid w:val="00237A75"/>
    <w:rsid w:val="00237C22"/>
    <w:rsid w:val="00237D45"/>
    <w:rsid w:val="00240B5C"/>
    <w:rsid w:val="00240BF4"/>
    <w:rsid w:val="00240E41"/>
    <w:rsid w:val="00241050"/>
    <w:rsid w:val="0024109C"/>
    <w:rsid w:val="002414A0"/>
    <w:rsid w:val="002415AF"/>
    <w:rsid w:val="002419E9"/>
    <w:rsid w:val="00241A4E"/>
    <w:rsid w:val="00241AFB"/>
    <w:rsid w:val="00241B22"/>
    <w:rsid w:val="00242333"/>
    <w:rsid w:val="002424CD"/>
    <w:rsid w:val="00242692"/>
    <w:rsid w:val="002428A9"/>
    <w:rsid w:val="00242FF7"/>
    <w:rsid w:val="00243232"/>
    <w:rsid w:val="002437E1"/>
    <w:rsid w:val="002443D1"/>
    <w:rsid w:val="00244B30"/>
    <w:rsid w:val="00244FD9"/>
    <w:rsid w:val="002451EF"/>
    <w:rsid w:val="0024579D"/>
    <w:rsid w:val="0024588F"/>
    <w:rsid w:val="00245999"/>
    <w:rsid w:val="00245E8E"/>
    <w:rsid w:val="00245FE9"/>
    <w:rsid w:val="00245FF7"/>
    <w:rsid w:val="00246246"/>
    <w:rsid w:val="002465E5"/>
    <w:rsid w:val="00246863"/>
    <w:rsid w:val="0024697C"/>
    <w:rsid w:val="00246A37"/>
    <w:rsid w:val="00246B49"/>
    <w:rsid w:val="00246DCC"/>
    <w:rsid w:val="0024745F"/>
    <w:rsid w:val="00247755"/>
    <w:rsid w:val="00247920"/>
    <w:rsid w:val="00247BEF"/>
    <w:rsid w:val="00247F3C"/>
    <w:rsid w:val="00250205"/>
    <w:rsid w:val="00250323"/>
    <w:rsid w:val="002503C4"/>
    <w:rsid w:val="00250483"/>
    <w:rsid w:val="0025058B"/>
    <w:rsid w:val="00250664"/>
    <w:rsid w:val="00250993"/>
    <w:rsid w:val="00250A1C"/>
    <w:rsid w:val="0025119D"/>
    <w:rsid w:val="002518C1"/>
    <w:rsid w:val="00252013"/>
    <w:rsid w:val="00252201"/>
    <w:rsid w:val="00252CDD"/>
    <w:rsid w:val="00252CFA"/>
    <w:rsid w:val="002533A6"/>
    <w:rsid w:val="00253657"/>
    <w:rsid w:val="0025373B"/>
    <w:rsid w:val="00253E93"/>
    <w:rsid w:val="00254115"/>
    <w:rsid w:val="00254292"/>
    <w:rsid w:val="00254DD8"/>
    <w:rsid w:val="00254DD9"/>
    <w:rsid w:val="00255011"/>
    <w:rsid w:val="00255641"/>
    <w:rsid w:val="00255EDB"/>
    <w:rsid w:val="00255F45"/>
    <w:rsid w:val="00255F59"/>
    <w:rsid w:val="002561BC"/>
    <w:rsid w:val="002569F2"/>
    <w:rsid w:val="00256D47"/>
    <w:rsid w:val="00257118"/>
    <w:rsid w:val="00257841"/>
    <w:rsid w:val="00257B69"/>
    <w:rsid w:val="00260440"/>
    <w:rsid w:val="00260B7B"/>
    <w:rsid w:val="00260D65"/>
    <w:rsid w:val="0026125A"/>
    <w:rsid w:val="00261476"/>
    <w:rsid w:val="0026151F"/>
    <w:rsid w:val="002615CB"/>
    <w:rsid w:val="00261669"/>
    <w:rsid w:val="002617BF"/>
    <w:rsid w:val="00261A2C"/>
    <w:rsid w:val="002622C1"/>
    <w:rsid w:val="00262711"/>
    <w:rsid w:val="002628A8"/>
    <w:rsid w:val="002628A9"/>
    <w:rsid w:val="00262C25"/>
    <w:rsid w:val="0026312B"/>
    <w:rsid w:val="0026349E"/>
    <w:rsid w:val="002637EE"/>
    <w:rsid w:val="00263A29"/>
    <w:rsid w:val="00263AB1"/>
    <w:rsid w:val="00263DB6"/>
    <w:rsid w:val="00263F4F"/>
    <w:rsid w:val="00264965"/>
    <w:rsid w:val="00264A77"/>
    <w:rsid w:val="00264B89"/>
    <w:rsid w:val="00264C98"/>
    <w:rsid w:val="00264E34"/>
    <w:rsid w:val="002650D8"/>
    <w:rsid w:val="002651E0"/>
    <w:rsid w:val="002660AA"/>
    <w:rsid w:val="002664BD"/>
    <w:rsid w:val="00266828"/>
    <w:rsid w:val="002668B7"/>
    <w:rsid w:val="002669C4"/>
    <w:rsid w:val="0026704B"/>
    <w:rsid w:val="002671A0"/>
    <w:rsid w:val="002677EF"/>
    <w:rsid w:val="00267F3B"/>
    <w:rsid w:val="00270234"/>
    <w:rsid w:val="0027046C"/>
    <w:rsid w:val="002709B1"/>
    <w:rsid w:val="00270AF8"/>
    <w:rsid w:val="00270B37"/>
    <w:rsid w:val="00270B55"/>
    <w:rsid w:val="00270C1F"/>
    <w:rsid w:val="00270D75"/>
    <w:rsid w:val="00270F30"/>
    <w:rsid w:val="00271139"/>
    <w:rsid w:val="002711A3"/>
    <w:rsid w:val="002711BB"/>
    <w:rsid w:val="0027121F"/>
    <w:rsid w:val="002713FB"/>
    <w:rsid w:val="002722DB"/>
    <w:rsid w:val="0027234B"/>
    <w:rsid w:val="002724DA"/>
    <w:rsid w:val="00272AA2"/>
    <w:rsid w:val="00272C60"/>
    <w:rsid w:val="002732C5"/>
    <w:rsid w:val="002736E4"/>
    <w:rsid w:val="00273EDB"/>
    <w:rsid w:val="00274424"/>
    <w:rsid w:val="00274448"/>
    <w:rsid w:val="00274C3E"/>
    <w:rsid w:val="00274CEB"/>
    <w:rsid w:val="00275071"/>
    <w:rsid w:val="002751E5"/>
    <w:rsid w:val="00275387"/>
    <w:rsid w:val="00275AB0"/>
    <w:rsid w:val="00275B7E"/>
    <w:rsid w:val="00275E4A"/>
    <w:rsid w:val="00276215"/>
    <w:rsid w:val="00276556"/>
    <w:rsid w:val="00276A1C"/>
    <w:rsid w:val="00276EF4"/>
    <w:rsid w:val="002777E4"/>
    <w:rsid w:val="002777FE"/>
    <w:rsid w:val="00277A55"/>
    <w:rsid w:val="00277D8E"/>
    <w:rsid w:val="002808AE"/>
    <w:rsid w:val="00280A57"/>
    <w:rsid w:val="00281462"/>
    <w:rsid w:val="0028183A"/>
    <w:rsid w:val="002818D8"/>
    <w:rsid w:val="00281948"/>
    <w:rsid w:val="00281B74"/>
    <w:rsid w:val="0028243B"/>
    <w:rsid w:val="002826FB"/>
    <w:rsid w:val="0028279E"/>
    <w:rsid w:val="002827E4"/>
    <w:rsid w:val="00282847"/>
    <w:rsid w:val="00282880"/>
    <w:rsid w:val="00282A2D"/>
    <w:rsid w:val="00282F6D"/>
    <w:rsid w:val="0028369D"/>
    <w:rsid w:val="002839E4"/>
    <w:rsid w:val="00283B05"/>
    <w:rsid w:val="00283CDB"/>
    <w:rsid w:val="002848D1"/>
    <w:rsid w:val="00284ABC"/>
    <w:rsid w:val="00284E15"/>
    <w:rsid w:val="00284F69"/>
    <w:rsid w:val="0028562D"/>
    <w:rsid w:val="0028595B"/>
    <w:rsid w:val="00285CF7"/>
    <w:rsid w:val="002860AF"/>
    <w:rsid w:val="002863AB"/>
    <w:rsid w:val="00286B79"/>
    <w:rsid w:val="00286DB9"/>
    <w:rsid w:val="00286FBF"/>
    <w:rsid w:val="002870F6"/>
    <w:rsid w:val="0028754C"/>
    <w:rsid w:val="00287555"/>
    <w:rsid w:val="0028776D"/>
    <w:rsid w:val="00287CAE"/>
    <w:rsid w:val="00287E48"/>
    <w:rsid w:val="00287EAE"/>
    <w:rsid w:val="00287EC6"/>
    <w:rsid w:val="00287EFF"/>
    <w:rsid w:val="00287F80"/>
    <w:rsid w:val="00287F8F"/>
    <w:rsid w:val="00290084"/>
    <w:rsid w:val="00290248"/>
    <w:rsid w:val="002903A9"/>
    <w:rsid w:val="00290864"/>
    <w:rsid w:val="00290CF9"/>
    <w:rsid w:val="00291688"/>
    <w:rsid w:val="002916C6"/>
    <w:rsid w:val="002916FD"/>
    <w:rsid w:val="00291A9A"/>
    <w:rsid w:val="00291F02"/>
    <w:rsid w:val="00291F3E"/>
    <w:rsid w:val="00292452"/>
    <w:rsid w:val="00292494"/>
    <w:rsid w:val="00292544"/>
    <w:rsid w:val="00292833"/>
    <w:rsid w:val="002928AF"/>
    <w:rsid w:val="002928FA"/>
    <w:rsid w:val="00292932"/>
    <w:rsid w:val="00292A2E"/>
    <w:rsid w:val="00292AF8"/>
    <w:rsid w:val="00292E74"/>
    <w:rsid w:val="00292E9A"/>
    <w:rsid w:val="00292F6E"/>
    <w:rsid w:val="002930A4"/>
    <w:rsid w:val="002932F5"/>
    <w:rsid w:val="002937E2"/>
    <w:rsid w:val="00293D48"/>
    <w:rsid w:val="00293E80"/>
    <w:rsid w:val="002942C5"/>
    <w:rsid w:val="00294305"/>
    <w:rsid w:val="00294A3B"/>
    <w:rsid w:val="00294D0C"/>
    <w:rsid w:val="00294DF7"/>
    <w:rsid w:val="00294F00"/>
    <w:rsid w:val="002955FE"/>
    <w:rsid w:val="002956FA"/>
    <w:rsid w:val="00295E62"/>
    <w:rsid w:val="00296121"/>
    <w:rsid w:val="00296168"/>
    <w:rsid w:val="00296375"/>
    <w:rsid w:val="002963C7"/>
    <w:rsid w:val="002965DF"/>
    <w:rsid w:val="0029676B"/>
    <w:rsid w:val="002967CB"/>
    <w:rsid w:val="00296987"/>
    <w:rsid w:val="00296A78"/>
    <w:rsid w:val="00296C1F"/>
    <w:rsid w:val="00296CCF"/>
    <w:rsid w:val="00296EA4"/>
    <w:rsid w:val="002970EB"/>
    <w:rsid w:val="00297196"/>
    <w:rsid w:val="002972AB"/>
    <w:rsid w:val="00297701"/>
    <w:rsid w:val="00297707"/>
    <w:rsid w:val="002977D5"/>
    <w:rsid w:val="00297947"/>
    <w:rsid w:val="00297FBC"/>
    <w:rsid w:val="002A00DB"/>
    <w:rsid w:val="002A085D"/>
    <w:rsid w:val="002A08E7"/>
    <w:rsid w:val="002A0A48"/>
    <w:rsid w:val="002A13CB"/>
    <w:rsid w:val="002A1430"/>
    <w:rsid w:val="002A1638"/>
    <w:rsid w:val="002A193C"/>
    <w:rsid w:val="002A1AD4"/>
    <w:rsid w:val="002A1E41"/>
    <w:rsid w:val="002A21BD"/>
    <w:rsid w:val="002A21D0"/>
    <w:rsid w:val="002A29B0"/>
    <w:rsid w:val="002A3C3C"/>
    <w:rsid w:val="002A3E01"/>
    <w:rsid w:val="002A3ED1"/>
    <w:rsid w:val="002A4073"/>
    <w:rsid w:val="002A42CE"/>
    <w:rsid w:val="002A42CF"/>
    <w:rsid w:val="002A452D"/>
    <w:rsid w:val="002A485F"/>
    <w:rsid w:val="002A4924"/>
    <w:rsid w:val="002A4ADA"/>
    <w:rsid w:val="002A50B9"/>
    <w:rsid w:val="002A5127"/>
    <w:rsid w:val="002A5517"/>
    <w:rsid w:val="002A58C1"/>
    <w:rsid w:val="002A6150"/>
    <w:rsid w:val="002A6322"/>
    <w:rsid w:val="002A643C"/>
    <w:rsid w:val="002A65D5"/>
    <w:rsid w:val="002A6D30"/>
    <w:rsid w:val="002A6F20"/>
    <w:rsid w:val="002A7B11"/>
    <w:rsid w:val="002A7DAB"/>
    <w:rsid w:val="002A7EF7"/>
    <w:rsid w:val="002B01C9"/>
    <w:rsid w:val="002B036A"/>
    <w:rsid w:val="002B03AA"/>
    <w:rsid w:val="002B05D3"/>
    <w:rsid w:val="002B0C1D"/>
    <w:rsid w:val="002B0C9C"/>
    <w:rsid w:val="002B0FEF"/>
    <w:rsid w:val="002B125B"/>
    <w:rsid w:val="002B130B"/>
    <w:rsid w:val="002B139A"/>
    <w:rsid w:val="002B1434"/>
    <w:rsid w:val="002B1676"/>
    <w:rsid w:val="002B17B5"/>
    <w:rsid w:val="002B1BFD"/>
    <w:rsid w:val="002B1C5A"/>
    <w:rsid w:val="002B1F76"/>
    <w:rsid w:val="002B1FD4"/>
    <w:rsid w:val="002B21AB"/>
    <w:rsid w:val="002B2409"/>
    <w:rsid w:val="002B270E"/>
    <w:rsid w:val="002B28A4"/>
    <w:rsid w:val="002B2CE1"/>
    <w:rsid w:val="002B357F"/>
    <w:rsid w:val="002B367A"/>
    <w:rsid w:val="002B37FE"/>
    <w:rsid w:val="002B3D70"/>
    <w:rsid w:val="002B3FE1"/>
    <w:rsid w:val="002B4003"/>
    <w:rsid w:val="002B4018"/>
    <w:rsid w:val="002B43D9"/>
    <w:rsid w:val="002B44AB"/>
    <w:rsid w:val="002B484E"/>
    <w:rsid w:val="002B496B"/>
    <w:rsid w:val="002B5989"/>
    <w:rsid w:val="002B5DCD"/>
    <w:rsid w:val="002B5ED9"/>
    <w:rsid w:val="002B60E9"/>
    <w:rsid w:val="002B61FA"/>
    <w:rsid w:val="002B6363"/>
    <w:rsid w:val="002B6BED"/>
    <w:rsid w:val="002B6E31"/>
    <w:rsid w:val="002B6F06"/>
    <w:rsid w:val="002B74DD"/>
    <w:rsid w:val="002B77A6"/>
    <w:rsid w:val="002B7847"/>
    <w:rsid w:val="002B79D3"/>
    <w:rsid w:val="002B7B76"/>
    <w:rsid w:val="002B7CBA"/>
    <w:rsid w:val="002C0536"/>
    <w:rsid w:val="002C05CE"/>
    <w:rsid w:val="002C07AA"/>
    <w:rsid w:val="002C0973"/>
    <w:rsid w:val="002C0D58"/>
    <w:rsid w:val="002C0D89"/>
    <w:rsid w:val="002C0F48"/>
    <w:rsid w:val="002C11B4"/>
    <w:rsid w:val="002C13FB"/>
    <w:rsid w:val="002C16E6"/>
    <w:rsid w:val="002C1EA3"/>
    <w:rsid w:val="002C1F02"/>
    <w:rsid w:val="002C1F08"/>
    <w:rsid w:val="002C201A"/>
    <w:rsid w:val="002C2057"/>
    <w:rsid w:val="002C20B8"/>
    <w:rsid w:val="002C2244"/>
    <w:rsid w:val="002C2331"/>
    <w:rsid w:val="002C2C5F"/>
    <w:rsid w:val="002C2D18"/>
    <w:rsid w:val="002C32CD"/>
    <w:rsid w:val="002C34F6"/>
    <w:rsid w:val="002C36E1"/>
    <w:rsid w:val="002C399D"/>
    <w:rsid w:val="002C39F4"/>
    <w:rsid w:val="002C3E29"/>
    <w:rsid w:val="002C3EB1"/>
    <w:rsid w:val="002C403C"/>
    <w:rsid w:val="002C4AA3"/>
    <w:rsid w:val="002C4CCF"/>
    <w:rsid w:val="002C4D84"/>
    <w:rsid w:val="002C51D9"/>
    <w:rsid w:val="002C5B1C"/>
    <w:rsid w:val="002C5F59"/>
    <w:rsid w:val="002C6186"/>
    <w:rsid w:val="002C63D0"/>
    <w:rsid w:val="002C6424"/>
    <w:rsid w:val="002C66FE"/>
    <w:rsid w:val="002C670B"/>
    <w:rsid w:val="002C69ED"/>
    <w:rsid w:val="002C7198"/>
    <w:rsid w:val="002C74BB"/>
    <w:rsid w:val="002C77D4"/>
    <w:rsid w:val="002C78D9"/>
    <w:rsid w:val="002C7CB5"/>
    <w:rsid w:val="002D0093"/>
    <w:rsid w:val="002D0254"/>
    <w:rsid w:val="002D0284"/>
    <w:rsid w:val="002D039C"/>
    <w:rsid w:val="002D04D4"/>
    <w:rsid w:val="002D04F0"/>
    <w:rsid w:val="002D068F"/>
    <w:rsid w:val="002D07B6"/>
    <w:rsid w:val="002D08D5"/>
    <w:rsid w:val="002D1092"/>
    <w:rsid w:val="002D12ED"/>
    <w:rsid w:val="002D1748"/>
    <w:rsid w:val="002D180B"/>
    <w:rsid w:val="002D197C"/>
    <w:rsid w:val="002D1C09"/>
    <w:rsid w:val="002D1DD3"/>
    <w:rsid w:val="002D21F7"/>
    <w:rsid w:val="002D250E"/>
    <w:rsid w:val="002D2DB5"/>
    <w:rsid w:val="002D2F40"/>
    <w:rsid w:val="002D31E5"/>
    <w:rsid w:val="002D31F2"/>
    <w:rsid w:val="002D32CA"/>
    <w:rsid w:val="002D33B1"/>
    <w:rsid w:val="002D35D8"/>
    <w:rsid w:val="002D361D"/>
    <w:rsid w:val="002D3712"/>
    <w:rsid w:val="002D37A6"/>
    <w:rsid w:val="002D39DE"/>
    <w:rsid w:val="002D3CA7"/>
    <w:rsid w:val="002D3EBD"/>
    <w:rsid w:val="002D3F49"/>
    <w:rsid w:val="002D3F93"/>
    <w:rsid w:val="002D3FF0"/>
    <w:rsid w:val="002D4254"/>
    <w:rsid w:val="002D4312"/>
    <w:rsid w:val="002D43DA"/>
    <w:rsid w:val="002D4927"/>
    <w:rsid w:val="002D4A1A"/>
    <w:rsid w:val="002D4D2D"/>
    <w:rsid w:val="002D4E6E"/>
    <w:rsid w:val="002D5C5B"/>
    <w:rsid w:val="002D5D6C"/>
    <w:rsid w:val="002D5DCB"/>
    <w:rsid w:val="002D64F6"/>
    <w:rsid w:val="002D6901"/>
    <w:rsid w:val="002D69AC"/>
    <w:rsid w:val="002D6ABC"/>
    <w:rsid w:val="002D6C3D"/>
    <w:rsid w:val="002D71B3"/>
    <w:rsid w:val="002D74CF"/>
    <w:rsid w:val="002D75F4"/>
    <w:rsid w:val="002D7663"/>
    <w:rsid w:val="002E0045"/>
    <w:rsid w:val="002E0085"/>
    <w:rsid w:val="002E0216"/>
    <w:rsid w:val="002E0262"/>
    <w:rsid w:val="002E093B"/>
    <w:rsid w:val="002E0B0C"/>
    <w:rsid w:val="002E0D9D"/>
    <w:rsid w:val="002E0FCA"/>
    <w:rsid w:val="002E15B8"/>
    <w:rsid w:val="002E180E"/>
    <w:rsid w:val="002E1875"/>
    <w:rsid w:val="002E19F5"/>
    <w:rsid w:val="002E1A09"/>
    <w:rsid w:val="002E1CA9"/>
    <w:rsid w:val="002E1EC2"/>
    <w:rsid w:val="002E204A"/>
    <w:rsid w:val="002E20DB"/>
    <w:rsid w:val="002E2338"/>
    <w:rsid w:val="002E2470"/>
    <w:rsid w:val="002E2515"/>
    <w:rsid w:val="002E26A6"/>
    <w:rsid w:val="002E27D8"/>
    <w:rsid w:val="002E28B4"/>
    <w:rsid w:val="002E2D6E"/>
    <w:rsid w:val="002E2E16"/>
    <w:rsid w:val="002E3913"/>
    <w:rsid w:val="002E3965"/>
    <w:rsid w:val="002E397D"/>
    <w:rsid w:val="002E3B22"/>
    <w:rsid w:val="002E3BE9"/>
    <w:rsid w:val="002E3BFD"/>
    <w:rsid w:val="002E4815"/>
    <w:rsid w:val="002E48B9"/>
    <w:rsid w:val="002E4949"/>
    <w:rsid w:val="002E4B91"/>
    <w:rsid w:val="002E4E7D"/>
    <w:rsid w:val="002E5812"/>
    <w:rsid w:val="002E5976"/>
    <w:rsid w:val="002E5B4A"/>
    <w:rsid w:val="002E5B93"/>
    <w:rsid w:val="002E5BB5"/>
    <w:rsid w:val="002E5DEC"/>
    <w:rsid w:val="002E6319"/>
    <w:rsid w:val="002E68F0"/>
    <w:rsid w:val="002E6EDD"/>
    <w:rsid w:val="002E701D"/>
    <w:rsid w:val="002E7056"/>
    <w:rsid w:val="002E74C6"/>
    <w:rsid w:val="002E7E70"/>
    <w:rsid w:val="002F022A"/>
    <w:rsid w:val="002F0583"/>
    <w:rsid w:val="002F0BBF"/>
    <w:rsid w:val="002F0D23"/>
    <w:rsid w:val="002F1069"/>
    <w:rsid w:val="002F12B9"/>
    <w:rsid w:val="002F13ED"/>
    <w:rsid w:val="002F14BD"/>
    <w:rsid w:val="002F1863"/>
    <w:rsid w:val="002F1B2B"/>
    <w:rsid w:val="002F21A9"/>
    <w:rsid w:val="002F22D6"/>
    <w:rsid w:val="002F2300"/>
    <w:rsid w:val="002F27BC"/>
    <w:rsid w:val="002F292D"/>
    <w:rsid w:val="002F2A34"/>
    <w:rsid w:val="002F2A4B"/>
    <w:rsid w:val="002F2D9D"/>
    <w:rsid w:val="002F2FAA"/>
    <w:rsid w:val="002F33A0"/>
    <w:rsid w:val="002F3523"/>
    <w:rsid w:val="002F37BE"/>
    <w:rsid w:val="002F3A40"/>
    <w:rsid w:val="002F41B3"/>
    <w:rsid w:val="002F41CA"/>
    <w:rsid w:val="002F4304"/>
    <w:rsid w:val="002F4567"/>
    <w:rsid w:val="002F46A2"/>
    <w:rsid w:val="002F4862"/>
    <w:rsid w:val="002F4B9A"/>
    <w:rsid w:val="002F57EB"/>
    <w:rsid w:val="002F5C91"/>
    <w:rsid w:val="002F62AF"/>
    <w:rsid w:val="002F65FC"/>
    <w:rsid w:val="002F6679"/>
    <w:rsid w:val="002F6DEC"/>
    <w:rsid w:val="002F7190"/>
    <w:rsid w:val="002F77F0"/>
    <w:rsid w:val="002F7A32"/>
    <w:rsid w:val="002F7B66"/>
    <w:rsid w:val="00300018"/>
    <w:rsid w:val="003005C8"/>
    <w:rsid w:val="00300909"/>
    <w:rsid w:val="00301207"/>
    <w:rsid w:val="0030174C"/>
    <w:rsid w:val="00301893"/>
    <w:rsid w:val="00301C75"/>
    <w:rsid w:val="00301DE0"/>
    <w:rsid w:val="00301FCD"/>
    <w:rsid w:val="003021B3"/>
    <w:rsid w:val="00302293"/>
    <w:rsid w:val="00302419"/>
    <w:rsid w:val="003024A4"/>
    <w:rsid w:val="003024D8"/>
    <w:rsid w:val="00302B8B"/>
    <w:rsid w:val="00302C3A"/>
    <w:rsid w:val="003032B6"/>
    <w:rsid w:val="003039E6"/>
    <w:rsid w:val="00304090"/>
    <w:rsid w:val="0030422F"/>
    <w:rsid w:val="0030435A"/>
    <w:rsid w:val="00304388"/>
    <w:rsid w:val="0030492E"/>
    <w:rsid w:val="00304E22"/>
    <w:rsid w:val="00305131"/>
    <w:rsid w:val="0030526D"/>
    <w:rsid w:val="00305562"/>
    <w:rsid w:val="00305696"/>
    <w:rsid w:val="003059F7"/>
    <w:rsid w:val="00305AF1"/>
    <w:rsid w:val="003060B3"/>
    <w:rsid w:val="003065DD"/>
    <w:rsid w:val="003066E1"/>
    <w:rsid w:val="00306AB4"/>
    <w:rsid w:val="00306B1C"/>
    <w:rsid w:val="00306BC3"/>
    <w:rsid w:val="00306C2C"/>
    <w:rsid w:val="0030702A"/>
    <w:rsid w:val="00307155"/>
    <w:rsid w:val="003071AE"/>
    <w:rsid w:val="00307563"/>
    <w:rsid w:val="00307965"/>
    <w:rsid w:val="003079B7"/>
    <w:rsid w:val="00307A41"/>
    <w:rsid w:val="00307B69"/>
    <w:rsid w:val="00310070"/>
    <w:rsid w:val="003100D5"/>
    <w:rsid w:val="003102C9"/>
    <w:rsid w:val="0031048C"/>
    <w:rsid w:val="00311230"/>
    <w:rsid w:val="00311274"/>
    <w:rsid w:val="00311278"/>
    <w:rsid w:val="003113F9"/>
    <w:rsid w:val="00311531"/>
    <w:rsid w:val="0031154D"/>
    <w:rsid w:val="00311592"/>
    <w:rsid w:val="00311F27"/>
    <w:rsid w:val="00312071"/>
    <w:rsid w:val="0031209E"/>
    <w:rsid w:val="00312425"/>
    <w:rsid w:val="00312651"/>
    <w:rsid w:val="00312BFC"/>
    <w:rsid w:val="00312CAA"/>
    <w:rsid w:val="00312E95"/>
    <w:rsid w:val="00312F16"/>
    <w:rsid w:val="00313163"/>
    <w:rsid w:val="00313205"/>
    <w:rsid w:val="003136A4"/>
    <w:rsid w:val="003136AE"/>
    <w:rsid w:val="0031376B"/>
    <w:rsid w:val="003139B8"/>
    <w:rsid w:val="003139B9"/>
    <w:rsid w:val="00313B85"/>
    <w:rsid w:val="00313D56"/>
    <w:rsid w:val="00314417"/>
    <w:rsid w:val="00314508"/>
    <w:rsid w:val="0031450F"/>
    <w:rsid w:val="0031491D"/>
    <w:rsid w:val="00314955"/>
    <w:rsid w:val="00314A59"/>
    <w:rsid w:val="00314C6D"/>
    <w:rsid w:val="00314DC5"/>
    <w:rsid w:val="00315370"/>
    <w:rsid w:val="0031543C"/>
    <w:rsid w:val="00315690"/>
    <w:rsid w:val="00315B90"/>
    <w:rsid w:val="00315C9F"/>
    <w:rsid w:val="00315DCC"/>
    <w:rsid w:val="00316127"/>
    <w:rsid w:val="003161F5"/>
    <w:rsid w:val="003168FF"/>
    <w:rsid w:val="00316A7F"/>
    <w:rsid w:val="00316F07"/>
    <w:rsid w:val="00316F9B"/>
    <w:rsid w:val="0031704C"/>
    <w:rsid w:val="0031715E"/>
    <w:rsid w:val="003175C9"/>
    <w:rsid w:val="00317837"/>
    <w:rsid w:val="00317951"/>
    <w:rsid w:val="00317B21"/>
    <w:rsid w:val="00317B25"/>
    <w:rsid w:val="00317E08"/>
    <w:rsid w:val="00320003"/>
    <w:rsid w:val="003200AD"/>
    <w:rsid w:val="00320236"/>
    <w:rsid w:val="0032044C"/>
    <w:rsid w:val="0032045B"/>
    <w:rsid w:val="0032055F"/>
    <w:rsid w:val="003205AF"/>
    <w:rsid w:val="003205DC"/>
    <w:rsid w:val="00320B76"/>
    <w:rsid w:val="00320BB4"/>
    <w:rsid w:val="00321AA1"/>
    <w:rsid w:val="00321D52"/>
    <w:rsid w:val="00321E40"/>
    <w:rsid w:val="00322B1B"/>
    <w:rsid w:val="00322DD6"/>
    <w:rsid w:val="00323143"/>
    <w:rsid w:val="00323D0C"/>
    <w:rsid w:val="00323E92"/>
    <w:rsid w:val="003241EA"/>
    <w:rsid w:val="00324539"/>
    <w:rsid w:val="00324641"/>
    <w:rsid w:val="00324FB0"/>
    <w:rsid w:val="0032570C"/>
    <w:rsid w:val="003257D0"/>
    <w:rsid w:val="00325964"/>
    <w:rsid w:val="00325C4E"/>
    <w:rsid w:val="0032629B"/>
    <w:rsid w:val="00326582"/>
    <w:rsid w:val="00326BCD"/>
    <w:rsid w:val="00326E2F"/>
    <w:rsid w:val="00326F6D"/>
    <w:rsid w:val="0032731F"/>
    <w:rsid w:val="0032747A"/>
    <w:rsid w:val="00327537"/>
    <w:rsid w:val="003278FD"/>
    <w:rsid w:val="003303F6"/>
    <w:rsid w:val="00330708"/>
    <w:rsid w:val="003307A3"/>
    <w:rsid w:val="00330A0E"/>
    <w:rsid w:val="00330B51"/>
    <w:rsid w:val="00330BE6"/>
    <w:rsid w:val="00330C6A"/>
    <w:rsid w:val="00330DCD"/>
    <w:rsid w:val="00330FA3"/>
    <w:rsid w:val="00330FF0"/>
    <w:rsid w:val="00331127"/>
    <w:rsid w:val="003316D3"/>
    <w:rsid w:val="0033186D"/>
    <w:rsid w:val="00331F82"/>
    <w:rsid w:val="0033201F"/>
    <w:rsid w:val="00332505"/>
    <w:rsid w:val="00332C80"/>
    <w:rsid w:val="00333233"/>
    <w:rsid w:val="00333332"/>
    <w:rsid w:val="003337CE"/>
    <w:rsid w:val="003339B2"/>
    <w:rsid w:val="003339CD"/>
    <w:rsid w:val="00334186"/>
    <w:rsid w:val="003344FD"/>
    <w:rsid w:val="003344FF"/>
    <w:rsid w:val="003345EB"/>
    <w:rsid w:val="00334600"/>
    <w:rsid w:val="003347C5"/>
    <w:rsid w:val="00334924"/>
    <w:rsid w:val="00334ACA"/>
    <w:rsid w:val="00334D9C"/>
    <w:rsid w:val="00334ED4"/>
    <w:rsid w:val="00335026"/>
    <w:rsid w:val="00335033"/>
    <w:rsid w:val="00335043"/>
    <w:rsid w:val="00335457"/>
    <w:rsid w:val="003356AD"/>
    <w:rsid w:val="003358B2"/>
    <w:rsid w:val="003358D4"/>
    <w:rsid w:val="00335AE0"/>
    <w:rsid w:val="00335CB6"/>
    <w:rsid w:val="00335D1B"/>
    <w:rsid w:val="00336207"/>
    <w:rsid w:val="00336256"/>
    <w:rsid w:val="00336529"/>
    <w:rsid w:val="00336927"/>
    <w:rsid w:val="00336D5A"/>
    <w:rsid w:val="00337306"/>
    <w:rsid w:val="0033749C"/>
    <w:rsid w:val="00337532"/>
    <w:rsid w:val="00337546"/>
    <w:rsid w:val="003375A1"/>
    <w:rsid w:val="003377FD"/>
    <w:rsid w:val="00337954"/>
    <w:rsid w:val="00337DB5"/>
    <w:rsid w:val="00337E17"/>
    <w:rsid w:val="00337FC9"/>
    <w:rsid w:val="003401B1"/>
    <w:rsid w:val="00340241"/>
    <w:rsid w:val="003405D5"/>
    <w:rsid w:val="0034073A"/>
    <w:rsid w:val="00340AEE"/>
    <w:rsid w:val="00340CAF"/>
    <w:rsid w:val="003411DD"/>
    <w:rsid w:val="0034199F"/>
    <w:rsid w:val="00341A88"/>
    <w:rsid w:val="00341B08"/>
    <w:rsid w:val="00341BFB"/>
    <w:rsid w:val="00341C80"/>
    <w:rsid w:val="00342436"/>
    <w:rsid w:val="00342687"/>
    <w:rsid w:val="00342933"/>
    <w:rsid w:val="00342B4E"/>
    <w:rsid w:val="00342C35"/>
    <w:rsid w:val="00343410"/>
    <w:rsid w:val="003435FC"/>
    <w:rsid w:val="00343988"/>
    <w:rsid w:val="00343C11"/>
    <w:rsid w:val="0034460F"/>
    <w:rsid w:val="003446C8"/>
    <w:rsid w:val="00344B27"/>
    <w:rsid w:val="0034519F"/>
    <w:rsid w:val="0034552F"/>
    <w:rsid w:val="003464F0"/>
    <w:rsid w:val="00346596"/>
    <w:rsid w:val="0034659B"/>
    <w:rsid w:val="0034659D"/>
    <w:rsid w:val="00346922"/>
    <w:rsid w:val="00346A9A"/>
    <w:rsid w:val="00346BA3"/>
    <w:rsid w:val="0034717C"/>
    <w:rsid w:val="00347598"/>
    <w:rsid w:val="00347FC0"/>
    <w:rsid w:val="00347FCF"/>
    <w:rsid w:val="003500AB"/>
    <w:rsid w:val="003500B8"/>
    <w:rsid w:val="003504E6"/>
    <w:rsid w:val="00350723"/>
    <w:rsid w:val="00350868"/>
    <w:rsid w:val="00350947"/>
    <w:rsid w:val="00350A4C"/>
    <w:rsid w:val="00350AF6"/>
    <w:rsid w:val="00350E33"/>
    <w:rsid w:val="00350F99"/>
    <w:rsid w:val="00351023"/>
    <w:rsid w:val="003512AF"/>
    <w:rsid w:val="00351E4D"/>
    <w:rsid w:val="003524F9"/>
    <w:rsid w:val="00352789"/>
    <w:rsid w:val="003529B9"/>
    <w:rsid w:val="00352D93"/>
    <w:rsid w:val="003530D1"/>
    <w:rsid w:val="0035363C"/>
    <w:rsid w:val="00353AEF"/>
    <w:rsid w:val="003546B0"/>
    <w:rsid w:val="00354B9E"/>
    <w:rsid w:val="00354CBC"/>
    <w:rsid w:val="00354CE0"/>
    <w:rsid w:val="00354D28"/>
    <w:rsid w:val="00354E40"/>
    <w:rsid w:val="0035566A"/>
    <w:rsid w:val="003559BC"/>
    <w:rsid w:val="00355ADC"/>
    <w:rsid w:val="00355B19"/>
    <w:rsid w:val="00355E26"/>
    <w:rsid w:val="0035655F"/>
    <w:rsid w:val="00356C81"/>
    <w:rsid w:val="00356D09"/>
    <w:rsid w:val="00356E9B"/>
    <w:rsid w:val="00356F06"/>
    <w:rsid w:val="00356FB7"/>
    <w:rsid w:val="00357BA3"/>
    <w:rsid w:val="00357DC0"/>
    <w:rsid w:val="00357E39"/>
    <w:rsid w:val="00357EE6"/>
    <w:rsid w:val="003606A3"/>
    <w:rsid w:val="00360874"/>
    <w:rsid w:val="003609CB"/>
    <w:rsid w:val="00360FBA"/>
    <w:rsid w:val="003615B5"/>
    <w:rsid w:val="0036163D"/>
    <w:rsid w:val="00361780"/>
    <w:rsid w:val="003617DC"/>
    <w:rsid w:val="00361C3E"/>
    <w:rsid w:val="00361E62"/>
    <w:rsid w:val="00361F11"/>
    <w:rsid w:val="0036204B"/>
    <w:rsid w:val="00362B28"/>
    <w:rsid w:val="00362B2B"/>
    <w:rsid w:val="00362B62"/>
    <w:rsid w:val="00362D79"/>
    <w:rsid w:val="0036316B"/>
    <w:rsid w:val="003632CE"/>
    <w:rsid w:val="003635C4"/>
    <w:rsid w:val="0036388A"/>
    <w:rsid w:val="00363DFC"/>
    <w:rsid w:val="00363F54"/>
    <w:rsid w:val="00363F70"/>
    <w:rsid w:val="00364133"/>
    <w:rsid w:val="00364224"/>
    <w:rsid w:val="0036448F"/>
    <w:rsid w:val="003645A2"/>
    <w:rsid w:val="0036478C"/>
    <w:rsid w:val="00364881"/>
    <w:rsid w:val="003648CD"/>
    <w:rsid w:val="00364A6D"/>
    <w:rsid w:val="00364CD3"/>
    <w:rsid w:val="00364D13"/>
    <w:rsid w:val="00365078"/>
    <w:rsid w:val="0036519F"/>
    <w:rsid w:val="00365552"/>
    <w:rsid w:val="00365995"/>
    <w:rsid w:val="00365A1A"/>
    <w:rsid w:val="00365B9E"/>
    <w:rsid w:val="00365BB3"/>
    <w:rsid w:val="00366674"/>
    <w:rsid w:val="00366716"/>
    <w:rsid w:val="0036676C"/>
    <w:rsid w:val="00366A03"/>
    <w:rsid w:val="0036702E"/>
    <w:rsid w:val="0036708A"/>
    <w:rsid w:val="003671B0"/>
    <w:rsid w:val="00367BFB"/>
    <w:rsid w:val="00367D5C"/>
    <w:rsid w:val="00367E8F"/>
    <w:rsid w:val="0037063F"/>
    <w:rsid w:val="00371326"/>
    <w:rsid w:val="00371509"/>
    <w:rsid w:val="003719CD"/>
    <w:rsid w:val="00371C10"/>
    <w:rsid w:val="00371C26"/>
    <w:rsid w:val="00371D80"/>
    <w:rsid w:val="00371F49"/>
    <w:rsid w:val="003720AD"/>
    <w:rsid w:val="003720B2"/>
    <w:rsid w:val="0037211E"/>
    <w:rsid w:val="00372159"/>
    <w:rsid w:val="00372732"/>
    <w:rsid w:val="00372A37"/>
    <w:rsid w:val="00372BEC"/>
    <w:rsid w:val="00372EF0"/>
    <w:rsid w:val="003732C6"/>
    <w:rsid w:val="0037398C"/>
    <w:rsid w:val="00373AA3"/>
    <w:rsid w:val="00373D0B"/>
    <w:rsid w:val="0037408D"/>
    <w:rsid w:val="00374940"/>
    <w:rsid w:val="00374A1D"/>
    <w:rsid w:val="00374F22"/>
    <w:rsid w:val="00375637"/>
    <w:rsid w:val="00375CD3"/>
    <w:rsid w:val="00376028"/>
    <w:rsid w:val="00376141"/>
    <w:rsid w:val="0037618F"/>
    <w:rsid w:val="003764D0"/>
    <w:rsid w:val="00376543"/>
    <w:rsid w:val="00376631"/>
    <w:rsid w:val="00376AD7"/>
    <w:rsid w:val="00376ADB"/>
    <w:rsid w:val="00376CF8"/>
    <w:rsid w:val="00376D97"/>
    <w:rsid w:val="0037706B"/>
    <w:rsid w:val="00377169"/>
    <w:rsid w:val="00377550"/>
    <w:rsid w:val="00377567"/>
    <w:rsid w:val="00377648"/>
    <w:rsid w:val="003778B6"/>
    <w:rsid w:val="0037796F"/>
    <w:rsid w:val="003779DB"/>
    <w:rsid w:val="00377A48"/>
    <w:rsid w:val="00377DFC"/>
    <w:rsid w:val="00377E3B"/>
    <w:rsid w:val="003802F8"/>
    <w:rsid w:val="00380405"/>
    <w:rsid w:val="003805EB"/>
    <w:rsid w:val="003807A7"/>
    <w:rsid w:val="00380832"/>
    <w:rsid w:val="00380FCF"/>
    <w:rsid w:val="00381048"/>
    <w:rsid w:val="00381247"/>
    <w:rsid w:val="003817DE"/>
    <w:rsid w:val="00381943"/>
    <w:rsid w:val="00381BD9"/>
    <w:rsid w:val="00382155"/>
    <w:rsid w:val="00382F06"/>
    <w:rsid w:val="00383058"/>
    <w:rsid w:val="003830A4"/>
    <w:rsid w:val="003838DE"/>
    <w:rsid w:val="00383970"/>
    <w:rsid w:val="003839AA"/>
    <w:rsid w:val="00383CDC"/>
    <w:rsid w:val="003840D5"/>
    <w:rsid w:val="0038437D"/>
    <w:rsid w:val="00384419"/>
    <w:rsid w:val="00384963"/>
    <w:rsid w:val="00384B0B"/>
    <w:rsid w:val="00384D29"/>
    <w:rsid w:val="00385349"/>
    <w:rsid w:val="003853C1"/>
    <w:rsid w:val="0038596B"/>
    <w:rsid w:val="00385AA3"/>
    <w:rsid w:val="00385B42"/>
    <w:rsid w:val="00385D4D"/>
    <w:rsid w:val="0038611B"/>
    <w:rsid w:val="0038623D"/>
    <w:rsid w:val="0038648D"/>
    <w:rsid w:val="00386DA4"/>
    <w:rsid w:val="00386DB9"/>
    <w:rsid w:val="00387452"/>
    <w:rsid w:val="003878F4"/>
    <w:rsid w:val="00390B48"/>
    <w:rsid w:val="00390D57"/>
    <w:rsid w:val="00390E16"/>
    <w:rsid w:val="00390E98"/>
    <w:rsid w:val="00391617"/>
    <w:rsid w:val="0039199C"/>
    <w:rsid w:val="00391DC8"/>
    <w:rsid w:val="00392447"/>
    <w:rsid w:val="00392658"/>
    <w:rsid w:val="00392BDB"/>
    <w:rsid w:val="00392D0A"/>
    <w:rsid w:val="00392E36"/>
    <w:rsid w:val="00392FD3"/>
    <w:rsid w:val="00393369"/>
    <w:rsid w:val="00393638"/>
    <w:rsid w:val="003936E6"/>
    <w:rsid w:val="00393A3A"/>
    <w:rsid w:val="0039406E"/>
    <w:rsid w:val="003941C3"/>
    <w:rsid w:val="0039477A"/>
    <w:rsid w:val="00394937"/>
    <w:rsid w:val="00394AA9"/>
    <w:rsid w:val="00394BC7"/>
    <w:rsid w:val="00394C58"/>
    <w:rsid w:val="00395444"/>
    <w:rsid w:val="00395631"/>
    <w:rsid w:val="00395637"/>
    <w:rsid w:val="00395728"/>
    <w:rsid w:val="00395775"/>
    <w:rsid w:val="00395A5E"/>
    <w:rsid w:val="00395B25"/>
    <w:rsid w:val="00395B7F"/>
    <w:rsid w:val="003960F2"/>
    <w:rsid w:val="00396246"/>
    <w:rsid w:val="00396609"/>
    <w:rsid w:val="00396E76"/>
    <w:rsid w:val="00396FDA"/>
    <w:rsid w:val="00397125"/>
    <w:rsid w:val="00397217"/>
    <w:rsid w:val="00397300"/>
    <w:rsid w:val="003979C9"/>
    <w:rsid w:val="00397BA7"/>
    <w:rsid w:val="00397E8D"/>
    <w:rsid w:val="003A006A"/>
    <w:rsid w:val="003A0316"/>
    <w:rsid w:val="003A04C1"/>
    <w:rsid w:val="003A04EC"/>
    <w:rsid w:val="003A0694"/>
    <w:rsid w:val="003A08A5"/>
    <w:rsid w:val="003A09F0"/>
    <w:rsid w:val="003A0F01"/>
    <w:rsid w:val="003A12DA"/>
    <w:rsid w:val="003A1403"/>
    <w:rsid w:val="003A1578"/>
    <w:rsid w:val="003A1ACB"/>
    <w:rsid w:val="003A1BA4"/>
    <w:rsid w:val="003A1F4B"/>
    <w:rsid w:val="003A2303"/>
    <w:rsid w:val="003A2509"/>
    <w:rsid w:val="003A2527"/>
    <w:rsid w:val="003A2688"/>
    <w:rsid w:val="003A2E57"/>
    <w:rsid w:val="003A30D0"/>
    <w:rsid w:val="003A3120"/>
    <w:rsid w:val="003A3246"/>
    <w:rsid w:val="003A3310"/>
    <w:rsid w:val="003A3D5C"/>
    <w:rsid w:val="003A3EC6"/>
    <w:rsid w:val="003A44FE"/>
    <w:rsid w:val="003A4A54"/>
    <w:rsid w:val="003A4D7B"/>
    <w:rsid w:val="003A4E90"/>
    <w:rsid w:val="003A4EE4"/>
    <w:rsid w:val="003A5388"/>
    <w:rsid w:val="003A55B9"/>
    <w:rsid w:val="003A5647"/>
    <w:rsid w:val="003A5933"/>
    <w:rsid w:val="003A68C3"/>
    <w:rsid w:val="003A6D21"/>
    <w:rsid w:val="003A6DF2"/>
    <w:rsid w:val="003A70BB"/>
    <w:rsid w:val="003A7287"/>
    <w:rsid w:val="003A730A"/>
    <w:rsid w:val="003A74AA"/>
    <w:rsid w:val="003A78E4"/>
    <w:rsid w:val="003A7C0A"/>
    <w:rsid w:val="003A7F6D"/>
    <w:rsid w:val="003B010E"/>
    <w:rsid w:val="003B02B0"/>
    <w:rsid w:val="003B055D"/>
    <w:rsid w:val="003B0945"/>
    <w:rsid w:val="003B097F"/>
    <w:rsid w:val="003B0B66"/>
    <w:rsid w:val="003B0DD1"/>
    <w:rsid w:val="003B0E61"/>
    <w:rsid w:val="003B14BA"/>
    <w:rsid w:val="003B16F2"/>
    <w:rsid w:val="003B182E"/>
    <w:rsid w:val="003B188A"/>
    <w:rsid w:val="003B18EA"/>
    <w:rsid w:val="003B1C91"/>
    <w:rsid w:val="003B2055"/>
    <w:rsid w:val="003B20EA"/>
    <w:rsid w:val="003B28B5"/>
    <w:rsid w:val="003B2A25"/>
    <w:rsid w:val="003B2A30"/>
    <w:rsid w:val="003B2CEB"/>
    <w:rsid w:val="003B3202"/>
    <w:rsid w:val="003B32D7"/>
    <w:rsid w:val="003B3427"/>
    <w:rsid w:val="003B3767"/>
    <w:rsid w:val="003B3B00"/>
    <w:rsid w:val="003B3BAD"/>
    <w:rsid w:val="003B3CAF"/>
    <w:rsid w:val="003B3CB0"/>
    <w:rsid w:val="003B3DB0"/>
    <w:rsid w:val="003B4123"/>
    <w:rsid w:val="003B4196"/>
    <w:rsid w:val="003B41FF"/>
    <w:rsid w:val="003B42AE"/>
    <w:rsid w:val="003B43C7"/>
    <w:rsid w:val="003B498E"/>
    <w:rsid w:val="003B4C9C"/>
    <w:rsid w:val="003B4D78"/>
    <w:rsid w:val="003B4DCF"/>
    <w:rsid w:val="003B4F0B"/>
    <w:rsid w:val="003B5A71"/>
    <w:rsid w:val="003B5D88"/>
    <w:rsid w:val="003B5EFF"/>
    <w:rsid w:val="003B5F9E"/>
    <w:rsid w:val="003B606B"/>
    <w:rsid w:val="003B609C"/>
    <w:rsid w:val="003B6456"/>
    <w:rsid w:val="003B6A36"/>
    <w:rsid w:val="003B6EF3"/>
    <w:rsid w:val="003B70CE"/>
    <w:rsid w:val="003B70F2"/>
    <w:rsid w:val="003B7317"/>
    <w:rsid w:val="003B7385"/>
    <w:rsid w:val="003B74EC"/>
    <w:rsid w:val="003B78AC"/>
    <w:rsid w:val="003B7DCC"/>
    <w:rsid w:val="003B7E19"/>
    <w:rsid w:val="003C0198"/>
    <w:rsid w:val="003C0415"/>
    <w:rsid w:val="003C151E"/>
    <w:rsid w:val="003C174D"/>
    <w:rsid w:val="003C19F0"/>
    <w:rsid w:val="003C1CF0"/>
    <w:rsid w:val="003C1D33"/>
    <w:rsid w:val="003C1D6A"/>
    <w:rsid w:val="003C1E51"/>
    <w:rsid w:val="003C2243"/>
    <w:rsid w:val="003C224E"/>
    <w:rsid w:val="003C250F"/>
    <w:rsid w:val="003C260C"/>
    <w:rsid w:val="003C287F"/>
    <w:rsid w:val="003C291F"/>
    <w:rsid w:val="003C2987"/>
    <w:rsid w:val="003C2C05"/>
    <w:rsid w:val="003C2EA2"/>
    <w:rsid w:val="003C313F"/>
    <w:rsid w:val="003C385F"/>
    <w:rsid w:val="003C3A6B"/>
    <w:rsid w:val="003C3E7E"/>
    <w:rsid w:val="003C4291"/>
    <w:rsid w:val="003C4423"/>
    <w:rsid w:val="003C53D0"/>
    <w:rsid w:val="003C5473"/>
    <w:rsid w:val="003C56BD"/>
    <w:rsid w:val="003C5D10"/>
    <w:rsid w:val="003C67FA"/>
    <w:rsid w:val="003C68A5"/>
    <w:rsid w:val="003C6C1E"/>
    <w:rsid w:val="003C713B"/>
    <w:rsid w:val="003C7F3F"/>
    <w:rsid w:val="003D0003"/>
    <w:rsid w:val="003D005F"/>
    <w:rsid w:val="003D03DA"/>
    <w:rsid w:val="003D0490"/>
    <w:rsid w:val="003D05C7"/>
    <w:rsid w:val="003D07CE"/>
    <w:rsid w:val="003D08AE"/>
    <w:rsid w:val="003D0ACD"/>
    <w:rsid w:val="003D0F0A"/>
    <w:rsid w:val="003D0F55"/>
    <w:rsid w:val="003D1458"/>
    <w:rsid w:val="003D145E"/>
    <w:rsid w:val="003D146F"/>
    <w:rsid w:val="003D1523"/>
    <w:rsid w:val="003D1717"/>
    <w:rsid w:val="003D17E1"/>
    <w:rsid w:val="003D1849"/>
    <w:rsid w:val="003D1CCE"/>
    <w:rsid w:val="003D1E6A"/>
    <w:rsid w:val="003D2196"/>
    <w:rsid w:val="003D236D"/>
    <w:rsid w:val="003D2DCA"/>
    <w:rsid w:val="003D330F"/>
    <w:rsid w:val="003D349E"/>
    <w:rsid w:val="003D3B19"/>
    <w:rsid w:val="003D3B71"/>
    <w:rsid w:val="003D3D0A"/>
    <w:rsid w:val="003D3DF6"/>
    <w:rsid w:val="003D3E80"/>
    <w:rsid w:val="003D418E"/>
    <w:rsid w:val="003D4387"/>
    <w:rsid w:val="003D4570"/>
    <w:rsid w:val="003D4608"/>
    <w:rsid w:val="003D4873"/>
    <w:rsid w:val="003D49FC"/>
    <w:rsid w:val="003D4AC5"/>
    <w:rsid w:val="003D4AC6"/>
    <w:rsid w:val="003D4D81"/>
    <w:rsid w:val="003D4E3D"/>
    <w:rsid w:val="003D4EB7"/>
    <w:rsid w:val="003D5143"/>
    <w:rsid w:val="003D517B"/>
    <w:rsid w:val="003D52A8"/>
    <w:rsid w:val="003D56AF"/>
    <w:rsid w:val="003D56EA"/>
    <w:rsid w:val="003D596C"/>
    <w:rsid w:val="003D6352"/>
    <w:rsid w:val="003D64CF"/>
    <w:rsid w:val="003D6623"/>
    <w:rsid w:val="003D675E"/>
    <w:rsid w:val="003D67EC"/>
    <w:rsid w:val="003D6D81"/>
    <w:rsid w:val="003D7F6F"/>
    <w:rsid w:val="003E0033"/>
    <w:rsid w:val="003E027B"/>
    <w:rsid w:val="003E03A8"/>
    <w:rsid w:val="003E0540"/>
    <w:rsid w:val="003E05FC"/>
    <w:rsid w:val="003E0A8D"/>
    <w:rsid w:val="003E0BD7"/>
    <w:rsid w:val="003E0CC4"/>
    <w:rsid w:val="003E1237"/>
    <w:rsid w:val="003E160C"/>
    <w:rsid w:val="003E194A"/>
    <w:rsid w:val="003E1D2F"/>
    <w:rsid w:val="003E1EF3"/>
    <w:rsid w:val="003E20FF"/>
    <w:rsid w:val="003E21A3"/>
    <w:rsid w:val="003E2523"/>
    <w:rsid w:val="003E265F"/>
    <w:rsid w:val="003E2B9C"/>
    <w:rsid w:val="003E2E6F"/>
    <w:rsid w:val="003E2F39"/>
    <w:rsid w:val="003E304C"/>
    <w:rsid w:val="003E338C"/>
    <w:rsid w:val="003E3620"/>
    <w:rsid w:val="003E3755"/>
    <w:rsid w:val="003E37D0"/>
    <w:rsid w:val="003E38CA"/>
    <w:rsid w:val="003E3B28"/>
    <w:rsid w:val="003E3C8F"/>
    <w:rsid w:val="003E3E09"/>
    <w:rsid w:val="003E3E24"/>
    <w:rsid w:val="003E4334"/>
    <w:rsid w:val="003E4608"/>
    <w:rsid w:val="003E47BF"/>
    <w:rsid w:val="003E49EE"/>
    <w:rsid w:val="003E4D9D"/>
    <w:rsid w:val="003E5319"/>
    <w:rsid w:val="003E544D"/>
    <w:rsid w:val="003E5AD1"/>
    <w:rsid w:val="003E5EF2"/>
    <w:rsid w:val="003E6383"/>
    <w:rsid w:val="003E64CF"/>
    <w:rsid w:val="003E6565"/>
    <w:rsid w:val="003E67D4"/>
    <w:rsid w:val="003E6944"/>
    <w:rsid w:val="003E6CB1"/>
    <w:rsid w:val="003E6F49"/>
    <w:rsid w:val="003E7646"/>
    <w:rsid w:val="003E7806"/>
    <w:rsid w:val="003E7BB1"/>
    <w:rsid w:val="003E7C9F"/>
    <w:rsid w:val="003E7D8C"/>
    <w:rsid w:val="003E7E22"/>
    <w:rsid w:val="003F0DAD"/>
    <w:rsid w:val="003F1028"/>
    <w:rsid w:val="003F13BE"/>
    <w:rsid w:val="003F16AC"/>
    <w:rsid w:val="003F19FB"/>
    <w:rsid w:val="003F1C1F"/>
    <w:rsid w:val="003F20DA"/>
    <w:rsid w:val="003F22B4"/>
    <w:rsid w:val="003F25FC"/>
    <w:rsid w:val="003F2749"/>
    <w:rsid w:val="003F27D8"/>
    <w:rsid w:val="003F2949"/>
    <w:rsid w:val="003F2A25"/>
    <w:rsid w:val="003F2EF0"/>
    <w:rsid w:val="003F352A"/>
    <w:rsid w:val="003F39F5"/>
    <w:rsid w:val="003F3A1C"/>
    <w:rsid w:val="003F3C5D"/>
    <w:rsid w:val="003F42A8"/>
    <w:rsid w:val="003F4408"/>
    <w:rsid w:val="003F45E1"/>
    <w:rsid w:val="003F4825"/>
    <w:rsid w:val="003F4AAC"/>
    <w:rsid w:val="003F4AD5"/>
    <w:rsid w:val="003F4BE6"/>
    <w:rsid w:val="003F4C55"/>
    <w:rsid w:val="003F533E"/>
    <w:rsid w:val="003F6068"/>
    <w:rsid w:val="003F64AD"/>
    <w:rsid w:val="003F6ACB"/>
    <w:rsid w:val="003F6C60"/>
    <w:rsid w:val="003F6F54"/>
    <w:rsid w:val="003F7A0E"/>
    <w:rsid w:val="003F7ABB"/>
    <w:rsid w:val="003F7BA9"/>
    <w:rsid w:val="003F7D65"/>
    <w:rsid w:val="004001AC"/>
    <w:rsid w:val="004001FB"/>
    <w:rsid w:val="00400562"/>
    <w:rsid w:val="00400637"/>
    <w:rsid w:val="0040087B"/>
    <w:rsid w:val="00400E5F"/>
    <w:rsid w:val="00401000"/>
    <w:rsid w:val="00401248"/>
    <w:rsid w:val="004012B4"/>
    <w:rsid w:val="0040136B"/>
    <w:rsid w:val="004013C1"/>
    <w:rsid w:val="00401755"/>
    <w:rsid w:val="00401C8A"/>
    <w:rsid w:val="00401E99"/>
    <w:rsid w:val="00401F30"/>
    <w:rsid w:val="00402005"/>
    <w:rsid w:val="00402014"/>
    <w:rsid w:val="004023EC"/>
    <w:rsid w:val="004024FE"/>
    <w:rsid w:val="0040251C"/>
    <w:rsid w:val="00402767"/>
    <w:rsid w:val="00402F59"/>
    <w:rsid w:val="00403104"/>
    <w:rsid w:val="004035DB"/>
    <w:rsid w:val="00403629"/>
    <w:rsid w:val="004036DE"/>
    <w:rsid w:val="00403862"/>
    <w:rsid w:val="00403A3C"/>
    <w:rsid w:val="00403C00"/>
    <w:rsid w:val="004041DA"/>
    <w:rsid w:val="00404202"/>
    <w:rsid w:val="0040440C"/>
    <w:rsid w:val="00404473"/>
    <w:rsid w:val="00404615"/>
    <w:rsid w:val="0040492B"/>
    <w:rsid w:val="00404CAF"/>
    <w:rsid w:val="00404E39"/>
    <w:rsid w:val="004053CB"/>
    <w:rsid w:val="004054F2"/>
    <w:rsid w:val="00405CD8"/>
    <w:rsid w:val="00405EF1"/>
    <w:rsid w:val="00406079"/>
    <w:rsid w:val="00406172"/>
    <w:rsid w:val="00406454"/>
    <w:rsid w:val="004068A9"/>
    <w:rsid w:val="00406FAE"/>
    <w:rsid w:val="00407776"/>
    <w:rsid w:val="004077C2"/>
    <w:rsid w:val="004079A5"/>
    <w:rsid w:val="00407AF7"/>
    <w:rsid w:val="00407C58"/>
    <w:rsid w:val="0041000A"/>
    <w:rsid w:val="004100F4"/>
    <w:rsid w:val="004101F2"/>
    <w:rsid w:val="00410240"/>
    <w:rsid w:val="0041059C"/>
    <w:rsid w:val="004106FF"/>
    <w:rsid w:val="00410929"/>
    <w:rsid w:val="00410B4F"/>
    <w:rsid w:val="00410D75"/>
    <w:rsid w:val="00411166"/>
    <w:rsid w:val="004113D7"/>
    <w:rsid w:val="004119E7"/>
    <w:rsid w:val="00411CEF"/>
    <w:rsid w:val="00411CFB"/>
    <w:rsid w:val="00411E14"/>
    <w:rsid w:val="00411EFD"/>
    <w:rsid w:val="00412041"/>
    <w:rsid w:val="004120CF"/>
    <w:rsid w:val="004122E8"/>
    <w:rsid w:val="00412577"/>
    <w:rsid w:val="0041290B"/>
    <w:rsid w:val="00412B3F"/>
    <w:rsid w:val="00412F27"/>
    <w:rsid w:val="00412F89"/>
    <w:rsid w:val="0041317B"/>
    <w:rsid w:val="0041330A"/>
    <w:rsid w:val="004135E0"/>
    <w:rsid w:val="004135F5"/>
    <w:rsid w:val="00413CA1"/>
    <w:rsid w:val="00413DF0"/>
    <w:rsid w:val="00413FD4"/>
    <w:rsid w:val="0041423A"/>
    <w:rsid w:val="004142C8"/>
    <w:rsid w:val="0041450B"/>
    <w:rsid w:val="004145A5"/>
    <w:rsid w:val="00414978"/>
    <w:rsid w:val="004149C0"/>
    <w:rsid w:val="004150C9"/>
    <w:rsid w:val="004153EF"/>
    <w:rsid w:val="0041550D"/>
    <w:rsid w:val="00415632"/>
    <w:rsid w:val="00416187"/>
    <w:rsid w:val="004162BA"/>
    <w:rsid w:val="004162ED"/>
    <w:rsid w:val="004165ED"/>
    <w:rsid w:val="00416786"/>
    <w:rsid w:val="00416955"/>
    <w:rsid w:val="00416D24"/>
    <w:rsid w:val="00416E5F"/>
    <w:rsid w:val="00416E93"/>
    <w:rsid w:val="00416F13"/>
    <w:rsid w:val="00417035"/>
    <w:rsid w:val="00417071"/>
    <w:rsid w:val="004170EE"/>
    <w:rsid w:val="00417496"/>
    <w:rsid w:val="004175A9"/>
    <w:rsid w:val="00417A40"/>
    <w:rsid w:val="00417D23"/>
    <w:rsid w:val="00417DE8"/>
    <w:rsid w:val="00420B2C"/>
    <w:rsid w:val="00420DD5"/>
    <w:rsid w:val="00421159"/>
    <w:rsid w:val="004219F2"/>
    <w:rsid w:val="0042217E"/>
    <w:rsid w:val="004221D0"/>
    <w:rsid w:val="00422395"/>
    <w:rsid w:val="00422594"/>
    <w:rsid w:val="004225C6"/>
    <w:rsid w:val="004227F5"/>
    <w:rsid w:val="00423306"/>
    <w:rsid w:val="00423416"/>
    <w:rsid w:val="0042361F"/>
    <w:rsid w:val="00423C47"/>
    <w:rsid w:val="00423EF5"/>
    <w:rsid w:val="00423F25"/>
    <w:rsid w:val="0042463C"/>
    <w:rsid w:val="004246C5"/>
    <w:rsid w:val="00424871"/>
    <w:rsid w:val="00424A34"/>
    <w:rsid w:val="00425253"/>
    <w:rsid w:val="00425687"/>
    <w:rsid w:val="004256B9"/>
    <w:rsid w:val="00425886"/>
    <w:rsid w:val="00425DAC"/>
    <w:rsid w:val="00425E84"/>
    <w:rsid w:val="00426331"/>
    <w:rsid w:val="00426449"/>
    <w:rsid w:val="0042661D"/>
    <w:rsid w:val="00426CDE"/>
    <w:rsid w:val="00427353"/>
    <w:rsid w:val="0042752B"/>
    <w:rsid w:val="004277FF"/>
    <w:rsid w:val="00427838"/>
    <w:rsid w:val="00427842"/>
    <w:rsid w:val="0042792E"/>
    <w:rsid w:val="004279A5"/>
    <w:rsid w:val="00427A01"/>
    <w:rsid w:val="0043046B"/>
    <w:rsid w:val="00430841"/>
    <w:rsid w:val="00430955"/>
    <w:rsid w:val="00430A06"/>
    <w:rsid w:val="00430D7B"/>
    <w:rsid w:val="00430F43"/>
    <w:rsid w:val="00430F47"/>
    <w:rsid w:val="004310D6"/>
    <w:rsid w:val="0043143C"/>
    <w:rsid w:val="004314DE"/>
    <w:rsid w:val="004318E6"/>
    <w:rsid w:val="004318E7"/>
    <w:rsid w:val="00431C94"/>
    <w:rsid w:val="0043246A"/>
    <w:rsid w:val="00432652"/>
    <w:rsid w:val="00432D1A"/>
    <w:rsid w:val="00432E9E"/>
    <w:rsid w:val="00433029"/>
    <w:rsid w:val="00433413"/>
    <w:rsid w:val="00433BC1"/>
    <w:rsid w:val="00433C49"/>
    <w:rsid w:val="00434290"/>
    <w:rsid w:val="0043434E"/>
    <w:rsid w:val="0043490F"/>
    <w:rsid w:val="0043495F"/>
    <w:rsid w:val="004349C6"/>
    <w:rsid w:val="00434BC2"/>
    <w:rsid w:val="00434C67"/>
    <w:rsid w:val="00434C93"/>
    <w:rsid w:val="00434FDA"/>
    <w:rsid w:val="0043503F"/>
    <w:rsid w:val="004354B1"/>
    <w:rsid w:val="0043564D"/>
    <w:rsid w:val="0043569C"/>
    <w:rsid w:val="004356EB"/>
    <w:rsid w:val="00435ED1"/>
    <w:rsid w:val="00436000"/>
    <w:rsid w:val="00436021"/>
    <w:rsid w:val="004360CE"/>
    <w:rsid w:val="0043628A"/>
    <w:rsid w:val="004364B0"/>
    <w:rsid w:val="004366C0"/>
    <w:rsid w:val="00436858"/>
    <w:rsid w:val="0043692B"/>
    <w:rsid w:val="00436B55"/>
    <w:rsid w:val="00436D9A"/>
    <w:rsid w:val="00436E28"/>
    <w:rsid w:val="00436EF8"/>
    <w:rsid w:val="00436F4D"/>
    <w:rsid w:val="004370D6"/>
    <w:rsid w:val="00437216"/>
    <w:rsid w:val="00437D9B"/>
    <w:rsid w:val="00437E96"/>
    <w:rsid w:val="004400BB"/>
    <w:rsid w:val="0044042B"/>
    <w:rsid w:val="004409EE"/>
    <w:rsid w:val="00440B3C"/>
    <w:rsid w:val="00440DE6"/>
    <w:rsid w:val="004410D9"/>
    <w:rsid w:val="0044140C"/>
    <w:rsid w:val="00441744"/>
    <w:rsid w:val="00441791"/>
    <w:rsid w:val="004419B2"/>
    <w:rsid w:val="00441B27"/>
    <w:rsid w:val="004424A5"/>
    <w:rsid w:val="004424D0"/>
    <w:rsid w:val="004425D9"/>
    <w:rsid w:val="00442BF0"/>
    <w:rsid w:val="00442F03"/>
    <w:rsid w:val="00443007"/>
    <w:rsid w:val="0044313E"/>
    <w:rsid w:val="004432D0"/>
    <w:rsid w:val="0044332D"/>
    <w:rsid w:val="00443361"/>
    <w:rsid w:val="004433CF"/>
    <w:rsid w:val="00443416"/>
    <w:rsid w:val="00443666"/>
    <w:rsid w:val="00443804"/>
    <w:rsid w:val="00443B60"/>
    <w:rsid w:val="00443E12"/>
    <w:rsid w:val="004442B9"/>
    <w:rsid w:val="004445AA"/>
    <w:rsid w:val="00444787"/>
    <w:rsid w:val="00444AE6"/>
    <w:rsid w:val="00444B8B"/>
    <w:rsid w:val="00444D79"/>
    <w:rsid w:val="00445123"/>
    <w:rsid w:val="0044539D"/>
    <w:rsid w:val="004453F5"/>
    <w:rsid w:val="004454F5"/>
    <w:rsid w:val="00445B5B"/>
    <w:rsid w:val="00445BE2"/>
    <w:rsid w:val="00445C66"/>
    <w:rsid w:val="00445CB0"/>
    <w:rsid w:val="00445CC3"/>
    <w:rsid w:val="004463CD"/>
    <w:rsid w:val="00446519"/>
    <w:rsid w:val="00446596"/>
    <w:rsid w:val="004465E3"/>
    <w:rsid w:val="004468CC"/>
    <w:rsid w:val="00446B7F"/>
    <w:rsid w:val="00446F88"/>
    <w:rsid w:val="004470EC"/>
    <w:rsid w:val="004473FC"/>
    <w:rsid w:val="0044774C"/>
    <w:rsid w:val="004478FD"/>
    <w:rsid w:val="004479AF"/>
    <w:rsid w:val="00447E24"/>
    <w:rsid w:val="004501AD"/>
    <w:rsid w:val="0045035E"/>
    <w:rsid w:val="00450396"/>
    <w:rsid w:val="00450844"/>
    <w:rsid w:val="004508B1"/>
    <w:rsid w:val="00450AB7"/>
    <w:rsid w:val="00450ACC"/>
    <w:rsid w:val="00450B0F"/>
    <w:rsid w:val="00450B12"/>
    <w:rsid w:val="00450FB1"/>
    <w:rsid w:val="004515AB"/>
    <w:rsid w:val="00451C6A"/>
    <w:rsid w:val="00451D24"/>
    <w:rsid w:val="00451DF7"/>
    <w:rsid w:val="00451F73"/>
    <w:rsid w:val="00452194"/>
    <w:rsid w:val="004522DA"/>
    <w:rsid w:val="00452692"/>
    <w:rsid w:val="00452A39"/>
    <w:rsid w:val="00452E0C"/>
    <w:rsid w:val="00453400"/>
    <w:rsid w:val="004536B6"/>
    <w:rsid w:val="004537A4"/>
    <w:rsid w:val="004538FC"/>
    <w:rsid w:val="00453A15"/>
    <w:rsid w:val="00453A54"/>
    <w:rsid w:val="00454022"/>
    <w:rsid w:val="00454163"/>
    <w:rsid w:val="00454D7A"/>
    <w:rsid w:val="0045502B"/>
    <w:rsid w:val="00455202"/>
    <w:rsid w:val="0045581E"/>
    <w:rsid w:val="00455F4E"/>
    <w:rsid w:val="004560B8"/>
    <w:rsid w:val="0045638A"/>
    <w:rsid w:val="00456ECB"/>
    <w:rsid w:val="00456F15"/>
    <w:rsid w:val="00457088"/>
    <w:rsid w:val="00457199"/>
    <w:rsid w:val="00457402"/>
    <w:rsid w:val="00457580"/>
    <w:rsid w:val="004576AF"/>
    <w:rsid w:val="004576D4"/>
    <w:rsid w:val="00457A35"/>
    <w:rsid w:val="004600C5"/>
    <w:rsid w:val="00460129"/>
    <w:rsid w:val="0046017B"/>
    <w:rsid w:val="004604FC"/>
    <w:rsid w:val="00460667"/>
    <w:rsid w:val="00460D4C"/>
    <w:rsid w:val="00461511"/>
    <w:rsid w:val="004618E7"/>
    <w:rsid w:val="0046234A"/>
    <w:rsid w:val="004627A8"/>
    <w:rsid w:val="004627D5"/>
    <w:rsid w:val="00462A18"/>
    <w:rsid w:val="00462E72"/>
    <w:rsid w:val="004630A3"/>
    <w:rsid w:val="00463112"/>
    <w:rsid w:val="004632FA"/>
    <w:rsid w:val="00463389"/>
    <w:rsid w:val="004634BC"/>
    <w:rsid w:val="004636D3"/>
    <w:rsid w:val="0046371E"/>
    <w:rsid w:val="00463A6E"/>
    <w:rsid w:val="00463BBA"/>
    <w:rsid w:val="00463BF2"/>
    <w:rsid w:val="004649AA"/>
    <w:rsid w:val="00464A59"/>
    <w:rsid w:val="00464CE3"/>
    <w:rsid w:val="00464D4A"/>
    <w:rsid w:val="004653EC"/>
    <w:rsid w:val="004659BA"/>
    <w:rsid w:val="00466B13"/>
    <w:rsid w:val="00466BE0"/>
    <w:rsid w:val="00467286"/>
    <w:rsid w:val="00467297"/>
    <w:rsid w:val="00467302"/>
    <w:rsid w:val="004677FA"/>
    <w:rsid w:val="00467A17"/>
    <w:rsid w:val="00467A25"/>
    <w:rsid w:val="004700B3"/>
    <w:rsid w:val="00470260"/>
    <w:rsid w:val="0047044D"/>
    <w:rsid w:val="0047055C"/>
    <w:rsid w:val="00470A19"/>
    <w:rsid w:val="00470DF2"/>
    <w:rsid w:val="0047134E"/>
    <w:rsid w:val="004714CD"/>
    <w:rsid w:val="004716B2"/>
    <w:rsid w:val="00471F25"/>
    <w:rsid w:val="0047270A"/>
    <w:rsid w:val="00472B3C"/>
    <w:rsid w:val="00472DF9"/>
    <w:rsid w:val="00473052"/>
    <w:rsid w:val="0047311F"/>
    <w:rsid w:val="0047322E"/>
    <w:rsid w:val="00473240"/>
    <w:rsid w:val="00473252"/>
    <w:rsid w:val="004734D2"/>
    <w:rsid w:val="004734ED"/>
    <w:rsid w:val="004735E2"/>
    <w:rsid w:val="00473805"/>
    <w:rsid w:val="00473B24"/>
    <w:rsid w:val="00473E33"/>
    <w:rsid w:val="004742BC"/>
    <w:rsid w:val="004744F3"/>
    <w:rsid w:val="00474558"/>
    <w:rsid w:val="00474F14"/>
    <w:rsid w:val="0047528B"/>
    <w:rsid w:val="004755EF"/>
    <w:rsid w:val="00476172"/>
    <w:rsid w:val="004761B1"/>
    <w:rsid w:val="00476709"/>
    <w:rsid w:val="00476D19"/>
    <w:rsid w:val="004771B8"/>
    <w:rsid w:val="004778E6"/>
    <w:rsid w:val="004778F2"/>
    <w:rsid w:val="00477B51"/>
    <w:rsid w:val="00480198"/>
    <w:rsid w:val="00480615"/>
    <w:rsid w:val="00480918"/>
    <w:rsid w:val="00480DEB"/>
    <w:rsid w:val="00480F9A"/>
    <w:rsid w:val="0048131F"/>
    <w:rsid w:val="00481935"/>
    <w:rsid w:val="00481CB8"/>
    <w:rsid w:val="00481D6A"/>
    <w:rsid w:val="00482408"/>
    <w:rsid w:val="00482412"/>
    <w:rsid w:val="004824C1"/>
    <w:rsid w:val="00482DE9"/>
    <w:rsid w:val="004833F0"/>
    <w:rsid w:val="00483406"/>
    <w:rsid w:val="00483648"/>
    <w:rsid w:val="0048401C"/>
    <w:rsid w:val="0048430E"/>
    <w:rsid w:val="00484D9D"/>
    <w:rsid w:val="00484FDA"/>
    <w:rsid w:val="0048531F"/>
    <w:rsid w:val="00485393"/>
    <w:rsid w:val="004857C8"/>
    <w:rsid w:val="0048592E"/>
    <w:rsid w:val="004859BE"/>
    <w:rsid w:val="00485DBD"/>
    <w:rsid w:val="00485EDC"/>
    <w:rsid w:val="00486AF4"/>
    <w:rsid w:val="00486D70"/>
    <w:rsid w:val="00486E0A"/>
    <w:rsid w:val="00487160"/>
    <w:rsid w:val="004877C2"/>
    <w:rsid w:val="004879DC"/>
    <w:rsid w:val="00487A9D"/>
    <w:rsid w:val="00487D4A"/>
    <w:rsid w:val="00487D62"/>
    <w:rsid w:val="00487DC8"/>
    <w:rsid w:val="00487F5A"/>
    <w:rsid w:val="0049030B"/>
    <w:rsid w:val="004903C9"/>
    <w:rsid w:val="00490CA8"/>
    <w:rsid w:val="004914D8"/>
    <w:rsid w:val="004919D9"/>
    <w:rsid w:val="00491C59"/>
    <w:rsid w:val="00491D7C"/>
    <w:rsid w:val="00491E68"/>
    <w:rsid w:val="00491F92"/>
    <w:rsid w:val="004928EB"/>
    <w:rsid w:val="00492AB4"/>
    <w:rsid w:val="00492DB5"/>
    <w:rsid w:val="00492ED3"/>
    <w:rsid w:val="004930C7"/>
    <w:rsid w:val="0049318F"/>
    <w:rsid w:val="00493204"/>
    <w:rsid w:val="00493217"/>
    <w:rsid w:val="00493AA9"/>
    <w:rsid w:val="00493BA6"/>
    <w:rsid w:val="00493BE6"/>
    <w:rsid w:val="00494019"/>
    <w:rsid w:val="00494207"/>
    <w:rsid w:val="004943D6"/>
    <w:rsid w:val="004948DD"/>
    <w:rsid w:val="00494BA2"/>
    <w:rsid w:val="00494D24"/>
    <w:rsid w:val="00494E34"/>
    <w:rsid w:val="0049506D"/>
    <w:rsid w:val="00495383"/>
    <w:rsid w:val="00495757"/>
    <w:rsid w:val="00496119"/>
    <w:rsid w:val="00496400"/>
    <w:rsid w:val="00496648"/>
    <w:rsid w:val="00496681"/>
    <w:rsid w:val="004966E8"/>
    <w:rsid w:val="00496AF1"/>
    <w:rsid w:val="00497016"/>
    <w:rsid w:val="0049743E"/>
    <w:rsid w:val="004974A5"/>
    <w:rsid w:val="00497AEE"/>
    <w:rsid w:val="00497AF9"/>
    <w:rsid w:val="00497D18"/>
    <w:rsid w:val="00497D62"/>
    <w:rsid w:val="00497EE2"/>
    <w:rsid w:val="00497F41"/>
    <w:rsid w:val="004A0427"/>
    <w:rsid w:val="004A0588"/>
    <w:rsid w:val="004A0593"/>
    <w:rsid w:val="004A05C1"/>
    <w:rsid w:val="004A0605"/>
    <w:rsid w:val="004A078D"/>
    <w:rsid w:val="004A0BE3"/>
    <w:rsid w:val="004A11AE"/>
    <w:rsid w:val="004A146C"/>
    <w:rsid w:val="004A14C7"/>
    <w:rsid w:val="004A1A99"/>
    <w:rsid w:val="004A1AEC"/>
    <w:rsid w:val="004A1C1E"/>
    <w:rsid w:val="004A262F"/>
    <w:rsid w:val="004A2711"/>
    <w:rsid w:val="004A28CD"/>
    <w:rsid w:val="004A28EE"/>
    <w:rsid w:val="004A2C5B"/>
    <w:rsid w:val="004A2F94"/>
    <w:rsid w:val="004A2FB6"/>
    <w:rsid w:val="004A347D"/>
    <w:rsid w:val="004A38A1"/>
    <w:rsid w:val="004A3A2D"/>
    <w:rsid w:val="004A3B0D"/>
    <w:rsid w:val="004A4009"/>
    <w:rsid w:val="004A434B"/>
    <w:rsid w:val="004A456C"/>
    <w:rsid w:val="004A473A"/>
    <w:rsid w:val="004A47FF"/>
    <w:rsid w:val="004A48D3"/>
    <w:rsid w:val="004A4914"/>
    <w:rsid w:val="004A4E41"/>
    <w:rsid w:val="004A500E"/>
    <w:rsid w:val="004A50F9"/>
    <w:rsid w:val="004A5194"/>
    <w:rsid w:val="004A521D"/>
    <w:rsid w:val="004A522D"/>
    <w:rsid w:val="004A5429"/>
    <w:rsid w:val="004A5506"/>
    <w:rsid w:val="004A57E7"/>
    <w:rsid w:val="004A57FF"/>
    <w:rsid w:val="004A582B"/>
    <w:rsid w:val="004A5B77"/>
    <w:rsid w:val="004A5D5A"/>
    <w:rsid w:val="004A6026"/>
    <w:rsid w:val="004A6082"/>
    <w:rsid w:val="004A6731"/>
    <w:rsid w:val="004A6EFD"/>
    <w:rsid w:val="004A6F10"/>
    <w:rsid w:val="004A7F08"/>
    <w:rsid w:val="004A7F40"/>
    <w:rsid w:val="004B020C"/>
    <w:rsid w:val="004B02E0"/>
    <w:rsid w:val="004B0331"/>
    <w:rsid w:val="004B0484"/>
    <w:rsid w:val="004B0485"/>
    <w:rsid w:val="004B0F1F"/>
    <w:rsid w:val="004B1433"/>
    <w:rsid w:val="004B1DE9"/>
    <w:rsid w:val="004B2248"/>
    <w:rsid w:val="004B2560"/>
    <w:rsid w:val="004B26D7"/>
    <w:rsid w:val="004B2F74"/>
    <w:rsid w:val="004B2F93"/>
    <w:rsid w:val="004B307D"/>
    <w:rsid w:val="004B32BE"/>
    <w:rsid w:val="004B33BB"/>
    <w:rsid w:val="004B33DD"/>
    <w:rsid w:val="004B3400"/>
    <w:rsid w:val="004B352E"/>
    <w:rsid w:val="004B39E3"/>
    <w:rsid w:val="004B3F73"/>
    <w:rsid w:val="004B40D0"/>
    <w:rsid w:val="004B43C0"/>
    <w:rsid w:val="004B44C1"/>
    <w:rsid w:val="004B4740"/>
    <w:rsid w:val="004B4EE0"/>
    <w:rsid w:val="004B51E8"/>
    <w:rsid w:val="004B5260"/>
    <w:rsid w:val="004B5300"/>
    <w:rsid w:val="004B5422"/>
    <w:rsid w:val="004B5A5D"/>
    <w:rsid w:val="004B5FE9"/>
    <w:rsid w:val="004B653C"/>
    <w:rsid w:val="004B6E8A"/>
    <w:rsid w:val="004B7153"/>
    <w:rsid w:val="004B776C"/>
    <w:rsid w:val="004B7BFB"/>
    <w:rsid w:val="004B7DAE"/>
    <w:rsid w:val="004C02D3"/>
    <w:rsid w:val="004C03AE"/>
    <w:rsid w:val="004C05BA"/>
    <w:rsid w:val="004C06BC"/>
    <w:rsid w:val="004C0889"/>
    <w:rsid w:val="004C0AAC"/>
    <w:rsid w:val="004C0B4C"/>
    <w:rsid w:val="004C0EFC"/>
    <w:rsid w:val="004C0FEA"/>
    <w:rsid w:val="004C104B"/>
    <w:rsid w:val="004C11A3"/>
    <w:rsid w:val="004C1206"/>
    <w:rsid w:val="004C1354"/>
    <w:rsid w:val="004C1597"/>
    <w:rsid w:val="004C167B"/>
    <w:rsid w:val="004C2010"/>
    <w:rsid w:val="004C220D"/>
    <w:rsid w:val="004C2517"/>
    <w:rsid w:val="004C2C98"/>
    <w:rsid w:val="004C3187"/>
    <w:rsid w:val="004C31CF"/>
    <w:rsid w:val="004C34EA"/>
    <w:rsid w:val="004C3858"/>
    <w:rsid w:val="004C3D2E"/>
    <w:rsid w:val="004C3DDB"/>
    <w:rsid w:val="004C44A8"/>
    <w:rsid w:val="004C48A4"/>
    <w:rsid w:val="004C4BC5"/>
    <w:rsid w:val="004C4C09"/>
    <w:rsid w:val="004C5177"/>
    <w:rsid w:val="004C528E"/>
    <w:rsid w:val="004C5470"/>
    <w:rsid w:val="004C54F1"/>
    <w:rsid w:val="004C555F"/>
    <w:rsid w:val="004C5DBE"/>
    <w:rsid w:val="004C614C"/>
    <w:rsid w:val="004C6825"/>
    <w:rsid w:val="004C6944"/>
    <w:rsid w:val="004C6946"/>
    <w:rsid w:val="004C6B48"/>
    <w:rsid w:val="004C73BF"/>
    <w:rsid w:val="004C75B3"/>
    <w:rsid w:val="004C7762"/>
    <w:rsid w:val="004C77EC"/>
    <w:rsid w:val="004C7992"/>
    <w:rsid w:val="004C7A26"/>
    <w:rsid w:val="004C7D66"/>
    <w:rsid w:val="004D00ED"/>
    <w:rsid w:val="004D05C7"/>
    <w:rsid w:val="004D0644"/>
    <w:rsid w:val="004D06AF"/>
    <w:rsid w:val="004D0735"/>
    <w:rsid w:val="004D0B37"/>
    <w:rsid w:val="004D0E72"/>
    <w:rsid w:val="004D0EC0"/>
    <w:rsid w:val="004D1093"/>
    <w:rsid w:val="004D1707"/>
    <w:rsid w:val="004D17D7"/>
    <w:rsid w:val="004D1A7C"/>
    <w:rsid w:val="004D1B30"/>
    <w:rsid w:val="004D1E25"/>
    <w:rsid w:val="004D2A21"/>
    <w:rsid w:val="004D2C1B"/>
    <w:rsid w:val="004D2C72"/>
    <w:rsid w:val="004D2E56"/>
    <w:rsid w:val="004D2E88"/>
    <w:rsid w:val="004D2EA4"/>
    <w:rsid w:val="004D30CC"/>
    <w:rsid w:val="004D322C"/>
    <w:rsid w:val="004D32BC"/>
    <w:rsid w:val="004D379B"/>
    <w:rsid w:val="004D3F8C"/>
    <w:rsid w:val="004D42DD"/>
    <w:rsid w:val="004D4348"/>
    <w:rsid w:val="004D43EB"/>
    <w:rsid w:val="004D4532"/>
    <w:rsid w:val="004D4E12"/>
    <w:rsid w:val="004D65B3"/>
    <w:rsid w:val="004D6795"/>
    <w:rsid w:val="004D6940"/>
    <w:rsid w:val="004D721E"/>
    <w:rsid w:val="004D74C4"/>
    <w:rsid w:val="004D77AA"/>
    <w:rsid w:val="004D7909"/>
    <w:rsid w:val="004D79E5"/>
    <w:rsid w:val="004D7DD7"/>
    <w:rsid w:val="004D7EBD"/>
    <w:rsid w:val="004D7EE2"/>
    <w:rsid w:val="004E03B7"/>
    <w:rsid w:val="004E04DC"/>
    <w:rsid w:val="004E0613"/>
    <w:rsid w:val="004E08D6"/>
    <w:rsid w:val="004E09E3"/>
    <w:rsid w:val="004E0DF6"/>
    <w:rsid w:val="004E0FBF"/>
    <w:rsid w:val="004E168C"/>
    <w:rsid w:val="004E18EB"/>
    <w:rsid w:val="004E1998"/>
    <w:rsid w:val="004E19F5"/>
    <w:rsid w:val="004E1BA2"/>
    <w:rsid w:val="004E21FC"/>
    <w:rsid w:val="004E22B6"/>
    <w:rsid w:val="004E253A"/>
    <w:rsid w:val="004E2A72"/>
    <w:rsid w:val="004E2B1C"/>
    <w:rsid w:val="004E2C9D"/>
    <w:rsid w:val="004E32BF"/>
    <w:rsid w:val="004E33D5"/>
    <w:rsid w:val="004E40B4"/>
    <w:rsid w:val="004E4717"/>
    <w:rsid w:val="004E4CCC"/>
    <w:rsid w:val="004E4E45"/>
    <w:rsid w:val="004E4EED"/>
    <w:rsid w:val="004E4EF9"/>
    <w:rsid w:val="004E52FF"/>
    <w:rsid w:val="004E54F1"/>
    <w:rsid w:val="004E5608"/>
    <w:rsid w:val="004E5900"/>
    <w:rsid w:val="004E59BB"/>
    <w:rsid w:val="004E5A28"/>
    <w:rsid w:val="004E5CD5"/>
    <w:rsid w:val="004E625A"/>
    <w:rsid w:val="004E62A4"/>
    <w:rsid w:val="004E6315"/>
    <w:rsid w:val="004E63F9"/>
    <w:rsid w:val="004E64CC"/>
    <w:rsid w:val="004E6531"/>
    <w:rsid w:val="004E67BA"/>
    <w:rsid w:val="004E7163"/>
    <w:rsid w:val="004E7375"/>
    <w:rsid w:val="004E7955"/>
    <w:rsid w:val="004E79A4"/>
    <w:rsid w:val="004E7C07"/>
    <w:rsid w:val="004F01C0"/>
    <w:rsid w:val="004F05D7"/>
    <w:rsid w:val="004F0708"/>
    <w:rsid w:val="004F076F"/>
    <w:rsid w:val="004F09E4"/>
    <w:rsid w:val="004F0CF5"/>
    <w:rsid w:val="004F0D79"/>
    <w:rsid w:val="004F0EA6"/>
    <w:rsid w:val="004F125D"/>
    <w:rsid w:val="004F16FE"/>
    <w:rsid w:val="004F1EE3"/>
    <w:rsid w:val="004F1F57"/>
    <w:rsid w:val="004F1F64"/>
    <w:rsid w:val="004F1F88"/>
    <w:rsid w:val="004F1FC3"/>
    <w:rsid w:val="004F2018"/>
    <w:rsid w:val="004F2077"/>
    <w:rsid w:val="004F217A"/>
    <w:rsid w:val="004F2263"/>
    <w:rsid w:val="004F2A3C"/>
    <w:rsid w:val="004F2CC9"/>
    <w:rsid w:val="004F2E4F"/>
    <w:rsid w:val="004F2EB0"/>
    <w:rsid w:val="004F2F4F"/>
    <w:rsid w:val="004F3116"/>
    <w:rsid w:val="004F361E"/>
    <w:rsid w:val="004F36B0"/>
    <w:rsid w:val="004F37A8"/>
    <w:rsid w:val="004F389D"/>
    <w:rsid w:val="004F3D5C"/>
    <w:rsid w:val="004F3D6F"/>
    <w:rsid w:val="004F3EE9"/>
    <w:rsid w:val="004F426A"/>
    <w:rsid w:val="004F4338"/>
    <w:rsid w:val="004F43C6"/>
    <w:rsid w:val="004F442C"/>
    <w:rsid w:val="004F463D"/>
    <w:rsid w:val="004F4A69"/>
    <w:rsid w:val="004F4B87"/>
    <w:rsid w:val="004F4ED9"/>
    <w:rsid w:val="004F4F6B"/>
    <w:rsid w:val="004F5580"/>
    <w:rsid w:val="004F6130"/>
    <w:rsid w:val="004F616E"/>
    <w:rsid w:val="004F62A9"/>
    <w:rsid w:val="004F62C2"/>
    <w:rsid w:val="004F656D"/>
    <w:rsid w:val="004F6685"/>
    <w:rsid w:val="004F66D5"/>
    <w:rsid w:val="004F69DA"/>
    <w:rsid w:val="004F6D00"/>
    <w:rsid w:val="004F6E47"/>
    <w:rsid w:val="004F6EBE"/>
    <w:rsid w:val="004F6EE9"/>
    <w:rsid w:val="004F7515"/>
    <w:rsid w:val="004F76E1"/>
    <w:rsid w:val="004F7754"/>
    <w:rsid w:val="004F7845"/>
    <w:rsid w:val="004F795A"/>
    <w:rsid w:val="004F7C3C"/>
    <w:rsid w:val="004F7EDF"/>
    <w:rsid w:val="004F7FC0"/>
    <w:rsid w:val="00500176"/>
    <w:rsid w:val="005001FD"/>
    <w:rsid w:val="005005CB"/>
    <w:rsid w:val="005006D1"/>
    <w:rsid w:val="00500929"/>
    <w:rsid w:val="00500F5A"/>
    <w:rsid w:val="00501482"/>
    <w:rsid w:val="00501951"/>
    <w:rsid w:val="00501B3B"/>
    <w:rsid w:val="00501BA2"/>
    <w:rsid w:val="005026C5"/>
    <w:rsid w:val="00502ABE"/>
    <w:rsid w:val="00502C15"/>
    <w:rsid w:val="00502EBA"/>
    <w:rsid w:val="00502ECE"/>
    <w:rsid w:val="00502EE8"/>
    <w:rsid w:val="00503087"/>
    <w:rsid w:val="00503A20"/>
    <w:rsid w:val="00503DFF"/>
    <w:rsid w:val="00504060"/>
    <w:rsid w:val="0050410F"/>
    <w:rsid w:val="00504126"/>
    <w:rsid w:val="005044AD"/>
    <w:rsid w:val="005044C4"/>
    <w:rsid w:val="0050477D"/>
    <w:rsid w:val="00504BA1"/>
    <w:rsid w:val="00504F47"/>
    <w:rsid w:val="005050ED"/>
    <w:rsid w:val="00505856"/>
    <w:rsid w:val="00505F58"/>
    <w:rsid w:val="00506164"/>
    <w:rsid w:val="0050628D"/>
    <w:rsid w:val="0050689B"/>
    <w:rsid w:val="00506AA5"/>
    <w:rsid w:val="00506BAC"/>
    <w:rsid w:val="00506E5B"/>
    <w:rsid w:val="0050740F"/>
    <w:rsid w:val="00507847"/>
    <w:rsid w:val="00507BFB"/>
    <w:rsid w:val="00507D5A"/>
    <w:rsid w:val="00507DD6"/>
    <w:rsid w:val="00507EDF"/>
    <w:rsid w:val="00507FA4"/>
    <w:rsid w:val="00510379"/>
    <w:rsid w:val="0051056D"/>
    <w:rsid w:val="00510843"/>
    <w:rsid w:val="0051096B"/>
    <w:rsid w:val="005109B3"/>
    <w:rsid w:val="00510A61"/>
    <w:rsid w:val="0051126A"/>
    <w:rsid w:val="00511640"/>
    <w:rsid w:val="00511642"/>
    <w:rsid w:val="00512697"/>
    <w:rsid w:val="00512768"/>
    <w:rsid w:val="005129C8"/>
    <w:rsid w:val="00512A76"/>
    <w:rsid w:val="00512A77"/>
    <w:rsid w:val="00512B48"/>
    <w:rsid w:val="0051357A"/>
    <w:rsid w:val="00513C5B"/>
    <w:rsid w:val="00514018"/>
    <w:rsid w:val="005141B8"/>
    <w:rsid w:val="0051434B"/>
    <w:rsid w:val="00514743"/>
    <w:rsid w:val="005147DD"/>
    <w:rsid w:val="0051484C"/>
    <w:rsid w:val="00514D1D"/>
    <w:rsid w:val="00514F0E"/>
    <w:rsid w:val="00515120"/>
    <w:rsid w:val="00515550"/>
    <w:rsid w:val="00515681"/>
    <w:rsid w:val="00515877"/>
    <w:rsid w:val="00515902"/>
    <w:rsid w:val="00515C4E"/>
    <w:rsid w:val="0051637D"/>
    <w:rsid w:val="00516599"/>
    <w:rsid w:val="00516FA4"/>
    <w:rsid w:val="005174D9"/>
    <w:rsid w:val="0051767C"/>
    <w:rsid w:val="00520011"/>
    <w:rsid w:val="00520184"/>
    <w:rsid w:val="00520189"/>
    <w:rsid w:val="005202A4"/>
    <w:rsid w:val="00520596"/>
    <w:rsid w:val="005205AA"/>
    <w:rsid w:val="00520CBF"/>
    <w:rsid w:val="00520ED6"/>
    <w:rsid w:val="0052129F"/>
    <w:rsid w:val="00521309"/>
    <w:rsid w:val="00521318"/>
    <w:rsid w:val="00521565"/>
    <w:rsid w:val="00521673"/>
    <w:rsid w:val="00521703"/>
    <w:rsid w:val="0052173D"/>
    <w:rsid w:val="005217AE"/>
    <w:rsid w:val="0052256E"/>
    <w:rsid w:val="00522677"/>
    <w:rsid w:val="005226A2"/>
    <w:rsid w:val="00522C67"/>
    <w:rsid w:val="00522D54"/>
    <w:rsid w:val="005236AC"/>
    <w:rsid w:val="005236E0"/>
    <w:rsid w:val="00523815"/>
    <w:rsid w:val="00523972"/>
    <w:rsid w:val="005241AD"/>
    <w:rsid w:val="00524441"/>
    <w:rsid w:val="005244FA"/>
    <w:rsid w:val="0052465E"/>
    <w:rsid w:val="005252BD"/>
    <w:rsid w:val="00525655"/>
    <w:rsid w:val="00525677"/>
    <w:rsid w:val="005256A8"/>
    <w:rsid w:val="00525714"/>
    <w:rsid w:val="0052598D"/>
    <w:rsid w:val="00525CAE"/>
    <w:rsid w:val="00525E19"/>
    <w:rsid w:val="00526099"/>
    <w:rsid w:val="0052625B"/>
    <w:rsid w:val="005263B1"/>
    <w:rsid w:val="00526448"/>
    <w:rsid w:val="005266F4"/>
    <w:rsid w:val="00526748"/>
    <w:rsid w:val="00526B69"/>
    <w:rsid w:val="00526C6D"/>
    <w:rsid w:val="00526DE1"/>
    <w:rsid w:val="00526E88"/>
    <w:rsid w:val="00527293"/>
    <w:rsid w:val="005272D9"/>
    <w:rsid w:val="00527F10"/>
    <w:rsid w:val="00530179"/>
    <w:rsid w:val="00530199"/>
    <w:rsid w:val="005302EC"/>
    <w:rsid w:val="00530344"/>
    <w:rsid w:val="00530921"/>
    <w:rsid w:val="00530BAC"/>
    <w:rsid w:val="00530D56"/>
    <w:rsid w:val="005311F5"/>
    <w:rsid w:val="005318BF"/>
    <w:rsid w:val="00531D0A"/>
    <w:rsid w:val="00531F25"/>
    <w:rsid w:val="00532080"/>
    <w:rsid w:val="0053255A"/>
    <w:rsid w:val="005329A4"/>
    <w:rsid w:val="005330DD"/>
    <w:rsid w:val="00533145"/>
    <w:rsid w:val="0053318F"/>
    <w:rsid w:val="005331C9"/>
    <w:rsid w:val="005338A9"/>
    <w:rsid w:val="005338E8"/>
    <w:rsid w:val="00533A54"/>
    <w:rsid w:val="00533CC2"/>
    <w:rsid w:val="00533D0B"/>
    <w:rsid w:val="0053403D"/>
    <w:rsid w:val="005342EC"/>
    <w:rsid w:val="00534461"/>
    <w:rsid w:val="005347B9"/>
    <w:rsid w:val="00534926"/>
    <w:rsid w:val="0053495C"/>
    <w:rsid w:val="00534BA6"/>
    <w:rsid w:val="00534DDE"/>
    <w:rsid w:val="00534E01"/>
    <w:rsid w:val="005354A5"/>
    <w:rsid w:val="005355C7"/>
    <w:rsid w:val="005356B5"/>
    <w:rsid w:val="0053577B"/>
    <w:rsid w:val="00536B76"/>
    <w:rsid w:val="00536EB0"/>
    <w:rsid w:val="00536F7A"/>
    <w:rsid w:val="00536F8E"/>
    <w:rsid w:val="005370E3"/>
    <w:rsid w:val="0053716E"/>
    <w:rsid w:val="005371B1"/>
    <w:rsid w:val="00537994"/>
    <w:rsid w:val="00537A03"/>
    <w:rsid w:val="00537E6A"/>
    <w:rsid w:val="00540278"/>
    <w:rsid w:val="00540682"/>
    <w:rsid w:val="00541880"/>
    <w:rsid w:val="00541D78"/>
    <w:rsid w:val="00541F9B"/>
    <w:rsid w:val="005421BB"/>
    <w:rsid w:val="00542542"/>
    <w:rsid w:val="00542F5B"/>
    <w:rsid w:val="00543042"/>
    <w:rsid w:val="0054321D"/>
    <w:rsid w:val="0054347B"/>
    <w:rsid w:val="00543796"/>
    <w:rsid w:val="0054430D"/>
    <w:rsid w:val="005443A6"/>
    <w:rsid w:val="00544464"/>
    <w:rsid w:val="0054514A"/>
    <w:rsid w:val="0054537C"/>
    <w:rsid w:val="00545A14"/>
    <w:rsid w:val="00545C5F"/>
    <w:rsid w:val="00545E6F"/>
    <w:rsid w:val="005460AC"/>
    <w:rsid w:val="005461E5"/>
    <w:rsid w:val="0054629C"/>
    <w:rsid w:val="0054635F"/>
    <w:rsid w:val="005466CD"/>
    <w:rsid w:val="00546867"/>
    <w:rsid w:val="00546A5B"/>
    <w:rsid w:val="00546E8B"/>
    <w:rsid w:val="005475E8"/>
    <w:rsid w:val="00547A06"/>
    <w:rsid w:val="00547D1E"/>
    <w:rsid w:val="00547DD0"/>
    <w:rsid w:val="00547E97"/>
    <w:rsid w:val="00550048"/>
    <w:rsid w:val="0055004F"/>
    <w:rsid w:val="0055044A"/>
    <w:rsid w:val="005504B2"/>
    <w:rsid w:val="005506B6"/>
    <w:rsid w:val="005508C1"/>
    <w:rsid w:val="00550AE5"/>
    <w:rsid w:val="00550DA6"/>
    <w:rsid w:val="00550E88"/>
    <w:rsid w:val="00551313"/>
    <w:rsid w:val="00551785"/>
    <w:rsid w:val="00551A6A"/>
    <w:rsid w:val="0055219D"/>
    <w:rsid w:val="00552807"/>
    <w:rsid w:val="00552B1A"/>
    <w:rsid w:val="00552C89"/>
    <w:rsid w:val="0055303E"/>
    <w:rsid w:val="00553398"/>
    <w:rsid w:val="0055353F"/>
    <w:rsid w:val="005535D5"/>
    <w:rsid w:val="0055369B"/>
    <w:rsid w:val="00553A86"/>
    <w:rsid w:val="00553A95"/>
    <w:rsid w:val="00553B4C"/>
    <w:rsid w:val="00553B71"/>
    <w:rsid w:val="005540A9"/>
    <w:rsid w:val="005541C9"/>
    <w:rsid w:val="00554579"/>
    <w:rsid w:val="00554AAD"/>
    <w:rsid w:val="00554B3A"/>
    <w:rsid w:val="00554BEC"/>
    <w:rsid w:val="00555394"/>
    <w:rsid w:val="005558C2"/>
    <w:rsid w:val="00555926"/>
    <w:rsid w:val="00555CDB"/>
    <w:rsid w:val="00555D13"/>
    <w:rsid w:val="00555F99"/>
    <w:rsid w:val="00556215"/>
    <w:rsid w:val="005563CA"/>
    <w:rsid w:val="0055648C"/>
    <w:rsid w:val="00556569"/>
    <w:rsid w:val="00556B4D"/>
    <w:rsid w:val="00556E55"/>
    <w:rsid w:val="005576C7"/>
    <w:rsid w:val="00557DBF"/>
    <w:rsid w:val="00557F77"/>
    <w:rsid w:val="005601AB"/>
    <w:rsid w:val="005601B3"/>
    <w:rsid w:val="005605D1"/>
    <w:rsid w:val="005605ED"/>
    <w:rsid w:val="0056095F"/>
    <w:rsid w:val="00560BF2"/>
    <w:rsid w:val="005611D8"/>
    <w:rsid w:val="0056128C"/>
    <w:rsid w:val="00561515"/>
    <w:rsid w:val="00561633"/>
    <w:rsid w:val="0056246C"/>
    <w:rsid w:val="0056261D"/>
    <w:rsid w:val="00562AF6"/>
    <w:rsid w:val="00562B85"/>
    <w:rsid w:val="00562B8A"/>
    <w:rsid w:val="00562F6A"/>
    <w:rsid w:val="00562FA7"/>
    <w:rsid w:val="005633D2"/>
    <w:rsid w:val="00563685"/>
    <w:rsid w:val="00563808"/>
    <w:rsid w:val="00563B1D"/>
    <w:rsid w:val="00563BC5"/>
    <w:rsid w:val="00563CB0"/>
    <w:rsid w:val="005644BE"/>
    <w:rsid w:val="005649F8"/>
    <w:rsid w:val="005654FB"/>
    <w:rsid w:val="00565606"/>
    <w:rsid w:val="005658B2"/>
    <w:rsid w:val="00565B12"/>
    <w:rsid w:val="00565CE7"/>
    <w:rsid w:val="00565E16"/>
    <w:rsid w:val="0056633F"/>
    <w:rsid w:val="00566347"/>
    <w:rsid w:val="00566D17"/>
    <w:rsid w:val="00566F6C"/>
    <w:rsid w:val="00566FCA"/>
    <w:rsid w:val="00567310"/>
    <w:rsid w:val="005678FF"/>
    <w:rsid w:val="00567CE2"/>
    <w:rsid w:val="00567D7D"/>
    <w:rsid w:val="00570073"/>
    <w:rsid w:val="00570926"/>
    <w:rsid w:val="005709F0"/>
    <w:rsid w:val="00570D64"/>
    <w:rsid w:val="00571220"/>
    <w:rsid w:val="005713E5"/>
    <w:rsid w:val="0057156E"/>
    <w:rsid w:val="0057213D"/>
    <w:rsid w:val="005721CF"/>
    <w:rsid w:val="005722B1"/>
    <w:rsid w:val="0057239F"/>
    <w:rsid w:val="00572A28"/>
    <w:rsid w:val="00572A8A"/>
    <w:rsid w:val="00572C1B"/>
    <w:rsid w:val="00572C5A"/>
    <w:rsid w:val="00573077"/>
    <w:rsid w:val="00573103"/>
    <w:rsid w:val="005733B9"/>
    <w:rsid w:val="00573532"/>
    <w:rsid w:val="00573A56"/>
    <w:rsid w:val="00573C40"/>
    <w:rsid w:val="00573EEF"/>
    <w:rsid w:val="00574061"/>
    <w:rsid w:val="005741C8"/>
    <w:rsid w:val="005743BF"/>
    <w:rsid w:val="00574555"/>
    <w:rsid w:val="00574986"/>
    <w:rsid w:val="005749E5"/>
    <w:rsid w:val="005749EC"/>
    <w:rsid w:val="00574BBF"/>
    <w:rsid w:val="00574D62"/>
    <w:rsid w:val="00574F87"/>
    <w:rsid w:val="00575127"/>
    <w:rsid w:val="00575510"/>
    <w:rsid w:val="0057572C"/>
    <w:rsid w:val="005758C0"/>
    <w:rsid w:val="00575A59"/>
    <w:rsid w:val="00575CDE"/>
    <w:rsid w:val="005760CB"/>
    <w:rsid w:val="00576111"/>
    <w:rsid w:val="00576552"/>
    <w:rsid w:val="0057692F"/>
    <w:rsid w:val="00577520"/>
    <w:rsid w:val="0057754F"/>
    <w:rsid w:val="00577588"/>
    <w:rsid w:val="00577A36"/>
    <w:rsid w:val="0058001E"/>
    <w:rsid w:val="00580163"/>
    <w:rsid w:val="005803F8"/>
    <w:rsid w:val="00580B6D"/>
    <w:rsid w:val="0058110E"/>
    <w:rsid w:val="005811D9"/>
    <w:rsid w:val="005814DA"/>
    <w:rsid w:val="00581601"/>
    <w:rsid w:val="00581642"/>
    <w:rsid w:val="005816DC"/>
    <w:rsid w:val="005819FB"/>
    <w:rsid w:val="00581E76"/>
    <w:rsid w:val="00581EA1"/>
    <w:rsid w:val="00581F89"/>
    <w:rsid w:val="005823B2"/>
    <w:rsid w:val="0058250A"/>
    <w:rsid w:val="0058255D"/>
    <w:rsid w:val="00582CD1"/>
    <w:rsid w:val="00582D98"/>
    <w:rsid w:val="00583B2B"/>
    <w:rsid w:val="0058414C"/>
    <w:rsid w:val="00584221"/>
    <w:rsid w:val="00584269"/>
    <w:rsid w:val="005842DE"/>
    <w:rsid w:val="00584547"/>
    <w:rsid w:val="005845A3"/>
    <w:rsid w:val="005845C5"/>
    <w:rsid w:val="00584662"/>
    <w:rsid w:val="005847B8"/>
    <w:rsid w:val="005848D8"/>
    <w:rsid w:val="00584AF1"/>
    <w:rsid w:val="00584CB5"/>
    <w:rsid w:val="0058503C"/>
    <w:rsid w:val="005850B9"/>
    <w:rsid w:val="00585197"/>
    <w:rsid w:val="005853DD"/>
    <w:rsid w:val="00585A62"/>
    <w:rsid w:val="00585B1E"/>
    <w:rsid w:val="00586354"/>
    <w:rsid w:val="00586A30"/>
    <w:rsid w:val="00586B86"/>
    <w:rsid w:val="00586F81"/>
    <w:rsid w:val="005875E9"/>
    <w:rsid w:val="00587B7A"/>
    <w:rsid w:val="00587BB6"/>
    <w:rsid w:val="00587D2B"/>
    <w:rsid w:val="00587E96"/>
    <w:rsid w:val="00590162"/>
    <w:rsid w:val="00590401"/>
    <w:rsid w:val="00590446"/>
    <w:rsid w:val="00590977"/>
    <w:rsid w:val="00590B9C"/>
    <w:rsid w:val="005913D3"/>
    <w:rsid w:val="005915FC"/>
    <w:rsid w:val="0059164A"/>
    <w:rsid w:val="00592089"/>
    <w:rsid w:val="00592337"/>
    <w:rsid w:val="005923AA"/>
    <w:rsid w:val="005925E1"/>
    <w:rsid w:val="00592764"/>
    <w:rsid w:val="005927EF"/>
    <w:rsid w:val="00592812"/>
    <w:rsid w:val="00592ABC"/>
    <w:rsid w:val="00592CE0"/>
    <w:rsid w:val="00592F99"/>
    <w:rsid w:val="00593022"/>
    <w:rsid w:val="00593208"/>
    <w:rsid w:val="005932B7"/>
    <w:rsid w:val="00593A48"/>
    <w:rsid w:val="00593AF2"/>
    <w:rsid w:val="00593D5C"/>
    <w:rsid w:val="0059400E"/>
    <w:rsid w:val="005940EC"/>
    <w:rsid w:val="0059446C"/>
    <w:rsid w:val="005945F6"/>
    <w:rsid w:val="0059526B"/>
    <w:rsid w:val="0059569C"/>
    <w:rsid w:val="005956F4"/>
    <w:rsid w:val="00595C55"/>
    <w:rsid w:val="00596035"/>
    <w:rsid w:val="0059607E"/>
    <w:rsid w:val="00596135"/>
    <w:rsid w:val="0059666D"/>
    <w:rsid w:val="005968F8"/>
    <w:rsid w:val="0059694E"/>
    <w:rsid w:val="005969D3"/>
    <w:rsid w:val="00596B8B"/>
    <w:rsid w:val="00596C68"/>
    <w:rsid w:val="00596DC7"/>
    <w:rsid w:val="005971A6"/>
    <w:rsid w:val="00597662"/>
    <w:rsid w:val="0059796F"/>
    <w:rsid w:val="00597EBE"/>
    <w:rsid w:val="005A050F"/>
    <w:rsid w:val="005A066F"/>
    <w:rsid w:val="005A0C6B"/>
    <w:rsid w:val="005A0C7F"/>
    <w:rsid w:val="005A0CAF"/>
    <w:rsid w:val="005A0F62"/>
    <w:rsid w:val="005A1555"/>
    <w:rsid w:val="005A19AE"/>
    <w:rsid w:val="005A1EF4"/>
    <w:rsid w:val="005A1FFB"/>
    <w:rsid w:val="005A2312"/>
    <w:rsid w:val="005A2552"/>
    <w:rsid w:val="005A2651"/>
    <w:rsid w:val="005A28C8"/>
    <w:rsid w:val="005A2DB0"/>
    <w:rsid w:val="005A2F22"/>
    <w:rsid w:val="005A3010"/>
    <w:rsid w:val="005A35E6"/>
    <w:rsid w:val="005A37D0"/>
    <w:rsid w:val="005A3EFC"/>
    <w:rsid w:val="005A428D"/>
    <w:rsid w:val="005A42A4"/>
    <w:rsid w:val="005A435A"/>
    <w:rsid w:val="005A445E"/>
    <w:rsid w:val="005A4DBF"/>
    <w:rsid w:val="005A50A9"/>
    <w:rsid w:val="005A513C"/>
    <w:rsid w:val="005A5239"/>
    <w:rsid w:val="005A54A8"/>
    <w:rsid w:val="005A54BA"/>
    <w:rsid w:val="005A56EC"/>
    <w:rsid w:val="005A5823"/>
    <w:rsid w:val="005A5A56"/>
    <w:rsid w:val="005A5AE2"/>
    <w:rsid w:val="005A5C6E"/>
    <w:rsid w:val="005A5EF9"/>
    <w:rsid w:val="005A610B"/>
    <w:rsid w:val="005A6199"/>
    <w:rsid w:val="005A62DB"/>
    <w:rsid w:val="005A62E0"/>
    <w:rsid w:val="005A6303"/>
    <w:rsid w:val="005A6966"/>
    <w:rsid w:val="005A6E84"/>
    <w:rsid w:val="005A6F21"/>
    <w:rsid w:val="005A7072"/>
    <w:rsid w:val="005A726E"/>
    <w:rsid w:val="005A7325"/>
    <w:rsid w:val="005A7640"/>
    <w:rsid w:val="005A766A"/>
    <w:rsid w:val="005A797E"/>
    <w:rsid w:val="005A7A85"/>
    <w:rsid w:val="005A7F28"/>
    <w:rsid w:val="005B00A1"/>
    <w:rsid w:val="005B08D3"/>
    <w:rsid w:val="005B0A65"/>
    <w:rsid w:val="005B0AF8"/>
    <w:rsid w:val="005B0C40"/>
    <w:rsid w:val="005B1008"/>
    <w:rsid w:val="005B1230"/>
    <w:rsid w:val="005B1275"/>
    <w:rsid w:val="005B12AB"/>
    <w:rsid w:val="005B12B2"/>
    <w:rsid w:val="005B1D08"/>
    <w:rsid w:val="005B1EC4"/>
    <w:rsid w:val="005B1F5B"/>
    <w:rsid w:val="005B2028"/>
    <w:rsid w:val="005B2101"/>
    <w:rsid w:val="005B2654"/>
    <w:rsid w:val="005B278A"/>
    <w:rsid w:val="005B2A4E"/>
    <w:rsid w:val="005B2E1D"/>
    <w:rsid w:val="005B2EB5"/>
    <w:rsid w:val="005B3179"/>
    <w:rsid w:val="005B32E4"/>
    <w:rsid w:val="005B33CC"/>
    <w:rsid w:val="005B34DE"/>
    <w:rsid w:val="005B3566"/>
    <w:rsid w:val="005B4107"/>
    <w:rsid w:val="005B466E"/>
    <w:rsid w:val="005B4739"/>
    <w:rsid w:val="005B48A8"/>
    <w:rsid w:val="005B4EA6"/>
    <w:rsid w:val="005B5109"/>
    <w:rsid w:val="005B5CB6"/>
    <w:rsid w:val="005B625B"/>
    <w:rsid w:val="005B62D1"/>
    <w:rsid w:val="005B639F"/>
    <w:rsid w:val="005B652E"/>
    <w:rsid w:val="005B6FE0"/>
    <w:rsid w:val="005B6FED"/>
    <w:rsid w:val="005B71DE"/>
    <w:rsid w:val="005B730A"/>
    <w:rsid w:val="005B73E6"/>
    <w:rsid w:val="005B7684"/>
    <w:rsid w:val="005B769F"/>
    <w:rsid w:val="005B7AF7"/>
    <w:rsid w:val="005B7CC6"/>
    <w:rsid w:val="005B7CE1"/>
    <w:rsid w:val="005B7DE3"/>
    <w:rsid w:val="005C028D"/>
    <w:rsid w:val="005C03AF"/>
    <w:rsid w:val="005C04AC"/>
    <w:rsid w:val="005C0583"/>
    <w:rsid w:val="005C05CE"/>
    <w:rsid w:val="005C0634"/>
    <w:rsid w:val="005C06CA"/>
    <w:rsid w:val="005C09C9"/>
    <w:rsid w:val="005C09EE"/>
    <w:rsid w:val="005C0B06"/>
    <w:rsid w:val="005C1602"/>
    <w:rsid w:val="005C164A"/>
    <w:rsid w:val="005C1A98"/>
    <w:rsid w:val="005C1DDE"/>
    <w:rsid w:val="005C2076"/>
    <w:rsid w:val="005C20E1"/>
    <w:rsid w:val="005C23FB"/>
    <w:rsid w:val="005C2617"/>
    <w:rsid w:val="005C262B"/>
    <w:rsid w:val="005C2692"/>
    <w:rsid w:val="005C2695"/>
    <w:rsid w:val="005C27F1"/>
    <w:rsid w:val="005C2DFB"/>
    <w:rsid w:val="005C2E35"/>
    <w:rsid w:val="005C3083"/>
    <w:rsid w:val="005C3254"/>
    <w:rsid w:val="005C35DD"/>
    <w:rsid w:val="005C3781"/>
    <w:rsid w:val="005C3890"/>
    <w:rsid w:val="005C3A1B"/>
    <w:rsid w:val="005C3BC7"/>
    <w:rsid w:val="005C40A5"/>
    <w:rsid w:val="005C4284"/>
    <w:rsid w:val="005C4349"/>
    <w:rsid w:val="005C4378"/>
    <w:rsid w:val="005C44B5"/>
    <w:rsid w:val="005C465B"/>
    <w:rsid w:val="005C4B2E"/>
    <w:rsid w:val="005C4BBE"/>
    <w:rsid w:val="005C4EFB"/>
    <w:rsid w:val="005C521A"/>
    <w:rsid w:val="005C5970"/>
    <w:rsid w:val="005C5C08"/>
    <w:rsid w:val="005C5EF7"/>
    <w:rsid w:val="005C64E3"/>
    <w:rsid w:val="005C661B"/>
    <w:rsid w:val="005C6804"/>
    <w:rsid w:val="005C6CC2"/>
    <w:rsid w:val="005C7133"/>
    <w:rsid w:val="005C71A4"/>
    <w:rsid w:val="005C775B"/>
    <w:rsid w:val="005C791D"/>
    <w:rsid w:val="005C7F0E"/>
    <w:rsid w:val="005C7F9D"/>
    <w:rsid w:val="005C7FBF"/>
    <w:rsid w:val="005D05D9"/>
    <w:rsid w:val="005D0A7A"/>
    <w:rsid w:val="005D129C"/>
    <w:rsid w:val="005D13B1"/>
    <w:rsid w:val="005D1A0C"/>
    <w:rsid w:val="005D1CA5"/>
    <w:rsid w:val="005D2052"/>
    <w:rsid w:val="005D2477"/>
    <w:rsid w:val="005D24BC"/>
    <w:rsid w:val="005D2A94"/>
    <w:rsid w:val="005D2EDF"/>
    <w:rsid w:val="005D2FE7"/>
    <w:rsid w:val="005D313C"/>
    <w:rsid w:val="005D323B"/>
    <w:rsid w:val="005D375A"/>
    <w:rsid w:val="005D39B9"/>
    <w:rsid w:val="005D4CC9"/>
    <w:rsid w:val="005D4EF8"/>
    <w:rsid w:val="005D4F46"/>
    <w:rsid w:val="005D51D6"/>
    <w:rsid w:val="005D54C8"/>
    <w:rsid w:val="005D55DB"/>
    <w:rsid w:val="005D5660"/>
    <w:rsid w:val="005D5882"/>
    <w:rsid w:val="005D5C30"/>
    <w:rsid w:val="005D620B"/>
    <w:rsid w:val="005D64AF"/>
    <w:rsid w:val="005D652E"/>
    <w:rsid w:val="005D6ED3"/>
    <w:rsid w:val="005D76A6"/>
    <w:rsid w:val="005D78C9"/>
    <w:rsid w:val="005D7B25"/>
    <w:rsid w:val="005D7C51"/>
    <w:rsid w:val="005D7DA1"/>
    <w:rsid w:val="005D7F29"/>
    <w:rsid w:val="005D7F33"/>
    <w:rsid w:val="005E000A"/>
    <w:rsid w:val="005E005E"/>
    <w:rsid w:val="005E015D"/>
    <w:rsid w:val="005E0460"/>
    <w:rsid w:val="005E06AC"/>
    <w:rsid w:val="005E0737"/>
    <w:rsid w:val="005E075C"/>
    <w:rsid w:val="005E07E0"/>
    <w:rsid w:val="005E09EB"/>
    <w:rsid w:val="005E0CEE"/>
    <w:rsid w:val="005E1216"/>
    <w:rsid w:val="005E1274"/>
    <w:rsid w:val="005E1686"/>
    <w:rsid w:val="005E1A1A"/>
    <w:rsid w:val="005E1E1C"/>
    <w:rsid w:val="005E2552"/>
    <w:rsid w:val="005E259B"/>
    <w:rsid w:val="005E2784"/>
    <w:rsid w:val="005E2BE9"/>
    <w:rsid w:val="005E2EF7"/>
    <w:rsid w:val="005E379E"/>
    <w:rsid w:val="005E397E"/>
    <w:rsid w:val="005E39F0"/>
    <w:rsid w:val="005E3FE2"/>
    <w:rsid w:val="005E4223"/>
    <w:rsid w:val="005E454C"/>
    <w:rsid w:val="005E45BD"/>
    <w:rsid w:val="005E46D4"/>
    <w:rsid w:val="005E481F"/>
    <w:rsid w:val="005E49DD"/>
    <w:rsid w:val="005E4B8E"/>
    <w:rsid w:val="005E4C01"/>
    <w:rsid w:val="005E4EA4"/>
    <w:rsid w:val="005E50D7"/>
    <w:rsid w:val="005E5104"/>
    <w:rsid w:val="005E5A94"/>
    <w:rsid w:val="005E5B92"/>
    <w:rsid w:val="005E5BFA"/>
    <w:rsid w:val="005E5D7E"/>
    <w:rsid w:val="005E5DBD"/>
    <w:rsid w:val="005E645A"/>
    <w:rsid w:val="005E64DA"/>
    <w:rsid w:val="005E64DD"/>
    <w:rsid w:val="005E707B"/>
    <w:rsid w:val="005E7625"/>
    <w:rsid w:val="005E78A5"/>
    <w:rsid w:val="005E78A7"/>
    <w:rsid w:val="005E7DE2"/>
    <w:rsid w:val="005E7E89"/>
    <w:rsid w:val="005F0564"/>
    <w:rsid w:val="005F057A"/>
    <w:rsid w:val="005F05E7"/>
    <w:rsid w:val="005F05FA"/>
    <w:rsid w:val="005F0608"/>
    <w:rsid w:val="005F0C54"/>
    <w:rsid w:val="005F10B9"/>
    <w:rsid w:val="005F1148"/>
    <w:rsid w:val="005F14DF"/>
    <w:rsid w:val="005F15EF"/>
    <w:rsid w:val="005F16D3"/>
    <w:rsid w:val="005F1709"/>
    <w:rsid w:val="005F1AF8"/>
    <w:rsid w:val="005F1FA0"/>
    <w:rsid w:val="005F22E4"/>
    <w:rsid w:val="005F2C90"/>
    <w:rsid w:val="005F2D69"/>
    <w:rsid w:val="005F2E44"/>
    <w:rsid w:val="005F305C"/>
    <w:rsid w:val="005F31A0"/>
    <w:rsid w:val="005F32C5"/>
    <w:rsid w:val="005F355F"/>
    <w:rsid w:val="005F378E"/>
    <w:rsid w:val="005F38B5"/>
    <w:rsid w:val="005F38C8"/>
    <w:rsid w:val="005F38F1"/>
    <w:rsid w:val="005F3C46"/>
    <w:rsid w:val="005F408D"/>
    <w:rsid w:val="005F41F0"/>
    <w:rsid w:val="005F4224"/>
    <w:rsid w:val="005F43BF"/>
    <w:rsid w:val="005F4502"/>
    <w:rsid w:val="005F490F"/>
    <w:rsid w:val="005F49C0"/>
    <w:rsid w:val="005F4EFF"/>
    <w:rsid w:val="005F50C8"/>
    <w:rsid w:val="005F50E7"/>
    <w:rsid w:val="005F5838"/>
    <w:rsid w:val="005F5BA9"/>
    <w:rsid w:val="005F5C74"/>
    <w:rsid w:val="005F5D2B"/>
    <w:rsid w:val="005F5DA3"/>
    <w:rsid w:val="005F5E49"/>
    <w:rsid w:val="005F5FEC"/>
    <w:rsid w:val="005F6229"/>
    <w:rsid w:val="005F662D"/>
    <w:rsid w:val="005F6ACA"/>
    <w:rsid w:val="005F6CFA"/>
    <w:rsid w:val="005F733E"/>
    <w:rsid w:val="005F7379"/>
    <w:rsid w:val="005F76AE"/>
    <w:rsid w:val="005F76CC"/>
    <w:rsid w:val="005F7CD1"/>
    <w:rsid w:val="006002A8"/>
    <w:rsid w:val="00600419"/>
    <w:rsid w:val="0060094A"/>
    <w:rsid w:val="006009E2"/>
    <w:rsid w:val="00600DA6"/>
    <w:rsid w:val="006011AC"/>
    <w:rsid w:val="00601281"/>
    <w:rsid w:val="006013E1"/>
    <w:rsid w:val="006015F2"/>
    <w:rsid w:val="006017FB"/>
    <w:rsid w:val="00601A60"/>
    <w:rsid w:val="0060203C"/>
    <w:rsid w:val="0060246D"/>
    <w:rsid w:val="006025ED"/>
    <w:rsid w:val="006027A5"/>
    <w:rsid w:val="00602931"/>
    <w:rsid w:val="006029A8"/>
    <w:rsid w:val="00602AD8"/>
    <w:rsid w:val="00602DA6"/>
    <w:rsid w:val="00602F94"/>
    <w:rsid w:val="00603283"/>
    <w:rsid w:val="00603A77"/>
    <w:rsid w:val="00603D10"/>
    <w:rsid w:val="00603FFE"/>
    <w:rsid w:val="006054B5"/>
    <w:rsid w:val="00605B07"/>
    <w:rsid w:val="00605BCF"/>
    <w:rsid w:val="00605E58"/>
    <w:rsid w:val="00605ED7"/>
    <w:rsid w:val="00605F51"/>
    <w:rsid w:val="006063CA"/>
    <w:rsid w:val="006064AF"/>
    <w:rsid w:val="0060654A"/>
    <w:rsid w:val="0060660D"/>
    <w:rsid w:val="006067E0"/>
    <w:rsid w:val="00606817"/>
    <w:rsid w:val="00606BE1"/>
    <w:rsid w:val="00606C16"/>
    <w:rsid w:val="006076E0"/>
    <w:rsid w:val="006076E5"/>
    <w:rsid w:val="006077FD"/>
    <w:rsid w:val="00607AD0"/>
    <w:rsid w:val="00610709"/>
    <w:rsid w:val="0061089F"/>
    <w:rsid w:val="00611371"/>
    <w:rsid w:val="006115E5"/>
    <w:rsid w:val="006116F8"/>
    <w:rsid w:val="006119B7"/>
    <w:rsid w:val="00611A7E"/>
    <w:rsid w:val="00611D81"/>
    <w:rsid w:val="0061272B"/>
    <w:rsid w:val="00612796"/>
    <w:rsid w:val="006127C3"/>
    <w:rsid w:val="00612D57"/>
    <w:rsid w:val="00612D93"/>
    <w:rsid w:val="00612DA7"/>
    <w:rsid w:val="00613011"/>
    <w:rsid w:val="006132AF"/>
    <w:rsid w:val="006135CB"/>
    <w:rsid w:val="006135CD"/>
    <w:rsid w:val="0061391E"/>
    <w:rsid w:val="006139C5"/>
    <w:rsid w:val="00613A45"/>
    <w:rsid w:val="00613E2A"/>
    <w:rsid w:val="00613EB8"/>
    <w:rsid w:val="00613FAC"/>
    <w:rsid w:val="00614071"/>
    <w:rsid w:val="006141F9"/>
    <w:rsid w:val="0061423E"/>
    <w:rsid w:val="006142FC"/>
    <w:rsid w:val="0061431A"/>
    <w:rsid w:val="006146BD"/>
    <w:rsid w:val="00614D31"/>
    <w:rsid w:val="006150F2"/>
    <w:rsid w:val="006151AD"/>
    <w:rsid w:val="0061527F"/>
    <w:rsid w:val="00615547"/>
    <w:rsid w:val="006156A5"/>
    <w:rsid w:val="00615966"/>
    <w:rsid w:val="00615F3A"/>
    <w:rsid w:val="00616438"/>
    <w:rsid w:val="006167E3"/>
    <w:rsid w:val="00616A4F"/>
    <w:rsid w:val="00616C8C"/>
    <w:rsid w:val="00616F1D"/>
    <w:rsid w:val="006171E9"/>
    <w:rsid w:val="00617369"/>
    <w:rsid w:val="0061789C"/>
    <w:rsid w:val="00617AEF"/>
    <w:rsid w:val="00617C97"/>
    <w:rsid w:val="00620113"/>
    <w:rsid w:val="00620224"/>
    <w:rsid w:val="0062033C"/>
    <w:rsid w:val="00620373"/>
    <w:rsid w:val="0062037B"/>
    <w:rsid w:val="00620425"/>
    <w:rsid w:val="00620901"/>
    <w:rsid w:val="00620A6C"/>
    <w:rsid w:val="00620B93"/>
    <w:rsid w:val="00620C2B"/>
    <w:rsid w:val="00620EC2"/>
    <w:rsid w:val="00620F03"/>
    <w:rsid w:val="0062119B"/>
    <w:rsid w:val="006214B1"/>
    <w:rsid w:val="00621A23"/>
    <w:rsid w:val="00621A7A"/>
    <w:rsid w:val="00621BF6"/>
    <w:rsid w:val="00621C63"/>
    <w:rsid w:val="00621CA9"/>
    <w:rsid w:val="00621F4C"/>
    <w:rsid w:val="00622C23"/>
    <w:rsid w:val="00622CBE"/>
    <w:rsid w:val="00623761"/>
    <w:rsid w:val="00623A8D"/>
    <w:rsid w:val="00623AD0"/>
    <w:rsid w:val="00623B23"/>
    <w:rsid w:val="00623B98"/>
    <w:rsid w:val="00623EF3"/>
    <w:rsid w:val="006241F4"/>
    <w:rsid w:val="00624932"/>
    <w:rsid w:val="00624B66"/>
    <w:rsid w:val="00624D1B"/>
    <w:rsid w:val="00624E73"/>
    <w:rsid w:val="00624F91"/>
    <w:rsid w:val="0062520F"/>
    <w:rsid w:val="00625732"/>
    <w:rsid w:val="0062581F"/>
    <w:rsid w:val="00625DFE"/>
    <w:rsid w:val="00626139"/>
    <w:rsid w:val="00626217"/>
    <w:rsid w:val="0062678E"/>
    <w:rsid w:val="00626BF8"/>
    <w:rsid w:val="00627179"/>
    <w:rsid w:val="006275D2"/>
    <w:rsid w:val="0062773B"/>
    <w:rsid w:val="00627AE1"/>
    <w:rsid w:val="00627B00"/>
    <w:rsid w:val="00627FB4"/>
    <w:rsid w:val="006300B1"/>
    <w:rsid w:val="006306A0"/>
    <w:rsid w:val="006308BE"/>
    <w:rsid w:val="0063096A"/>
    <w:rsid w:val="006309DD"/>
    <w:rsid w:val="00630A31"/>
    <w:rsid w:val="00630C04"/>
    <w:rsid w:val="006311DF"/>
    <w:rsid w:val="006314BC"/>
    <w:rsid w:val="0063169F"/>
    <w:rsid w:val="006319F7"/>
    <w:rsid w:val="00631F7B"/>
    <w:rsid w:val="00632026"/>
    <w:rsid w:val="006322AF"/>
    <w:rsid w:val="00632DD5"/>
    <w:rsid w:val="00633235"/>
    <w:rsid w:val="0063354A"/>
    <w:rsid w:val="006335A4"/>
    <w:rsid w:val="00633910"/>
    <w:rsid w:val="00633CF2"/>
    <w:rsid w:val="00633E95"/>
    <w:rsid w:val="0063425E"/>
    <w:rsid w:val="006347A7"/>
    <w:rsid w:val="00634BD9"/>
    <w:rsid w:val="006353CD"/>
    <w:rsid w:val="006355E9"/>
    <w:rsid w:val="0063563E"/>
    <w:rsid w:val="0063581A"/>
    <w:rsid w:val="006358DC"/>
    <w:rsid w:val="00635A3F"/>
    <w:rsid w:val="00635AD0"/>
    <w:rsid w:val="00635AF6"/>
    <w:rsid w:val="00635D88"/>
    <w:rsid w:val="006360A8"/>
    <w:rsid w:val="006361FE"/>
    <w:rsid w:val="00636329"/>
    <w:rsid w:val="0063680E"/>
    <w:rsid w:val="00636CDD"/>
    <w:rsid w:val="00636D32"/>
    <w:rsid w:val="00637475"/>
    <w:rsid w:val="00637819"/>
    <w:rsid w:val="00640029"/>
    <w:rsid w:val="0064044B"/>
    <w:rsid w:val="006407ED"/>
    <w:rsid w:val="0064090D"/>
    <w:rsid w:val="00640B2F"/>
    <w:rsid w:val="00640CC1"/>
    <w:rsid w:val="00641037"/>
    <w:rsid w:val="006413DF"/>
    <w:rsid w:val="00642258"/>
    <w:rsid w:val="00642E13"/>
    <w:rsid w:val="00643336"/>
    <w:rsid w:val="00643437"/>
    <w:rsid w:val="00643568"/>
    <w:rsid w:val="00643600"/>
    <w:rsid w:val="00643DCB"/>
    <w:rsid w:val="00643EF4"/>
    <w:rsid w:val="00643F6D"/>
    <w:rsid w:val="0064441F"/>
    <w:rsid w:val="006445EC"/>
    <w:rsid w:val="00644881"/>
    <w:rsid w:val="00644919"/>
    <w:rsid w:val="00644B63"/>
    <w:rsid w:val="00644BFA"/>
    <w:rsid w:val="00644D86"/>
    <w:rsid w:val="006450AC"/>
    <w:rsid w:val="006450F6"/>
    <w:rsid w:val="0064511A"/>
    <w:rsid w:val="006451BA"/>
    <w:rsid w:val="0064543B"/>
    <w:rsid w:val="0064556F"/>
    <w:rsid w:val="00645681"/>
    <w:rsid w:val="00645805"/>
    <w:rsid w:val="0064588B"/>
    <w:rsid w:val="0064594E"/>
    <w:rsid w:val="00645A12"/>
    <w:rsid w:val="00645DF1"/>
    <w:rsid w:val="0064649F"/>
    <w:rsid w:val="00646537"/>
    <w:rsid w:val="00646821"/>
    <w:rsid w:val="00647584"/>
    <w:rsid w:val="006476C6"/>
    <w:rsid w:val="00647CA3"/>
    <w:rsid w:val="00650124"/>
    <w:rsid w:val="006501F7"/>
    <w:rsid w:val="00650564"/>
    <w:rsid w:val="006507C0"/>
    <w:rsid w:val="00650835"/>
    <w:rsid w:val="00650A74"/>
    <w:rsid w:val="00650E6D"/>
    <w:rsid w:val="00651367"/>
    <w:rsid w:val="00651419"/>
    <w:rsid w:val="00651971"/>
    <w:rsid w:val="00651A9D"/>
    <w:rsid w:val="00651C55"/>
    <w:rsid w:val="00651CF0"/>
    <w:rsid w:val="0065228E"/>
    <w:rsid w:val="00652553"/>
    <w:rsid w:val="0065295B"/>
    <w:rsid w:val="00652A0A"/>
    <w:rsid w:val="00652E3E"/>
    <w:rsid w:val="00652ED1"/>
    <w:rsid w:val="0065325A"/>
    <w:rsid w:val="00653529"/>
    <w:rsid w:val="00653584"/>
    <w:rsid w:val="006536C5"/>
    <w:rsid w:val="00653788"/>
    <w:rsid w:val="00653953"/>
    <w:rsid w:val="00653A01"/>
    <w:rsid w:val="00653DCA"/>
    <w:rsid w:val="0065403A"/>
    <w:rsid w:val="00654503"/>
    <w:rsid w:val="0065493E"/>
    <w:rsid w:val="006549F7"/>
    <w:rsid w:val="00654B4D"/>
    <w:rsid w:val="00654D51"/>
    <w:rsid w:val="00654DDB"/>
    <w:rsid w:val="00655365"/>
    <w:rsid w:val="006558F7"/>
    <w:rsid w:val="00655BB3"/>
    <w:rsid w:val="00655F29"/>
    <w:rsid w:val="006566D1"/>
    <w:rsid w:val="00656778"/>
    <w:rsid w:val="006567CB"/>
    <w:rsid w:val="00656E70"/>
    <w:rsid w:val="006571C1"/>
    <w:rsid w:val="0065749E"/>
    <w:rsid w:val="00657552"/>
    <w:rsid w:val="00657E48"/>
    <w:rsid w:val="006602D2"/>
    <w:rsid w:val="006613D8"/>
    <w:rsid w:val="00661496"/>
    <w:rsid w:val="006614D9"/>
    <w:rsid w:val="006621FD"/>
    <w:rsid w:val="0066224D"/>
    <w:rsid w:val="006623AD"/>
    <w:rsid w:val="00662916"/>
    <w:rsid w:val="00662920"/>
    <w:rsid w:val="00662A00"/>
    <w:rsid w:val="00662ADC"/>
    <w:rsid w:val="00662E8A"/>
    <w:rsid w:val="00662F85"/>
    <w:rsid w:val="00662FA6"/>
    <w:rsid w:val="00663319"/>
    <w:rsid w:val="0066387B"/>
    <w:rsid w:val="00663B4C"/>
    <w:rsid w:val="0066401B"/>
    <w:rsid w:val="00664330"/>
    <w:rsid w:val="00664331"/>
    <w:rsid w:val="00664342"/>
    <w:rsid w:val="0066460F"/>
    <w:rsid w:val="00664632"/>
    <w:rsid w:val="0066467B"/>
    <w:rsid w:val="0066484D"/>
    <w:rsid w:val="0066492D"/>
    <w:rsid w:val="0066499D"/>
    <w:rsid w:val="00664C53"/>
    <w:rsid w:val="00665164"/>
    <w:rsid w:val="0066533B"/>
    <w:rsid w:val="0066557E"/>
    <w:rsid w:val="00665977"/>
    <w:rsid w:val="00665A8D"/>
    <w:rsid w:val="00665B2C"/>
    <w:rsid w:val="00665C4A"/>
    <w:rsid w:val="00665D0B"/>
    <w:rsid w:val="0066616A"/>
    <w:rsid w:val="006664F4"/>
    <w:rsid w:val="00666704"/>
    <w:rsid w:val="00666978"/>
    <w:rsid w:val="00667216"/>
    <w:rsid w:val="00667262"/>
    <w:rsid w:val="006673FC"/>
    <w:rsid w:val="006675AE"/>
    <w:rsid w:val="0066763B"/>
    <w:rsid w:val="006678E6"/>
    <w:rsid w:val="00667A24"/>
    <w:rsid w:val="00670428"/>
    <w:rsid w:val="00670565"/>
    <w:rsid w:val="006707F2"/>
    <w:rsid w:val="006709DB"/>
    <w:rsid w:val="00670FCE"/>
    <w:rsid w:val="006712E2"/>
    <w:rsid w:val="00671691"/>
    <w:rsid w:val="00671A68"/>
    <w:rsid w:val="00671A85"/>
    <w:rsid w:val="006722CB"/>
    <w:rsid w:val="006723DD"/>
    <w:rsid w:val="006726BB"/>
    <w:rsid w:val="006726F1"/>
    <w:rsid w:val="0067272D"/>
    <w:rsid w:val="00672B60"/>
    <w:rsid w:val="00672EB0"/>
    <w:rsid w:val="0067396D"/>
    <w:rsid w:val="00673AC3"/>
    <w:rsid w:val="00673CC9"/>
    <w:rsid w:val="00674316"/>
    <w:rsid w:val="006747DB"/>
    <w:rsid w:val="00674C2B"/>
    <w:rsid w:val="00674CF7"/>
    <w:rsid w:val="00675141"/>
    <w:rsid w:val="0067549D"/>
    <w:rsid w:val="0067590E"/>
    <w:rsid w:val="00675EA4"/>
    <w:rsid w:val="00675ECE"/>
    <w:rsid w:val="00675FEF"/>
    <w:rsid w:val="006760CF"/>
    <w:rsid w:val="0067621F"/>
    <w:rsid w:val="0067650D"/>
    <w:rsid w:val="00676609"/>
    <w:rsid w:val="00676A21"/>
    <w:rsid w:val="00676CA1"/>
    <w:rsid w:val="0067755C"/>
    <w:rsid w:val="006775F2"/>
    <w:rsid w:val="0067782A"/>
    <w:rsid w:val="00677FC3"/>
    <w:rsid w:val="00680188"/>
    <w:rsid w:val="00680775"/>
    <w:rsid w:val="006808E8"/>
    <w:rsid w:val="00680DD2"/>
    <w:rsid w:val="00680E41"/>
    <w:rsid w:val="00680FDB"/>
    <w:rsid w:val="00681040"/>
    <w:rsid w:val="00681059"/>
    <w:rsid w:val="00681181"/>
    <w:rsid w:val="00681253"/>
    <w:rsid w:val="00681A68"/>
    <w:rsid w:val="00681D06"/>
    <w:rsid w:val="00681D13"/>
    <w:rsid w:val="00682524"/>
    <w:rsid w:val="006825C0"/>
    <w:rsid w:val="00682693"/>
    <w:rsid w:val="00682873"/>
    <w:rsid w:val="006833BC"/>
    <w:rsid w:val="006833C3"/>
    <w:rsid w:val="006835FF"/>
    <w:rsid w:val="0068377F"/>
    <w:rsid w:val="0068397E"/>
    <w:rsid w:val="00683C57"/>
    <w:rsid w:val="00683D64"/>
    <w:rsid w:val="00684273"/>
    <w:rsid w:val="00684293"/>
    <w:rsid w:val="00684388"/>
    <w:rsid w:val="006847D8"/>
    <w:rsid w:val="0068482D"/>
    <w:rsid w:val="00684A50"/>
    <w:rsid w:val="00684E74"/>
    <w:rsid w:val="00685164"/>
    <w:rsid w:val="00685484"/>
    <w:rsid w:val="00685944"/>
    <w:rsid w:val="00685C6F"/>
    <w:rsid w:val="0068603F"/>
    <w:rsid w:val="006863B4"/>
    <w:rsid w:val="006867B9"/>
    <w:rsid w:val="00686EF4"/>
    <w:rsid w:val="00687204"/>
    <w:rsid w:val="006872D8"/>
    <w:rsid w:val="006874A3"/>
    <w:rsid w:val="00687561"/>
    <w:rsid w:val="0068777E"/>
    <w:rsid w:val="006879F9"/>
    <w:rsid w:val="00687E7B"/>
    <w:rsid w:val="00687E88"/>
    <w:rsid w:val="0069006F"/>
    <w:rsid w:val="006900A7"/>
    <w:rsid w:val="00690698"/>
    <w:rsid w:val="006908E3"/>
    <w:rsid w:val="00690D3F"/>
    <w:rsid w:val="006912C4"/>
    <w:rsid w:val="00691743"/>
    <w:rsid w:val="00691787"/>
    <w:rsid w:val="00691A0A"/>
    <w:rsid w:val="00691AE3"/>
    <w:rsid w:val="00691B39"/>
    <w:rsid w:val="00691DAB"/>
    <w:rsid w:val="00691EE5"/>
    <w:rsid w:val="00692187"/>
    <w:rsid w:val="0069222F"/>
    <w:rsid w:val="00692281"/>
    <w:rsid w:val="0069237B"/>
    <w:rsid w:val="006929DE"/>
    <w:rsid w:val="00692CB9"/>
    <w:rsid w:val="00692D28"/>
    <w:rsid w:val="00692F51"/>
    <w:rsid w:val="00693212"/>
    <w:rsid w:val="00693416"/>
    <w:rsid w:val="006937A0"/>
    <w:rsid w:val="006939F4"/>
    <w:rsid w:val="00693C3F"/>
    <w:rsid w:val="00693C98"/>
    <w:rsid w:val="00693CD4"/>
    <w:rsid w:val="00693E09"/>
    <w:rsid w:val="00694093"/>
    <w:rsid w:val="0069437A"/>
    <w:rsid w:val="006943ED"/>
    <w:rsid w:val="0069440B"/>
    <w:rsid w:val="00694535"/>
    <w:rsid w:val="0069460F"/>
    <w:rsid w:val="0069471C"/>
    <w:rsid w:val="00694791"/>
    <w:rsid w:val="00694EB6"/>
    <w:rsid w:val="00695088"/>
    <w:rsid w:val="0069514E"/>
    <w:rsid w:val="00695212"/>
    <w:rsid w:val="006952C8"/>
    <w:rsid w:val="0069531C"/>
    <w:rsid w:val="006953B7"/>
    <w:rsid w:val="006956E9"/>
    <w:rsid w:val="00695784"/>
    <w:rsid w:val="00695BD0"/>
    <w:rsid w:val="00695C42"/>
    <w:rsid w:val="00695D62"/>
    <w:rsid w:val="00695F5E"/>
    <w:rsid w:val="00695FB8"/>
    <w:rsid w:val="006961CC"/>
    <w:rsid w:val="006963CA"/>
    <w:rsid w:val="006964C7"/>
    <w:rsid w:val="00696A84"/>
    <w:rsid w:val="00696AD6"/>
    <w:rsid w:val="00696BB5"/>
    <w:rsid w:val="00696C21"/>
    <w:rsid w:val="00696C8A"/>
    <w:rsid w:val="00696F73"/>
    <w:rsid w:val="00696FAC"/>
    <w:rsid w:val="00697221"/>
    <w:rsid w:val="00697867"/>
    <w:rsid w:val="00697AE4"/>
    <w:rsid w:val="00697DD2"/>
    <w:rsid w:val="00697F04"/>
    <w:rsid w:val="00697F0D"/>
    <w:rsid w:val="006A0385"/>
    <w:rsid w:val="006A05C3"/>
    <w:rsid w:val="006A088F"/>
    <w:rsid w:val="006A0BF9"/>
    <w:rsid w:val="006A0D2D"/>
    <w:rsid w:val="006A11E1"/>
    <w:rsid w:val="006A1571"/>
    <w:rsid w:val="006A16C1"/>
    <w:rsid w:val="006A1731"/>
    <w:rsid w:val="006A1801"/>
    <w:rsid w:val="006A182A"/>
    <w:rsid w:val="006A1870"/>
    <w:rsid w:val="006A1B53"/>
    <w:rsid w:val="006A1F89"/>
    <w:rsid w:val="006A242C"/>
    <w:rsid w:val="006A249A"/>
    <w:rsid w:val="006A2696"/>
    <w:rsid w:val="006A2755"/>
    <w:rsid w:val="006A294E"/>
    <w:rsid w:val="006A2E24"/>
    <w:rsid w:val="006A306E"/>
    <w:rsid w:val="006A31D6"/>
    <w:rsid w:val="006A3224"/>
    <w:rsid w:val="006A32AD"/>
    <w:rsid w:val="006A3B10"/>
    <w:rsid w:val="006A465B"/>
    <w:rsid w:val="006A46BE"/>
    <w:rsid w:val="006A4955"/>
    <w:rsid w:val="006A4ADE"/>
    <w:rsid w:val="006A4F20"/>
    <w:rsid w:val="006A50D6"/>
    <w:rsid w:val="006A534B"/>
    <w:rsid w:val="006A5736"/>
    <w:rsid w:val="006A5A58"/>
    <w:rsid w:val="006A637F"/>
    <w:rsid w:val="006A649F"/>
    <w:rsid w:val="006A6A0C"/>
    <w:rsid w:val="006A6BEE"/>
    <w:rsid w:val="006A71A6"/>
    <w:rsid w:val="006A79DB"/>
    <w:rsid w:val="006A7DC4"/>
    <w:rsid w:val="006A7DDE"/>
    <w:rsid w:val="006B0357"/>
    <w:rsid w:val="006B0388"/>
    <w:rsid w:val="006B0706"/>
    <w:rsid w:val="006B0ACB"/>
    <w:rsid w:val="006B0B55"/>
    <w:rsid w:val="006B0C89"/>
    <w:rsid w:val="006B0FC8"/>
    <w:rsid w:val="006B1641"/>
    <w:rsid w:val="006B18CD"/>
    <w:rsid w:val="006B19D9"/>
    <w:rsid w:val="006B1D40"/>
    <w:rsid w:val="006B1D58"/>
    <w:rsid w:val="006B1ECC"/>
    <w:rsid w:val="006B2024"/>
    <w:rsid w:val="006B22E1"/>
    <w:rsid w:val="006B24DC"/>
    <w:rsid w:val="006B24F2"/>
    <w:rsid w:val="006B25D8"/>
    <w:rsid w:val="006B2B67"/>
    <w:rsid w:val="006B2C0C"/>
    <w:rsid w:val="006B2F6A"/>
    <w:rsid w:val="006B327C"/>
    <w:rsid w:val="006B3438"/>
    <w:rsid w:val="006B3927"/>
    <w:rsid w:val="006B3C58"/>
    <w:rsid w:val="006B3E06"/>
    <w:rsid w:val="006B3E1D"/>
    <w:rsid w:val="006B41EE"/>
    <w:rsid w:val="006B4265"/>
    <w:rsid w:val="006B4276"/>
    <w:rsid w:val="006B45C9"/>
    <w:rsid w:val="006B48D0"/>
    <w:rsid w:val="006B4B45"/>
    <w:rsid w:val="006B504B"/>
    <w:rsid w:val="006B5259"/>
    <w:rsid w:val="006B52D6"/>
    <w:rsid w:val="006B5727"/>
    <w:rsid w:val="006B59B2"/>
    <w:rsid w:val="006B6176"/>
    <w:rsid w:val="006B61BA"/>
    <w:rsid w:val="006B65FE"/>
    <w:rsid w:val="006B689F"/>
    <w:rsid w:val="006B6B76"/>
    <w:rsid w:val="006B6E05"/>
    <w:rsid w:val="006B6F55"/>
    <w:rsid w:val="006B6F85"/>
    <w:rsid w:val="006B721E"/>
    <w:rsid w:val="006B73D0"/>
    <w:rsid w:val="006B74B9"/>
    <w:rsid w:val="006B7708"/>
    <w:rsid w:val="006B78BF"/>
    <w:rsid w:val="006B7949"/>
    <w:rsid w:val="006B79F8"/>
    <w:rsid w:val="006B7B55"/>
    <w:rsid w:val="006B7BEE"/>
    <w:rsid w:val="006C0251"/>
    <w:rsid w:val="006C04B4"/>
    <w:rsid w:val="006C05EE"/>
    <w:rsid w:val="006C0A12"/>
    <w:rsid w:val="006C0E7F"/>
    <w:rsid w:val="006C11DF"/>
    <w:rsid w:val="006C1560"/>
    <w:rsid w:val="006C194F"/>
    <w:rsid w:val="006C1A5D"/>
    <w:rsid w:val="006C2282"/>
    <w:rsid w:val="006C22CD"/>
    <w:rsid w:val="006C2526"/>
    <w:rsid w:val="006C2646"/>
    <w:rsid w:val="006C26C8"/>
    <w:rsid w:val="006C2A1C"/>
    <w:rsid w:val="006C2E75"/>
    <w:rsid w:val="006C2F8E"/>
    <w:rsid w:val="006C3084"/>
    <w:rsid w:val="006C3242"/>
    <w:rsid w:val="006C32C6"/>
    <w:rsid w:val="006C35DC"/>
    <w:rsid w:val="006C36C9"/>
    <w:rsid w:val="006C3BC1"/>
    <w:rsid w:val="006C3ED6"/>
    <w:rsid w:val="006C41EC"/>
    <w:rsid w:val="006C45A8"/>
    <w:rsid w:val="006C462F"/>
    <w:rsid w:val="006C4A3E"/>
    <w:rsid w:val="006C4CFA"/>
    <w:rsid w:val="006C4EF6"/>
    <w:rsid w:val="006C4F23"/>
    <w:rsid w:val="006C5695"/>
    <w:rsid w:val="006C5858"/>
    <w:rsid w:val="006C605D"/>
    <w:rsid w:val="006C60A3"/>
    <w:rsid w:val="006C62CD"/>
    <w:rsid w:val="006C64AB"/>
    <w:rsid w:val="006C669A"/>
    <w:rsid w:val="006C66A0"/>
    <w:rsid w:val="006C66D5"/>
    <w:rsid w:val="006C678B"/>
    <w:rsid w:val="006C6985"/>
    <w:rsid w:val="006C6BC0"/>
    <w:rsid w:val="006C6E1B"/>
    <w:rsid w:val="006C72B9"/>
    <w:rsid w:val="006C77E8"/>
    <w:rsid w:val="006D0449"/>
    <w:rsid w:val="006D048D"/>
    <w:rsid w:val="006D0AC8"/>
    <w:rsid w:val="006D0CE7"/>
    <w:rsid w:val="006D0F54"/>
    <w:rsid w:val="006D1000"/>
    <w:rsid w:val="006D13A2"/>
    <w:rsid w:val="006D1459"/>
    <w:rsid w:val="006D15A3"/>
    <w:rsid w:val="006D15CB"/>
    <w:rsid w:val="006D1615"/>
    <w:rsid w:val="006D1647"/>
    <w:rsid w:val="006D1741"/>
    <w:rsid w:val="006D196E"/>
    <w:rsid w:val="006D1B48"/>
    <w:rsid w:val="006D1CC5"/>
    <w:rsid w:val="006D1CF0"/>
    <w:rsid w:val="006D1FD1"/>
    <w:rsid w:val="006D1FE7"/>
    <w:rsid w:val="006D22C5"/>
    <w:rsid w:val="006D25DF"/>
    <w:rsid w:val="006D2E90"/>
    <w:rsid w:val="006D2F69"/>
    <w:rsid w:val="006D306B"/>
    <w:rsid w:val="006D341D"/>
    <w:rsid w:val="006D3872"/>
    <w:rsid w:val="006D3980"/>
    <w:rsid w:val="006D3C3C"/>
    <w:rsid w:val="006D4155"/>
    <w:rsid w:val="006D421C"/>
    <w:rsid w:val="006D454A"/>
    <w:rsid w:val="006D4F63"/>
    <w:rsid w:val="006D502B"/>
    <w:rsid w:val="006D5301"/>
    <w:rsid w:val="006D54BF"/>
    <w:rsid w:val="006D586A"/>
    <w:rsid w:val="006D58EE"/>
    <w:rsid w:val="006D5AFC"/>
    <w:rsid w:val="006D5C0E"/>
    <w:rsid w:val="006D5C8C"/>
    <w:rsid w:val="006D61E5"/>
    <w:rsid w:val="006D643F"/>
    <w:rsid w:val="006D6594"/>
    <w:rsid w:val="006D6D75"/>
    <w:rsid w:val="006D7020"/>
    <w:rsid w:val="006D71DB"/>
    <w:rsid w:val="006D752F"/>
    <w:rsid w:val="006D75A7"/>
    <w:rsid w:val="006D794E"/>
    <w:rsid w:val="006D7EB6"/>
    <w:rsid w:val="006E00DC"/>
    <w:rsid w:val="006E0237"/>
    <w:rsid w:val="006E05F0"/>
    <w:rsid w:val="006E0769"/>
    <w:rsid w:val="006E090E"/>
    <w:rsid w:val="006E0CC0"/>
    <w:rsid w:val="006E121A"/>
    <w:rsid w:val="006E1227"/>
    <w:rsid w:val="006E158C"/>
    <w:rsid w:val="006E15B6"/>
    <w:rsid w:val="006E16B6"/>
    <w:rsid w:val="006E170E"/>
    <w:rsid w:val="006E1918"/>
    <w:rsid w:val="006E1A0F"/>
    <w:rsid w:val="006E1A14"/>
    <w:rsid w:val="006E1C3B"/>
    <w:rsid w:val="006E1CC8"/>
    <w:rsid w:val="006E2139"/>
    <w:rsid w:val="006E26F2"/>
    <w:rsid w:val="006E276F"/>
    <w:rsid w:val="006E2907"/>
    <w:rsid w:val="006E2930"/>
    <w:rsid w:val="006E2FFC"/>
    <w:rsid w:val="006E30BE"/>
    <w:rsid w:val="006E343A"/>
    <w:rsid w:val="006E347F"/>
    <w:rsid w:val="006E36DA"/>
    <w:rsid w:val="006E4073"/>
    <w:rsid w:val="006E424B"/>
    <w:rsid w:val="006E496F"/>
    <w:rsid w:val="006E4F7C"/>
    <w:rsid w:val="006E505A"/>
    <w:rsid w:val="006E5965"/>
    <w:rsid w:val="006E5CA2"/>
    <w:rsid w:val="006E603B"/>
    <w:rsid w:val="006E68ED"/>
    <w:rsid w:val="006E6A9F"/>
    <w:rsid w:val="006E6B68"/>
    <w:rsid w:val="006E6C7D"/>
    <w:rsid w:val="006E73C6"/>
    <w:rsid w:val="006E7543"/>
    <w:rsid w:val="006E755C"/>
    <w:rsid w:val="006F0670"/>
    <w:rsid w:val="006F0B39"/>
    <w:rsid w:val="006F0D5B"/>
    <w:rsid w:val="006F0DB7"/>
    <w:rsid w:val="006F0FB3"/>
    <w:rsid w:val="006F102D"/>
    <w:rsid w:val="006F12D5"/>
    <w:rsid w:val="006F1315"/>
    <w:rsid w:val="006F1602"/>
    <w:rsid w:val="006F1A53"/>
    <w:rsid w:val="006F1D72"/>
    <w:rsid w:val="006F1E68"/>
    <w:rsid w:val="006F1E9D"/>
    <w:rsid w:val="006F1EE8"/>
    <w:rsid w:val="006F2099"/>
    <w:rsid w:val="006F20E3"/>
    <w:rsid w:val="006F229A"/>
    <w:rsid w:val="006F23A9"/>
    <w:rsid w:val="006F2733"/>
    <w:rsid w:val="006F27C1"/>
    <w:rsid w:val="006F2D2C"/>
    <w:rsid w:val="006F2EE8"/>
    <w:rsid w:val="006F327A"/>
    <w:rsid w:val="006F3628"/>
    <w:rsid w:val="006F3729"/>
    <w:rsid w:val="006F3888"/>
    <w:rsid w:val="006F3C7D"/>
    <w:rsid w:val="006F3DE4"/>
    <w:rsid w:val="006F49EE"/>
    <w:rsid w:val="006F4A99"/>
    <w:rsid w:val="006F5054"/>
    <w:rsid w:val="006F5088"/>
    <w:rsid w:val="006F511C"/>
    <w:rsid w:val="006F5421"/>
    <w:rsid w:val="006F5677"/>
    <w:rsid w:val="006F5758"/>
    <w:rsid w:val="006F579E"/>
    <w:rsid w:val="006F5D65"/>
    <w:rsid w:val="006F5DC3"/>
    <w:rsid w:val="006F5F49"/>
    <w:rsid w:val="006F5F91"/>
    <w:rsid w:val="006F6336"/>
    <w:rsid w:val="006F6423"/>
    <w:rsid w:val="006F64E4"/>
    <w:rsid w:val="006F657E"/>
    <w:rsid w:val="006F65A2"/>
    <w:rsid w:val="006F65A8"/>
    <w:rsid w:val="006F6883"/>
    <w:rsid w:val="006F68B9"/>
    <w:rsid w:val="006F6E43"/>
    <w:rsid w:val="006F6F77"/>
    <w:rsid w:val="006F706E"/>
    <w:rsid w:val="006F7829"/>
    <w:rsid w:val="006F7A1C"/>
    <w:rsid w:val="006F7BAD"/>
    <w:rsid w:val="00700117"/>
    <w:rsid w:val="00700605"/>
    <w:rsid w:val="0070067F"/>
    <w:rsid w:val="00700A5F"/>
    <w:rsid w:val="00700B6D"/>
    <w:rsid w:val="00701185"/>
    <w:rsid w:val="0070160B"/>
    <w:rsid w:val="00701F68"/>
    <w:rsid w:val="007021CB"/>
    <w:rsid w:val="007029A7"/>
    <w:rsid w:val="00702E01"/>
    <w:rsid w:val="00702EBE"/>
    <w:rsid w:val="00702EDF"/>
    <w:rsid w:val="00702F5F"/>
    <w:rsid w:val="0070321A"/>
    <w:rsid w:val="0070334B"/>
    <w:rsid w:val="007033F4"/>
    <w:rsid w:val="00703B3E"/>
    <w:rsid w:val="00703B9D"/>
    <w:rsid w:val="00703D04"/>
    <w:rsid w:val="00703DAB"/>
    <w:rsid w:val="00703F2C"/>
    <w:rsid w:val="007040A4"/>
    <w:rsid w:val="0070436E"/>
    <w:rsid w:val="00704556"/>
    <w:rsid w:val="00704C2F"/>
    <w:rsid w:val="00704D19"/>
    <w:rsid w:val="0070513C"/>
    <w:rsid w:val="00705283"/>
    <w:rsid w:val="0070533D"/>
    <w:rsid w:val="00705797"/>
    <w:rsid w:val="00705B41"/>
    <w:rsid w:val="00705CF2"/>
    <w:rsid w:val="00705D11"/>
    <w:rsid w:val="007065C2"/>
    <w:rsid w:val="007067A8"/>
    <w:rsid w:val="007067F5"/>
    <w:rsid w:val="00706988"/>
    <w:rsid w:val="00706A0B"/>
    <w:rsid w:val="00707003"/>
    <w:rsid w:val="00707083"/>
    <w:rsid w:val="007071ED"/>
    <w:rsid w:val="0070720C"/>
    <w:rsid w:val="007072C0"/>
    <w:rsid w:val="007074E5"/>
    <w:rsid w:val="007075DE"/>
    <w:rsid w:val="0070764B"/>
    <w:rsid w:val="007076DC"/>
    <w:rsid w:val="00707B51"/>
    <w:rsid w:val="00707E23"/>
    <w:rsid w:val="007100EC"/>
    <w:rsid w:val="00710452"/>
    <w:rsid w:val="007110A8"/>
    <w:rsid w:val="007110AA"/>
    <w:rsid w:val="00711277"/>
    <w:rsid w:val="0071154B"/>
    <w:rsid w:val="00711840"/>
    <w:rsid w:val="00711954"/>
    <w:rsid w:val="00711A13"/>
    <w:rsid w:val="00711F27"/>
    <w:rsid w:val="0071231F"/>
    <w:rsid w:val="007127C1"/>
    <w:rsid w:val="00712A0F"/>
    <w:rsid w:val="00712A1A"/>
    <w:rsid w:val="00713104"/>
    <w:rsid w:val="00713291"/>
    <w:rsid w:val="007135A0"/>
    <w:rsid w:val="007135A4"/>
    <w:rsid w:val="00713F63"/>
    <w:rsid w:val="0071400B"/>
    <w:rsid w:val="007141D4"/>
    <w:rsid w:val="007143FA"/>
    <w:rsid w:val="0071450E"/>
    <w:rsid w:val="00714561"/>
    <w:rsid w:val="007145FA"/>
    <w:rsid w:val="00715104"/>
    <w:rsid w:val="007153E6"/>
    <w:rsid w:val="00715B55"/>
    <w:rsid w:val="0071660A"/>
    <w:rsid w:val="00716AF5"/>
    <w:rsid w:val="00716B5E"/>
    <w:rsid w:val="00716DFB"/>
    <w:rsid w:val="007172A3"/>
    <w:rsid w:val="0071760B"/>
    <w:rsid w:val="007179CC"/>
    <w:rsid w:val="00717C4B"/>
    <w:rsid w:val="007200F0"/>
    <w:rsid w:val="00720715"/>
    <w:rsid w:val="00720CCC"/>
    <w:rsid w:val="00720FC2"/>
    <w:rsid w:val="007213B3"/>
    <w:rsid w:val="007217F1"/>
    <w:rsid w:val="00721892"/>
    <w:rsid w:val="00721938"/>
    <w:rsid w:val="0072195B"/>
    <w:rsid w:val="00721BB8"/>
    <w:rsid w:val="00722127"/>
    <w:rsid w:val="007223C3"/>
    <w:rsid w:val="00722458"/>
    <w:rsid w:val="0072270A"/>
    <w:rsid w:val="007227F7"/>
    <w:rsid w:val="00722C64"/>
    <w:rsid w:val="00723121"/>
    <w:rsid w:val="007231D7"/>
    <w:rsid w:val="00723967"/>
    <w:rsid w:val="00723D67"/>
    <w:rsid w:val="00723DA2"/>
    <w:rsid w:val="00724097"/>
    <w:rsid w:val="00724174"/>
    <w:rsid w:val="00724264"/>
    <w:rsid w:val="007248F8"/>
    <w:rsid w:val="00724991"/>
    <w:rsid w:val="00724AC2"/>
    <w:rsid w:val="00724FAD"/>
    <w:rsid w:val="0072523E"/>
    <w:rsid w:val="00725487"/>
    <w:rsid w:val="007255AD"/>
    <w:rsid w:val="0072580C"/>
    <w:rsid w:val="00725C60"/>
    <w:rsid w:val="00726032"/>
    <w:rsid w:val="007267D4"/>
    <w:rsid w:val="00726A92"/>
    <w:rsid w:val="00726B3A"/>
    <w:rsid w:val="00726C46"/>
    <w:rsid w:val="007270EB"/>
    <w:rsid w:val="00727218"/>
    <w:rsid w:val="007272B6"/>
    <w:rsid w:val="00727CE3"/>
    <w:rsid w:val="00730604"/>
    <w:rsid w:val="007306F1"/>
    <w:rsid w:val="00730ACE"/>
    <w:rsid w:val="00730B04"/>
    <w:rsid w:val="00730F88"/>
    <w:rsid w:val="007313AE"/>
    <w:rsid w:val="00731490"/>
    <w:rsid w:val="00731B2F"/>
    <w:rsid w:val="00731C5B"/>
    <w:rsid w:val="00731FD7"/>
    <w:rsid w:val="007320D9"/>
    <w:rsid w:val="00732177"/>
    <w:rsid w:val="00732654"/>
    <w:rsid w:val="00732A52"/>
    <w:rsid w:val="00732ACC"/>
    <w:rsid w:val="00732AFA"/>
    <w:rsid w:val="00732BC3"/>
    <w:rsid w:val="00732C19"/>
    <w:rsid w:val="00733002"/>
    <w:rsid w:val="00733268"/>
    <w:rsid w:val="00733422"/>
    <w:rsid w:val="007338E2"/>
    <w:rsid w:val="00734EA7"/>
    <w:rsid w:val="007350D2"/>
    <w:rsid w:val="00735CEF"/>
    <w:rsid w:val="00735EC7"/>
    <w:rsid w:val="0073600B"/>
    <w:rsid w:val="007361DE"/>
    <w:rsid w:val="007364A6"/>
    <w:rsid w:val="00736523"/>
    <w:rsid w:val="00736882"/>
    <w:rsid w:val="007375F0"/>
    <w:rsid w:val="00737621"/>
    <w:rsid w:val="007379E9"/>
    <w:rsid w:val="00737A1E"/>
    <w:rsid w:val="00737B77"/>
    <w:rsid w:val="00737E58"/>
    <w:rsid w:val="00740779"/>
    <w:rsid w:val="00740D01"/>
    <w:rsid w:val="00740E32"/>
    <w:rsid w:val="0074118C"/>
    <w:rsid w:val="007419D9"/>
    <w:rsid w:val="007419E2"/>
    <w:rsid w:val="00741C79"/>
    <w:rsid w:val="00741FEB"/>
    <w:rsid w:val="0074203A"/>
    <w:rsid w:val="00742064"/>
    <w:rsid w:val="00742088"/>
    <w:rsid w:val="007423EB"/>
    <w:rsid w:val="007423FF"/>
    <w:rsid w:val="00742624"/>
    <w:rsid w:val="00742A2B"/>
    <w:rsid w:val="00742B8B"/>
    <w:rsid w:val="007435A6"/>
    <w:rsid w:val="0074383E"/>
    <w:rsid w:val="00743AD9"/>
    <w:rsid w:val="00743E41"/>
    <w:rsid w:val="00743FDA"/>
    <w:rsid w:val="00744074"/>
    <w:rsid w:val="00744311"/>
    <w:rsid w:val="00744608"/>
    <w:rsid w:val="00744653"/>
    <w:rsid w:val="00744770"/>
    <w:rsid w:val="00744ABE"/>
    <w:rsid w:val="00744ADD"/>
    <w:rsid w:val="00744DBF"/>
    <w:rsid w:val="00744F6D"/>
    <w:rsid w:val="00745143"/>
    <w:rsid w:val="007456D0"/>
    <w:rsid w:val="0074597C"/>
    <w:rsid w:val="00745BBC"/>
    <w:rsid w:val="007463B1"/>
    <w:rsid w:val="00746483"/>
    <w:rsid w:val="00746509"/>
    <w:rsid w:val="007466D5"/>
    <w:rsid w:val="0074687C"/>
    <w:rsid w:val="00746942"/>
    <w:rsid w:val="00746AB8"/>
    <w:rsid w:val="007478D6"/>
    <w:rsid w:val="00747942"/>
    <w:rsid w:val="00747AC1"/>
    <w:rsid w:val="00747E7F"/>
    <w:rsid w:val="00750339"/>
    <w:rsid w:val="00750571"/>
    <w:rsid w:val="00750F70"/>
    <w:rsid w:val="007510A3"/>
    <w:rsid w:val="007515D0"/>
    <w:rsid w:val="00751CBA"/>
    <w:rsid w:val="00751E0F"/>
    <w:rsid w:val="00752136"/>
    <w:rsid w:val="0075221E"/>
    <w:rsid w:val="0075225A"/>
    <w:rsid w:val="00752383"/>
    <w:rsid w:val="00752484"/>
    <w:rsid w:val="00752A21"/>
    <w:rsid w:val="00752BC7"/>
    <w:rsid w:val="00752FFD"/>
    <w:rsid w:val="0075414B"/>
    <w:rsid w:val="0075447E"/>
    <w:rsid w:val="00754B15"/>
    <w:rsid w:val="00754B55"/>
    <w:rsid w:val="00755513"/>
    <w:rsid w:val="007555DB"/>
    <w:rsid w:val="00755E2D"/>
    <w:rsid w:val="00756166"/>
    <w:rsid w:val="007567E7"/>
    <w:rsid w:val="00756A1E"/>
    <w:rsid w:val="00756A79"/>
    <w:rsid w:val="00756BA0"/>
    <w:rsid w:val="00756CFA"/>
    <w:rsid w:val="00756E6A"/>
    <w:rsid w:val="00756EA3"/>
    <w:rsid w:val="00756F29"/>
    <w:rsid w:val="00757103"/>
    <w:rsid w:val="007573D2"/>
    <w:rsid w:val="007577AB"/>
    <w:rsid w:val="00757C3B"/>
    <w:rsid w:val="00760120"/>
    <w:rsid w:val="007608A1"/>
    <w:rsid w:val="00760959"/>
    <w:rsid w:val="00760A8A"/>
    <w:rsid w:val="00761321"/>
    <w:rsid w:val="00761796"/>
    <w:rsid w:val="00761878"/>
    <w:rsid w:val="007619D2"/>
    <w:rsid w:val="00761A40"/>
    <w:rsid w:val="00761CF9"/>
    <w:rsid w:val="00761D1A"/>
    <w:rsid w:val="007620A2"/>
    <w:rsid w:val="00762185"/>
    <w:rsid w:val="0076297B"/>
    <w:rsid w:val="00762CB9"/>
    <w:rsid w:val="00762EB1"/>
    <w:rsid w:val="00762F36"/>
    <w:rsid w:val="0076325C"/>
    <w:rsid w:val="0076357A"/>
    <w:rsid w:val="00763B39"/>
    <w:rsid w:val="007640A4"/>
    <w:rsid w:val="00765006"/>
    <w:rsid w:val="00765068"/>
    <w:rsid w:val="007659A6"/>
    <w:rsid w:val="00765A9F"/>
    <w:rsid w:val="00765BC3"/>
    <w:rsid w:val="00765E1E"/>
    <w:rsid w:val="007662DD"/>
    <w:rsid w:val="007664E2"/>
    <w:rsid w:val="0076666E"/>
    <w:rsid w:val="00766FE4"/>
    <w:rsid w:val="007672AD"/>
    <w:rsid w:val="0076773F"/>
    <w:rsid w:val="0076780A"/>
    <w:rsid w:val="0076781F"/>
    <w:rsid w:val="007678CF"/>
    <w:rsid w:val="00767E9E"/>
    <w:rsid w:val="00767FE3"/>
    <w:rsid w:val="00770060"/>
    <w:rsid w:val="00770379"/>
    <w:rsid w:val="00770451"/>
    <w:rsid w:val="00770BF1"/>
    <w:rsid w:val="007712F8"/>
    <w:rsid w:val="0077156E"/>
    <w:rsid w:val="0077168D"/>
    <w:rsid w:val="007718EE"/>
    <w:rsid w:val="00771A05"/>
    <w:rsid w:val="00772144"/>
    <w:rsid w:val="00772222"/>
    <w:rsid w:val="007723CB"/>
    <w:rsid w:val="007724CA"/>
    <w:rsid w:val="00772661"/>
    <w:rsid w:val="007727F5"/>
    <w:rsid w:val="007728BC"/>
    <w:rsid w:val="00772B15"/>
    <w:rsid w:val="0077344A"/>
    <w:rsid w:val="00773C9D"/>
    <w:rsid w:val="00773F8A"/>
    <w:rsid w:val="007741E1"/>
    <w:rsid w:val="00774310"/>
    <w:rsid w:val="00774CB7"/>
    <w:rsid w:val="00774E81"/>
    <w:rsid w:val="00775384"/>
    <w:rsid w:val="00775BC2"/>
    <w:rsid w:val="00775BCB"/>
    <w:rsid w:val="0077609A"/>
    <w:rsid w:val="0077611D"/>
    <w:rsid w:val="0077653C"/>
    <w:rsid w:val="007767E1"/>
    <w:rsid w:val="00776CF6"/>
    <w:rsid w:val="00777775"/>
    <w:rsid w:val="00777842"/>
    <w:rsid w:val="0077785E"/>
    <w:rsid w:val="00777871"/>
    <w:rsid w:val="00777921"/>
    <w:rsid w:val="00777D4A"/>
    <w:rsid w:val="00777E56"/>
    <w:rsid w:val="00777E72"/>
    <w:rsid w:val="00777EE6"/>
    <w:rsid w:val="00777FDB"/>
    <w:rsid w:val="007805E1"/>
    <w:rsid w:val="007806D7"/>
    <w:rsid w:val="00780717"/>
    <w:rsid w:val="0078091F"/>
    <w:rsid w:val="00780D3D"/>
    <w:rsid w:val="007812C1"/>
    <w:rsid w:val="00781640"/>
    <w:rsid w:val="007817B0"/>
    <w:rsid w:val="00781B7F"/>
    <w:rsid w:val="0078207A"/>
    <w:rsid w:val="007822CD"/>
    <w:rsid w:val="00782336"/>
    <w:rsid w:val="00782551"/>
    <w:rsid w:val="00782617"/>
    <w:rsid w:val="00782911"/>
    <w:rsid w:val="00782A53"/>
    <w:rsid w:val="00782B5D"/>
    <w:rsid w:val="00782DDB"/>
    <w:rsid w:val="00782F07"/>
    <w:rsid w:val="00783766"/>
    <w:rsid w:val="00783AB6"/>
    <w:rsid w:val="00783AD7"/>
    <w:rsid w:val="00783C10"/>
    <w:rsid w:val="00783CED"/>
    <w:rsid w:val="00783DE5"/>
    <w:rsid w:val="00784371"/>
    <w:rsid w:val="007845A4"/>
    <w:rsid w:val="0078467D"/>
    <w:rsid w:val="00784720"/>
    <w:rsid w:val="00784738"/>
    <w:rsid w:val="0078477B"/>
    <w:rsid w:val="00784946"/>
    <w:rsid w:val="00784C63"/>
    <w:rsid w:val="00784CDA"/>
    <w:rsid w:val="00784FB6"/>
    <w:rsid w:val="0078506C"/>
    <w:rsid w:val="007852BA"/>
    <w:rsid w:val="007852F4"/>
    <w:rsid w:val="00785303"/>
    <w:rsid w:val="007856F5"/>
    <w:rsid w:val="007858A6"/>
    <w:rsid w:val="007858BB"/>
    <w:rsid w:val="00785AD1"/>
    <w:rsid w:val="00785D42"/>
    <w:rsid w:val="00786081"/>
    <w:rsid w:val="007861D8"/>
    <w:rsid w:val="0078621E"/>
    <w:rsid w:val="007867D6"/>
    <w:rsid w:val="007869F8"/>
    <w:rsid w:val="00786B03"/>
    <w:rsid w:val="0078718A"/>
    <w:rsid w:val="00787255"/>
    <w:rsid w:val="00787680"/>
    <w:rsid w:val="00787AB5"/>
    <w:rsid w:val="00787FCD"/>
    <w:rsid w:val="0079009E"/>
    <w:rsid w:val="007900B7"/>
    <w:rsid w:val="007901C6"/>
    <w:rsid w:val="00790281"/>
    <w:rsid w:val="007905C5"/>
    <w:rsid w:val="007909E0"/>
    <w:rsid w:val="00790C1E"/>
    <w:rsid w:val="007910D6"/>
    <w:rsid w:val="0079131A"/>
    <w:rsid w:val="00791538"/>
    <w:rsid w:val="007915D1"/>
    <w:rsid w:val="00791670"/>
    <w:rsid w:val="007919DA"/>
    <w:rsid w:val="00791A5B"/>
    <w:rsid w:val="00791FE1"/>
    <w:rsid w:val="0079227C"/>
    <w:rsid w:val="00792580"/>
    <w:rsid w:val="00792719"/>
    <w:rsid w:val="0079274A"/>
    <w:rsid w:val="00792A46"/>
    <w:rsid w:val="00792DD0"/>
    <w:rsid w:val="00793214"/>
    <w:rsid w:val="007934C6"/>
    <w:rsid w:val="0079355C"/>
    <w:rsid w:val="00793673"/>
    <w:rsid w:val="0079381B"/>
    <w:rsid w:val="007939B3"/>
    <w:rsid w:val="00794499"/>
    <w:rsid w:val="007945AA"/>
    <w:rsid w:val="00794BBC"/>
    <w:rsid w:val="00794F76"/>
    <w:rsid w:val="00795382"/>
    <w:rsid w:val="007953D7"/>
    <w:rsid w:val="007954E2"/>
    <w:rsid w:val="0079565F"/>
    <w:rsid w:val="00795DD4"/>
    <w:rsid w:val="00795EE8"/>
    <w:rsid w:val="007963C0"/>
    <w:rsid w:val="007963F7"/>
    <w:rsid w:val="00796522"/>
    <w:rsid w:val="00796A47"/>
    <w:rsid w:val="00796C40"/>
    <w:rsid w:val="00797477"/>
    <w:rsid w:val="007976B6"/>
    <w:rsid w:val="00797763"/>
    <w:rsid w:val="00797A04"/>
    <w:rsid w:val="00797A6B"/>
    <w:rsid w:val="00797BCD"/>
    <w:rsid w:val="00797E72"/>
    <w:rsid w:val="00797E9B"/>
    <w:rsid w:val="00797F86"/>
    <w:rsid w:val="00797FD3"/>
    <w:rsid w:val="007A0341"/>
    <w:rsid w:val="007A0492"/>
    <w:rsid w:val="007A0798"/>
    <w:rsid w:val="007A0A5D"/>
    <w:rsid w:val="007A0D81"/>
    <w:rsid w:val="007A11E6"/>
    <w:rsid w:val="007A11FD"/>
    <w:rsid w:val="007A1325"/>
    <w:rsid w:val="007A144F"/>
    <w:rsid w:val="007A1557"/>
    <w:rsid w:val="007A17F2"/>
    <w:rsid w:val="007A17FB"/>
    <w:rsid w:val="007A1827"/>
    <w:rsid w:val="007A1B14"/>
    <w:rsid w:val="007A1FE2"/>
    <w:rsid w:val="007A2C06"/>
    <w:rsid w:val="007A2CE0"/>
    <w:rsid w:val="007A35CE"/>
    <w:rsid w:val="007A394E"/>
    <w:rsid w:val="007A417D"/>
    <w:rsid w:val="007A4189"/>
    <w:rsid w:val="007A4280"/>
    <w:rsid w:val="007A433F"/>
    <w:rsid w:val="007A470F"/>
    <w:rsid w:val="007A49B1"/>
    <w:rsid w:val="007A4B27"/>
    <w:rsid w:val="007A4C88"/>
    <w:rsid w:val="007A4F17"/>
    <w:rsid w:val="007A5346"/>
    <w:rsid w:val="007A5437"/>
    <w:rsid w:val="007A5967"/>
    <w:rsid w:val="007A5B57"/>
    <w:rsid w:val="007A5C36"/>
    <w:rsid w:val="007A5CF2"/>
    <w:rsid w:val="007A5D0A"/>
    <w:rsid w:val="007A5ECF"/>
    <w:rsid w:val="007A5EE9"/>
    <w:rsid w:val="007A65B4"/>
    <w:rsid w:val="007A6B5E"/>
    <w:rsid w:val="007A6D9D"/>
    <w:rsid w:val="007A7196"/>
    <w:rsid w:val="007A722C"/>
    <w:rsid w:val="007A7498"/>
    <w:rsid w:val="007A75C3"/>
    <w:rsid w:val="007A7829"/>
    <w:rsid w:val="007A7C82"/>
    <w:rsid w:val="007B0080"/>
    <w:rsid w:val="007B0107"/>
    <w:rsid w:val="007B0729"/>
    <w:rsid w:val="007B07C0"/>
    <w:rsid w:val="007B07D3"/>
    <w:rsid w:val="007B08FE"/>
    <w:rsid w:val="007B0B2E"/>
    <w:rsid w:val="007B0C1A"/>
    <w:rsid w:val="007B0C92"/>
    <w:rsid w:val="007B11B1"/>
    <w:rsid w:val="007B124D"/>
    <w:rsid w:val="007B12FD"/>
    <w:rsid w:val="007B1592"/>
    <w:rsid w:val="007B1894"/>
    <w:rsid w:val="007B1932"/>
    <w:rsid w:val="007B1B99"/>
    <w:rsid w:val="007B1BFC"/>
    <w:rsid w:val="007B1F74"/>
    <w:rsid w:val="007B1F85"/>
    <w:rsid w:val="007B2122"/>
    <w:rsid w:val="007B215E"/>
    <w:rsid w:val="007B2662"/>
    <w:rsid w:val="007B26A8"/>
    <w:rsid w:val="007B282A"/>
    <w:rsid w:val="007B29CF"/>
    <w:rsid w:val="007B2B58"/>
    <w:rsid w:val="007B2CF7"/>
    <w:rsid w:val="007B2ECC"/>
    <w:rsid w:val="007B2F77"/>
    <w:rsid w:val="007B32AE"/>
    <w:rsid w:val="007B3DE8"/>
    <w:rsid w:val="007B3F47"/>
    <w:rsid w:val="007B43F8"/>
    <w:rsid w:val="007B447D"/>
    <w:rsid w:val="007B47CF"/>
    <w:rsid w:val="007B4D4E"/>
    <w:rsid w:val="007B500A"/>
    <w:rsid w:val="007B5AE0"/>
    <w:rsid w:val="007B6000"/>
    <w:rsid w:val="007B6076"/>
    <w:rsid w:val="007B6521"/>
    <w:rsid w:val="007B67A0"/>
    <w:rsid w:val="007B6B13"/>
    <w:rsid w:val="007B7120"/>
    <w:rsid w:val="007B7A80"/>
    <w:rsid w:val="007B7DC8"/>
    <w:rsid w:val="007C01F5"/>
    <w:rsid w:val="007C11F6"/>
    <w:rsid w:val="007C1225"/>
    <w:rsid w:val="007C1547"/>
    <w:rsid w:val="007C23A3"/>
    <w:rsid w:val="007C25C4"/>
    <w:rsid w:val="007C271A"/>
    <w:rsid w:val="007C273C"/>
    <w:rsid w:val="007C27F7"/>
    <w:rsid w:val="007C2C71"/>
    <w:rsid w:val="007C2F1F"/>
    <w:rsid w:val="007C2F5A"/>
    <w:rsid w:val="007C3024"/>
    <w:rsid w:val="007C32F6"/>
    <w:rsid w:val="007C3533"/>
    <w:rsid w:val="007C3A5F"/>
    <w:rsid w:val="007C3B1B"/>
    <w:rsid w:val="007C3C5A"/>
    <w:rsid w:val="007C4B43"/>
    <w:rsid w:val="007C503A"/>
    <w:rsid w:val="007C52A9"/>
    <w:rsid w:val="007C57C9"/>
    <w:rsid w:val="007C5AA1"/>
    <w:rsid w:val="007C5BBE"/>
    <w:rsid w:val="007C5DCF"/>
    <w:rsid w:val="007C627F"/>
    <w:rsid w:val="007C63C3"/>
    <w:rsid w:val="007C6B1E"/>
    <w:rsid w:val="007C6BEA"/>
    <w:rsid w:val="007C6DD1"/>
    <w:rsid w:val="007C702C"/>
    <w:rsid w:val="007C749D"/>
    <w:rsid w:val="007C7CFD"/>
    <w:rsid w:val="007D0169"/>
    <w:rsid w:val="007D0216"/>
    <w:rsid w:val="007D06ED"/>
    <w:rsid w:val="007D08F1"/>
    <w:rsid w:val="007D09BD"/>
    <w:rsid w:val="007D0D09"/>
    <w:rsid w:val="007D0F23"/>
    <w:rsid w:val="007D1197"/>
    <w:rsid w:val="007D1A1B"/>
    <w:rsid w:val="007D1A30"/>
    <w:rsid w:val="007D211D"/>
    <w:rsid w:val="007D2180"/>
    <w:rsid w:val="007D243C"/>
    <w:rsid w:val="007D2689"/>
    <w:rsid w:val="007D2C33"/>
    <w:rsid w:val="007D2C3E"/>
    <w:rsid w:val="007D30F5"/>
    <w:rsid w:val="007D310D"/>
    <w:rsid w:val="007D368A"/>
    <w:rsid w:val="007D36F6"/>
    <w:rsid w:val="007D3850"/>
    <w:rsid w:val="007D3A6F"/>
    <w:rsid w:val="007D3D79"/>
    <w:rsid w:val="007D4987"/>
    <w:rsid w:val="007D4A49"/>
    <w:rsid w:val="007D4BFA"/>
    <w:rsid w:val="007D5078"/>
    <w:rsid w:val="007D517D"/>
    <w:rsid w:val="007D5277"/>
    <w:rsid w:val="007D5576"/>
    <w:rsid w:val="007D595B"/>
    <w:rsid w:val="007D59C9"/>
    <w:rsid w:val="007D5C6E"/>
    <w:rsid w:val="007D5F80"/>
    <w:rsid w:val="007D609C"/>
    <w:rsid w:val="007D60D0"/>
    <w:rsid w:val="007D60F4"/>
    <w:rsid w:val="007D676A"/>
    <w:rsid w:val="007D6AC1"/>
    <w:rsid w:val="007D6B45"/>
    <w:rsid w:val="007D6D06"/>
    <w:rsid w:val="007D6FEA"/>
    <w:rsid w:val="007D734A"/>
    <w:rsid w:val="007D7452"/>
    <w:rsid w:val="007D7511"/>
    <w:rsid w:val="007D7625"/>
    <w:rsid w:val="007D77F7"/>
    <w:rsid w:val="007D798F"/>
    <w:rsid w:val="007D7B42"/>
    <w:rsid w:val="007D7CDA"/>
    <w:rsid w:val="007D7E82"/>
    <w:rsid w:val="007E01D2"/>
    <w:rsid w:val="007E027D"/>
    <w:rsid w:val="007E050A"/>
    <w:rsid w:val="007E0815"/>
    <w:rsid w:val="007E0B29"/>
    <w:rsid w:val="007E12E7"/>
    <w:rsid w:val="007E1351"/>
    <w:rsid w:val="007E1484"/>
    <w:rsid w:val="007E16F7"/>
    <w:rsid w:val="007E17D1"/>
    <w:rsid w:val="007E18EA"/>
    <w:rsid w:val="007E2011"/>
    <w:rsid w:val="007E2534"/>
    <w:rsid w:val="007E2566"/>
    <w:rsid w:val="007E27C3"/>
    <w:rsid w:val="007E2866"/>
    <w:rsid w:val="007E2AC4"/>
    <w:rsid w:val="007E2B64"/>
    <w:rsid w:val="007E2E06"/>
    <w:rsid w:val="007E2E6F"/>
    <w:rsid w:val="007E2F11"/>
    <w:rsid w:val="007E30C5"/>
    <w:rsid w:val="007E384C"/>
    <w:rsid w:val="007E38AA"/>
    <w:rsid w:val="007E3D69"/>
    <w:rsid w:val="007E3DEA"/>
    <w:rsid w:val="007E40C9"/>
    <w:rsid w:val="007E41D9"/>
    <w:rsid w:val="007E432D"/>
    <w:rsid w:val="007E4AE9"/>
    <w:rsid w:val="007E4EF9"/>
    <w:rsid w:val="007E5002"/>
    <w:rsid w:val="007E5189"/>
    <w:rsid w:val="007E56DC"/>
    <w:rsid w:val="007E57B0"/>
    <w:rsid w:val="007E5841"/>
    <w:rsid w:val="007E5A07"/>
    <w:rsid w:val="007E5A25"/>
    <w:rsid w:val="007E5C02"/>
    <w:rsid w:val="007E5DC5"/>
    <w:rsid w:val="007E627D"/>
    <w:rsid w:val="007E6864"/>
    <w:rsid w:val="007E6B4A"/>
    <w:rsid w:val="007E6C30"/>
    <w:rsid w:val="007E6F7C"/>
    <w:rsid w:val="007E71D5"/>
    <w:rsid w:val="007E7906"/>
    <w:rsid w:val="007E7AB2"/>
    <w:rsid w:val="007E7C11"/>
    <w:rsid w:val="007E7EB7"/>
    <w:rsid w:val="007F03F0"/>
    <w:rsid w:val="007F049C"/>
    <w:rsid w:val="007F0569"/>
    <w:rsid w:val="007F05A9"/>
    <w:rsid w:val="007F06AD"/>
    <w:rsid w:val="007F07A3"/>
    <w:rsid w:val="007F07E9"/>
    <w:rsid w:val="007F09EC"/>
    <w:rsid w:val="007F0E94"/>
    <w:rsid w:val="007F0FCC"/>
    <w:rsid w:val="007F0FE3"/>
    <w:rsid w:val="007F11BC"/>
    <w:rsid w:val="007F1B59"/>
    <w:rsid w:val="007F1D87"/>
    <w:rsid w:val="007F220F"/>
    <w:rsid w:val="007F23AC"/>
    <w:rsid w:val="007F240E"/>
    <w:rsid w:val="007F2416"/>
    <w:rsid w:val="007F259E"/>
    <w:rsid w:val="007F265A"/>
    <w:rsid w:val="007F2BC6"/>
    <w:rsid w:val="007F2FAE"/>
    <w:rsid w:val="007F317E"/>
    <w:rsid w:val="007F3509"/>
    <w:rsid w:val="007F3AC3"/>
    <w:rsid w:val="007F3D8E"/>
    <w:rsid w:val="007F3EF3"/>
    <w:rsid w:val="007F40F6"/>
    <w:rsid w:val="007F416E"/>
    <w:rsid w:val="007F41C1"/>
    <w:rsid w:val="007F42E0"/>
    <w:rsid w:val="007F430A"/>
    <w:rsid w:val="007F4550"/>
    <w:rsid w:val="007F47C8"/>
    <w:rsid w:val="007F4865"/>
    <w:rsid w:val="007F48BC"/>
    <w:rsid w:val="007F4A93"/>
    <w:rsid w:val="007F4E31"/>
    <w:rsid w:val="007F50C8"/>
    <w:rsid w:val="007F57CF"/>
    <w:rsid w:val="007F584B"/>
    <w:rsid w:val="007F5868"/>
    <w:rsid w:val="007F5B20"/>
    <w:rsid w:val="007F5D88"/>
    <w:rsid w:val="007F609C"/>
    <w:rsid w:val="007F64FF"/>
    <w:rsid w:val="007F6911"/>
    <w:rsid w:val="007F6AAE"/>
    <w:rsid w:val="007F6AFB"/>
    <w:rsid w:val="007F6E38"/>
    <w:rsid w:val="007F7364"/>
    <w:rsid w:val="007F7A7A"/>
    <w:rsid w:val="007F7DC5"/>
    <w:rsid w:val="007F7FD4"/>
    <w:rsid w:val="00800565"/>
    <w:rsid w:val="00800846"/>
    <w:rsid w:val="0080092A"/>
    <w:rsid w:val="00800973"/>
    <w:rsid w:val="00800BD5"/>
    <w:rsid w:val="00800C6F"/>
    <w:rsid w:val="008015AD"/>
    <w:rsid w:val="00801929"/>
    <w:rsid w:val="00801EFD"/>
    <w:rsid w:val="00802979"/>
    <w:rsid w:val="00803210"/>
    <w:rsid w:val="00803303"/>
    <w:rsid w:val="00803404"/>
    <w:rsid w:val="008036A6"/>
    <w:rsid w:val="00803C35"/>
    <w:rsid w:val="008040E2"/>
    <w:rsid w:val="008041BA"/>
    <w:rsid w:val="0080450E"/>
    <w:rsid w:val="00804558"/>
    <w:rsid w:val="00804691"/>
    <w:rsid w:val="00804810"/>
    <w:rsid w:val="00804D23"/>
    <w:rsid w:val="00805190"/>
    <w:rsid w:val="0080519F"/>
    <w:rsid w:val="008053FA"/>
    <w:rsid w:val="008054CA"/>
    <w:rsid w:val="0080556B"/>
    <w:rsid w:val="008056E7"/>
    <w:rsid w:val="008056F4"/>
    <w:rsid w:val="00805951"/>
    <w:rsid w:val="00805C03"/>
    <w:rsid w:val="00805D0A"/>
    <w:rsid w:val="008065F3"/>
    <w:rsid w:val="008068FE"/>
    <w:rsid w:val="00806FC1"/>
    <w:rsid w:val="008070C5"/>
    <w:rsid w:val="0080732A"/>
    <w:rsid w:val="008073BA"/>
    <w:rsid w:val="0080749D"/>
    <w:rsid w:val="00807F88"/>
    <w:rsid w:val="00810123"/>
    <w:rsid w:val="0081037F"/>
    <w:rsid w:val="008103F9"/>
    <w:rsid w:val="00810496"/>
    <w:rsid w:val="008104F8"/>
    <w:rsid w:val="00810690"/>
    <w:rsid w:val="008111A6"/>
    <w:rsid w:val="00811564"/>
    <w:rsid w:val="00811888"/>
    <w:rsid w:val="00811902"/>
    <w:rsid w:val="008119D8"/>
    <w:rsid w:val="00811B67"/>
    <w:rsid w:val="00811F48"/>
    <w:rsid w:val="00812488"/>
    <w:rsid w:val="008124A8"/>
    <w:rsid w:val="0081263A"/>
    <w:rsid w:val="008129B5"/>
    <w:rsid w:val="0081303A"/>
    <w:rsid w:val="008132E7"/>
    <w:rsid w:val="008135A0"/>
    <w:rsid w:val="00813A4F"/>
    <w:rsid w:val="00813B4C"/>
    <w:rsid w:val="00813B5F"/>
    <w:rsid w:val="00813C27"/>
    <w:rsid w:val="00814285"/>
    <w:rsid w:val="008144F5"/>
    <w:rsid w:val="00814692"/>
    <w:rsid w:val="00814F9B"/>
    <w:rsid w:val="00815E33"/>
    <w:rsid w:val="008160EF"/>
    <w:rsid w:val="00816408"/>
    <w:rsid w:val="00816433"/>
    <w:rsid w:val="008165A8"/>
    <w:rsid w:val="008165E4"/>
    <w:rsid w:val="00816B07"/>
    <w:rsid w:val="00816CD4"/>
    <w:rsid w:val="008170FE"/>
    <w:rsid w:val="00817AAE"/>
    <w:rsid w:val="00817D6F"/>
    <w:rsid w:val="00817F8D"/>
    <w:rsid w:val="00820395"/>
    <w:rsid w:val="0082091E"/>
    <w:rsid w:val="00820954"/>
    <w:rsid w:val="00820AED"/>
    <w:rsid w:val="00820F06"/>
    <w:rsid w:val="0082178E"/>
    <w:rsid w:val="008218E4"/>
    <w:rsid w:val="008219C0"/>
    <w:rsid w:val="00821C53"/>
    <w:rsid w:val="00821C8D"/>
    <w:rsid w:val="00821DDF"/>
    <w:rsid w:val="00821ECB"/>
    <w:rsid w:val="00821EDB"/>
    <w:rsid w:val="00821F47"/>
    <w:rsid w:val="00822503"/>
    <w:rsid w:val="0082269D"/>
    <w:rsid w:val="0082279D"/>
    <w:rsid w:val="008231CE"/>
    <w:rsid w:val="00823604"/>
    <w:rsid w:val="008238BD"/>
    <w:rsid w:val="00823A00"/>
    <w:rsid w:val="00823AC6"/>
    <w:rsid w:val="00823D41"/>
    <w:rsid w:val="00824385"/>
    <w:rsid w:val="0082466C"/>
    <w:rsid w:val="008247F9"/>
    <w:rsid w:val="008249B4"/>
    <w:rsid w:val="00824A1F"/>
    <w:rsid w:val="00824AA4"/>
    <w:rsid w:val="00824B17"/>
    <w:rsid w:val="00824B94"/>
    <w:rsid w:val="00824F12"/>
    <w:rsid w:val="008250FC"/>
    <w:rsid w:val="00825201"/>
    <w:rsid w:val="00825286"/>
    <w:rsid w:val="0082555C"/>
    <w:rsid w:val="00825CF9"/>
    <w:rsid w:val="00825F66"/>
    <w:rsid w:val="008267E4"/>
    <w:rsid w:val="00826B94"/>
    <w:rsid w:val="00826D11"/>
    <w:rsid w:val="00826FED"/>
    <w:rsid w:val="00827349"/>
    <w:rsid w:val="00827860"/>
    <w:rsid w:val="008278AE"/>
    <w:rsid w:val="00827C6E"/>
    <w:rsid w:val="00827E7A"/>
    <w:rsid w:val="0083005F"/>
    <w:rsid w:val="008300AE"/>
    <w:rsid w:val="008300F2"/>
    <w:rsid w:val="008301DB"/>
    <w:rsid w:val="00830371"/>
    <w:rsid w:val="0083073D"/>
    <w:rsid w:val="0083074A"/>
    <w:rsid w:val="00830940"/>
    <w:rsid w:val="00830A61"/>
    <w:rsid w:val="0083156F"/>
    <w:rsid w:val="00831DCE"/>
    <w:rsid w:val="00831ED6"/>
    <w:rsid w:val="0083226B"/>
    <w:rsid w:val="0083290B"/>
    <w:rsid w:val="00832A92"/>
    <w:rsid w:val="00832EFB"/>
    <w:rsid w:val="0083331B"/>
    <w:rsid w:val="00833535"/>
    <w:rsid w:val="00833E8C"/>
    <w:rsid w:val="008342EA"/>
    <w:rsid w:val="008343BB"/>
    <w:rsid w:val="00834626"/>
    <w:rsid w:val="00834713"/>
    <w:rsid w:val="008348F4"/>
    <w:rsid w:val="008352FC"/>
    <w:rsid w:val="008357F9"/>
    <w:rsid w:val="008359FA"/>
    <w:rsid w:val="00835F40"/>
    <w:rsid w:val="00835FF0"/>
    <w:rsid w:val="00836023"/>
    <w:rsid w:val="0083619B"/>
    <w:rsid w:val="008367FE"/>
    <w:rsid w:val="00836DF2"/>
    <w:rsid w:val="00836F3F"/>
    <w:rsid w:val="00837273"/>
    <w:rsid w:val="008379D4"/>
    <w:rsid w:val="00837B84"/>
    <w:rsid w:val="008402D6"/>
    <w:rsid w:val="00840784"/>
    <w:rsid w:val="0084078E"/>
    <w:rsid w:val="00840B37"/>
    <w:rsid w:val="00840B4A"/>
    <w:rsid w:val="008411BE"/>
    <w:rsid w:val="0084137F"/>
    <w:rsid w:val="00841564"/>
    <w:rsid w:val="008418F9"/>
    <w:rsid w:val="00841B44"/>
    <w:rsid w:val="00841FA8"/>
    <w:rsid w:val="00842389"/>
    <w:rsid w:val="008423E6"/>
    <w:rsid w:val="00842BFD"/>
    <w:rsid w:val="00842EA4"/>
    <w:rsid w:val="008434EE"/>
    <w:rsid w:val="0084350E"/>
    <w:rsid w:val="008436D1"/>
    <w:rsid w:val="00843916"/>
    <w:rsid w:val="008442D3"/>
    <w:rsid w:val="00844603"/>
    <w:rsid w:val="008446E6"/>
    <w:rsid w:val="00844C55"/>
    <w:rsid w:val="00844CCD"/>
    <w:rsid w:val="0084541F"/>
    <w:rsid w:val="00845527"/>
    <w:rsid w:val="00845732"/>
    <w:rsid w:val="00845A62"/>
    <w:rsid w:val="00845BAE"/>
    <w:rsid w:val="0084602A"/>
    <w:rsid w:val="008467AA"/>
    <w:rsid w:val="00846D08"/>
    <w:rsid w:val="00846F06"/>
    <w:rsid w:val="00846F56"/>
    <w:rsid w:val="00847234"/>
    <w:rsid w:val="00847837"/>
    <w:rsid w:val="00847AB4"/>
    <w:rsid w:val="00847EB1"/>
    <w:rsid w:val="00850288"/>
    <w:rsid w:val="0085056F"/>
    <w:rsid w:val="008505A4"/>
    <w:rsid w:val="008505FE"/>
    <w:rsid w:val="00850890"/>
    <w:rsid w:val="00850CAB"/>
    <w:rsid w:val="00851045"/>
    <w:rsid w:val="00851152"/>
    <w:rsid w:val="0085166A"/>
    <w:rsid w:val="00851823"/>
    <w:rsid w:val="00851B53"/>
    <w:rsid w:val="0085233A"/>
    <w:rsid w:val="008526CA"/>
    <w:rsid w:val="008526F5"/>
    <w:rsid w:val="00852824"/>
    <w:rsid w:val="008528F9"/>
    <w:rsid w:val="00852944"/>
    <w:rsid w:val="0085332B"/>
    <w:rsid w:val="0085354A"/>
    <w:rsid w:val="008535A7"/>
    <w:rsid w:val="00853902"/>
    <w:rsid w:val="00853B76"/>
    <w:rsid w:val="00853C30"/>
    <w:rsid w:val="0085429A"/>
    <w:rsid w:val="00854D8A"/>
    <w:rsid w:val="00854EB4"/>
    <w:rsid w:val="0085515A"/>
    <w:rsid w:val="00855600"/>
    <w:rsid w:val="00855CB9"/>
    <w:rsid w:val="00855F20"/>
    <w:rsid w:val="00855F55"/>
    <w:rsid w:val="0085641D"/>
    <w:rsid w:val="0085673B"/>
    <w:rsid w:val="00856B01"/>
    <w:rsid w:val="00856ED0"/>
    <w:rsid w:val="00856EFC"/>
    <w:rsid w:val="00857117"/>
    <w:rsid w:val="008572D9"/>
    <w:rsid w:val="00857810"/>
    <w:rsid w:val="0085797F"/>
    <w:rsid w:val="00857BC0"/>
    <w:rsid w:val="00857E05"/>
    <w:rsid w:val="00860042"/>
    <w:rsid w:val="008600DE"/>
    <w:rsid w:val="0086041C"/>
    <w:rsid w:val="00860BE0"/>
    <w:rsid w:val="00860D3C"/>
    <w:rsid w:val="00860EA6"/>
    <w:rsid w:val="00860F29"/>
    <w:rsid w:val="0086135A"/>
    <w:rsid w:val="00861424"/>
    <w:rsid w:val="00861459"/>
    <w:rsid w:val="008617DD"/>
    <w:rsid w:val="00861E13"/>
    <w:rsid w:val="00861E7E"/>
    <w:rsid w:val="00861F14"/>
    <w:rsid w:val="00862107"/>
    <w:rsid w:val="0086223B"/>
    <w:rsid w:val="008623C2"/>
    <w:rsid w:val="00862448"/>
    <w:rsid w:val="00862BCF"/>
    <w:rsid w:val="00862C9A"/>
    <w:rsid w:val="00862E15"/>
    <w:rsid w:val="00862EBA"/>
    <w:rsid w:val="00862EF3"/>
    <w:rsid w:val="008633F6"/>
    <w:rsid w:val="008635B1"/>
    <w:rsid w:val="0086370D"/>
    <w:rsid w:val="00863786"/>
    <w:rsid w:val="008637B2"/>
    <w:rsid w:val="00863928"/>
    <w:rsid w:val="00863BD6"/>
    <w:rsid w:val="00863EC5"/>
    <w:rsid w:val="00863F64"/>
    <w:rsid w:val="00863FE8"/>
    <w:rsid w:val="008640ED"/>
    <w:rsid w:val="00864281"/>
    <w:rsid w:val="00864289"/>
    <w:rsid w:val="008642B9"/>
    <w:rsid w:val="008643A5"/>
    <w:rsid w:val="00864420"/>
    <w:rsid w:val="00864AE6"/>
    <w:rsid w:val="00864BEB"/>
    <w:rsid w:val="00864DAA"/>
    <w:rsid w:val="00864E85"/>
    <w:rsid w:val="0086587C"/>
    <w:rsid w:val="00865A09"/>
    <w:rsid w:val="00865CF7"/>
    <w:rsid w:val="0086635D"/>
    <w:rsid w:val="00866BFC"/>
    <w:rsid w:val="00866D45"/>
    <w:rsid w:val="00866E33"/>
    <w:rsid w:val="008674AD"/>
    <w:rsid w:val="0086751E"/>
    <w:rsid w:val="00867605"/>
    <w:rsid w:val="008678F7"/>
    <w:rsid w:val="00867EE8"/>
    <w:rsid w:val="00867F4B"/>
    <w:rsid w:val="008703A9"/>
    <w:rsid w:val="0087058B"/>
    <w:rsid w:val="0087080B"/>
    <w:rsid w:val="00870F80"/>
    <w:rsid w:val="0087111C"/>
    <w:rsid w:val="00871283"/>
    <w:rsid w:val="008715D5"/>
    <w:rsid w:val="008716A8"/>
    <w:rsid w:val="00871BC8"/>
    <w:rsid w:val="00871C19"/>
    <w:rsid w:val="00871D9A"/>
    <w:rsid w:val="00871E2C"/>
    <w:rsid w:val="0087251C"/>
    <w:rsid w:val="00872DA2"/>
    <w:rsid w:val="00872E5A"/>
    <w:rsid w:val="008733A4"/>
    <w:rsid w:val="0087436F"/>
    <w:rsid w:val="008744B3"/>
    <w:rsid w:val="008748AF"/>
    <w:rsid w:val="00874AEF"/>
    <w:rsid w:val="00874FD4"/>
    <w:rsid w:val="0087505F"/>
    <w:rsid w:val="0087506F"/>
    <w:rsid w:val="008750E6"/>
    <w:rsid w:val="00875531"/>
    <w:rsid w:val="0087588B"/>
    <w:rsid w:val="00875D66"/>
    <w:rsid w:val="00875E2D"/>
    <w:rsid w:val="008760CD"/>
    <w:rsid w:val="00876485"/>
    <w:rsid w:val="00876ADC"/>
    <w:rsid w:val="00876CA9"/>
    <w:rsid w:val="00876CDC"/>
    <w:rsid w:val="00876DEF"/>
    <w:rsid w:val="00877037"/>
    <w:rsid w:val="008770F7"/>
    <w:rsid w:val="008771A5"/>
    <w:rsid w:val="00877215"/>
    <w:rsid w:val="0087725B"/>
    <w:rsid w:val="00877821"/>
    <w:rsid w:val="00877DED"/>
    <w:rsid w:val="0088003A"/>
    <w:rsid w:val="00880219"/>
    <w:rsid w:val="008803C5"/>
    <w:rsid w:val="008803F9"/>
    <w:rsid w:val="00880467"/>
    <w:rsid w:val="00880942"/>
    <w:rsid w:val="00880A45"/>
    <w:rsid w:val="00880CBE"/>
    <w:rsid w:val="00880CD2"/>
    <w:rsid w:val="00880D36"/>
    <w:rsid w:val="00880D59"/>
    <w:rsid w:val="00880F3F"/>
    <w:rsid w:val="00881678"/>
    <w:rsid w:val="00881804"/>
    <w:rsid w:val="0088192A"/>
    <w:rsid w:val="00881C48"/>
    <w:rsid w:val="00881F4F"/>
    <w:rsid w:val="00881FDC"/>
    <w:rsid w:val="00882CD7"/>
    <w:rsid w:val="008837B0"/>
    <w:rsid w:val="00883927"/>
    <w:rsid w:val="00883DDE"/>
    <w:rsid w:val="00883FB9"/>
    <w:rsid w:val="008842EB"/>
    <w:rsid w:val="00884778"/>
    <w:rsid w:val="008848F2"/>
    <w:rsid w:val="00884CBE"/>
    <w:rsid w:val="00884D51"/>
    <w:rsid w:val="00884F38"/>
    <w:rsid w:val="00885055"/>
    <w:rsid w:val="00885144"/>
    <w:rsid w:val="00885415"/>
    <w:rsid w:val="0088552A"/>
    <w:rsid w:val="008855F4"/>
    <w:rsid w:val="00885B64"/>
    <w:rsid w:val="00885B92"/>
    <w:rsid w:val="008861B8"/>
    <w:rsid w:val="00886ABE"/>
    <w:rsid w:val="008871C2"/>
    <w:rsid w:val="00887515"/>
    <w:rsid w:val="008875B8"/>
    <w:rsid w:val="00887E6A"/>
    <w:rsid w:val="0089013E"/>
    <w:rsid w:val="0089059B"/>
    <w:rsid w:val="00890B0E"/>
    <w:rsid w:val="00890D89"/>
    <w:rsid w:val="00890E29"/>
    <w:rsid w:val="00890F4B"/>
    <w:rsid w:val="0089110C"/>
    <w:rsid w:val="0089114D"/>
    <w:rsid w:val="00891432"/>
    <w:rsid w:val="008914AA"/>
    <w:rsid w:val="00891576"/>
    <w:rsid w:val="00891A93"/>
    <w:rsid w:val="00891C1C"/>
    <w:rsid w:val="00891C31"/>
    <w:rsid w:val="00891E5C"/>
    <w:rsid w:val="00892082"/>
    <w:rsid w:val="0089219E"/>
    <w:rsid w:val="008921D5"/>
    <w:rsid w:val="00892216"/>
    <w:rsid w:val="00892496"/>
    <w:rsid w:val="008927FF"/>
    <w:rsid w:val="00892997"/>
    <w:rsid w:val="00892A9C"/>
    <w:rsid w:val="00892AC6"/>
    <w:rsid w:val="00892B0B"/>
    <w:rsid w:val="008930FB"/>
    <w:rsid w:val="00893382"/>
    <w:rsid w:val="00893CC2"/>
    <w:rsid w:val="00893EC1"/>
    <w:rsid w:val="0089430F"/>
    <w:rsid w:val="00895306"/>
    <w:rsid w:val="008955E4"/>
    <w:rsid w:val="00895614"/>
    <w:rsid w:val="008959E3"/>
    <w:rsid w:val="00895A03"/>
    <w:rsid w:val="00895DCB"/>
    <w:rsid w:val="00895F1D"/>
    <w:rsid w:val="00896203"/>
    <w:rsid w:val="0089670C"/>
    <w:rsid w:val="008968A8"/>
    <w:rsid w:val="00896E9A"/>
    <w:rsid w:val="00896FE1"/>
    <w:rsid w:val="0089759F"/>
    <w:rsid w:val="00897A00"/>
    <w:rsid w:val="00897A0C"/>
    <w:rsid w:val="00897A6E"/>
    <w:rsid w:val="00897D2E"/>
    <w:rsid w:val="00897D67"/>
    <w:rsid w:val="008A0012"/>
    <w:rsid w:val="008A0162"/>
    <w:rsid w:val="008A0534"/>
    <w:rsid w:val="008A069E"/>
    <w:rsid w:val="008A0791"/>
    <w:rsid w:val="008A0A17"/>
    <w:rsid w:val="008A0A92"/>
    <w:rsid w:val="008A0C57"/>
    <w:rsid w:val="008A128F"/>
    <w:rsid w:val="008A1651"/>
    <w:rsid w:val="008A166F"/>
    <w:rsid w:val="008A1AA0"/>
    <w:rsid w:val="008A1FD5"/>
    <w:rsid w:val="008A2008"/>
    <w:rsid w:val="008A23B1"/>
    <w:rsid w:val="008A247B"/>
    <w:rsid w:val="008A2499"/>
    <w:rsid w:val="008A2C50"/>
    <w:rsid w:val="008A2C72"/>
    <w:rsid w:val="008A3137"/>
    <w:rsid w:val="008A360C"/>
    <w:rsid w:val="008A3F80"/>
    <w:rsid w:val="008A4254"/>
    <w:rsid w:val="008A4339"/>
    <w:rsid w:val="008A45CA"/>
    <w:rsid w:val="008A463E"/>
    <w:rsid w:val="008A4811"/>
    <w:rsid w:val="008A4846"/>
    <w:rsid w:val="008A4AEE"/>
    <w:rsid w:val="008A4BF6"/>
    <w:rsid w:val="008A4D62"/>
    <w:rsid w:val="008A51DC"/>
    <w:rsid w:val="008A5749"/>
    <w:rsid w:val="008A5A91"/>
    <w:rsid w:val="008A5D08"/>
    <w:rsid w:val="008A5ED9"/>
    <w:rsid w:val="008A606B"/>
    <w:rsid w:val="008A619A"/>
    <w:rsid w:val="008A6203"/>
    <w:rsid w:val="008A6AED"/>
    <w:rsid w:val="008A6C33"/>
    <w:rsid w:val="008A6CA7"/>
    <w:rsid w:val="008A6F22"/>
    <w:rsid w:val="008A716B"/>
    <w:rsid w:val="008A7B84"/>
    <w:rsid w:val="008B0230"/>
    <w:rsid w:val="008B058F"/>
    <w:rsid w:val="008B09A0"/>
    <w:rsid w:val="008B0A0F"/>
    <w:rsid w:val="008B107F"/>
    <w:rsid w:val="008B1193"/>
    <w:rsid w:val="008B1274"/>
    <w:rsid w:val="008B1482"/>
    <w:rsid w:val="008B14B7"/>
    <w:rsid w:val="008B1972"/>
    <w:rsid w:val="008B1A9A"/>
    <w:rsid w:val="008B1AB1"/>
    <w:rsid w:val="008B1E6F"/>
    <w:rsid w:val="008B1F63"/>
    <w:rsid w:val="008B2161"/>
    <w:rsid w:val="008B2306"/>
    <w:rsid w:val="008B253E"/>
    <w:rsid w:val="008B25CD"/>
    <w:rsid w:val="008B2659"/>
    <w:rsid w:val="008B269A"/>
    <w:rsid w:val="008B27B8"/>
    <w:rsid w:val="008B2B13"/>
    <w:rsid w:val="008B3232"/>
    <w:rsid w:val="008B32F3"/>
    <w:rsid w:val="008B35B6"/>
    <w:rsid w:val="008B3701"/>
    <w:rsid w:val="008B384E"/>
    <w:rsid w:val="008B3915"/>
    <w:rsid w:val="008B41DA"/>
    <w:rsid w:val="008B4396"/>
    <w:rsid w:val="008B4720"/>
    <w:rsid w:val="008B4A16"/>
    <w:rsid w:val="008B4ACF"/>
    <w:rsid w:val="008B4B65"/>
    <w:rsid w:val="008B4D25"/>
    <w:rsid w:val="008B5292"/>
    <w:rsid w:val="008B53B8"/>
    <w:rsid w:val="008B53C4"/>
    <w:rsid w:val="008B57DA"/>
    <w:rsid w:val="008B5CC7"/>
    <w:rsid w:val="008B5D8F"/>
    <w:rsid w:val="008B5E89"/>
    <w:rsid w:val="008B6427"/>
    <w:rsid w:val="008B64FA"/>
    <w:rsid w:val="008B687B"/>
    <w:rsid w:val="008B6D5A"/>
    <w:rsid w:val="008B730A"/>
    <w:rsid w:val="008B74AB"/>
    <w:rsid w:val="008B74EC"/>
    <w:rsid w:val="008B74FA"/>
    <w:rsid w:val="008C02EA"/>
    <w:rsid w:val="008C087C"/>
    <w:rsid w:val="008C08AB"/>
    <w:rsid w:val="008C0FE2"/>
    <w:rsid w:val="008C1036"/>
    <w:rsid w:val="008C1C2F"/>
    <w:rsid w:val="008C25BF"/>
    <w:rsid w:val="008C27A8"/>
    <w:rsid w:val="008C288B"/>
    <w:rsid w:val="008C2B6C"/>
    <w:rsid w:val="008C2D38"/>
    <w:rsid w:val="008C2E6E"/>
    <w:rsid w:val="008C2ED6"/>
    <w:rsid w:val="008C3788"/>
    <w:rsid w:val="008C3CB6"/>
    <w:rsid w:val="008C40E3"/>
    <w:rsid w:val="008C4230"/>
    <w:rsid w:val="008C4370"/>
    <w:rsid w:val="008C4398"/>
    <w:rsid w:val="008C4554"/>
    <w:rsid w:val="008C4D98"/>
    <w:rsid w:val="008C4F99"/>
    <w:rsid w:val="008C5347"/>
    <w:rsid w:val="008C54CE"/>
    <w:rsid w:val="008C594E"/>
    <w:rsid w:val="008C5AC4"/>
    <w:rsid w:val="008C5D45"/>
    <w:rsid w:val="008C5ED6"/>
    <w:rsid w:val="008C60FC"/>
    <w:rsid w:val="008C65BE"/>
    <w:rsid w:val="008C6927"/>
    <w:rsid w:val="008C6BD2"/>
    <w:rsid w:val="008C6DB7"/>
    <w:rsid w:val="008C6EA5"/>
    <w:rsid w:val="008C7076"/>
    <w:rsid w:val="008C73B8"/>
    <w:rsid w:val="008C77B5"/>
    <w:rsid w:val="008C78E5"/>
    <w:rsid w:val="008C79B8"/>
    <w:rsid w:val="008C7B82"/>
    <w:rsid w:val="008C7CA4"/>
    <w:rsid w:val="008C7D35"/>
    <w:rsid w:val="008D019E"/>
    <w:rsid w:val="008D07AE"/>
    <w:rsid w:val="008D0B8B"/>
    <w:rsid w:val="008D0F87"/>
    <w:rsid w:val="008D10F7"/>
    <w:rsid w:val="008D126F"/>
    <w:rsid w:val="008D13D4"/>
    <w:rsid w:val="008D154D"/>
    <w:rsid w:val="008D1838"/>
    <w:rsid w:val="008D1F74"/>
    <w:rsid w:val="008D1FE2"/>
    <w:rsid w:val="008D20EE"/>
    <w:rsid w:val="008D23B6"/>
    <w:rsid w:val="008D2432"/>
    <w:rsid w:val="008D26FB"/>
    <w:rsid w:val="008D2BFB"/>
    <w:rsid w:val="008D2F3D"/>
    <w:rsid w:val="008D361E"/>
    <w:rsid w:val="008D36D0"/>
    <w:rsid w:val="008D3AB0"/>
    <w:rsid w:val="008D3B59"/>
    <w:rsid w:val="008D3C15"/>
    <w:rsid w:val="008D3CCD"/>
    <w:rsid w:val="008D3ED9"/>
    <w:rsid w:val="008D3FC2"/>
    <w:rsid w:val="008D4057"/>
    <w:rsid w:val="008D423C"/>
    <w:rsid w:val="008D4520"/>
    <w:rsid w:val="008D4755"/>
    <w:rsid w:val="008D4A92"/>
    <w:rsid w:val="008D4AAB"/>
    <w:rsid w:val="008D4B4E"/>
    <w:rsid w:val="008D4D4E"/>
    <w:rsid w:val="008D4EA3"/>
    <w:rsid w:val="008D4F8F"/>
    <w:rsid w:val="008D5091"/>
    <w:rsid w:val="008D56B0"/>
    <w:rsid w:val="008D57D3"/>
    <w:rsid w:val="008D5926"/>
    <w:rsid w:val="008D6120"/>
    <w:rsid w:val="008D6309"/>
    <w:rsid w:val="008D63BA"/>
    <w:rsid w:val="008D685D"/>
    <w:rsid w:val="008D6D87"/>
    <w:rsid w:val="008D6DC1"/>
    <w:rsid w:val="008D7205"/>
    <w:rsid w:val="008D7752"/>
    <w:rsid w:val="008D786F"/>
    <w:rsid w:val="008D7B0A"/>
    <w:rsid w:val="008E0169"/>
    <w:rsid w:val="008E0840"/>
    <w:rsid w:val="008E090B"/>
    <w:rsid w:val="008E0A18"/>
    <w:rsid w:val="008E0C3C"/>
    <w:rsid w:val="008E1043"/>
    <w:rsid w:val="008E1329"/>
    <w:rsid w:val="008E18E3"/>
    <w:rsid w:val="008E1A28"/>
    <w:rsid w:val="008E1DD2"/>
    <w:rsid w:val="008E1DE8"/>
    <w:rsid w:val="008E1E77"/>
    <w:rsid w:val="008E21EF"/>
    <w:rsid w:val="008E2BFA"/>
    <w:rsid w:val="008E2C83"/>
    <w:rsid w:val="008E2D2E"/>
    <w:rsid w:val="008E3036"/>
    <w:rsid w:val="008E30CD"/>
    <w:rsid w:val="008E31A1"/>
    <w:rsid w:val="008E3240"/>
    <w:rsid w:val="008E329C"/>
    <w:rsid w:val="008E33A8"/>
    <w:rsid w:val="008E33F7"/>
    <w:rsid w:val="008E3619"/>
    <w:rsid w:val="008E3887"/>
    <w:rsid w:val="008E398A"/>
    <w:rsid w:val="008E3A19"/>
    <w:rsid w:val="008E4064"/>
    <w:rsid w:val="008E40D5"/>
    <w:rsid w:val="008E4109"/>
    <w:rsid w:val="008E4125"/>
    <w:rsid w:val="008E4662"/>
    <w:rsid w:val="008E499B"/>
    <w:rsid w:val="008E4A0E"/>
    <w:rsid w:val="008E4A47"/>
    <w:rsid w:val="008E4CA8"/>
    <w:rsid w:val="008E4D8D"/>
    <w:rsid w:val="008E5004"/>
    <w:rsid w:val="008E50F0"/>
    <w:rsid w:val="008E528B"/>
    <w:rsid w:val="008E5B22"/>
    <w:rsid w:val="008E5B55"/>
    <w:rsid w:val="008E5E21"/>
    <w:rsid w:val="008E6347"/>
    <w:rsid w:val="008E674E"/>
    <w:rsid w:val="008E6F3E"/>
    <w:rsid w:val="008E6F9C"/>
    <w:rsid w:val="008E704A"/>
    <w:rsid w:val="008E7670"/>
    <w:rsid w:val="008E7DA0"/>
    <w:rsid w:val="008E7FBB"/>
    <w:rsid w:val="008F019C"/>
    <w:rsid w:val="008F0213"/>
    <w:rsid w:val="008F0455"/>
    <w:rsid w:val="008F0542"/>
    <w:rsid w:val="008F068C"/>
    <w:rsid w:val="008F07F8"/>
    <w:rsid w:val="008F0C3D"/>
    <w:rsid w:val="008F110B"/>
    <w:rsid w:val="008F11F9"/>
    <w:rsid w:val="008F1383"/>
    <w:rsid w:val="008F1458"/>
    <w:rsid w:val="008F15C5"/>
    <w:rsid w:val="008F15F4"/>
    <w:rsid w:val="008F1895"/>
    <w:rsid w:val="008F192D"/>
    <w:rsid w:val="008F1E3F"/>
    <w:rsid w:val="008F1ED9"/>
    <w:rsid w:val="008F2068"/>
    <w:rsid w:val="008F21D4"/>
    <w:rsid w:val="008F230B"/>
    <w:rsid w:val="008F2DE2"/>
    <w:rsid w:val="008F300F"/>
    <w:rsid w:val="008F31E6"/>
    <w:rsid w:val="008F37FB"/>
    <w:rsid w:val="008F3E97"/>
    <w:rsid w:val="008F4098"/>
    <w:rsid w:val="008F43F7"/>
    <w:rsid w:val="008F446D"/>
    <w:rsid w:val="008F45DD"/>
    <w:rsid w:val="008F4601"/>
    <w:rsid w:val="008F488F"/>
    <w:rsid w:val="008F4AB2"/>
    <w:rsid w:val="008F4AC3"/>
    <w:rsid w:val="008F4AD7"/>
    <w:rsid w:val="008F4B06"/>
    <w:rsid w:val="008F4E0B"/>
    <w:rsid w:val="008F54AC"/>
    <w:rsid w:val="008F57A9"/>
    <w:rsid w:val="008F5A8A"/>
    <w:rsid w:val="008F600D"/>
    <w:rsid w:val="008F6617"/>
    <w:rsid w:val="008F68E6"/>
    <w:rsid w:val="008F6C43"/>
    <w:rsid w:val="008F7847"/>
    <w:rsid w:val="008F79A9"/>
    <w:rsid w:val="008F7C18"/>
    <w:rsid w:val="008F7D13"/>
    <w:rsid w:val="008F7E4A"/>
    <w:rsid w:val="00900BE3"/>
    <w:rsid w:val="00900EDD"/>
    <w:rsid w:val="0090162B"/>
    <w:rsid w:val="00901693"/>
    <w:rsid w:val="0090198F"/>
    <w:rsid w:val="00901AD9"/>
    <w:rsid w:val="0090222C"/>
    <w:rsid w:val="00902284"/>
    <w:rsid w:val="009022AC"/>
    <w:rsid w:val="0090241A"/>
    <w:rsid w:val="009027AC"/>
    <w:rsid w:val="00902A3A"/>
    <w:rsid w:val="00902CD6"/>
    <w:rsid w:val="00902D9F"/>
    <w:rsid w:val="00903606"/>
    <w:rsid w:val="00903751"/>
    <w:rsid w:val="00903A06"/>
    <w:rsid w:val="00903D3C"/>
    <w:rsid w:val="0090425C"/>
    <w:rsid w:val="00904523"/>
    <w:rsid w:val="009047FA"/>
    <w:rsid w:val="00904E97"/>
    <w:rsid w:val="00905420"/>
    <w:rsid w:val="009054B3"/>
    <w:rsid w:val="009054B6"/>
    <w:rsid w:val="009054DF"/>
    <w:rsid w:val="00905501"/>
    <w:rsid w:val="00905CA8"/>
    <w:rsid w:val="00905F7D"/>
    <w:rsid w:val="0090619B"/>
    <w:rsid w:val="009063D8"/>
    <w:rsid w:val="009064EA"/>
    <w:rsid w:val="009065F2"/>
    <w:rsid w:val="00906741"/>
    <w:rsid w:val="00906803"/>
    <w:rsid w:val="00906811"/>
    <w:rsid w:val="00906B3D"/>
    <w:rsid w:val="00906B57"/>
    <w:rsid w:val="00906FFB"/>
    <w:rsid w:val="0090763D"/>
    <w:rsid w:val="00907754"/>
    <w:rsid w:val="00907866"/>
    <w:rsid w:val="00907AF4"/>
    <w:rsid w:val="00910397"/>
    <w:rsid w:val="0091047C"/>
    <w:rsid w:val="009105F4"/>
    <w:rsid w:val="0091066A"/>
    <w:rsid w:val="0091088F"/>
    <w:rsid w:val="00910F5B"/>
    <w:rsid w:val="009113C6"/>
    <w:rsid w:val="00911B06"/>
    <w:rsid w:val="00911C6B"/>
    <w:rsid w:val="00911D30"/>
    <w:rsid w:val="00911FB8"/>
    <w:rsid w:val="0091212F"/>
    <w:rsid w:val="0091244E"/>
    <w:rsid w:val="00912687"/>
    <w:rsid w:val="00912829"/>
    <w:rsid w:val="009129AD"/>
    <w:rsid w:val="00912BE0"/>
    <w:rsid w:val="00912C23"/>
    <w:rsid w:val="009131B4"/>
    <w:rsid w:val="009131E1"/>
    <w:rsid w:val="009133B3"/>
    <w:rsid w:val="00913535"/>
    <w:rsid w:val="009135D0"/>
    <w:rsid w:val="00913811"/>
    <w:rsid w:val="0091387A"/>
    <w:rsid w:val="00914090"/>
    <w:rsid w:val="00914103"/>
    <w:rsid w:val="00914166"/>
    <w:rsid w:val="00914190"/>
    <w:rsid w:val="00914341"/>
    <w:rsid w:val="00914514"/>
    <w:rsid w:val="009147DA"/>
    <w:rsid w:val="009149AA"/>
    <w:rsid w:val="00914BA1"/>
    <w:rsid w:val="00914CD5"/>
    <w:rsid w:val="00914F5A"/>
    <w:rsid w:val="00915262"/>
    <w:rsid w:val="0091529E"/>
    <w:rsid w:val="00915934"/>
    <w:rsid w:val="00915BB4"/>
    <w:rsid w:val="009162AC"/>
    <w:rsid w:val="0091632E"/>
    <w:rsid w:val="009163F3"/>
    <w:rsid w:val="00916B61"/>
    <w:rsid w:val="00916E3C"/>
    <w:rsid w:val="00916E3F"/>
    <w:rsid w:val="00916F7F"/>
    <w:rsid w:val="00917310"/>
    <w:rsid w:val="009173E9"/>
    <w:rsid w:val="0091785B"/>
    <w:rsid w:val="009178C4"/>
    <w:rsid w:val="009179AC"/>
    <w:rsid w:val="009202AE"/>
    <w:rsid w:val="009203D3"/>
    <w:rsid w:val="009203EB"/>
    <w:rsid w:val="00920602"/>
    <w:rsid w:val="009209F0"/>
    <w:rsid w:val="00920C72"/>
    <w:rsid w:val="00920D0D"/>
    <w:rsid w:val="00920DA9"/>
    <w:rsid w:val="009212A1"/>
    <w:rsid w:val="0092140F"/>
    <w:rsid w:val="009219E0"/>
    <w:rsid w:val="00921FD7"/>
    <w:rsid w:val="009225EE"/>
    <w:rsid w:val="009227B0"/>
    <w:rsid w:val="00922D05"/>
    <w:rsid w:val="0092304D"/>
    <w:rsid w:val="00923564"/>
    <w:rsid w:val="0092369E"/>
    <w:rsid w:val="00923BAB"/>
    <w:rsid w:val="00923BC8"/>
    <w:rsid w:val="00924296"/>
    <w:rsid w:val="00924520"/>
    <w:rsid w:val="00924699"/>
    <w:rsid w:val="009246A1"/>
    <w:rsid w:val="009252D0"/>
    <w:rsid w:val="009257CB"/>
    <w:rsid w:val="00925B8D"/>
    <w:rsid w:val="00925CA4"/>
    <w:rsid w:val="00925E1F"/>
    <w:rsid w:val="00926252"/>
    <w:rsid w:val="0092644D"/>
    <w:rsid w:val="0092662E"/>
    <w:rsid w:val="00926663"/>
    <w:rsid w:val="00926E4D"/>
    <w:rsid w:val="00926F3E"/>
    <w:rsid w:val="00927558"/>
    <w:rsid w:val="00927E4C"/>
    <w:rsid w:val="00930881"/>
    <w:rsid w:val="009308BB"/>
    <w:rsid w:val="009309F5"/>
    <w:rsid w:val="00930B73"/>
    <w:rsid w:val="00930D68"/>
    <w:rsid w:val="00930DEB"/>
    <w:rsid w:val="00930E25"/>
    <w:rsid w:val="00931384"/>
    <w:rsid w:val="009313C5"/>
    <w:rsid w:val="00931607"/>
    <w:rsid w:val="0093180C"/>
    <w:rsid w:val="00931976"/>
    <w:rsid w:val="009323F9"/>
    <w:rsid w:val="009327F3"/>
    <w:rsid w:val="00932BCC"/>
    <w:rsid w:val="00932D7F"/>
    <w:rsid w:val="00932DBF"/>
    <w:rsid w:val="00932E8A"/>
    <w:rsid w:val="00932EAA"/>
    <w:rsid w:val="00932F84"/>
    <w:rsid w:val="00933257"/>
    <w:rsid w:val="009333D3"/>
    <w:rsid w:val="009334A9"/>
    <w:rsid w:val="00933C70"/>
    <w:rsid w:val="00933DCC"/>
    <w:rsid w:val="00933E56"/>
    <w:rsid w:val="00933F4F"/>
    <w:rsid w:val="009347B8"/>
    <w:rsid w:val="00934974"/>
    <w:rsid w:val="00934A18"/>
    <w:rsid w:val="00934F3E"/>
    <w:rsid w:val="00935234"/>
    <w:rsid w:val="00935388"/>
    <w:rsid w:val="00935693"/>
    <w:rsid w:val="00935703"/>
    <w:rsid w:val="00935822"/>
    <w:rsid w:val="00935881"/>
    <w:rsid w:val="00935E76"/>
    <w:rsid w:val="00936133"/>
    <w:rsid w:val="0093661D"/>
    <w:rsid w:val="00936788"/>
    <w:rsid w:val="009369FF"/>
    <w:rsid w:val="00936D47"/>
    <w:rsid w:val="00937AFC"/>
    <w:rsid w:val="00937D5D"/>
    <w:rsid w:val="00937EF4"/>
    <w:rsid w:val="00940065"/>
    <w:rsid w:val="00940104"/>
    <w:rsid w:val="009402B7"/>
    <w:rsid w:val="009403D7"/>
    <w:rsid w:val="00940658"/>
    <w:rsid w:val="00940EFA"/>
    <w:rsid w:val="0094131B"/>
    <w:rsid w:val="009415AA"/>
    <w:rsid w:val="0094193E"/>
    <w:rsid w:val="00941CC7"/>
    <w:rsid w:val="00941E3B"/>
    <w:rsid w:val="00942205"/>
    <w:rsid w:val="009426EE"/>
    <w:rsid w:val="00942B5A"/>
    <w:rsid w:val="00942CD2"/>
    <w:rsid w:val="0094380B"/>
    <w:rsid w:val="009438C4"/>
    <w:rsid w:val="00943B69"/>
    <w:rsid w:val="00943E72"/>
    <w:rsid w:val="00943F24"/>
    <w:rsid w:val="0094434C"/>
    <w:rsid w:val="009446D3"/>
    <w:rsid w:val="0094477C"/>
    <w:rsid w:val="0094481D"/>
    <w:rsid w:val="00944AFD"/>
    <w:rsid w:val="00944FC3"/>
    <w:rsid w:val="009450D9"/>
    <w:rsid w:val="00945235"/>
    <w:rsid w:val="0094532D"/>
    <w:rsid w:val="009453E1"/>
    <w:rsid w:val="009453F9"/>
    <w:rsid w:val="00945985"/>
    <w:rsid w:val="009461BB"/>
    <w:rsid w:val="009461D3"/>
    <w:rsid w:val="00946432"/>
    <w:rsid w:val="00946762"/>
    <w:rsid w:val="00946898"/>
    <w:rsid w:val="00946985"/>
    <w:rsid w:val="00946AAA"/>
    <w:rsid w:val="00946AFA"/>
    <w:rsid w:val="00946EC4"/>
    <w:rsid w:val="00946F17"/>
    <w:rsid w:val="0094702A"/>
    <w:rsid w:val="009470C5"/>
    <w:rsid w:val="009477E6"/>
    <w:rsid w:val="009478F8"/>
    <w:rsid w:val="00947B1F"/>
    <w:rsid w:val="00947C39"/>
    <w:rsid w:val="00947C5B"/>
    <w:rsid w:val="0095029D"/>
    <w:rsid w:val="00950766"/>
    <w:rsid w:val="00950A08"/>
    <w:rsid w:val="00950C8B"/>
    <w:rsid w:val="00950F79"/>
    <w:rsid w:val="00950FA9"/>
    <w:rsid w:val="00951191"/>
    <w:rsid w:val="009515EE"/>
    <w:rsid w:val="00951613"/>
    <w:rsid w:val="00951831"/>
    <w:rsid w:val="00951855"/>
    <w:rsid w:val="0095193B"/>
    <w:rsid w:val="009519F9"/>
    <w:rsid w:val="00951BFA"/>
    <w:rsid w:val="00951D45"/>
    <w:rsid w:val="00951ED6"/>
    <w:rsid w:val="00952030"/>
    <w:rsid w:val="00952177"/>
    <w:rsid w:val="00952217"/>
    <w:rsid w:val="0095241D"/>
    <w:rsid w:val="0095244B"/>
    <w:rsid w:val="00952627"/>
    <w:rsid w:val="00952920"/>
    <w:rsid w:val="00953199"/>
    <w:rsid w:val="0095366D"/>
    <w:rsid w:val="00953691"/>
    <w:rsid w:val="009539CC"/>
    <w:rsid w:val="00953AE9"/>
    <w:rsid w:val="00953F6E"/>
    <w:rsid w:val="0095419D"/>
    <w:rsid w:val="00954467"/>
    <w:rsid w:val="00954496"/>
    <w:rsid w:val="009544AB"/>
    <w:rsid w:val="0095476F"/>
    <w:rsid w:val="009547BC"/>
    <w:rsid w:val="009547E4"/>
    <w:rsid w:val="009548CA"/>
    <w:rsid w:val="00954A4A"/>
    <w:rsid w:val="00954AEA"/>
    <w:rsid w:val="00954CD8"/>
    <w:rsid w:val="00954F73"/>
    <w:rsid w:val="00955268"/>
    <w:rsid w:val="0095537A"/>
    <w:rsid w:val="00955588"/>
    <w:rsid w:val="00955B8D"/>
    <w:rsid w:val="00955BDB"/>
    <w:rsid w:val="00955F98"/>
    <w:rsid w:val="0095628A"/>
    <w:rsid w:val="009569DF"/>
    <w:rsid w:val="009571D7"/>
    <w:rsid w:val="009571E9"/>
    <w:rsid w:val="00957352"/>
    <w:rsid w:val="00957379"/>
    <w:rsid w:val="00957658"/>
    <w:rsid w:val="00957758"/>
    <w:rsid w:val="0095776A"/>
    <w:rsid w:val="00957B09"/>
    <w:rsid w:val="00960788"/>
    <w:rsid w:val="00960ADF"/>
    <w:rsid w:val="00960C4C"/>
    <w:rsid w:val="00960D8F"/>
    <w:rsid w:val="00960E77"/>
    <w:rsid w:val="00960F15"/>
    <w:rsid w:val="0096104B"/>
    <w:rsid w:val="0096114C"/>
    <w:rsid w:val="009613B0"/>
    <w:rsid w:val="009615F1"/>
    <w:rsid w:val="009616BA"/>
    <w:rsid w:val="00961780"/>
    <w:rsid w:val="0096194D"/>
    <w:rsid w:val="00961A8F"/>
    <w:rsid w:val="009620A6"/>
    <w:rsid w:val="0096218C"/>
    <w:rsid w:val="009623D5"/>
    <w:rsid w:val="0096268D"/>
    <w:rsid w:val="00962723"/>
    <w:rsid w:val="00962FEC"/>
    <w:rsid w:val="0096352A"/>
    <w:rsid w:val="009636AC"/>
    <w:rsid w:val="009636B4"/>
    <w:rsid w:val="0096375F"/>
    <w:rsid w:val="00963885"/>
    <w:rsid w:val="00963A0F"/>
    <w:rsid w:val="00963BFD"/>
    <w:rsid w:val="00963CCB"/>
    <w:rsid w:val="00963DF8"/>
    <w:rsid w:val="00964080"/>
    <w:rsid w:val="009640C6"/>
    <w:rsid w:val="009642C6"/>
    <w:rsid w:val="009644C5"/>
    <w:rsid w:val="00964C95"/>
    <w:rsid w:val="00964CC6"/>
    <w:rsid w:val="00964E29"/>
    <w:rsid w:val="0096532B"/>
    <w:rsid w:val="00965472"/>
    <w:rsid w:val="00965652"/>
    <w:rsid w:val="00965917"/>
    <w:rsid w:val="00965AC3"/>
    <w:rsid w:val="00965BF7"/>
    <w:rsid w:val="00965DDC"/>
    <w:rsid w:val="00965FA1"/>
    <w:rsid w:val="009664D7"/>
    <w:rsid w:val="0096660B"/>
    <w:rsid w:val="009666A1"/>
    <w:rsid w:val="009668E6"/>
    <w:rsid w:val="00966B69"/>
    <w:rsid w:val="00966B7E"/>
    <w:rsid w:val="00966DB0"/>
    <w:rsid w:val="00966E09"/>
    <w:rsid w:val="00966E2E"/>
    <w:rsid w:val="00966E7C"/>
    <w:rsid w:val="00966F88"/>
    <w:rsid w:val="00967535"/>
    <w:rsid w:val="009677CE"/>
    <w:rsid w:val="009678CA"/>
    <w:rsid w:val="00967971"/>
    <w:rsid w:val="00967AEF"/>
    <w:rsid w:val="00967D2E"/>
    <w:rsid w:val="00967F42"/>
    <w:rsid w:val="00970141"/>
    <w:rsid w:val="009704DA"/>
    <w:rsid w:val="00970713"/>
    <w:rsid w:val="009708D4"/>
    <w:rsid w:val="009708DE"/>
    <w:rsid w:val="00970BBD"/>
    <w:rsid w:val="00970C36"/>
    <w:rsid w:val="00970CC7"/>
    <w:rsid w:val="0097115B"/>
    <w:rsid w:val="00971853"/>
    <w:rsid w:val="009718C8"/>
    <w:rsid w:val="009719C5"/>
    <w:rsid w:val="009727F2"/>
    <w:rsid w:val="00972D9C"/>
    <w:rsid w:val="009733E7"/>
    <w:rsid w:val="00973492"/>
    <w:rsid w:val="00973936"/>
    <w:rsid w:val="009739E2"/>
    <w:rsid w:val="009739FE"/>
    <w:rsid w:val="00973A97"/>
    <w:rsid w:val="00973B78"/>
    <w:rsid w:val="00973C50"/>
    <w:rsid w:val="00973D8C"/>
    <w:rsid w:val="00973F6B"/>
    <w:rsid w:val="00974569"/>
    <w:rsid w:val="009747F2"/>
    <w:rsid w:val="00974819"/>
    <w:rsid w:val="009748C5"/>
    <w:rsid w:val="00974C4C"/>
    <w:rsid w:val="00974DDE"/>
    <w:rsid w:val="00974FAF"/>
    <w:rsid w:val="009754E4"/>
    <w:rsid w:val="009758E1"/>
    <w:rsid w:val="00975A73"/>
    <w:rsid w:val="00975B66"/>
    <w:rsid w:val="00975C33"/>
    <w:rsid w:val="00975DF0"/>
    <w:rsid w:val="00976189"/>
    <w:rsid w:val="009766ED"/>
    <w:rsid w:val="009768B4"/>
    <w:rsid w:val="00976F57"/>
    <w:rsid w:val="0097751F"/>
    <w:rsid w:val="00977AEE"/>
    <w:rsid w:val="00977D64"/>
    <w:rsid w:val="00977EAF"/>
    <w:rsid w:val="009804B4"/>
    <w:rsid w:val="0098057E"/>
    <w:rsid w:val="009807CA"/>
    <w:rsid w:val="00980803"/>
    <w:rsid w:val="00980A5A"/>
    <w:rsid w:val="00980E4D"/>
    <w:rsid w:val="00981417"/>
    <w:rsid w:val="0098162A"/>
    <w:rsid w:val="00981708"/>
    <w:rsid w:val="00981A9F"/>
    <w:rsid w:val="00981D45"/>
    <w:rsid w:val="00981DF5"/>
    <w:rsid w:val="00981E46"/>
    <w:rsid w:val="00982131"/>
    <w:rsid w:val="0098231E"/>
    <w:rsid w:val="009823E2"/>
    <w:rsid w:val="009825C3"/>
    <w:rsid w:val="009828DA"/>
    <w:rsid w:val="00982A13"/>
    <w:rsid w:val="00982A2C"/>
    <w:rsid w:val="00982C74"/>
    <w:rsid w:val="00982CCB"/>
    <w:rsid w:val="00982CF3"/>
    <w:rsid w:val="009834BB"/>
    <w:rsid w:val="009838F6"/>
    <w:rsid w:val="00983CB3"/>
    <w:rsid w:val="00983F47"/>
    <w:rsid w:val="0098495B"/>
    <w:rsid w:val="00984B31"/>
    <w:rsid w:val="00984CB3"/>
    <w:rsid w:val="00984F3B"/>
    <w:rsid w:val="0098521E"/>
    <w:rsid w:val="009852DA"/>
    <w:rsid w:val="009857AB"/>
    <w:rsid w:val="00985D5C"/>
    <w:rsid w:val="009860F9"/>
    <w:rsid w:val="00986347"/>
    <w:rsid w:val="00986442"/>
    <w:rsid w:val="00986459"/>
    <w:rsid w:val="0098653C"/>
    <w:rsid w:val="00986700"/>
    <w:rsid w:val="00986EB4"/>
    <w:rsid w:val="00987079"/>
    <w:rsid w:val="00987717"/>
    <w:rsid w:val="00987DEC"/>
    <w:rsid w:val="009906E6"/>
    <w:rsid w:val="0099072F"/>
    <w:rsid w:val="009907E9"/>
    <w:rsid w:val="009913A2"/>
    <w:rsid w:val="00991443"/>
    <w:rsid w:val="009916B4"/>
    <w:rsid w:val="009916EA"/>
    <w:rsid w:val="009919DA"/>
    <w:rsid w:val="00991D46"/>
    <w:rsid w:val="00991F51"/>
    <w:rsid w:val="00992129"/>
    <w:rsid w:val="00992452"/>
    <w:rsid w:val="009924E8"/>
    <w:rsid w:val="00992DA8"/>
    <w:rsid w:val="009935CF"/>
    <w:rsid w:val="0099425D"/>
    <w:rsid w:val="0099456C"/>
    <w:rsid w:val="00994890"/>
    <w:rsid w:val="00994A75"/>
    <w:rsid w:val="00994C91"/>
    <w:rsid w:val="00994CD3"/>
    <w:rsid w:val="00995187"/>
    <w:rsid w:val="00995474"/>
    <w:rsid w:val="0099549F"/>
    <w:rsid w:val="009957FE"/>
    <w:rsid w:val="00996198"/>
    <w:rsid w:val="0099670D"/>
    <w:rsid w:val="009969BD"/>
    <w:rsid w:val="00996A25"/>
    <w:rsid w:val="00996C6D"/>
    <w:rsid w:val="00996FE9"/>
    <w:rsid w:val="00997241"/>
    <w:rsid w:val="00997D37"/>
    <w:rsid w:val="00997DD9"/>
    <w:rsid w:val="00997E30"/>
    <w:rsid w:val="00997E34"/>
    <w:rsid w:val="009A016E"/>
    <w:rsid w:val="009A01B5"/>
    <w:rsid w:val="009A0288"/>
    <w:rsid w:val="009A03A5"/>
    <w:rsid w:val="009A03E2"/>
    <w:rsid w:val="009A0468"/>
    <w:rsid w:val="009A09CB"/>
    <w:rsid w:val="009A12B4"/>
    <w:rsid w:val="009A12CB"/>
    <w:rsid w:val="009A1477"/>
    <w:rsid w:val="009A15B1"/>
    <w:rsid w:val="009A15E2"/>
    <w:rsid w:val="009A15F6"/>
    <w:rsid w:val="009A199C"/>
    <w:rsid w:val="009A1E3E"/>
    <w:rsid w:val="009A1F10"/>
    <w:rsid w:val="009A241C"/>
    <w:rsid w:val="009A24B6"/>
    <w:rsid w:val="009A253F"/>
    <w:rsid w:val="009A2DC7"/>
    <w:rsid w:val="009A2E31"/>
    <w:rsid w:val="009A32B7"/>
    <w:rsid w:val="009A32D4"/>
    <w:rsid w:val="009A337F"/>
    <w:rsid w:val="009A3793"/>
    <w:rsid w:val="009A3BDC"/>
    <w:rsid w:val="009A3E10"/>
    <w:rsid w:val="009A4A20"/>
    <w:rsid w:val="009A4A21"/>
    <w:rsid w:val="009A4E67"/>
    <w:rsid w:val="009A4F78"/>
    <w:rsid w:val="009A5056"/>
    <w:rsid w:val="009A52E2"/>
    <w:rsid w:val="009A5E6E"/>
    <w:rsid w:val="009A6044"/>
    <w:rsid w:val="009A60E9"/>
    <w:rsid w:val="009A63CD"/>
    <w:rsid w:val="009A6B78"/>
    <w:rsid w:val="009A6C12"/>
    <w:rsid w:val="009A6C5C"/>
    <w:rsid w:val="009A73D6"/>
    <w:rsid w:val="009A76AD"/>
    <w:rsid w:val="009A791E"/>
    <w:rsid w:val="009A7DF1"/>
    <w:rsid w:val="009B0338"/>
    <w:rsid w:val="009B0479"/>
    <w:rsid w:val="009B0550"/>
    <w:rsid w:val="009B0629"/>
    <w:rsid w:val="009B078C"/>
    <w:rsid w:val="009B0CBC"/>
    <w:rsid w:val="009B0DD8"/>
    <w:rsid w:val="009B0F50"/>
    <w:rsid w:val="009B0FBE"/>
    <w:rsid w:val="009B15FC"/>
    <w:rsid w:val="009B1A0E"/>
    <w:rsid w:val="009B1BBE"/>
    <w:rsid w:val="009B1EA3"/>
    <w:rsid w:val="009B1F9A"/>
    <w:rsid w:val="009B2186"/>
    <w:rsid w:val="009B221D"/>
    <w:rsid w:val="009B2331"/>
    <w:rsid w:val="009B24B1"/>
    <w:rsid w:val="009B2960"/>
    <w:rsid w:val="009B296E"/>
    <w:rsid w:val="009B2CFE"/>
    <w:rsid w:val="009B30DD"/>
    <w:rsid w:val="009B31CD"/>
    <w:rsid w:val="009B3D3D"/>
    <w:rsid w:val="009B4265"/>
    <w:rsid w:val="009B431B"/>
    <w:rsid w:val="009B4B57"/>
    <w:rsid w:val="009B4BA2"/>
    <w:rsid w:val="009B4C02"/>
    <w:rsid w:val="009B52BA"/>
    <w:rsid w:val="009B539D"/>
    <w:rsid w:val="009B5482"/>
    <w:rsid w:val="009B573C"/>
    <w:rsid w:val="009B59E8"/>
    <w:rsid w:val="009B5A40"/>
    <w:rsid w:val="009B66DD"/>
    <w:rsid w:val="009B690E"/>
    <w:rsid w:val="009B6BB3"/>
    <w:rsid w:val="009B6EF1"/>
    <w:rsid w:val="009B708E"/>
    <w:rsid w:val="009B7DCD"/>
    <w:rsid w:val="009C054E"/>
    <w:rsid w:val="009C066D"/>
    <w:rsid w:val="009C06D2"/>
    <w:rsid w:val="009C0E8B"/>
    <w:rsid w:val="009C0F5C"/>
    <w:rsid w:val="009C10D3"/>
    <w:rsid w:val="009C2005"/>
    <w:rsid w:val="009C22C2"/>
    <w:rsid w:val="009C22F1"/>
    <w:rsid w:val="009C254D"/>
    <w:rsid w:val="009C2E8C"/>
    <w:rsid w:val="009C33CE"/>
    <w:rsid w:val="009C3C1A"/>
    <w:rsid w:val="009C3CC8"/>
    <w:rsid w:val="009C3D03"/>
    <w:rsid w:val="009C3FCB"/>
    <w:rsid w:val="009C4196"/>
    <w:rsid w:val="009C43C3"/>
    <w:rsid w:val="009C4466"/>
    <w:rsid w:val="009C44AB"/>
    <w:rsid w:val="009C46C0"/>
    <w:rsid w:val="009C4780"/>
    <w:rsid w:val="009C4855"/>
    <w:rsid w:val="009C48EE"/>
    <w:rsid w:val="009C499A"/>
    <w:rsid w:val="009C56BB"/>
    <w:rsid w:val="009C5858"/>
    <w:rsid w:val="009C585D"/>
    <w:rsid w:val="009C5922"/>
    <w:rsid w:val="009C63E6"/>
    <w:rsid w:val="009C6630"/>
    <w:rsid w:val="009C6A49"/>
    <w:rsid w:val="009C6C59"/>
    <w:rsid w:val="009C7061"/>
    <w:rsid w:val="009C70AA"/>
    <w:rsid w:val="009C7308"/>
    <w:rsid w:val="009C745D"/>
    <w:rsid w:val="009C76B2"/>
    <w:rsid w:val="009C797F"/>
    <w:rsid w:val="009C7B6B"/>
    <w:rsid w:val="009D01A2"/>
    <w:rsid w:val="009D07D7"/>
    <w:rsid w:val="009D0A24"/>
    <w:rsid w:val="009D0AC0"/>
    <w:rsid w:val="009D0E87"/>
    <w:rsid w:val="009D104F"/>
    <w:rsid w:val="009D1160"/>
    <w:rsid w:val="009D159F"/>
    <w:rsid w:val="009D1ADA"/>
    <w:rsid w:val="009D1BB0"/>
    <w:rsid w:val="009D1E12"/>
    <w:rsid w:val="009D212D"/>
    <w:rsid w:val="009D23B2"/>
    <w:rsid w:val="009D2661"/>
    <w:rsid w:val="009D2A02"/>
    <w:rsid w:val="009D30F8"/>
    <w:rsid w:val="009D31BC"/>
    <w:rsid w:val="009D36D2"/>
    <w:rsid w:val="009D3764"/>
    <w:rsid w:val="009D3ABE"/>
    <w:rsid w:val="009D3AFD"/>
    <w:rsid w:val="009D3DB9"/>
    <w:rsid w:val="009D40AB"/>
    <w:rsid w:val="009D42D3"/>
    <w:rsid w:val="009D4333"/>
    <w:rsid w:val="009D44DF"/>
    <w:rsid w:val="009D46DD"/>
    <w:rsid w:val="009D4AFA"/>
    <w:rsid w:val="009D4DDE"/>
    <w:rsid w:val="009D53DE"/>
    <w:rsid w:val="009D5549"/>
    <w:rsid w:val="009D5583"/>
    <w:rsid w:val="009D609E"/>
    <w:rsid w:val="009D62EF"/>
    <w:rsid w:val="009D6763"/>
    <w:rsid w:val="009D69AA"/>
    <w:rsid w:val="009D6FEE"/>
    <w:rsid w:val="009D7319"/>
    <w:rsid w:val="009D78D1"/>
    <w:rsid w:val="009D7DA0"/>
    <w:rsid w:val="009E035F"/>
    <w:rsid w:val="009E0848"/>
    <w:rsid w:val="009E0B33"/>
    <w:rsid w:val="009E1028"/>
    <w:rsid w:val="009E1088"/>
    <w:rsid w:val="009E1434"/>
    <w:rsid w:val="009E177A"/>
    <w:rsid w:val="009E1810"/>
    <w:rsid w:val="009E1F42"/>
    <w:rsid w:val="009E2337"/>
    <w:rsid w:val="009E262E"/>
    <w:rsid w:val="009E283B"/>
    <w:rsid w:val="009E2CF4"/>
    <w:rsid w:val="009E30E8"/>
    <w:rsid w:val="009E32C1"/>
    <w:rsid w:val="009E34A7"/>
    <w:rsid w:val="009E3569"/>
    <w:rsid w:val="009E36FD"/>
    <w:rsid w:val="009E379F"/>
    <w:rsid w:val="009E3824"/>
    <w:rsid w:val="009E3C9F"/>
    <w:rsid w:val="009E4460"/>
    <w:rsid w:val="009E46A3"/>
    <w:rsid w:val="009E47B4"/>
    <w:rsid w:val="009E4AD1"/>
    <w:rsid w:val="009E4F7B"/>
    <w:rsid w:val="009E51E4"/>
    <w:rsid w:val="009E54B9"/>
    <w:rsid w:val="009E580D"/>
    <w:rsid w:val="009E59FB"/>
    <w:rsid w:val="009E5BD3"/>
    <w:rsid w:val="009E5C01"/>
    <w:rsid w:val="009E5E16"/>
    <w:rsid w:val="009E5F09"/>
    <w:rsid w:val="009E5F0D"/>
    <w:rsid w:val="009E609C"/>
    <w:rsid w:val="009E60C4"/>
    <w:rsid w:val="009E6163"/>
    <w:rsid w:val="009E6D2E"/>
    <w:rsid w:val="009E6DAB"/>
    <w:rsid w:val="009E769C"/>
    <w:rsid w:val="009E7C9A"/>
    <w:rsid w:val="009E7F24"/>
    <w:rsid w:val="009F006F"/>
    <w:rsid w:val="009F029D"/>
    <w:rsid w:val="009F03E8"/>
    <w:rsid w:val="009F044F"/>
    <w:rsid w:val="009F06E6"/>
    <w:rsid w:val="009F07BC"/>
    <w:rsid w:val="009F0829"/>
    <w:rsid w:val="009F09ED"/>
    <w:rsid w:val="009F0BD2"/>
    <w:rsid w:val="009F10DF"/>
    <w:rsid w:val="009F1469"/>
    <w:rsid w:val="009F183D"/>
    <w:rsid w:val="009F18FE"/>
    <w:rsid w:val="009F1C1F"/>
    <w:rsid w:val="009F1F31"/>
    <w:rsid w:val="009F2747"/>
    <w:rsid w:val="009F2AD5"/>
    <w:rsid w:val="009F2B32"/>
    <w:rsid w:val="009F2CC0"/>
    <w:rsid w:val="009F2D07"/>
    <w:rsid w:val="009F32E2"/>
    <w:rsid w:val="009F3684"/>
    <w:rsid w:val="009F3A27"/>
    <w:rsid w:val="009F3D5B"/>
    <w:rsid w:val="009F3D6D"/>
    <w:rsid w:val="009F3FDB"/>
    <w:rsid w:val="009F4590"/>
    <w:rsid w:val="009F52A1"/>
    <w:rsid w:val="009F53BB"/>
    <w:rsid w:val="009F561C"/>
    <w:rsid w:val="009F5959"/>
    <w:rsid w:val="009F598A"/>
    <w:rsid w:val="009F5A39"/>
    <w:rsid w:val="009F6167"/>
    <w:rsid w:val="009F6272"/>
    <w:rsid w:val="009F67E4"/>
    <w:rsid w:val="009F6BFF"/>
    <w:rsid w:val="009F6CE7"/>
    <w:rsid w:val="009F6D10"/>
    <w:rsid w:val="009F7648"/>
    <w:rsid w:val="009F7704"/>
    <w:rsid w:val="009F77D3"/>
    <w:rsid w:val="009F78C7"/>
    <w:rsid w:val="00A0040E"/>
    <w:rsid w:val="00A00476"/>
    <w:rsid w:val="00A005F4"/>
    <w:rsid w:val="00A00646"/>
    <w:rsid w:val="00A0072C"/>
    <w:rsid w:val="00A00817"/>
    <w:rsid w:val="00A0095F"/>
    <w:rsid w:val="00A00983"/>
    <w:rsid w:val="00A00F62"/>
    <w:rsid w:val="00A00F8C"/>
    <w:rsid w:val="00A01272"/>
    <w:rsid w:val="00A01461"/>
    <w:rsid w:val="00A015C9"/>
    <w:rsid w:val="00A015E9"/>
    <w:rsid w:val="00A0164D"/>
    <w:rsid w:val="00A01966"/>
    <w:rsid w:val="00A01D95"/>
    <w:rsid w:val="00A0201F"/>
    <w:rsid w:val="00A020E8"/>
    <w:rsid w:val="00A02454"/>
    <w:rsid w:val="00A02AE6"/>
    <w:rsid w:val="00A02D46"/>
    <w:rsid w:val="00A0366E"/>
    <w:rsid w:val="00A0384F"/>
    <w:rsid w:val="00A03A1D"/>
    <w:rsid w:val="00A03B60"/>
    <w:rsid w:val="00A0404F"/>
    <w:rsid w:val="00A04451"/>
    <w:rsid w:val="00A044F3"/>
    <w:rsid w:val="00A04B74"/>
    <w:rsid w:val="00A04E4E"/>
    <w:rsid w:val="00A04F0E"/>
    <w:rsid w:val="00A04F77"/>
    <w:rsid w:val="00A0500B"/>
    <w:rsid w:val="00A05127"/>
    <w:rsid w:val="00A057FE"/>
    <w:rsid w:val="00A05B65"/>
    <w:rsid w:val="00A063D3"/>
    <w:rsid w:val="00A0673A"/>
    <w:rsid w:val="00A06BCA"/>
    <w:rsid w:val="00A06C7D"/>
    <w:rsid w:val="00A06C7F"/>
    <w:rsid w:val="00A0701B"/>
    <w:rsid w:val="00A07430"/>
    <w:rsid w:val="00A07960"/>
    <w:rsid w:val="00A079DA"/>
    <w:rsid w:val="00A07B3E"/>
    <w:rsid w:val="00A07C78"/>
    <w:rsid w:val="00A07EA0"/>
    <w:rsid w:val="00A102EC"/>
    <w:rsid w:val="00A10538"/>
    <w:rsid w:val="00A105A2"/>
    <w:rsid w:val="00A10AF5"/>
    <w:rsid w:val="00A10D01"/>
    <w:rsid w:val="00A10FAB"/>
    <w:rsid w:val="00A11971"/>
    <w:rsid w:val="00A11A07"/>
    <w:rsid w:val="00A122D6"/>
    <w:rsid w:val="00A12405"/>
    <w:rsid w:val="00A12532"/>
    <w:rsid w:val="00A1258E"/>
    <w:rsid w:val="00A126F6"/>
    <w:rsid w:val="00A128A9"/>
    <w:rsid w:val="00A12A6E"/>
    <w:rsid w:val="00A12AF9"/>
    <w:rsid w:val="00A12D1C"/>
    <w:rsid w:val="00A12D1F"/>
    <w:rsid w:val="00A12D73"/>
    <w:rsid w:val="00A12E1A"/>
    <w:rsid w:val="00A13063"/>
    <w:rsid w:val="00A130D4"/>
    <w:rsid w:val="00A13134"/>
    <w:rsid w:val="00A131DE"/>
    <w:rsid w:val="00A132D1"/>
    <w:rsid w:val="00A135AB"/>
    <w:rsid w:val="00A13AB1"/>
    <w:rsid w:val="00A13C90"/>
    <w:rsid w:val="00A1430E"/>
    <w:rsid w:val="00A14501"/>
    <w:rsid w:val="00A146C2"/>
    <w:rsid w:val="00A146CD"/>
    <w:rsid w:val="00A14C8E"/>
    <w:rsid w:val="00A14D00"/>
    <w:rsid w:val="00A15C18"/>
    <w:rsid w:val="00A15C8B"/>
    <w:rsid w:val="00A15D98"/>
    <w:rsid w:val="00A15E65"/>
    <w:rsid w:val="00A15E7B"/>
    <w:rsid w:val="00A160A3"/>
    <w:rsid w:val="00A161DB"/>
    <w:rsid w:val="00A16C43"/>
    <w:rsid w:val="00A16F1C"/>
    <w:rsid w:val="00A170BF"/>
    <w:rsid w:val="00A174CE"/>
    <w:rsid w:val="00A174EC"/>
    <w:rsid w:val="00A175E4"/>
    <w:rsid w:val="00A17718"/>
    <w:rsid w:val="00A177D2"/>
    <w:rsid w:val="00A204A4"/>
    <w:rsid w:val="00A20512"/>
    <w:rsid w:val="00A20971"/>
    <w:rsid w:val="00A20E5C"/>
    <w:rsid w:val="00A20E78"/>
    <w:rsid w:val="00A210E3"/>
    <w:rsid w:val="00A215A9"/>
    <w:rsid w:val="00A2191D"/>
    <w:rsid w:val="00A21A1E"/>
    <w:rsid w:val="00A223DF"/>
    <w:rsid w:val="00A22807"/>
    <w:rsid w:val="00A22ECD"/>
    <w:rsid w:val="00A22FF4"/>
    <w:rsid w:val="00A23301"/>
    <w:rsid w:val="00A23383"/>
    <w:rsid w:val="00A2356A"/>
    <w:rsid w:val="00A23645"/>
    <w:rsid w:val="00A23B95"/>
    <w:rsid w:val="00A23F8B"/>
    <w:rsid w:val="00A243A4"/>
    <w:rsid w:val="00A244DF"/>
    <w:rsid w:val="00A246B0"/>
    <w:rsid w:val="00A2472F"/>
    <w:rsid w:val="00A2479F"/>
    <w:rsid w:val="00A24C6E"/>
    <w:rsid w:val="00A24D0C"/>
    <w:rsid w:val="00A24E17"/>
    <w:rsid w:val="00A25094"/>
    <w:rsid w:val="00A25131"/>
    <w:rsid w:val="00A256FD"/>
    <w:rsid w:val="00A2591F"/>
    <w:rsid w:val="00A25B15"/>
    <w:rsid w:val="00A25BD0"/>
    <w:rsid w:val="00A2633F"/>
    <w:rsid w:val="00A265C4"/>
    <w:rsid w:val="00A266F6"/>
    <w:rsid w:val="00A26D17"/>
    <w:rsid w:val="00A26E35"/>
    <w:rsid w:val="00A26E87"/>
    <w:rsid w:val="00A27492"/>
    <w:rsid w:val="00A275A1"/>
    <w:rsid w:val="00A276E1"/>
    <w:rsid w:val="00A27717"/>
    <w:rsid w:val="00A27816"/>
    <w:rsid w:val="00A27D1D"/>
    <w:rsid w:val="00A27EEA"/>
    <w:rsid w:val="00A30129"/>
    <w:rsid w:val="00A302C4"/>
    <w:rsid w:val="00A303EB"/>
    <w:rsid w:val="00A304DC"/>
    <w:rsid w:val="00A30879"/>
    <w:rsid w:val="00A308A9"/>
    <w:rsid w:val="00A30CA0"/>
    <w:rsid w:val="00A30D52"/>
    <w:rsid w:val="00A30E37"/>
    <w:rsid w:val="00A30F9B"/>
    <w:rsid w:val="00A3120D"/>
    <w:rsid w:val="00A31326"/>
    <w:rsid w:val="00A3189F"/>
    <w:rsid w:val="00A321F3"/>
    <w:rsid w:val="00A3246B"/>
    <w:rsid w:val="00A324C4"/>
    <w:rsid w:val="00A32B30"/>
    <w:rsid w:val="00A32D19"/>
    <w:rsid w:val="00A32E05"/>
    <w:rsid w:val="00A32FBE"/>
    <w:rsid w:val="00A3309C"/>
    <w:rsid w:val="00A3323D"/>
    <w:rsid w:val="00A335BA"/>
    <w:rsid w:val="00A337C2"/>
    <w:rsid w:val="00A338D7"/>
    <w:rsid w:val="00A34157"/>
    <w:rsid w:val="00A3437E"/>
    <w:rsid w:val="00A34448"/>
    <w:rsid w:val="00A34519"/>
    <w:rsid w:val="00A34790"/>
    <w:rsid w:val="00A34909"/>
    <w:rsid w:val="00A3533E"/>
    <w:rsid w:val="00A35585"/>
    <w:rsid w:val="00A3562F"/>
    <w:rsid w:val="00A35754"/>
    <w:rsid w:val="00A35924"/>
    <w:rsid w:val="00A35D89"/>
    <w:rsid w:val="00A35FF9"/>
    <w:rsid w:val="00A36149"/>
    <w:rsid w:val="00A36187"/>
    <w:rsid w:val="00A3683D"/>
    <w:rsid w:val="00A36A96"/>
    <w:rsid w:val="00A36BA7"/>
    <w:rsid w:val="00A36BCF"/>
    <w:rsid w:val="00A36D74"/>
    <w:rsid w:val="00A36FD2"/>
    <w:rsid w:val="00A378E0"/>
    <w:rsid w:val="00A37ED8"/>
    <w:rsid w:val="00A4047F"/>
    <w:rsid w:val="00A404EB"/>
    <w:rsid w:val="00A40A47"/>
    <w:rsid w:val="00A40AF1"/>
    <w:rsid w:val="00A40D48"/>
    <w:rsid w:val="00A40DCB"/>
    <w:rsid w:val="00A41055"/>
    <w:rsid w:val="00A41250"/>
    <w:rsid w:val="00A4132E"/>
    <w:rsid w:val="00A417C1"/>
    <w:rsid w:val="00A41B58"/>
    <w:rsid w:val="00A41C9F"/>
    <w:rsid w:val="00A41D4E"/>
    <w:rsid w:val="00A42393"/>
    <w:rsid w:val="00A42414"/>
    <w:rsid w:val="00A42735"/>
    <w:rsid w:val="00A42CF8"/>
    <w:rsid w:val="00A43208"/>
    <w:rsid w:val="00A43673"/>
    <w:rsid w:val="00A43763"/>
    <w:rsid w:val="00A43B3B"/>
    <w:rsid w:val="00A43DAA"/>
    <w:rsid w:val="00A44102"/>
    <w:rsid w:val="00A44322"/>
    <w:rsid w:val="00A444F5"/>
    <w:rsid w:val="00A447A2"/>
    <w:rsid w:val="00A44C64"/>
    <w:rsid w:val="00A44D0F"/>
    <w:rsid w:val="00A45559"/>
    <w:rsid w:val="00A4568E"/>
    <w:rsid w:val="00A45807"/>
    <w:rsid w:val="00A45839"/>
    <w:rsid w:val="00A45BFE"/>
    <w:rsid w:val="00A460F6"/>
    <w:rsid w:val="00A46168"/>
    <w:rsid w:val="00A462CD"/>
    <w:rsid w:val="00A46564"/>
    <w:rsid w:val="00A469B5"/>
    <w:rsid w:val="00A46A29"/>
    <w:rsid w:val="00A46ACF"/>
    <w:rsid w:val="00A46B5E"/>
    <w:rsid w:val="00A46C8A"/>
    <w:rsid w:val="00A46D63"/>
    <w:rsid w:val="00A46E68"/>
    <w:rsid w:val="00A47550"/>
    <w:rsid w:val="00A47837"/>
    <w:rsid w:val="00A47F28"/>
    <w:rsid w:val="00A5053B"/>
    <w:rsid w:val="00A50A0D"/>
    <w:rsid w:val="00A50A52"/>
    <w:rsid w:val="00A50DC5"/>
    <w:rsid w:val="00A50F43"/>
    <w:rsid w:val="00A51348"/>
    <w:rsid w:val="00A514FB"/>
    <w:rsid w:val="00A5174E"/>
    <w:rsid w:val="00A518B6"/>
    <w:rsid w:val="00A51981"/>
    <w:rsid w:val="00A51B35"/>
    <w:rsid w:val="00A51E16"/>
    <w:rsid w:val="00A51E83"/>
    <w:rsid w:val="00A52044"/>
    <w:rsid w:val="00A52565"/>
    <w:rsid w:val="00A525A5"/>
    <w:rsid w:val="00A52783"/>
    <w:rsid w:val="00A52A3F"/>
    <w:rsid w:val="00A52A8F"/>
    <w:rsid w:val="00A52B6E"/>
    <w:rsid w:val="00A52E00"/>
    <w:rsid w:val="00A52F26"/>
    <w:rsid w:val="00A53535"/>
    <w:rsid w:val="00A53918"/>
    <w:rsid w:val="00A539CA"/>
    <w:rsid w:val="00A53A32"/>
    <w:rsid w:val="00A53AD2"/>
    <w:rsid w:val="00A53B1D"/>
    <w:rsid w:val="00A53D00"/>
    <w:rsid w:val="00A53F8F"/>
    <w:rsid w:val="00A541EC"/>
    <w:rsid w:val="00A545DC"/>
    <w:rsid w:val="00A54A34"/>
    <w:rsid w:val="00A54F1F"/>
    <w:rsid w:val="00A55310"/>
    <w:rsid w:val="00A55509"/>
    <w:rsid w:val="00A55C60"/>
    <w:rsid w:val="00A55DDD"/>
    <w:rsid w:val="00A560BE"/>
    <w:rsid w:val="00A56226"/>
    <w:rsid w:val="00A56309"/>
    <w:rsid w:val="00A5650A"/>
    <w:rsid w:val="00A56849"/>
    <w:rsid w:val="00A56949"/>
    <w:rsid w:val="00A569DD"/>
    <w:rsid w:val="00A56A7A"/>
    <w:rsid w:val="00A56BBC"/>
    <w:rsid w:val="00A56C9D"/>
    <w:rsid w:val="00A56EC3"/>
    <w:rsid w:val="00A57579"/>
    <w:rsid w:val="00A57625"/>
    <w:rsid w:val="00A57839"/>
    <w:rsid w:val="00A579EC"/>
    <w:rsid w:val="00A57CDD"/>
    <w:rsid w:val="00A600C8"/>
    <w:rsid w:val="00A6021D"/>
    <w:rsid w:val="00A6052F"/>
    <w:rsid w:val="00A60594"/>
    <w:rsid w:val="00A606D6"/>
    <w:rsid w:val="00A60801"/>
    <w:rsid w:val="00A60991"/>
    <w:rsid w:val="00A60A22"/>
    <w:rsid w:val="00A60A3C"/>
    <w:rsid w:val="00A60D7B"/>
    <w:rsid w:val="00A60FB2"/>
    <w:rsid w:val="00A61241"/>
    <w:rsid w:val="00A62000"/>
    <w:rsid w:val="00A62480"/>
    <w:rsid w:val="00A626D1"/>
    <w:rsid w:val="00A628F8"/>
    <w:rsid w:val="00A62D74"/>
    <w:rsid w:val="00A62FE9"/>
    <w:rsid w:val="00A633A1"/>
    <w:rsid w:val="00A63567"/>
    <w:rsid w:val="00A63605"/>
    <w:rsid w:val="00A6371A"/>
    <w:rsid w:val="00A63798"/>
    <w:rsid w:val="00A637C9"/>
    <w:rsid w:val="00A63C44"/>
    <w:rsid w:val="00A640FF"/>
    <w:rsid w:val="00A6418C"/>
    <w:rsid w:val="00A641E6"/>
    <w:rsid w:val="00A643C5"/>
    <w:rsid w:val="00A64576"/>
    <w:rsid w:val="00A6461E"/>
    <w:rsid w:val="00A64DB7"/>
    <w:rsid w:val="00A64F91"/>
    <w:rsid w:val="00A65091"/>
    <w:rsid w:val="00A652C2"/>
    <w:rsid w:val="00A6539D"/>
    <w:rsid w:val="00A65866"/>
    <w:rsid w:val="00A659BD"/>
    <w:rsid w:val="00A65DBC"/>
    <w:rsid w:val="00A66576"/>
    <w:rsid w:val="00A666EC"/>
    <w:rsid w:val="00A66EBC"/>
    <w:rsid w:val="00A673D6"/>
    <w:rsid w:val="00A6746C"/>
    <w:rsid w:val="00A6752E"/>
    <w:rsid w:val="00A67E4A"/>
    <w:rsid w:val="00A706D7"/>
    <w:rsid w:val="00A707F6"/>
    <w:rsid w:val="00A7141C"/>
    <w:rsid w:val="00A717D3"/>
    <w:rsid w:val="00A71ACA"/>
    <w:rsid w:val="00A71BAB"/>
    <w:rsid w:val="00A72099"/>
    <w:rsid w:val="00A72533"/>
    <w:rsid w:val="00A72D1E"/>
    <w:rsid w:val="00A72E30"/>
    <w:rsid w:val="00A72E3D"/>
    <w:rsid w:val="00A7399A"/>
    <w:rsid w:val="00A73A48"/>
    <w:rsid w:val="00A73C54"/>
    <w:rsid w:val="00A74225"/>
    <w:rsid w:val="00A743CF"/>
    <w:rsid w:val="00A7442B"/>
    <w:rsid w:val="00A7479F"/>
    <w:rsid w:val="00A74830"/>
    <w:rsid w:val="00A75BD3"/>
    <w:rsid w:val="00A75CB8"/>
    <w:rsid w:val="00A7644C"/>
    <w:rsid w:val="00A76759"/>
    <w:rsid w:val="00A76FD1"/>
    <w:rsid w:val="00A77077"/>
    <w:rsid w:val="00A7726C"/>
    <w:rsid w:val="00A773B7"/>
    <w:rsid w:val="00A773D3"/>
    <w:rsid w:val="00A77543"/>
    <w:rsid w:val="00A775A1"/>
    <w:rsid w:val="00A77F3A"/>
    <w:rsid w:val="00A8064C"/>
    <w:rsid w:val="00A80D96"/>
    <w:rsid w:val="00A80DAD"/>
    <w:rsid w:val="00A8128B"/>
    <w:rsid w:val="00A8153F"/>
    <w:rsid w:val="00A8159B"/>
    <w:rsid w:val="00A818AF"/>
    <w:rsid w:val="00A8201B"/>
    <w:rsid w:val="00A823A7"/>
    <w:rsid w:val="00A8292D"/>
    <w:rsid w:val="00A8292E"/>
    <w:rsid w:val="00A829BE"/>
    <w:rsid w:val="00A82BA8"/>
    <w:rsid w:val="00A82BE6"/>
    <w:rsid w:val="00A82D3A"/>
    <w:rsid w:val="00A832E5"/>
    <w:rsid w:val="00A835C9"/>
    <w:rsid w:val="00A83612"/>
    <w:rsid w:val="00A837FB"/>
    <w:rsid w:val="00A83B38"/>
    <w:rsid w:val="00A84107"/>
    <w:rsid w:val="00A84B89"/>
    <w:rsid w:val="00A84C31"/>
    <w:rsid w:val="00A85360"/>
    <w:rsid w:val="00A85470"/>
    <w:rsid w:val="00A85581"/>
    <w:rsid w:val="00A8558E"/>
    <w:rsid w:val="00A85A6A"/>
    <w:rsid w:val="00A85CCB"/>
    <w:rsid w:val="00A86063"/>
    <w:rsid w:val="00A86A9C"/>
    <w:rsid w:val="00A86EA2"/>
    <w:rsid w:val="00A86F0F"/>
    <w:rsid w:val="00A9020A"/>
    <w:rsid w:val="00A90724"/>
    <w:rsid w:val="00A90C3B"/>
    <w:rsid w:val="00A91012"/>
    <w:rsid w:val="00A912D7"/>
    <w:rsid w:val="00A91494"/>
    <w:rsid w:val="00A915A5"/>
    <w:rsid w:val="00A9182E"/>
    <w:rsid w:val="00A91C45"/>
    <w:rsid w:val="00A921C1"/>
    <w:rsid w:val="00A921FD"/>
    <w:rsid w:val="00A924CD"/>
    <w:rsid w:val="00A92591"/>
    <w:rsid w:val="00A92791"/>
    <w:rsid w:val="00A9302D"/>
    <w:rsid w:val="00A932F7"/>
    <w:rsid w:val="00A93B8C"/>
    <w:rsid w:val="00A94098"/>
    <w:rsid w:val="00A9427D"/>
    <w:rsid w:val="00A943E7"/>
    <w:rsid w:val="00A9476F"/>
    <w:rsid w:val="00A94843"/>
    <w:rsid w:val="00A948D3"/>
    <w:rsid w:val="00A94A5F"/>
    <w:rsid w:val="00A959B8"/>
    <w:rsid w:val="00A95F3E"/>
    <w:rsid w:val="00A96330"/>
    <w:rsid w:val="00A96425"/>
    <w:rsid w:val="00A96519"/>
    <w:rsid w:val="00A965D0"/>
    <w:rsid w:val="00A968C5"/>
    <w:rsid w:val="00A968D1"/>
    <w:rsid w:val="00A969C0"/>
    <w:rsid w:val="00A96F78"/>
    <w:rsid w:val="00A97159"/>
    <w:rsid w:val="00A97384"/>
    <w:rsid w:val="00A973D4"/>
    <w:rsid w:val="00A9746B"/>
    <w:rsid w:val="00A976EB"/>
    <w:rsid w:val="00A97B0A"/>
    <w:rsid w:val="00A97D89"/>
    <w:rsid w:val="00A97D98"/>
    <w:rsid w:val="00AA0088"/>
    <w:rsid w:val="00AA01DB"/>
    <w:rsid w:val="00AA033A"/>
    <w:rsid w:val="00AA0C5D"/>
    <w:rsid w:val="00AA0F4A"/>
    <w:rsid w:val="00AA0F5B"/>
    <w:rsid w:val="00AA12C1"/>
    <w:rsid w:val="00AA13F0"/>
    <w:rsid w:val="00AA17E0"/>
    <w:rsid w:val="00AA1C07"/>
    <w:rsid w:val="00AA2414"/>
    <w:rsid w:val="00AA246D"/>
    <w:rsid w:val="00AA263E"/>
    <w:rsid w:val="00AA26CB"/>
    <w:rsid w:val="00AA2852"/>
    <w:rsid w:val="00AA2E3B"/>
    <w:rsid w:val="00AA2E6D"/>
    <w:rsid w:val="00AA319E"/>
    <w:rsid w:val="00AA3879"/>
    <w:rsid w:val="00AA3899"/>
    <w:rsid w:val="00AA3B90"/>
    <w:rsid w:val="00AA4120"/>
    <w:rsid w:val="00AA4397"/>
    <w:rsid w:val="00AA4A2C"/>
    <w:rsid w:val="00AA522C"/>
    <w:rsid w:val="00AA53B0"/>
    <w:rsid w:val="00AA55DD"/>
    <w:rsid w:val="00AA5750"/>
    <w:rsid w:val="00AA59FF"/>
    <w:rsid w:val="00AA6010"/>
    <w:rsid w:val="00AA6303"/>
    <w:rsid w:val="00AA6348"/>
    <w:rsid w:val="00AA6364"/>
    <w:rsid w:val="00AA63AB"/>
    <w:rsid w:val="00AA6539"/>
    <w:rsid w:val="00AA6BAB"/>
    <w:rsid w:val="00AA6D84"/>
    <w:rsid w:val="00AA70E6"/>
    <w:rsid w:val="00AA71CC"/>
    <w:rsid w:val="00AA72BC"/>
    <w:rsid w:val="00AA731E"/>
    <w:rsid w:val="00AA7CDD"/>
    <w:rsid w:val="00AA7FB8"/>
    <w:rsid w:val="00AB0031"/>
    <w:rsid w:val="00AB04EB"/>
    <w:rsid w:val="00AB0615"/>
    <w:rsid w:val="00AB0F75"/>
    <w:rsid w:val="00AB15BE"/>
    <w:rsid w:val="00AB16DC"/>
    <w:rsid w:val="00AB17C5"/>
    <w:rsid w:val="00AB1908"/>
    <w:rsid w:val="00AB20C7"/>
    <w:rsid w:val="00AB2691"/>
    <w:rsid w:val="00AB2B9F"/>
    <w:rsid w:val="00AB2CAF"/>
    <w:rsid w:val="00AB2FA8"/>
    <w:rsid w:val="00AB345D"/>
    <w:rsid w:val="00AB3B58"/>
    <w:rsid w:val="00AB3C02"/>
    <w:rsid w:val="00AB4068"/>
    <w:rsid w:val="00AB4C1E"/>
    <w:rsid w:val="00AB4F9D"/>
    <w:rsid w:val="00AB514C"/>
    <w:rsid w:val="00AB57CC"/>
    <w:rsid w:val="00AB597A"/>
    <w:rsid w:val="00AB5C3A"/>
    <w:rsid w:val="00AB5F94"/>
    <w:rsid w:val="00AB5FDA"/>
    <w:rsid w:val="00AB60A6"/>
    <w:rsid w:val="00AB62B6"/>
    <w:rsid w:val="00AB645D"/>
    <w:rsid w:val="00AB7BB7"/>
    <w:rsid w:val="00AB7DB8"/>
    <w:rsid w:val="00AC00A1"/>
    <w:rsid w:val="00AC041D"/>
    <w:rsid w:val="00AC0446"/>
    <w:rsid w:val="00AC0A27"/>
    <w:rsid w:val="00AC10AD"/>
    <w:rsid w:val="00AC1186"/>
    <w:rsid w:val="00AC1617"/>
    <w:rsid w:val="00AC1A2C"/>
    <w:rsid w:val="00AC1BA8"/>
    <w:rsid w:val="00AC1BE4"/>
    <w:rsid w:val="00AC1C67"/>
    <w:rsid w:val="00AC1CCF"/>
    <w:rsid w:val="00AC20B3"/>
    <w:rsid w:val="00AC263B"/>
    <w:rsid w:val="00AC26CA"/>
    <w:rsid w:val="00AC2AAB"/>
    <w:rsid w:val="00AC3198"/>
    <w:rsid w:val="00AC32F8"/>
    <w:rsid w:val="00AC3AB1"/>
    <w:rsid w:val="00AC43D0"/>
    <w:rsid w:val="00AC459C"/>
    <w:rsid w:val="00AC48BF"/>
    <w:rsid w:val="00AC4D0C"/>
    <w:rsid w:val="00AC5123"/>
    <w:rsid w:val="00AC5158"/>
    <w:rsid w:val="00AC51F3"/>
    <w:rsid w:val="00AC5537"/>
    <w:rsid w:val="00AC568C"/>
    <w:rsid w:val="00AC5769"/>
    <w:rsid w:val="00AC5A61"/>
    <w:rsid w:val="00AC5BF1"/>
    <w:rsid w:val="00AC6252"/>
    <w:rsid w:val="00AC6B09"/>
    <w:rsid w:val="00AC6CD7"/>
    <w:rsid w:val="00AC6F77"/>
    <w:rsid w:val="00AC75D3"/>
    <w:rsid w:val="00AC77AD"/>
    <w:rsid w:val="00AC7847"/>
    <w:rsid w:val="00AC7E70"/>
    <w:rsid w:val="00AC7F8F"/>
    <w:rsid w:val="00AD01F7"/>
    <w:rsid w:val="00AD03C1"/>
    <w:rsid w:val="00AD0ACB"/>
    <w:rsid w:val="00AD108D"/>
    <w:rsid w:val="00AD1750"/>
    <w:rsid w:val="00AD17BD"/>
    <w:rsid w:val="00AD1A3F"/>
    <w:rsid w:val="00AD1C8D"/>
    <w:rsid w:val="00AD1D13"/>
    <w:rsid w:val="00AD2173"/>
    <w:rsid w:val="00AD266A"/>
    <w:rsid w:val="00AD276E"/>
    <w:rsid w:val="00AD2F44"/>
    <w:rsid w:val="00AD3293"/>
    <w:rsid w:val="00AD3697"/>
    <w:rsid w:val="00AD3943"/>
    <w:rsid w:val="00AD39E3"/>
    <w:rsid w:val="00AD3A3E"/>
    <w:rsid w:val="00AD3A7B"/>
    <w:rsid w:val="00AD4AEF"/>
    <w:rsid w:val="00AD4CF2"/>
    <w:rsid w:val="00AD4F33"/>
    <w:rsid w:val="00AD55C0"/>
    <w:rsid w:val="00AD5DC0"/>
    <w:rsid w:val="00AD5DF1"/>
    <w:rsid w:val="00AD68BD"/>
    <w:rsid w:val="00AD69EC"/>
    <w:rsid w:val="00AD6A3B"/>
    <w:rsid w:val="00AD6B18"/>
    <w:rsid w:val="00AD6EC2"/>
    <w:rsid w:val="00AD7731"/>
    <w:rsid w:val="00AE000A"/>
    <w:rsid w:val="00AE07BF"/>
    <w:rsid w:val="00AE0924"/>
    <w:rsid w:val="00AE0B1A"/>
    <w:rsid w:val="00AE12C2"/>
    <w:rsid w:val="00AE18C7"/>
    <w:rsid w:val="00AE1AAB"/>
    <w:rsid w:val="00AE1E4F"/>
    <w:rsid w:val="00AE1EF3"/>
    <w:rsid w:val="00AE25D5"/>
    <w:rsid w:val="00AE26B8"/>
    <w:rsid w:val="00AE28BC"/>
    <w:rsid w:val="00AE2B70"/>
    <w:rsid w:val="00AE300F"/>
    <w:rsid w:val="00AE3220"/>
    <w:rsid w:val="00AE324C"/>
    <w:rsid w:val="00AE3542"/>
    <w:rsid w:val="00AE3889"/>
    <w:rsid w:val="00AE3F80"/>
    <w:rsid w:val="00AE4140"/>
    <w:rsid w:val="00AE41BC"/>
    <w:rsid w:val="00AE424B"/>
    <w:rsid w:val="00AE43BA"/>
    <w:rsid w:val="00AE4657"/>
    <w:rsid w:val="00AE4A51"/>
    <w:rsid w:val="00AE4C26"/>
    <w:rsid w:val="00AE4FD3"/>
    <w:rsid w:val="00AE5335"/>
    <w:rsid w:val="00AE5571"/>
    <w:rsid w:val="00AE57B2"/>
    <w:rsid w:val="00AE5FDB"/>
    <w:rsid w:val="00AE60D1"/>
    <w:rsid w:val="00AE638C"/>
    <w:rsid w:val="00AE65BA"/>
    <w:rsid w:val="00AE6606"/>
    <w:rsid w:val="00AE6918"/>
    <w:rsid w:val="00AE6A6B"/>
    <w:rsid w:val="00AE6AA9"/>
    <w:rsid w:val="00AE6B03"/>
    <w:rsid w:val="00AE6B2F"/>
    <w:rsid w:val="00AE7084"/>
    <w:rsid w:val="00AE7166"/>
    <w:rsid w:val="00AE7308"/>
    <w:rsid w:val="00AE75BB"/>
    <w:rsid w:val="00AE7626"/>
    <w:rsid w:val="00AE7737"/>
    <w:rsid w:val="00AE7BBD"/>
    <w:rsid w:val="00AF04FF"/>
    <w:rsid w:val="00AF0553"/>
    <w:rsid w:val="00AF06C1"/>
    <w:rsid w:val="00AF0833"/>
    <w:rsid w:val="00AF099A"/>
    <w:rsid w:val="00AF0A9F"/>
    <w:rsid w:val="00AF0BD7"/>
    <w:rsid w:val="00AF0C83"/>
    <w:rsid w:val="00AF1139"/>
    <w:rsid w:val="00AF122C"/>
    <w:rsid w:val="00AF146B"/>
    <w:rsid w:val="00AF1595"/>
    <w:rsid w:val="00AF161F"/>
    <w:rsid w:val="00AF1768"/>
    <w:rsid w:val="00AF2204"/>
    <w:rsid w:val="00AF30B5"/>
    <w:rsid w:val="00AF31FC"/>
    <w:rsid w:val="00AF33AD"/>
    <w:rsid w:val="00AF3435"/>
    <w:rsid w:val="00AF3B5C"/>
    <w:rsid w:val="00AF4217"/>
    <w:rsid w:val="00AF45BC"/>
    <w:rsid w:val="00AF4A01"/>
    <w:rsid w:val="00AF4AB9"/>
    <w:rsid w:val="00AF4B92"/>
    <w:rsid w:val="00AF4FF1"/>
    <w:rsid w:val="00AF51B4"/>
    <w:rsid w:val="00AF51E7"/>
    <w:rsid w:val="00AF5E73"/>
    <w:rsid w:val="00AF5F1B"/>
    <w:rsid w:val="00AF5FA7"/>
    <w:rsid w:val="00AF6406"/>
    <w:rsid w:val="00AF66EC"/>
    <w:rsid w:val="00AF68B7"/>
    <w:rsid w:val="00AF6940"/>
    <w:rsid w:val="00AF6EAB"/>
    <w:rsid w:val="00AF6F61"/>
    <w:rsid w:val="00AF7168"/>
    <w:rsid w:val="00AF718D"/>
    <w:rsid w:val="00AF7275"/>
    <w:rsid w:val="00AF734A"/>
    <w:rsid w:val="00AF73CC"/>
    <w:rsid w:val="00AF760F"/>
    <w:rsid w:val="00AF7813"/>
    <w:rsid w:val="00AF7B85"/>
    <w:rsid w:val="00AF7DF0"/>
    <w:rsid w:val="00AF7E75"/>
    <w:rsid w:val="00B0023C"/>
    <w:rsid w:val="00B009F3"/>
    <w:rsid w:val="00B00BE3"/>
    <w:rsid w:val="00B00DEB"/>
    <w:rsid w:val="00B012F3"/>
    <w:rsid w:val="00B0135A"/>
    <w:rsid w:val="00B015B1"/>
    <w:rsid w:val="00B01864"/>
    <w:rsid w:val="00B01A33"/>
    <w:rsid w:val="00B01C0E"/>
    <w:rsid w:val="00B02427"/>
    <w:rsid w:val="00B0242E"/>
    <w:rsid w:val="00B026B3"/>
    <w:rsid w:val="00B0274A"/>
    <w:rsid w:val="00B027B6"/>
    <w:rsid w:val="00B02A49"/>
    <w:rsid w:val="00B02AB2"/>
    <w:rsid w:val="00B031B0"/>
    <w:rsid w:val="00B03919"/>
    <w:rsid w:val="00B04178"/>
    <w:rsid w:val="00B04661"/>
    <w:rsid w:val="00B04797"/>
    <w:rsid w:val="00B04804"/>
    <w:rsid w:val="00B0482E"/>
    <w:rsid w:val="00B04C38"/>
    <w:rsid w:val="00B04C81"/>
    <w:rsid w:val="00B05497"/>
    <w:rsid w:val="00B0564B"/>
    <w:rsid w:val="00B05A3B"/>
    <w:rsid w:val="00B05BF1"/>
    <w:rsid w:val="00B05C3F"/>
    <w:rsid w:val="00B0646B"/>
    <w:rsid w:val="00B06560"/>
    <w:rsid w:val="00B06697"/>
    <w:rsid w:val="00B067F9"/>
    <w:rsid w:val="00B068E6"/>
    <w:rsid w:val="00B0698E"/>
    <w:rsid w:val="00B06CA8"/>
    <w:rsid w:val="00B06E16"/>
    <w:rsid w:val="00B0719C"/>
    <w:rsid w:val="00B07200"/>
    <w:rsid w:val="00B07774"/>
    <w:rsid w:val="00B07A22"/>
    <w:rsid w:val="00B07CD6"/>
    <w:rsid w:val="00B07E59"/>
    <w:rsid w:val="00B1007C"/>
    <w:rsid w:val="00B10826"/>
    <w:rsid w:val="00B10966"/>
    <w:rsid w:val="00B10DF0"/>
    <w:rsid w:val="00B10F83"/>
    <w:rsid w:val="00B1103C"/>
    <w:rsid w:val="00B1180D"/>
    <w:rsid w:val="00B11C8F"/>
    <w:rsid w:val="00B1273F"/>
    <w:rsid w:val="00B127F2"/>
    <w:rsid w:val="00B12A62"/>
    <w:rsid w:val="00B12B89"/>
    <w:rsid w:val="00B12D4C"/>
    <w:rsid w:val="00B13014"/>
    <w:rsid w:val="00B131A6"/>
    <w:rsid w:val="00B132A5"/>
    <w:rsid w:val="00B13A87"/>
    <w:rsid w:val="00B13AF5"/>
    <w:rsid w:val="00B13B4D"/>
    <w:rsid w:val="00B1402C"/>
    <w:rsid w:val="00B14333"/>
    <w:rsid w:val="00B14629"/>
    <w:rsid w:val="00B147C1"/>
    <w:rsid w:val="00B147D2"/>
    <w:rsid w:val="00B14B40"/>
    <w:rsid w:val="00B154AF"/>
    <w:rsid w:val="00B15514"/>
    <w:rsid w:val="00B156AB"/>
    <w:rsid w:val="00B157F4"/>
    <w:rsid w:val="00B1597F"/>
    <w:rsid w:val="00B15BC8"/>
    <w:rsid w:val="00B1688F"/>
    <w:rsid w:val="00B169BB"/>
    <w:rsid w:val="00B16A47"/>
    <w:rsid w:val="00B16BAD"/>
    <w:rsid w:val="00B16BC8"/>
    <w:rsid w:val="00B16BE7"/>
    <w:rsid w:val="00B16D04"/>
    <w:rsid w:val="00B16F85"/>
    <w:rsid w:val="00B17229"/>
    <w:rsid w:val="00B172A7"/>
    <w:rsid w:val="00B178F5"/>
    <w:rsid w:val="00B17908"/>
    <w:rsid w:val="00B179A4"/>
    <w:rsid w:val="00B179B3"/>
    <w:rsid w:val="00B17EEF"/>
    <w:rsid w:val="00B17EFC"/>
    <w:rsid w:val="00B202B7"/>
    <w:rsid w:val="00B2049B"/>
    <w:rsid w:val="00B20544"/>
    <w:rsid w:val="00B2095B"/>
    <w:rsid w:val="00B2133B"/>
    <w:rsid w:val="00B21608"/>
    <w:rsid w:val="00B21B90"/>
    <w:rsid w:val="00B21BA9"/>
    <w:rsid w:val="00B21BD6"/>
    <w:rsid w:val="00B21C48"/>
    <w:rsid w:val="00B2209A"/>
    <w:rsid w:val="00B2268F"/>
    <w:rsid w:val="00B226FF"/>
    <w:rsid w:val="00B22726"/>
    <w:rsid w:val="00B23023"/>
    <w:rsid w:val="00B23065"/>
    <w:rsid w:val="00B231B5"/>
    <w:rsid w:val="00B234F8"/>
    <w:rsid w:val="00B238C9"/>
    <w:rsid w:val="00B23A11"/>
    <w:rsid w:val="00B23C29"/>
    <w:rsid w:val="00B23CF6"/>
    <w:rsid w:val="00B24225"/>
    <w:rsid w:val="00B24828"/>
    <w:rsid w:val="00B248D1"/>
    <w:rsid w:val="00B2491E"/>
    <w:rsid w:val="00B24CA4"/>
    <w:rsid w:val="00B24CF5"/>
    <w:rsid w:val="00B257BF"/>
    <w:rsid w:val="00B258CA"/>
    <w:rsid w:val="00B25912"/>
    <w:rsid w:val="00B25AEB"/>
    <w:rsid w:val="00B25C45"/>
    <w:rsid w:val="00B25F52"/>
    <w:rsid w:val="00B260FE"/>
    <w:rsid w:val="00B26132"/>
    <w:rsid w:val="00B2620A"/>
    <w:rsid w:val="00B262C4"/>
    <w:rsid w:val="00B269D5"/>
    <w:rsid w:val="00B27999"/>
    <w:rsid w:val="00B27A46"/>
    <w:rsid w:val="00B27F19"/>
    <w:rsid w:val="00B302FE"/>
    <w:rsid w:val="00B305D0"/>
    <w:rsid w:val="00B30A7A"/>
    <w:rsid w:val="00B30AB3"/>
    <w:rsid w:val="00B31229"/>
    <w:rsid w:val="00B3122F"/>
    <w:rsid w:val="00B3123A"/>
    <w:rsid w:val="00B31935"/>
    <w:rsid w:val="00B31A84"/>
    <w:rsid w:val="00B31BE4"/>
    <w:rsid w:val="00B31ECB"/>
    <w:rsid w:val="00B320C3"/>
    <w:rsid w:val="00B3229F"/>
    <w:rsid w:val="00B326B5"/>
    <w:rsid w:val="00B32BE2"/>
    <w:rsid w:val="00B32C86"/>
    <w:rsid w:val="00B32D00"/>
    <w:rsid w:val="00B32D97"/>
    <w:rsid w:val="00B330DB"/>
    <w:rsid w:val="00B33184"/>
    <w:rsid w:val="00B3344C"/>
    <w:rsid w:val="00B33DDB"/>
    <w:rsid w:val="00B33EE6"/>
    <w:rsid w:val="00B33FF6"/>
    <w:rsid w:val="00B34433"/>
    <w:rsid w:val="00B346B1"/>
    <w:rsid w:val="00B347CD"/>
    <w:rsid w:val="00B3502A"/>
    <w:rsid w:val="00B351F1"/>
    <w:rsid w:val="00B356CE"/>
    <w:rsid w:val="00B35840"/>
    <w:rsid w:val="00B35F9C"/>
    <w:rsid w:val="00B367E9"/>
    <w:rsid w:val="00B36838"/>
    <w:rsid w:val="00B368D7"/>
    <w:rsid w:val="00B36C4A"/>
    <w:rsid w:val="00B3709D"/>
    <w:rsid w:val="00B37221"/>
    <w:rsid w:val="00B3725A"/>
    <w:rsid w:val="00B3756B"/>
    <w:rsid w:val="00B37897"/>
    <w:rsid w:val="00B37CEA"/>
    <w:rsid w:val="00B37E47"/>
    <w:rsid w:val="00B40927"/>
    <w:rsid w:val="00B40D00"/>
    <w:rsid w:val="00B40F2E"/>
    <w:rsid w:val="00B418AC"/>
    <w:rsid w:val="00B4229E"/>
    <w:rsid w:val="00B426E1"/>
    <w:rsid w:val="00B42853"/>
    <w:rsid w:val="00B42866"/>
    <w:rsid w:val="00B42ABE"/>
    <w:rsid w:val="00B4310F"/>
    <w:rsid w:val="00B4335F"/>
    <w:rsid w:val="00B43947"/>
    <w:rsid w:val="00B43B81"/>
    <w:rsid w:val="00B43F48"/>
    <w:rsid w:val="00B4411E"/>
    <w:rsid w:val="00B44262"/>
    <w:rsid w:val="00B44284"/>
    <w:rsid w:val="00B4435B"/>
    <w:rsid w:val="00B44BBA"/>
    <w:rsid w:val="00B44ECB"/>
    <w:rsid w:val="00B45084"/>
    <w:rsid w:val="00B4520B"/>
    <w:rsid w:val="00B452AE"/>
    <w:rsid w:val="00B4575C"/>
    <w:rsid w:val="00B458B0"/>
    <w:rsid w:val="00B45930"/>
    <w:rsid w:val="00B45A55"/>
    <w:rsid w:val="00B45E03"/>
    <w:rsid w:val="00B45E15"/>
    <w:rsid w:val="00B45F9D"/>
    <w:rsid w:val="00B461A5"/>
    <w:rsid w:val="00B46342"/>
    <w:rsid w:val="00B46B58"/>
    <w:rsid w:val="00B46BA0"/>
    <w:rsid w:val="00B46C81"/>
    <w:rsid w:val="00B47027"/>
    <w:rsid w:val="00B47034"/>
    <w:rsid w:val="00B471A2"/>
    <w:rsid w:val="00B475FA"/>
    <w:rsid w:val="00B47877"/>
    <w:rsid w:val="00B47A2B"/>
    <w:rsid w:val="00B4B204"/>
    <w:rsid w:val="00B5008A"/>
    <w:rsid w:val="00B501F0"/>
    <w:rsid w:val="00B50576"/>
    <w:rsid w:val="00B505E1"/>
    <w:rsid w:val="00B509C5"/>
    <w:rsid w:val="00B50CAF"/>
    <w:rsid w:val="00B50EF6"/>
    <w:rsid w:val="00B51105"/>
    <w:rsid w:val="00B5145F"/>
    <w:rsid w:val="00B518B4"/>
    <w:rsid w:val="00B51A47"/>
    <w:rsid w:val="00B51C58"/>
    <w:rsid w:val="00B5219E"/>
    <w:rsid w:val="00B5264E"/>
    <w:rsid w:val="00B52AF2"/>
    <w:rsid w:val="00B52B6B"/>
    <w:rsid w:val="00B52C15"/>
    <w:rsid w:val="00B52FB4"/>
    <w:rsid w:val="00B5326E"/>
    <w:rsid w:val="00B53315"/>
    <w:rsid w:val="00B53493"/>
    <w:rsid w:val="00B53A55"/>
    <w:rsid w:val="00B53FF9"/>
    <w:rsid w:val="00B54043"/>
    <w:rsid w:val="00B5407B"/>
    <w:rsid w:val="00B5431C"/>
    <w:rsid w:val="00B54645"/>
    <w:rsid w:val="00B548D9"/>
    <w:rsid w:val="00B54B62"/>
    <w:rsid w:val="00B54DED"/>
    <w:rsid w:val="00B54DF0"/>
    <w:rsid w:val="00B551B1"/>
    <w:rsid w:val="00B558AB"/>
    <w:rsid w:val="00B55D0D"/>
    <w:rsid w:val="00B55D18"/>
    <w:rsid w:val="00B5635B"/>
    <w:rsid w:val="00B56CC8"/>
    <w:rsid w:val="00B56CCB"/>
    <w:rsid w:val="00B56EBD"/>
    <w:rsid w:val="00B57B69"/>
    <w:rsid w:val="00B57C5F"/>
    <w:rsid w:val="00B57CF8"/>
    <w:rsid w:val="00B57E25"/>
    <w:rsid w:val="00B57F9F"/>
    <w:rsid w:val="00B6009C"/>
    <w:rsid w:val="00B604FA"/>
    <w:rsid w:val="00B607C2"/>
    <w:rsid w:val="00B60905"/>
    <w:rsid w:val="00B60D66"/>
    <w:rsid w:val="00B61C86"/>
    <w:rsid w:val="00B61D53"/>
    <w:rsid w:val="00B62073"/>
    <w:rsid w:val="00B620AD"/>
    <w:rsid w:val="00B62194"/>
    <w:rsid w:val="00B622A8"/>
    <w:rsid w:val="00B62452"/>
    <w:rsid w:val="00B62555"/>
    <w:rsid w:val="00B6326E"/>
    <w:rsid w:val="00B63285"/>
    <w:rsid w:val="00B6359D"/>
    <w:rsid w:val="00B636FA"/>
    <w:rsid w:val="00B637E0"/>
    <w:rsid w:val="00B63A53"/>
    <w:rsid w:val="00B63BE7"/>
    <w:rsid w:val="00B63E05"/>
    <w:rsid w:val="00B63E0A"/>
    <w:rsid w:val="00B6410E"/>
    <w:rsid w:val="00B64486"/>
    <w:rsid w:val="00B64CCC"/>
    <w:rsid w:val="00B64E8A"/>
    <w:rsid w:val="00B64F97"/>
    <w:rsid w:val="00B65181"/>
    <w:rsid w:val="00B65182"/>
    <w:rsid w:val="00B65281"/>
    <w:rsid w:val="00B653F3"/>
    <w:rsid w:val="00B65405"/>
    <w:rsid w:val="00B657C6"/>
    <w:rsid w:val="00B658C8"/>
    <w:rsid w:val="00B65BE8"/>
    <w:rsid w:val="00B65E0C"/>
    <w:rsid w:val="00B665A9"/>
    <w:rsid w:val="00B665BA"/>
    <w:rsid w:val="00B668FB"/>
    <w:rsid w:val="00B66B31"/>
    <w:rsid w:val="00B6705B"/>
    <w:rsid w:val="00B671B2"/>
    <w:rsid w:val="00B67378"/>
    <w:rsid w:val="00B67465"/>
    <w:rsid w:val="00B67859"/>
    <w:rsid w:val="00B67E25"/>
    <w:rsid w:val="00B70163"/>
    <w:rsid w:val="00B703FC"/>
    <w:rsid w:val="00B708EA"/>
    <w:rsid w:val="00B70988"/>
    <w:rsid w:val="00B70AAF"/>
    <w:rsid w:val="00B7183B"/>
    <w:rsid w:val="00B719D3"/>
    <w:rsid w:val="00B71C73"/>
    <w:rsid w:val="00B71C7C"/>
    <w:rsid w:val="00B72220"/>
    <w:rsid w:val="00B7229A"/>
    <w:rsid w:val="00B7249C"/>
    <w:rsid w:val="00B724D0"/>
    <w:rsid w:val="00B72A31"/>
    <w:rsid w:val="00B72EAE"/>
    <w:rsid w:val="00B72F34"/>
    <w:rsid w:val="00B73023"/>
    <w:rsid w:val="00B7309A"/>
    <w:rsid w:val="00B7313C"/>
    <w:rsid w:val="00B737F8"/>
    <w:rsid w:val="00B738B5"/>
    <w:rsid w:val="00B74225"/>
    <w:rsid w:val="00B74631"/>
    <w:rsid w:val="00B749D6"/>
    <w:rsid w:val="00B750E7"/>
    <w:rsid w:val="00B75114"/>
    <w:rsid w:val="00B7521D"/>
    <w:rsid w:val="00B752BD"/>
    <w:rsid w:val="00B752CB"/>
    <w:rsid w:val="00B753B5"/>
    <w:rsid w:val="00B7556D"/>
    <w:rsid w:val="00B755DE"/>
    <w:rsid w:val="00B7577E"/>
    <w:rsid w:val="00B75DCD"/>
    <w:rsid w:val="00B75F64"/>
    <w:rsid w:val="00B75F75"/>
    <w:rsid w:val="00B76B8E"/>
    <w:rsid w:val="00B76E08"/>
    <w:rsid w:val="00B76E0F"/>
    <w:rsid w:val="00B76E52"/>
    <w:rsid w:val="00B7739B"/>
    <w:rsid w:val="00B7787E"/>
    <w:rsid w:val="00B7795C"/>
    <w:rsid w:val="00B77B47"/>
    <w:rsid w:val="00B77B60"/>
    <w:rsid w:val="00B77EC8"/>
    <w:rsid w:val="00B8032E"/>
    <w:rsid w:val="00B805A3"/>
    <w:rsid w:val="00B80AC7"/>
    <w:rsid w:val="00B80C40"/>
    <w:rsid w:val="00B81103"/>
    <w:rsid w:val="00B811F7"/>
    <w:rsid w:val="00B8136F"/>
    <w:rsid w:val="00B8178F"/>
    <w:rsid w:val="00B81848"/>
    <w:rsid w:val="00B81D01"/>
    <w:rsid w:val="00B81D0E"/>
    <w:rsid w:val="00B82B04"/>
    <w:rsid w:val="00B832F2"/>
    <w:rsid w:val="00B8347A"/>
    <w:rsid w:val="00B834CF"/>
    <w:rsid w:val="00B8355F"/>
    <w:rsid w:val="00B835F5"/>
    <w:rsid w:val="00B839B4"/>
    <w:rsid w:val="00B83E19"/>
    <w:rsid w:val="00B83F03"/>
    <w:rsid w:val="00B8404F"/>
    <w:rsid w:val="00B8417C"/>
    <w:rsid w:val="00B842E3"/>
    <w:rsid w:val="00B84443"/>
    <w:rsid w:val="00B847BD"/>
    <w:rsid w:val="00B84841"/>
    <w:rsid w:val="00B84AC1"/>
    <w:rsid w:val="00B85011"/>
    <w:rsid w:val="00B8507F"/>
    <w:rsid w:val="00B85477"/>
    <w:rsid w:val="00B85482"/>
    <w:rsid w:val="00B85546"/>
    <w:rsid w:val="00B85650"/>
    <w:rsid w:val="00B85895"/>
    <w:rsid w:val="00B8591C"/>
    <w:rsid w:val="00B85BE2"/>
    <w:rsid w:val="00B85C9D"/>
    <w:rsid w:val="00B86185"/>
    <w:rsid w:val="00B8637A"/>
    <w:rsid w:val="00B86908"/>
    <w:rsid w:val="00B86B9A"/>
    <w:rsid w:val="00B86CC2"/>
    <w:rsid w:val="00B86D59"/>
    <w:rsid w:val="00B86D6E"/>
    <w:rsid w:val="00B86ECA"/>
    <w:rsid w:val="00B87100"/>
    <w:rsid w:val="00B8719E"/>
    <w:rsid w:val="00B879E7"/>
    <w:rsid w:val="00B87B1A"/>
    <w:rsid w:val="00B90040"/>
    <w:rsid w:val="00B90092"/>
    <w:rsid w:val="00B901E4"/>
    <w:rsid w:val="00B9063D"/>
    <w:rsid w:val="00B90678"/>
    <w:rsid w:val="00B90874"/>
    <w:rsid w:val="00B90B20"/>
    <w:rsid w:val="00B90D71"/>
    <w:rsid w:val="00B90E29"/>
    <w:rsid w:val="00B90FC2"/>
    <w:rsid w:val="00B90FC3"/>
    <w:rsid w:val="00B910BF"/>
    <w:rsid w:val="00B910E6"/>
    <w:rsid w:val="00B911A0"/>
    <w:rsid w:val="00B911C7"/>
    <w:rsid w:val="00B913A2"/>
    <w:rsid w:val="00B91579"/>
    <w:rsid w:val="00B91737"/>
    <w:rsid w:val="00B919B6"/>
    <w:rsid w:val="00B91A8A"/>
    <w:rsid w:val="00B91B70"/>
    <w:rsid w:val="00B91D1B"/>
    <w:rsid w:val="00B92282"/>
    <w:rsid w:val="00B923CB"/>
    <w:rsid w:val="00B926D0"/>
    <w:rsid w:val="00B92857"/>
    <w:rsid w:val="00B92A45"/>
    <w:rsid w:val="00B9310D"/>
    <w:rsid w:val="00B932A6"/>
    <w:rsid w:val="00B933B8"/>
    <w:rsid w:val="00B93A34"/>
    <w:rsid w:val="00B93B14"/>
    <w:rsid w:val="00B93CA2"/>
    <w:rsid w:val="00B93F7A"/>
    <w:rsid w:val="00B94182"/>
    <w:rsid w:val="00B946B4"/>
    <w:rsid w:val="00B94755"/>
    <w:rsid w:val="00B94BC4"/>
    <w:rsid w:val="00B9503B"/>
    <w:rsid w:val="00B9539E"/>
    <w:rsid w:val="00B954DB"/>
    <w:rsid w:val="00B9571F"/>
    <w:rsid w:val="00B95B19"/>
    <w:rsid w:val="00B95BEA"/>
    <w:rsid w:val="00B96390"/>
    <w:rsid w:val="00B9679F"/>
    <w:rsid w:val="00B96B72"/>
    <w:rsid w:val="00B97665"/>
    <w:rsid w:val="00B97897"/>
    <w:rsid w:val="00B978D5"/>
    <w:rsid w:val="00BA0211"/>
    <w:rsid w:val="00BA0302"/>
    <w:rsid w:val="00BA05A1"/>
    <w:rsid w:val="00BA0771"/>
    <w:rsid w:val="00BA07E9"/>
    <w:rsid w:val="00BA07F3"/>
    <w:rsid w:val="00BA0B34"/>
    <w:rsid w:val="00BA1167"/>
    <w:rsid w:val="00BA1764"/>
    <w:rsid w:val="00BA18AF"/>
    <w:rsid w:val="00BA1C6E"/>
    <w:rsid w:val="00BA1D32"/>
    <w:rsid w:val="00BA2190"/>
    <w:rsid w:val="00BA22AA"/>
    <w:rsid w:val="00BA2692"/>
    <w:rsid w:val="00BA274F"/>
    <w:rsid w:val="00BA291A"/>
    <w:rsid w:val="00BA2A55"/>
    <w:rsid w:val="00BA2E5F"/>
    <w:rsid w:val="00BA2F75"/>
    <w:rsid w:val="00BA3128"/>
    <w:rsid w:val="00BA4478"/>
    <w:rsid w:val="00BA457E"/>
    <w:rsid w:val="00BA45AE"/>
    <w:rsid w:val="00BA45B8"/>
    <w:rsid w:val="00BA4F4A"/>
    <w:rsid w:val="00BA4F57"/>
    <w:rsid w:val="00BA4F6C"/>
    <w:rsid w:val="00BA50E8"/>
    <w:rsid w:val="00BA59B3"/>
    <w:rsid w:val="00BA5D01"/>
    <w:rsid w:val="00BA5DDA"/>
    <w:rsid w:val="00BA5FC5"/>
    <w:rsid w:val="00BA60CD"/>
    <w:rsid w:val="00BA6395"/>
    <w:rsid w:val="00BA66AD"/>
    <w:rsid w:val="00BA697A"/>
    <w:rsid w:val="00BA6A77"/>
    <w:rsid w:val="00BA6CA2"/>
    <w:rsid w:val="00BA6CF9"/>
    <w:rsid w:val="00BA7C29"/>
    <w:rsid w:val="00BA7EFE"/>
    <w:rsid w:val="00BB0179"/>
    <w:rsid w:val="00BB0256"/>
    <w:rsid w:val="00BB045D"/>
    <w:rsid w:val="00BB0558"/>
    <w:rsid w:val="00BB0610"/>
    <w:rsid w:val="00BB08BC"/>
    <w:rsid w:val="00BB0DF9"/>
    <w:rsid w:val="00BB0EBB"/>
    <w:rsid w:val="00BB0EC3"/>
    <w:rsid w:val="00BB1227"/>
    <w:rsid w:val="00BB191B"/>
    <w:rsid w:val="00BB1A38"/>
    <w:rsid w:val="00BB1F03"/>
    <w:rsid w:val="00BB1FC4"/>
    <w:rsid w:val="00BB2ACE"/>
    <w:rsid w:val="00BB2B5C"/>
    <w:rsid w:val="00BB376A"/>
    <w:rsid w:val="00BB39F4"/>
    <w:rsid w:val="00BB40C7"/>
    <w:rsid w:val="00BB4771"/>
    <w:rsid w:val="00BB47D4"/>
    <w:rsid w:val="00BB4882"/>
    <w:rsid w:val="00BB48A1"/>
    <w:rsid w:val="00BB490A"/>
    <w:rsid w:val="00BB49AA"/>
    <w:rsid w:val="00BB49D2"/>
    <w:rsid w:val="00BB4C4B"/>
    <w:rsid w:val="00BB4FE3"/>
    <w:rsid w:val="00BB5736"/>
    <w:rsid w:val="00BB5758"/>
    <w:rsid w:val="00BB5B61"/>
    <w:rsid w:val="00BB5F7B"/>
    <w:rsid w:val="00BB607F"/>
    <w:rsid w:val="00BB64DE"/>
    <w:rsid w:val="00BB654F"/>
    <w:rsid w:val="00BB65C1"/>
    <w:rsid w:val="00BB693F"/>
    <w:rsid w:val="00BB6D8E"/>
    <w:rsid w:val="00BB7169"/>
    <w:rsid w:val="00BB71F7"/>
    <w:rsid w:val="00BB72FA"/>
    <w:rsid w:val="00BB77DF"/>
    <w:rsid w:val="00BB7935"/>
    <w:rsid w:val="00BB7AFB"/>
    <w:rsid w:val="00BB7D5F"/>
    <w:rsid w:val="00BB7E90"/>
    <w:rsid w:val="00BB7ED1"/>
    <w:rsid w:val="00BC01DD"/>
    <w:rsid w:val="00BC03C0"/>
    <w:rsid w:val="00BC05C4"/>
    <w:rsid w:val="00BC08F4"/>
    <w:rsid w:val="00BC0B60"/>
    <w:rsid w:val="00BC0C73"/>
    <w:rsid w:val="00BC0D93"/>
    <w:rsid w:val="00BC0FC5"/>
    <w:rsid w:val="00BC132A"/>
    <w:rsid w:val="00BC14D8"/>
    <w:rsid w:val="00BC19B2"/>
    <w:rsid w:val="00BC19F6"/>
    <w:rsid w:val="00BC1E09"/>
    <w:rsid w:val="00BC20F7"/>
    <w:rsid w:val="00BC249E"/>
    <w:rsid w:val="00BC2522"/>
    <w:rsid w:val="00BC2DD3"/>
    <w:rsid w:val="00BC2E3B"/>
    <w:rsid w:val="00BC2FC8"/>
    <w:rsid w:val="00BC32B9"/>
    <w:rsid w:val="00BC3773"/>
    <w:rsid w:val="00BC38EA"/>
    <w:rsid w:val="00BC3BE2"/>
    <w:rsid w:val="00BC3C97"/>
    <w:rsid w:val="00BC3D3B"/>
    <w:rsid w:val="00BC3DB7"/>
    <w:rsid w:val="00BC3EA6"/>
    <w:rsid w:val="00BC4032"/>
    <w:rsid w:val="00BC4264"/>
    <w:rsid w:val="00BC46B3"/>
    <w:rsid w:val="00BC4AEC"/>
    <w:rsid w:val="00BC4C0D"/>
    <w:rsid w:val="00BC4C7B"/>
    <w:rsid w:val="00BC4CB0"/>
    <w:rsid w:val="00BC4E9F"/>
    <w:rsid w:val="00BC4ED0"/>
    <w:rsid w:val="00BC5897"/>
    <w:rsid w:val="00BC5C04"/>
    <w:rsid w:val="00BC60A0"/>
    <w:rsid w:val="00BC6218"/>
    <w:rsid w:val="00BC6395"/>
    <w:rsid w:val="00BC646A"/>
    <w:rsid w:val="00BC664D"/>
    <w:rsid w:val="00BC67B1"/>
    <w:rsid w:val="00BC6C28"/>
    <w:rsid w:val="00BC70E5"/>
    <w:rsid w:val="00BC7217"/>
    <w:rsid w:val="00BC72DA"/>
    <w:rsid w:val="00BC7556"/>
    <w:rsid w:val="00BC76C8"/>
    <w:rsid w:val="00BC7E35"/>
    <w:rsid w:val="00BC7F76"/>
    <w:rsid w:val="00BD0091"/>
    <w:rsid w:val="00BD019D"/>
    <w:rsid w:val="00BD01FE"/>
    <w:rsid w:val="00BD077C"/>
    <w:rsid w:val="00BD15A9"/>
    <w:rsid w:val="00BD191A"/>
    <w:rsid w:val="00BD1939"/>
    <w:rsid w:val="00BD1967"/>
    <w:rsid w:val="00BD1C81"/>
    <w:rsid w:val="00BD22A6"/>
    <w:rsid w:val="00BD22B8"/>
    <w:rsid w:val="00BD2527"/>
    <w:rsid w:val="00BD2731"/>
    <w:rsid w:val="00BD2B19"/>
    <w:rsid w:val="00BD2DB6"/>
    <w:rsid w:val="00BD2DD3"/>
    <w:rsid w:val="00BD2FF5"/>
    <w:rsid w:val="00BD34BB"/>
    <w:rsid w:val="00BD3814"/>
    <w:rsid w:val="00BD3BC5"/>
    <w:rsid w:val="00BD3C7F"/>
    <w:rsid w:val="00BD4476"/>
    <w:rsid w:val="00BD4C23"/>
    <w:rsid w:val="00BD4D44"/>
    <w:rsid w:val="00BD4F7E"/>
    <w:rsid w:val="00BD51D4"/>
    <w:rsid w:val="00BD529E"/>
    <w:rsid w:val="00BD5308"/>
    <w:rsid w:val="00BD5697"/>
    <w:rsid w:val="00BD5A09"/>
    <w:rsid w:val="00BD5B47"/>
    <w:rsid w:val="00BD5D86"/>
    <w:rsid w:val="00BD5FC3"/>
    <w:rsid w:val="00BD6112"/>
    <w:rsid w:val="00BD6151"/>
    <w:rsid w:val="00BD6223"/>
    <w:rsid w:val="00BD6397"/>
    <w:rsid w:val="00BD6B32"/>
    <w:rsid w:val="00BD7CF3"/>
    <w:rsid w:val="00BD7D2E"/>
    <w:rsid w:val="00BD7EB0"/>
    <w:rsid w:val="00BD7FF0"/>
    <w:rsid w:val="00BE01C2"/>
    <w:rsid w:val="00BE01CD"/>
    <w:rsid w:val="00BE0785"/>
    <w:rsid w:val="00BE0E20"/>
    <w:rsid w:val="00BE0F70"/>
    <w:rsid w:val="00BE16D4"/>
    <w:rsid w:val="00BE198B"/>
    <w:rsid w:val="00BE1E47"/>
    <w:rsid w:val="00BE1EDA"/>
    <w:rsid w:val="00BE2481"/>
    <w:rsid w:val="00BE24B3"/>
    <w:rsid w:val="00BE288A"/>
    <w:rsid w:val="00BE2D47"/>
    <w:rsid w:val="00BE3986"/>
    <w:rsid w:val="00BE3C6E"/>
    <w:rsid w:val="00BE3EC3"/>
    <w:rsid w:val="00BE3F2F"/>
    <w:rsid w:val="00BE4A06"/>
    <w:rsid w:val="00BE4B9D"/>
    <w:rsid w:val="00BE4FE4"/>
    <w:rsid w:val="00BE500D"/>
    <w:rsid w:val="00BE5357"/>
    <w:rsid w:val="00BE54BB"/>
    <w:rsid w:val="00BE569B"/>
    <w:rsid w:val="00BE5B8D"/>
    <w:rsid w:val="00BE5D27"/>
    <w:rsid w:val="00BE609A"/>
    <w:rsid w:val="00BE60CF"/>
    <w:rsid w:val="00BE6371"/>
    <w:rsid w:val="00BE6949"/>
    <w:rsid w:val="00BE6A6C"/>
    <w:rsid w:val="00BE6DCE"/>
    <w:rsid w:val="00BE7363"/>
    <w:rsid w:val="00BE77D3"/>
    <w:rsid w:val="00BE7AB6"/>
    <w:rsid w:val="00BE7E4C"/>
    <w:rsid w:val="00BF0188"/>
    <w:rsid w:val="00BF0491"/>
    <w:rsid w:val="00BF05E6"/>
    <w:rsid w:val="00BF129E"/>
    <w:rsid w:val="00BF13B0"/>
    <w:rsid w:val="00BF15C9"/>
    <w:rsid w:val="00BF183C"/>
    <w:rsid w:val="00BF189D"/>
    <w:rsid w:val="00BF1D74"/>
    <w:rsid w:val="00BF1D8C"/>
    <w:rsid w:val="00BF1EC2"/>
    <w:rsid w:val="00BF1F83"/>
    <w:rsid w:val="00BF21D6"/>
    <w:rsid w:val="00BF232F"/>
    <w:rsid w:val="00BF27A0"/>
    <w:rsid w:val="00BF2BFF"/>
    <w:rsid w:val="00BF2C53"/>
    <w:rsid w:val="00BF37FC"/>
    <w:rsid w:val="00BF3A3C"/>
    <w:rsid w:val="00BF3C5B"/>
    <w:rsid w:val="00BF4285"/>
    <w:rsid w:val="00BF4297"/>
    <w:rsid w:val="00BF4748"/>
    <w:rsid w:val="00BF4909"/>
    <w:rsid w:val="00BF49BF"/>
    <w:rsid w:val="00BF4ADA"/>
    <w:rsid w:val="00BF4EC3"/>
    <w:rsid w:val="00BF52AE"/>
    <w:rsid w:val="00BF5359"/>
    <w:rsid w:val="00BF592D"/>
    <w:rsid w:val="00BF5B4F"/>
    <w:rsid w:val="00BF5E01"/>
    <w:rsid w:val="00BF5E19"/>
    <w:rsid w:val="00BF6A06"/>
    <w:rsid w:val="00BF6AA2"/>
    <w:rsid w:val="00BF6C94"/>
    <w:rsid w:val="00BF6F6D"/>
    <w:rsid w:val="00BF7B40"/>
    <w:rsid w:val="00BF7C01"/>
    <w:rsid w:val="00BF7F5D"/>
    <w:rsid w:val="00BF7FF0"/>
    <w:rsid w:val="00C00041"/>
    <w:rsid w:val="00C000C3"/>
    <w:rsid w:val="00C00139"/>
    <w:rsid w:val="00C0052D"/>
    <w:rsid w:val="00C00663"/>
    <w:rsid w:val="00C00C38"/>
    <w:rsid w:val="00C0127A"/>
    <w:rsid w:val="00C020B2"/>
    <w:rsid w:val="00C0211D"/>
    <w:rsid w:val="00C0238D"/>
    <w:rsid w:val="00C0265F"/>
    <w:rsid w:val="00C02796"/>
    <w:rsid w:val="00C02B30"/>
    <w:rsid w:val="00C02B55"/>
    <w:rsid w:val="00C02DC6"/>
    <w:rsid w:val="00C02E60"/>
    <w:rsid w:val="00C03127"/>
    <w:rsid w:val="00C03191"/>
    <w:rsid w:val="00C0334B"/>
    <w:rsid w:val="00C03395"/>
    <w:rsid w:val="00C03DBF"/>
    <w:rsid w:val="00C03F05"/>
    <w:rsid w:val="00C045FE"/>
    <w:rsid w:val="00C046BE"/>
    <w:rsid w:val="00C047D8"/>
    <w:rsid w:val="00C0487D"/>
    <w:rsid w:val="00C04893"/>
    <w:rsid w:val="00C048FD"/>
    <w:rsid w:val="00C04C02"/>
    <w:rsid w:val="00C04C10"/>
    <w:rsid w:val="00C058B3"/>
    <w:rsid w:val="00C059AF"/>
    <w:rsid w:val="00C05A1B"/>
    <w:rsid w:val="00C05D84"/>
    <w:rsid w:val="00C05E2F"/>
    <w:rsid w:val="00C05F2D"/>
    <w:rsid w:val="00C06001"/>
    <w:rsid w:val="00C0601C"/>
    <w:rsid w:val="00C065F7"/>
    <w:rsid w:val="00C06BB9"/>
    <w:rsid w:val="00C06F83"/>
    <w:rsid w:val="00C0726B"/>
    <w:rsid w:val="00C07349"/>
    <w:rsid w:val="00C07358"/>
    <w:rsid w:val="00C0794C"/>
    <w:rsid w:val="00C079C0"/>
    <w:rsid w:val="00C079ED"/>
    <w:rsid w:val="00C07E6E"/>
    <w:rsid w:val="00C10089"/>
    <w:rsid w:val="00C10095"/>
    <w:rsid w:val="00C10316"/>
    <w:rsid w:val="00C10540"/>
    <w:rsid w:val="00C107F1"/>
    <w:rsid w:val="00C10811"/>
    <w:rsid w:val="00C10A35"/>
    <w:rsid w:val="00C10A47"/>
    <w:rsid w:val="00C10F4F"/>
    <w:rsid w:val="00C10FEB"/>
    <w:rsid w:val="00C110D2"/>
    <w:rsid w:val="00C111CF"/>
    <w:rsid w:val="00C116FB"/>
    <w:rsid w:val="00C11956"/>
    <w:rsid w:val="00C11DA4"/>
    <w:rsid w:val="00C1210C"/>
    <w:rsid w:val="00C12235"/>
    <w:rsid w:val="00C123A2"/>
    <w:rsid w:val="00C126E9"/>
    <w:rsid w:val="00C12891"/>
    <w:rsid w:val="00C1322C"/>
    <w:rsid w:val="00C1349E"/>
    <w:rsid w:val="00C13693"/>
    <w:rsid w:val="00C13A1E"/>
    <w:rsid w:val="00C13AAC"/>
    <w:rsid w:val="00C13AF5"/>
    <w:rsid w:val="00C13DC0"/>
    <w:rsid w:val="00C13ECE"/>
    <w:rsid w:val="00C13FC5"/>
    <w:rsid w:val="00C14496"/>
    <w:rsid w:val="00C14599"/>
    <w:rsid w:val="00C14674"/>
    <w:rsid w:val="00C146FE"/>
    <w:rsid w:val="00C14890"/>
    <w:rsid w:val="00C149B4"/>
    <w:rsid w:val="00C149E8"/>
    <w:rsid w:val="00C14D4B"/>
    <w:rsid w:val="00C14E64"/>
    <w:rsid w:val="00C14E88"/>
    <w:rsid w:val="00C14FB4"/>
    <w:rsid w:val="00C15307"/>
    <w:rsid w:val="00C153B7"/>
    <w:rsid w:val="00C153BF"/>
    <w:rsid w:val="00C1542C"/>
    <w:rsid w:val="00C15501"/>
    <w:rsid w:val="00C15968"/>
    <w:rsid w:val="00C15DB4"/>
    <w:rsid w:val="00C16360"/>
    <w:rsid w:val="00C16387"/>
    <w:rsid w:val="00C16652"/>
    <w:rsid w:val="00C16DCC"/>
    <w:rsid w:val="00C16F20"/>
    <w:rsid w:val="00C16FD8"/>
    <w:rsid w:val="00C171D6"/>
    <w:rsid w:val="00C176DD"/>
    <w:rsid w:val="00C17BD0"/>
    <w:rsid w:val="00C17E52"/>
    <w:rsid w:val="00C203FA"/>
    <w:rsid w:val="00C20457"/>
    <w:rsid w:val="00C20798"/>
    <w:rsid w:val="00C209F9"/>
    <w:rsid w:val="00C20A07"/>
    <w:rsid w:val="00C20F9A"/>
    <w:rsid w:val="00C21206"/>
    <w:rsid w:val="00C21268"/>
    <w:rsid w:val="00C212B4"/>
    <w:rsid w:val="00C213CB"/>
    <w:rsid w:val="00C21604"/>
    <w:rsid w:val="00C21903"/>
    <w:rsid w:val="00C21CC1"/>
    <w:rsid w:val="00C21CD3"/>
    <w:rsid w:val="00C22147"/>
    <w:rsid w:val="00C223ED"/>
    <w:rsid w:val="00C23042"/>
    <w:rsid w:val="00C23310"/>
    <w:rsid w:val="00C23560"/>
    <w:rsid w:val="00C23829"/>
    <w:rsid w:val="00C23CA5"/>
    <w:rsid w:val="00C240FD"/>
    <w:rsid w:val="00C24102"/>
    <w:rsid w:val="00C2417C"/>
    <w:rsid w:val="00C24194"/>
    <w:rsid w:val="00C2423A"/>
    <w:rsid w:val="00C24374"/>
    <w:rsid w:val="00C245A4"/>
    <w:rsid w:val="00C24898"/>
    <w:rsid w:val="00C24AB4"/>
    <w:rsid w:val="00C25C7D"/>
    <w:rsid w:val="00C2607E"/>
    <w:rsid w:val="00C26977"/>
    <w:rsid w:val="00C26B47"/>
    <w:rsid w:val="00C26BB4"/>
    <w:rsid w:val="00C26CF1"/>
    <w:rsid w:val="00C26D98"/>
    <w:rsid w:val="00C26F47"/>
    <w:rsid w:val="00C26F4A"/>
    <w:rsid w:val="00C27774"/>
    <w:rsid w:val="00C27972"/>
    <w:rsid w:val="00C27D3D"/>
    <w:rsid w:val="00C27E5C"/>
    <w:rsid w:val="00C27E73"/>
    <w:rsid w:val="00C27F5A"/>
    <w:rsid w:val="00C27FCA"/>
    <w:rsid w:val="00C302EF"/>
    <w:rsid w:val="00C305F2"/>
    <w:rsid w:val="00C30B0D"/>
    <w:rsid w:val="00C30D60"/>
    <w:rsid w:val="00C31421"/>
    <w:rsid w:val="00C316C2"/>
    <w:rsid w:val="00C318E4"/>
    <w:rsid w:val="00C31BED"/>
    <w:rsid w:val="00C31E25"/>
    <w:rsid w:val="00C3229A"/>
    <w:rsid w:val="00C322EF"/>
    <w:rsid w:val="00C324B3"/>
    <w:rsid w:val="00C324EE"/>
    <w:rsid w:val="00C32759"/>
    <w:rsid w:val="00C329A7"/>
    <w:rsid w:val="00C32E52"/>
    <w:rsid w:val="00C32FF6"/>
    <w:rsid w:val="00C33181"/>
    <w:rsid w:val="00C33A81"/>
    <w:rsid w:val="00C33AD6"/>
    <w:rsid w:val="00C33F41"/>
    <w:rsid w:val="00C341B0"/>
    <w:rsid w:val="00C347A9"/>
    <w:rsid w:val="00C348DD"/>
    <w:rsid w:val="00C34E59"/>
    <w:rsid w:val="00C34F85"/>
    <w:rsid w:val="00C35392"/>
    <w:rsid w:val="00C3561B"/>
    <w:rsid w:val="00C35865"/>
    <w:rsid w:val="00C35933"/>
    <w:rsid w:val="00C3620F"/>
    <w:rsid w:val="00C362AB"/>
    <w:rsid w:val="00C366F9"/>
    <w:rsid w:val="00C366FB"/>
    <w:rsid w:val="00C36A41"/>
    <w:rsid w:val="00C36C92"/>
    <w:rsid w:val="00C36C96"/>
    <w:rsid w:val="00C37A72"/>
    <w:rsid w:val="00C37B81"/>
    <w:rsid w:val="00C37F1F"/>
    <w:rsid w:val="00C37F7B"/>
    <w:rsid w:val="00C400E8"/>
    <w:rsid w:val="00C40395"/>
    <w:rsid w:val="00C4042A"/>
    <w:rsid w:val="00C409A1"/>
    <w:rsid w:val="00C40CA6"/>
    <w:rsid w:val="00C40EBF"/>
    <w:rsid w:val="00C41408"/>
    <w:rsid w:val="00C414CE"/>
    <w:rsid w:val="00C4191E"/>
    <w:rsid w:val="00C41F21"/>
    <w:rsid w:val="00C424CC"/>
    <w:rsid w:val="00C4263C"/>
    <w:rsid w:val="00C426CD"/>
    <w:rsid w:val="00C42CFD"/>
    <w:rsid w:val="00C43179"/>
    <w:rsid w:val="00C43609"/>
    <w:rsid w:val="00C43792"/>
    <w:rsid w:val="00C439B6"/>
    <w:rsid w:val="00C43A1B"/>
    <w:rsid w:val="00C43C22"/>
    <w:rsid w:val="00C43EDD"/>
    <w:rsid w:val="00C4416E"/>
    <w:rsid w:val="00C441C8"/>
    <w:rsid w:val="00C4431B"/>
    <w:rsid w:val="00C445A8"/>
    <w:rsid w:val="00C44C8C"/>
    <w:rsid w:val="00C44E65"/>
    <w:rsid w:val="00C451EA"/>
    <w:rsid w:val="00C45444"/>
    <w:rsid w:val="00C45706"/>
    <w:rsid w:val="00C45CA5"/>
    <w:rsid w:val="00C45ECE"/>
    <w:rsid w:val="00C46123"/>
    <w:rsid w:val="00C4618D"/>
    <w:rsid w:val="00C464C0"/>
    <w:rsid w:val="00C466E6"/>
    <w:rsid w:val="00C46743"/>
    <w:rsid w:val="00C46F30"/>
    <w:rsid w:val="00C46F7B"/>
    <w:rsid w:val="00C46FAC"/>
    <w:rsid w:val="00C47091"/>
    <w:rsid w:val="00C475AB"/>
    <w:rsid w:val="00C4760F"/>
    <w:rsid w:val="00C4769A"/>
    <w:rsid w:val="00C477DD"/>
    <w:rsid w:val="00C47B60"/>
    <w:rsid w:val="00C47FEE"/>
    <w:rsid w:val="00C5016A"/>
    <w:rsid w:val="00C501E1"/>
    <w:rsid w:val="00C50B98"/>
    <w:rsid w:val="00C50DF3"/>
    <w:rsid w:val="00C50DFA"/>
    <w:rsid w:val="00C5104A"/>
    <w:rsid w:val="00C5126A"/>
    <w:rsid w:val="00C512AB"/>
    <w:rsid w:val="00C51618"/>
    <w:rsid w:val="00C518AB"/>
    <w:rsid w:val="00C518ED"/>
    <w:rsid w:val="00C51E39"/>
    <w:rsid w:val="00C52093"/>
    <w:rsid w:val="00C52569"/>
    <w:rsid w:val="00C52705"/>
    <w:rsid w:val="00C52874"/>
    <w:rsid w:val="00C52F02"/>
    <w:rsid w:val="00C5322F"/>
    <w:rsid w:val="00C53690"/>
    <w:rsid w:val="00C5391C"/>
    <w:rsid w:val="00C54496"/>
    <w:rsid w:val="00C544A8"/>
    <w:rsid w:val="00C546AE"/>
    <w:rsid w:val="00C54EE4"/>
    <w:rsid w:val="00C55120"/>
    <w:rsid w:val="00C55626"/>
    <w:rsid w:val="00C5564A"/>
    <w:rsid w:val="00C557AC"/>
    <w:rsid w:val="00C559E0"/>
    <w:rsid w:val="00C5612E"/>
    <w:rsid w:val="00C5626D"/>
    <w:rsid w:val="00C565EF"/>
    <w:rsid w:val="00C56D3D"/>
    <w:rsid w:val="00C56E42"/>
    <w:rsid w:val="00C56E86"/>
    <w:rsid w:val="00C572BD"/>
    <w:rsid w:val="00C576A2"/>
    <w:rsid w:val="00C57B69"/>
    <w:rsid w:val="00C57D94"/>
    <w:rsid w:val="00C57E68"/>
    <w:rsid w:val="00C6005E"/>
    <w:rsid w:val="00C6086E"/>
    <w:rsid w:val="00C60E1E"/>
    <w:rsid w:val="00C60F80"/>
    <w:rsid w:val="00C60FE1"/>
    <w:rsid w:val="00C61600"/>
    <w:rsid w:val="00C616C4"/>
    <w:rsid w:val="00C61755"/>
    <w:rsid w:val="00C6195F"/>
    <w:rsid w:val="00C61AF2"/>
    <w:rsid w:val="00C61CD9"/>
    <w:rsid w:val="00C6217E"/>
    <w:rsid w:val="00C6239D"/>
    <w:rsid w:val="00C62822"/>
    <w:rsid w:val="00C628EC"/>
    <w:rsid w:val="00C62993"/>
    <w:rsid w:val="00C62D4A"/>
    <w:rsid w:val="00C62DC1"/>
    <w:rsid w:val="00C63075"/>
    <w:rsid w:val="00C63349"/>
    <w:rsid w:val="00C6344D"/>
    <w:rsid w:val="00C6351A"/>
    <w:rsid w:val="00C638D9"/>
    <w:rsid w:val="00C63B32"/>
    <w:rsid w:val="00C63DD7"/>
    <w:rsid w:val="00C63F7D"/>
    <w:rsid w:val="00C64885"/>
    <w:rsid w:val="00C650A1"/>
    <w:rsid w:val="00C653AC"/>
    <w:rsid w:val="00C65524"/>
    <w:rsid w:val="00C6595D"/>
    <w:rsid w:val="00C65DC9"/>
    <w:rsid w:val="00C6646D"/>
    <w:rsid w:val="00C66653"/>
    <w:rsid w:val="00C66703"/>
    <w:rsid w:val="00C66A77"/>
    <w:rsid w:val="00C66BFA"/>
    <w:rsid w:val="00C66D52"/>
    <w:rsid w:val="00C66F4B"/>
    <w:rsid w:val="00C67400"/>
    <w:rsid w:val="00C678B5"/>
    <w:rsid w:val="00C678BC"/>
    <w:rsid w:val="00C67933"/>
    <w:rsid w:val="00C67A09"/>
    <w:rsid w:val="00C67B88"/>
    <w:rsid w:val="00C67DB6"/>
    <w:rsid w:val="00C705BE"/>
    <w:rsid w:val="00C70CD4"/>
    <w:rsid w:val="00C70FD1"/>
    <w:rsid w:val="00C7101D"/>
    <w:rsid w:val="00C7103A"/>
    <w:rsid w:val="00C71290"/>
    <w:rsid w:val="00C7162B"/>
    <w:rsid w:val="00C71633"/>
    <w:rsid w:val="00C716B2"/>
    <w:rsid w:val="00C71776"/>
    <w:rsid w:val="00C71D7C"/>
    <w:rsid w:val="00C726AF"/>
    <w:rsid w:val="00C72B51"/>
    <w:rsid w:val="00C72CAE"/>
    <w:rsid w:val="00C739E7"/>
    <w:rsid w:val="00C73C00"/>
    <w:rsid w:val="00C74883"/>
    <w:rsid w:val="00C748EE"/>
    <w:rsid w:val="00C74A7D"/>
    <w:rsid w:val="00C74C53"/>
    <w:rsid w:val="00C74CCF"/>
    <w:rsid w:val="00C7507C"/>
    <w:rsid w:val="00C750F5"/>
    <w:rsid w:val="00C7524B"/>
    <w:rsid w:val="00C75404"/>
    <w:rsid w:val="00C75732"/>
    <w:rsid w:val="00C759EA"/>
    <w:rsid w:val="00C75C44"/>
    <w:rsid w:val="00C75C79"/>
    <w:rsid w:val="00C75D11"/>
    <w:rsid w:val="00C75E64"/>
    <w:rsid w:val="00C75FBC"/>
    <w:rsid w:val="00C76170"/>
    <w:rsid w:val="00C761A9"/>
    <w:rsid w:val="00C76509"/>
    <w:rsid w:val="00C767B7"/>
    <w:rsid w:val="00C7687F"/>
    <w:rsid w:val="00C768BC"/>
    <w:rsid w:val="00C769E6"/>
    <w:rsid w:val="00C76AC7"/>
    <w:rsid w:val="00C770BC"/>
    <w:rsid w:val="00C770CE"/>
    <w:rsid w:val="00C773AE"/>
    <w:rsid w:val="00C773B2"/>
    <w:rsid w:val="00C776DA"/>
    <w:rsid w:val="00C77AF2"/>
    <w:rsid w:val="00C77D2E"/>
    <w:rsid w:val="00C77D59"/>
    <w:rsid w:val="00C800E5"/>
    <w:rsid w:val="00C806E3"/>
    <w:rsid w:val="00C8080A"/>
    <w:rsid w:val="00C809DC"/>
    <w:rsid w:val="00C80E05"/>
    <w:rsid w:val="00C8133D"/>
    <w:rsid w:val="00C81474"/>
    <w:rsid w:val="00C8154F"/>
    <w:rsid w:val="00C81C27"/>
    <w:rsid w:val="00C81E7E"/>
    <w:rsid w:val="00C81F16"/>
    <w:rsid w:val="00C81F4B"/>
    <w:rsid w:val="00C81FCC"/>
    <w:rsid w:val="00C82065"/>
    <w:rsid w:val="00C82108"/>
    <w:rsid w:val="00C8217C"/>
    <w:rsid w:val="00C8235E"/>
    <w:rsid w:val="00C82685"/>
    <w:rsid w:val="00C82A05"/>
    <w:rsid w:val="00C82D23"/>
    <w:rsid w:val="00C831D6"/>
    <w:rsid w:val="00C83214"/>
    <w:rsid w:val="00C83266"/>
    <w:rsid w:val="00C8332A"/>
    <w:rsid w:val="00C83343"/>
    <w:rsid w:val="00C83702"/>
    <w:rsid w:val="00C83858"/>
    <w:rsid w:val="00C83994"/>
    <w:rsid w:val="00C83F80"/>
    <w:rsid w:val="00C841BF"/>
    <w:rsid w:val="00C846DC"/>
    <w:rsid w:val="00C847AD"/>
    <w:rsid w:val="00C848A4"/>
    <w:rsid w:val="00C84B3B"/>
    <w:rsid w:val="00C84DEC"/>
    <w:rsid w:val="00C85133"/>
    <w:rsid w:val="00C854F0"/>
    <w:rsid w:val="00C85B35"/>
    <w:rsid w:val="00C85BAA"/>
    <w:rsid w:val="00C85C05"/>
    <w:rsid w:val="00C8621E"/>
    <w:rsid w:val="00C86445"/>
    <w:rsid w:val="00C864A7"/>
    <w:rsid w:val="00C866A4"/>
    <w:rsid w:val="00C86CBE"/>
    <w:rsid w:val="00C86F54"/>
    <w:rsid w:val="00C874D8"/>
    <w:rsid w:val="00C87618"/>
    <w:rsid w:val="00C87BBE"/>
    <w:rsid w:val="00C87F15"/>
    <w:rsid w:val="00C9018B"/>
    <w:rsid w:val="00C901B3"/>
    <w:rsid w:val="00C90279"/>
    <w:rsid w:val="00C90439"/>
    <w:rsid w:val="00C90C34"/>
    <w:rsid w:val="00C91264"/>
    <w:rsid w:val="00C9187F"/>
    <w:rsid w:val="00C91A23"/>
    <w:rsid w:val="00C91A79"/>
    <w:rsid w:val="00C91F2B"/>
    <w:rsid w:val="00C920B2"/>
    <w:rsid w:val="00C921B4"/>
    <w:rsid w:val="00C9296E"/>
    <w:rsid w:val="00C92A9E"/>
    <w:rsid w:val="00C931F3"/>
    <w:rsid w:val="00C9329C"/>
    <w:rsid w:val="00C93454"/>
    <w:rsid w:val="00C9360B"/>
    <w:rsid w:val="00C938EE"/>
    <w:rsid w:val="00C93A9B"/>
    <w:rsid w:val="00C93CF4"/>
    <w:rsid w:val="00C94398"/>
    <w:rsid w:val="00C94486"/>
    <w:rsid w:val="00C945B2"/>
    <w:rsid w:val="00C945F5"/>
    <w:rsid w:val="00C946AE"/>
    <w:rsid w:val="00C94736"/>
    <w:rsid w:val="00C950DF"/>
    <w:rsid w:val="00C95128"/>
    <w:rsid w:val="00C952AF"/>
    <w:rsid w:val="00C955FF"/>
    <w:rsid w:val="00C95671"/>
    <w:rsid w:val="00C95933"/>
    <w:rsid w:val="00C95A13"/>
    <w:rsid w:val="00C95DBA"/>
    <w:rsid w:val="00C9678F"/>
    <w:rsid w:val="00C96EDF"/>
    <w:rsid w:val="00C97431"/>
    <w:rsid w:val="00C974F3"/>
    <w:rsid w:val="00C979D3"/>
    <w:rsid w:val="00C97A95"/>
    <w:rsid w:val="00C97B64"/>
    <w:rsid w:val="00C97E6C"/>
    <w:rsid w:val="00CA02C3"/>
    <w:rsid w:val="00CA032B"/>
    <w:rsid w:val="00CA04BE"/>
    <w:rsid w:val="00CA0538"/>
    <w:rsid w:val="00CA0672"/>
    <w:rsid w:val="00CA09A5"/>
    <w:rsid w:val="00CA0DEA"/>
    <w:rsid w:val="00CA0DFE"/>
    <w:rsid w:val="00CA1113"/>
    <w:rsid w:val="00CA127A"/>
    <w:rsid w:val="00CA166E"/>
    <w:rsid w:val="00CA18FD"/>
    <w:rsid w:val="00CA1B33"/>
    <w:rsid w:val="00CA1C4B"/>
    <w:rsid w:val="00CA241C"/>
    <w:rsid w:val="00CA266B"/>
    <w:rsid w:val="00CA2BE7"/>
    <w:rsid w:val="00CA2DB0"/>
    <w:rsid w:val="00CA3341"/>
    <w:rsid w:val="00CA35EC"/>
    <w:rsid w:val="00CA36CE"/>
    <w:rsid w:val="00CA385D"/>
    <w:rsid w:val="00CA3BCA"/>
    <w:rsid w:val="00CA3EB0"/>
    <w:rsid w:val="00CA3F76"/>
    <w:rsid w:val="00CA41DE"/>
    <w:rsid w:val="00CA43B0"/>
    <w:rsid w:val="00CA43BD"/>
    <w:rsid w:val="00CA4D20"/>
    <w:rsid w:val="00CA4D2A"/>
    <w:rsid w:val="00CA4D67"/>
    <w:rsid w:val="00CA4EB2"/>
    <w:rsid w:val="00CA5491"/>
    <w:rsid w:val="00CA54DD"/>
    <w:rsid w:val="00CA5609"/>
    <w:rsid w:val="00CA56CF"/>
    <w:rsid w:val="00CA57FC"/>
    <w:rsid w:val="00CA597A"/>
    <w:rsid w:val="00CA59BE"/>
    <w:rsid w:val="00CA68A4"/>
    <w:rsid w:val="00CA6B59"/>
    <w:rsid w:val="00CA6CFA"/>
    <w:rsid w:val="00CA6D3B"/>
    <w:rsid w:val="00CA6E8C"/>
    <w:rsid w:val="00CA6ED6"/>
    <w:rsid w:val="00CA798D"/>
    <w:rsid w:val="00CA7C69"/>
    <w:rsid w:val="00CB0109"/>
    <w:rsid w:val="00CB018D"/>
    <w:rsid w:val="00CB056B"/>
    <w:rsid w:val="00CB0886"/>
    <w:rsid w:val="00CB08F2"/>
    <w:rsid w:val="00CB0A03"/>
    <w:rsid w:val="00CB0B53"/>
    <w:rsid w:val="00CB0CCE"/>
    <w:rsid w:val="00CB1025"/>
    <w:rsid w:val="00CB10BB"/>
    <w:rsid w:val="00CB10E8"/>
    <w:rsid w:val="00CB1330"/>
    <w:rsid w:val="00CB13DD"/>
    <w:rsid w:val="00CB13DF"/>
    <w:rsid w:val="00CB1816"/>
    <w:rsid w:val="00CB186F"/>
    <w:rsid w:val="00CB1C27"/>
    <w:rsid w:val="00CB1DB8"/>
    <w:rsid w:val="00CB1DE6"/>
    <w:rsid w:val="00CB20E8"/>
    <w:rsid w:val="00CB2120"/>
    <w:rsid w:val="00CB235C"/>
    <w:rsid w:val="00CB2A42"/>
    <w:rsid w:val="00CB30C9"/>
    <w:rsid w:val="00CB3108"/>
    <w:rsid w:val="00CB3350"/>
    <w:rsid w:val="00CB335D"/>
    <w:rsid w:val="00CB39AC"/>
    <w:rsid w:val="00CB3B92"/>
    <w:rsid w:val="00CB3CB2"/>
    <w:rsid w:val="00CB43A2"/>
    <w:rsid w:val="00CB45A2"/>
    <w:rsid w:val="00CB4956"/>
    <w:rsid w:val="00CB4ADD"/>
    <w:rsid w:val="00CB4C64"/>
    <w:rsid w:val="00CB4E10"/>
    <w:rsid w:val="00CB510F"/>
    <w:rsid w:val="00CB5362"/>
    <w:rsid w:val="00CB53A1"/>
    <w:rsid w:val="00CB5523"/>
    <w:rsid w:val="00CB5ABD"/>
    <w:rsid w:val="00CB5BA1"/>
    <w:rsid w:val="00CB5FAF"/>
    <w:rsid w:val="00CB6650"/>
    <w:rsid w:val="00CB68DE"/>
    <w:rsid w:val="00CB6ED5"/>
    <w:rsid w:val="00CB6FEE"/>
    <w:rsid w:val="00CB707B"/>
    <w:rsid w:val="00CB727D"/>
    <w:rsid w:val="00CB778F"/>
    <w:rsid w:val="00CB77B2"/>
    <w:rsid w:val="00CB7816"/>
    <w:rsid w:val="00CB7B58"/>
    <w:rsid w:val="00CC003C"/>
    <w:rsid w:val="00CC040B"/>
    <w:rsid w:val="00CC04A7"/>
    <w:rsid w:val="00CC062D"/>
    <w:rsid w:val="00CC0AC3"/>
    <w:rsid w:val="00CC0B2B"/>
    <w:rsid w:val="00CC0B81"/>
    <w:rsid w:val="00CC0C25"/>
    <w:rsid w:val="00CC0E36"/>
    <w:rsid w:val="00CC0E91"/>
    <w:rsid w:val="00CC0EBC"/>
    <w:rsid w:val="00CC154C"/>
    <w:rsid w:val="00CC16EA"/>
    <w:rsid w:val="00CC181C"/>
    <w:rsid w:val="00CC1F34"/>
    <w:rsid w:val="00CC2200"/>
    <w:rsid w:val="00CC3022"/>
    <w:rsid w:val="00CC325E"/>
    <w:rsid w:val="00CC3404"/>
    <w:rsid w:val="00CC3755"/>
    <w:rsid w:val="00CC3854"/>
    <w:rsid w:val="00CC40FD"/>
    <w:rsid w:val="00CC4192"/>
    <w:rsid w:val="00CC42FD"/>
    <w:rsid w:val="00CC44F5"/>
    <w:rsid w:val="00CC458E"/>
    <w:rsid w:val="00CC49AD"/>
    <w:rsid w:val="00CC4F3F"/>
    <w:rsid w:val="00CC4F54"/>
    <w:rsid w:val="00CC527E"/>
    <w:rsid w:val="00CC531E"/>
    <w:rsid w:val="00CC5643"/>
    <w:rsid w:val="00CC56EA"/>
    <w:rsid w:val="00CC5E64"/>
    <w:rsid w:val="00CC6573"/>
    <w:rsid w:val="00CC65CB"/>
    <w:rsid w:val="00CC6687"/>
    <w:rsid w:val="00CC66A3"/>
    <w:rsid w:val="00CC69BD"/>
    <w:rsid w:val="00CC6B41"/>
    <w:rsid w:val="00CC6DB5"/>
    <w:rsid w:val="00CC6E01"/>
    <w:rsid w:val="00CC6FD6"/>
    <w:rsid w:val="00CC7186"/>
    <w:rsid w:val="00CC721A"/>
    <w:rsid w:val="00CC72C0"/>
    <w:rsid w:val="00CC73F6"/>
    <w:rsid w:val="00CC740D"/>
    <w:rsid w:val="00CC74B6"/>
    <w:rsid w:val="00CC768C"/>
    <w:rsid w:val="00CC7B7B"/>
    <w:rsid w:val="00CC7D80"/>
    <w:rsid w:val="00CC7DA0"/>
    <w:rsid w:val="00CD0098"/>
    <w:rsid w:val="00CD01D8"/>
    <w:rsid w:val="00CD0244"/>
    <w:rsid w:val="00CD039C"/>
    <w:rsid w:val="00CD03A7"/>
    <w:rsid w:val="00CD0512"/>
    <w:rsid w:val="00CD0997"/>
    <w:rsid w:val="00CD0BFB"/>
    <w:rsid w:val="00CD0D7A"/>
    <w:rsid w:val="00CD145F"/>
    <w:rsid w:val="00CD17AB"/>
    <w:rsid w:val="00CD1CC4"/>
    <w:rsid w:val="00CD2371"/>
    <w:rsid w:val="00CD23F5"/>
    <w:rsid w:val="00CD2A7D"/>
    <w:rsid w:val="00CD2AEC"/>
    <w:rsid w:val="00CD2D55"/>
    <w:rsid w:val="00CD2FB7"/>
    <w:rsid w:val="00CD30B0"/>
    <w:rsid w:val="00CD39B0"/>
    <w:rsid w:val="00CD3C65"/>
    <w:rsid w:val="00CD3E55"/>
    <w:rsid w:val="00CD3FCE"/>
    <w:rsid w:val="00CD4177"/>
    <w:rsid w:val="00CD42A9"/>
    <w:rsid w:val="00CD4466"/>
    <w:rsid w:val="00CD49FB"/>
    <w:rsid w:val="00CD4A3C"/>
    <w:rsid w:val="00CD4B8F"/>
    <w:rsid w:val="00CD4BA7"/>
    <w:rsid w:val="00CD4F5B"/>
    <w:rsid w:val="00CD542D"/>
    <w:rsid w:val="00CD5511"/>
    <w:rsid w:val="00CD5C88"/>
    <w:rsid w:val="00CD5F2F"/>
    <w:rsid w:val="00CD606F"/>
    <w:rsid w:val="00CD629D"/>
    <w:rsid w:val="00CD631F"/>
    <w:rsid w:val="00CD679B"/>
    <w:rsid w:val="00CD6B50"/>
    <w:rsid w:val="00CD6FF2"/>
    <w:rsid w:val="00CD70A5"/>
    <w:rsid w:val="00CD7118"/>
    <w:rsid w:val="00CD7485"/>
    <w:rsid w:val="00CD76A6"/>
    <w:rsid w:val="00CD795F"/>
    <w:rsid w:val="00CD7B4B"/>
    <w:rsid w:val="00CD7EF6"/>
    <w:rsid w:val="00CE000E"/>
    <w:rsid w:val="00CE0281"/>
    <w:rsid w:val="00CE0775"/>
    <w:rsid w:val="00CE09B0"/>
    <w:rsid w:val="00CE0AF1"/>
    <w:rsid w:val="00CE0D10"/>
    <w:rsid w:val="00CE0DBE"/>
    <w:rsid w:val="00CE19F7"/>
    <w:rsid w:val="00CE1A64"/>
    <w:rsid w:val="00CE1DDA"/>
    <w:rsid w:val="00CE1E19"/>
    <w:rsid w:val="00CE1F17"/>
    <w:rsid w:val="00CE2148"/>
    <w:rsid w:val="00CE260B"/>
    <w:rsid w:val="00CE2877"/>
    <w:rsid w:val="00CE2929"/>
    <w:rsid w:val="00CE2BB1"/>
    <w:rsid w:val="00CE2D8D"/>
    <w:rsid w:val="00CE2F3D"/>
    <w:rsid w:val="00CE30C4"/>
    <w:rsid w:val="00CE3524"/>
    <w:rsid w:val="00CE3605"/>
    <w:rsid w:val="00CE3641"/>
    <w:rsid w:val="00CE372C"/>
    <w:rsid w:val="00CE382E"/>
    <w:rsid w:val="00CE3B39"/>
    <w:rsid w:val="00CE3E73"/>
    <w:rsid w:val="00CE43B7"/>
    <w:rsid w:val="00CE4A09"/>
    <w:rsid w:val="00CE4A50"/>
    <w:rsid w:val="00CE4B0B"/>
    <w:rsid w:val="00CE4B35"/>
    <w:rsid w:val="00CE4BD5"/>
    <w:rsid w:val="00CE4C6E"/>
    <w:rsid w:val="00CE4CFF"/>
    <w:rsid w:val="00CE4D69"/>
    <w:rsid w:val="00CE4FE0"/>
    <w:rsid w:val="00CE51D6"/>
    <w:rsid w:val="00CE5382"/>
    <w:rsid w:val="00CE5546"/>
    <w:rsid w:val="00CE56D8"/>
    <w:rsid w:val="00CE57A5"/>
    <w:rsid w:val="00CE5A06"/>
    <w:rsid w:val="00CE5B1C"/>
    <w:rsid w:val="00CE6005"/>
    <w:rsid w:val="00CE6192"/>
    <w:rsid w:val="00CE61D8"/>
    <w:rsid w:val="00CE6949"/>
    <w:rsid w:val="00CE6C39"/>
    <w:rsid w:val="00CE769E"/>
    <w:rsid w:val="00CE78A5"/>
    <w:rsid w:val="00CE7A34"/>
    <w:rsid w:val="00CE7A52"/>
    <w:rsid w:val="00CE7A54"/>
    <w:rsid w:val="00CE7BBE"/>
    <w:rsid w:val="00CE7CD0"/>
    <w:rsid w:val="00CE7E94"/>
    <w:rsid w:val="00CF0019"/>
    <w:rsid w:val="00CF0457"/>
    <w:rsid w:val="00CF05DD"/>
    <w:rsid w:val="00CF066B"/>
    <w:rsid w:val="00CF087E"/>
    <w:rsid w:val="00CF0A48"/>
    <w:rsid w:val="00CF0C87"/>
    <w:rsid w:val="00CF12B2"/>
    <w:rsid w:val="00CF169A"/>
    <w:rsid w:val="00CF1806"/>
    <w:rsid w:val="00CF19FF"/>
    <w:rsid w:val="00CF1A0B"/>
    <w:rsid w:val="00CF1A87"/>
    <w:rsid w:val="00CF1E23"/>
    <w:rsid w:val="00CF21BB"/>
    <w:rsid w:val="00CF241B"/>
    <w:rsid w:val="00CF289C"/>
    <w:rsid w:val="00CF2B5F"/>
    <w:rsid w:val="00CF2CB8"/>
    <w:rsid w:val="00CF31D6"/>
    <w:rsid w:val="00CF32DB"/>
    <w:rsid w:val="00CF38BD"/>
    <w:rsid w:val="00CF45AF"/>
    <w:rsid w:val="00CF479C"/>
    <w:rsid w:val="00CF4A7C"/>
    <w:rsid w:val="00CF4B1C"/>
    <w:rsid w:val="00CF4B35"/>
    <w:rsid w:val="00CF4D2D"/>
    <w:rsid w:val="00CF515B"/>
    <w:rsid w:val="00CF52BB"/>
    <w:rsid w:val="00CF5413"/>
    <w:rsid w:val="00CF5503"/>
    <w:rsid w:val="00CF588D"/>
    <w:rsid w:val="00CF5A04"/>
    <w:rsid w:val="00CF5A78"/>
    <w:rsid w:val="00CF5AD9"/>
    <w:rsid w:val="00CF5B27"/>
    <w:rsid w:val="00CF5D17"/>
    <w:rsid w:val="00CF6230"/>
    <w:rsid w:val="00CF6480"/>
    <w:rsid w:val="00CF64FB"/>
    <w:rsid w:val="00CF6611"/>
    <w:rsid w:val="00CF665F"/>
    <w:rsid w:val="00CF6C14"/>
    <w:rsid w:val="00CF7042"/>
    <w:rsid w:val="00CF73AC"/>
    <w:rsid w:val="00CF7425"/>
    <w:rsid w:val="00CF7D09"/>
    <w:rsid w:val="00CF7EE1"/>
    <w:rsid w:val="00CF7FE6"/>
    <w:rsid w:val="00D003AB"/>
    <w:rsid w:val="00D0040E"/>
    <w:rsid w:val="00D005CA"/>
    <w:rsid w:val="00D00E06"/>
    <w:rsid w:val="00D0135C"/>
    <w:rsid w:val="00D01391"/>
    <w:rsid w:val="00D014CB"/>
    <w:rsid w:val="00D014CC"/>
    <w:rsid w:val="00D01646"/>
    <w:rsid w:val="00D01849"/>
    <w:rsid w:val="00D01AB6"/>
    <w:rsid w:val="00D01BB4"/>
    <w:rsid w:val="00D01BDC"/>
    <w:rsid w:val="00D02490"/>
    <w:rsid w:val="00D02525"/>
    <w:rsid w:val="00D02B52"/>
    <w:rsid w:val="00D02E42"/>
    <w:rsid w:val="00D0302D"/>
    <w:rsid w:val="00D03114"/>
    <w:rsid w:val="00D03236"/>
    <w:rsid w:val="00D033B0"/>
    <w:rsid w:val="00D03760"/>
    <w:rsid w:val="00D037FA"/>
    <w:rsid w:val="00D03809"/>
    <w:rsid w:val="00D03B93"/>
    <w:rsid w:val="00D03F24"/>
    <w:rsid w:val="00D043DC"/>
    <w:rsid w:val="00D0451E"/>
    <w:rsid w:val="00D04645"/>
    <w:rsid w:val="00D04AEA"/>
    <w:rsid w:val="00D04F95"/>
    <w:rsid w:val="00D0541C"/>
    <w:rsid w:val="00D05873"/>
    <w:rsid w:val="00D0595B"/>
    <w:rsid w:val="00D05978"/>
    <w:rsid w:val="00D05A82"/>
    <w:rsid w:val="00D05C24"/>
    <w:rsid w:val="00D05FDC"/>
    <w:rsid w:val="00D06330"/>
    <w:rsid w:val="00D063BF"/>
    <w:rsid w:val="00D06497"/>
    <w:rsid w:val="00D06BA6"/>
    <w:rsid w:val="00D06CD5"/>
    <w:rsid w:val="00D06DF7"/>
    <w:rsid w:val="00D07182"/>
    <w:rsid w:val="00D077EF"/>
    <w:rsid w:val="00D0788B"/>
    <w:rsid w:val="00D07C1C"/>
    <w:rsid w:val="00D07EBC"/>
    <w:rsid w:val="00D10054"/>
    <w:rsid w:val="00D102A3"/>
    <w:rsid w:val="00D103D1"/>
    <w:rsid w:val="00D104C6"/>
    <w:rsid w:val="00D105AA"/>
    <w:rsid w:val="00D10846"/>
    <w:rsid w:val="00D109B5"/>
    <w:rsid w:val="00D10C5F"/>
    <w:rsid w:val="00D10DE0"/>
    <w:rsid w:val="00D11460"/>
    <w:rsid w:val="00D1176E"/>
    <w:rsid w:val="00D11B95"/>
    <w:rsid w:val="00D12131"/>
    <w:rsid w:val="00D1215B"/>
    <w:rsid w:val="00D121E9"/>
    <w:rsid w:val="00D12950"/>
    <w:rsid w:val="00D12C26"/>
    <w:rsid w:val="00D12DF7"/>
    <w:rsid w:val="00D12E2C"/>
    <w:rsid w:val="00D1332D"/>
    <w:rsid w:val="00D13502"/>
    <w:rsid w:val="00D13C59"/>
    <w:rsid w:val="00D13F99"/>
    <w:rsid w:val="00D14138"/>
    <w:rsid w:val="00D143E0"/>
    <w:rsid w:val="00D1460A"/>
    <w:rsid w:val="00D14FBD"/>
    <w:rsid w:val="00D15071"/>
    <w:rsid w:val="00D15080"/>
    <w:rsid w:val="00D1530C"/>
    <w:rsid w:val="00D157B1"/>
    <w:rsid w:val="00D15A3B"/>
    <w:rsid w:val="00D15A7A"/>
    <w:rsid w:val="00D15AD6"/>
    <w:rsid w:val="00D15B69"/>
    <w:rsid w:val="00D15F12"/>
    <w:rsid w:val="00D15F6F"/>
    <w:rsid w:val="00D16413"/>
    <w:rsid w:val="00D1673A"/>
    <w:rsid w:val="00D167F4"/>
    <w:rsid w:val="00D1684C"/>
    <w:rsid w:val="00D16939"/>
    <w:rsid w:val="00D16B82"/>
    <w:rsid w:val="00D16CD8"/>
    <w:rsid w:val="00D16D55"/>
    <w:rsid w:val="00D16DC6"/>
    <w:rsid w:val="00D16E7B"/>
    <w:rsid w:val="00D170F9"/>
    <w:rsid w:val="00D171CC"/>
    <w:rsid w:val="00D171EC"/>
    <w:rsid w:val="00D17EBE"/>
    <w:rsid w:val="00D20CD1"/>
    <w:rsid w:val="00D210EB"/>
    <w:rsid w:val="00D21156"/>
    <w:rsid w:val="00D214EF"/>
    <w:rsid w:val="00D21891"/>
    <w:rsid w:val="00D21B9E"/>
    <w:rsid w:val="00D222B9"/>
    <w:rsid w:val="00D22658"/>
    <w:rsid w:val="00D2292C"/>
    <w:rsid w:val="00D22A8C"/>
    <w:rsid w:val="00D22DAF"/>
    <w:rsid w:val="00D22E20"/>
    <w:rsid w:val="00D2335D"/>
    <w:rsid w:val="00D23519"/>
    <w:rsid w:val="00D23952"/>
    <w:rsid w:val="00D241D3"/>
    <w:rsid w:val="00D241E1"/>
    <w:rsid w:val="00D24217"/>
    <w:rsid w:val="00D24238"/>
    <w:rsid w:val="00D24290"/>
    <w:rsid w:val="00D2457C"/>
    <w:rsid w:val="00D247BC"/>
    <w:rsid w:val="00D24866"/>
    <w:rsid w:val="00D24B34"/>
    <w:rsid w:val="00D24EC3"/>
    <w:rsid w:val="00D251C6"/>
    <w:rsid w:val="00D253E1"/>
    <w:rsid w:val="00D25B02"/>
    <w:rsid w:val="00D25F6A"/>
    <w:rsid w:val="00D2604A"/>
    <w:rsid w:val="00D26103"/>
    <w:rsid w:val="00D2623D"/>
    <w:rsid w:val="00D267E7"/>
    <w:rsid w:val="00D26871"/>
    <w:rsid w:val="00D272E4"/>
    <w:rsid w:val="00D27FA8"/>
    <w:rsid w:val="00D30290"/>
    <w:rsid w:val="00D30BFA"/>
    <w:rsid w:val="00D31071"/>
    <w:rsid w:val="00D310E0"/>
    <w:rsid w:val="00D31132"/>
    <w:rsid w:val="00D31302"/>
    <w:rsid w:val="00D31EA1"/>
    <w:rsid w:val="00D3205A"/>
    <w:rsid w:val="00D32335"/>
    <w:rsid w:val="00D32897"/>
    <w:rsid w:val="00D32B1D"/>
    <w:rsid w:val="00D32CA4"/>
    <w:rsid w:val="00D32F57"/>
    <w:rsid w:val="00D33248"/>
    <w:rsid w:val="00D33612"/>
    <w:rsid w:val="00D33A0B"/>
    <w:rsid w:val="00D33A4A"/>
    <w:rsid w:val="00D33C4E"/>
    <w:rsid w:val="00D343A7"/>
    <w:rsid w:val="00D347E2"/>
    <w:rsid w:val="00D34912"/>
    <w:rsid w:val="00D34B96"/>
    <w:rsid w:val="00D34BD6"/>
    <w:rsid w:val="00D34D12"/>
    <w:rsid w:val="00D34D43"/>
    <w:rsid w:val="00D34E59"/>
    <w:rsid w:val="00D3528C"/>
    <w:rsid w:val="00D35360"/>
    <w:rsid w:val="00D35C25"/>
    <w:rsid w:val="00D35DF1"/>
    <w:rsid w:val="00D365D3"/>
    <w:rsid w:val="00D3660E"/>
    <w:rsid w:val="00D3660F"/>
    <w:rsid w:val="00D36BA9"/>
    <w:rsid w:val="00D37021"/>
    <w:rsid w:val="00D37382"/>
    <w:rsid w:val="00D377D3"/>
    <w:rsid w:val="00D37CB9"/>
    <w:rsid w:val="00D40242"/>
    <w:rsid w:val="00D4047D"/>
    <w:rsid w:val="00D404AB"/>
    <w:rsid w:val="00D40C4D"/>
    <w:rsid w:val="00D40E3C"/>
    <w:rsid w:val="00D410DF"/>
    <w:rsid w:val="00D4147F"/>
    <w:rsid w:val="00D41DFC"/>
    <w:rsid w:val="00D41EC2"/>
    <w:rsid w:val="00D426D4"/>
    <w:rsid w:val="00D426FB"/>
    <w:rsid w:val="00D42A9A"/>
    <w:rsid w:val="00D42AA9"/>
    <w:rsid w:val="00D42F7B"/>
    <w:rsid w:val="00D4313B"/>
    <w:rsid w:val="00D4327A"/>
    <w:rsid w:val="00D438AE"/>
    <w:rsid w:val="00D43918"/>
    <w:rsid w:val="00D43E5B"/>
    <w:rsid w:val="00D448E7"/>
    <w:rsid w:val="00D44A08"/>
    <w:rsid w:val="00D44E36"/>
    <w:rsid w:val="00D45029"/>
    <w:rsid w:val="00D4509A"/>
    <w:rsid w:val="00D450CF"/>
    <w:rsid w:val="00D45216"/>
    <w:rsid w:val="00D45237"/>
    <w:rsid w:val="00D4534F"/>
    <w:rsid w:val="00D458E2"/>
    <w:rsid w:val="00D4598F"/>
    <w:rsid w:val="00D45A17"/>
    <w:rsid w:val="00D45DD5"/>
    <w:rsid w:val="00D45F03"/>
    <w:rsid w:val="00D460C6"/>
    <w:rsid w:val="00D46142"/>
    <w:rsid w:val="00D464AD"/>
    <w:rsid w:val="00D4680F"/>
    <w:rsid w:val="00D468BE"/>
    <w:rsid w:val="00D4692D"/>
    <w:rsid w:val="00D46BB4"/>
    <w:rsid w:val="00D474BE"/>
    <w:rsid w:val="00D4787A"/>
    <w:rsid w:val="00D50000"/>
    <w:rsid w:val="00D5067D"/>
    <w:rsid w:val="00D506A6"/>
    <w:rsid w:val="00D50803"/>
    <w:rsid w:val="00D50D63"/>
    <w:rsid w:val="00D51324"/>
    <w:rsid w:val="00D513DB"/>
    <w:rsid w:val="00D51402"/>
    <w:rsid w:val="00D52A2E"/>
    <w:rsid w:val="00D52C8A"/>
    <w:rsid w:val="00D52D16"/>
    <w:rsid w:val="00D52F11"/>
    <w:rsid w:val="00D52F16"/>
    <w:rsid w:val="00D52F2C"/>
    <w:rsid w:val="00D531E3"/>
    <w:rsid w:val="00D5359A"/>
    <w:rsid w:val="00D53785"/>
    <w:rsid w:val="00D539CD"/>
    <w:rsid w:val="00D539F1"/>
    <w:rsid w:val="00D53BD9"/>
    <w:rsid w:val="00D53C42"/>
    <w:rsid w:val="00D53D2A"/>
    <w:rsid w:val="00D53E95"/>
    <w:rsid w:val="00D541A5"/>
    <w:rsid w:val="00D542C5"/>
    <w:rsid w:val="00D5506E"/>
    <w:rsid w:val="00D55089"/>
    <w:rsid w:val="00D5578A"/>
    <w:rsid w:val="00D55B6F"/>
    <w:rsid w:val="00D55BBB"/>
    <w:rsid w:val="00D55CA8"/>
    <w:rsid w:val="00D5601F"/>
    <w:rsid w:val="00D56317"/>
    <w:rsid w:val="00D565C1"/>
    <w:rsid w:val="00D566F1"/>
    <w:rsid w:val="00D5685E"/>
    <w:rsid w:val="00D570D6"/>
    <w:rsid w:val="00D571A8"/>
    <w:rsid w:val="00D57A98"/>
    <w:rsid w:val="00D57BBC"/>
    <w:rsid w:val="00D57C09"/>
    <w:rsid w:val="00D57EDF"/>
    <w:rsid w:val="00D60350"/>
    <w:rsid w:val="00D6091E"/>
    <w:rsid w:val="00D60A60"/>
    <w:rsid w:val="00D6106E"/>
    <w:rsid w:val="00D610BD"/>
    <w:rsid w:val="00D61248"/>
    <w:rsid w:val="00D61A0B"/>
    <w:rsid w:val="00D61AA2"/>
    <w:rsid w:val="00D61E26"/>
    <w:rsid w:val="00D61F6D"/>
    <w:rsid w:val="00D624C0"/>
    <w:rsid w:val="00D62D34"/>
    <w:rsid w:val="00D63364"/>
    <w:rsid w:val="00D6344D"/>
    <w:rsid w:val="00D63518"/>
    <w:rsid w:val="00D63AE9"/>
    <w:rsid w:val="00D63DC9"/>
    <w:rsid w:val="00D63EB5"/>
    <w:rsid w:val="00D64113"/>
    <w:rsid w:val="00D64394"/>
    <w:rsid w:val="00D64B42"/>
    <w:rsid w:val="00D64D49"/>
    <w:rsid w:val="00D64E78"/>
    <w:rsid w:val="00D64F82"/>
    <w:rsid w:val="00D650CD"/>
    <w:rsid w:val="00D65411"/>
    <w:rsid w:val="00D65420"/>
    <w:rsid w:val="00D65684"/>
    <w:rsid w:val="00D661C0"/>
    <w:rsid w:val="00D66497"/>
    <w:rsid w:val="00D665AF"/>
    <w:rsid w:val="00D66681"/>
    <w:rsid w:val="00D66730"/>
    <w:rsid w:val="00D669C1"/>
    <w:rsid w:val="00D66DA8"/>
    <w:rsid w:val="00D66E48"/>
    <w:rsid w:val="00D6706B"/>
    <w:rsid w:val="00D67536"/>
    <w:rsid w:val="00D676D4"/>
    <w:rsid w:val="00D67727"/>
    <w:rsid w:val="00D67789"/>
    <w:rsid w:val="00D70083"/>
    <w:rsid w:val="00D7037F"/>
    <w:rsid w:val="00D70849"/>
    <w:rsid w:val="00D70EE3"/>
    <w:rsid w:val="00D711E3"/>
    <w:rsid w:val="00D71942"/>
    <w:rsid w:val="00D71B86"/>
    <w:rsid w:val="00D71D3B"/>
    <w:rsid w:val="00D721DC"/>
    <w:rsid w:val="00D72204"/>
    <w:rsid w:val="00D72335"/>
    <w:rsid w:val="00D724FE"/>
    <w:rsid w:val="00D728B6"/>
    <w:rsid w:val="00D72A47"/>
    <w:rsid w:val="00D72D3A"/>
    <w:rsid w:val="00D72EFF"/>
    <w:rsid w:val="00D72FBC"/>
    <w:rsid w:val="00D7344D"/>
    <w:rsid w:val="00D7345E"/>
    <w:rsid w:val="00D738C0"/>
    <w:rsid w:val="00D73AE7"/>
    <w:rsid w:val="00D73B45"/>
    <w:rsid w:val="00D73CD9"/>
    <w:rsid w:val="00D73F76"/>
    <w:rsid w:val="00D74133"/>
    <w:rsid w:val="00D7463E"/>
    <w:rsid w:val="00D74ABA"/>
    <w:rsid w:val="00D74D00"/>
    <w:rsid w:val="00D7513F"/>
    <w:rsid w:val="00D756E1"/>
    <w:rsid w:val="00D76240"/>
    <w:rsid w:val="00D76456"/>
    <w:rsid w:val="00D76523"/>
    <w:rsid w:val="00D765DF"/>
    <w:rsid w:val="00D76769"/>
    <w:rsid w:val="00D767DE"/>
    <w:rsid w:val="00D76BE5"/>
    <w:rsid w:val="00D76D32"/>
    <w:rsid w:val="00D770B9"/>
    <w:rsid w:val="00D77AEA"/>
    <w:rsid w:val="00D77AF7"/>
    <w:rsid w:val="00D80F0F"/>
    <w:rsid w:val="00D816BD"/>
    <w:rsid w:val="00D818BA"/>
    <w:rsid w:val="00D81E00"/>
    <w:rsid w:val="00D81F5E"/>
    <w:rsid w:val="00D823A1"/>
    <w:rsid w:val="00D82416"/>
    <w:rsid w:val="00D82EC3"/>
    <w:rsid w:val="00D8340D"/>
    <w:rsid w:val="00D83BD5"/>
    <w:rsid w:val="00D840A8"/>
    <w:rsid w:val="00D840EE"/>
    <w:rsid w:val="00D84443"/>
    <w:rsid w:val="00D849D4"/>
    <w:rsid w:val="00D84CAC"/>
    <w:rsid w:val="00D8516E"/>
    <w:rsid w:val="00D85179"/>
    <w:rsid w:val="00D8529F"/>
    <w:rsid w:val="00D852A7"/>
    <w:rsid w:val="00D85B9F"/>
    <w:rsid w:val="00D86CCA"/>
    <w:rsid w:val="00D86E9D"/>
    <w:rsid w:val="00D870BB"/>
    <w:rsid w:val="00D87165"/>
    <w:rsid w:val="00D875F1"/>
    <w:rsid w:val="00D87759"/>
    <w:rsid w:val="00D879CE"/>
    <w:rsid w:val="00D87F78"/>
    <w:rsid w:val="00D90130"/>
    <w:rsid w:val="00D90676"/>
    <w:rsid w:val="00D90844"/>
    <w:rsid w:val="00D90B16"/>
    <w:rsid w:val="00D90BE0"/>
    <w:rsid w:val="00D9125E"/>
    <w:rsid w:val="00D9145E"/>
    <w:rsid w:val="00D91627"/>
    <w:rsid w:val="00D925B6"/>
    <w:rsid w:val="00D928A2"/>
    <w:rsid w:val="00D92D7D"/>
    <w:rsid w:val="00D933C0"/>
    <w:rsid w:val="00D938EF"/>
    <w:rsid w:val="00D9398A"/>
    <w:rsid w:val="00D94ECA"/>
    <w:rsid w:val="00D9527A"/>
    <w:rsid w:val="00D9545E"/>
    <w:rsid w:val="00D954C7"/>
    <w:rsid w:val="00D9550A"/>
    <w:rsid w:val="00D955AF"/>
    <w:rsid w:val="00D95616"/>
    <w:rsid w:val="00D95A8E"/>
    <w:rsid w:val="00D95B27"/>
    <w:rsid w:val="00D95CD2"/>
    <w:rsid w:val="00D95CEA"/>
    <w:rsid w:val="00D9639C"/>
    <w:rsid w:val="00D96434"/>
    <w:rsid w:val="00D96815"/>
    <w:rsid w:val="00D971BF"/>
    <w:rsid w:val="00D9742B"/>
    <w:rsid w:val="00D97D61"/>
    <w:rsid w:val="00D97F82"/>
    <w:rsid w:val="00DA013A"/>
    <w:rsid w:val="00DA05E2"/>
    <w:rsid w:val="00DA0869"/>
    <w:rsid w:val="00DA08EF"/>
    <w:rsid w:val="00DA0988"/>
    <w:rsid w:val="00DA0CA1"/>
    <w:rsid w:val="00DA0CB0"/>
    <w:rsid w:val="00DA0D25"/>
    <w:rsid w:val="00DA0F25"/>
    <w:rsid w:val="00DA112B"/>
    <w:rsid w:val="00DA160D"/>
    <w:rsid w:val="00DA1A05"/>
    <w:rsid w:val="00DA1EC0"/>
    <w:rsid w:val="00DA230E"/>
    <w:rsid w:val="00DA2D33"/>
    <w:rsid w:val="00DA3067"/>
    <w:rsid w:val="00DA323B"/>
    <w:rsid w:val="00DA35F6"/>
    <w:rsid w:val="00DA3783"/>
    <w:rsid w:val="00DA3AEF"/>
    <w:rsid w:val="00DA3B3F"/>
    <w:rsid w:val="00DA3C17"/>
    <w:rsid w:val="00DA3ECA"/>
    <w:rsid w:val="00DA40AD"/>
    <w:rsid w:val="00DA4184"/>
    <w:rsid w:val="00DA4615"/>
    <w:rsid w:val="00DA4D53"/>
    <w:rsid w:val="00DA50ED"/>
    <w:rsid w:val="00DA538B"/>
    <w:rsid w:val="00DA5454"/>
    <w:rsid w:val="00DA553C"/>
    <w:rsid w:val="00DA55C6"/>
    <w:rsid w:val="00DA5870"/>
    <w:rsid w:val="00DA5896"/>
    <w:rsid w:val="00DA5B9F"/>
    <w:rsid w:val="00DA64DF"/>
    <w:rsid w:val="00DA679F"/>
    <w:rsid w:val="00DA68A4"/>
    <w:rsid w:val="00DA69B5"/>
    <w:rsid w:val="00DA6A97"/>
    <w:rsid w:val="00DA7653"/>
    <w:rsid w:val="00DA76FA"/>
    <w:rsid w:val="00DA77B2"/>
    <w:rsid w:val="00DA78F3"/>
    <w:rsid w:val="00DA7A4F"/>
    <w:rsid w:val="00DB0285"/>
    <w:rsid w:val="00DB048F"/>
    <w:rsid w:val="00DB068B"/>
    <w:rsid w:val="00DB17B6"/>
    <w:rsid w:val="00DB1879"/>
    <w:rsid w:val="00DB1998"/>
    <w:rsid w:val="00DB1E46"/>
    <w:rsid w:val="00DB22A8"/>
    <w:rsid w:val="00DB27CC"/>
    <w:rsid w:val="00DB2938"/>
    <w:rsid w:val="00DB2980"/>
    <w:rsid w:val="00DB2B49"/>
    <w:rsid w:val="00DB2BA2"/>
    <w:rsid w:val="00DB2D5A"/>
    <w:rsid w:val="00DB2E43"/>
    <w:rsid w:val="00DB3263"/>
    <w:rsid w:val="00DB3488"/>
    <w:rsid w:val="00DB3742"/>
    <w:rsid w:val="00DB38AD"/>
    <w:rsid w:val="00DB3DB6"/>
    <w:rsid w:val="00DB46B3"/>
    <w:rsid w:val="00DB46E7"/>
    <w:rsid w:val="00DB4898"/>
    <w:rsid w:val="00DB4922"/>
    <w:rsid w:val="00DB4CBA"/>
    <w:rsid w:val="00DB521C"/>
    <w:rsid w:val="00DB5772"/>
    <w:rsid w:val="00DB5BE2"/>
    <w:rsid w:val="00DB5DD5"/>
    <w:rsid w:val="00DB6058"/>
    <w:rsid w:val="00DB61F1"/>
    <w:rsid w:val="00DB6270"/>
    <w:rsid w:val="00DB6396"/>
    <w:rsid w:val="00DB64CB"/>
    <w:rsid w:val="00DB6577"/>
    <w:rsid w:val="00DB6FCB"/>
    <w:rsid w:val="00DB744A"/>
    <w:rsid w:val="00DB7471"/>
    <w:rsid w:val="00DB7544"/>
    <w:rsid w:val="00DB7548"/>
    <w:rsid w:val="00DB7646"/>
    <w:rsid w:val="00DB7D2F"/>
    <w:rsid w:val="00DC0241"/>
    <w:rsid w:val="00DC059D"/>
    <w:rsid w:val="00DC06DD"/>
    <w:rsid w:val="00DC085B"/>
    <w:rsid w:val="00DC08FD"/>
    <w:rsid w:val="00DC0CB4"/>
    <w:rsid w:val="00DC0DEE"/>
    <w:rsid w:val="00DC0EC6"/>
    <w:rsid w:val="00DC1153"/>
    <w:rsid w:val="00DC17C4"/>
    <w:rsid w:val="00DC1997"/>
    <w:rsid w:val="00DC1AB5"/>
    <w:rsid w:val="00DC1B74"/>
    <w:rsid w:val="00DC1CDB"/>
    <w:rsid w:val="00DC1F24"/>
    <w:rsid w:val="00DC226F"/>
    <w:rsid w:val="00DC2656"/>
    <w:rsid w:val="00DC28FE"/>
    <w:rsid w:val="00DC290C"/>
    <w:rsid w:val="00DC2CCA"/>
    <w:rsid w:val="00DC2D34"/>
    <w:rsid w:val="00DC2E0F"/>
    <w:rsid w:val="00DC313D"/>
    <w:rsid w:val="00DC33B4"/>
    <w:rsid w:val="00DC3A2C"/>
    <w:rsid w:val="00DC3CEF"/>
    <w:rsid w:val="00DC3CF3"/>
    <w:rsid w:val="00DC3F07"/>
    <w:rsid w:val="00DC41E9"/>
    <w:rsid w:val="00DC43C9"/>
    <w:rsid w:val="00DC490A"/>
    <w:rsid w:val="00DC512F"/>
    <w:rsid w:val="00DC577A"/>
    <w:rsid w:val="00DC5805"/>
    <w:rsid w:val="00DC582A"/>
    <w:rsid w:val="00DC5CDC"/>
    <w:rsid w:val="00DC698D"/>
    <w:rsid w:val="00DC6AC6"/>
    <w:rsid w:val="00DC6C8B"/>
    <w:rsid w:val="00DC6D65"/>
    <w:rsid w:val="00DC70DA"/>
    <w:rsid w:val="00DC7672"/>
    <w:rsid w:val="00DC7E09"/>
    <w:rsid w:val="00DD0106"/>
    <w:rsid w:val="00DD05C3"/>
    <w:rsid w:val="00DD067E"/>
    <w:rsid w:val="00DD0C29"/>
    <w:rsid w:val="00DD0D27"/>
    <w:rsid w:val="00DD1648"/>
    <w:rsid w:val="00DD17B5"/>
    <w:rsid w:val="00DD1A24"/>
    <w:rsid w:val="00DD1E11"/>
    <w:rsid w:val="00DD224B"/>
    <w:rsid w:val="00DD23AA"/>
    <w:rsid w:val="00DD2463"/>
    <w:rsid w:val="00DD2C25"/>
    <w:rsid w:val="00DD2C50"/>
    <w:rsid w:val="00DD2C86"/>
    <w:rsid w:val="00DD2D17"/>
    <w:rsid w:val="00DD3067"/>
    <w:rsid w:val="00DD3410"/>
    <w:rsid w:val="00DD365C"/>
    <w:rsid w:val="00DD3AAC"/>
    <w:rsid w:val="00DD3CB2"/>
    <w:rsid w:val="00DD4656"/>
    <w:rsid w:val="00DD46B1"/>
    <w:rsid w:val="00DD4879"/>
    <w:rsid w:val="00DD491E"/>
    <w:rsid w:val="00DD52C4"/>
    <w:rsid w:val="00DD54B5"/>
    <w:rsid w:val="00DD5553"/>
    <w:rsid w:val="00DD57FE"/>
    <w:rsid w:val="00DD58A6"/>
    <w:rsid w:val="00DD5C8B"/>
    <w:rsid w:val="00DD5E65"/>
    <w:rsid w:val="00DD5E81"/>
    <w:rsid w:val="00DD5FF7"/>
    <w:rsid w:val="00DD654D"/>
    <w:rsid w:val="00DD67AF"/>
    <w:rsid w:val="00DD6B5D"/>
    <w:rsid w:val="00DD6DC6"/>
    <w:rsid w:val="00DD7691"/>
    <w:rsid w:val="00DD791B"/>
    <w:rsid w:val="00DD7A6F"/>
    <w:rsid w:val="00DD7CE4"/>
    <w:rsid w:val="00DD7DC0"/>
    <w:rsid w:val="00DD7FBC"/>
    <w:rsid w:val="00DE061C"/>
    <w:rsid w:val="00DE07C1"/>
    <w:rsid w:val="00DE0A7C"/>
    <w:rsid w:val="00DE13A4"/>
    <w:rsid w:val="00DE1572"/>
    <w:rsid w:val="00DE1676"/>
    <w:rsid w:val="00DE195E"/>
    <w:rsid w:val="00DE1F8A"/>
    <w:rsid w:val="00DE213C"/>
    <w:rsid w:val="00DE250A"/>
    <w:rsid w:val="00DE27A4"/>
    <w:rsid w:val="00DE2C19"/>
    <w:rsid w:val="00DE3204"/>
    <w:rsid w:val="00DE3370"/>
    <w:rsid w:val="00DE3729"/>
    <w:rsid w:val="00DE374B"/>
    <w:rsid w:val="00DE3837"/>
    <w:rsid w:val="00DE3F44"/>
    <w:rsid w:val="00DE4534"/>
    <w:rsid w:val="00DE4A19"/>
    <w:rsid w:val="00DE4F4F"/>
    <w:rsid w:val="00DE5411"/>
    <w:rsid w:val="00DE55DF"/>
    <w:rsid w:val="00DE59F6"/>
    <w:rsid w:val="00DE6190"/>
    <w:rsid w:val="00DE6324"/>
    <w:rsid w:val="00DE6591"/>
    <w:rsid w:val="00DE6737"/>
    <w:rsid w:val="00DE6A84"/>
    <w:rsid w:val="00DE6EB1"/>
    <w:rsid w:val="00DE7155"/>
    <w:rsid w:val="00DE7201"/>
    <w:rsid w:val="00DE7300"/>
    <w:rsid w:val="00DE742F"/>
    <w:rsid w:val="00DE7EA2"/>
    <w:rsid w:val="00DF0049"/>
    <w:rsid w:val="00DF0130"/>
    <w:rsid w:val="00DF0140"/>
    <w:rsid w:val="00DF01DF"/>
    <w:rsid w:val="00DF02EC"/>
    <w:rsid w:val="00DF02F1"/>
    <w:rsid w:val="00DF054E"/>
    <w:rsid w:val="00DF06AE"/>
    <w:rsid w:val="00DF0981"/>
    <w:rsid w:val="00DF09C5"/>
    <w:rsid w:val="00DF09E5"/>
    <w:rsid w:val="00DF0A79"/>
    <w:rsid w:val="00DF0A7D"/>
    <w:rsid w:val="00DF0B98"/>
    <w:rsid w:val="00DF0F52"/>
    <w:rsid w:val="00DF1019"/>
    <w:rsid w:val="00DF13CF"/>
    <w:rsid w:val="00DF15B4"/>
    <w:rsid w:val="00DF15C9"/>
    <w:rsid w:val="00DF17EC"/>
    <w:rsid w:val="00DF185D"/>
    <w:rsid w:val="00DF18BC"/>
    <w:rsid w:val="00DF1990"/>
    <w:rsid w:val="00DF1BB7"/>
    <w:rsid w:val="00DF1D26"/>
    <w:rsid w:val="00DF1E32"/>
    <w:rsid w:val="00DF202F"/>
    <w:rsid w:val="00DF2B7F"/>
    <w:rsid w:val="00DF2BBE"/>
    <w:rsid w:val="00DF33ED"/>
    <w:rsid w:val="00DF34E9"/>
    <w:rsid w:val="00DF3CAE"/>
    <w:rsid w:val="00DF41AC"/>
    <w:rsid w:val="00DF42C2"/>
    <w:rsid w:val="00DF49A2"/>
    <w:rsid w:val="00DF4E9E"/>
    <w:rsid w:val="00DF5058"/>
    <w:rsid w:val="00DF5B48"/>
    <w:rsid w:val="00DF60C6"/>
    <w:rsid w:val="00DF62F2"/>
    <w:rsid w:val="00DF659F"/>
    <w:rsid w:val="00DF661D"/>
    <w:rsid w:val="00DF67F5"/>
    <w:rsid w:val="00DF6DF2"/>
    <w:rsid w:val="00DF7036"/>
    <w:rsid w:val="00DF7953"/>
    <w:rsid w:val="00E005AF"/>
    <w:rsid w:val="00E007E1"/>
    <w:rsid w:val="00E00824"/>
    <w:rsid w:val="00E00B07"/>
    <w:rsid w:val="00E00C84"/>
    <w:rsid w:val="00E00CD6"/>
    <w:rsid w:val="00E00D35"/>
    <w:rsid w:val="00E01036"/>
    <w:rsid w:val="00E01658"/>
    <w:rsid w:val="00E01897"/>
    <w:rsid w:val="00E018FB"/>
    <w:rsid w:val="00E01A03"/>
    <w:rsid w:val="00E01FF9"/>
    <w:rsid w:val="00E02138"/>
    <w:rsid w:val="00E022D7"/>
    <w:rsid w:val="00E025C1"/>
    <w:rsid w:val="00E027A9"/>
    <w:rsid w:val="00E02899"/>
    <w:rsid w:val="00E02F96"/>
    <w:rsid w:val="00E03414"/>
    <w:rsid w:val="00E0360B"/>
    <w:rsid w:val="00E03AF0"/>
    <w:rsid w:val="00E03E48"/>
    <w:rsid w:val="00E04809"/>
    <w:rsid w:val="00E048FB"/>
    <w:rsid w:val="00E04BBE"/>
    <w:rsid w:val="00E05289"/>
    <w:rsid w:val="00E05904"/>
    <w:rsid w:val="00E059AB"/>
    <w:rsid w:val="00E05DCC"/>
    <w:rsid w:val="00E05E4F"/>
    <w:rsid w:val="00E05FED"/>
    <w:rsid w:val="00E06026"/>
    <w:rsid w:val="00E06128"/>
    <w:rsid w:val="00E067A9"/>
    <w:rsid w:val="00E06C13"/>
    <w:rsid w:val="00E06CD3"/>
    <w:rsid w:val="00E06E0F"/>
    <w:rsid w:val="00E06FFF"/>
    <w:rsid w:val="00E072BD"/>
    <w:rsid w:val="00E07409"/>
    <w:rsid w:val="00E076B5"/>
    <w:rsid w:val="00E077D4"/>
    <w:rsid w:val="00E078B4"/>
    <w:rsid w:val="00E0793D"/>
    <w:rsid w:val="00E07D2E"/>
    <w:rsid w:val="00E100B7"/>
    <w:rsid w:val="00E10265"/>
    <w:rsid w:val="00E102BB"/>
    <w:rsid w:val="00E10431"/>
    <w:rsid w:val="00E10652"/>
    <w:rsid w:val="00E106E2"/>
    <w:rsid w:val="00E10BF3"/>
    <w:rsid w:val="00E10C45"/>
    <w:rsid w:val="00E114F9"/>
    <w:rsid w:val="00E1153A"/>
    <w:rsid w:val="00E11773"/>
    <w:rsid w:val="00E1202C"/>
    <w:rsid w:val="00E1205E"/>
    <w:rsid w:val="00E12958"/>
    <w:rsid w:val="00E12CC3"/>
    <w:rsid w:val="00E12D5E"/>
    <w:rsid w:val="00E134ED"/>
    <w:rsid w:val="00E135C8"/>
    <w:rsid w:val="00E137E4"/>
    <w:rsid w:val="00E13ED2"/>
    <w:rsid w:val="00E13F4F"/>
    <w:rsid w:val="00E1458B"/>
    <w:rsid w:val="00E146FC"/>
    <w:rsid w:val="00E1494A"/>
    <w:rsid w:val="00E14A01"/>
    <w:rsid w:val="00E14B5F"/>
    <w:rsid w:val="00E14C57"/>
    <w:rsid w:val="00E1525B"/>
    <w:rsid w:val="00E15299"/>
    <w:rsid w:val="00E15376"/>
    <w:rsid w:val="00E153D0"/>
    <w:rsid w:val="00E1542F"/>
    <w:rsid w:val="00E15479"/>
    <w:rsid w:val="00E15824"/>
    <w:rsid w:val="00E15E7C"/>
    <w:rsid w:val="00E15FD1"/>
    <w:rsid w:val="00E168A9"/>
    <w:rsid w:val="00E16B15"/>
    <w:rsid w:val="00E16C06"/>
    <w:rsid w:val="00E17060"/>
    <w:rsid w:val="00E17299"/>
    <w:rsid w:val="00E174DF"/>
    <w:rsid w:val="00E174FE"/>
    <w:rsid w:val="00E1799B"/>
    <w:rsid w:val="00E17B0F"/>
    <w:rsid w:val="00E17EA3"/>
    <w:rsid w:val="00E20149"/>
    <w:rsid w:val="00E2084E"/>
    <w:rsid w:val="00E2143F"/>
    <w:rsid w:val="00E21721"/>
    <w:rsid w:val="00E218F9"/>
    <w:rsid w:val="00E2197E"/>
    <w:rsid w:val="00E21C14"/>
    <w:rsid w:val="00E21DC0"/>
    <w:rsid w:val="00E21F6E"/>
    <w:rsid w:val="00E22090"/>
    <w:rsid w:val="00E2217E"/>
    <w:rsid w:val="00E22235"/>
    <w:rsid w:val="00E223FA"/>
    <w:rsid w:val="00E22569"/>
    <w:rsid w:val="00E22836"/>
    <w:rsid w:val="00E229EE"/>
    <w:rsid w:val="00E22B9F"/>
    <w:rsid w:val="00E22D21"/>
    <w:rsid w:val="00E22D79"/>
    <w:rsid w:val="00E22D93"/>
    <w:rsid w:val="00E23893"/>
    <w:rsid w:val="00E23BA2"/>
    <w:rsid w:val="00E23D0F"/>
    <w:rsid w:val="00E23FAB"/>
    <w:rsid w:val="00E23FBE"/>
    <w:rsid w:val="00E2404F"/>
    <w:rsid w:val="00E247F1"/>
    <w:rsid w:val="00E24ED1"/>
    <w:rsid w:val="00E25133"/>
    <w:rsid w:val="00E25297"/>
    <w:rsid w:val="00E25533"/>
    <w:rsid w:val="00E25921"/>
    <w:rsid w:val="00E25CD2"/>
    <w:rsid w:val="00E25F89"/>
    <w:rsid w:val="00E26013"/>
    <w:rsid w:val="00E26080"/>
    <w:rsid w:val="00E262B1"/>
    <w:rsid w:val="00E26331"/>
    <w:rsid w:val="00E26552"/>
    <w:rsid w:val="00E26F2B"/>
    <w:rsid w:val="00E26F3F"/>
    <w:rsid w:val="00E271E9"/>
    <w:rsid w:val="00E276E0"/>
    <w:rsid w:val="00E27A47"/>
    <w:rsid w:val="00E27CBE"/>
    <w:rsid w:val="00E3004B"/>
    <w:rsid w:val="00E3046D"/>
    <w:rsid w:val="00E305EE"/>
    <w:rsid w:val="00E306CE"/>
    <w:rsid w:val="00E30AB1"/>
    <w:rsid w:val="00E30CD7"/>
    <w:rsid w:val="00E30EED"/>
    <w:rsid w:val="00E316EF"/>
    <w:rsid w:val="00E3192F"/>
    <w:rsid w:val="00E31954"/>
    <w:rsid w:val="00E31A20"/>
    <w:rsid w:val="00E31C43"/>
    <w:rsid w:val="00E31D0C"/>
    <w:rsid w:val="00E31E46"/>
    <w:rsid w:val="00E32018"/>
    <w:rsid w:val="00E32556"/>
    <w:rsid w:val="00E328D5"/>
    <w:rsid w:val="00E32AAF"/>
    <w:rsid w:val="00E32E09"/>
    <w:rsid w:val="00E32E6E"/>
    <w:rsid w:val="00E32E6F"/>
    <w:rsid w:val="00E32F77"/>
    <w:rsid w:val="00E330B3"/>
    <w:rsid w:val="00E331EF"/>
    <w:rsid w:val="00E334A9"/>
    <w:rsid w:val="00E33628"/>
    <w:rsid w:val="00E338B0"/>
    <w:rsid w:val="00E33A2A"/>
    <w:rsid w:val="00E33AEA"/>
    <w:rsid w:val="00E34540"/>
    <w:rsid w:val="00E3468B"/>
    <w:rsid w:val="00E3476A"/>
    <w:rsid w:val="00E34A2E"/>
    <w:rsid w:val="00E34EC1"/>
    <w:rsid w:val="00E3518D"/>
    <w:rsid w:val="00E351A8"/>
    <w:rsid w:val="00E351E0"/>
    <w:rsid w:val="00E35640"/>
    <w:rsid w:val="00E35900"/>
    <w:rsid w:val="00E3593F"/>
    <w:rsid w:val="00E35D79"/>
    <w:rsid w:val="00E3633B"/>
    <w:rsid w:val="00E36728"/>
    <w:rsid w:val="00E3678C"/>
    <w:rsid w:val="00E36BE5"/>
    <w:rsid w:val="00E36D2C"/>
    <w:rsid w:val="00E373DE"/>
    <w:rsid w:val="00E374FA"/>
    <w:rsid w:val="00E37508"/>
    <w:rsid w:val="00E376CC"/>
    <w:rsid w:val="00E3775F"/>
    <w:rsid w:val="00E37872"/>
    <w:rsid w:val="00E402CF"/>
    <w:rsid w:val="00E4057F"/>
    <w:rsid w:val="00E40857"/>
    <w:rsid w:val="00E40940"/>
    <w:rsid w:val="00E40C48"/>
    <w:rsid w:val="00E415F9"/>
    <w:rsid w:val="00E41A94"/>
    <w:rsid w:val="00E41B50"/>
    <w:rsid w:val="00E41F99"/>
    <w:rsid w:val="00E41FC4"/>
    <w:rsid w:val="00E42477"/>
    <w:rsid w:val="00E426BF"/>
    <w:rsid w:val="00E427EC"/>
    <w:rsid w:val="00E42907"/>
    <w:rsid w:val="00E42BC3"/>
    <w:rsid w:val="00E42C69"/>
    <w:rsid w:val="00E4302C"/>
    <w:rsid w:val="00E43360"/>
    <w:rsid w:val="00E43365"/>
    <w:rsid w:val="00E43399"/>
    <w:rsid w:val="00E4351A"/>
    <w:rsid w:val="00E435BD"/>
    <w:rsid w:val="00E436F6"/>
    <w:rsid w:val="00E43E64"/>
    <w:rsid w:val="00E440FD"/>
    <w:rsid w:val="00E441C9"/>
    <w:rsid w:val="00E442E9"/>
    <w:rsid w:val="00E44323"/>
    <w:rsid w:val="00E444E2"/>
    <w:rsid w:val="00E445AE"/>
    <w:rsid w:val="00E4465E"/>
    <w:rsid w:val="00E447AE"/>
    <w:rsid w:val="00E44931"/>
    <w:rsid w:val="00E4495E"/>
    <w:rsid w:val="00E449F9"/>
    <w:rsid w:val="00E44AAC"/>
    <w:rsid w:val="00E44C6B"/>
    <w:rsid w:val="00E44D8A"/>
    <w:rsid w:val="00E450AE"/>
    <w:rsid w:val="00E451B1"/>
    <w:rsid w:val="00E4520B"/>
    <w:rsid w:val="00E45914"/>
    <w:rsid w:val="00E45A0E"/>
    <w:rsid w:val="00E45C72"/>
    <w:rsid w:val="00E462C1"/>
    <w:rsid w:val="00E46532"/>
    <w:rsid w:val="00E46F85"/>
    <w:rsid w:val="00E47268"/>
    <w:rsid w:val="00E47307"/>
    <w:rsid w:val="00E47328"/>
    <w:rsid w:val="00E47334"/>
    <w:rsid w:val="00E47D1D"/>
    <w:rsid w:val="00E47F7B"/>
    <w:rsid w:val="00E50280"/>
    <w:rsid w:val="00E50829"/>
    <w:rsid w:val="00E50BED"/>
    <w:rsid w:val="00E51096"/>
    <w:rsid w:val="00E51405"/>
    <w:rsid w:val="00E51726"/>
    <w:rsid w:val="00E51767"/>
    <w:rsid w:val="00E51939"/>
    <w:rsid w:val="00E51A2C"/>
    <w:rsid w:val="00E51AD6"/>
    <w:rsid w:val="00E51AE5"/>
    <w:rsid w:val="00E51D57"/>
    <w:rsid w:val="00E51E29"/>
    <w:rsid w:val="00E51EED"/>
    <w:rsid w:val="00E5252C"/>
    <w:rsid w:val="00E52656"/>
    <w:rsid w:val="00E528EE"/>
    <w:rsid w:val="00E52BCC"/>
    <w:rsid w:val="00E52C47"/>
    <w:rsid w:val="00E52C55"/>
    <w:rsid w:val="00E52C57"/>
    <w:rsid w:val="00E52CD5"/>
    <w:rsid w:val="00E52F4B"/>
    <w:rsid w:val="00E531F7"/>
    <w:rsid w:val="00E53A15"/>
    <w:rsid w:val="00E53AD5"/>
    <w:rsid w:val="00E53B51"/>
    <w:rsid w:val="00E53D46"/>
    <w:rsid w:val="00E53F6C"/>
    <w:rsid w:val="00E5420E"/>
    <w:rsid w:val="00E54677"/>
    <w:rsid w:val="00E547E1"/>
    <w:rsid w:val="00E54B19"/>
    <w:rsid w:val="00E55246"/>
    <w:rsid w:val="00E553FA"/>
    <w:rsid w:val="00E5560D"/>
    <w:rsid w:val="00E55972"/>
    <w:rsid w:val="00E559EB"/>
    <w:rsid w:val="00E55DD4"/>
    <w:rsid w:val="00E55E60"/>
    <w:rsid w:val="00E55FB4"/>
    <w:rsid w:val="00E56329"/>
    <w:rsid w:val="00E5673A"/>
    <w:rsid w:val="00E56A68"/>
    <w:rsid w:val="00E56A9B"/>
    <w:rsid w:val="00E56C1E"/>
    <w:rsid w:val="00E57005"/>
    <w:rsid w:val="00E5705C"/>
    <w:rsid w:val="00E570F2"/>
    <w:rsid w:val="00E5750E"/>
    <w:rsid w:val="00E5798D"/>
    <w:rsid w:val="00E57A87"/>
    <w:rsid w:val="00E57B06"/>
    <w:rsid w:val="00E57E99"/>
    <w:rsid w:val="00E57FED"/>
    <w:rsid w:val="00E6017E"/>
    <w:rsid w:val="00E603F5"/>
    <w:rsid w:val="00E6054C"/>
    <w:rsid w:val="00E60677"/>
    <w:rsid w:val="00E61262"/>
    <w:rsid w:val="00E614E0"/>
    <w:rsid w:val="00E6150F"/>
    <w:rsid w:val="00E6171E"/>
    <w:rsid w:val="00E61B3B"/>
    <w:rsid w:val="00E61C6B"/>
    <w:rsid w:val="00E61CF8"/>
    <w:rsid w:val="00E61E32"/>
    <w:rsid w:val="00E61E5F"/>
    <w:rsid w:val="00E61EEE"/>
    <w:rsid w:val="00E61FAD"/>
    <w:rsid w:val="00E623B5"/>
    <w:rsid w:val="00E62511"/>
    <w:rsid w:val="00E626F2"/>
    <w:rsid w:val="00E62977"/>
    <w:rsid w:val="00E62FB7"/>
    <w:rsid w:val="00E63146"/>
    <w:rsid w:val="00E639DF"/>
    <w:rsid w:val="00E63C65"/>
    <w:rsid w:val="00E63CC7"/>
    <w:rsid w:val="00E63E50"/>
    <w:rsid w:val="00E63FA4"/>
    <w:rsid w:val="00E64082"/>
    <w:rsid w:val="00E645DE"/>
    <w:rsid w:val="00E649C5"/>
    <w:rsid w:val="00E64ED0"/>
    <w:rsid w:val="00E65332"/>
    <w:rsid w:val="00E658CA"/>
    <w:rsid w:val="00E65902"/>
    <w:rsid w:val="00E65B3D"/>
    <w:rsid w:val="00E65CE3"/>
    <w:rsid w:val="00E6637B"/>
    <w:rsid w:val="00E66431"/>
    <w:rsid w:val="00E664A1"/>
    <w:rsid w:val="00E66622"/>
    <w:rsid w:val="00E66632"/>
    <w:rsid w:val="00E66A44"/>
    <w:rsid w:val="00E66AAD"/>
    <w:rsid w:val="00E66AF2"/>
    <w:rsid w:val="00E67347"/>
    <w:rsid w:val="00E6763B"/>
    <w:rsid w:val="00E676D8"/>
    <w:rsid w:val="00E70554"/>
    <w:rsid w:val="00E70629"/>
    <w:rsid w:val="00E707C2"/>
    <w:rsid w:val="00E70814"/>
    <w:rsid w:val="00E70887"/>
    <w:rsid w:val="00E708E8"/>
    <w:rsid w:val="00E70C74"/>
    <w:rsid w:val="00E70ED0"/>
    <w:rsid w:val="00E70ED9"/>
    <w:rsid w:val="00E71076"/>
    <w:rsid w:val="00E71130"/>
    <w:rsid w:val="00E7115E"/>
    <w:rsid w:val="00E7124E"/>
    <w:rsid w:val="00E716FD"/>
    <w:rsid w:val="00E71817"/>
    <w:rsid w:val="00E71B07"/>
    <w:rsid w:val="00E72173"/>
    <w:rsid w:val="00E72811"/>
    <w:rsid w:val="00E72A87"/>
    <w:rsid w:val="00E73273"/>
    <w:rsid w:val="00E73663"/>
    <w:rsid w:val="00E73B7B"/>
    <w:rsid w:val="00E73D20"/>
    <w:rsid w:val="00E73EC6"/>
    <w:rsid w:val="00E73F09"/>
    <w:rsid w:val="00E74239"/>
    <w:rsid w:val="00E74317"/>
    <w:rsid w:val="00E7439E"/>
    <w:rsid w:val="00E74556"/>
    <w:rsid w:val="00E745E1"/>
    <w:rsid w:val="00E74A54"/>
    <w:rsid w:val="00E74C23"/>
    <w:rsid w:val="00E751CE"/>
    <w:rsid w:val="00E75289"/>
    <w:rsid w:val="00E75577"/>
    <w:rsid w:val="00E75759"/>
    <w:rsid w:val="00E75823"/>
    <w:rsid w:val="00E75CFA"/>
    <w:rsid w:val="00E75DB6"/>
    <w:rsid w:val="00E7609C"/>
    <w:rsid w:val="00E76C70"/>
    <w:rsid w:val="00E77027"/>
    <w:rsid w:val="00E775FD"/>
    <w:rsid w:val="00E77889"/>
    <w:rsid w:val="00E77A50"/>
    <w:rsid w:val="00E77E03"/>
    <w:rsid w:val="00E77E2A"/>
    <w:rsid w:val="00E77FEA"/>
    <w:rsid w:val="00E80006"/>
    <w:rsid w:val="00E8024A"/>
    <w:rsid w:val="00E80A2F"/>
    <w:rsid w:val="00E80AF6"/>
    <w:rsid w:val="00E80C6E"/>
    <w:rsid w:val="00E813F1"/>
    <w:rsid w:val="00E813F9"/>
    <w:rsid w:val="00E8145D"/>
    <w:rsid w:val="00E814A9"/>
    <w:rsid w:val="00E81AC4"/>
    <w:rsid w:val="00E81F16"/>
    <w:rsid w:val="00E820A0"/>
    <w:rsid w:val="00E8222F"/>
    <w:rsid w:val="00E8226E"/>
    <w:rsid w:val="00E82395"/>
    <w:rsid w:val="00E82398"/>
    <w:rsid w:val="00E82725"/>
    <w:rsid w:val="00E8277A"/>
    <w:rsid w:val="00E82BCA"/>
    <w:rsid w:val="00E8302F"/>
    <w:rsid w:val="00E831BD"/>
    <w:rsid w:val="00E837B9"/>
    <w:rsid w:val="00E83E96"/>
    <w:rsid w:val="00E84906"/>
    <w:rsid w:val="00E849F6"/>
    <w:rsid w:val="00E8513D"/>
    <w:rsid w:val="00E853F8"/>
    <w:rsid w:val="00E854CF"/>
    <w:rsid w:val="00E85730"/>
    <w:rsid w:val="00E85964"/>
    <w:rsid w:val="00E85F8E"/>
    <w:rsid w:val="00E863C7"/>
    <w:rsid w:val="00E864DB"/>
    <w:rsid w:val="00E8653E"/>
    <w:rsid w:val="00E86739"/>
    <w:rsid w:val="00E867A3"/>
    <w:rsid w:val="00E86999"/>
    <w:rsid w:val="00E86ABF"/>
    <w:rsid w:val="00E86D0C"/>
    <w:rsid w:val="00E86F6A"/>
    <w:rsid w:val="00E87083"/>
    <w:rsid w:val="00E873D5"/>
    <w:rsid w:val="00E87508"/>
    <w:rsid w:val="00E87586"/>
    <w:rsid w:val="00E875EC"/>
    <w:rsid w:val="00E87BC8"/>
    <w:rsid w:val="00E87FD6"/>
    <w:rsid w:val="00E90572"/>
    <w:rsid w:val="00E9065A"/>
    <w:rsid w:val="00E906C0"/>
    <w:rsid w:val="00E906E6"/>
    <w:rsid w:val="00E908D3"/>
    <w:rsid w:val="00E910D6"/>
    <w:rsid w:val="00E9112A"/>
    <w:rsid w:val="00E912BD"/>
    <w:rsid w:val="00E91624"/>
    <w:rsid w:val="00E919D0"/>
    <w:rsid w:val="00E91AC3"/>
    <w:rsid w:val="00E91B0E"/>
    <w:rsid w:val="00E92016"/>
    <w:rsid w:val="00E92178"/>
    <w:rsid w:val="00E9246D"/>
    <w:rsid w:val="00E9257A"/>
    <w:rsid w:val="00E92AD3"/>
    <w:rsid w:val="00E92D97"/>
    <w:rsid w:val="00E92FA0"/>
    <w:rsid w:val="00E9315A"/>
    <w:rsid w:val="00E93576"/>
    <w:rsid w:val="00E93840"/>
    <w:rsid w:val="00E93D4C"/>
    <w:rsid w:val="00E93FB0"/>
    <w:rsid w:val="00E94049"/>
    <w:rsid w:val="00E941B7"/>
    <w:rsid w:val="00E94251"/>
    <w:rsid w:val="00E9425D"/>
    <w:rsid w:val="00E94F28"/>
    <w:rsid w:val="00E94F33"/>
    <w:rsid w:val="00E95380"/>
    <w:rsid w:val="00E9593F"/>
    <w:rsid w:val="00E95BF8"/>
    <w:rsid w:val="00E96502"/>
    <w:rsid w:val="00E9679F"/>
    <w:rsid w:val="00E96B35"/>
    <w:rsid w:val="00E9705C"/>
    <w:rsid w:val="00E97304"/>
    <w:rsid w:val="00E97AD8"/>
    <w:rsid w:val="00EA0483"/>
    <w:rsid w:val="00EA0EEB"/>
    <w:rsid w:val="00EA0F53"/>
    <w:rsid w:val="00EA1B1D"/>
    <w:rsid w:val="00EA2188"/>
    <w:rsid w:val="00EA234C"/>
    <w:rsid w:val="00EA2877"/>
    <w:rsid w:val="00EA2B27"/>
    <w:rsid w:val="00EA2BBA"/>
    <w:rsid w:val="00EA2C2F"/>
    <w:rsid w:val="00EA2F2E"/>
    <w:rsid w:val="00EA3041"/>
    <w:rsid w:val="00EA321B"/>
    <w:rsid w:val="00EA3537"/>
    <w:rsid w:val="00EA363D"/>
    <w:rsid w:val="00EA3B2B"/>
    <w:rsid w:val="00EA3ED9"/>
    <w:rsid w:val="00EA4124"/>
    <w:rsid w:val="00EA4247"/>
    <w:rsid w:val="00EA454B"/>
    <w:rsid w:val="00EA47B9"/>
    <w:rsid w:val="00EA48B8"/>
    <w:rsid w:val="00EA4B33"/>
    <w:rsid w:val="00EA4C47"/>
    <w:rsid w:val="00EA504A"/>
    <w:rsid w:val="00EA50F1"/>
    <w:rsid w:val="00EA607A"/>
    <w:rsid w:val="00EA6160"/>
    <w:rsid w:val="00EA634F"/>
    <w:rsid w:val="00EA63D4"/>
    <w:rsid w:val="00EA763E"/>
    <w:rsid w:val="00EA7E6D"/>
    <w:rsid w:val="00EB016A"/>
    <w:rsid w:val="00EB065F"/>
    <w:rsid w:val="00EB0DB6"/>
    <w:rsid w:val="00EB158F"/>
    <w:rsid w:val="00EB1B20"/>
    <w:rsid w:val="00EB20AD"/>
    <w:rsid w:val="00EB215A"/>
    <w:rsid w:val="00EB21D4"/>
    <w:rsid w:val="00EB2233"/>
    <w:rsid w:val="00EB265C"/>
    <w:rsid w:val="00EB26FD"/>
    <w:rsid w:val="00EB271D"/>
    <w:rsid w:val="00EB2D64"/>
    <w:rsid w:val="00EB3C09"/>
    <w:rsid w:val="00EB3C36"/>
    <w:rsid w:val="00EB409B"/>
    <w:rsid w:val="00EB40BE"/>
    <w:rsid w:val="00EB40DC"/>
    <w:rsid w:val="00EB41E5"/>
    <w:rsid w:val="00EB4265"/>
    <w:rsid w:val="00EB4405"/>
    <w:rsid w:val="00EB4AF0"/>
    <w:rsid w:val="00EB4B4B"/>
    <w:rsid w:val="00EB4C29"/>
    <w:rsid w:val="00EB54B3"/>
    <w:rsid w:val="00EB584B"/>
    <w:rsid w:val="00EB589B"/>
    <w:rsid w:val="00EB58BD"/>
    <w:rsid w:val="00EB5948"/>
    <w:rsid w:val="00EB5CEC"/>
    <w:rsid w:val="00EB5D17"/>
    <w:rsid w:val="00EB662E"/>
    <w:rsid w:val="00EB6824"/>
    <w:rsid w:val="00EB6F0C"/>
    <w:rsid w:val="00EB6FF7"/>
    <w:rsid w:val="00EB71D4"/>
    <w:rsid w:val="00EB7353"/>
    <w:rsid w:val="00EB7B76"/>
    <w:rsid w:val="00EB7BB3"/>
    <w:rsid w:val="00EB7BD2"/>
    <w:rsid w:val="00EB7D29"/>
    <w:rsid w:val="00EB7D6F"/>
    <w:rsid w:val="00EB7E72"/>
    <w:rsid w:val="00EC04DF"/>
    <w:rsid w:val="00EC0513"/>
    <w:rsid w:val="00EC06DE"/>
    <w:rsid w:val="00EC0812"/>
    <w:rsid w:val="00EC0B70"/>
    <w:rsid w:val="00EC0C86"/>
    <w:rsid w:val="00EC0DFC"/>
    <w:rsid w:val="00EC0E47"/>
    <w:rsid w:val="00EC0E96"/>
    <w:rsid w:val="00EC0FFC"/>
    <w:rsid w:val="00EC1077"/>
    <w:rsid w:val="00EC1299"/>
    <w:rsid w:val="00EC15D6"/>
    <w:rsid w:val="00EC1CE5"/>
    <w:rsid w:val="00EC24ED"/>
    <w:rsid w:val="00EC2626"/>
    <w:rsid w:val="00EC29AF"/>
    <w:rsid w:val="00EC2B6C"/>
    <w:rsid w:val="00EC2B8E"/>
    <w:rsid w:val="00EC2BEA"/>
    <w:rsid w:val="00EC2D0D"/>
    <w:rsid w:val="00EC2D74"/>
    <w:rsid w:val="00EC2E45"/>
    <w:rsid w:val="00EC3078"/>
    <w:rsid w:val="00EC31CE"/>
    <w:rsid w:val="00EC357D"/>
    <w:rsid w:val="00EC35F0"/>
    <w:rsid w:val="00EC36AD"/>
    <w:rsid w:val="00EC3972"/>
    <w:rsid w:val="00EC3A4B"/>
    <w:rsid w:val="00EC3AD1"/>
    <w:rsid w:val="00EC3EBB"/>
    <w:rsid w:val="00EC441A"/>
    <w:rsid w:val="00EC496C"/>
    <w:rsid w:val="00EC5086"/>
    <w:rsid w:val="00EC53F8"/>
    <w:rsid w:val="00EC5653"/>
    <w:rsid w:val="00EC5F02"/>
    <w:rsid w:val="00EC631C"/>
    <w:rsid w:val="00EC670E"/>
    <w:rsid w:val="00EC69EA"/>
    <w:rsid w:val="00EC6A2E"/>
    <w:rsid w:val="00EC6AD9"/>
    <w:rsid w:val="00EC6C07"/>
    <w:rsid w:val="00EC6D7E"/>
    <w:rsid w:val="00EC6ED5"/>
    <w:rsid w:val="00EC716F"/>
    <w:rsid w:val="00EC717D"/>
    <w:rsid w:val="00EC71E5"/>
    <w:rsid w:val="00EC7255"/>
    <w:rsid w:val="00EC72C8"/>
    <w:rsid w:val="00EC7A0A"/>
    <w:rsid w:val="00EC7AB9"/>
    <w:rsid w:val="00EC7C80"/>
    <w:rsid w:val="00ED017C"/>
    <w:rsid w:val="00ED0235"/>
    <w:rsid w:val="00ED0BC9"/>
    <w:rsid w:val="00ED0E82"/>
    <w:rsid w:val="00ED0F26"/>
    <w:rsid w:val="00ED0F51"/>
    <w:rsid w:val="00ED10CD"/>
    <w:rsid w:val="00ED11D2"/>
    <w:rsid w:val="00ED16DE"/>
    <w:rsid w:val="00ED1730"/>
    <w:rsid w:val="00ED1B51"/>
    <w:rsid w:val="00ED1C26"/>
    <w:rsid w:val="00ED1F22"/>
    <w:rsid w:val="00ED1FF5"/>
    <w:rsid w:val="00ED2059"/>
    <w:rsid w:val="00ED23F1"/>
    <w:rsid w:val="00ED254B"/>
    <w:rsid w:val="00ED28C7"/>
    <w:rsid w:val="00ED2928"/>
    <w:rsid w:val="00ED2E33"/>
    <w:rsid w:val="00ED3024"/>
    <w:rsid w:val="00ED31C8"/>
    <w:rsid w:val="00ED35DF"/>
    <w:rsid w:val="00ED3694"/>
    <w:rsid w:val="00ED3DB7"/>
    <w:rsid w:val="00ED3E49"/>
    <w:rsid w:val="00ED43DF"/>
    <w:rsid w:val="00ED45A1"/>
    <w:rsid w:val="00ED47C5"/>
    <w:rsid w:val="00ED4D23"/>
    <w:rsid w:val="00ED5273"/>
    <w:rsid w:val="00ED56C1"/>
    <w:rsid w:val="00ED57E7"/>
    <w:rsid w:val="00ED5AA0"/>
    <w:rsid w:val="00ED5B04"/>
    <w:rsid w:val="00ED5C15"/>
    <w:rsid w:val="00ED612F"/>
    <w:rsid w:val="00ED63A3"/>
    <w:rsid w:val="00ED6443"/>
    <w:rsid w:val="00ED654C"/>
    <w:rsid w:val="00ED6848"/>
    <w:rsid w:val="00ED6F91"/>
    <w:rsid w:val="00ED7016"/>
    <w:rsid w:val="00ED70A3"/>
    <w:rsid w:val="00ED71B6"/>
    <w:rsid w:val="00ED7265"/>
    <w:rsid w:val="00ED7742"/>
    <w:rsid w:val="00ED774E"/>
    <w:rsid w:val="00ED7810"/>
    <w:rsid w:val="00ED7860"/>
    <w:rsid w:val="00EE0002"/>
    <w:rsid w:val="00EE001A"/>
    <w:rsid w:val="00EE028A"/>
    <w:rsid w:val="00EE033B"/>
    <w:rsid w:val="00EE05D6"/>
    <w:rsid w:val="00EE0AAB"/>
    <w:rsid w:val="00EE0B59"/>
    <w:rsid w:val="00EE0BC6"/>
    <w:rsid w:val="00EE0D9D"/>
    <w:rsid w:val="00EE0EDF"/>
    <w:rsid w:val="00EE0FE6"/>
    <w:rsid w:val="00EE1271"/>
    <w:rsid w:val="00EE1392"/>
    <w:rsid w:val="00EE1770"/>
    <w:rsid w:val="00EE19C1"/>
    <w:rsid w:val="00EE1C55"/>
    <w:rsid w:val="00EE1C58"/>
    <w:rsid w:val="00EE1FB5"/>
    <w:rsid w:val="00EE1FE5"/>
    <w:rsid w:val="00EE218A"/>
    <w:rsid w:val="00EE2445"/>
    <w:rsid w:val="00EE275A"/>
    <w:rsid w:val="00EE280E"/>
    <w:rsid w:val="00EE28B3"/>
    <w:rsid w:val="00EE29AD"/>
    <w:rsid w:val="00EE2F6A"/>
    <w:rsid w:val="00EE30DA"/>
    <w:rsid w:val="00EE318F"/>
    <w:rsid w:val="00EE327D"/>
    <w:rsid w:val="00EE370F"/>
    <w:rsid w:val="00EE3911"/>
    <w:rsid w:val="00EE3930"/>
    <w:rsid w:val="00EE3C42"/>
    <w:rsid w:val="00EE3DB9"/>
    <w:rsid w:val="00EE3ED1"/>
    <w:rsid w:val="00EE3EDC"/>
    <w:rsid w:val="00EE3F28"/>
    <w:rsid w:val="00EE40B8"/>
    <w:rsid w:val="00EE4270"/>
    <w:rsid w:val="00EE4512"/>
    <w:rsid w:val="00EE4608"/>
    <w:rsid w:val="00EE4888"/>
    <w:rsid w:val="00EE4924"/>
    <w:rsid w:val="00EE4978"/>
    <w:rsid w:val="00EE4CA9"/>
    <w:rsid w:val="00EE4EFB"/>
    <w:rsid w:val="00EE541F"/>
    <w:rsid w:val="00EE5474"/>
    <w:rsid w:val="00EE57F4"/>
    <w:rsid w:val="00EE5BB9"/>
    <w:rsid w:val="00EE5BEA"/>
    <w:rsid w:val="00EE5D49"/>
    <w:rsid w:val="00EE6339"/>
    <w:rsid w:val="00EE6405"/>
    <w:rsid w:val="00EE646B"/>
    <w:rsid w:val="00EE65D4"/>
    <w:rsid w:val="00EE6719"/>
    <w:rsid w:val="00EE6824"/>
    <w:rsid w:val="00EE6DF5"/>
    <w:rsid w:val="00EE6E62"/>
    <w:rsid w:val="00EE6E6B"/>
    <w:rsid w:val="00EE7AA0"/>
    <w:rsid w:val="00EE7E2C"/>
    <w:rsid w:val="00EF06DD"/>
    <w:rsid w:val="00EF0A62"/>
    <w:rsid w:val="00EF0C4B"/>
    <w:rsid w:val="00EF0E10"/>
    <w:rsid w:val="00EF0FB0"/>
    <w:rsid w:val="00EF14C9"/>
    <w:rsid w:val="00EF1697"/>
    <w:rsid w:val="00EF1781"/>
    <w:rsid w:val="00EF1ADB"/>
    <w:rsid w:val="00EF1B2D"/>
    <w:rsid w:val="00EF1CAF"/>
    <w:rsid w:val="00EF1D75"/>
    <w:rsid w:val="00EF2076"/>
    <w:rsid w:val="00EF23A3"/>
    <w:rsid w:val="00EF258F"/>
    <w:rsid w:val="00EF2AFB"/>
    <w:rsid w:val="00EF2E10"/>
    <w:rsid w:val="00EF3062"/>
    <w:rsid w:val="00EF3113"/>
    <w:rsid w:val="00EF361B"/>
    <w:rsid w:val="00EF393F"/>
    <w:rsid w:val="00EF39C1"/>
    <w:rsid w:val="00EF3B0C"/>
    <w:rsid w:val="00EF4080"/>
    <w:rsid w:val="00EF41BB"/>
    <w:rsid w:val="00EF442D"/>
    <w:rsid w:val="00EF4451"/>
    <w:rsid w:val="00EF47F5"/>
    <w:rsid w:val="00EF493B"/>
    <w:rsid w:val="00EF497B"/>
    <w:rsid w:val="00EF4B6A"/>
    <w:rsid w:val="00EF4EF6"/>
    <w:rsid w:val="00EF4EFC"/>
    <w:rsid w:val="00EF507E"/>
    <w:rsid w:val="00EF59FA"/>
    <w:rsid w:val="00EF5B52"/>
    <w:rsid w:val="00EF5CB6"/>
    <w:rsid w:val="00EF5EBE"/>
    <w:rsid w:val="00EF6015"/>
    <w:rsid w:val="00EF6087"/>
    <w:rsid w:val="00EF6127"/>
    <w:rsid w:val="00EF6187"/>
    <w:rsid w:val="00EF6244"/>
    <w:rsid w:val="00EF6287"/>
    <w:rsid w:val="00EF65A9"/>
    <w:rsid w:val="00EF65B4"/>
    <w:rsid w:val="00EF6939"/>
    <w:rsid w:val="00EF75A0"/>
    <w:rsid w:val="00EF795B"/>
    <w:rsid w:val="00EF798B"/>
    <w:rsid w:val="00EF7B03"/>
    <w:rsid w:val="00EF7BB7"/>
    <w:rsid w:val="00EF7D22"/>
    <w:rsid w:val="00EF7ED2"/>
    <w:rsid w:val="00F001E4"/>
    <w:rsid w:val="00F0027A"/>
    <w:rsid w:val="00F00C79"/>
    <w:rsid w:val="00F00CFB"/>
    <w:rsid w:val="00F00ED4"/>
    <w:rsid w:val="00F0137B"/>
    <w:rsid w:val="00F015DB"/>
    <w:rsid w:val="00F0173B"/>
    <w:rsid w:val="00F018E3"/>
    <w:rsid w:val="00F01ED5"/>
    <w:rsid w:val="00F020AF"/>
    <w:rsid w:val="00F025AB"/>
    <w:rsid w:val="00F02694"/>
    <w:rsid w:val="00F02720"/>
    <w:rsid w:val="00F02737"/>
    <w:rsid w:val="00F0282F"/>
    <w:rsid w:val="00F02966"/>
    <w:rsid w:val="00F02B3A"/>
    <w:rsid w:val="00F03771"/>
    <w:rsid w:val="00F0387A"/>
    <w:rsid w:val="00F03DD2"/>
    <w:rsid w:val="00F03E6B"/>
    <w:rsid w:val="00F04234"/>
    <w:rsid w:val="00F042F5"/>
    <w:rsid w:val="00F04478"/>
    <w:rsid w:val="00F0463B"/>
    <w:rsid w:val="00F04696"/>
    <w:rsid w:val="00F0493F"/>
    <w:rsid w:val="00F04A0E"/>
    <w:rsid w:val="00F04AC8"/>
    <w:rsid w:val="00F04BB1"/>
    <w:rsid w:val="00F04C30"/>
    <w:rsid w:val="00F04FCE"/>
    <w:rsid w:val="00F04FEA"/>
    <w:rsid w:val="00F0522D"/>
    <w:rsid w:val="00F055BF"/>
    <w:rsid w:val="00F055F2"/>
    <w:rsid w:val="00F059C0"/>
    <w:rsid w:val="00F05A4B"/>
    <w:rsid w:val="00F05B6D"/>
    <w:rsid w:val="00F061E6"/>
    <w:rsid w:val="00F066CA"/>
    <w:rsid w:val="00F0696A"/>
    <w:rsid w:val="00F06AF2"/>
    <w:rsid w:val="00F06CF4"/>
    <w:rsid w:val="00F070AB"/>
    <w:rsid w:val="00F07276"/>
    <w:rsid w:val="00F074F1"/>
    <w:rsid w:val="00F07C21"/>
    <w:rsid w:val="00F07CD3"/>
    <w:rsid w:val="00F07D0C"/>
    <w:rsid w:val="00F07E0A"/>
    <w:rsid w:val="00F07E66"/>
    <w:rsid w:val="00F100EE"/>
    <w:rsid w:val="00F1039F"/>
    <w:rsid w:val="00F10641"/>
    <w:rsid w:val="00F108C8"/>
    <w:rsid w:val="00F10DFF"/>
    <w:rsid w:val="00F11294"/>
    <w:rsid w:val="00F11460"/>
    <w:rsid w:val="00F11E56"/>
    <w:rsid w:val="00F123A0"/>
    <w:rsid w:val="00F12489"/>
    <w:rsid w:val="00F12509"/>
    <w:rsid w:val="00F12682"/>
    <w:rsid w:val="00F13342"/>
    <w:rsid w:val="00F13563"/>
    <w:rsid w:val="00F136BE"/>
    <w:rsid w:val="00F13FB4"/>
    <w:rsid w:val="00F141D5"/>
    <w:rsid w:val="00F14638"/>
    <w:rsid w:val="00F14CB2"/>
    <w:rsid w:val="00F14FD4"/>
    <w:rsid w:val="00F152D3"/>
    <w:rsid w:val="00F1653C"/>
    <w:rsid w:val="00F16681"/>
    <w:rsid w:val="00F1671F"/>
    <w:rsid w:val="00F16A2C"/>
    <w:rsid w:val="00F16E72"/>
    <w:rsid w:val="00F174CE"/>
    <w:rsid w:val="00F178ED"/>
    <w:rsid w:val="00F1792B"/>
    <w:rsid w:val="00F17C6F"/>
    <w:rsid w:val="00F2002E"/>
    <w:rsid w:val="00F209FA"/>
    <w:rsid w:val="00F20A34"/>
    <w:rsid w:val="00F20DC6"/>
    <w:rsid w:val="00F21124"/>
    <w:rsid w:val="00F21422"/>
    <w:rsid w:val="00F21428"/>
    <w:rsid w:val="00F22272"/>
    <w:rsid w:val="00F22B91"/>
    <w:rsid w:val="00F23276"/>
    <w:rsid w:val="00F23539"/>
    <w:rsid w:val="00F23578"/>
    <w:rsid w:val="00F2388A"/>
    <w:rsid w:val="00F238EC"/>
    <w:rsid w:val="00F239F5"/>
    <w:rsid w:val="00F23AA0"/>
    <w:rsid w:val="00F23CF1"/>
    <w:rsid w:val="00F23D70"/>
    <w:rsid w:val="00F23ED1"/>
    <w:rsid w:val="00F23F89"/>
    <w:rsid w:val="00F24091"/>
    <w:rsid w:val="00F241D0"/>
    <w:rsid w:val="00F241D9"/>
    <w:rsid w:val="00F2440C"/>
    <w:rsid w:val="00F24429"/>
    <w:rsid w:val="00F24A61"/>
    <w:rsid w:val="00F24BFB"/>
    <w:rsid w:val="00F25164"/>
    <w:rsid w:val="00F2547C"/>
    <w:rsid w:val="00F256AE"/>
    <w:rsid w:val="00F25B57"/>
    <w:rsid w:val="00F25BCE"/>
    <w:rsid w:val="00F25C98"/>
    <w:rsid w:val="00F263F4"/>
    <w:rsid w:val="00F26537"/>
    <w:rsid w:val="00F26833"/>
    <w:rsid w:val="00F2687F"/>
    <w:rsid w:val="00F2695A"/>
    <w:rsid w:val="00F26AAC"/>
    <w:rsid w:val="00F27035"/>
    <w:rsid w:val="00F27541"/>
    <w:rsid w:val="00F279A5"/>
    <w:rsid w:val="00F27C21"/>
    <w:rsid w:val="00F27D76"/>
    <w:rsid w:val="00F27EF2"/>
    <w:rsid w:val="00F27F1C"/>
    <w:rsid w:val="00F30834"/>
    <w:rsid w:val="00F30901"/>
    <w:rsid w:val="00F30908"/>
    <w:rsid w:val="00F30A3F"/>
    <w:rsid w:val="00F30B5F"/>
    <w:rsid w:val="00F30C31"/>
    <w:rsid w:val="00F30FA2"/>
    <w:rsid w:val="00F311C7"/>
    <w:rsid w:val="00F3134F"/>
    <w:rsid w:val="00F318A5"/>
    <w:rsid w:val="00F31D41"/>
    <w:rsid w:val="00F31D5E"/>
    <w:rsid w:val="00F31DE6"/>
    <w:rsid w:val="00F31E0A"/>
    <w:rsid w:val="00F31E6A"/>
    <w:rsid w:val="00F320F0"/>
    <w:rsid w:val="00F320FD"/>
    <w:rsid w:val="00F322DE"/>
    <w:rsid w:val="00F3242B"/>
    <w:rsid w:val="00F32511"/>
    <w:rsid w:val="00F32543"/>
    <w:rsid w:val="00F325EF"/>
    <w:rsid w:val="00F32A26"/>
    <w:rsid w:val="00F32F63"/>
    <w:rsid w:val="00F33216"/>
    <w:rsid w:val="00F332A6"/>
    <w:rsid w:val="00F332CB"/>
    <w:rsid w:val="00F3339B"/>
    <w:rsid w:val="00F33620"/>
    <w:rsid w:val="00F33710"/>
    <w:rsid w:val="00F337F9"/>
    <w:rsid w:val="00F33BB5"/>
    <w:rsid w:val="00F33D5C"/>
    <w:rsid w:val="00F33F73"/>
    <w:rsid w:val="00F340EB"/>
    <w:rsid w:val="00F344CC"/>
    <w:rsid w:val="00F34521"/>
    <w:rsid w:val="00F34BC4"/>
    <w:rsid w:val="00F34C69"/>
    <w:rsid w:val="00F35234"/>
    <w:rsid w:val="00F35533"/>
    <w:rsid w:val="00F35B23"/>
    <w:rsid w:val="00F35B2F"/>
    <w:rsid w:val="00F35C86"/>
    <w:rsid w:val="00F35CAB"/>
    <w:rsid w:val="00F35E71"/>
    <w:rsid w:val="00F35F2E"/>
    <w:rsid w:val="00F361F6"/>
    <w:rsid w:val="00F364C4"/>
    <w:rsid w:val="00F369A9"/>
    <w:rsid w:val="00F36B15"/>
    <w:rsid w:val="00F36E0D"/>
    <w:rsid w:val="00F36E1B"/>
    <w:rsid w:val="00F36E40"/>
    <w:rsid w:val="00F37210"/>
    <w:rsid w:val="00F3721E"/>
    <w:rsid w:val="00F3750A"/>
    <w:rsid w:val="00F37BDB"/>
    <w:rsid w:val="00F37C8E"/>
    <w:rsid w:val="00F37FBF"/>
    <w:rsid w:val="00F40024"/>
    <w:rsid w:val="00F400F0"/>
    <w:rsid w:val="00F40116"/>
    <w:rsid w:val="00F40673"/>
    <w:rsid w:val="00F40F9A"/>
    <w:rsid w:val="00F41446"/>
    <w:rsid w:val="00F41725"/>
    <w:rsid w:val="00F419CC"/>
    <w:rsid w:val="00F41B7E"/>
    <w:rsid w:val="00F42143"/>
    <w:rsid w:val="00F424F1"/>
    <w:rsid w:val="00F427A7"/>
    <w:rsid w:val="00F42837"/>
    <w:rsid w:val="00F42990"/>
    <w:rsid w:val="00F42E88"/>
    <w:rsid w:val="00F431FB"/>
    <w:rsid w:val="00F43210"/>
    <w:rsid w:val="00F4342D"/>
    <w:rsid w:val="00F4345F"/>
    <w:rsid w:val="00F436DC"/>
    <w:rsid w:val="00F43715"/>
    <w:rsid w:val="00F4388C"/>
    <w:rsid w:val="00F43A60"/>
    <w:rsid w:val="00F43AA6"/>
    <w:rsid w:val="00F4406B"/>
    <w:rsid w:val="00F4420C"/>
    <w:rsid w:val="00F44278"/>
    <w:rsid w:val="00F44816"/>
    <w:rsid w:val="00F4502C"/>
    <w:rsid w:val="00F4541E"/>
    <w:rsid w:val="00F45502"/>
    <w:rsid w:val="00F45999"/>
    <w:rsid w:val="00F45CF4"/>
    <w:rsid w:val="00F462E7"/>
    <w:rsid w:val="00F46313"/>
    <w:rsid w:val="00F4666E"/>
    <w:rsid w:val="00F468EF"/>
    <w:rsid w:val="00F46CB0"/>
    <w:rsid w:val="00F470BD"/>
    <w:rsid w:val="00F47938"/>
    <w:rsid w:val="00F47981"/>
    <w:rsid w:val="00F479C2"/>
    <w:rsid w:val="00F479CA"/>
    <w:rsid w:val="00F47C0F"/>
    <w:rsid w:val="00F5004E"/>
    <w:rsid w:val="00F50119"/>
    <w:rsid w:val="00F501C1"/>
    <w:rsid w:val="00F50B64"/>
    <w:rsid w:val="00F50D8D"/>
    <w:rsid w:val="00F50F75"/>
    <w:rsid w:val="00F510E3"/>
    <w:rsid w:val="00F51101"/>
    <w:rsid w:val="00F51218"/>
    <w:rsid w:val="00F51393"/>
    <w:rsid w:val="00F51B2E"/>
    <w:rsid w:val="00F51ED8"/>
    <w:rsid w:val="00F5205F"/>
    <w:rsid w:val="00F527E4"/>
    <w:rsid w:val="00F52BA1"/>
    <w:rsid w:val="00F535A2"/>
    <w:rsid w:val="00F53ACB"/>
    <w:rsid w:val="00F53D36"/>
    <w:rsid w:val="00F540D6"/>
    <w:rsid w:val="00F54115"/>
    <w:rsid w:val="00F541BD"/>
    <w:rsid w:val="00F54204"/>
    <w:rsid w:val="00F54206"/>
    <w:rsid w:val="00F5441A"/>
    <w:rsid w:val="00F5447C"/>
    <w:rsid w:val="00F547C7"/>
    <w:rsid w:val="00F5503D"/>
    <w:rsid w:val="00F552A1"/>
    <w:rsid w:val="00F5534B"/>
    <w:rsid w:val="00F5548C"/>
    <w:rsid w:val="00F555DC"/>
    <w:rsid w:val="00F55D2F"/>
    <w:rsid w:val="00F5600C"/>
    <w:rsid w:val="00F560F8"/>
    <w:rsid w:val="00F56336"/>
    <w:rsid w:val="00F56409"/>
    <w:rsid w:val="00F5648B"/>
    <w:rsid w:val="00F56675"/>
    <w:rsid w:val="00F56BA8"/>
    <w:rsid w:val="00F57418"/>
    <w:rsid w:val="00F5772D"/>
    <w:rsid w:val="00F57D66"/>
    <w:rsid w:val="00F57DA3"/>
    <w:rsid w:val="00F60156"/>
    <w:rsid w:val="00F6018E"/>
    <w:rsid w:val="00F6094B"/>
    <w:rsid w:val="00F60AE6"/>
    <w:rsid w:val="00F60B5D"/>
    <w:rsid w:val="00F60C2A"/>
    <w:rsid w:val="00F60DA0"/>
    <w:rsid w:val="00F60E46"/>
    <w:rsid w:val="00F613C1"/>
    <w:rsid w:val="00F616CD"/>
    <w:rsid w:val="00F6184E"/>
    <w:rsid w:val="00F61E82"/>
    <w:rsid w:val="00F627D8"/>
    <w:rsid w:val="00F62822"/>
    <w:rsid w:val="00F6288E"/>
    <w:rsid w:val="00F628B2"/>
    <w:rsid w:val="00F62943"/>
    <w:rsid w:val="00F62C68"/>
    <w:rsid w:val="00F62F26"/>
    <w:rsid w:val="00F62FE6"/>
    <w:rsid w:val="00F63926"/>
    <w:rsid w:val="00F63B5F"/>
    <w:rsid w:val="00F64574"/>
    <w:rsid w:val="00F6465D"/>
    <w:rsid w:val="00F64860"/>
    <w:rsid w:val="00F64A19"/>
    <w:rsid w:val="00F64E4D"/>
    <w:rsid w:val="00F64EB4"/>
    <w:rsid w:val="00F64EFF"/>
    <w:rsid w:val="00F655C4"/>
    <w:rsid w:val="00F65AD6"/>
    <w:rsid w:val="00F65D13"/>
    <w:rsid w:val="00F65FFF"/>
    <w:rsid w:val="00F665E2"/>
    <w:rsid w:val="00F66BA8"/>
    <w:rsid w:val="00F66CA9"/>
    <w:rsid w:val="00F66E5F"/>
    <w:rsid w:val="00F66EC0"/>
    <w:rsid w:val="00F66FF2"/>
    <w:rsid w:val="00F6711B"/>
    <w:rsid w:val="00F67243"/>
    <w:rsid w:val="00F674D2"/>
    <w:rsid w:val="00F674DE"/>
    <w:rsid w:val="00F6763C"/>
    <w:rsid w:val="00F67BDC"/>
    <w:rsid w:val="00F67CF3"/>
    <w:rsid w:val="00F70174"/>
    <w:rsid w:val="00F7033F"/>
    <w:rsid w:val="00F709C0"/>
    <w:rsid w:val="00F70B38"/>
    <w:rsid w:val="00F70CA5"/>
    <w:rsid w:val="00F70E98"/>
    <w:rsid w:val="00F711DF"/>
    <w:rsid w:val="00F71354"/>
    <w:rsid w:val="00F715FF"/>
    <w:rsid w:val="00F71AF3"/>
    <w:rsid w:val="00F72324"/>
    <w:rsid w:val="00F72504"/>
    <w:rsid w:val="00F7258A"/>
    <w:rsid w:val="00F7299E"/>
    <w:rsid w:val="00F72C58"/>
    <w:rsid w:val="00F72CB5"/>
    <w:rsid w:val="00F72CEC"/>
    <w:rsid w:val="00F72FAC"/>
    <w:rsid w:val="00F7324C"/>
    <w:rsid w:val="00F73289"/>
    <w:rsid w:val="00F73556"/>
    <w:rsid w:val="00F73636"/>
    <w:rsid w:val="00F7363B"/>
    <w:rsid w:val="00F738F3"/>
    <w:rsid w:val="00F749FC"/>
    <w:rsid w:val="00F74A26"/>
    <w:rsid w:val="00F74B8E"/>
    <w:rsid w:val="00F74D22"/>
    <w:rsid w:val="00F74DE7"/>
    <w:rsid w:val="00F75118"/>
    <w:rsid w:val="00F75124"/>
    <w:rsid w:val="00F7513E"/>
    <w:rsid w:val="00F756E0"/>
    <w:rsid w:val="00F75779"/>
    <w:rsid w:val="00F75B99"/>
    <w:rsid w:val="00F75BBB"/>
    <w:rsid w:val="00F75DBB"/>
    <w:rsid w:val="00F75F58"/>
    <w:rsid w:val="00F760AD"/>
    <w:rsid w:val="00F763AA"/>
    <w:rsid w:val="00F763E6"/>
    <w:rsid w:val="00F76736"/>
    <w:rsid w:val="00F767A6"/>
    <w:rsid w:val="00F76DC6"/>
    <w:rsid w:val="00F771EA"/>
    <w:rsid w:val="00F775C3"/>
    <w:rsid w:val="00F77ADF"/>
    <w:rsid w:val="00F77B97"/>
    <w:rsid w:val="00F77BF2"/>
    <w:rsid w:val="00F77F45"/>
    <w:rsid w:val="00F77FDC"/>
    <w:rsid w:val="00F8007E"/>
    <w:rsid w:val="00F80290"/>
    <w:rsid w:val="00F802D9"/>
    <w:rsid w:val="00F80469"/>
    <w:rsid w:val="00F80698"/>
    <w:rsid w:val="00F806A2"/>
    <w:rsid w:val="00F80739"/>
    <w:rsid w:val="00F8074E"/>
    <w:rsid w:val="00F808BA"/>
    <w:rsid w:val="00F80C18"/>
    <w:rsid w:val="00F80C38"/>
    <w:rsid w:val="00F80D0F"/>
    <w:rsid w:val="00F80D10"/>
    <w:rsid w:val="00F80EC1"/>
    <w:rsid w:val="00F813D5"/>
    <w:rsid w:val="00F8178B"/>
    <w:rsid w:val="00F8198E"/>
    <w:rsid w:val="00F819AF"/>
    <w:rsid w:val="00F81C8A"/>
    <w:rsid w:val="00F81E1F"/>
    <w:rsid w:val="00F820DB"/>
    <w:rsid w:val="00F821D2"/>
    <w:rsid w:val="00F82437"/>
    <w:rsid w:val="00F82819"/>
    <w:rsid w:val="00F82850"/>
    <w:rsid w:val="00F82890"/>
    <w:rsid w:val="00F8294E"/>
    <w:rsid w:val="00F8298C"/>
    <w:rsid w:val="00F82B05"/>
    <w:rsid w:val="00F82C5B"/>
    <w:rsid w:val="00F83472"/>
    <w:rsid w:val="00F83492"/>
    <w:rsid w:val="00F83673"/>
    <w:rsid w:val="00F8397B"/>
    <w:rsid w:val="00F8437F"/>
    <w:rsid w:val="00F84805"/>
    <w:rsid w:val="00F84966"/>
    <w:rsid w:val="00F84C15"/>
    <w:rsid w:val="00F84D71"/>
    <w:rsid w:val="00F8571D"/>
    <w:rsid w:val="00F85770"/>
    <w:rsid w:val="00F857EB"/>
    <w:rsid w:val="00F85A52"/>
    <w:rsid w:val="00F85A66"/>
    <w:rsid w:val="00F86032"/>
    <w:rsid w:val="00F86BAE"/>
    <w:rsid w:val="00F86D2E"/>
    <w:rsid w:val="00F86FB4"/>
    <w:rsid w:val="00F8752F"/>
    <w:rsid w:val="00F8774E"/>
    <w:rsid w:val="00F879BE"/>
    <w:rsid w:val="00F87B1F"/>
    <w:rsid w:val="00F87C89"/>
    <w:rsid w:val="00F87CF5"/>
    <w:rsid w:val="00F87E19"/>
    <w:rsid w:val="00F90179"/>
    <w:rsid w:val="00F9072D"/>
    <w:rsid w:val="00F907BB"/>
    <w:rsid w:val="00F90D65"/>
    <w:rsid w:val="00F90D87"/>
    <w:rsid w:val="00F90F22"/>
    <w:rsid w:val="00F910E7"/>
    <w:rsid w:val="00F91461"/>
    <w:rsid w:val="00F91605"/>
    <w:rsid w:val="00F9171D"/>
    <w:rsid w:val="00F91A01"/>
    <w:rsid w:val="00F91A88"/>
    <w:rsid w:val="00F91BB2"/>
    <w:rsid w:val="00F91E38"/>
    <w:rsid w:val="00F91F67"/>
    <w:rsid w:val="00F91FB2"/>
    <w:rsid w:val="00F9201F"/>
    <w:rsid w:val="00F92122"/>
    <w:rsid w:val="00F92548"/>
    <w:rsid w:val="00F92CEA"/>
    <w:rsid w:val="00F92F68"/>
    <w:rsid w:val="00F9303D"/>
    <w:rsid w:val="00F93565"/>
    <w:rsid w:val="00F93613"/>
    <w:rsid w:val="00F93EBA"/>
    <w:rsid w:val="00F93F24"/>
    <w:rsid w:val="00F93F99"/>
    <w:rsid w:val="00F941A2"/>
    <w:rsid w:val="00F9422D"/>
    <w:rsid w:val="00F94359"/>
    <w:rsid w:val="00F9464E"/>
    <w:rsid w:val="00F94A3C"/>
    <w:rsid w:val="00F95228"/>
    <w:rsid w:val="00F95286"/>
    <w:rsid w:val="00F954B6"/>
    <w:rsid w:val="00F9588B"/>
    <w:rsid w:val="00F95A1C"/>
    <w:rsid w:val="00F95A3B"/>
    <w:rsid w:val="00F95CFA"/>
    <w:rsid w:val="00F95E36"/>
    <w:rsid w:val="00F96028"/>
    <w:rsid w:val="00F960B4"/>
    <w:rsid w:val="00F964D7"/>
    <w:rsid w:val="00F96749"/>
    <w:rsid w:val="00F96AF0"/>
    <w:rsid w:val="00F96AFD"/>
    <w:rsid w:val="00F96B44"/>
    <w:rsid w:val="00F96DA1"/>
    <w:rsid w:val="00F970E2"/>
    <w:rsid w:val="00F97445"/>
    <w:rsid w:val="00F975F6"/>
    <w:rsid w:val="00F97A87"/>
    <w:rsid w:val="00F97FEF"/>
    <w:rsid w:val="00FA028C"/>
    <w:rsid w:val="00FA0390"/>
    <w:rsid w:val="00FA04D5"/>
    <w:rsid w:val="00FA053E"/>
    <w:rsid w:val="00FA0777"/>
    <w:rsid w:val="00FA07C1"/>
    <w:rsid w:val="00FA0967"/>
    <w:rsid w:val="00FA0F7D"/>
    <w:rsid w:val="00FA1372"/>
    <w:rsid w:val="00FA13B1"/>
    <w:rsid w:val="00FA14DF"/>
    <w:rsid w:val="00FA1666"/>
    <w:rsid w:val="00FA1F8D"/>
    <w:rsid w:val="00FA2042"/>
    <w:rsid w:val="00FA2433"/>
    <w:rsid w:val="00FA25C5"/>
    <w:rsid w:val="00FA2B02"/>
    <w:rsid w:val="00FA2C32"/>
    <w:rsid w:val="00FA34D8"/>
    <w:rsid w:val="00FA37CD"/>
    <w:rsid w:val="00FA3841"/>
    <w:rsid w:val="00FA3C91"/>
    <w:rsid w:val="00FA3D2F"/>
    <w:rsid w:val="00FA3D52"/>
    <w:rsid w:val="00FA3EAD"/>
    <w:rsid w:val="00FA428F"/>
    <w:rsid w:val="00FA437D"/>
    <w:rsid w:val="00FA493A"/>
    <w:rsid w:val="00FA49FA"/>
    <w:rsid w:val="00FA4B8F"/>
    <w:rsid w:val="00FA4DDD"/>
    <w:rsid w:val="00FA53C3"/>
    <w:rsid w:val="00FA5621"/>
    <w:rsid w:val="00FA566B"/>
    <w:rsid w:val="00FA5711"/>
    <w:rsid w:val="00FA5860"/>
    <w:rsid w:val="00FA58CC"/>
    <w:rsid w:val="00FA58F8"/>
    <w:rsid w:val="00FA5A73"/>
    <w:rsid w:val="00FA5C52"/>
    <w:rsid w:val="00FA5F9E"/>
    <w:rsid w:val="00FA66F7"/>
    <w:rsid w:val="00FA6731"/>
    <w:rsid w:val="00FA6880"/>
    <w:rsid w:val="00FA6E52"/>
    <w:rsid w:val="00FA700D"/>
    <w:rsid w:val="00FA73E6"/>
    <w:rsid w:val="00FA76EE"/>
    <w:rsid w:val="00FA7DCD"/>
    <w:rsid w:val="00FA7EDC"/>
    <w:rsid w:val="00FA7F0E"/>
    <w:rsid w:val="00FB0130"/>
    <w:rsid w:val="00FB04D6"/>
    <w:rsid w:val="00FB0569"/>
    <w:rsid w:val="00FB1115"/>
    <w:rsid w:val="00FB1375"/>
    <w:rsid w:val="00FB1633"/>
    <w:rsid w:val="00FB1671"/>
    <w:rsid w:val="00FB179B"/>
    <w:rsid w:val="00FB1BDD"/>
    <w:rsid w:val="00FB1DEF"/>
    <w:rsid w:val="00FB212E"/>
    <w:rsid w:val="00FB2858"/>
    <w:rsid w:val="00FB2C7F"/>
    <w:rsid w:val="00FB31C2"/>
    <w:rsid w:val="00FB31F4"/>
    <w:rsid w:val="00FB3249"/>
    <w:rsid w:val="00FB3C77"/>
    <w:rsid w:val="00FB419F"/>
    <w:rsid w:val="00FB47EB"/>
    <w:rsid w:val="00FB4AE4"/>
    <w:rsid w:val="00FB4CA0"/>
    <w:rsid w:val="00FB508D"/>
    <w:rsid w:val="00FB584E"/>
    <w:rsid w:val="00FB586B"/>
    <w:rsid w:val="00FB5B64"/>
    <w:rsid w:val="00FB6151"/>
    <w:rsid w:val="00FB61FC"/>
    <w:rsid w:val="00FB625D"/>
    <w:rsid w:val="00FB6910"/>
    <w:rsid w:val="00FB69B7"/>
    <w:rsid w:val="00FB6B32"/>
    <w:rsid w:val="00FB7673"/>
    <w:rsid w:val="00FB788E"/>
    <w:rsid w:val="00FB78FD"/>
    <w:rsid w:val="00FB7E92"/>
    <w:rsid w:val="00FB7F72"/>
    <w:rsid w:val="00FB7FBA"/>
    <w:rsid w:val="00FC00AD"/>
    <w:rsid w:val="00FC036D"/>
    <w:rsid w:val="00FC044F"/>
    <w:rsid w:val="00FC04BF"/>
    <w:rsid w:val="00FC04D0"/>
    <w:rsid w:val="00FC0565"/>
    <w:rsid w:val="00FC0980"/>
    <w:rsid w:val="00FC0CFE"/>
    <w:rsid w:val="00FC0D5B"/>
    <w:rsid w:val="00FC0FC2"/>
    <w:rsid w:val="00FC1503"/>
    <w:rsid w:val="00FC157D"/>
    <w:rsid w:val="00FC161D"/>
    <w:rsid w:val="00FC18BF"/>
    <w:rsid w:val="00FC1CD8"/>
    <w:rsid w:val="00FC1CF7"/>
    <w:rsid w:val="00FC21B1"/>
    <w:rsid w:val="00FC2322"/>
    <w:rsid w:val="00FC27A2"/>
    <w:rsid w:val="00FC2848"/>
    <w:rsid w:val="00FC2C2C"/>
    <w:rsid w:val="00FC2D7A"/>
    <w:rsid w:val="00FC3181"/>
    <w:rsid w:val="00FC3597"/>
    <w:rsid w:val="00FC370B"/>
    <w:rsid w:val="00FC371F"/>
    <w:rsid w:val="00FC3722"/>
    <w:rsid w:val="00FC376A"/>
    <w:rsid w:val="00FC38C9"/>
    <w:rsid w:val="00FC38CC"/>
    <w:rsid w:val="00FC39B8"/>
    <w:rsid w:val="00FC3A7D"/>
    <w:rsid w:val="00FC3AE6"/>
    <w:rsid w:val="00FC3CD4"/>
    <w:rsid w:val="00FC3D85"/>
    <w:rsid w:val="00FC3ECD"/>
    <w:rsid w:val="00FC4142"/>
    <w:rsid w:val="00FC417C"/>
    <w:rsid w:val="00FC4466"/>
    <w:rsid w:val="00FC4B28"/>
    <w:rsid w:val="00FC4EE2"/>
    <w:rsid w:val="00FC551B"/>
    <w:rsid w:val="00FC58A2"/>
    <w:rsid w:val="00FC62B9"/>
    <w:rsid w:val="00FC62D1"/>
    <w:rsid w:val="00FC6357"/>
    <w:rsid w:val="00FC64C7"/>
    <w:rsid w:val="00FC6670"/>
    <w:rsid w:val="00FC6702"/>
    <w:rsid w:val="00FC6C6C"/>
    <w:rsid w:val="00FC6EF9"/>
    <w:rsid w:val="00FC6F3E"/>
    <w:rsid w:val="00FC7237"/>
    <w:rsid w:val="00FC743D"/>
    <w:rsid w:val="00FC7637"/>
    <w:rsid w:val="00FC76CD"/>
    <w:rsid w:val="00FC7906"/>
    <w:rsid w:val="00FC79C7"/>
    <w:rsid w:val="00FC7F65"/>
    <w:rsid w:val="00FD0285"/>
    <w:rsid w:val="00FD02A3"/>
    <w:rsid w:val="00FD0DB4"/>
    <w:rsid w:val="00FD1372"/>
    <w:rsid w:val="00FD1594"/>
    <w:rsid w:val="00FD1922"/>
    <w:rsid w:val="00FD19B2"/>
    <w:rsid w:val="00FD1A48"/>
    <w:rsid w:val="00FD1DA6"/>
    <w:rsid w:val="00FD1EC5"/>
    <w:rsid w:val="00FD2213"/>
    <w:rsid w:val="00FD25EE"/>
    <w:rsid w:val="00FD260E"/>
    <w:rsid w:val="00FD2672"/>
    <w:rsid w:val="00FD27C2"/>
    <w:rsid w:val="00FD2C61"/>
    <w:rsid w:val="00FD2D4B"/>
    <w:rsid w:val="00FD2D8E"/>
    <w:rsid w:val="00FD3232"/>
    <w:rsid w:val="00FD357E"/>
    <w:rsid w:val="00FD40A5"/>
    <w:rsid w:val="00FD4754"/>
    <w:rsid w:val="00FD4CDB"/>
    <w:rsid w:val="00FD50B2"/>
    <w:rsid w:val="00FD54DE"/>
    <w:rsid w:val="00FD5708"/>
    <w:rsid w:val="00FD577A"/>
    <w:rsid w:val="00FD5852"/>
    <w:rsid w:val="00FD5ED6"/>
    <w:rsid w:val="00FD6F2B"/>
    <w:rsid w:val="00FD6FAE"/>
    <w:rsid w:val="00FD701E"/>
    <w:rsid w:val="00FD713F"/>
    <w:rsid w:val="00FD74FE"/>
    <w:rsid w:val="00FD765A"/>
    <w:rsid w:val="00FD7A70"/>
    <w:rsid w:val="00FD7CC0"/>
    <w:rsid w:val="00FD7D0B"/>
    <w:rsid w:val="00FE00D9"/>
    <w:rsid w:val="00FE015E"/>
    <w:rsid w:val="00FE0163"/>
    <w:rsid w:val="00FE03F2"/>
    <w:rsid w:val="00FE19F9"/>
    <w:rsid w:val="00FE1C5D"/>
    <w:rsid w:val="00FE21F9"/>
    <w:rsid w:val="00FE2233"/>
    <w:rsid w:val="00FE22FC"/>
    <w:rsid w:val="00FE2306"/>
    <w:rsid w:val="00FE23BF"/>
    <w:rsid w:val="00FE23D9"/>
    <w:rsid w:val="00FE26C0"/>
    <w:rsid w:val="00FE283A"/>
    <w:rsid w:val="00FE2866"/>
    <w:rsid w:val="00FE2F6D"/>
    <w:rsid w:val="00FE2FE1"/>
    <w:rsid w:val="00FE33C0"/>
    <w:rsid w:val="00FE3F6B"/>
    <w:rsid w:val="00FE43DD"/>
    <w:rsid w:val="00FE446D"/>
    <w:rsid w:val="00FE49F1"/>
    <w:rsid w:val="00FE49FA"/>
    <w:rsid w:val="00FE4A42"/>
    <w:rsid w:val="00FE4DF5"/>
    <w:rsid w:val="00FE54E4"/>
    <w:rsid w:val="00FE5539"/>
    <w:rsid w:val="00FE5760"/>
    <w:rsid w:val="00FE5E01"/>
    <w:rsid w:val="00FE5E29"/>
    <w:rsid w:val="00FE5F15"/>
    <w:rsid w:val="00FE5F9F"/>
    <w:rsid w:val="00FE604C"/>
    <w:rsid w:val="00FE657E"/>
    <w:rsid w:val="00FE67A0"/>
    <w:rsid w:val="00FE687F"/>
    <w:rsid w:val="00FE6A64"/>
    <w:rsid w:val="00FE6BFD"/>
    <w:rsid w:val="00FE6D0F"/>
    <w:rsid w:val="00FE6E42"/>
    <w:rsid w:val="00FE6EDD"/>
    <w:rsid w:val="00FE7455"/>
    <w:rsid w:val="00FE75AC"/>
    <w:rsid w:val="00FE7A02"/>
    <w:rsid w:val="00FE7D1E"/>
    <w:rsid w:val="00FEC9B1"/>
    <w:rsid w:val="00FF025D"/>
    <w:rsid w:val="00FF032E"/>
    <w:rsid w:val="00FF04FA"/>
    <w:rsid w:val="00FF08A5"/>
    <w:rsid w:val="00FF0958"/>
    <w:rsid w:val="00FF109A"/>
    <w:rsid w:val="00FF1291"/>
    <w:rsid w:val="00FF15C4"/>
    <w:rsid w:val="00FF1641"/>
    <w:rsid w:val="00FF21D5"/>
    <w:rsid w:val="00FF2888"/>
    <w:rsid w:val="00FF2997"/>
    <w:rsid w:val="00FF2B04"/>
    <w:rsid w:val="00FF2B28"/>
    <w:rsid w:val="00FF2E3B"/>
    <w:rsid w:val="00FF31E3"/>
    <w:rsid w:val="00FF36F1"/>
    <w:rsid w:val="00FF3E1B"/>
    <w:rsid w:val="00FF430F"/>
    <w:rsid w:val="00FF45C9"/>
    <w:rsid w:val="00FF4B1E"/>
    <w:rsid w:val="00FF4C8A"/>
    <w:rsid w:val="00FF50F0"/>
    <w:rsid w:val="00FF5339"/>
    <w:rsid w:val="00FF53E9"/>
    <w:rsid w:val="00FF547C"/>
    <w:rsid w:val="00FF563D"/>
    <w:rsid w:val="00FF5777"/>
    <w:rsid w:val="00FF598C"/>
    <w:rsid w:val="00FF5A0E"/>
    <w:rsid w:val="00FF5B69"/>
    <w:rsid w:val="00FF5DB5"/>
    <w:rsid w:val="00FF5E7B"/>
    <w:rsid w:val="00FF6816"/>
    <w:rsid w:val="00FF68EF"/>
    <w:rsid w:val="00FF6C12"/>
    <w:rsid w:val="00FF6C3F"/>
    <w:rsid w:val="00FF6D45"/>
    <w:rsid w:val="00FF7297"/>
    <w:rsid w:val="00FF7564"/>
    <w:rsid w:val="00FF76D3"/>
    <w:rsid w:val="00FF781B"/>
    <w:rsid w:val="00FF7A0D"/>
    <w:rsid w:val="00FF7B5D"/>
    <w:rsid w:val="00FF7D8B"/>
    <w:rsid w:val="010F3A3F"/>
    <w:rsid w:val="0129DDE9"/>
    <w:rsid w:val="012CB866"/>
    <w:rsid w:val="0130CDF3"/>
    <w:rsid w:val="0137F091"/>
    <w:rsid w:val="0140D231"/>
    <w:rsid w:val="01454E5E"/>
    <w:rsid w:val="0154BFDB"/>
    <w:rsid w:val="017AD7A6"/>
    <w:rsid w:val="01FCDA34"/>
    <w:rsid w:val="020735CF"/>
    <w:rsid w:val="02129A50"/>
    <w:rsid w:val="02159257"/>
    <w:rsid w:val="0224DC73"/>
    <w:rsid w:val="0231F84A"/>
    <w:rsid w:val="025829CA"/>
    <w:rsid w:val="02601B6F"/>
    <w:rsid w:val="0286858B"/>
    <w:rsid w:val="0289BC6F"/>
    <w:rsid w:val="028F5A10"/>
    <w:rsid w:val="02C902F2"/>
    <w:rsid w:val="02D48DC3"/>
    <w:rsid w:val="02DC308A"/>
    <w:rsid w:val="02FD3D4F"/>
    <w:rsid w:val="0302F1A5"/>
    <w:rsid w:val="0359D6A4"/>
    <w:rsid w:val="035CCB87"/>
    <w:rsid w:val="0362F250"/>
    <w:rsid w:val="036FF899"/>
    <w:rsid w:val="0372A4F2"/>
    <w:rsid w:val="037C99FA"/>
    <w:rsid w:val="038260D6"/>
    <w:rsid w:val="0398DD66"/>
    <w:rsid w:val="03AA4B0E"/>
    <w:rsid w:val="03C7A150"/>
    <w:rsid w:val="03C96012"/>
    <w:rsid w:val="03C997DB"/>
    <w:rsid w:val="03D2C5DC"/>
    <w:rsid w:val="03DEA516"/>
    <w:rsid w:val="03F5FF98"/>
    <w:rsid w:val="0408D4B0"/>
    <w:rsid w:val="040A40D7"/>
    <w:rsid w:val="042D01E7"/>
    <w:rsid w:val="043EBFC5"/>
    <w:rsid w:val="045F0B5F"/>
    <w:rsid w:val="04605312"/>
    <w:rsid w:val="0465EC77"/>
    <w:rsid w:val="048B46ED"/>
    <w:rsid w:val="04955890"/>
    <w:rsid w:val="049DA4C5"/>
    <w:rsid w:val="04C12191"/>
    <w:rsid w:val="04CE7E26"/>
    <w:rsid w:val="04DBD620"/>
    <w:rsid w:val="04FB39D1"/>
    <w:rsid w:val="051F4410"/>
    <w:rsid w:val="052DF0E8"/>
    <w:rsid w:val="05B4BC59"/>
    <w:rsid w:val="05D1A2C3"/>
    <w:rsid w:val="05EC63E7"/>
    <w:rsid w:val="05F83258"/>
    <w:rsid w:val="06066FEF"/>
    <w:rsid w:val="0640C65F"/>
    <w:rsid w:val="06592CE2"/>
    <w:rsid w:val="065E25B2"/>
    <w:rsid w:val="06693C50"/>
    <w:rsid w:val="06839714"/>
    <w:rsid w:val="0689FE9A"/>
    <w:rsid w:val="068BF353"/>
    <w:rsid w:val="06A87166"/>
    <w:rsid w:val="06AF6D9E"/>
    <w:rsid w:val="06BB76FB"/>
    <w:rsid w:val="06D627CE"/>
    <w:rsid w:val="06DDFA15"/>
    <w:rsid w:val="06FE21AA"/>
    <w:rsid w:val="07068E12"/>
    <w:rsid w:val="070AE2AB"/>
    <w:rsid w:val="071A548A"/>
    <w:rsid w:val="077F24E5"/>
    <w:rsid w:val="0787D2AB"/>
    <w:rsid w:val="0787E39C"/>
    <w:rsid w:val="0789FEED"/>
    <w:rsid w:val="07983BC0"/>
    <w:rsid w:val="07AE3D2C"/>
    <w:rsid w:val="07C1BEFA"/>
    <w:rsid w:val="07CDAA46"/>
    <w:rsid w:val="07E3A930"/>
    <w:rsid w:val="07F2D02A"/>
    <w:rsid w:val="07F33E93"/>
    <w:rsid w:val="08562430"/>
    <w:rsid w:val="0865AABB"/>
    <w:rsid w:val="0867CC11"/>
    <w:rsid w:val="0870492D"/>
    <w:rsid w:val="08B84431"/>
    <w:rsid w:val="08CBE34B"/>
    <w:rsid w:val="08E1465C"/>
    <w:rsid w:val="08EB8B02"/>
    <w:rsid w:val="08EC4C0B"/>
    <w:rsid w:val="08ED7621"/>
    <w:rsid w:val="0902B7CA"/>
    <w:rsid w:val="09080B1C"/>
    <w:rsid w:val="090FF0A9"/>
    <w:rsid w:val="092206D9"/>
    <w:rsid w:val="0949ABA6"/>
    <w:rsid w:val="097B4B64"/>
    <w:rsid w:val="09822FE9"/>
    <w:rsid w:val="098D0ADE"/>
    <w:rsid w:val="099FD797"/>
    <w:rsid w:val="09C315B0"/>
    <w:rsid w:val="09F2E804"/>
    <w:rsid w:val="0A07B623"/>
    <w:rsid w:val="0A0BDDB0"/>
    <w:rsid w:val="0A0FE6BE"/>
    <w:rsid w:val="0A1131A9"/>
    <w:rsid w:val="0A23B5B5"/>
    <w:rsid w:val="0A4036CF"/>
    <w:rsid w:val="0A9F20B8"/>
    <w:rsid w:val="0AAFB84F"/>
    <w:rsid w:val="0AB1E72D"/>
    <w:rsid w:val="0AE0A602"/>
    <w:rsid w:val="0AF33C19"/>
    <w:rsid w:val="0B0A8518"/>
    <w:rsid w:val="0B12E7D8"/>
    <w:rsid w:val="0B4D9190"/>
    <w:rsid w:val="0B58425D"/>
    <w:rsid w:val="0B9821CD"/>
    <w:rsid w:val="0BA0187C"/>
    <w:rsid w:val="0BB658D3"/>
    <w:rsid w:val="0BCC06DE"/>
    <w:rsid w:val="0BD9D672"/>
    <w:rsid w:val="0BEF8EA5"/>
    <w:rsid w:val="0BF6597E"/>
    <w:rsid w:val="0BFE893E"/>
    <w:rsid w:val="0C3E4DB7"/>
    <w:rsid w:val="0C3FABDE"/>
    <w:rsid w:val="0C3FF9A1"/>
    <w:rsid w:val="0C5C37D7"/>
    <w:rsid w:val="0CA181E5"/>
    <w:rsid w:val="0CA85B4C"/>
    <w:rsid w:val="0CBA606C"/>
    <w:rsid w:val="0CE26011"/>
    <w:rsid w:val="0D02F0A2"/>
    <w:rsid w:val="0D1AAEB5"/>
    <w:rsid w:val="0D2EF847"/>
    <w:rsid w:val="0D5F9FC1"/>
    <w:rsid w:val="0D63CF69"/>
    <w:rsid w:val="0D709BA1"/>
    <w:rsid w:val="0D8BFC5A"/>
    <w:rsid w:val="0D97ADDD"/>
    <w:rsid w:val="0DA11F46"/>
    <w:rsid w:val="0DB96C89"/>
    <w:rsid w:val="0DC58522"/>
    <w:rsid w:val="0DD3F75F"/>
    <w:rsid w:val="0DD5F6AB"/>
    <w:rsid w:val="0DE20677"/>
    <w:rsid w:val="0E022500"/>
    <w:rsid w:val="0E1DB5CF"/>
    <w:rsid w:val="0E31168D"/>
    <w:rsid w:val="0E3993E2"/>
    <w:rsid w:val="0E451F12"/>
    <w:rsid w:val="0E52EF58"/>
    <w:rsid w:val="0E65E9FE"/>
    <w:rsid w:val="0E6F8BC9"/>
    <w:rsid w:val="0EAA89A5"/>
    <w:rsid w:val="0EBA0350"/>
    <w:rsid w:val="0EEB9BF4"/>
    <w:rsid w:val="0EF19041"/>
    <w:rsid w:val="0EF6E894"/>
    <w:rsid w:val="0F033669"/>
    <w:rsid w:val="0F257EB1"/>
    <w:rsid w:val="0F64C973"/>
    <w:rsid w:val="0F768BD6"/>
    <w:rsid w:val="0F807885"/>
    <w:rsid w:val="0F854491"/>
    <w:rsid w:val="0F8916F6"/>
    <w:rsid w:val="0F9907CE"/>
    <w:rsid w:val="0FD2EAD1"/>
    <w:rsid w:val="0FF8E59D"/>
    <w:rsid w:val="100A315A"/>
    <w:rsid w:val="1017A198"/>
    <w:rsid w:val="101D156F"/>
    <w:rsid w:val="10485EBA"/>
    <w:rsid w:val="104A9C35"/>
    <w:rsid w:val="1077A88F"/>
    <w:rsid w:val="10A0CDFB"/>
    <w:rsid w:val="10AB5D29"/>
    <w:rsid w:val="10BC12A8"/>
    <w:rsid w:val="10D2EE28"/>
    <w:rsid w:val="10DB0ACB"/>
    <w:rsid w:val="10FE7911"/>
    <w:rsid w:val="110634EF"/>
    <w:rsid w:val="111ADA55"/>
    <w:rsid w:val="115D745F"/>
    <w:rsid w:val="1164893D"/>
    <w:rsid w:val="1189B5BC"/>
    <w:rsid w:val="11D5502E"/>
    <w:rsid w:val="11E7C6FF"/>
    <w:rsid w:val="12260508"/>
    <w:rsid w:val="122A27FB"/>
    <w:rsid w:val="123CDC65"/>
    <w:rsid w:val="125F95CE"/>
    <w:rsid w:val="12636AAE"/>
    <w:rsid w:val="127085D2"/>
    <w:rsid w:val="12837F84"/>
    <w:rsid w:val="12881411"/>
    <w:rsid w:val="12983A7B"/>
    <w:rsid w:val="129E5CB3"/>
    <w:rsid w:val="12BCA5AD"/>
    <w:rsid w:val="12C0A6EB"/>
    <w:rsid w:val="12C34691"/>
    <w:rsid w:val="12CD3691"/>
    <w:rsid w:val="12D87336"/>
    <w:rsid w:val="12E26E0C"/>
    <w:rsid w:val="12E6EA6D"/>
    <w:rsid w:val="12F06953"/>
    <w:rsid w:val="12F8A96A"/>
    <w:rsid w:val="1324E9A7"/>
    <w:rsid w:val="1326D9BA"/>
    <w:rsid w:val="133E4B34"/>
    <w:rsid w:val="135BFEF7"/>
    <w:rsid w:val="135EAD8C"/>
    <w:rsid w:val="13745A8B"/>
    <w:rsid w:val="139D028E"/>
    <w:rsid w:val="13C43E8E"/>
    <w:rsid w:val="13CBBFFA"/>
    <w:rsid w:val="13F5CC91"/>
    <w:rsid w:val="14245618"/>
    <w:rsid w:val="142E5DD6"/>
    <w:rsid w:val="143B2095"/>
    <w:rsid w:val="1447DBCB"/>
    <w:rsid w:val="1466ACB5"/>
    <w:rsid w:val="146B93BD"/>
    <w:rsid w:val="14952153"/>
    <w:rsid w:val="14C40FB0"/>
    <w:rsid w:val="14FA5D27"/>
    <w:rsid w:val="1514FDA4"/>
    <w:rsid w:val="15295E0B"/>
    <w:rsid w:val="1542B6CF"/>
    <w:rsid w:val="154A64C4"/>
    <w:rsid w:val="156C91A8"/>
    <w:rsid w:val="159DD99B"/>
    <w:rsid w:val="15B381DE"/>
    <w:rsid w:val="15D9BD46"/>
    <w:rsid w:val="15F372DD"/>
    <w:rsid w:val="15FD94BB"/>
    <w:rsid w:val="16008E01"/>
    <w:rsid w:val="16014B8C"/>
    <w:rsid w:val="1639ABFC"/>
    <w:rsid w:val="16513021"/>
    <w:rsid w:val="1654A5D5"/>
    <w:rsid w:val="168B713C"/>
    <w:rsid w:val="169A436C"/>
    <w:rsid w:val="169D7889"/>
    <w:rsid w:val="169E54C8"/>
    <w:rsid w:val="16BE73AF"/>
    <w:rsid w:val="16E16C5B"/>
    <w:rsid w:val="16E92A37"/>
    <w:rsid w:val="170AFA3A"/>
    <w:rsid w:val="17218402"/>
    <w:rsid w:val="17297E20"/>
    <w:rsid w:val="173B675F"/>
    <w:rsid w:val="17716703"/>
    <w:rsid w:val="1780B848"/>
    <w:rsid w:val="17868BE4"/>
    <w:rsid w:val="1788294A"/>
    <w:rsid w:val="1788AB6A"/>
    <w:rsid w:val="17910CA3"/>
    <w:rsid w:val="179C0033"/>
    <w:rsid w:val="179F3709"/>
    <w:rsid w:val="17D5A350"/>
    <w:rsid w:val="17E48494"/>
    <w:rsid w:val="17ED97FA"/>
    <w:rsid w:val="18035787"/>
    <w:rsid w:val="18173C78"/>
    <w:rsid w:val="18290334"/>
    <w:rsid w:val="185340E2"/>
    <w:rsid w:val="1859AAFD"/>
    <w:rsid w:val="18615AAF"/>
    <w:rsid w:val="187A689C"/>
    <w:rsid w:val="188FBD61"/>
    <w:rsid w:val="1897A939"/>
    <w:rsid w:val="18B1273A"/>
    <w:rsid w:val="18BBBF78"/>
    <w:rsid w:val="18C9B680"/>
    <w:rsid w:val="18CDF0E7"/>
    <w:rsid w:val="18F693B8"/>
    <w:rsid w:val="18FBAE2E"/>
    <w:rsid w:val="19206840"/>
    <w:rsid w:val="19A43496"/>
    <w:rsid w:val="19A72344"/>
    <w:rsid w:val="19AB3888"/>
    <w:rsid w:val="19B96FF5"/>
    <w:rsid w:val="19C11C62"/>
    <w:rsid w:val="19E0CC19"/>
    <w:rsid w:val="19E25CA8"/>
    <w:rsid w:val="19E6A730"/>
    <w:rsid w:val="1A116473"/>
    <w:rsid w:val="1A14FC29"/>
    <w:rsid w:val="1A19908B"/>
    <w:rsid w:val="1A19B119"/>
    <w:rsid w:val="1A1C8641"/>
    <w:rsid w:val="1A425EDA"/>
    <w:rsid w:val="1A54B6A9"/>
    <w:rsid w:val="1A60A090"/>
    <w:rsid w:val="1AD9155D"/>
    <w:rsid w:val="1AE1A00C"/>
    <w:rsid w:val="1AE6DBEE"/>
    <w:rsid w:val="1AF0CA4C"/>
    <w:rsid w:val="1B3E6BB1"/>
    <w:rsid w:val="1B589B2E"/>
    <w:rsid w:val="1B85B4FD"/>
    <w:rsid w:val="1B921439"/>
    <w:rsid w:val="1B98B70D"/>
    <w:rsid w:val="1B9BF9FD"/>
    <w:rsid w:val="1BA9B615"/>
    <w:rsid w:val="1BBE7A43"/>
    <w:rsid w:val="1BF9E57D"/>
    <w:rsid w:val="1C0A1E2F"/>
    <w:rsid w:val="1C21B981"/>
    <w:rsid w:val="1C8B66C1"/>
    <w:rsid w:val="1C933A07"/>
    <w:rsid w:val="1CA5F0B5"/>
    <w:rsid w:val="1D0B37E7"/>
    <w:rsid w:val="1D1453C5"/>
    <w:rsid w:val="1D339B7E"/>
    <w:rsid w:val="1D3C4E5F"/>
    <w:rsid w:val="1D4A5BE9"/>
    <w:rsid w:val="1D567754"/>
    <w:rsid w:val="1D730507"/>
    <w:rsid w:val="1D89D164"/>
    <w:rsid w:val="1DCCC0E8"/>
    <w:rsid w:val="1DF01684"/>
    <w:rsid w:val="1E3801D0"/>
    <w:rsid w:val="1E532D03"/>
    <w:rsid w:val="1E5401B4"/>
    <w:rsid w:val="1E7BE198"/>
    <w:rsid w:val="1EAC2570"/>
    <w:rsid w:val="1ED63475"/>
    <w:rsid w:val="1ED7E606"/>
    <w:rsid w:val="1EEE8211"/>
    <w:rsid w:val="1EEF8435"/>
    <w:rsid w:val="1EF40B70"/>
    <w:rsid w:val="1F033086"/>
    <w:rsid w:val="1F0B2285"/>
    <w:rsid w:val="1F11C8C7"/>
    <w:rsid w:val="1F18F377"/>
    <w:rsid w:val="1F2AB35E"/>
    <w:rsid w:val="1F5DB659"/>
    <w:rsid w:val="1F8A959D"/>
    <w:rsid w:val="1F8BD57A"/>
    <w:rsid w:val="1F8CC691"/>
    <w:rsid w:val="1F9EF7E8"/>
    <w:rsid w:val="1FB7E6E1"/>
    <w:rsid w:val="1FF81267"/>
    <w:rsid w:val="200263D0"/>
    <w:rsid w:val="201BB705"/>
    <w:rsid w:val="207AF124"/>
    <w:rsid w:val="209168C7"/>
    <w:rsid w:val="20AF6D26"/>
    <w:rsid w:val="20C16EE1"/>
    <w:rsid w:val="20C2CBEB"/>
    <w:rsid w:val="20CFE751"/>
    <w:rsid w:val="20D92910"/>
    <w:rsid w:val="20E860B8"/>
    <w:rsid w:val="20F945CD"/>
    <w:rsid w:val="210DDFCB"/>
    <w:rsid w:val="210FAEA5"/>
    <w:rsid w:val="21522D65"/>
    <w:rsid w:val="2153637C"/>
    <w:rsid w:val="2160510F"/>
    <w:rsid w:val="2166385B"/>
    <w:rsid w:val="2182DD28"/>
    <w:rsid w:val="21897F91"/>
    <w:rsid w:val="21971FB1"/>
    <w:rsid w:val="219913D6"/>
    <w:rsid w:val="21A122D7"/>
    <w:rsid w:val="21AEF8CB"/>
    <w:rsid w:val="21B03253"/>
    <w:rsid w:val="21DD7E4E"/>
    <w:rsid w:val="21F29891"/>
    <w:rsid w:val="21F973CA"/>
    <w:rsid w:val="22143044"/>
    <w:rsid w:val="22303F50"/>
    <w:rsid w:val="223B6A25"/>
    <w:rsid w:val="223C3FAA"/>
    <w:rsid w:val="22606965"/>
    <w:rsid w:val="2263AD86"/>
    <w:rsid w:val="22760171"/>
    <w:rsid w:val="22C97E47"/>
    <w:rsid w:val="22E90F7B"/>
    <w:rsid w:val="22F01A0A"/>
    <w:rsid w:val="22FAC91C"/>
    <w:rsid w:val="22FBE9F9"/>
    <w:rsid w:val="230BE01D"/>
    <w:rsid w:val="23165126"/>
    <w:rsid w:val="23176E53"/>
    <w:rsid w:val="231D81E2"/>
    <w:rsid w:val="23213977"/>
    <w:rsid w:val="234165B4"/>
    <w:rsid w:val="23487C27"/>
    <w:rsid w:val="235A2353"/>
    <w:rsid w:val="2376BDB7"/>
    <w:rsid w:val="2384D2A2"/>
    <w:rsid w:val="23B187A6"/>
    <w:rsid w:val="23C65A62"/>
    <w:rsid w:val="23CCDD45"/>
    <w:rsid w:val="241108BB"/>
    <w:rsid w:val="242BC849"/>
    <w:rsid w:val="2442B8B0"/>
    <w:rsid w:val="244B8608"/>
    <w:rsid w:val="24988D8F"/>
    <w:rsid w:val="24A0273C"/>
    <w:rsid w:val="24B3315A"/>
    <w:rsid w:val="24BFA588"/>
    <w:rsid w:val="24C6EFA1"/>
    <w:rsid w:val="24E4B2E5"/>
    <w:rsid w:val="24F93527"/>
    <w:rsid w:val="25036F82"/>
    <w:rsid w:val="25145F2E"/>
    <w:rsid w:val="251FBF2E"/>
    <w:rsid w:val="2522A068"/>
    <w:rsid w:val="253EA202"/>
    <w:rsid w:val="254832A0"/>
    <w:rsid w:val="2595D729"/>
    <w:rsid w:val="25EC9786"/>
    <w:rsid w:val="25F3D25B"/>
    <w:rsid w:val="262E7EDF"/>
    <w:rsid w:val="2645B976"/>
    <w:rsid w:val="26481DBE"/>
    <w:rsid w:val="264BCEA9"/>
    <w:rsid w:val="266389AF"/>
    <w:rsid w:val="268A0E49"/>
    <w:rsid w:val="26B69FDD"/>
    <w:rsid w:val="26B9A020"/>
    <w:rsid w:val="26C6A453"/>
    <w:rsid w:val="26D8C8E3"/>
    <w:rsid w:val="26E4C18C"/>
    <w:rsid w:val="26EEC0C6"/>
    <w:rsid w:val="2716BF10"/>
    <w:rsid w:val="271FAF8E"/>
    <w:rsid w:val="27660BA3"/>
    <w:rsid w:val="276855A6"/>
    <w:rsid w:val="2768DB41"/>
    <w:rsid w:val="279F2330"/>
    <w:rsid w:val="27ACD1C0"/>
    <w:rsid w:val="27D734F4"/>
    <w:rsid w:val="27E0C0A9"/>
    <w:rsid w:val="27F8DC3F"/>
    <w:rsid w:val="27FBEAFC"/>
    <w:rsid w:val="282347AD"/>
    <w:rsid w:val="28470A7F"/>
    <w:rsid w:val="2856CCD4"/>
    <w:rsid w:val="28608B5A"/>
    <w:rsid w:val="28643973"/>
    <w:rsid w:val="28710917"/>
    <w:rsid w:val="28722A0F"/>
    <w:rsid w:val="288D85AF"/>
    <w:rsid w:val="28A212A5"/>
    <w:rsid w:val="28E15818"/>
    <w:rsid w:val="28F725B4"/>
    <w:rsid w:val="290DAA13"/>
    <w:rsid w:val="29149790"/>
    <w:rsid w:val="292BD2DB"/>
    <w:rsid w:val="296C0748"/>
    <w:rsid w:val="2982A283"/>
    <w:rsid w:val="2998A441"/>
    <w:rsid w:val="29ABA298"/>
    <w:rsid w:val="29C8D200"/>
    <w:rsid w:val="2A07C30B"/>
    <w:rsid w:val="2A1AD9D1"/>
    <w:rsid w:val="2A1E2E4B"/>
    <w:rsid w:val="2A39CB04"/>
    <w:rsid w:val="2A48E526"/>
    <w:rsid w:val="2A4F8E17"/>
    <w:rsid w:val="2A832170"/>
    <w:rsid w:val="2A97FA16"/>
    <w:rsid w:val="2A9C480A"/>
    <w:rsid w:val="2AAB4F83"/>
    <w:rsid w:val="2AE99BF1"/>
    <w:rsid w:val="2B0D1B8C"/>
    <w:rsid w:val="2B310E81"/>
    <w:rsid w:val="2B548D5D"/>
    <w:rsid w:val="2B82891C"/>
    <w:rsid w:val="2BA49A23"/>
    <w:rsid w:val="2BB4DDC7"/>
    <w:rsid w:val="2BC44E45"/>
    <w:rsid w:val="2BCEB521"/>
    <w:rsid w:val="2C4DEDEA"/>
    <w:rsid w:val="2C6AC246"/>
    <w:rsid w:val="2C99FD47"/>
    <w:rsid w:val="2CA57106"/>
    <w:rsid w:val="2CC55000"/>
    <w:rsid w:val="2CDD33AE"/>
    <w:rsid w:val="2CE44471"/>
    <w:rsid w:val="2CED01BD"/>
    <w:rsid w:val="2CF23754"/>
    <w:rsid w:val="2CF41F10"/>
    <w:rsid w:val="2CF59831"/>
    <w:rsid w:val="2D058ECA"/>
    <w:rsid w:val="2D138A12"/>
    <w:rsid w:val="2D23A122"/>
    <w:rsid w:val="2D273F88"/>
    <w:rsid w:val="2D3FD30C"/>
    <w:rsid w:val="2D9541FC"/>
    <w:rsid w:val="2D9BCE47"/>
    <w:rsid w:val="2DAEED6B"/>
    <w:rsid w:val="2DB280C9"/>
    <w:rsid w:val="2DBA6444"/>
    <w:rsid w:val="2DBD1722"/>
    <w:rsid w:val="2DDB9DD1"/>
    <w:rsid w:val="2DE12D07"/>
    <w:rsid w:val="2E36E985"/>
    <w:rsid w:val="2E40542F"/>
    <w:rsid w:val="2E4E8F5C"/>
    <w:rsid w:val="2E6EFC62"/>
    <w:rsid w:val="2E950E4F"/>
    <w:rsid w:val="2E960DB7"/>
    <w:rsid w:val="2E9F4728"/>
    <w:rsid w:val="2ED8A08F"/>
    <w:rsid w:val="2EEEDE38"/>
    <w:rsid w:val="2EEEF420"/>
    <w:rsid w:val="2F0A5720"/>
    <w:rsid w:val="2F17B410"/>
    <w:rsid w:val="2F42D373"/>
    <w:rsid w:val="2F5E4336"/>
    <w:rsid w:val="2F70889D"/>
    <w:rsid w:val="2F732A32"/>
    <w:rsid w:val="2F83CE98"/>
    <w:rsid w:val="2F85E249"/>
    <w:rsid w:val="2F9203E3"/>
    <w:rsid w:val="2FA6F6BD"/>
    <w:rsid w:val="2FA8FBA1"/>
    <w:rsid w:val="2FB4BE76"/>
    <w:rsid w:val="2FBDB497"/>
    <w:rsid w:val="2FC6983B"/>
    <w:rsid w:val="2FED5A92"/>
    <w:rsid w:val="2FEF94BF"/>
    <w:rsid w:val="30081686"/>
    <w:rsid w:val="302BF7C4"/>
    <w:rsid w:val="30327CDF"/>
    <w:rsid w:val="303CCD5E"/>
    <w:rsid w:val="30459029"/>
    <w:rsid w:val="30480DD4"/>
    <w:rsid w:val="304DDBF5"/>
    <w:rsid w:val="3057F27D"/>
    <w:rsid w:val="30603704"/>
    <w:rsid w:val="30DFD77C"/>
    <w:rsid w:val="310D6C4D"/>
    <w:rsid w:val="3121D484"/>
    <w:rsid w:val="317D94B0"/>
    <w:rsid w:val="31807356"/>
    <w:rsid w:val="31AC2120"/>
    <w:rsid w:val="31AF524B"/>
    <w:rsid w:val="31C33620"/>
    <w:rsid w:val="31D8E794"/>
    <w:rsid w:val="31E39E09"/>
    <w:rsid w:val="3232BF19"/>
    <w:rsid w:val="324862C1"/>
    <w:rsid w:val="325EF772"/>
    <w:rsid w:val="32822138"/>
    <w:rsid w:val="32870580"/>
    <w:rsid w:val="32967AEA"/>
    <w:rsid w:val="329ED61C"/>
    <w:rsid w:val="32B1B177"/>
    <w:rsid w:val="32B64E2F"/>
    <w:rsid w:val="32DCAB61"/>
    <w:rsid w:val="32F8506C"/>
    <w:rsid w:val="330402FF"/>
    <w:rsid w:val="330624EA"/>
    <w:rsid w:val="331745DA"/>
    <w:rsid w:val="332F5407"/>
    <w:rsid w:val="33313B03"/>
    <w:rsid w:val="334BF379"/>
    <w:rsid w:val="3353D1A4"/>
    <w:rsid w:val="3365EC22"/>
    <w:rsid w:val="337C7B3F"/>
    <w:rsid w:val="3386127C"/>
    <w:rsid w:val="33BB066E"/>
    <w:rsid w:val="33BED307"/>
    <w:rsid w:val="33C0EE52"/>
    <w:rsid w:val="33C2E616"/>
    <w:rsid w:val="33D1D6B6"/>
    <w:rsid w:val="33D82EC8"/>
    <w:rsid w:val="33FF6956"/>
    <w:rsid w:val="3410A67B"/>
    <w:rsid w:val="344C4116"/>
    <w:rsid w:val="34570C1D"/>
    <w:rsid w:val="348BD69B"/>
    <w:rsid w:val="3497B0EB"/>
    <w:rsid w:val="34986CD8"/>
    <w:rsid w:val="349D22FA"/>
    <w:rsid w:val="34EB07AB"/>
    <w:rsid w:val="34ECC170"/>
    <w:rsid w:val="3506018A"/>
    <w:rsid w:val="350B55D2"/>
    <w:rsid w:val="35136ABD"/>
    <w:rsid w:val="352B257E"/>
    <w:rsid w:val="353BDBA1"/>
    <w:rsid w:val="354F9FB6"/>
    <w:rsid w:val="356005A7"/>
    <w:rsid w:val="356FF24E"/>
    <w:rsid w:val="35743393"/>
    <w:rsid w:val="3576B040"/>
    <w:rsid w:val="362F9A7A"/>
    <w:rsid w:val="36544194"/>
    <w:rsid w:val="3687809D"/>
    <w:rsid w:val="3698D4C8"/>
    <w:rsid w:val="36A08CB0"/>
    <w:rsid w:val="36CC340B"/>
    <w:rsid w:val="36DB3EBE"/>
    <w:rsid w:val="36F143BA"/>
    <w:rsid w:val="36FF95AB"/>
    <w:rsid w:val="3729769A"/>
    <w:rsid w:val="3731552F"/>
    <w:rsid w:val="3741C0F9"/>
    <w:rsid w:val="374A054C"/>
    <w:rsid w:val="374BCFA2"/>
    <w:rsid w:val="374F03B2"/>
    <w:rsid w:val="3756CF89"/>
    <w:rsid w:val="37772B5B"/>
    <w:rsid w:val="3778DC6F"/>
    <w:rsid w:val="3786B91D"/>
    <w:rsid w:val="379E42C2"/>
    <w:rsid w:val="37BDD191"/>
    <w:rsid w:val="37C9A8E3"/>
    <w:rsid w:val="37E9F35E"/>
    <w:rsid w:val="3806096E"/>
    <w:rsid w:val="380F5A71"/>
    <w:rsid w:val="381C6F44"/>
    <w:rsid w:val="381F9CD2"/>
    <w:rsid w:val="3889C96D"/>
    <w:rsid w:val="38B75239"/>
    <w:rsid w:val="38BDBF17"/>
    <w:rsid w:val="38FD3770"/>
    <w:rsid w:val="391990CA"/>
    <w:rsid w:val="391BE8FB"/>
    <w:rsid w:val="392348A6"/>
    <w:rsid w:val="3946EB49"/>
    <w:rsid w:val="3979FE37"/>
    <w:rsid w:val="39B0BB98"/>
    <w:rsid w:val="39BD08AF"/>
    <w:rsid w:val="39CC0601"/>
    <w:rsid w:val="39E9A769"/>
    <w:rsid w:val="3A17A311"/>
    <w:rsid w:val="3A2D3406"/>
    <w:rsid w:val="3A511ED8"/>
    <w:rsid w:val="3A715C36"/>
    <w:rsid w:val="3A753932"/>
    <w:rsid w:val="3AC9043B"/>
    <w:rsid w:val="3AC93469"/>
    <w:rsid w:val="3ACFEF37"/>
    <w:rsid w:val="3AEB0E4B"/>
    <w:rsid w:val="3AF7C2B5"/>
    <w:rsid w:val="3AFD4E3B"/>
    <w:rsid w:val="3B03EED7"/>
    <w:rsid w:val="3B064D10"/>
    <w:rsid w:val="3B0AEB32"/>
    <w:rsid w:val="3B166A69"/>
    <w:rsid w:val="3B19D0DF"/>
    <w:rsid w:val="3B65239F"/>
    <w:rsid w:val="3B87696C"/>
    <w:rsid w:val="3B8E3AA2"/>
    <w:rsid w:val="3BB9A4C9"/>
    <w:rsid w:val="3BBF1FA8"/>
    <w:rsid w:val="3BD77FD1"/>
    <w:rsid w:val="3BF9FDF8"/>
    <w:rsid w:val="3C1E4731"/>
    <w:rsid w:val="3C9C3E57"/>
    <w:rsid w:val="3C9FB103"/>
    <w:rsid w:val="3CA49227"/>
    <w:rsid w:val="3CD49594"/>
    <w:rsid w:val="3CECFD1A"/>
    <w:rsid w:val="3D3C377F"/>
    <w:rsid w:val="3D63503F"/>
    <w:rsid w:val="3D6CC28C"/>
    <w:rsid w:val="3D70A75A"/>
    <w:rsid w:val="3DAB3362"/>
    <w:rsid w:val="3DB5EB6B"/>
    <w:rsid w:val="3E0A79BE"/>
    <w:rsid w:val="3E25C382"/>
    <w:rsid w:val="3E31B835"/>
    <w:rsid w:val="3E38B326"/>
    <w:rsid w:val="3E4E8EF6"/>
    <w:rsid w:val="3E6B1EF2"/>
    <w:rsid w:val="3E83CB3B"/>
    <w:rsid w:val="3E994A22"/>
    <w:rsid w:val="3E9ACC23"/>
    <w:rsid w:val="3F020278"/>
    <w:rsid w:val="3F1FD0F6"/>
    <w:rsid w:val="3F3557D4"/>
    <w:rsid w:val="3F564A0F"/>
    <w:rsid w:val="3F95B158"/>
    <w:rsid w:val="3FDF3BCE"/>
    <w:rsid w:val="3FEDB41E"/>
    <w:rsid w:val="403AFD3A"/>
    <w:rsid w:val="40528A69"/>
    <w:rsid w:val="405E06C6"/>
    <w:rsid w:val="40730F81"/>
    <w:rsid w:val="408C90E1"/>
    <w:rsid w:val="40D62E9D"/>
    <w:rsid w:val="40EC9B3D"/>
    <w:rsid w:val="40F114A8"/>
    <w:rsid w:val="40FCD369"/>
    <w:rsid w:val="4131D375"/>
    <w:rsid w:val="4140927C"/>
    <w:rsid w:val="4148E203"/>
    <w:rsid w:val="415C5107"/>
    <w:rsid w:val="41641528"/>
    <w:rsid w:val="41A9F236"/>
    <w:rsid w:val="41AC3839"/>
    <w:rsid w:val="41B2D697"/>
    <w:rsid w:val="41CF4946"/>
    <w:rsid w:val="423D0CC4"/>
    <w:rsid w:val="424C6131"/>
    <w:rsid w:val="424CB288"/>
    <w:rsid w:val="42682E7D"/>
    <w:rsid w:val="426E9349"/>
    <w:rsid w:val="4270FABB"/>
    <w:rsid w:val="42D62C34"/>
    <w:rsid w:val="42D82963"/>
    <w:rsid w:val="42DACF46"/>
    <w:rsid w:val="42E6C620"/>
    <w:rsid w:val="42E7D0A5"/>
    <w:rsid w:val="42E9F20C"/>
    <w:rsid w:val="42FE8A55"/>
    <w:rsid w:val="43024F2D"/>
    <w:rsid w:val="431EF8FE"/>
    <w:rsid w:val="43380374"/>
    <w:rsid w:val="436BDD98"/>
    <w:rsid w:val="4384704B"/>
    <w:rsid w:val="43B3D225"/>
    <w:rsid w:val="43BCACCA"/>
    <w:rsid w:val="43C87E3B"/>
    <w:rsid w:val="43DE95BE"/>
    <w:rsid w:val="4416A4C3"/>
    <w:rsid w:val="445CCAA2"/>
    <w:rsid w:val="4468D63A"/>
    <w:rsid w:val="449B9076"/>
    <w:rsid w:val="44B4337B"/>
    <w:rsid w:val="44B50ED7"/>
    <w:rsid w:val="44B7C644"/>
    <w:rsid w:val="44C7AD6C"/>
    <w:rsid w:val="44CA777C"/>
    <w:rsid w:val="44D336FE"/>
    <w:rsid w:val="44EA6C54"/>
    <w:rsid w:val="452556DF"/>
    <w:rsid w:val="45259D81"/>
    <w:rsid w:val="45288E44"/>
    <w:rsid w:val="4535A757"/>
    <w:rsid w:val="45442A32"/>
    <w:rsid w:val="455B8088"/>
    <w:rsid w:val="455F10EC"/>
    <w:rsid w:val="456BFCA9"/>
    <w:rsid w:val="45872F9E"/>
    <w:rsid w:val="461724BA"/>
    <w:rsid w:val="46230063"/>
    <w:rsid w:val="462D28B6"/>
    <w:rsid w:val="4638462D"/>
    <w:rsid w:val="464753A9"/>
    <w:rsid w:val="465AC72C"/>
    <w:rsid w:val="465B8FF3"/>
    <w:rsid w:val="466B83BD"/>
    <w:rsid w:val="466FC180"/>
    <w:rsid w:val="468B3911"/>
    <w:rsid w:val="46B8C41E"/>
    <w:rsid w:val="46BC5987"/>
    <w:rsid w:val="46C318CE"/>
    <w:rsid w:val="4712BC2B"/>
    <w:rsid w:val="47289667"/>
    <w:rsid w:val="472E8DA2"/>
    <w:rsid w:val="473B690B"/>
    <w:rsid w:val="475751C5"/>
    <w:rsid w:val="47599396"/>
    <w:rsid w:val="475DE4C4"/>
    <w:rsid w:val="47671AD1"/>
    <w:rsid w:val="4794F6BE"/>
    <w:rsid w:val="47BD7426"/>
    <w:rsid w:val="47D1E440"/>
    <w:rsid w:val="47E351B4"/>
    <w:rsid w:val="47FF63D3"/>
    <w:rsid w:val="480A886C"/>
    <w:rsid w:val="480CC361"/>
    <w:rsid w:val="481A43DD"/>
    <w:rsid w:val="481FAC2D"/>
    <w:rsid w:val="483205F1"/>
    <w:rsid w:val="4840541B"/>
    <w:rsid w:val="484EB026"/>
    <w:rsid w:val="48642EAF"/>
    <w:rsid w:val="4868CD96"/>
    <w:rsid w:val="489448C7"/>
    <w:rsid w:val="4896A6A7"/>
    <w:rsid w:val="48AB8357"/>
    <w:rsid w:val="48D4B62B"/>
    <w:rsid w:val="48FE3A7F"/>
    <w:rsid w:val="4923396B"/>
    <w:rsid w:val="492DF6C1"/>
    <w:rsid w:val="4947094D"/>
    <w:rsid w:val="494A877C"/>
    <w:rsid w:val="4962A93E"/>
    <w:rsid w:val="49669C1E"/>
    <w:rsid w:val="4990E74A"/>
    <w:rsid w:val="499A8691"/>
    <w:rsid w:val="499B88E6"/>
    <w:rsid w:val="49A08793"/>
    <w:rsid w:val="49AB8580"/>
    <w:rsid w:val="49B1B682"/>
    <w:rsid w:val="49B3A6E4"/>
    <w:rsid w:val="49B836AB"/>
    <w:rsid w:val="49CBD491"/>
    <w:rsid w:val="49D92512"/>
    <w:rsid w:val="49DD7545"/>
    <w:rsid w:val="49EFE891"/>
    <w:rsid w:val="4A0E9EAB"/>
    <w:rsid w:val="4A214C94"/>
    <w:rsid w:val="4A2EC2FA"/>
    <w:rsid w:val="4A31BA8B"/>
    <w:rsid w:val="4A331893"/>
    <w:rsid w:val="4A3EBD26"/>
    <w:rsid w:val="4A64DA92"/>
    <w:rsid w:val="4A69089E"/>
    <w:rsid w:val="4A6C96AC"/>
    <w:rsid w:val="4A7C1D3A"/>
    <w:rsid w:val="4AA2FE54"/>
    <w:rsid w:val="4AAAD5AF"/>
    <w:rsid w:val="4ABD7635"/>
    <w:rsid w:val="4ABF77AC"/>
    <w:rsid w:val="4AC51194"/>
    <w:rsid w:val="4AFC7801"/>
    <w:rsid w:val="4B1A4C1B"/>
    <w:rsid w:val="4B424087"/>
    <w:rsid w:val="4B5B3021"/>
    <w:rsid w:val="4B5CFB80"/>
    <w:rsid w:val="4B6F8B19"/>
    <w:rsid w:val="4BA92044"/>
    <w:rsid w:val="4BC10F19"/>
    <w:rsid w:val="4BC17CDC"/>
    <w:rsid w:val="4BC89926"/>
    <w:rsid w:val="4C43552D"/>
    <w:rsid w:val="4C4FC8FC"/>
    <w:rsid w:val="4C50B7FB"/>
    <w:rsid w:val="4C5A5429"/>
    <w:rsid w:val="4C5E2873"/>
    <w:rsid w:val="4C63B9D7"/>
    <w:rsid w:val="4C6A88E0"/>
    <w:rsid w:val="4C9792E5"/>
    <w:rsid w:val="4CC57178"/>
    <w:rsid w:val="4CC7441F"/>
    <w:rsid w:val="4CD0F895"/>
    <w:rsid w:val="4CF705AB"/>
    <w:rsid w:val="4D03F64B"/>
    <w:rsid w:val="4D0D425D"/>
    <w:rsid w:val="4D1043A3"/>
    <w:rsid w:val="4D397F11"/>
    <w:rsid w:val="4D561EA4"/>
    <w:rsid w:val="4D7B4E5D"/>
    <w:rsid w:val="4DCA6AB5"/>
    <w:rsid w:val="4E04685B"/>
    <w:rsid w:val="4E0B4426"/>
    <w:rsid w:val="4E48FBAD"/>
    <w:rsid w:val="4E4DA7A9"/>
    <w:rsid w:val="4E6B9A06"/>
    <w:rsid w:val="4E6CC24C"/>
    <w:rsid w:val="4E77DA08"/>
    <w:rsid w:val="4E8D10FA"/>
    <w:rsid w:val="4ECAEC30"/>
    <w:rsid w:val="4ED76759"/>
    <w:rsid w:val="4EFDD367"/>
    <w:rsid w:val="4F381D0A"/>
    <w:rsid w:val="4F693853"/>
    <w:rsid w:val="4F809745"/>
    <w:rsid w:val="4F870033"/>
    <w:rsid w:val="4F95FC12"/>
    <w:rsid w:val="4F9A3B85"/>
    <w:rsid w:val="4FAD2B50"/>
    <w:rsid w:val="4FAE486E"/>
    <w:rsid w:val="4FDF53D1"/>
    <w:rsid w:val="4FE18978"/>
    <w:rsid w:val="500C962F"/>
    <w:rsid w:val="50190436"/>
    <w:rsid w:val="5034327D"/>
    <w:rsid w:val="505220E4"/>
    <w:rsid w:val="50804F44"/>
    <w:rsid w:val="50914703"/>
    <w:rsid w:val="50BF9971"/>
    <w:rsid w:val="50E90098"/>
    <w:rsid w:val="513DDDD9"/>
    <w:rsid w:val="5152A91A"/>
    <w:rsid w:val="515F5ECA"/>
    <w:rsid w:val="5188EFD7"/>
    <w:rsid w:val="51AEBF84"/>
    <w:rsid w:val="51F61358"/>
    <w:rsid w:val="52417E1A"/>
    <w:rsid w:val="52486D21"/>
    <w:rsid w:val="526FA33C"/>
    <w:rsid w:val="527086AF"/>
    <w:rsid w:val="5274367D"/>
    <w:rsid w:val="52795221"/>
    <w:rsid w:val="5281CC42"/>
    <w:rsid w:val="52894EB9"/>
    <w:rsid w:val="528FE3A2"/>
    <w:rsid w:val="52919195"/>
    <w:rsid w:val="52B2844C"/>
    <w:rsid w:val="52CA75C0"/>
    <w:rsid w:val="52D65CD5"/>
    <w:rsid w:val="52E4CC12"/>
    <w:rsid w:val="52E86E12"/>
    <w:rsid w:val="52E9C05E"/>
    <w:rsid w:val="530AAE50"/>
    <w:rsid w:val="530F197F"/>
    <w:rsid w:val="53466361"/>
    <w:rsid w:val="5349F86D"/>
    <w:rsid w:val="535E24B2"/>
    <w:rsid w:val="53672FF3"/>
    <w:rsid w:val="537F13A4"/>
    <w:rsid w:val="53826DA8"/>
    <w:rsid w:val="53C26449"/>
    <w:rsid w:val="53CB6885"/>
    <w:rsid w:val="53E17B84"/>
    <w:rsid w:val="53E5D960"/>
    <w:rsid w:val="53ED9289"/>
    <w:rsid w:val="5440FE7D"/>
    <w:rsid w:val="5457F94F"/>
    <w:rsid w:val="5464B988"/>
    <w:rsid w:val="54A6ED9C"/>
    <w:rsid w:val="54B2E48D"/>
    <w:rsid w:val="54BEE3FF"/>
    <w:rsid w:val="54C208B9"/>
    <w:rsid w:val="54C9A17C"/>
    <w:rsid w:val="54DBC72D"/>
    <w:rsid w:val="54DE2869"/>
    <w:rsid w:val="54E143F1"/>
    <w:rsid w:val="5511EAF7"/>
    <w:rsid w:val="55380F11"/>
    <w:rsid w:val="554CD8AF"/>
    <w:rsid w:val="5562D059"/>
    <w:rsid w:val="556B78CC"/>
    <w:rsid w:val="557A0470"/>
    <w:rsid w:val="55893831"/>
    <w:rsid w:val="558EC2F6"/>
    <w:rsid w:val="558F2CF0"/>
    <w:rsid w:val="5593CB5C"/>
    <w:rsid w:val="56094457"/>
    <w:rsid w:val="560CF865"/>
    <w:rsid w:val="5637E015"/>
    <w:rsid w:val="563A97F7"/>
    <w:rsid w:val="565D4D6C"/>
    <w:rsid w:val="568DA28F"/>
    <w:rsid w:val="56968C34"/>
    <w:rsid w:val="56B2DAC4"/>
    <w:rsid w:val="56BB8083"/>
    <w:rsid w:val="56C28786"/>
    <w:rsid w:val="56CA7FD1"/>
    <w:rsid w:val="56EE261F"/>
    <w:rsid w:val="57008A49"/>
    <w:rsid w:val="570E2BEE"/>
    <w:rsid w:val="570F809C"/>
    <w:rsid w:val="573BCAED"/>
    <w:rsid w:val="5743BD20"/>
    <w:rsid w:val="574AE7DE"/>
    <w:rsid w:val="577311D8"/>
    <w:rsid w:val="57809C34"/>
    <w:rsid w:val="57881885"/>
    <w:rsid w:val="5802E616"/>
    <w:rsid w:val="58405B0A"/>
    <w:rsid w:val="58414D4E"/>
    <w:rsid w:val="58465A13"/>
    <w:rsid w:val="5860186C"/>
    <w:rsid w:val="587B2271"/>
    <w:rsid w:val="58850810"/>
    <w:rsid w:val="58974414"/>
    <w:rsid w:val="58AC0028"/>
    <w:rsid w:val="58D15437"/>
    <w:rsid w:val="58D6FF81"/>
    <w:rsid w:val="58DF9168"/>
    <w:rsid w:val="58FDE161"/>
    <w:rsid w:val="592C13D5"/>
    <w:rsid w:val="5934B36E"/>
    <w:rsid w:val="593A131C"/>
    <w:rsid w:val="594321D0"/>
    <w:rsid w:val="5950B667"/>
    <w:rsid w:val="59552953"/>
    <w:rsid w:val="5961D42B"/>
    <w:rsid w:val="5962FD94"/>
    <w:rsid w:val="597AB7E6"/>
    <w:rsid w:val="59834103"/>
    <w:rsid w:val="5994E6AC"/>
    <w:rsid w:val="599A7B76"/>
    <w:rsid w:val="59B22395"/>
    <w:rsid w:val="59BEB974"/>
    <w:rsid w:val="59DA69C6"/>
    <w:rsid w:val="59E821EF"/>
    <w:rsid w:val="59F21575"/>
    <w:rsid w:val="5A0E9AF6"/>
    <w:rsid w:val="5A0F11A8"/>
    <w:rsid w:val="5A3D4696"/>
    <w:rsid w:val="5A4A7CE2"/>
    <w:rsid w:val="5A571F39"/>
    <w:rsid w:val="5A66D303"/>
    <w:rsid w:val="5A897F2E"/>
    <w:rsid w:val="5A9E145A"/>
    <w:rsid w:val="5AE33F61"/>
    <w:rsid w:val="5AF049F3"/>
    <w:rsid w:val="5AF4F103"/>
    <w:rsid w:val="5B4D7BF6"/>
    <w:rsid w:val="5B758235"/>
    <w:rsid w:val="5B762712"/>
    <w:rsid w:val="5B79AF6D"/>
    <w:rsid w:val="5B90647C"/>
    <w:rsid w:val="5BB3633B"/>
    <w:rsid w:val="5BC85385"/>
    <w:rsid w:val="5BD1A75D"/>
    <w:rsid w:val="5BE1385B"/>
    <w:rsid w:val="5BF71B93"/>
    <w:rsid w:val="5C2C7259"/>
    <w:rsid w:val="5C45533D"/>
    <w:rsid w:val="5C5F2BA8"/>
    <w:rsid w:val="5C625582"/>
    <w:rsid w:val="5C82ABA2"/>
    <w:rsid w:val="5C915059"/>
    <w:rsid w:val="5C9A0614"/>
    <w:rsid w:val="5CA1C2D6"/>
    <w:rsid w:val="5CA51EB6"/>
    <w:rsid w:val="5CC38322"/>
    <w:rsid w:val="5CD51FDC"/>
    <w:rsid w:val="5D0DF38C"/>
    <w:rsid w:val="5D39286D"/>
    <w:rsid w:val="5D3AAC34"/>
    <w:rsid w:val="5D4D3BEA"/>
    <w:rsid w:val="5D71AFFB"/>
    <w:rsid w:val="5D73D3EF"/>
    <w:rsid w:val="5D7C2054"/>
    <w:rsid w:val="5DA99690"/>
    <w:rsid w:val="5DBA5E5D"/>
    <w:rsid w:val="5DD0F98E"/>
    <w:rsid w:val="5DD3D0D8"/>
    <w:rsid w:val="5DD4B8FD"/>
    <w:rsid w:val="5DDA8A87"/>
    <w:rsid w:val="5DE5934D"/>
    <w:rsid w:val="5DEF5A90"/>
    <w:rsid w:val="5DF05342"/>
    <w:rsid w:val="5DF22E52"/>
    <w:rsid w:val="5E0F6581"/>
    <w:rsid w:val="5E1AADC4"/>
    <w:rsid w:val="5E4249C6"/>
    <w:rsid w:val="5E472592"/>
    <w:rsid w:val="5E5C0FDF"/>
    <w:rsid w:val="5E724F65"/>
    <w:rsid w:val="5E769915"/>
    <w:rsid w:val="5EA43FDA"/>
    <w:rsid w:val="5EB1F334"/>
    <w:rsid w:val="5EB414E6"/>
    <w:rsid w:val="5EFBDBED"/>
    <w:rsid w:val="5F1AEB71"/>
    <w:rsid w:val="5F941512"/>
    <w:rsid w:val="5FBA6670"/>
    <w:rsid w:val="5FBD216C"/>
    <w:rsid w:val="5FE6DBB5"/>
    <w:rsid w:val="600B53E4"/>
    <w:rsid w:val="600C1ADA"/>
    <w:rsid w:val="602B30DA"/>
    <w:rsid w:val="6040FB21"/>
    <w:rsid w:val="607B6143"/>
    <w:rsid w:val="608EB9A8"/>
    <w:rsid w:val="6096D904"/>
    <w:rsid w:val="60BFDAEC"/>
    <w:rsid w:val="60C22AC3"/>
    <w:rsid w:val="60DA06FE"/>
    <w:rsid w:val="6104A32A"/>
    <w:rsid w:val="61254A91"/>
    <w:rsid w:val="6147D017"/>
    <w:rsid w:val="6157A9A2"/>
    <w:rsid w:val="6174CD99"/>
    <w:rsid w:val="617AEDB9"/>
    <w:rsid w:val="61890A12"/>
    <w:rsid w:val="61A618B2"/>
    <w:rsid w:val="61B04298"/>
    <w:rsid w:val="61BF7FA7"/>
    <w:rsid w:val="61ED3C39"/>
    <w:rsid w:val="61F04208"/>
    <w:rsid w:val="61FBDDCE"/>
    <w:rsid w:val="6214DC96"/>
    <w:rsid w:val="6237BC5A"/>
    <w:rsid w:val="6242460D"/>
    <w:rsid w:val="6254C25F"/>
    <w:rsid w:val="6288A955"/>
    <w:rsid w:val="62BCC574"/>
    <w:rsid w:val="62CC9454"/>
    <w:rsid w:val="62D29723"/>
    <w:rsid w:val="62ED445E"/>
    <w:rsid w:val="62FC7D3B"/>
    <w:rsid w:val="630D3CFD"/>
    <w:rsid w:val="63202381"/>
    <w:rsid w:val="6325BBB7"/>
    <w:rsid w:val="634E6AAE"/>
    <w:rsid w:val="63817CED"/>
    <w:rsid w:val="63B3B55D"/>
    <w:rsid w:val="63D0DA5D"/>
    <w:rsid w:val="63D219F7"/>
    <w:rsid w:val="63DE08AD"/>
    <w:rsid w:val="63E79B25"/>
    <w:rsid w:val="63FE4217"/>
    <w:rsid w:val="64133E59"/>
    <w:rsid w:val="641933F5"/>
    <w:rsid w:val="644A5375"/>
    <w:rsid w:val="646383A9"/>
    <w:rsid w:val="6467012F"/>
    <w:rsid w:val="6482AE66"/>
    <w:rsid w:val="6490E1DF"/>
    <w:rsid w:val="649AA7FD"/>
    <w:rsid w:val="64BD980C"/>
    <w:rsid w:val="64E3F025"/>
    <w:rsid w:val="64F370B4"/>
    <w:rsid w:val="64FF2928"/>
    <w:rsid w:val="650C16EE"/>
    <w:rsid w:val="65169C47"/>
    <w:rsid w:val="6527F813"/>
    <w:rsid w:val="652DD6E7"/>
    <w:rsid w:val="653976C4"/>
    <w:rsid w:val="654311DE"/>
    <w:rsid w:val="6584E8EF"/>
    <w:rsid w:val="65862D12"/>
    <w:rsid w:val="659BE8ED"/>
    <w:rsid w:val="65BD1ADF"/>
    <w:rsid w:val="65CA4240"/>
    <w:rsid w:val="65E29189"/>
    <w:rsid w:val="65F5A629"/>
    <w:rsid w:val="65F695E5"/>
    <w:rsid w:val="6610205A"/>
    <w:rsid w:val="6662744A"/>
    <w:rsid w:val="6673C8E7"/>
    <w:rsid w:val="6679E64D"/>
    <w:rsid w:val="6686C2FB"/>
    <w:rsid w:val="669B6EA8"/>
    <w:rsid w:val="669ED59E"/>
    <w:rsid w:val="66B37897"/>
    <w:rsid w:val="66BA06C7"/>
    <w:rsid w:val="66BB08CE"/>
    <w:rsid w:val="66DC43D0"/>
    <w:rsid w:val="66F03DC6"/>
    <w:rsid w:val="66F15356"/>
    <w:rsid w:val="67055817"/>
    <w:rsid w:val="670ECB1D"/>
    <w:rsid w:val="671437ED"/>
    <w:rsid w:val="6740FD50"/>
    <w:rsid w:val="67520BD5"/>
    <w:rsid w:val="67882F98"/>
    <w:rsid w:val="6792518F"/>
    <w:rsid w:val="67B73D6E"/>
    <w:rsid w:val="67BBAB00"/>
    <w:rsid w:val="67C6E4AD"/>
    <w:rsid w:val="67E4468A"/>
    <w:rsid w:val="67E77C24"/>
    <w:rsid w:val="6803AADF"/>
    <w:rsid w:val="680D3325"/>
    <w:rsid w:val="6810A772"/>
    <w:rsid w:val="68206800"/>
    <w:rsid w:val="6826E690"/>
    <w:rsid w:val="682A3476"/>
    <w:rsid w:val="683FBEF3"/>
    <w:rsid w:val="6851B89A"/>
    <w:rsid w:val="68ADC3D9"/>
    <w:rsid w:val="68B6D0AA"/>
    <w:rsid w:val="68C545D8"/>
    <w:rsid w:val="68C74EF1"/>
    <w:rsid w:val="68DCECA5"/>
    <w:rsid w:val="68EF6FCF"/>
    <w:rsid w:val="692AD22F"/>
    <w:rsid w:val="693853E2"/>
    <w:rsid w:val="6989BA98"/>
    <w:rsid w:val="69E1D8F5"/>
    <w:rsid w:val="69E7E264"/>
    <w:rsid w:val="69F8BD5D"/>
    <w:rsid w:val="6A0CEA7B"/>
    <w:rsid w:val="6A190FF5"/>
    <w:rsid w:val="6A38F5ED"/>
    <w:rsid w:val="6A4AE600"/>
    <w:rsid w:val="6A4C255D"/>
    <w:rsid w:val="6A5485C7"/>
    <w:rsid w:val="6A5E5CE3"/>
    <w:rsid w:val="6A5E8229"/>
    <w:rsid w:val="6A60B4D9"/>
    <w:rsid w:val="6A623747"/>
    <w:rsid w:val="6A62E2AE"/>
    <w:rsid w:val="6A70CC16"/>
    <w:rsid w:val="6A718C3E"/>
    <w:rsid w:val="6A764AC3"/>
    <w:rsid w:val="6AB2EA80"/>
    <w:rsid w:val="6AC968CF"/>
    <w:rsid w:val="6ACE0873"/>
    <w:rsid w:val="6AD03BA1"/>
    <w:rsid w:val="6ADEB7BD"/>
    <w:rsid w:val="6B073E83"/>
    <w:rsid w:val="6B1189A3"/>
    <w:rsid w:val="6B29D546"/>
    <w:rsid w:val="6B2D62BD"/>
    <w:rsid w:val="6B336682"/>
    <w:rsid w:val="6B7A6A3D"/>
    <w:rsid w:val="6B929AAE"/>
    <w:rsid w:val="6B94C3A8"/>
    <w:rsid w:val="6B9FA5DB"/>
    <w:rsid w:val="6BBF4ED1"/>
    <w:rsid w:val="6BD1B061"/>
    <w:rsid w:val="6BD683DC"/>
    <w:rsid w:val="6BD91CEE"/>
    <w:rsid w:val="6C26D0F7"/>
    <w:rsid w:val="6C40CA0C"/>
    <w:rsid w:val="6C450603"/>
    <w:rsid w:val="6CAC2AB6"/>
    <w:rsid w:val="6CE80545"/>
    <w:rsid w:val="6D0D408C"/>
    <w:rsid w:val="6D1A982C"/>
    <w:rsid w:val="6D4040E1"/>
    <w:rsid w:val="6D416386"/>
    <w:rsid w:val="6D602525"/>
    <w:rsid w:val="6D738FA1"/>
    <w:rsid w:val="6D7E30AF"/>
    <w:rsid w:val="6DF6287E"/>
    <w:rsid w:val="6E014D35"/>
    <w:rsid w:val="6E11E9E8"/>
    <w:rsid w:val="6E3B47AC"/>
    <w:rsid w:val="6E456381"/>
    <w:rsid w:val="6E723E14"/>
    <w:rsid w:val="6E927665"/>
    <w:rsid w:val="6EB72377"/>
    <w:rsid w:val="6EC3ECD1"/>
    <w:rsid w:val="6EC6A7E6"/>
    <w:rsid w:val="6ED267E9"/>
    <w:rsid w:val="6EE3CF3E"/>
    <w:rsid w:val="6F057A3E"/>
    <w:rsid w:val="6F05A87A"/>
    <w:rsid w:val="6F08B3FD"/>
    <w:rsid w:val="6F0A2272"/>
    <w:rsid w:val="6F38F93C"/>
    <w:rsid w:val="6F394E6A"/>
    <w:rsid w:val="6F5077EC"/>
    <w:rsid w:val="6F5B7DC4"/>
    <w:rsid w:val="6F7161FE"/>
    <w:rsid w:val="6F94DF63"/>
    <w:rsid w:val="6FE06365"/>
    <w:rsid w:val="700E2323"/>
    <w:rsid w:val="7027C45B"/>
    <w:rsid w:val="702EC3FB"/>
    <w:rsid w:val="7055427E"/>
    <w:rsid w:val="7058E7F0"/>
    <w:rsid w:val="705D1587"/>
    <w:rsid w:val="706FCFE9"/>
    <w:rsid w:val="70764420"/>
    <w:rsid w:val="70A5480B"/>
    <w:rsid w:val="70A9F714"/>
    <w:rsid w:val="70AB2BCE"/>
    <w:rsid w:val="70ABCBB6"/>
    <w:rsid w:val="70B45ACE"/>
    <w:rsid w:val="70B68F5F"/>
    <w:rsid w:val="70D438FF"/>
    <w:rsid w:val="71312596"/>
    <w:rsid w:val="714ED188"/>
    <w:rsid w:val="717963CD"/>
    <w:rsid w:val="718D8591"/>
    <w:rsid w:val="718E1C2B"/>
    <w:rsid w:val="71A1D185"/>
    <w:rsid w:val="71A706E0"/>
    <w:rsid w:val="71AE35B6"/>
    <w:rsid w:val="71DB49FA"/>
    <w:rsid w:val="72081BF9"/>
    <w:rsid w:val="72188BD0"/>
    <w:rsid w:val="72255044"/>
    <w:rsid w:val="7228C198"/>
    <w:rsid w:val="72490A12"/>
    <w:rsid w:val="7259C660"/>
    <w:rsid w:val="726A1882"/>
    <w:rsid w:val="7274D692"/>
    <w:rsid w:val="7280C239"/>
    <w:rsid w:val="72C042E4"/>
    <w:rsid w:val="72C38E19"/>
    <w:rsid w:val="72CED387"/>
    <w:rsid w:val="72D60892"/>
    <w:rsid w:val="72D7DA79"/>
    <w:rsid w:val="72DB77D9"/>
    <w:rsid w:val="7309D124"/>
    <w:rsid w:val="734A1076"/>
    <w:rsid w:val="735253E8"/>
    <w:rsid w:val="7366CB92"/>
    <w:rsid w:val="7370E32C"/>
    <w:rsid w:val="73A066AF"/>
    <w:rsid w:val="73D157EA"/>
    <w:rsid w:val="73E2D2AA"/>
    <w:rsid w:val="73F5083B"/>
    <w:rsid w:val="743A9DE3"/>
    <w:rsid w:val="747CDE57"/>
    <w:rsid w:val="747EC9A0"/>
    <w:rsid w:val="74CD206F"/>
    <w:rsid w:val="74E525CC"/>
    <w:rsid w:val="74ED9640"/>
    <w:rsid w:val="75019861"/>
    <w:rsid w:val="7512579A"/>
    <w:rsid w:val="75284DCD"/>
    <w:rsid w:val="75312114"/>
    <w:rsid w:val="753C0DF4"/>
    <w:rsid w:val="75454171"/>
    <w:rsid w:val="75815CB7"/>
    <w:rsid w:val="75921204"/>
    <w:rsid w:val="7593D367"/>
    <w:rsid w:val="75950E17"/>
    <w:rsid w:val="75B0BAC0"/>
    <w:rsid w:val="75BB7662"/>
    <w:rsid w:val="75C300FD"/>
    <w:rsid w:val="75C8D53B"/>
    <w:rsid w:val="75CDB687"/>
    <w:rsid w:val="75E147CB"/>
    <w:rsid w:val="75E3F424"/>
    <w:rsid w:val="7623B0EF"/>
    <w:rsid w:val="7623C10F"/>
    <w:rsid w:val="76612E56"/>
    <w:rsid w:val="76C7F623"/>
    <w:rsid w:val="76F616D7"/>
    <w:rsid w:val="76F82073"/>
    <w:rsid w:val="770B833C"/>
    <w:rsid w:val="7714148C"/>
    <w:rsid w:val="7718EE39"/>
    <w:rsid w:val="7745D53D"/>
    <w:rsid w:val="775C9ABC"/>
    <w:rsid w:val="7763D30B"/>
    <w:rsid w:val="77916D51"/>
    <w:rsid w:val="77A07F9F"/>
    <w:rsid w:val="77BE8DDE"/>
    <w:rsid w:val="781D2E9C"/>
    <w:rsid w:val="78300F04"/>
    <w:rsid w:val="78326D43"/>
    <w:rsid w:val="784C03D0"/>
    <w:rsid w:val="786535D6"/>
    <w:rsid w:val="7866F7D4"/>
    <w:rsid w:val="787B3A8D"/>
    <w:rsid w:val="78AC1565"/>
    <w:rsid w:val="78E0146C"/>
    <w:rsid w:val="78E37894"/>
    <w:rsid w:val="7904117C"/>
    <w:rsid w:val="79054D83"/>
    <w:rsid w:val="792EB6EB"/>
    <w:rsid w:val="79659A31"/>
    <w:rsid w:val="79903A99"/>
    <w:rsid w:val="79936868"/>
    <w:rsid w:val="79A8D64B"/>
    <w:rsid w:val="79CE130A"/>
    <w:rsid w:val="7A3E4301"/>
    <w:rsid w:val="7A540CDC"/>
    <w:rsid w:val="7A802529"/>
    <w:rsid w:val="7AA3FD5A"/>
    <w:rsid w:val="7AA5B78D"/>
    <w:rsid w:val="7AADE525"/>
    <w:rsid w:val="7AB5C79E"/>
    <w:rsid w:val="7AE7A4F0"/>
    <w:rsid w:val="7AFE975F"/>
    <w:rsid w:val="7B20201B"/>
    <w:rsid w:val="7B544259"/>
    <w:rsid w:val="7B7A8240"/>
    <w:rsid w:val="7B9EB73A"/>
    <w:rsid w:val="7BB9431C"/>
    <w:rsid w:val="7BBAFA17"/>
    <w:rsid w:val="7BCBD87B"/>
    <w:rsid w:val="7C01EC5E"/>
    <w:rsid w:val="7C09A5B5"/>
    <w:rsid w:val="7C5207BD"/>
    <w:rsid w:val="7C56D5C2"/>
    <w:rsid w:val="7C701633"/>
    <w:rsid w:val="7C735417"/>
    <w:rsid w:val="7CA557C5"/>
    <w:rsid w:val="7CACA943"/>
    <w:rsid w:val="7CF2D3D0"/>
    <w:rsid w:val="7CF735F7"/>
    <w:rsid w:val="7D35119D"/>
    <w:rsid w:val="7D36E11F"/>
    <w:rsid w:val="7D3AFB89"/>
    <w:rsid w:val="7D49E680"/>
    <w:rsid w:val="7D4A5618"/>
    <w:rsid w:val="7D61AD1C"/>
    <w:rsid w:val="7D81FF5C"/>
    <w:rsid w:val="7D887F12"/>
    <w:rsid w:val="7DA6833E"/>
    <w:rsid w:val="7DABF9EF"/>
    <w:rsid w:val="7DC4173A"/>
    <w:rsid w:val="7E3221E6"/>
    <w:rsid w:val="7E335470"/>
    <w:rsid w:val="7E38DE39"/>
    <w:rsid w:val="7E3ACCE5"/>
    <w:rsid w:val="7E67B3EF"/>
    <w:rsid w:val="7E738E18"/>
    <w:rsid w:val="7E771C6F"/>
    <w:rsid w:val="7E7EAB51"/>
    <w:rsid w:val="7E862980"/>
    <w:rsid w:val="7E900417"/>
    <w:rsid w:val="7EA3F148"/>
    <w:rsid w:val="7EB0F412"/>
    <w:rsid w:val="7EBB1CEE"/>
    <w:rsid w:val="7ECA8279"/>
    <w:rsid w:val="7EDAAD33"/>
    <w:rsid w:val="7F100C53"/>
    <w:rsid w:val="7F278DA7"/>
    <w:rsid w:val="7F2CEDC4"/>
    <w:rsid w:val="7F37C13A"/>
    <w:rsid w:val="7F4B49A4"/>
    <w:rsid w:val="7F579E9E"/>
    <w:rsid w:val="7F59EE10"/>
    <w:rsid w:val="7F73C143"/>
    <w:rsid w:val="7F867768"/>
    <w:rsid w:val="7FDA36CB"/>
    <w:rsid w:val="7FF2F7C9"/>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4493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1">
    <w:lsdException w:name="Normal" w:uiPriority="39"/>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uiPriority="9"/>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0"/>
    <w:lsdException w:name="List Number" w:semiHidden="1" w:uiPriority="21" w:unhideWhenUsed="1"/>
    <w:lsdException w:name="List 2" w:semiHidden="1" w:unhideWhenUsed="1"/>
    <w:lsdException w:name="List 3" w:semiHidden="1" w:unhideWhenUsed="1"/>
    <w:lsdException w:name="List 4" w:semiHidden="1"/>
    <w:lsdException w:name="List 5" w:semiHidden="1"/>
    <w:lsdException w:name="List Bullet 2" w:semiHidden="1" w:uiPriority="20" w:unhideWhenUsed="1"/>
    <w:lsdException w:name="List Bullet 3" w:semiHidden="1" w:uiPriority="20" w:unhideWhenUsed="1"/>
    <w:lsdException w:name="List Bullet 4" w:semiHidden="1" w:uiPriority="20" w:unhideWhenUsed="1"/>
    <w:lsdException w:name="List Bullet 5" w:semiHidden="1" w:uiPriority="20" w:unhideWhenUsed="1"/>
    <w:lsdException w:name="List Number 2" w:semiHidden="1" w:uiPriority="21" w:unhideWhenUsed="1"/>
    <w:lsdException w:name="List Number 3" w:semiHidden="1" w:uiPriority="21" w:unhideWhenUsed="1"/>
    <w:lsdException w:name="List Number 4" w:semiHidden="1" w:uiPriority="21" w:unhideWhenUsed="1"/>
    <w:lsdException w:name="List Number 5" w:semiHidden="1" w:uiPriority="2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Strong" w:semiHidden="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83"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9"/>
    <w:rsid w:val="00A10538"/>
    <w:pPr>
      <w:spacing w:before="120" w:after="120"/>
    </w:pPr>
    <w:rPr>
      <w:sz w:val="20"/>
    </w:rPr>
  </w:style>
  <w:style w:type="paragraph" w:styleId="Heading1">
    <w:name w:val="heading 1"/>
    <w:basedOn w:val="Normal"/>
    <w:next w:val="BodyText"/>
    <w:link w:val="Heading1Char"/>
    <w:uiPriority w:val="9"/>
    <w:rsid w:val="00D2292C"/>
    <w:pPr>
      <w:keepNext/>
      <w:keepLines/>
      <w:widowControl w:val="0"/>
      <w:spacing w:before="0" w:after="480" w:line="264" w:lineRule="auto"/>
      <w:outlineLvl w:val="0"/>
    </w:pPr>
    <w:rPr>
      <w:rFonts w:asciiTheme="majorHAnsi" w:eastAsia="Times New Roman" w:hAnsiTheme="majorHAnsi" w:cs="Arial"/>
      <w:b/>
      <w:bCs/>
      <w:color w:val="034EA2" w:themeColor="accent1"/>
      <w:sz w:val="48"/>
      <w:szCs w:val="40"/>
      <w:lang w:eastAsia="en-AU"/>
    </w:rPr>
  </w:style>
  <w:style w:type="paragraph" w:styleId="Heading2">
    <w:name w:val="heading 2"/>
    <w:basedOn w:val="Normal"/>
    <w:next w:val="BodyText"/>
    <w:link w:val="Heading2Char"/>
    <w:uiPriority w:val="9"/>
    <w:rsid w:val="004C0EFC"/>
    <w:pPr>
      <w:keepNext/>
      <w:keepLines/>
      <w:numPr>
        <w:numId w:val="25"/>
      </w:numPr>
      <w:spacing w:before="360" w:after="240"/>
      <w:ind w:left="851" w:hanging="851"/>
      <w:outlineLvl w:val="1"/>
    </w:pPr>
    <w:rPr>
      <w:rFonts w:asciiTheme="majorHAnsi" w:eastAsia="Times New Roman" w:hAnsiTheme="majorHAnsi" w:cs="Arial"/>
      <w:b/>
      <w:iCs/>
      <w:color w:val="007BC3" w:themeColor="accent2"/>
      <w:sz w:val="28"/>
      <w:szCs w:val="28"/>
      <w:lang w:eastAsia="en-AU"/>
    </w:rPr>
  </w:style>
  <w:style w:type="paragraph" w:styleId="Heading3">
    <w:name w:val="heading 3"/>
    <w:basedOn w:val="Normal"/>
    <w:next w:val="BodyText"/>
    <w:link w:val="Heading3Char"/>
    <w:uiPriority w:val="9"/>
    <w:rsid w:val="004C0EFC"/>
    <w:pPr>
      <w:keepNext/>
      <w:keepLines/>
      <w:spacing w:before="240" w:line="264" w:lineRule="auto"/>
      <w:outlineLvl w:val="2"/>
    </w:pPr>
    <w:rPr>
      <w:rFonts w:asciiTheme="majorHAnsi" w:eastAsia="Times New Roman" w:hAnsiTheme="majorHAnsi" w:cs="Times New Roman"/>
      <w:b/>
      <w:bCs/>
      <w:sz w:val="24"/>
      <w:szCs w:val="24"/>
      <w:lang w:eastAsia="en-AU"/>
    </w:rPr>
  </w:style>
  <w:style w:type="paragraph" w:styleId="Heading4">
    <w:name w:val="heading 4"/>
    <w:basedOn w:val="Normal"/>
    <w:next w:val="BodyText"/>
    <w:link w:val="Heading4Char"/>
    <w:uiPriority w:val="9"/>
    <w:rsid w:val="0096660B"/>
    <w:pPr>
      <w:keepNext/>
      <w:keepLines/>
      <w:spacing w:before="240"/>
      <w:outlineLvl w:val="3"/>
    </w:pPr>
    <w:rPr>
      <w:rFonts w:asciiTheme="majorHAnsi" w:eastAsia="Times New Roman" w:hAnsiTheme="majorHAnsi" w:cs="Times New Roman"/>
      <w:b/>
      <w:bCs/>
      <w:color w:val="5C676D" w:themeColor="accent3"/>
      <w:sz w:val="22"/>
      <w:szCs w:val="20"/>
      <w:lang w:eastAsia="en-AU"/>
    </w:rPr>
  </w:style>
  <w:style w:type="paragraph" w:styleId="Heading5">
    <w:name w:val="heading 5"/>
    <w:next w:val="BodyText"/>
    <w:link w:val="Heading5Char"/>
    <w:uiPriority w:val="9"/>
    <w:unhideWhenUsed/>
    <w:rsid w:val="00F4406B"/>
    <w:pPr>
      <w:keepNext/>
      <w:keepLines/>
      <w:spacing w:before="240" w:after="120"/>
      <w:outlineLvl w:val="4"/>
    </w:pPr>
    <w:rPr>
      <w:rFonts w:asciiTheme="majorHAnsi" w:eastAsia="Times New Roman" w:hAnsiTheme="majorHAnsi" w:cs="Times New Roman"/>
      <w:bCs/>
      <w:i/>
      <w:iCs/>
      <w:szCs w:val="26"/>
      <w:lang w:eastAsia="en-AU"/>
    </w:rPr>
  </w:style>
  <w:style w:type="paragraph" w:styleId="Heading6">
    <w:name w:val="heading 6"/>
    <w:basedOn w:val="Normal"/>
    <w:next w:val="Normal"/>
    <w:link w:val="Heading6Char"/>
    <w:uiPriority w:val="9"/>
    <w:semiHidden/>
    <w:qFormat/>
    <w:rsid w:val="00444AE6"/>
    <w:pPr>
      <w:outlineLvl w:val="5"/>
    </w:pPr>
    <w:rPr>
      <w:rFonts w:eastAsia="Times New Roman" w:cs="Times New Roman"/>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356D09"/>
    <w:pPr>
      <w:spacing w:before="120" w:after="120"/>
    </w:pPr>
    <w:rPr>
      <w:rFonts w:cstheme="majorHAnsi"/>
      <w:szCs w:val="28"/>
    </w:rPr>
  </w:style>
  <w:style w:type="character" w:customStyle="1" w:styleId="BodyTextChar">
    <w:name w:val="Body Text Char"/>
    <w:basedOn w:val="DefaultParagraphFont"/>
    <w:link w:val="BodyText"/>
    <w:uiPriority w:val="1"/>
    <w:rsid w:val="00356D09"/>
    <w:rPr>
      <w:rFonts w:cstheme="majorHAnsi"/>
      <w:szCs w:val="28"/>
    </w:rPr>
  </w:style>
  <w:style w:type="character" w:customStyle="1" w:styleId="Heading1Char">
    <w:name w:val="Heading 1 Char"/>
    <w:basedOn w:val="DefaultParagraphFont"/>
    <w:link w:val="Heading1"/>
    <w:uiPriority w:val="9"/>
    <w:rsid w:val="00D2292C"/>
    <w:rPr>
      <w:rFonts w:asciiTheme="majorHAnsi" w:eastAsia="Times New Roman" w:hAnsiTheme="majorHAnsi" w:cs="Arial"/>
      <w:b/>
      <w:bCs/>
      <w:color w:val="034EA2" w:themeColor="accent1"/>
      <w:sz w:val="48"/>
      <w:szCs w:val="40"/>
      <w:lang w:eastAsia="en-AU"/>
    </w:rPr>
  </w:style>
  <w:style w:type="character" w:customStyle="1" w:styleId="Heading2Char">
    <w:name w:val="Heading 2 Char"/>
    <w:basedOn w:val="DefaultParagraphFont"/>
    <w:link w:val="Heading2"/>
    <w:uiPriority w:val="9"/>
    <w:rsid w:val="004C0EFC"/>
    <w:rPr>
      <w:rFonts w:asciiTheme="majorHAnsi" w:eastAsia="Times New Roman" w:hAnsiTheme="majorHAnsi" w:cs="Arial"/>
      <w:b/>
      <w:iCs/>
      <w:color w:val="007BC3" w:themeColor="accent2"/>
      <w:sz w:val="28"/>
      <w:szCs w:val="28"/>
      <w:lang w:eastAsia="en-AU"/>
    </w:rPr>
  </w:style>
  <w:style w:type="character" w:customStyle="1" w:styleId="Heading3Char">
    <w:name w:val="Heading 3 Char"/>
    <w:basedOn w:val="DefaultParagraphFont"/>
    <w:link w:val="Heading3"/>
    <w:uiPriority w:val="9"/>
    <w:rsid w:val="004C0EFC"/>
    <w:rPr>
      <w:rFonts w:asciiTheme="majorHAnsi" w:eastAsia="Times New Roman" w:hAnsiTheme="majorHAnsi" w:cs="Times New Roman"/>
      <w:b/>
      <w:bCs/>
      <w:sz w:val="24"/>
      <w:szCs w:val="24"/>
      <w:lang w:eastAsia="en-AU"/>
    </w:rPr>
  </w:style>
  <w:style w:type="character" w:customStyle="1" w:styleId="Heading4Char">
    <w:name w:val="Heading 4 Char"/>
    <w:basedOn w:val="DefaultParagraphFont"/>
    <w:link w:val="Heading4"/>
    <w:uiPriority w:val="9"/>
    <w:rsid w:val="0096660B"/>
    <w:rPr>
      <w:rFonts w:asciiTheme="majorHAnsi" w:eastAsia="Times New Roman" w:hAnsiTheme="majorHAnsi" w:cs="Times New Roman"/>
      <w:b/>
      <w:bCs/>
      <w:color w:val="5C676D" w:themeColor="accent3"/>
      <w:szCs w:val="20"/>
      <w:lang w:eastAsia="en-AU"/>
    </w:rPr>
  </w:style>
  <w:style w:type="paragraph" w:customStyle="1" w:styleId="AltHeading1">
    <w:name w:val="Alt Heading 1"/>
    <w:basedOn w:val="Heading1"/>
    <w:next w:val="BodyText"/>
    <w:uiPriority w:val="2"/>
    <w:semiHidden/>
    <w:qFormat/>
    <w:rsid w:val="00B558AB"/>
    <w:pPr>
      <w:numPr>
        <w:numId w:val="9"/>
      </w:numPr>
    </w:pPr>
    <w:rPr>
      <w:bCs w:val="0"/>
    </w:rPr>
  </w:style>
  <w:style w:type="paragraph" w:customStyle="1" w:styleId="AltHeading2">
    <w:name w:val="Alt Heading 2"/>
    <w:basedOn w:val="Heading2"/>
    <w:next w:val="BodyText"/>
    <w:uiPriority w:val="2"/>
    <w:semiHidden/>
    <w:qFormat/>
    <w:rsid w:val="00C10811"/>
    <w:pPr>
      <w:numPr>
        <w:numId w:val="0"/>
      </w:numPr>
      <w:ind w:left="1134" w:hanging="1134"/>
    </w:pPr>
  </w:style>
  <w:style w:type="paragraph" w:customStyle="1" w:styleId="AltHeading3">
    <w:name w:val="Alt Heading 3"/>
    <w:basedOn w:val="Heading3"/>
    <w:next w:val="BodyText"/>
    <w:uiPriority w:val="2"/>
    <w:semiHidden/>
    <w:qFormat/>
    <w:rsid w:val="00912C23"/>
    <w:pPr>
      <w:numPr>
        <w:ilvl w:val="2"/>
        <w:numId w:val="9"/>
      </w:numPr>
    </w:pPr>
  </w:style>
  <w:style w:type="paragraph" w:customStyle="1" w:styleId="AltHeading4">
    <w:name w:val="Alt Heading 4"/>
    <w:basedOn w:val="Heading4"/>
    <w:next w:val="BodyText"/>
    <w:uiPriority w:val="99"/>
    <w:semiHidden/>
    <w:qFormat/>
    <w:rsid w:val="00912C23"/>
    <w:pPr>
      <w:numPr>
        <w:ilvl w:val="3"/>
        <w:numId w:val="9"/>
      </w:numPr>
    </w:pPr>
  </w:style>
  <w:style w:type="paragraph" w:styleId="Title">
    <w:name w:val="Title"/>
    <w:basedOn w:val="Heading1"/>
    <w:next w:val="BodyText"/>
    <w:link w:val="TitleChar"/>
    <w:rsid w:val="008129B5"/>
    <w:pPr>
      <w:spacing w:after="360"/>
    </w:pPr>
    <w:rPr>
      <w:rFonts w:ascii="Arial" w:hAnsi="Arial"/>
      <w:color w:val="auto"/>
      <w:sz w:val="52"/>
      <w:szCs w:val="52"/>
    </w:rPr>
  </w:style>
  <w:style w:type="character" w:customStyle="1" w:styleId="TitleChar">
    <w:name w:val="Title Char"/>
    <w:basedOn w:val="DefaultParagraphFont"/>
    <w:link w:val="Title"/>
    <w:rsid w:val="008129B5"/>
    <w:rPr>
      <w:rFonts w:ascii="Arial" w:eastAsia="Times New Roman" w:hAnsi="Arial" w:cs="Arial"/>
      <w:b/>
      <w:bCs/>
      <w:sz w:val="52"/>
      <w:szCs w:val="52"/>
      <w:lang w:eastAsia="en-AU"/>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rsid w:val="00A417C1"/>
    <w:pPr>
      <w:jc w:val="right"/>
    </w:pPr>
    <w:rPr>
      <w:sz w:val="2"/>
    </w:rPr>
  </w:style>
  <w:style w:type="character" w:customStyle="1" w:styleId="HeaderChar">
    <w:name w:val="Header Char"/>
    <w:basedOn w:val="DefaultParagraphFont"/>
    <w:link w:val="Header"/>
    <w:uiPriority w:val="99"/>
    <w:rsid w:val="0042661D"/>
    <w:rPr>
      <w:sz w:val="2"/>
    </w:rPr>
  </w:style>
  <w:style w:type="paragraph" w:styleId="Footer">
    <w:name w:val="footer"/>
    <w:basedOn w:val="Normal"/>
    <w:link w:val="FooterChar"/>
    <w:uiPriority w:val="99"/>
    <w:rsid w:val="008E2BFA"/>
    <w:pPr>
      <w:tabs>
        <w:tab w:val="right" w:pos="9639"/>
      </w:tabs>
      <w:jc w:val="right"/>
    </w:pPr>
    <w:rPr>
      <w:color w:val="5C676D" w:themeColor="accent3"/>
      <w:sz w:val="18"/>
    </w:rPr>
  </w:style>
  <w:style w:type="character" w:customStyle="1" w:styleId="FooterChar">
    <w:name w:val="Footer Char"/>
    <w:basedOn w:val="DefaultParagraphFont"/>
    <w:link w:val="Footer"/>
    <w:uiPriority w:val="99"/>
    <w:rsid w:val="006E0769"/>
    <w:rPr>
      <w:color w:val="5C676D" w:themeColor="accent3"/>
      <w:sz w:val="18"/>
    </w:rPr>
  </w:style>
  <w:style w:type="paragraph" w:styleId="ListNumber0">
    <w:name w:val="List Number"/>
    <w:basedOn w:val="ListBullet"/>
    <w:uiPriority w:val="21"/>
    <w:rsid w:val="006B0706"/>
    <w:pPr>
      <w:numPr>
        <w:numId w:val="0"/>
      </w:numPr>
      <w:ind w:left="284" w:hanging="284"/>
    </w:pPr>
  </w:style>
  <w:style w:type="table" w:customStyle="1" w:styleId="DHATable">
    <w:name w:val="DHA Table"/>
    <w:basedOn w:val="TableNormal"/>
    <w:uiPriority w:val="99"/>
    <w:rsid w:val="00E43E64"/>
    <w:pPr>
      <w:spacing w:before="120" w:after="120"/>
    </w:pPr>
    <w:rPr>
      <w:color w:val="000000" w:themeColor="text1"/>
      <w:sz w:val="20"/>
      <w:szCs w:val="20"/>
    </w:rPr>
    <w:tblPr>
      <w:tblStyleRowBandSize w:val="1"/>
      <w:tblStyleColBandSize w:val="1"/>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85" w:type="dxa"/>
        <w:right w:w="85" w:type="dxa"/>
      </w:tblCellMar>
    </w:tblPr>
    <w:tcPr>
      <w:shd w:val="clear" w:color="auto" w:fill="F4F4F4" w:themeFill="accent5" w:themeFillTint="33"/>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034EA2" w:themeFill="accent1"/>
      </w:tcPr>
    </w:tblStylePr>
    <w:tblStylePr w:type="firstCol">
      <w:pPr>
        <w:wordWrap/>
        <w:spacing w:beforeLines="0" w:before="120" w:beforeAutospacing="0" w:afterLines="0" w:after="120" w:afterAutospacing="0" w:line="240" w:lineRule="auto"/>
        <w:ind w:leftChars="0" w:left="0" w:rightChars="0" w:right="0"/>
        <w:jc w:val="left"/>
      </w:pPr>
      <w:rPr>
        <w:rFonts w:asciiTheme="minorHAnsi" w:hAnsiTheme="minorHAnsi"/>
        <w:b/>
        <w:i w:val="0"/>
        <w:color w:val="000000" w:themeColor="text1"/>
      </w:rPr>
    </w:tblStylePr>
    <w:tblStylePr w:type="band1Horz">
      <w:rPr>
        <w:rFonts w:asciiTheme="minorHAnsi" w:hAnsiTheme="minorHAnsi"/>
        <w:b w:val="0"/>
        <w:i w:val="0"/>
        <w:color w:val="000000" w:themeColor="text1"/>
        <w:sz w:val="20"/>
      </w:rPr>
      <w:tblPr/>
      <w:tcPr>
        <w:shd w:val="clear" w:color="auto" w:fill="FFFFFF" w:themeFill="background1"/>
      </w:tcPr>
    </w:tblStylePr>
    <w:tblStylePr w:type="band2Horz">
      <w:rPr>
        <w:rFonts w:asciiTheme="minorHAnsi" w:hAnsiTheme="minorHAnsi"/>
        <w:b w:val="0"/>
        <w:color w:val="000000" w:themeColor="text1"/>
        <w:sz w:val="20"/>
      </w:rPr>
      <w:tblPr/>
      <w:tcPr>
        <w:shd w:val="clear" w:color="auto" w:fill="F2F2F2" w:themeFill="background1" w:themeFillShade="F2"/>
      </w:tcPr>
    </w:tblStylePr>
  </w:style>
  <w:style w:type="paragraph" w:styleId="TOCHeading">
    <w:name w:val="TOC Heading"/>
    <w:basedOn w:val="Heading1"/>
    <w:next w:val="Normal"/>
    <w:uiPriority w:val="39"/>
    <w:rsid w:val="008129B5"/>
  </w:style>
  <w:style w:type="character" w:styleId="Hyperlink">
    <w:name w:val="Hyperlink"/>
    <w:basedOn w:val="DefaultParagraphFont"/>
    <w:uiPriority w:val="99"/>
    <w:rsid w:val="00997DD9"/>
    <w:rPr>
      <w:color w:val="000000" w:themeColor="text1"/>
      <w:u w:val="single"/>
    </w:rPr>
  </w:style>
  <w:style w:type="paragraph" w:styleId="TOC1">
    <w:name w:val="toc 1"/>
    <w:basedOn w:val="Normal"/>
    <w:next w:val="Normal"/>
    <w:uiPriority w:val="39"/>
    <w:rsid w:val="007F40F6"/>
    <w:pPr>
      <w:tabs>
        <w:tab w:val="left" w:pos="567"/>
        <w:tab w:val="left" w:pos="851"/>
        <w:tab w:val="left" w:pos="1412"/>
        <w:tab w:val="right" w:pos="9638"/>
      </w:tabs>
      <w:spacing w:before="160" w:after="60"/>
    </w:pPr>
    <w:rPr>
      <w:rFonts w:eastAsiaTheme="minorEastAsia"/>
      <w:noProof/>
      <w:sz w:val="22"/>
      <w:lang w:eastAsia="en-AU"/>
    </w:rPr>
  </w:style>
  <w:style w:type="paragraph" w:styleId="TOC2">
    <w:name w:val="toc 2"/>
    <w:basedOn w:val="Normal"/>
    <w:next w:val="Normal"/>
    <w:uiPriority w:val="39"/>
    <w:rsid w:val="00826B94"/>
    <w:pPr>
      <w:tabs>
        <w:tab w:val="left" w:pos="284"/>
        <w:tab w:val="left" w:pos="1134"/>
        <w:tab w:val="right" w:pos="9638"/>
      </w:tabs>
      <w:spacing w:before="60" w:after="60" w:line="264" w:lineRule="auto"/>
      <w:ind w:firstLine="567"/>
    </w:pPr>
    <w:rPr>
      <w:noProof/>
      <w:sz w:val="22"/>
    </w:rPr>
  </w:style>
  <w:style w:type="paragraph" w:styleId="TOC3">
    <w:name w:val="toc 3"/>
    <w:basedOn w:val="Normal"/>
    <w:next w:val="Normal"/>
    <w:uiPriority w:val="39"/>
    <w:semiHidden/>
    <w:rsid w:val="00B42866"/>
    <w:pPr>
      <w:tabs>
        <w:tab w:val="left" w:pos="1985"/>
        <w:tab w:val="right" w:pos="9338"/>
      </w:tabs>
      <w:spacing w:before="60" w:after="60"/>
      <w:ind w:left="1134" w:right="567"/>
    </w:pPr>
    <w:rPr>
      <w:noProof/>
      <w:sz w:val="19"/>
    </w:rPr>
  </w:style>
  <w:style w:type="table" w:styleId="TableGrid">
    <w:name w:val="Table Grid"/>
    <w:basedOn w:val="TableNormal"/>
    <w:uiPriority w:val="39"/>
    <w:rsid w:val="00CB30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next w:val="BodyText"/>
    <w:uiPriority w:val="11"/>
    <w:qFormat/>
    <w:rsid w:val="00366716"/>
    <w:pPr>
      <w:keepNext/>
    </w:pPr>
    <w:rPr>
      <w:b/>
      <w:color w:val="FFFFFF" w:themeColor="background1"/>
    </w:rPr>
  </w:style>
  <w:style w:type="paragraph" w:customStyle="1" w:styleId="TableBullet">
    <w:name w:val="Table Bullet"/>
    <w:basedOn w:val="Normal"/>
    <w:uiPriority w:val="4"/>
    <w:qFormat/>
    <w:rsid w:val="00FA3D52"/>
    <w:pPr>
      <w:numPr>
        <w:numId w:val="16"/>
      </w:numPr>
      <w:spacing w:before="60" w:after="60"/>
      <w:ind w:left="284" w:hanging="284"/>
    </w:pPr>
    <w:rPr>
      <w:rFonts w:eastAsia="Times New Roman" w:cs="Times New Roman"/>
      <w:szCs w:val="24"/>
      <w:lang w:eastAsia="en-AU"/>
    </w:rPr>
  </w:style>
  <w:style w:type="paragraph" w:customStyle="1" w:styleId="TableNumber">
    <w:name w:val="Table Number"/>
    <w:basedOn w:val="Normal"/>
    <w:uiPriority w:val="4"/>
    <w:rsid w:val="0043490F"/>
    <w:pPr>
      <w:tabs>
        <w:tab w:val="num" w:pos="284"/>
      </w:tabs>
      <w:ind w:left="284" w:hanging="284"/>
      <w:contextualSpacing/>
    </w:pPr>
  </w:style>
  <w:style w:type="character" w:customStyle="1" w:styleId="Heading5Char">
    <w:name w:val="Heading 5 Char"/>
    <w:basedOn w:val="DefaultParagraphFont"/>
    <w:link w:val="Heading5"/>
    <w:uiPriority w:val="9"/>
    <w:rsid w:val="00A10538"/>
    <w:rPr>
      <w:rFonts w:asciiTheme="majorHAnsi" w:eastAsia="Times New Roman" w:hAnsiTheme="majorHAnsi" w:cs="Times New Roman"/>
      <w:bCs/>
      <w:i/>
      <w:iCs/>
      <w:szCs w:val="26"/>
      <w:lang w:eastAsia="en-AU"/>
    </w:rPr>
  </w:style>
  <w:style w:type="character" w:customStyle="1" w:styleId="Heading6Char">
    <w:name w:val="Heading 6 Char"/>
    <w:basedOn w:val="DefaultParagraphFont"/>
    <w:link w:val="Heading6"/>
    <w:uiPriority w:val="9"/>
    <w:semiHidden/>
    <w:rsid w:val="00662FA6"/>
    <w:rPr>
      <w:rFonts w:eastAsia="Times New Roman" w:cs="Times New Roman"/>
      <w:bCs/>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
    <w:name w:val="List Paragraph"/>
    <w:aliases w:val="Bullet Level 1,List Paragraph1,Recommendation,List Paragraph11,SP NON-TABLE LIST (S),List Bullet Cab,CAB - List Bullet,List Paragraph2,AR bullet 1,List Paragraph Number,Bullet point,L,Content descriptions,Bullet Point,Figure_name,Dot pt"/>
    <w:basedOn w:val="Normal"/>
    <w:link w:val="ListParagraphChar"/>
    <w:uiPriority w:val="34"/>
    <w:rsid w:val="00CC6573"/>
    <w:pPr>
      <w:numPr>
        <w:numId w:val="18"/>
      </w:numPr>
      <w:spacing w:after="160"/>
      <w:contextualSpacing/>
    </w:pPr>
    <w:rPr>
      <w:rFonts w:ascii="Arial" w:eastAsia="Times New Roman" w:hAnsi="Arial" w:cs="Arial"/>
      <w:sz w:val="22"/>
      <w:szCs w:val="24"/>
      <w:lang w:eastAsia="en-AU"/>
    </w:rPr>
  </w:style>
  <w:style w:type="paragraph" w:styleId="TOC4">
    <w:name w:val="toc 4"/>
    <w:basedOn w:val="TOC1"/>
    <w:next w:val="Normal"/>
    <w:uiPriority w:val="39"/>
    <w:semiHidden/>
    <w:rsid w:val="00DF01DF"/>
    <w:pPr>
      <w:ind w:left="851" w:hanging="851"/>
    </w:pPr>
  </w:style>
  <w:style w:type="paragraph" w:customStyle="1" w:styleId="AltHeading5">
    <w:name w:val="Alt Heading 5"/>
    <w:basedOn w:val="Heading5"/>
    <w:next w:val="BodyText"/>
    <w:uiPriority w:val="99"/>
    <w:semiHidden/>
    <w:rsid w:val="00912C23"/>
    <w:pPr>
      <w:numPr>
        <w:ilvl w:val="4"/>
        <w:numId w:val="9"/>
      </w:numPr>
    </w:p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83"/>
    <w:qFormat/>
    <w:rsid w:val="00915934"/>
    <w:pPr>
      <w:spacing w:after="160" w:line="259" w:lineRule="auto"/>
      <w:ind w:left="426" w:right="566"/>
    </w:pPr>
    <w:rPr>
      <w:rFonts w:ascii="Arial" w:eastAsia="Calibri" w:hAnsi="Arial" w:cs="Arial"/>
      <w:i/>
      <w:iCs/>
      <w:color w:val="034EA2" w:themeColor="accent1"/>
      <w:sz w:val="22"/>
      <w:szCs w:val="26"/>
    </w:rPr>
  </w:style>
  <w:style w:type="character" w:customStyle="1" w:styleId="QuoteChar">
    <w:name w:val="Quote Char"/>
    <w:basedOn w:val="DefaultParagraphFont"/>
    <w:link w:val="Quote"/>
    <w:uiPriority w:val="83"/>
    <w:rsid w:val="00915934"/>
    <w:rPr>
      <w:rFonts w:ascii="Arial" w:eastAsia="Calibri" w:hAnsi="Arial" w:cs="Arial"/>
      <w:i/>
      <w:iCs/>
      <w:color w:val="034EA2" w:themeColor="accent1"/>
      <w:szCs w:val="26"/>
    </w:rPr>
  </w:style>
  <w:style w:type="paragraph" w:styleId="TOC5">
    <w:name w:val="toc 5"/>
    <w:basedOn w:val="TOC2"/>
    <w:next w:val="Normal"/>
    <w:uiPriority w:val="39"/>
    <w:semiHidden/>
    <w:rsid w:val="0061089F"/>
    <w:pPr>
      <w:tabs>
        <w:tab w:val="left" w:pos="851"/>
      </w:tabs>
      <w:ind w:left="851" w:hanging="851"/>
    </w:pPr>
  </w:style>
  <w:style w:type="paragraph" w:styleId="TOC6">
    <w:name w:val="toc 6"/>
    <w:basedOn w:val="TOC3"/>
    <w:next w:val="Normal"/>
    <w:uiPriority w:val="39"/>
    <w:semiHidden/>
    <w:rsid w:val="0061089F"/>
    <w:pPr>
      <w:tabs>
        <w:tab w:val="left" w:pos="851"/>
      </w:tabs>
      <w:ind w:left="851" w:hanging="851"/>
    </w:pPr>
  </w:style>
  <w:style w:type="paragraph" w:styleId="TOC7">
    <w:name w:val="toc 7"/>
    <w:basedOn w:val="TOC2"/>
    <w:next w:val="Normal"/>
    <w:uiPriority w:val="39"/>
    <w:semiHidden/>
    <w:rsid w:val="003B4DCF"/>
    <w:rPr>
      <w:sz w:val="16"/>
    </w:rPr>
  </w:style>
  <w:style w:type="paragraph" w:styleId="TOC8">
    <w:name w:val="toc 8"/>
    <w:basedOn w:val="Normal"/>
    <w:next w:val="Normal"/>
    <w:uiPriority w:val="39"/>
    <w:semiHidden/>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4041DA"/>
    <w:pPr>
      <w:numPr>
        <w:numId w:val="4"/>
      </w:numPr>
    </w:pPr>
  </w:style>
  <w:style w:type="paragraph" w:styleId="Caption">
    <w:name w:val="caption"/>
    <w:basedOn w:val="Normal"/>
    <w:next w:val="Normal"/>
    <w:uiPriority w:val="35"/>
    <w:qFormat/>
    <w:rsid w:val="00166AD0"/>
    <w:pPr>
      <w:keepNext/>
      <w:tabs>
        <w:tab w:val="left" w:pos="1134"/>
      </w:tabs>
      <w:spacing w:before="240"/>
    </w:pPr>
    <w:rPr>
      <w:i/>
      <w:color w:val="034EA2" w:themeColor="accent1"/>
      <w:sz w:val="18"/>
      <w:szCs w:val="18"/>
      <w:lang w:eastAsia="en-AU"/>
    </w:rPr>
  </w:style>
  <w:style w:type="paragraph" w:customStyle="1" w:styleId="TableBody">
    <w:name w:val="Table Body"/>
    <w:basedOn w:val="Normal"/>
    <w:uiPriority w:val="11"/>
    <w:qFormat/>
    <w:rsid w:val="00022826"/>
    <w:pPr>
      <w:spacing w:before="60" w:after="60"/>
    </w:pPr>
    <w:rPr>
      <w:rFonts w:eastAsia="MS Mincho" w:cs="Times New Roman"/>
      <w:color w:val="000000" w:themeColor="text1"/>
      <w:szCs w:val="20"/>
      <w:lang w:val="en-US"/>
    </w:rPr>
  </w:style>
  <w:style w:type="numbering" w:customStyle="1" w:styleId="ListAlpha">
    <w:name w:val="List_Alpha"/>
    <w:uiPriority w:val="99"/>
    <w:rsid w:val="004041DA"/>
    <w:pPr>
      <w:numPr>
        <w:numId w:val="1"/>
      </w:numPr>
    </w:pPr>
  </w:style>
  <w:style w:type="paragraph" w:styleId="TableofAuthorities">
    <w:name w:val="table of authorities"/>
    <w:basedOn w:val="Normal"/>
    <w:next w:val="Normal"/>
    <w:uiPriority w:val="99"/>
    <w:semiHidden/>
    <w:rsid w:val="00E018FB"/>
    <w:pPr>
      <w:numPr>
        <w:numId w:val="62"/>
      </w:numPr>
    </w:pPr>
  </w:style>
  <w:style w:type="paragraph" w:styleId="TableofFigures">
    <w:name w:val="table of figures"/>
    <w:basedOn w:val="TOC3"/>
    <w:next w:val="Normal"/>
    <w:uiPriority w:val="99"/>
    <w:rsid w:val="007D5C6E"/>
    <w:pPr>
      <w:tabs>
        <w:tab w:val="clear" w:pos="1985"/>
        <w:tab w:val="clear" w:pos="9338"/>
      </w:tabs>
      <w:spacing w:before="160" w:after="160"/>
      <w:ind w:left="907" w:right="0" w:hanging="907"/>
    </w:pPr>
    <w:rPr>
      <w:rFonts w:cstheme="minorHAnsi"/>
      <w:bCs/>
      <w:noProof w:val="0"/>
      <w:sz w:val="20"/>
      <w:szCs w:val="20"/>
    </w:rPr>
  </w:style>
  <w:style w:type="character" w:styleId="FollowedHyperlink">
    <w:name w:val="FollowedHyperlink"/>
    <w:basedOn w:val="DefaultParagraphFont"/>
    <w:uiPriority w:val="99"/>
    <w:semiHidden/>
    <w:rsid w:val="00662FA6"/>
    <w:rPr>
      <w:color w:val="034EA2" w:themeColor="accent1"/>
      <w:u w:val="single"/>
    </w:rPr>
  </w:style>
  <w:style w:type="paragraph" w:customStyle="1" w:styleId="AppendixH1">
    <w:name w:val="Appendix H1"/>
    <w:basedOn w:val="Normal"/>
    <w:next w:val="BodyText"/>
    <w:uiPriority w:val="99"/>
    <w:rsid w:val="00D01AB6"/>
    <w:pPr>
      <w:pageBreakBefore/>
      <w:numPr>
        <w:numId w:val="2"/>
      </w:numPr>
      <w:tabs>
        <w:tab w:val="left" w:pos="2410"/>
      </w:tabs>
      <w:spacing w:before="0" w:after="480"/>
    </w:pPr>
    <w:rPr>
      <w:rFonts w:eastAsia="Calibri" w:cs="Times New Roman"/>
      <w:b/>
      <w:color w:val="034EA2" w:themeColor="accent1"/>
      <w:sz w:val="36"/>
      <w:szCs w:val="36"/>
      <w:lang w:eastAsia="en-AU"/>
    </w:rPr>
  </w:style>
  <w:style w:type="paragraph" w:customStyle="1" w:styleId="AppendixH2">
    <w:name w:val="Appendix H2"/>
    <w:basedOn w:val="Heading2"/>
    <w:next w:val="BodyText"/>
    <w:uiPriority w:val="99"/>
    <w:qFormat/>
    <w:rsid w:val="004F16FE"/>
    <w:pPr>
      <w:numPr>
        <w:numId w:val="0"/>
      </w:numPr>
      <w:tabs>
        <w:tab w:val="left" w:pos="851"/>
      </w:tabs>
    </w:pPr>
    <w:rPr>
      <w:bCs/>
      <w:iCs w:val="0"/>
    </w:rPr>
  </w:style>
  <w:style w:type="paragraph" w:customStyle="1" w:styleId="AppendixH3">
    <w:name w:val="Appendix H3"/>
    <w:basedOn w:val="Heading3"/>
    <w:next w:val="BodyText"/>
    <w:uiPriority w:val="99"/>
    <w:qFormat/>
    <w:rsid w:val="00FF1641"/>
    <w:pPr>
      <w:tabs>
        <w:tab w:val="left" w:pos="851"/>
      </w:tabs>
    </w:pPr>
  </w:style>
  <w:style w:type="table" w:customStyle="1" w:styleId="DHAABFStyle1">
    <w:name w:val="DHA/ABF Style 1"/>
    <w:basedOn w:val="TableNormal"/>
    <w:uiPriority w:val="99"/>
    <w:rsid w:val="00786081"/>
    <w:pPr>
      <w:spacing w:before="120" w:after="120"/>
    </w:pPr>
    <w:rPr>
      <w:color w:val="000000" w:themeColor="text1"/>
      <w:sz w:val="20"/>
      <w:szCs w:val="20"/>
    </w:rPr>
    <w:tblPr>
      <w:tblStyleRowBandSize w:val="1"/>
      <w:tblBorders>
        <w:bottom w:val="single" w:sz="4" w:space="0" w:color="D9D9D9" w:themeColor="background1" w:themeShade="D9"/>
        <w:insideH w:val="single" w:sz="4" w:space="0" w:color="D9D9D9" w:themeColor="background1" w:themeShade="D9"/>
      </w:tblBorders>
    </w:tblPr>
    <w:tblStylePr w:type="firstRow">
      <w:rPr>
        <w:rFonts w:asciiTheme="minorHAnsi" w:hAnsiTheme="minorHAnsi"/>
        <w:b/>
        <w:i w:val="0"/>
      </w:rPr>
      <w:tblPr/>
      <w:tcPr>
        <w:shd w:val="clear" w:color="auto" w:fill="D9D9D9" w:themeFill="background1" w:themeFillShade="D9"/>
      </w:tcPr>
    </w:tblStylePr>
    <w:tblStylePr w:type="lastRow">
      <w:tblPr/>
      <w:tcPr>
        <w:tcBorders>
          <w:top w:val="single" w:sz="18" w:space="0" w:color="D9D9D9" w:themeColor="background1" w:themeShade="D9"/>
          <w:left w:val="nil"/>
          <w:bottom w:val="single" w:sz="18" w:space="0" w:color="D9D9D9" w:themeColor="background1" w:themeShade="D9"/>
          <w:right w:val="nil"/>
          <w:insideH w:val="nil"/>
          <w:insideV w:val="nil"/>
          <w:tl2br w:val="nil"/>
          <w:tr2bl w:val="nil"/>
        </w:tcBorders>
      </w:tcPr>
    </w:tblStylePr>
    <w:tblStylePr w:type="firstCol">
      <w:rPr>
        <w:rFonts w:asciiTheme="minorHAnsi" w:hAnsiTheme="minorHAnsi"/>
        <w:b/>
        <w:i w:val="0"/>
      </w:rPr>
    </w:tblStylePr>
    <w:tblStylePr w:type="band1Horz">
      <w:tblPr/>
      <w:tcPr>
        <w:tcBorders>
          <w:insideH w:val="nil"/>
        </w:tcBorders>
      </w:tcPr>
    </w:tblStylePr>
  </w:style>
  <w:style w:type="paragraph" w:styleId="ListBullet2">
    <w:name w:val="List Bullet 2"/>
    <w:basedOn w:val="ListBullet"/>
    <w:uiPriority w:val="20"/>
    <w:semiHidden/>
    <w:rsid w:val="00997DD9"/>
    <w:pPr>
      <w:numPr>
        <w:ilvl w:val="1"/>
      </w:numPr>
    </w:pPr>
  </w:style>
  <w:style w:type="paragraph" w:styleId="ListBullet3">
    <w:name w:val="List Bullet 3"/>
    <w:basedOn w:val="ListBullet"/>
    <w:uiPriority w:val="20"/>
    <w:semiHidden/>
    <w:rsid w:val="00997DD9"/>
    <w:pPr>
      <w:numPr>
        <w:ilvl w:val="2"/>
      </w:numPr>
    </w:pPr>
  </w:style>
  <w:style w:type="paragraph" w:styleId="ListBullet4">
    <w:name w:val="List Bullet 4"/>
    <w:basedOn w:val="ListBullet"/>
    <w:uiPriority w:val="20"/>
    <w:semiHidden/>
    <w:rsid w:val="00997DD9"/>
    <w:pPr>
      <w:numPr>
        <w:ilvl w:val="3"/>
      </w:numPr>
    </w:pPr>
  </w:style>
  <w:style w:type="paragraph" w:styleId="ListNumber2">
    <w:name w:val="List Number 2"/>
    <w:basedOn w:val="ListBullet2"/>
    <w:uiPriority w:val="21"/>
    <w:semiHidden/>
    <w:rsid w:val="00997DD9"/>
    <w:pPr>
      <w:numPr>
        <w:numId w:val="13"/>
      </w:numPr>
    </w:pPr>
  </w:style>
  <w:style w:type="paragraph" w:styleId="ListNumber3">
    <w:name w:val="List Number 3"/>
    <w:basedOn w:val="ListBullet3"/>
    <w:uiPriority w:val="21"/>
    <w:semiHidden/>
    <w:rsid w:val="00997DD9"/>
    <w:pPr>
      <w:numPr>
        <w:numId w:val="13"/>
      </w:numPr>
    </w:pPr>
  </w:style>
  <w:style w:type="paragraph" w:styleId="ListNumber4">
    <w:name w:val="List Number 4"/>
    <w:basedOn w:val="ListNumber0"/>
    <w:uiPriority w:val="21"/>
    <w:semiHidden/>
    <w:rsid w:val="004F2A3C"/>
    <w:pPr>
      <w:numPr>
        <w:ilvl w:val="3"/>
        <w:numId w:val="13"/>
      </w:numPr>
    </w:pPr>
  </w:style>
  <w:style w:type="paragraph" w:customStyle="1" w:styleId="ListParagraph2">
    <w:name w:val="List Paragraph 2"/>
    <w:basedOn w:val="ListParagraph"/>
    <w:uiPriority w:val="19"/>
    <w:semiHidden/>
    <w:rsid w:val="004F2A3C"/>
    <w:pPr>
      <w:numPr>
        <w:ilvl w:val="1"/>
        <w:numId w:val="8"/>
      </w:numPr>
    </w:pPr>
  </w:style>
  <w:style w:type="paragraph" w:customStyle="1" w:styleId="ListParagraph3">
    <w:name w:val="List Paragraph 3"/>
    <w:basedOn w:val="ListParagraph"/>
    <w:uiPriority w:val="19"/>
    <w:semiHidden/>
    <w:rsid w:val="004F2A3C"/>
    <w:pPr>
      <w:numPr>
        <w:ilvl w:val="2"/>
        <w:numId w:val="8"/>
      </w:numPr>
    </w:pPr>
  </w:style>
  <w:style w:type="paragraph" w:customStyle="1" w:styleId="ListParagraph4">
    <w:name w:val="List Paragraph 4"/>
    <w:basedOn w:val="ListParagraph"/>
    <w:uiPriority w:val="19"/>
    <w:semiHidden/>
    <w:rsid w:val="004F2A3C"/>
    <w:pPr>
      <w:numPr>
        <w:ilvl w:val="3"/>
        <w:numId w:val="8"/>
      </w:numPr>
    </w:pPr>
  </w:style>
  <w:style w:type="paragraph" w:customStyle="1" w:styleId="ListParagraph5">
    <w:name w:val="List Paragraph 5"/>
    <w:basedOn w:val="ListParagraph"/>
    <w:uiPriority w:val="19"/>
    <w:semiHidden/>
    <w:rsid w:val="004F2A3C"/>
    <w:pPr>
      <w:numPr>
        <w:ilvl w:val="4"/>
        <w:numId w:val="8"/>
      </w:numPr>
    </w:pPr>
  </w:style>
  <w:style w:type="paragraph" w:customStyle="1" w:styleId="ListParagraph6">
    <w:name w:val="List Paragraph 6"/>
    <w:basedOn w:val="ListParagraph"/>
    <w:uiPriority w:val="19"/>
    <w:semiHidden/>
    <w:rsid w:val="004F2A3C"/>
    <w:pPr>
      <w:numPr>
        <w:ilvl w:val="5"/>
        <w:numId w:val="8"/>
      </w:numPr>
    </w:pPr>
  </w:style>
  <w:style w:type="numbering" w:customStyle="1" w:styleId="ListBullet0">
    <w:name w:val="List_Bullet"/>
    <w:uiPriority w:val="99"/>
    <w:rsid w:val="002106C4"/>
    <w:pPr>
      <w:numPr>
        <w:numId w:val="3"/>
      </w:numPr>
    </w:pPr>
  </w:style>
  <w:style w:type="numbering" w:customStyle="1" w:styleId="ListNumberedHeadings">
    <w:name w:val="List_NumberedHeadings"/>
    <w:uiPriority w:val="99"/>
    <w:rsid w:val="00912C23"/>
    <w:pPr>
      <w:numPr>
        <w:numId w:val="5"/>
      </w:numPr>
    </w:pPr>
  </w:style>
  <w:style w:type="numbering" w:customStyle="1" w:styleId="ListTableBullet">
    <w:name w:val="List_TableBullet"/>
    <w:uiPriority w:val="99"/>
    <w:rsid w:val="002106C4"/>
    <w:pPr>
      <w:numPr>
        <w:numId w:val="6"/>
      </w:numPr>
    </w:pPr>
  </w:style>
  <w:style w:type="numbering" w:customStyle="1" w:styleId="ListTableNumber">
    <w:name w:val="List_TableNumber"/>
    <w:uiPriority w:val="99"/>
    <w:rsid w:val="003A08A5"/>
    <w:pPr>
      <w:numPr>
        <w:numId w:val="7"/>
      </w:numPr>
    </w:pPr>
  </w:style>
  <w:style w:type="paragraph" w:customStyle="1" w:styleId="TableBullet2">
    <w:name w:val="Table Bullet 2"/>
    <w:basedOn w:val="TableBullet"/>
    <w:uiPriority w:val="4"/>
    <w:rsid w:val="004F2A3C"/>
    <w:pPr>
      <w:numPr>
        <w:ilvl w:val="1"/>
      </w:numPr>
    </w:pPr>
  </w:style>
  <w:style w:type="paragraph" w:customStyle="1" w:styleId="TableNumber2">
    <w:name w:val="Table Number 2"/>
    <w:basedOn w:val="TableNumber"/>
    <w:uiPriority w:val="5"/>
    <w:rsid w:val="004F2A3C"/>
    <w:pPr>
      <w:tabs>
        <w:tab w:val="clear" w:pos="284"/>
        <w:tab w:val="num" w:pos="567"/>
      </w:tabs>
      <w:ind w:left="567" w:hanging="283"/>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character" w:styleId="PlaceholderText">
    <w:name w:val="Placeholder Text"/>
    <w:basedOn w:val="DefaultParagraphFont"/>
    <w:uiPriority w:val="99"/>
    <w:semiHidden/>
    <w:rsid w:val="002106C4"/>
    <w:rPr>
      <w:color w:val="808080"/>
    </w:rPr>
  </w:style>
  <w:style w:type="paragraph" w:customStyle="1" w:styleId="ListAlpha6">
    <w:name w:val="List Alpha 6"/>
    <w:basedOn w:val="ListAlpha4"/>
    <w:uiPriority w:val="19"/>
    <w:semiHidden/>
    <w:rsid w:val="002903A9"/>
    <w:pPr>
      <w:numPr>
        <w:ilvl w:val="0"/>
        <w:numId w:val="0"/>
      </w:numPr>
      <w:tabs>
        <w:tab w:val="num" w:pos="3402"/>
      </w:tabs>
      <w:ind w:left="3402" w:hanging="567"/>
    </w:pPr>
  </w:style>
  <w:style w:type="paragraph" w:customStyle="1" w:styleId="FigureCaption">
    <w:name w:val="Figure Caption"/>
    <w:basedOn w:val="Normal"/>
    <w:semiHidden/>
    <w:qFormat/>
    <w:rsid w:val="001E2C91"/>
  </w:style>
  <w:style w:type="paragraph" w:customStyle="1" w:styleId="FigureStyle">
    <w:name w:val="Figure Style"/>
    <w:basedOn w:val="Normal"/>
    <w:uiPriority w:val="99"/>
    <w:semiHidden/>
    <w:qFormat/>
    <w:rsid w:val="004041DA"/>
    <w:pPr>
      <w:spacing w:line="264" w:lineRule="auto"/>
      <w:jc w:val="center"/>
    </w:pPr>
  </w:style>
  <w:style w:type="numbering" w:customStyle="1" w:styleId="ListFeatureBullet">
    <w:name w:val="List_Feature Bullet"/>
    <w:uiPriority w:val="99"/>
    <w:rsid w:val="00782617"/>
    <w:pPr>
      <w:numPr>
        <w:numId w:val="59"/>
      </w:numPr>
    </w:pPr>
  </w:style>
  <w:style w:type="character" w:styleId="PageNumber">
    <w:name w:val="page number"/>
    <w:basedOn w:val="DefaultParagraphFont"/>
    <w:uiPriority w:val="99"/>
    <w:semiHidden/>
    <w:rsid w:val="0074597C"/>
  </w:style>
  <w:style w:type="paragraph" w:styleId="NoSpacing">
    <w:name w:val="No Spacing"/>
    <w:link w:val="NoSpacingChar"/>
    <w:uiPriority w:val="1"/>
    <w:rsid w:val="009860F9"/>
    <w:pPr>
      <w:spacing w:before="0" w:after="0" w:line="264" w:lineRule="auto"/>
    </w:pPr>
    <w:rPr>
      <w:sz w:val="20"/>
    </w:rPr>
  </w:style>
  <w:style w:type="character" w:styleId="CommentReference">
    <w:name w:val="annotation reference"/>
    <w:basedOn w:val="DefaultParagraphFont"/>
    <w:uiPriority w:val="99"/>
    <w:semiHidden/>
    <w:unhideWhenUsed/>
    <w:rsid w:val="00DC1997"/>
    <w:rPr>
      <w:sz w:val="16"/>
      <w:szCs w:val="16"/>
    </w:rPr>
  </w:style>
  <w:style w:type="paragraph" w:customStyle="1" w:styleId="Protection">
    <w:name w:val="Protection"/>
    <w:basedOn w:val="Normal"/>
    <w:semiHidden/>
    <w:rsid w:val="00E66A44"/>
    <w:pPr>
      <w:jc w:val="center"/>
    </w:pPr>
    <w:rPr>
      <w:rFonts w:ascii="Arial" w:hAnsi="Arial" w:cs="Arial"/>
      <w:b/>
      <w:color w:val="C00000"/>
      <w:sz w:val="28"/>
      <w:szCs w:val="28"/>
    </w:rPr>
  </w:style>
  <w:style w:type="paragraph" w:customStyle="1" w:styleId="ProtectionDeleteMe">
    <w:name w:val="Protection DeleteMe"/>
    <w:basedOn w:val="Protection"/>
    <w:semiHidden/>
    <w:rsid w:val="00E66A44"/>
  </w:style>
  <w:style w:type="paragraph" w:customStyle="1" w:styleId="CoveringDeleteMe">
    <w:name w:val="Covering DeleteMe"/>
    <w:basedOn w:val="Normal"/>
    <w:semiHidden/>
    <w:rsid w:val="008F7847"/>
    <w:pPr>
      <w:jc w:val="center"/>
    </w:pPr>
    <w:rPr>
      <w:b/>
      <w:color w:val="C00000"/>
    </w:rPr>
  </w:style>
  <w:style w:type="character" w:customStyle="1" w:styleId="ListParagraphChar">
    <w:name w:val="List Paragraph Char"/>
    <w:aliases w:val="Bullet Level 1 Char,List Paragraph1 Char,Recommendation Char,List Paragraph11 Char,SP NON-TABLE LIST (S) Char,List Bullet Cab Char,CAB - List Bullet Char,List Paragraph2 Char,AR bullet 1 Char,List Paragraph Number Char,L Char"/>
    <w:basedOn w:val="DefaultParagraphFont"/>
    <w:link w:val="ListParagraph"/>
    <w:uiPriority w:val="34"/>
    <w:qFormat/>
    <w:locked/>
    <w:rsid w:val="00CC6573"/>
    <w:rPr>
      <w:rFonts w:ascii="Arial" w:eastAsia="Times New Roman" w:hAnsi="Arial" w:cs="Arial"/>
      <w:szCs w:val="24"/>
      <w:lang w:eastAsia="en-AU"/>
    </w:rPr>
  </w:style>
  <w:style w:type="paragraph" w:customStyle="1" w:styleId="Heading1numbered">
    <w:name w:val="Heading 1 (numbered)"/>
    <w:basedOn w:val="Heading1"/>
    <w:next w:val="BodyText"/>
    <w:uiPriority w:val="3"/>
    <w:rsid w:val="003C2243"/>
    <w:pPr>
      <w:keepLines w:val="0"/>
      <w:pageBreakBefore/>
      <w:widowControl/>
      <w:numPr>
        <w:numId w:val="10"/>
      </w:numPr>
      <w:spacing w:line="240" w:lineRule="auto"/>
      <w:ind w:left="851" w:hanging="851"/>
    </w:pPr>
    <w:rPr>
      <w:rFonts w:eastAsiaTheme="minorHAnsi" w:cstheme="minorBidi"/>
      <w:bCs w:val="0"/>
      <w:noProof/>
      <w:lang w:eastAsia="en-US"/>
    </w:rPr>
  </w:style>
  <w:style w:type="paragraph" w:customStyle="1" w:styleId="Heading2numbered">
    <w:name w:val="Heading 2 (numbered)"/>
    <w:basedOn w:val="Heading2"/>
    <w:next w:val="BodyText"/>
    <w:uiPriority w:val="3"/>
    <w:rsid w:val="008F1ED9"/>
    <w:pPr>
      <w:keepLines w:val="0"/>
      <w:numPr>
        <w:ilvl w:val="1"/>
        <w:numId w:val="10"/>
      </w:numPr>
      <w:ind w:left="851" w:hanging="851"/>
    </w:pPr>
    <w:rPr>
      <w:rFonts w:eastAsiaTheme="minorHAnsi" w:cstheme="minorBidi"/>
      <w:bCs/>
      <w:iCs w:val="0"/>
      <w:noProof/>
      <w:lang w:eastAsia="en-US"/>
    </w:rPr>
  </w:style>
  <w:style w:type="paragraph" w:customStyle="1" w:styleId="Heading3numbered">
    <w:name w:val="Heading 3 (numbered)"/>
    <w:basedOn w:val="Heading3"/>
    <w:next w:val="BodyText"/>
    <w:uiPriority w:val="3"/>
    <w:rsid w:val="005F38C8"/>
    <w:pPr>
      <w:keepLines w:val="0"/>
      <w:numPr>
        <w:ilvl w:val="2"/>
        <w:numId w:val="10"/>
      </w:numPr>
      <w:spacing w:line="240" w:lineRule="auto"/>
      <w:ind w:left="851" w:hanging="851"/>
    </w:pPr>
    <w:rPr>
      <w:rFonts w:eastAsiaTheme="minorHAnsi" w:cstheme="minorBidi"/>
      <w:bCs w:val="0"/>
      <w:color w:val="000000" w:themeColor="text1"/>
      <w:szCs w:val="20"/>
      <w:lang w:eastAsia="en-US"/>
    </w:rPr>
  </w:style>
  <w:style w:type="paragraph" w:customStyle="1" w:styleId="Heading4numbered">
    <w:name w:val="Heading 4 (numbered)"/>
    <w:basedOn w:val="Heading4"/>
    <w:next w:val="BodyText"/>
    <w:uiPriority w:val="3"/>
    <w:rsid w:val="008036A6"/>
    <w:pPr>
      <w:keepLines w:val="0"/>
      <w:numPr>
        <w:ilvl w:val="3"/>
        <w:numId w:val="10"/>
      </w:numPr>
      <w:spacing w:line="264" w:lineRule="auto"/>
    </w:pPr>
    <w:rPr>
      <w:rFonts w:eastAsiaTheme="minorHAnsi" w:cstheme="minorBidi"/>
      <w:bCs w:val="0"/>
      <w:color w:val="000000" w:themeColor="text1"/>
      <w:lang w:eastAsia="en-US"/>
    </w:rPr>
  </w:style>
  <w:style w:type="paragraph" w:customStyle="1" w:styleId="Heading5numbered">
    <w:name w:val="Heading 5 (numbered)"/>
    <w:basedOn w:val="Heading5"/>
    <w:next w:val="BodyText"/>
    <w:uiPriority w:val="3"/>
    <w:unhideWhenUsed/>
    <w:rsid w:val="008036A6"/>
    <w:pPr>
      <w:keepLines w:val="0"/>
      <w:numPr>
        <w:ilvl w:val="4"/>
        <w:numId w:val="10"/>
      </w:numPr>
      <w:spacing w:line="264" w:lineRule="auto"/>
    </w:pPr>
    <w:rPr>
      <w:rFonts w:asciiTheme="minorHAnsi" w:eastAsiaTheme="minorHAnsi" w:hAnsiTheme="minorHAnsi" w:cstheme="minorBidi"/>
      <w:b/>
      <w:bCs w:val="0"/>
      <w:i w:val="0"/>
      <w:iCs w:val="0"/>
      <w:color w:val="000000" w:themeColor="text1"/>
      <w:szCs w:val="20"/>
      <w:lang w:eastAsia="en-US"/>
    </w:rPr>
  </w:style>
  <w:style w:type="paragraph" w:styleId="ListBullet">
    <w:name w:val="List Bullet"/>
    <w:basedOn w:val="Normal"/>
    <w:uiPriority w:val="20"/>
    <w:rsid w:val="00094C0B"/>
    <w:pPr>
      <w:numPr>
        <w:numId w:val="12"/>
      </w:numPr>
      <w:spacing w:line="264" w:lineRule="auto"/>
    </w:pPr>
  </w:style>
  <w:style w:type="paragraph" w:customStyle="1" w:styleId="ListAlpha0">
    <w:name w:val="List Alpha"/>
    <w:basedOn w:val="Normal"/>
    <w:uiPriority w:val="22"/>
    <w:rsid w:val="006B0706"/>
    <w:pPr>
      <w:numPr>
        <w:numId w:val="15"/>
      </w:numPr>
      <w:spacing w:line="264" w:lineRule="auto"/>
    </w:pPr>
    <w:rPr>
      <w:rFonts w:eastAsia="Times New Roman" w:cs="Times New Roman"/>
      <w:szCs w:val="24"/>
      <w:lang w:eastAsia="en-AU"/>
    </w:rPr>
  </w:style>
  <w:style w:type="paragraph" w:customStyle="1" w:styleId="ListAlpha4">
    <w:name w:val="List Alpha 4"/>
    <w:basedOn w:val="ListAlpha3"/>
    <w:uiPriority w:val="22"/>
    <w:semiHidden/>
    <w:rsid w:val="00E134ED"/>
    <w:pPr>
      <w:numPr>
        <w:ilvl w:val="3"/>
      </w:numPr>
    </w:pPr>
  </w:style>
  <w:style w:type="paragraph" w:customStyle="1" w:styleId="ListAlpha5">
    <w:name w:val="List Alpha 5"/>
    <w:basedOn w:val="ListAlpha4"/>
    <w:uiPriority w:val="22"/>
    <w:semiHidden/>
    <w:rsid w:val="00E134ED"/>
    <w:pPr>
      <w:numPr>
        <w:ilvl w:val="4"/>
      </w:numPr>
    </w:pPr>
  </w:style>
  <w:style w:type="paragraph" w:customStyle="1" w:styleId="ListAlpha3">
    <w:name w:val="List Alpha 3"/>
    <w:basedOn w:val="ListAlpha2"/>
    <w:uiPriority w:val="22"/>
    <w:semiHidden/>
    <w:rsid w:val="00E134ED"/>
    <w:pPr>
      <w:numPr>
        <w:ilvl w:val="2"/>
      </w:numPr>
    </w:pPr>
  </w:style>
  <w:style w:type="paragraph" w:customStyle="1" w:styleId="ListAlpha2">
    <w:name w:val="List Alpha 2"/>
    <w:basedOn w:val="ListAlpha0"/>
    <w:uiPriority w:val="22"/>
    <w:semiHidden/>
    <w:rsid w:val="001E2C91"/>
    <w:pPr>
      <w:numPr>
        <w:ilvl w:val="1"/>
        <w:numId w:val="11"/>
      </w:numPr>
    </w:pPr>
  </w:style>
  <w:style w:type="paragraph" w:styleId="ListNumber5">
    <w:name w:val="List Number 5"/>
    <w:basedOn w:val="ListNumber0"/>
    <w:uiPriority w:val="21"/>
    <w:semiHidden/>
    <w:rsid w:val="002903A9"/>
    <w:pPr>
      <w:tabs>
        <w:tab w:val="num" w:pos="2835"/>
      </w:tabs>
      <w:spacing w:before="0"/>
      <w:ind w:left="2835" w:hanging="567"/>
    </w:pPr>
    <w:rPr>
      <w:rFonts w:eastAsia="Times New Roman" w:cs="Times New Roman"/>
      <w:szCs w:val="24"/>
      <w:lang w:eastAsia="en-AU"/>
    </w:rPr>
  </w:style>
  <w:style w:type="paragraph" w:customStyle="1" w:styleId="ListNumber6">
    <w:name w:val="List Number 6"/>
    <w:basedOn w:val="ListNumber0"/>
    <w:uiPriority w:val="19"/>
    <w:semiHidden/>
    <w:rsid w:val="002903A9"/>
    <w:pPr>
      <w:tabs>
        <w:tab w:val="num" w:pos="3402"/>
      </w:tabs>
      <w:spacing w:before="0"/>
      <w:ind w:left="3402" w:hanging="567"/>
    </w:pPr>
    <w:rPr>
      <w:rFonts w:eastAsia="Times New Roman" w:cs="Times New Roman"/>
      <w:szCs w:val="24"/>
      <w:lang w:eastAsia="en-AU"/>
    </w:rPr>
  </w:style>
  <w:style w:type="paragraph" w:customStyle="1" w:styleId="Linedparagraph">
    <w:name w:val="Lined paragraph"/>
    <w:basedOn w:val="BodyText"/>
    <w:uiPriority w:val="19"/>
    <w:semiHidden/>
    <w:qFormat/>
    <w:rsid w:val="0043490F"/>
    <w:pPr>
      <w:keepLines/>
      <w:pBdr>
        <w:bottom w:val="single" w:sz="4" w:space="4" w:color="D9D9D9" w:themeColor="background2" w:themeShade="D9"/>
        <w:between w:val="single" w:sz="4" w:space="4" w:color="D9D9D9" w:themeColor="background2" w:themeShade="D9"/>
      </w:pBdr>
      <w:contextualSpacing/>
    </w:pPr>
    <w:rPr>
      <w:rFonts w:cstheme="minorBidi"/>
      <w:color w:val="000000" w:themeColor="text1"/>
      <w:szCs w:val="20"/>
    </w:rPr>
  </w:style>
  <w:style w:type="paragraph" w:styleId="ListBullet5">
    <w:name w:val="List Bullet 5"/>
    <w:basedOn w:val="ListBullet4"/>
    <w:uiPriority w:val="20"/>
    <w:semiHidden/>
    <w:rsid w:val="00A23301"/>
    <w:pPr>
      <w:numPr>
        <w:numId w:val="14"/>
      </w:numPr>
      <w:contextualSpacing/>
    </w:pPr>
  </w:style>
  <w:style w:type="paragraph" w:styleId="Subtitle">
    <w:name w:val="Subtitle"/>
    <w:basedOn w:val="Normal"/>
    <w:next w:val="Normal"/>
    <w:link w:val="SubtitleChar"/>
    <w:rsid w:val="00B42866"/>
    <w:pPr>
      <w:numPr>
        <w:ilvl w:val="1"/>
      </w:numPr>
      <w:spacing w:after="160"/>
    </w:pPr>
    <w:rPr>
      <w:rFonts w:eastAsiaTheme="minorEastAsia"/>
      <w:color w:val="000000" w:themeColor="text1"/>
      <w:spacing w:val="15"/>
      <w:sz w:val="36"/>
    </w:rPr>
  </w:style>
  <w:style w:type="character" w:customStyle="1" w:styleId="SubtitleChar">
    <w:name w:val="Subtitle Char"/>
    <w:basedOn w:val="DefaultParagraphFont"/>
    <w:link w:val="Subtitle"/>
    <w:rsid w:val="00B42866"/>
    <w:rPr>
      <w:rFonts w:eastAsiaTheme="minorEastAsia"/>
      <w:color w:val="000000" w:themeColor="text1"/>
      <w:spacing w:val="15"/>
      <w:sz w:val="36"/>
    </w:rPr>
  </w:style>
  <w:style w:type="paragraph" w:styleId="FootnoteText">
    <w:name w:val="footnote text"/>
    <w:basedOn w:val="Normal"/>
    <w:link w:val="FootnoteTextChar"/>
    <w:uiPriority w:val="99"/>
    <w:unhideWhenUsed/>
    <w:rsid w:val="00915934"/>
    <w:pPr>
      <w:spacing w:before="60" w:after="60"/>
    </w:pPr>
    <w:rPr>
      <w:sz w:val="16"/>
      <w:szCs w:val="20"/>
    </w:rPr>
  </w:style>
  <w:style w:type="character" w:customStyle="1" w:styleId="FootnoteTextChar">
    <w:name w:val="Footnote Text Char"/>
    <w:basedOn w:val="DefaultParagraphFont"/>
    <w:link w:val="FootnoteText"/>
    <w:uiPriority w:val="99"/>
    <w:rsid w:val="00915934"/>
    <w:rPr>
      <w:sz w:val="16"/>
      <w:szCs w:val="20"/>
    </w:rPr>
  </w:style>
  <w:style w:type="character" w:styleId="FootnoteReference">
    <w:name w:val="footnote reference"/>
    <w:basedOn w:val="DefaultParagraphFont"/>
    <w:uiPriority w:val="99"/>
    <w:semiHidden/>
    <w:unhideWhenUsed/>
    <w:rsid w:val="00374A1D"/>
    <w:rPr>
      <w:vertAlign w:val="superscript"/>
    </w:rPr>
  </w:style>
  <w:style w:type="table" w:customStyle="1" w:styleId="TableGrid3">
    <w:name w:val="Table Grid3"/>
    <w:basedOn w:val="TableNormal"/>
    <w:next w:val="TableGrid"/>
    <w:uiPriority w:val="39"/>
    <w:rsid w:val="00374A1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374A1D"/>
    <w:pPr>
      <w:spacing w:before="0" w:after="0"/>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
    <w:name w:val="Table Grid1"/>
    <w:basedOn w:val="TableNormal"/>
    <w:next w:val="TableGrid"/>
    <w:uiPriority w:val="39"/>
    <w:rsid w:val="00374A1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374A1D"/>
    <w:pPr>
      <w:spacing w:before="0" w:after="0"/>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4-Accent1">
    <w:name w:val="Grid Table 4 Accent 1"/>
    <w:basedOn w:val="TableNormal"/>
    <w:uiPriority w:val="49"/>
    <w:rsid w:val="00374A1D"/>
    <w:pPr>
      <w:spacing w:after="0"/>
    </w:pPr>
    <w:tblPr>
      <w:tblStyleRowBandSize w:val="1"/>
      <w:tblStyleColBandSize w:val="1"/>
      <w:tblBorders>
        <w:top w:val="single" w:sz="4" w:space="0" w:color="3391FB" w:themeColor="accent1" w:themeTint="99"/>
        <w:left w:val="single" w:sz="4" w:space="0" w:color="3391FB" w:themeColor="accent1" w:themeTint="99"/>
        <w:bottom w:val="single" w:sz="4" w:space="0" w:color="3391FB" w:themeColor="accent1" w:themeTint="99"/>
        <w:right w:val="single" w:sz="4" w:space="0" w:color="3391FB" w:themeColor="accent1" w:themeTint="99"/>
        <w:insideH w:val="single" w:sz="4" w:space="0" w:color="3391FB" w:themeColor="accent1" w:themeTint="99"/>
        <w:insideV w:val="single" w:sz="4" w:space="0" w:color="3391FB" w:themeColor="accent1" w:themeTint="99"/>
      </w:tblBorders>
    </w:tblPr>
    <w:tblStylePr w:type="firstRow">
      <w:rPr>
        <w:b/>
        <w:bCs/>
        <w:color w:val="FFFFFF" w:themeColor="background1"/>
      </w:rPr>
      <w:tblPr/>
      <w:tcPr>
        <w:tcBorders>
          <w:top w:val="single" w:sz="4" w:space="0" w:color="034EA2" w:themeColor="accent1"/>
          <w:left w:val="single" w:sz="4" w:space="0" w:color="034EA2" w:themeColor="accent1"/>
          <w:bottom w:val="single" w:sz="4" w:space="0" w:color="034EA2" w:themeColor="accent1"/>
          <w:right w:val="single" w:sz="4" w:space="0" w:color="034EA2" w:themeColor="accent1"/>
          <w:insideH w:val="nil"/>
          <w:insideV w:val="nil"/>
        </w:tcBorders>
        <w:shd w:val="clear" w:color="auto" w:fill="034EA2" w:themeFill="accent1"/>
      </w:tcPr>
    </w:tblStylePr>
    <w:tblStylePr w:type="lastRow">
      <w:rPr>
        <w:b/>
        <w:bCs/>
      </w:rPr>
      <w:tblPr/>
      <w:tcPr>
        <w:tcBorders>
          <w:top w:val="double" w:sz="4" w:space="0" w:color="034EA2" w:themeColor="accent1"/>
        </w:tcBorders>
      </w:tcPr>
    </w:tblStylePr>
    <w:tblStylePr w:type="firstCol">
      <w:rPr>
        <w:b/>
        <w:bCs/>
      </w:rPr>
    </w:tblStylePr>
    <w:tblStylePr w:type="lastCol">
      <w:rPr>
        <w:b/>
        <w:bCs/>
      </w:rPr>
    </w:tblStylePr>
    <w:tblStylePr w:type="band1Vert">
      <w:tblPr/>
      <w:tcPr>
        <w:shd w:val="clear" w:color="auto" w:fill="BBDAFD" w:themeFill="accent1" w:themeFillTint="33"/>
      </w:tcPr>
    </w:tblStylePr>
    <w:tblStylePr w:type="band1Horz">
      <w:tblPr/>
      <w:tcPr>
        <w:shd w:val="clear" w:color="auto" w:fill="BBDAFD" w:themeFill="accent1" w:themeFillTint="33"/>
      </w:tcPr>
    </w:tblStylePr>
  </w:style>
  <w:style w:type="table" w:styleId="PlainTable1">
    <w:name w:val="Plain Table 1"/>
    <w:basedOn w:val="TableNormal"/>
    <w:uiPriority w:val="41"/>
    <w:rsid w:val="00374A1D"/>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2">
    <w:name w:val="Grid Table 4 - Accent 12"/>
    <w:basedOn w:val="TableNormal"/>
    <w:next w:val="GridTable4-Accent1"/>
    <w:uiPriority w:val="49"/>
    <w:rsid w:val="00374A1D"/>
    <w:pPr>
      <w:spacing w:before="0" w:after="0"/>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51">
    <w:name w:val="Grid Table 2 - Accent 51"/>
    <w:basedOn w:val="TableNormal"/>
    <w:next w:val="GridTable2-Accent5"/>
    <w:uiPriority w:val="47"/>
    <w:rsid w:val="00374A1D"/>
    <w:pPr>
      <w:spacing w:before="0" w:after="0"/>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
    <w:name w:val="Table Grid2"/>
    <w:basedOn w:val="TableNormal"/>
    <w:next w:val="TableGrid"/>
    <w:uiPriority w:val="39"/>
    <w:rsid w:val="00374A1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next w:val="GridTable4-Accent5"/>
    <w:uiPriority w:val="49"/>
    <w:rsid w:val="00374A1D"/>
    <w:pPr>
      <w:spacing w:before="0" w:after="0"/>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5">
    <w:name w:val="Grid Table 2 Accent 5"/>
    <w:basedOn w:val="TableNormal"/>
    <w:uiPriority w:val="47"/>
    <w:rsid w:val="00374A1D"/>
    <w:pPr>
      <w:spacing w:after="0"/>
    </w:pPr>
    <w:tblPr>
      <w:tblStyleRowBandSize w:val="1"/>
      <w:tblStyleColBandSize w:val="1"/>
      <w:tblBorders>
        <w:top w:val="single" w:sz="2" w:space="0" w:color="DFDFDF" w:themeColor="accent5" w:themeTint="99"/>
        <w:bottom w:val="single" w:sz="2" w:space="0" w:color="DFDFDF" w:themeColor="accent5" w:themeTint="99"/>
        <w:insideH w:val="single" w:sz="2" w:space="0" w:color="DFDFDF" w:themeColor="accent5" w:themeTint="99"/>
        <w:insideV w:val="single" w:sz="2" w:space="0" w:color="DFDFDF" w:themeColor="accent5" w:themeTint="99"/>
      </w:tblBorders>
    </w:tblPr>
    <w:tblStylePr w:type="firstRow">
      <w:rPr>
        <w:b/>
        <w:bCs/>
      </w:rPr>
      <w:tblPr/>
      <w:tcPr>
        <w:tcBorders>
          <w:top w:val="nil"/>
          <w:bottom w:val="single" w:sz="12" w:space="0" w:color="DFDFDF" w:themeColor="accent5" w:themeTint="99"/>
          <w:insideH w:val="nil"/>
          <w:insideV w:val="nil"/>
        </w:tcBorders>
        <w:shd w:val="clear" w:color="auto" w:fill="FFFFFF" w:themeFill="background1"/>
      </w:tcPr>
    </w:tblStylePr>
    <w:tblStylePr w:type="lastRow">
      <w:rPr>
        <w:b/>
        <w:bCs/>
      </w:rPr>
      <w:tblPr/>
      <w:tcPr>
        <w:tcBorders>
          <w:top w:val="double" w:sz="2" w:space="0" w:color="DFDF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5" w:themeFillTint="33"/>
      </w:tcPr>
    </w:tblStylePr>
    <w:tblStylePr w:type="band1Horz">
      <w:tblPr/>
      <w:tcPr>
        <w:shd w:val="clear" w:color="auto" w:fill="F4F4F4" w:themeFill="accent5" w:themeFillTint="33"/>
      </w:tcPr>
    </w:tblStylePr>
  </w:style>
  <w:style w:type="table" w:styleId="GridTable4-Accent5">
    <w:name w:val="Grid Table 4 Accent 5"/>
    <w:basedOn w:val="TableNormal"/>
    <w:uiPriority w:val="49"/>
    <w:rsid w:val="00374A1D"/>
    <w:pPr>
      <w:spacing w:after="0"/>
    </w:pPr>
    <w:tblPr>
      <w:tblStyleRowBandSize w:val="1"/>
      <w:tblStyleColBandSize w:val="1"/>
      <w:tblBorders>
        <w:top w:val="single" w:sz="4" w:space="0" w:color="DFDFDF" w:themeColor="accent5" w:themeTint="99"/>
        <w:left w:val="single" w:sz="4" w:space="0" w:color="DFDFDF" w:themeColor="accent5" w:themeTint="99"/>
        <w:bottom w:val="single" w:sz="4" w:space="0" w:color="DFDFDF" w:themeColor="accent5" w:themeTint="99"/>
        <w:right w:val="single" w:sz="4" w:space="0" w:color="DFDFDF" w:themeColor="accent5" w:themeTint="99"/>
        <w:insideH w:val="single" w:sz="4" w:space="0" w:color="DFDFDF" w:themeColor="accent5" w:themeTint="99"/>
        <w:insideV w:val="single" w:sz="4" w:space="0" w:color="DFDFDF" w:themeColor="accent5" w:themeTint="99"/>
      </w:tblBorders>
    </w:tblPr>
    <w:tblStylePr w:type="firstRow">
      <w:rPr>
        <w:b/>
        <w:bCs/>
        <w:color w:val="FFFFFF" w:themeColor="background1"/>
      </w:rPr>
      <w:tblPr/>
      <w:tcPr>
        <w:tcBorders>
          <w:top w:val="single" w:sz="4" w:space="0" w:color="CBCBCB" w:themeColor="accent5"/>
          <w:left w:val="single" w:sz="4" w:space="0" w:color="CBCBCB" w:themeColor="accent5"/>
          <w:bottom w:val="single" w:sz="4" w:space="0" w:color="CBCBCB" w:themeColor="accent5"/>
          <w:right w:val="single" w:sz="4" w:space="0" w:color="CBCBCB" w:themeColor="accent5"/>
          <w:insideH w:val="nil"/>
          <w:insideV w:val="nil"/>
        </w:tcBorders>
        <w:shd w:val="clear" w:color="auto" w:fill="CBCBCB" w:themeFill="accent5"/>
      </w:tcPr>
    </w:tblStylePr>
    <w:tblStylePr w:type="lastRow">
      <w:rPr>
        <w:b/>
        <w:bCs/>
      </w:rPr>
      <w:tblPr/>
      <w:tcPr>
        <w:tcBorders>
          <w:top w:val="double" w:sz="4" w:space="0" w:color="CBCBCB" w:themeColor="accent5"/>
        </w:tcBorders>
      </w:tcPr>
    </w:tblStylePr>
    <w:tblStylePr w:type="firstCol">
      <w:rPr>
        <w:b/>
        <w:bCs/>
      </w:rPr>
    </w:tblStylePr>
    <w:tblStylePr w:type="lastCol">
      <w:rPr>
        <w:b/>
        <w:bCs/>
      </w:rPr>
    </w:tblStylePr>
    <w:tblStylePr w:type="band1Vert">
      <w:tblPr/>
      <w:tcPr>
        <w:shd w:val="clear" w:color="auto" w:fill="F4F4F4" w:themeFill="accent5" w:themeFillTint="33"/>
      </w:tcPr>
    </w:tblStylePr>
    <w:tblStylePr w:type="band1Horz">
      <w:tblPr/>
      <w:tcPr>
        <w:shd w:val="clear" w:color="auto" w:fill="F4F4F4" w:themeFill="accent5" w:themeFillTint="33"/>
      </w:tcPr>
    </w:tblStylePr>
  </w:style>
  <w:style w:type="character" w:customStyle="1" w:styleId="NoSpacingChar">
    <w:name w:val="No Spacing Char"/>
    <w:basedOn w:val="DefaultParagraphFont"/>
    <w:link w:val="NoSpacing"/>
    <w:uiPriority w:val="1"/>
    <w:rsid w:val="00E9705C"/>
    <w:rPr>
      <w:sz w:val="20"/>
    </w:rPr>
  </w:style>
  <w:style w:type="table" w:customStyle="1" w:styleId="GridTable6Colorful-Accent11">
    <w:name w:val="Grid Table 6 Colorful - Accent 11"/>
    <w:basedOn w:val="TableNormal"/>
    <w:next w:val="GridTable6Colorful-Accent1"/>
    <w:uiPriority w:val="51"/>
    <w:rsid w:val="00E9705C"/>
    <w:pPr>
      <w:spacing w:before="0" w:after="0"/>
    </w:pPr>
    <w:rPr>
      <w:color w:val="2F5496"/>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3">
    <w:name w:val="Grid Table 4 - Accent 13"/>
    <w:basedOn w:val="TableNormal"/>
    <w:next w:val="GridTable4-Accent1"/>
    <w:uiPriority w:val="49"/>
    <w:rsid w:val="00E9705C"/>
    <w:pPr>
      <w:spacing w:before="0" w:after="0"/>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Default">
    <w:name w:val="Default"/>
    <w:semiHidden/>
    <w:rsid w:val="00E9705C"/>
    <w:pPr>
      <w:autoSpaceDE w:val="0"/>
      <w:autoSpaceDN w:val="0"/>
      <w:adjustRightInd w:val="0"/>
      <w:spacing w:before="0" w:after="0"/>
    </w:pPr>
    <w:rPr>
      <w:rFonts w:ascii="Times New Roman" w:hAnsi="Times New Roman" w:cs="Times New Roman"/>
      <w:color w:val="000000"/>
      <w:sz w:val="24"/>
      <w:szCs w:val="24"/>
    </w:rPr>
  </w:style>
  <w:style w:type="paragraph" w:customStyle="1" w:styleId="subsection">
    <w:name w:val="subsection"/>
    <w:basedOn w:val="Normal"/>
    <w:rsid w:val="00E9705C"/>
    <w:pPr>
      <w:spacing w:before="100" w:beforeAutospacing="1" w:after="100" w:afterAutospacing="1"/>
    </w:pPr>
    <w:rPr>
      <w:rFonts w:ascii="Times New Roman" w:eastAsia="Times New Roman" w:hAnsi="Times New Roman" w:cs="Times New Roman"/>
      <w:sz w:val="24"/>
      <w:szCs w:val="24"/>
      <w:lang w:eastAsia="en-AU"/>
    </w:rPr>
  </w:style>
  <w:style w:type="table" w:customStyle="1" w:styleId="GridTable2-Accent52">
    <w:name w:val="Grid Table 2 - Accent 52"/>
    <w:basedOn w:val="TableNormal"/>
    <w:next w:val="GridTable2-Accent5"/>
    <w:uiPriority w:val="47"/>
    <w:rsid w:val="00E9705C"/>
    <w:pPr>
      <w:spacing w:before="0" w:after="0"/>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
    <w:name w:val="Grid Table 2 - Accent 11"/>
    <w:basedOn w:val="TableNormal"/>
    <w:next w:val="GridTable2-Accent1"/>
    <w:uiPriority w:val="47"/>
    <w:rsid w:val="00E9705C"/>
    <w:pPr>
      <w:spacing w:before="0" w:after="0"/>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rmalWeb">
    <w:name w:val="Normal (Web)"/>
    <w:basedOn w:val="Normal"/>
    <w:uiPriority w:val="99"/>
    <w:semiHidden/>
    <w:rsid w:val="00E9705C"/>
    <w:pPr>
      <w:spacing w:before="100" w:beforeAutospacing="1" w:after="100" w:afterAutospacing="1"/>
    </w:pPr>
    <w:rPr>
      <w:rFonts w:ascii="Times New Roman" w:eastAsia="Times New Roman" w:hAnsi="Times New Roman" w:cs="Times New Roman"/>
      <w:sz w:val="24"/>
      <w:szCs w:val="24"/>
      <w:lang w:eastAsia="en-AU"/>
    </w:rPr>
  </w:style>
  <w:style w:type="table" w:customStyle="1" w:styleId="TableGrid4">
    <w:name w:val="Table Grid4"/>
    <w:basedOn w:val="TableNormal"/>
    <w:next w:val="TableGrid"/>
    <w:uiPriority w:val="39"/>
    <w:rsid w:val="00E9705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E9705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3">
    <w:name w:val="Bullet 3"/>
    <w:basedOn w:val="Normal"/>
    <w:uiPriority w:val="2"/>
    <w:semiHidden/>
    <w:rsid w:val="00E9705C"/>
    <w:pPr>
      <w:spacing w:line="260" w:lineRule="atLeast"/>
    </w:pPr>
    <w:rPr>
      <w:rFonts w:ascii="Calibri Light" w:hAnsi="Calibri Light"/>
      <w:color w:val="000000"/>
      <w:kern w:val="12"/>
      <w:sz w:val="21"/>
      <w:szCs w:val="20"/>
    </w:rPr>
  </w:style>
  <w:style w:type="character" w:customStyle="1" w:styleId="Bullet2ndlevelChar">
    <w:name w:val="Bullet 2nd level Char"/>
    <w:basedOn w:val="DefaultParagraphFont"/>
    <w:link w:val="Bullet2ndlevel"/>
    <w:uiPriority w:val="2"/>
    <w:rsid w:val="00E06C13"/>
  </w:style>
  <w:style w:type="paragraph" w:customStyle="1" w:styleId="Bullet2ndlevel">
    <w:name w:val="Bullet 2nd level"/>
    <w:next w:val="Bullet3"/>
    <w:link w:val="Bullet2ndlevelChar"/>
    <w:uiPriority w:val="2"/>
    <w:rsid w:val="00E06C13"/>
    <w:pPr>
      <w:numPr>
        <w:numId w:val="42"/>
      </w:numPr>
      <w:tabs>
        <w:tab w:val="num" w:pos="2038"/>
      </w:tabs>
      <w:spacing w:before="120" w:after="120"/>
    </w:pPr>
  </w:style>
  <w:style w:type="character" w:customStyle="1" w:styleId="Strong1">
    <w:name w:val="Strong1"/>
    <w:uiPriority w:val="22"/>
    <w:unhideWhenUsed/>
    <w:rsid w:val="00E9705C"/>
    <w:rPr>
      <w:b/>
      <w:bCs/>
      <w:iCs/>
      <w:color w:val="000000"/>
    </w:rPr>
  </w:style>
  <w:style w:type="paragraph" w:customStyle="1" w:styleId="BodyText0">
    <w:name w:val="_Body Text"/>
    <w:link w:val="BodyTextChar0"/>
    <w:semiHidden/>
    <w:rsid w:val="00E9705C"/>
    <w:pPr>
      <w:spacing w:after="120"/>
    </w:pPr>
    <w:rPr>
      <w:rFonts w:ascii="Univers 45 Light" w:hAnsi="Univers 45 Light"/>
      <w:sz w:val="20"/>
    </w:rPr>
  </w:style>
  <w:style w:type="character" w:customStyle="1" w:styleId="BodyTextChar0">
    <w:name w:val="_Body Text Char"/>
    <w:basedOn w:val="DefaultParagraphFont"/>
    <w:link w:val="BodyText0"/>
    <w:semiHidden/>
    <w:rsid w:val="00D40C4D"/>
    <w:rPr>
      <w:rFonts w:ascii="Univers 45 Light" w:hAnsi="Univers 45 Light"/>
      <w:sz w:val="20"/>
    </w:rPr>
  </w:style>
  <w:style w:type="paragraph" w:styleId="CommentSubject">
    <w:name w:val="annotation subject"/>
    <w:basedOn w:val="Normal"/>
    <w:next w:val="Normal"/>
    <w:link w:val="CommentSubjectChar"/>
    <w:uiPriority w:val="99"/>
    <w:semiHidden/>
    <w:unhideWhenUsed/>
    <w:rsid w:val="006E1918"/>
    <w:pPr>
      <w:spacing w:after="160"/>
    </w:pPr>
    <w:rPr>
      <w:b/>
      <w:bCs/>
      <w:szCs w:val="20"/>
    </w:rPr>
  </w:style>
  <w:style w:type="character" w:customStyle="1" w:styleId="CommentSubjectChar">
    <w:name w:val="Comment Subject Char"/>
    <w:basedOn w:val="DefaultParagraphFont"/>
    <w:link w:val="CommentSubject"/>
    <w:uiPriority w:val="99"/>
    <w:semiHidden/>
    <w:rsid w:val="006E1918"/>
    <w:rPr>
      <w:b/>
      <w:bCs/>
      <w:sz w:val="20"/>
      <w:szCs w:val="20"/>
    </w:rPr>
  </w:style>
  <w:style w:type="paragraph" w:styleId="EndnoteText">
    <w:name w:val="endnote text"/>
    <w:basedOn w:val="Normal"/>
    <w:link w:val="EndnoteTextChar"/>
    <w:uiPriority w:val="99"/>
    <w:semiHidden/>
    <w:unhideWhenUsed/>
    <w:rsid w:val="00E9705C"/>
    <w:rPr>
      <w:szCs w:val="20"/>
    </w:rPr>
  </w:style>
  <w:style w:type="character" w:customStyle="1" w:styleId="EndnoteTextChar">
    <w:name w:val="Endnote Text Char"/>
    <w:basedOn w:val="DefaultParagraphFont"/>
    <w:link w:val="EndnoteText"/>
    <w:uiPriority w:val="99"/>
    <w:semiHidden/>
    <w:rsid w:val="00E9705C"/>
    <w:rPr>
      <w:sz w:val="20"/>
      <w:szCs w:val="20"/>
    </w:rPr>
  </w:style>
  <w:style w:type="character" w:styleId="EndnoteReference">
    <w:name w:val="endnote reference"/>
    <w:basedOn w:val="DefaultParagraphFont"/>
    <w:uiPriority w:val="99"/>
    <w:semiHidden/>
    <w:unhideWhenUsed/>
    <w:rsid w:val="00E9705C"/>
    <w:rPr>
      <w:vertAlign w:val="superscript"/>
    </w:rPr>
  </w:style>
  <w:style w:type="character" w:customStyle="1" w:styleId="UnresolvedMention1">
    <w:name w:val="Unresolved Mention1"/>
    <w:basedOn w:val="DefaultParagraphFont"/>
    <w:uiPriority w:val="99"/>
    <w:semiHidden/>
    <w:unhideWhenUsed/>
    <w:rsid w:val="00E9705C"/>
    <w:rPr>
      <w:color w:val="605E5C"/>
      <w:shd w:val="clear" w:color="auto" w:fill="E1DFDD"/>
    </w:rPr>
  </w:style>
  <w:style w:type="paragraph" w:styleId="Bibliography">
    <w:name w:val="Bibliography"/>
    <w:basedOn w:val="Normal"/>
    <w:next w:val="Normal"/>
    <w:uiPriority w:val="37"/>
    <w:unhideWhenUsed/>
    <w:rsid w:val="00E9705C"/>
    <w:pPr>
      <w:spacing w:after="160" w:line="259" w:lineRule="auto"/>
    </w:pPr>
    <w:rPr>
      <w:sz w:val="22"/>
    </w:rPr>
  </w:style>
  <w:style w:type="table" w:customStyle="1" w:styleId="GridTable4-Accent511">
    <w:name w:val="Grid Table 4 - Accent 511"/>
    <w:basedOn w:val="TableNormal"/>
    <w:next w:val="GridTable4-Accent5"/>
    <w:uiPriority w:val="49"/>
    <w:rsid w:val="00E9705C"/>
    <w:pPr>
      <w:spacing w:before="0" w:after="0"/>
    </w:pPr>
    <w:rPr>
      <w:rFonts w:ascii="Calibri" w:eastAsia="Calibri" w:hAnsi="Calibri" w:cs="Times New Roma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
    <w:name w:val="Grid Table 4 - Accent 52"/>
    <w:basedOn w:val="TableNormal"/>
    <w:next w:val="GridTable4-Accent5"/>
    <w:uiPriority w:val="49"/>
    <w:rsid w:val="00E9705C"/>
    <w:pPr>
      <w:spacing w:before="0" w:after="0"/>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ion">
    <w:name w:val="Revision"/>
    <w:hidden/>
    <w:uiPriority w:val="99"/>
    <w:semiHidden/>
    <w:rsid w:val="00E9705C"/>
    <w:pPr>
      <w:spacing w:before="0" w:after="0"/>
    </w:pPr>
  </w:style>
  <w:style w:type="character" w:customStyle="1" w:styleId="TableHeadingChar">
    <w:name w:val="TableHeading Char"/>
    <w:link w:val="TableHeading0"/>
    <w:semiHidden/>
    <w:locked/>
    <w:rsid w:val="00046200"/>
    <w:rPr>
      <w:rFonts w:ascii="Arial" w:eastAsia="Times New Roman" w:hAnsi="Arial" w:cs="Times New Roman"/>
      <w:b/>
      <w:sz w:val="20"/>
      <w:szCs w:val="20"/>
      <w:lang w:eastAsia="en-AU"/>
    </w:rPr>
  </w:style>
  <w:style w:type="paragraph" w:customStyle="1" w:styleId="TableHeading0">
    <w:name w:val="TableHeading"/>
    <w:basedOn w:val="Normal"/>
    <w:link w:val="TableHeadingChar"/>
    <w:semiHidden/>
    <w:rsid w:val="00E9705C"/>
    <w:rPr>
      <w:rFonts w:ascii="Arial" w:eastAsia="Times New Roman" w:hAnsi="Arial" w:cs="Times New Roman"/>
      <w:b/>
      <w:szCs w:val="20"/>
      <w:lang w:eastAsia="en-AU"/>
    </w:rPr>
  </w:style>
  <w:style w:type="numbering" w:customStyle="1" w:styleId="Style1">
    <w:name w:val="Style1"/>
    <w:uiPriority w:val="99"/>
    <w:rsid w:val="00E9705C"/>
    <w:pPr>
      <w:numPr>
        <w:numId w:val="117"/>
      </w:numPr>
    </w:pPr>
  </w:style>
  <w:style w:type="table" w:customStyle="1" w:styleId="TableGrid11">
    <w:name w:val="Table Grid11"/>
    <w:basedOn w:val="TableNormal"/>
    <w:next w:val="TableGrid"/>
    <w:uiPriority w:val="39"/>
    <w:rsid w:val="00E9705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E9705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rsid w:val="00E9705C"/>
    <w:rPr>
      <w:color w:val="2B579A"/>
      <w:shd w:val="clear" w:color="auto" w:fill="E1DFDD"/>
    </w:rPr>
  </w:style>
  <w:style w:type="character" w:customStyle="1" w:styleId="UnresolvedMention3">
    <w:name w:val="Unresolved Mention3"/>
    <w:basedOn w:val="DefaultParagraphFont"/>
    <w:uiPriority w:val="99"/>
    <w:semiHidden/>
    <w:rsid w:val="00E9705C"/>
    <w:rPr>
      <w:color w:val="605E5C"/>
      <w:shd w:val="clear" w:color="auto" w:fill="E1DFDD"/>
    </w:rPr>
  </w:style>
  <w:style w:type="character" w:customStyle="1" w:styleId="Mention2">
    <w:name w:val="Mention2"/>
    <w:basedOn w:val="DefaultParagraphFont"/>
    <w:uiPriority w:val="99"/>
    <w:semiHidden/>
    <w:rsid w:val="00E9705C"/>
    <w:rPr>
      <w:color w:val="2B579A"/>
      <w:shd w:val="clear" w:color="auto" w:fill="E1DFDD"/>
    </w:rPr>
  </w:style>
  <w:style w:type="table" w:customStyle="1" w:styleId="TableGrid111">
    <w:name w:val="Table Grid111"/>
    <w:basedOn w:val="TableNormal"/>
    <w:uiPriority w:val="39"/>
    <w:rsid w:val="00E9705C"/>
    <w:pPr>
      <w:spacing w:before="0" w:after="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E9705C"/>
    <w:pPr>
      <w:spacing w:before="0" w:after="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E9705C"/>
    <w:pPr>
      <w:spacing w:before="0" w:after="0"/>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TableNormal"/>
    <w:next w:val="PlainTable5"/>
    <w:uiPriority w:val="45"/>
    <w:rsid w:val="00E9705C"/>
    <w:pPr>
      <w:spacing w:before="0" w:after="0"/>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2">
    <w:name w:val="Plain Table 12"/>
    <w:basedOn w:val="TableNormal"/>
    <w:next w:val="PlainTable1"/>
    <w:uiPriority w:val="41"/>
    <w:rsid w:val="00E9705C"/>
    <w:pPr>
      <w:spacing w:before="0" w:after="0"/>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6Colorful-Accent1">
    <w:name w:val="Grid Table 6 Colorful Accent 1"/>
    <w:basedOn w:val="TableNormal"/>
    <w:uiPriority w:val="51"/>
    <w:rsid w:val="00E9705C"/>
    <w:pPr>
      <w:spacing w:after="0"/>
    </w:pPr>
    <w:rPr>
      <w:color w:val="023A79" w:themeColor="accent1" w:themeShade="BF"/>
    </w:rPr>
    <w:tblPr>
      <w:tblStyleRowBandSize w:val="1"/>
      <w:tblStyleColBandSize w:val="1"/>
      <w:tblBorders>
        <w:top w:val="single" w:sz="4" w:space="0" w:color="3391FB" w:themeColor="accent1" w:themeTint="99"/>
        <w:left w:val="single" w:sz="4" w:space="0" w:color="3391FB" w:themeColor="accent1" w:themeTint="99"/>
        <w:bottom w:val="single" w:sz="4" w:space="0" w:color="3391FB" w:themeColor="accent1" w:themeTint="99"/>
        <w:right w:val="single" w:sz="4" w:space="0" w:color="3391FB" w:themeColor="accent1" w:themeTint="99"/>
        <w:insideH w:val="single" w:sz="4" w:space="0" w:color="3391FB" w:themeColor="accent1" w:themeTint="99"/>
        <w:insideV w:val="single" w:sz="4" w:space="0" w:color="3391FB" w:themeColor="accent1" w:themeTint="99"/>
      </w:tblBorders>
    </w:tblPr>
    <w:tblStylePr w:type="firstRow">
      <w:rPr>
        <w:b/>
        <w:bCs/>
      </w:rPr>
      <w:tblPr/>
      <w:tcPr>
        <w:tcBorders>
          <w:bottom w:val="single" w:sz="12" w:space="0" w:color="3391FB" w:themeColor="accent1" w:themeTint="99"/>
        </w:tcBorders>
      </w:tcPr>
    </w:tblStylePr>
    <w:tblStylePr w:type="lastRow">
      <w:rPr>
        <w:b/>
        <w:bCs/>
      </w:rPr>
      <w:tblPr/>
      <w:tcPr>
        <w:tcBorders>
          <w:top w:val="double" w:sz="4" w:space="0" w:color="3391FB" w:themeColor="accent1" w:themeTint="99"/>
        </w:tcBorders>
      </w:tcPr>
    </w:tblStylePr>
    <w:tblStylePr w:type="firstCol">
      <w:rPr>
        <w:b/>
        <w:bCs/>
      </w:rPr>
    </w:tblStylePr>
    <w:tblStylePr w:type="lastCol">
      <w:rPr>
        <w:b/>
        <w:bCs/>
      </w:rPr>
    </w:tblStylePr>
    <w:tblStylePr w:type="band1Vert">
      <w:tblPr/>
      <w:tcPr>
        <w:shd w:val="clear" w:color="auto" w:fill="BBDAFD" w:themeFill="accent1" w:themeFillTint="33"/>
      </w:tcPr>
    </w:tblStylePr>
    <w:tblStylePr w:type="band1Horz">
      <w:tblPr/>
      <w:tcPr>
        <w:shd w:val="clear" w:color="auto" w:fill="BBDAFD" w:themeFill="accent1" w:themeFillTint="33"/>
      </w:tcPr>
    </w:tblStylePr>
  </w:style>
  <w:style w:type="table" w:styleId="GridTable2-Accent1">
    <w:name w:val="Grid Table 2 Accent 1"/>
    <w:basedOn w:val="TableNormal"/>
    <w:uiPriority w:val="47"/>
    <w:rsid w:val="00E9705C"/>
    <w:pPr>
      <w:spacing w:after="0"/>
    </w:pPr>
    <w:tblPr>
      <w:tblStyleRowBandSize w:val="1"/>
      <w:tblStyleColBandSize w:val="1"/>
      <w:tblBorders>
        <w:top w:val="single" w:sz="2" w:space="0" w:color="3391FB" w:themeColor="accent1" w:themeTint="99"/>
        <w:bottom w:val="single" w:sz="2" w:space="0" w:color="3391FB" w:themeColor="accent1" w:themeTint="99"/>
        <w:insideH w:val="single" w:sz="2" w:space="0" w:color="3391FB" w:themeColor="accent1" w:themeTint="99"/>
        <w:insideV w:val="single" w:sz="2" w:space="0" w:color="3391FB" w:themeColor="accent1" w:themeTint="99"/>
      </w:tblBorders>
    </w:tblPr>
    <w:tblStylePr w:type="firstRow">
      <w:rPr>
        <w:b/>
        <w:bCs/>
      </w:rPr>
      <w:tblPr/>
      <w:tcPr>
        <w:tcBorders>
          <w:top w:val="nil"/>
          <w:bottom w:val="single" w:sz="12" w:space="0" w:color="3391FB" w:themeColor="accent1" w:themeTint="99"/>
          <w:insideH w:val="nil"/>
          <w:insideV w:val="nil"/>
        </w:tcBorders>
        <w:shd w:val="clear" w:color="auto" w:fill="FFFFFF" w:themeFill="background1"/>
      </w:tcPr>
    </w:tblStylePr>
    <w:tblStylePr w:type="lastRow">
      <w:rPr>
        <w:b/>
        <w:bCs/>
      </w:rPr>
      <w:tblPr/>
      <w:tcPr>
        <w:tcBorders>
          <w:top w:val="double" w:sz="2" w:space="0" w:color="3391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DAFD" w:themeFill="accent1" w:themeFillTint="33"/>
      </w:tcPr>
    </w:tblStylePr>
    <w:tblStylePr w:type="band1Horz">
      <w:tblPr/>
      <w:tcPr>
        <w:shd w:val="clear" w:color="auto" w:fill="BBDAFD" w:themeFill="accent1" w:themeFillTint="33"/>
      </w:tcPr>
    </w:tblStylePr>
  </w:style>
  <w:style w:type="character" w:styleId="Strong">
    <w:name w:val="Strong"/>
    <w:basedOn w:val="DefaultParagraphFont"/>
    <w:uiPriority w:val="99"/>
    <w:semiHidden/>
    <w:rsid w:val="00E9705C"/>
    <w:rPr>
      <w:b/>
      <w:bCs/>
    </w:rPr>
  </w:style>
  <w:style w:type="table" w:styleId="PlainTable2">
    <w:name w:val="Plain Table 2"/>
    <w:basedOn w:val="TableNormal"/>
    <w:uiPriority w:val="42"/>
    <w:rsid w:val="00E9705C"/>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E9705C"/>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5">
    <w:name w:val="Table Grid5"/>
    <w:basedOn w:val="TableNormal"/>
    <w:next w:val="TableGrid"/>
    <w:uiPriority w:val="39"/>
    <w:rsid w:val="003645A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3645A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645A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645A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4">
    <w:name w:val="Grid Table 4 - Accent 14"/>
    <w:basedOn w:val="TableNormal"/>
    <w:next w:val="GridTable4-Accent1"/>
    <w:uiPriority w:val="49"/>
    <w:rsid w:val="0016730B"/>
    <w:pPr>
      <w:spacing w:before="0" w:after="0"/>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2">
    <w:name w:val="Grid Table 4 - Accent 512"/>
    <w:basedOn w:val="TableNormal"/>
    <w:next w:val="GridTable4-Accent5"/>
    <w:uiPriority w:val="49"/>
    <w:rsid w:val="002561BC"/>
    <w:pPr>
      <w:spacing w:before="0" w:after="0"/>
    </w:pPr>
    <w:rPr>
      <w:rFonts w:ascii="Calibri" w:eastAsia="Calibri" w:hAnsi="Calibri" w:cs="Times New Roma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7">
    <w:name w:val="Table Grid7"/>
    <w:basedOn w:val="TableNormal"/>
    <w:next w:val="TableGrid"/>
    <w:uiPriority w:val="39"/>
    <w:rsid w:val="002561B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561B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561B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5">
    <w:name w:val="Grid Table 4 - Accent 15"/>
    <w:basedOn w:val="TableNormal"/>
    <w:next w:val="GridTable4-Accent1"/>
    <w:uiPriority w:val="49"/>
    <w:rsid w:val="002C399D"/>
    <w:pPr>
      <w:spacing w:before="0" w:after="0"/>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6">
    <w:name w:val="Grid Table 4 - Accent 16"/>
    <w:basedOn w:val="TableNormal"/>
    <w:next w:val="GridTable4-Accent1"/>
    <w:uiPriority w:val="49"/>
    <w:rsid w:val="002C399D"/>
    <w:pPr>
      <w:spacing w:before="0" w:after="0"/>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UnresolvedMention4">
    <w:name w:val="Unresolved Mention4"/>
    <w:basedOn w:val="DefaultParagraphFont"/>
    <w:uiPriority w:val="99"/>
    <w:semiHidden/>
    <w:rsid w:val="00F04478"/>
    <w:rPr>
      <w:color w:val="605E5C"/>
      <w:shd w:val="clear" w:color="auto" w:fill="E1DFDD"/>
    </w:rPr>
  </w:style>
  <w:style w:type="character" w:customStyle="1" w:styleId="Mention3">
    <w:name w:val="Mention3"/>
    <w:basedOn w:val="DefaultParagraphFont"/>
    <w:uiPriority w:val="99"/>
    <w:semiHidden/>
    <w:rsid w:val="00F04478"/>
    <w:rPr>
      <w:color w:val="2B579A"/>
      <w:shd w:val="clear" w:color="auto" w:fill="E1DFDD"/>
    </w:rPr>
  </w:style>
  <w:style w:type="numbering" w:customStyle="1" w:styleId="ListParagraph0">
    <w:name w:val="List Paragraph0"/>
    <w:uiPriority w:val="99"/>
    <w:rsid w:val="003A08A5"/>
    <w:pPr>
      <w:numPr>
        <w:numId w:val="60"/>
      </w:numPr>
    </w:pPr>
  </w:style>
  <w:style w:type="character" w:customStyle="1" w:styleId="normaltextrun">
    <w:name w:val="normaltextrun"/>
    <w:basedOn w:val="DefaultParagraphFont"/>
    <w:rsid w:val="0009211B"/>
  </w:style>
  <w:style w:type="character" w:styleId="Emphasis">
    <w:name w:val="Emphasis"/>
    <w:basedOn w:val="DefaultParagraphFont"/>
    <w:uiPriority w:val="20"/>
    <w:rsid w:val="00515550"/>
    <w:rPr>
      <w:i/>
      <w:iCs/>
    </w:rPr>
  </w:style>
  <w:style w:type="paragraph" w:customStyle="1" w:styleId="Bullet1stlevel">
    <w:name w:val="Bullet 1st level"/>
    <w:basedOn w:val="BodyText"/>
    <w:link w:val="Bullet1stlevelChar"/>
    <w:qFormat/>
    <w:rsid w:val="00ED57E7"/>
    <w:pPr>
      <w:numPr>
        <w:numId w:val="57"/>
      </w:numPr>
    </w:pPr>
    <w:rPr>
      <w:szCs w:val="22"/>
    </w:rPr>
  </w:style>
  <w:style w:type="character" w:customStyle="1" w:styleId="Bullet1stlevelChar">
    <w:name w:val="Bullet 1st level Char"/>
    <w:link w:val="Bullet1stlevel"/>
    <w:rsid w:val="00ED57E7"/>
    <w:rPr>
      <w:rFonts w:cstheme="majorHAnsi"/>
    </w:rPr>
  </w:style>
  <w:style w:type="paragraph" w:customStyle="1" w:styleId="a">
    <w:name w:val="(a)"/>
    <w:basedOn w:val="Normal"/>
    <w:semiHidden/>
    <w:rsid w:val="003802F8"/>
    <w:pPr>
      <w:numPr>
        <w:numId w:val="58"/>
      </w:numPr>
      <w:tabs>
        <w:tab w:val="left" w:pos="567"/>
        <w:tab w:val="left" w:pos="1134"/>
        <w:tab w:val="left" w:pos="1701"/>
      </w:tabs>
      <w:spacing w:line="240" w:lineRule="exact"/>
    </w:pPr>
    <w:rPr>
      <w:rFonts w:ascii="Arial" w:eastAsia="Times New Roman" w:hAnsi="Arial" w:cs="Arial"/>
      <w:szCs w:val="20"/>
      <w:lang w:eastAsia="en-AU"/>
    </w:rPr>
  </w:style>
  <w:style w:type="paragraph" w:customStyle="1" w:styleId="1hzxw">
    <w:name w:val="_1hzxw"/>
    <w:basedOn w:val="Normal"/>
    <w:semiHidden/>
    <w:rsid w:val="00176704"/>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eop">
    <w:name w:val="eop"/>
    <w:basedOn w:val="DefaultParagraphFont"/>
    <w:rsid w:val="006B0388"/>
  </w:style>
  <w:style w:type="character" w:customStyle="1" w:styleId="Style3Char">
    <w:name w:val="Style3 Char"/>
    <w:basedOn w:val="DefaultParagraphFont"/>
    <w:link w:val="Style3"/>
    <w:uiPriority w:val="39"/>
    <w:locked/>
    <w:rsid w:val="006E1918"/>
    <w:rPr>
      <w:b/>
      <w:bCs/>
      <w:sz w:val="20"/>
    </w:rPr>
  </w:style>
  <w:style w:type="paragraph" w:customStyle="1" w:styleId="Style3">
    <w:name w:val="Style3"/>
    <w:basedOn w:val="Normal"/>
    <w:link w:val="Style3Char"/>
    <w:uiPriority w:val="39"/>
    <w:unhideWhenUsed/>
    <w:rsid w:val="00C8332A"/>
    <w:pPr>
      <w:framePr w:hSpace="180" w:wrap="around" w:vAnchor="text" w:hAnchor="margin" w:y="270"/>
    </w:pPr>
    <w:rPr>
      <w:b/>
      <w:bCs/>
    </w:rPr>
  </w:style>
  <w:style w:type="table" w:customStyle="1" w:styleId="GridTable2-Accent53">
    <w:name w:val="Grid Table 2 - Accent 53"/>
    <w:basedOn w:val="TableNormal"/>
    <w:uiPriority w:val="47"/>
    <w:rsid w:val="00C06001"/>
    <w:pPr>
      <w:spacing w:before="0" w:after="0"/>
    </w:p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paywall">
    <w:name w:val="paywall"/>
    <w:basedOn w:val="Normal"/>
    <w:semiHidden/>
    <w:rsid w:val="00DB46B3"/>
    <w:pPr>
      <w:spacing w:before="100" w:beforeAutospacing="1" w:after="100" w:afterAutospacing="1"/>
    </w:pPr>
    <w:rPr>
      <w:rFonts w:ascii="Times New Roman" w:eastAsia="Times New Roman" w:hAnsi="Times New Roman" w:cs="Times New Roman"/>
      <w:sz w:val="24"/>
      <w:szCs w:val="24"/>
      <w:lang w:eastAsia="en-AU"/>
    </w:rPr>
  </w:style>
  <w:style w:type="table" w:customStyle="1" w:styleId="TableGrid51">
    <w:name w:val="Table Grid51"/>
    <w:basedOn w:val="TableNormal"/>
    <w:uiPriority w:val="39"/>
    <w:rsid w:val="00EB40BE"/>
    <w:pPr>
      <w:spacing w:before="0"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rsid w:val="0006159F"/>
    <w:pPr>
      <w:spacing w:before="120" w:after="120"/>
    </w:pPr>
    <w:rPr>
      <w:sz w:val="20"/>
      <w:szCs w:val="18"/>
    </w:rPr>
  </w:style>
  <w:style w:type="character" w:customStyle="1" w:styleId="TabletextChar">
    <w:name w:val="Table text Char"/>
    <w:aliases w:val="b Char,block Char,bt Char,Body text Char,body Char,body text Char,Body Char,t1 Char,taten_body Char,Body Text 1 Char,NoticeText-List Char,body text Char Char Char,body text Char Char Char Char Char Char,Body Text x Char,Body Text Char1"/>
    <w:basedOn w:val="DefaultParagraphFont"/>
    <w:link w:val="Tabletext"/>
    <w:rsid w:val="0006159F"/>
    <w:rPr>
      <w:sz w:val="20"/>
      <w:szCs w:val="18"/>
    </w:rPr>
  </w:style>
  <w:style w:type="character" w:customStyle="1" w:styleId="superscript">
    <w:name w:val="superscript"/>
    <w:basedOn w:val="DefaultParagraphFont"/>
    <w:rsid w:val="000969A2"/>
  </w:style>
  <w:style w:type="table" w:customStyle="1" w:styleId="TableGrid41">
    <w:name w:val="Table Grid41"/>
    <w:basedOn w:val="TableNormal"/>
    <w:next w:val="TableGrid"/>
    <w:uiPriority w:val="39"/>
    <w:rsid w:val="00AD6A3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AD6A3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AD6A3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AD6A3B"/>
    <w:pPr>
      <w:spacing w:before="0" w:after="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sestudytable">
    <w:name w:val="case study table"/>
    <w:basedOn w:val="TableNormal"/>
    <w:uiPriority w:val="99"/>
    <w:rsid w:val="009A1E3E"/>
    <w:pPr>
      <w:spacing w:before="0" w:after="0"/>
    </w:pPr>
    <w:tblPr/>
  </w:style>
  <w:style w:type="table" w:customStyle="1" w:styleId="CASESTUDYTABLE0">
    <w:name w:val="CASE STUDY TABLE"/>
    <w:basedOn w:val="TableNormal"/>
    <w:uiPriority w:val="99"/>
    <w:rsid w:val="00696AD6"/>
    <w:pPr>
      <w:spacing w:before="0" w:after="0"/>
    </w:pPr>
    <w:tblPr/>
  </w:style>
  <w:style w:type="table" w:customStyle="1" w:styleId="TRYAGAIN">
    <w:name w:val="TRY AGAIN"/>
    <w:basedOn w:val="TableNormal"/>
    <w:uiPriority w:val="99"/>
    <w:rsid w:val="00696AD6"/>
    <w:pPr>
      <w:spacing w:before="0" w:after="0"/>
    </w:pPr>
    <w:tblPr/>
  </w:style>
  <w:style w:type="table" w:customStyle="1" w:styleId="DHATable1">
    <w:name w:val="DHA Table1"/>
    <w:basedOn w:val="TableNormal"/>
    <w:uiPriority w:val="99"/>
    <w:rsid w:val="00857BC0"/>
    <w:pPr>
      <w:spacing w:before="120" w:after="120"/>
    </w:pPr>
    <w:rPr>
      <w:color w:val="000000" w:themeColor="text1"/>
      <w:sz w:val="20"/>
      <w:szCs w:val="20"/>
    </w:rPr>
    <w:tblPr>
      <w:tblStyleRowBandSize w:val="1"/>
      <w:tblStyleColBandSize w:val="1"/>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85" w:type="dxa"/>
        <w:right w:w="85" w:type="dxa"/>
      </w:tblCellMar>
    </w:tblPr>
    <w:tcPr>
      <w:shd w:val="clear" w:color="auto" w:fill="F4F4F4" w:themeFill="accent5" w:themeFillTint="33"/>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034EA2" w:themeFill="accent1"/>
      </w:tcPr>
    </w:tblStylePr>
    <w:tblStylePr w:type="firstCol">
      <w:pPr>
        <w:wordWrap/>
        <w:spacing w:beforeLines="0" w:before="120" w:beforeAutospacing="0" w:afterLines="0" w:after="120" w:afterAutospacing="0" w:line="240" w:lineRule="auto"/>
        <w:ind w:leftChars="0" w:left="0" w:rightChars="0" w:right="0"/>
        <w:jc w:val="left"/>
      </w:pPr>
      <w:rPr>
        <w:rFonts w:asciiTheme="minorHAnsi" w:hAnsiTheme="minorHAnsi"/>
        <w:b/>
        <w:i w:val="0"/>
        <w:color w:val="000000" w:themeColor="text1"/>
      </w:rPr>
    </w:tblStylePr>
    <w:tblStylePr w:type="band1Horz">
      <w:rPr>
        <w:rFonts w:asciiTheme="minorHAnsi" w:hAnsiTheme="minorHAnsi"/>
        <w:b w:val="0"/>
        <w:i w:val="0"/>
        <w:color w:val="000000" w:themeColor="text1"/>
        <w:sz w:val="20"/>
      </w:rPr>
      <w:tblPr/>
      <w:tcPr>
        <w:shd w:val="clear" w:color="auto" w:fill="FFFFFF" w:themeFill="background1"/>
      </w:tcPr>
    </w:tblStylePr>
    <w:tblStylePr w:type="band2Horz">
      <w:rPr>
        <w:rFonts w:asciiTheme="minorHAnsi" w:hAnsiTheme="minorHAnsi"/>
        <w:b w:val="0"/>
        <w:color w:val="000000" w:themeColor="text1"/>
        <w:sz w:val="20"/>
      </w:rPr>
      <w:tblPr/>
      <w:tcPr>
        <w:shd w:val="clear" w:color="auto" w:fill="F2F2F2" w:themeFill="background1" w:themeFillShade="F2"/>
      </w:tcPr>
    </w:tblStylePr>
  </w:style>
  <w:style w:type="character" w:customStyle="1" w:styleId="html-italic">
    <w:name w:val="html-italic"/>
    <w:basedOn w:val="DefaultParagraphFont"/>
    <w:semiHidden/>
    <w:rsid w:val="00DC0241"/>
  </w:style>
  <w:style w:type="character" w:customStyle="1" w:styleId="UnresolvedMention5">
    <w:name w:val="Unresolved Mention5"/>
    <w:basedOn w:val="DefaultParagraphFont"/>
    <w:uiPriority w:val="99"/>
    <w:semiHidden/>
    <w:rsid w:val="00D72FBC"/>
    <w:rPr>
      <w:color w:val="605E5C"/>
      <w:shd w:val="clear" w:color="auto" w:fill="E1DFDD"/>
    </w:rPr>
  </w:style>
  <w:style w:type="character" w:customStyle="1" w:styleId="Mention4">
    <w:name w:val="Mention4"/>
    <w:basedOn w:val="DefaultParagraphFont"/>
    <w:uiPriority w:val="99"/>
    <w:semiHidden/>
    <w:rsid w:val="00D72FBC"/>
    <w:rPr>
      <w:color w:val="2B579A"/>
      <w:shd w:val="clear" w:color="auto" w:fill="E1DFDD"/>
    </w:rPr>
  </w:style>
  <w:style w:type="paragraph" w:customStyle="1" w:styleId="Bullet1">
    <w:name w:val="Bullet 1"/>
    <w:basedOn w:val="ListParagraph"/>
    <w:uiPriority w:val="39"/>
    <w:semiHidden/>
    <w:rsid w:val="001E683F"/>
  </w:style>
  <w:style w:type="paragraph" w:customStyle="1" w:styleId="Note">
    <w:name w:val="Note"/>
    <w:basedOn w:val="Normal"/>
    <w:uiPriority w:val="39"/>
    <w:rsid w:val="00F4406B"/>
    <w:pPr>
      <w:spacing w:after="240"/>
    </w:pPr>
    <w:rPr>
      <w:rFonts w:ascii="Arial" w:eastAsia="Calibri" w:hAnsi="Arial" w:cs="Arial"/>
      <w:bCs/>
      <w:sz w:val="18"/>
    </w:rPr>
  </w:style>
  <w:style w:type="paragraph" w:customStyle="1" w:styleId="Divider">
    <w:name w:val="Divider"/>
    <w:basedOn w:val="BodyText"/>
    <w:uiPriority w:val="39"/>
    <w:rsid w:val="00E73273"/>
    <w:pPr>
      <w:spacing w:before="1200"/>
    </w:pPr>
    <w:rPr>
      <w:b/>
      <w:bCs/>
      <w:color w:val="FFFFFF" w:themeColor="background1"/>
      <w:sz w:val="72"/>
      <w:szCs w:val="72"/>
    </w:rPr>
  </w:style>
  <w:style w:type="paragraph" w:customStyle="1" w:styleId="Introtext">
    <w:name w:val="Intro text"/>
    <w:basedOn w:val="BodyText"/>
    <w:uiPriority w:val="39"/>
    <w:rsid w:val="009E4AD1"/>
    <w:pPr>
      <w:spacing w:after="360" w:line="259" w:lineRule="auto"/>
    </w:pPr>
    <w:rPr>
      <w:color w:val="007BC3" w:themeColor="accent2"/>
      <w:sz w:val="24"/>
      <w:szCs w:val="32"/>
    </w:rPr>
  </w:style>
  <w:style w:type="paragraph" w:customStyle="1" w:styleId="Tableriskcategory">
    <w:name w:val="Table risk category"/>
    <w:basedOn w:val="TableBody"/>
    <w:uiPriority w:val="39"/>
    <w:rsid w:val="000C29EB"/>
    <w:pPr>
      <w:spacing w:before="120" w:after="120"/>
      <w:jc w:val="center"/>
    </w:pPr>
    <w:rPr>
      <w:b/>
      <w:bCs/>
      <w:color w:val="FFFFFF" w:themeColor="background1"/>
      <w:sz w:val="16"/>
      <w:szCs w:val="16"/>
    </w:rPr>
  </w:style>
  <w:style w:type="paragraph" w:customStyle="1" w:styleId="Tablesubheading">
    <w:name w:val="Table subheading"/>
    <w:basedOn w:val="TableBody"/>
    <w:uiPriority w:val="39"/>
    <w:rsid w:val="00826B94"/>
    <w:pPr>
      <w:spacing w:before="160"/>
    </w:pPr>
    <w:rPr>
      <w:u w:val="single"/>
    </w:rPr>
  </w:style>
  <w:style w:type="paragraph" w:styleId="CommentText">
    <w:name w:val="annotation text"/>
    <w:basedOn w:val="Normal"/>
    <w:link w:val="CommentTextChar"/>
    <w:uiPriority w:val="99"/>
    <w:semiHidden/>
    <w:unhideWhenUsed/>
    <w:rsid w:val="00AE18C7"/>
    <w:rPr>
      <w:szCs w:val="20"/>
    </w:rPr>
  </w:style>
  <w:style w:type="character" w:customStyle="1" w:styleId="CommentTextChar">
    <w:name w:val="Comment Text Char"/>
    <w:basedOn w:val="DefaultParagraphFont"/>
    <w:link w:val="CommentText"/>
    <w:uiPriority w:val="99"/>
    <w:semiHidden/>
    <w:rsid w:val="00AE18C7"/>
    <w:rPr>
      <w:sz w:val="20"/>
      <w:szCs w:val="20"/>
    </w:rPr>
  </w:style>
  <w:style w:type="character" w:customStyle="1" w:styleId="UnresolvedMention2">
    <w:name w:val="Unresolved Mention2"/>
    <w:basedOn w:val="DefaultParagraphFont"/>
    <w:uiPriority w:val="99"/>
    <w:unhideWhenUsed/>
    <w:rsid w:val="00AE18C7"/>
    <w:rPr>
      <w:color w:val="605E5C"/>
      <w:shd w:val="clear" w:color="auto" w:fill="E1DFDD"/>
    </w:rPr>
  </w:style>
  <w:style w:type="character" w:customStyle="1" w:styleId="Mention5">
    <w:name w:val="Mention5"/>
    <w:basedOn w:val="DefaultParagraphFont"/>
    <w:uiPriority w:val="99"/>
    <w:unhideWhenUsed/>
    <w:rsid w:val="00AE18C7"/>
    <w:rPr>
      <w:color w:val="2B579A"/>
      <w:shd w:val="clear" w:color="auto" w:fill="E1DFDD"/>
    </w:rPr>
  </w:style>
  <w:style w:type="table" w:customStyle="1" w:styleId="DHATable2">
    <w:name w:val="DHA Table2"/>
    <w:basedOn w:val="TableNormal"/>
    <w:uiPriority w:val="99"/>
    <w:rsid w:val="00957658"/>
    <w:pPr>
      <w:spacing w:before="120" w:after="120"/>
    </w:pPr>
    <w:rPr>
      <w:color w:val="000000" w:themeColor="text1"/>
      <w:sz w:val="20"/>
      <w:szCs w:val="20"/>
    </w:rPr>
    <w:tblPr>
      <w:tblStyleRowBandSize w:val="1"/>
      <w:tblStyleColBandSize w:val="1"/>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85" w:type="dxa"/>
        <w:right w:w="85" w:type="dxa"/>
      </w:tblCellMar>
    </w:tblPr>
    <w:tcPr>
      <w:shd w:val="clear" w:color="auto" w:fill="F4F4F4" w:themeFill="accent5" w:themeFillTint="33"/>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034EA2" w:themeFill="accent1"/>
      </w:tcPr>
    </w:tblStylePr>
    <w:tblStylePr w:type="firstCol">
      <w:pPr>
        <w:wordWrap/>
        <w:spacing w:beforeLines="0" w:before="120" w:beforeAutospacing="0" w:afterLines="0" w:after="120" w:afterAutospacing="0" w:line="240" w:lineRule="auto"/>
        <w:ind w:leftChars="0" w:left="0" w:rightChars="0" w:right="0"/>
        <w:jc w:val="left"/>
      </w:pPr>
      <w:rPr>
        <w:rFonts w:asciiTheme="minorHAnsi" w:hAnsiTheme="minorHAnsi"/>
        <w:b/>
        <w:i w:val="0"/>
        <w:color w:val="000000" w:themeColor="text1"/>
      </w:rPr>
    </w:tblStylePr>
    <w:tblStylePr w:type="band1Horz">
      <w:rPr>
        <w:rFonts w:asciiTheme="minorHAnsi" w:hAnsiTheme="minorHAnsi"/>
        <w:b w:val="0"/>
        <w:i w:val="0"/>
        <w:color w:val="000000" w:themeColor="text1"/>
        <w:sz w:val="20"/>
      </w:rPr>
      <w:tblPr/>
      <w:tcPr>
        <w:shd w:val="clear" w:color="auto" w:fill="FFFFFF" w:themeFill="background1"/>
      </w:tcPr>
    </w:tblStylePr>
    <w:tblStylePr w:type="band2Horz">
      <w:rPr>
        <w:rFonts w:asciiTheme="minorHAnsi" w:hAnsiTheme="minorHAnsi"/>
        <w:b w:val="0"/>
        <w:color w:val="000000" w:themeColor="text1"/>
        <w:sz w:val="20"/>
      </w:rPr>
      <w:tblPr/>
      <w:tcPr>
        <w:shd w:val="clear" w:color="auto" w:fill="F2F2F2" w:themeFill="background1" w:themeFillShade="F2"/>
      </w:tcPr>
    </w:tblStylePr>
  </w:style>
  <w:style w:type="table" w:customStyle="1" w:styleId="TableGrid52">
    <w:name w:val="Table Grid52"/>
    <w:basedOn w:val="TableNormal"/>
    <w:next w:val="TableGrid"/>
    <w:uiPriority w:val="39"/>
    <w:rsid w:val="004F1F5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HATable3">
    <w:name w:val="DHA Table3"/>
    <w:basedOn w:val="TableNormal"/>
    <w:uiPriority w:val="99"/>
    <w:rsid w:val="00F775C3"/>
    <w:pPr>
      <w:spacing w:before="120" w:after="120"/>
    </w:pPr>
    <w:rPr>
      <w:color w:val="000000" w:themeColor="text1"/>
      <w:sz w:val="20"/>
      <w:szCs w:val="20"/>
    </w:rPr>
    <w:tblPr>
      <w:tblStyleRowBandSize w:val="1"/>
      <w:tblStyleColBandSize w:val="1"/>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85" w:type="dxa"/>
        <w:right w:w="85" w:type="dxa"/>
      </w:tblCellMar>
    </w:tblPr>
    <w:tcPr>
      <w:shd w:val="clear" w:color="auto" w:fill="F4F4F4" w:themeFill="accent5" w:themeFillTint="33"/>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034EA2" w:themeFill="accent1"/>
      </w:tcPr>
    </w:tblStylePr>
    <w:tblStylePr w:type="firstCol">
      <w:pPr>
        <w:wordWrap/>
        <w:spacing w:beforeLines="0" w:before="120" w:beforeAutospacing="0" w:afterLines="0" w:after="120" w:afterAutospacing="0" w:line="240" w:lineRule="auto"/>
        <w:ind w:leftChars="0" w:left="0" w:rightChars="0" w:right="0"/>
        <w:jc w:val="left"/>
      </w:pPr>
      <w:rPr>
        <w:rFonts w:asciiTheme="minorHAnsi" w:hAnsiTheme="minorHAnsi"/>
        <w:b/>
        <w:i w:val="0"/>
        <w:color w:val="000000" w:themeColor="text1"/>
      </w:rPr>
    </w:tblStylePr>
    <w:tblStylePr w:type="band1Horz">
      <w:rPr>
        <w:rFonts w:asciiTheme="minorHAnsi" w:hAnsiTheme="minorHAnsi"/>
        <w:b w:val="0"/>
        <w:i w:val="0"/>
        <w:color w:val="000000" w:themeColor="text1"/>
        <w:sz w:val="20"/>
      </w:rPr>
      <w:tblPr/>
      <w:tcPr>
        <w:shd w:val="clear" w:color="auto" w:fill="FFFFFF" w:themeFill="background1"/>
      </w:tcPr>
    </w:tblStylePr>
    <w:tblStylePr w:type="band2Horz">
      <w:rPr>
        <w:rFonts w:asciiTheme="minorHAnsi" w:hAnsiTheme="minorHAnsi"/>
        <w:b w:val="0"/>
        <w:color w:val="000000" w:themeColor="text1"/>
        <w:sz w:val="20"/>
      </w:rPr>
      <w:tblPr/>
      <w:tcPr>
        <w:shd w:val="clear" w:color="auto" w:fill="F2F2F2" w:themeFill="background1" w:themeFillShade="F2"/>
      </w:tcPr>
    </w:tblStylePr>
  </w:style>
  <w:style w:type="table" w:customStyle="1" w:styleId="TableGrid1112">
    <w:name w:val="Table Grid1112"/>
    <w:basedOn w:val="TableNormal"/>
    <w:uiPriority w:val="39"/>
    <w:rsid w:val="00F775C3"/>
    <w:pPr>
      <w:spacing w:before="0" w:after="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HATable4">
    <w:name w:val="DHA Table4"/>
    <w:basedOn w:val="TableNormal"/>
    <w:uiPriority w:val="99"/>
    <w:rsid w:val="00FD765A"/>
    <w:pPr>
      <w:spacing w:before="120" w:after="120"/>
    </w:pPr>
    <w:rPr>
      <w:color w:val="000000" w:themeColor="text1"/>
      <w:sz w:val="20"/>
      <w:szCs w:val="20"/>
    </w:rPr>
    <w:tblPr>
      <w:tblStyleRowBandSize w:val="1"/>
      <w:tblStyleColBandSize w:val="1"/>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85" w:type="dxa"/>
        <w:right w:w="85" w:type="dxa"/>
      </w:tblCellMar>
    </w:tblPr>
    <w:tcPr>
      <w:shd w:val="clear" w:color="auto" w:fill="F4F4F4" w:themeFill="accent5" w:themeFillTint="33"/>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034EA2" w:themeFill="accent1"/>
      </w:tcPr>
    </w:tblStylePr>
    <w:tblStylePr w:type="firstCol">
      <w:pPr>
        <w:wordWrap/>
        <w:spacing w:beforeLines="0" w:before="120" w:beforeAutospacing="0" w:afterLines="0" w:after="120" w:afterAutospacing="0" w:line="240" w:lineRule="auto"/>
        <w:ind w:leftChars="0" w:left="0" w:rightChars="0" w:right="0"/>
        <w:jc w:val="left"/>
      </w:pPr>
      <w:rPr>
        <w:rFonts w:asciiTheme="minorHAnsi" w:hAnsiTheme="minorHAnsi"/>
        <w:b/>
        <w:i w:val="0"/>
        <w:color w:val="000000" w:themeColor="text1"/>
      </w:rPr>
    </w:tblStylePr>
    <w:tblStylePr w:type="band1Horz">
      <w:rPr>
        <w:rFonts w:asciiTheme="minorHAnsi" w:hAnsiTheme="minorHAnsi"/>
        <w:b w:val="0"/>
        <w:i w:val="0"/>
        <w:color w:val="000000" w:themeColor="text1"/>
        <w:sz w:val="20"/>
      </w:rPr>
      <w:tblPr/>
      <w:tcPr>
        <w:shd w:val="clear" w:color="auto" w:fill="FFFFFF" w:themeFill="background1"/>
      </w:tcPr>
    </w:tblStylePr>
    <w:tblStylePr w:type="band2Horz">
      <w:rPr>
        <w:rFonts w:asciiTheme="minorHAnsi" w:hAnsiTheme="minorHAnsi"/>
        <w:b w:val="0"/>
        <w:color w:val="000000" w:themeColor="text1"/>
        <w:sz w:val="20"/>
      </w:rPr>
      <w:tblPr/>
      <w:tcPr>
        <w:shd w:val="clear" w:color="auto" w:fill="F2F2F2" w:themeFill="background1" w:themeFillShade="F2"/>
      </w:tcPr>
    </w:tblStylePr>
  </w:style>
  <w:style w:type="table" w:customStyle="1" w:styleId="TableGrid1121">
    <w:name w:val="Table Grid1121"/>
    <w:basedOn w:val="TableNormal"/>
    <w:next w:val="TableGrid"/>
    <w:uiPriority w:val="39"/>
    <w:rsid w:val="00FD765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unhideWhenUsed/>
    <w:rsid w:val="00255011"/>
    <w:rPr>
      <w:color w:val="605E5C"/>
      <w:shd w:val="clear" w:color="auto" w:fill="E1DFDD"/>
    </w:rPr>
  </w:style>
  <w:style w:type="character" w:customStyle="1" w:styleId="Mention6">
    <w:name w:val="Mention6"/>
    <w:basedOn w:val="DefaultParagraphFont"/>
    <w:uiPriority w:val="99"/>
    <w:unhideWhenUsed/>
    <w:rsid w:val="00255011"/>
    <w:rPr>
      <w:color w:val="2B579A"/>
      <w:shd w:val="clear" w:color="auto" w:fill="E1DFDD"/>
    </w:rPr>
  </w:style>
  <w:style w:type="character" w:customStyle="1" w:styleId="UnresolvedMention">
    <w:name w:val="Unresolved Mention"/>
    <w:basedOn w:val="DefaultParagraphFont"/>
    <w:uiPriority w:val="99"/>
    <w:unhideWhenUsed/>
    <w:rsid w:val="00BB7D5F"/>
    <w:rPr>
      <w:color w:val="605E5C"/>
      <w:shd w:val="clear" w:color="auto" w:fill="E1DFDD"/>
    </w:rPr>
  </w:style>
  <w:style w:type="character" w:customStyle="1" w:styleId="Mention">
    <w:name w:val="Mention"/>
    <w:basedOn w:val="DefaultParagraphFont"/>
    <w:uiPriority w:val="99"/>
    <w:unhideWhenUsed/>
    <w:rsid w:val="001E7C2D"/>
    <w:rPr>
      <w:color w:val="2B579A"/>
      <w:shd w:val="clear" w:color="auto" w:fill="E1DFDD"/>
    </w:rPr>
  </w:style>
  <w:style w:type="paragraph" w:customStyle="1" w:styleId="paragraph">
    <w:name w:val="paragraph"/>
    <w:basedOn w:val="Normal"/>
    <w:rsid w:val="00031D4A"/>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7485">
      <w:bodyDiv w:val="1"/>
      <w:marLeft w:val="0"/>
      <w:marRight w:val="0"/>
      <w:marTop w:val="0"/>
      <w:marBottom w:val="0"/>
      <w:divBdr>
        <w:top w:val="none" w:sz="0" w:space="0" w:color="auto"/>
        <w:left w:val="none" w:sz="0" w:space="0" w:color="auto"/>
        <w:bottom w:val="none" w:sz="0" w:space="0" w:color="auto"/>
        <w:right w:val="none" w:sz="0" w:space="0" w:color="auto"/>
      </w:divBdr>
    </w:div>
    <w:div w:id="20016780">
      <w:bodyDiv w:val="1"/>
      <w:marLeft w:val="0"/>
      <w:marRight w:val="0"/>
      <w:marTop w:val="0"/>
      <w:marBottom w:val="0"/>
      <w:divBdr>
        <w:top w:val="none" w:sz="0" w:space="0" w:color="auto"/>
        <w:left w:val="none" w:sz="0" w:space="0" w:color="auto"/>
        <w:bottom w:val="none" w:sz="0" w:space="0" w:color="auto"/>
        <w:right w:val="none" w:sz="0" w:space="0" w:color="auto"/>
      </w:divBdr>
    </w:div>
    <w:div w:id="23021840">
      <w:bodyDiv w:val="1"/>
      <w:marLeft w:val="0"/>
      <w:marRight w:val="0"/>
      <w:marTop w:val="0"/>
      <w:marBottom w:val="0"/>
      <w:divBdr>
        <w:top w:val="none" w:sz="0" w:space="0" w:color="auto"/>
        <w:left w:val="none" w:sz="0" w:space="0" w:color="auto"/>
        <w:bottom w:val="none" w:sz="0" w:space="0" w:color="auto"/>
        <w:right w:val="none" w:sz="0" w:space="0" w:color="auto"/>
      </w:divBdr>
    </w:div>
    <w:div w:id="33165108">
      <w:bodyDiv w:val="1"/>
      <w:marLeft w:val="0"/>
      <w:marRight w:val="0"/>
      <w:marTop w:val="0"/>
      <w:marBottom w:val="0"/>
      <w:divBdr>
        <w:top w:val="none" w:sz="0" w:space="0" w:color="auto"/>
        <w:left w:val="none" w:sz="0" w:space="0" w:color="auto"/>
        <w:bottom w:val="none" w:sz="0" w:space="0" w:color="auto"/>
        <w:right w:val="none" w:sz="0" w:space="0" w:color="auto"/>
      </w:divBdr>
    </w:div>
    <w:div w:id="37322701">
      <w:bodyDiv w:val="1"/>
      <w:marLeft w:val="0"/>
      <w:marRight w:val="0"/>
      <w:marTop w:val="0"/>
      <w:marBottom w:val="0"/>
      <w:divBdr>
        <w:top w:val="none" w:sz="0" w:space="0" w:color="auto"/>
        <w:left w:val="none" w:sz="0" w:space="0" w:color="auto"/>
        <w:bottom w:val="none" w:sz="0" w:space="0" w:color="auto"/>
        <w:right w:val="none" w:sz="0" w:space="0" w:color="auto"/>
      </w:divBdr>
    </w:div>
    <w:div w:id="48312668">
      <w:bodyDiv w:val="1"/>
      <w:marLeft w:val="0"/>
      <w:marRight w:val="0"/>
      <w:marTop w:val="0"/>
      <w:marBottom w:val="0"/>
      <w:divBdr>
        <w:top w:val="none" w:sz="0" w:space="0" w:color="auto"/>
        <w:left w:val="none" w:sz="0" w:space="0" w:color="auto"/>
        <w:bottom w:val="none" w:sz="0" w:space="0" w:color="auto"/>
        <w:right w:val="none" w:sz="0" w:space="0" w:color="auto"/>
      </w:divBdr>
    </w:div>
    <w:div w:id="58359683">
      <w:bodyDiv w:val="1"/>
      <w:marLeft w:val="0"/>
      <w:marRight w:val="0"/>
      <w:marTop w:val="0"/>
      <w:marBottom w:val="0"/>
      <w:divBdr>
        <w:top w:val="none" w:sz="0" w:space="0" w:color="auto"/>
        <w:left w:val="none" w:sz="0" w:space="0" w:color="auto"/>
        <w:bottom w:val="none" w:sz="0" w:space="0" w:color="auto"/>
        <w:right w:val="none" w:sz="0" w:space="0" w:color="auto"/>
      </w:divBdr>
      <w:divsChild>
        <w:div w:id="174155774">
          <w:marLeft w:val="0"/>
          <w:marRight w:val="0"/>
          <w:marTop w:val="0"/>
          <w:marBottom w:val="0"/>
          <w:divBdr>
            <w:top w:val="none" w:sz="0" w:space="0" w:color="auto"/>
            <w:left w:val="none" w:sz="0" w:space="0" w:color="auto"/>
            <w:bottom w:val="none" w:sz="0" w:space="0" w:color="auto"/>
            <w:right w:val="none" w:sz="0" w:space="0" w:color="auto"/>
          </w:divBdr>
          <w:divsChild>
            <w:div w:id="188494178">
              <w:marLeft w:val="0"/>
              <w:marRight w:val="0"/>
              <w:marTop w:val="0"/>
              <w:marBottom w:val="0"/>
              <w:divBdr>
                <w:top w:val="none" w:sz="0" w:space="0" w:color="auto"/>
                <w:left w:val="none" w:sz="0" w:space="0" w:color="auto"/>
                <w:bottom w:val="none" w:sz="0" w:space="0" w:color="auto"/>
                <w:right w:val="none" w:sz="0" w:space="0" w:color="auto"/>
              </w:divBdr>
            </w:div>
          </w:divsChild>
        </w:div>
        <w:div w:id="466944808">
          <w:marLeft w:val="0"/>
          <w:marRight w:val="0"/>
          <w:marTop w:val="0"/>
          <w:marBottom w:val="0"/>
          <w:divBdr>
            <w:top w:val="none" w:sz="0" w:space="0" w:color="auto"/>
            <w:left w:val="none" w:sz="0" w:space="0" w:color="auto"/>
            <w:bottom w:val="none" w:sz="0" w:space="0" w:color="auto"/>
            <w:right w:val="none" w:sz="0" w:space="0" w:color="auto"/>
          </w:divBdr>
          <w:divsChild>
            <w:div w:id="280891170">
              <w:marLeft w:val="0"/>
              <w:marRight w:val="0"/>
              <w:marTop w:val="0"/>
              <w:marBottom w:val="0"/>
              <w:divBdr>
                <w:top w:val="none" w:sz="0" w:space="0" w:color="auto"/>
                <w:left w:val="none" w:sz="0" w:space="0" w:color="auto"/>
                <w:bottom w:val="none" w:sz="0" w:space="0" w:color="auto"/>
                <w:right w:val="none" w:sz="0" w:space="0" w:color="auto"/>
              </w:divBdr>
            </w:div>
            <w:div w:id="473374791">
              <w:marLeft w:val="0"/>
              <w:marRight w:val="0"/>
              <w:marTop w:val="0"/>
              <w:marBottom w:val="0"/>
              <w:divBdr>
                <w:top w:val="none" w:sz="0" w:space="0" w:color="auto"/>
                <w:left w:val="none" w:sz="0" w:space="0" w:color="auto"/>
                <w:bottom w:val="none" w:sz="0" w:space="0" w:color="auto"/>
                <w:right w:val="none" w:sz="0" w:space="0" w:color="auto"/>
              </w:divBdr>
            </w:div>
            <w:div w:id="936599489">
              <w:marLeft w:val="0"/>
              <w:marRight w:val="0"/>
              <w:marTop w:val="0"/>
              <w:marBottom w:val="0"/>
              <w:divBdr>
                <w:top w:val="none" w:sz="0" w:space="0" w:color="auto"/>
                <w:left w:val="none" w:sz="0" w:space="0" w:color="auto"/>
                <w:bottom w:val="none" w:sz="0" w:space="0" w:color="auto"/>
                <w:right w:val="none" w:sz="0" w:space="0" w:color="auto"/>
              </w:divBdr>
            </w:div>
            <w:div w:id="1244410078">
              <w:marLeft w:val="0"/>
              <w:marRight w:val="0"/>
              <w:marTop w:val="0"/>
              <w:marBottom w:val="0"/>
              <w:divBdr>
                <w:top w:val="none" w:sz="0" w:space="0" w:color="auto"/>
                <w:left w:val="none" w:sz="0" w:space="0" w:color="auto"/>
                <w:bottom w:val="none" w:sz="0" w:space="0" w:color="auto"/>
                <w:right w:val="none" w:sz="0" w:space="0" w:color="auto"/>
              </w:divBdr>
            </w:div>
          </w:divsChild>
        </w:div>
        <w:div w:id="1390422583">
          <w:marLeft w:val="0"/>
          <w:marRight w:val="0"/>
          <w:marTop w:val="0"/>
          <w:marBottom w:val="0"/>
          <w:divBdr>
            <w:top w:val="none" w:sz="0" w:space="0" w:color="auto"/>
            <w:left w:val="none" w:sz="0" w:space="0" w:color="auto"/>
            <w:bottom w:val="none" w:sz="0" w:space="0" w:color="auto"/>
            <w:right w:val="none" w:sz="0" w:space="0" w:color="auto"/>
          </w:divBdr>
          <w:divsChild>
            <w:div w:id="4765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2274">
      <w:bodyDiv w:val="1"/>
      <w:marLeft w:val="0"/>
      <w:marRight w:val="0"/>
      <w:marTop w:val="0"/>
      <w:marBottom w:val="0"/>
      <w:divBdr>
        <w:top w:val="none" w:sz="0" w:space="0" w:color="auto"/>
        <w:left w:val="none" w:sz="0" w:space="0" w:color="auto"/>
        <w:bottom w:val="none" w:sz="0" w:space="0" w:color="auto"/>
        <w:right w:val="none" w:sz="0" w:space="0" w:color="auto"/>
      </w:divBdr>
      <w:divsChild>
        <w:div w:id="3867576">
          <w:marLeft w:val="0"/>
          <w:marRight w:val="0"/>
          <w:marTop w:val="0"/>
          <w:marBottom w:val="0"/>
          <w:divBdr>
            <w:top w:val="none" w:sz="0" w:space="0" w:color="auto"/>
            <w:left w:val="none" w:sz="0" w:space="0" w:color="auto"/>
            <w:bottom w:val="none" w:sz="0" w:space="0" w:color="auto"/>
            <w:right w:val="none" w:sz="0" w:space="0" w:color="auto"/>
          </w:divBdr>
        </w:div>
        <w:div w:id="72551300">
          <w:marLeft w:val="0"/>
          <w:marRight w:val="0"/>
          <w:marTop w:val="0"/>
          <w:marBottom w:val="0"/>
          <w:divBdr>
            <w:top w:val="none" w:sz="0" w:space="0" w:color="auto"/>
            <w:left w:val="none" w:sz="0" w:space="0" w:color="auto"/>
            <w:bottom w:val="none" w:sz="0" w:space="0" w:color="auto"/>
            <w:right w:val="none" w:sz="0" w:space="0" w:color="auto"/>
          </w:divBdr>
        </w:div>
        <w:div w:id="1106075357">
          <w:marLeft w:val="0"/>
          <w:marRight w:val="0"/>
          <w:marTop w:val="0"/>
          <w:marBottom w:val="0"/>
          <w:divBdr>
            <w:top w:val="none" w:sz="0" w:space="0" w:color="auto"/>
            <w:left w:val="none" w:sz="0" w:space="0" w:color="auto"/>
            <w:bottom w:val="none" w:sz="0" w:space="0" w:color="auto"/>
            <w:right w:val="none" w:sz="0" w:space="0" w:color="auto"/>
          </w:divBdr>
        </w:div>
        <w:div w:id="1187056948">
          <w:marLeft w:val="0"/>
          <w:marRight w:val="0"/>
          <w:marTop w:val="0"/>
          <w:marBottom w:val="0"/>
          <w:divBdr>
            <w:top w:val="none" w:sz="0" w:space="0" w:color="auto"/>
            <w:left w:val="none" w:sz="0" w:space="0" w:color="auto"/>
            <w:bottom w:val="none" w:sz="0" w:space="0" w:color="auto"/>
            <w:right w:val="none" w:sz="0" w:space="0" w:color="auto"/>
          </w:divBdr>
        </w:div>
        <w:div w:id="2074699143">
          <w:marLeft w:val="0"/>
          <w:marRight w:val="0"/>
          <w:marTop w:val="0"/>
          <w:marBottom w:val="0"/>
          <w:divBdr>
            <w:top w:val="none" w:sz="0" w:space="0" w:color="auto"/>
            <w:left w:val="none" w:sz="0" w:space="0" w:color="auto"/>
            <w:bottom w:val="none" w:sz="0" w:space="0" w:color="auto"/>
            <w:right w:val="none" w:sz="0" w:space="0" w:color="auto"/>
          </w:divBdr>
        </w:div>
      </w:divsChild>
    </w:div>
    <w:div w:id="96869506">
      <w:bodyDiv w:val="1"/>
      <w:marLeft w:val="0"/>
      <w:marRight w:val="0"/>
      <w:marTop w:val="0"/>
      <w:marBottom w:val="0"/>
      <w:divBdr>
        <w:top w:val="none" w:sz="0" w:space="0" w:color="auto"/>
        <w:left w:val="none" w:sz="0" w:space="0" w:color="auto"/>
        <w:bottom w:val="none" w:sz="0" w:space="0" w:color="auto"/>
        <w:right w:val="none" w:sz="0" w:space="0" w:color="auto"/>
      </w:divBdr>
      <w:divsChild>
        <w:div w:id="88893537">
          <w:marLeft w:val="547"/>
          <w:marRight w:val="0"/>
          <w:marTop w:val="0"/>
          <w:marBottom w:val="0"/>
          <w:divBdr>
            <w:top w:val="none" w:sz="0" w:space="0" w:color="auto"/>
            <w:left w:val="none" w:sz="0" w:space="0" w:color="auto"/>
            <w:bottom w:val="none" w:sz="0" w:space="0" w:color="auto"/>
            <w:right w:val="none" w:sz="0" w:space="0" w:color="auto"/>
          </w:divBdr>
        </w:div>
      </w:divsChild>
    </w:div>
    <w:div w:id="97288188">
      <w:bodyDiv w:val="1"/>
      <w:marLeft w:val="0"/>
      <w:marRight w:val="0"/>
      <w:marTop w:val="0"/>
      <w:marBottom w:val="0"/>
      <w:divBdr>
        <w:top w:val="none" w:sz="0" w:space="0" w:color="auto"/>
        <w:left w:val="none" w:sz="0" w:space="0" w:color="auto"/>
        <w:bottom w:val="none" w:sz="0" w:space="0" w:color="auto"/>
        <w:right w:val="none" w:sz="0" w:space="0" w:color="auto"/>
      </w:divBdr>
    </w:div>
    <w:div w:id="145168567">
      <w:bodyDiv w:val="1"/>
      <w:marLeft w:val="0"/>
      <w:marRight w:val="0"/>
      <w:marTop w:val="0"/>
      <w:marBottom w:val="0"/>
      <w:divBdr>
        <w:top w:val="none" w:sz="0" w:space="0" w:color="auto"/>
        <w:left w:val="none" w:sz="0" w:space="0" w:color="auto"/>
        <w:bottom w:val="none" w:sz="0" w:space="0" w:color="auto"/>
        <w:right w:val="none" w:sz="0" w:space="0" w:color="auto"/>
      </w:divBdr>
    </w:div>
    <w:div w:id="182256303">
      <w:bodyDiv w:val="1"/>
      <w:marLeft w:val="0"/>
      <w:marRight w:val="0"/>
      <w:marTop w:val="0"/>
      <w:marBottom w:val="0"/>
      <w:divBdr>
        <w:top w:val="none" w:sz="0" w:space="0" w:color="auto"/>
        <w:left w:val="none" w:sz="0" w:space="0" w:color="auto"/>
        <w:bottom w:val="none" w:sz="0" w:space="0" w:color="auto"/>
        <w:right w:val="none" w:sz="0" w:space="0" w:color="auto"/>
      </w:divBdr>
    </w:div>
    <w:div w:id="208616172">
      <w:bodyDiv w:val="1"/>
      <w:marLeft w:val="0"/>
      <w:marRight w:val="0"/>
      <w:marTop w:val="0"/>
      <w:marBottom w:val="0"/>
      <w:divBdr>
        <w:top w:val="none" w:sz="0" w:space="0" w:color="auto"/>
        <w:left w:val="none" w:sz="0" w:space="0" w:color="auto"/>
        <w:bottom w:val="none" w:sz="0" w:space="0" w:color="auto"/>
        <w:right w:val="none" w:sz="0" w:space="0" w:color="auto"/>
      </w:divBdr>
    </w:div>
    <w:div w:id="225654638">
      <w:bodyDiv w:val="1"/>
      <w:marLeft w:val="0"/>
      <w:marRight w:val="0"/>
      <w:marTop w:val="0"/>
      <w:marBottom w:val="0"/>
      <w:divBdr>
        <w:top w:val="none" w:sz="0" w:space="0" w:color="auto"/>
        <w:left w:val="none" w:sz="0" w:space="0" w:color="auto"/>
        <w:bottom w:val="none" w:sz="0" w:space="0" w:color="auto"/>
        <w:right w:val="none" w:sz="0" w:space="0" w:color="auto"/>
      </w:divBdr>
    </w:div>
    <w:div w:id="254360601">
      <w:bodyDiv w:val="1"/>
      <w:marLeft w:val="0"/>
      <w:marRight w:val="0"/>
      <w:marTop w:val="0"/>
      <w:marBottom w:val="0"/>
      <w:divBdr>
        <w:top w:val="none" w:sz="0" w:space="0" w:color="auto"/>
        <w:left w:val="none" w:sz="0" w:space="0" w:color="auto"/>
        <w:bottom w:val="none" w:sz="0" w:space="0" w:color="auto"/>
        <w:right w:val="none" w:sz="0" w:space="0" w:color="auto"/>
      </w:divBdr>
    </w:div>
    <w:div w:id="297498114">
      <w:bodyDiv w:val="1"/>
      <w:marLeft w:val="0"/>
      <w:marRight w:val="0"/>
      <w:marTop w:val="0"/>
      <w:marBottom w:val="0"/>
      <w:divBdr>
        <w:top w:val="none" w:sz="0" w:space="0" w:color="auto"/>
        <w:left w:val="none" w:sz="0" w:space="0" w:color="auto"/>
        <w:bottom w:val="none" w:sz="0" w:space="0" w:color="auto"/>
        <w:right w:val="none" w:sz="0" w:space="0" w:color="auto"/>
      </w:divBdr>
    </w:div>
    <w:div w:id="306589015">
      <w:bodyDiv w:val="1"/>
      <w:marLeft w:val="0"/>
      <w:marRight w:val="0"/>
      <w:marTop w:val="0"/>
      <w:marBottom w:val="0"/>
      <w:divBdr>
        <w:top w:val="none" w:sz="0" w:space="0" w:color="auto"/>
        <w:left w:val="none" w:sz="0" w:space="0" w:color="auto"/>
        <w:bottom w:val="none" w:sz="0" w:space="0" w:color="auto"/>
        <w:right w:val="none" w:sz="0" w:space="0" w:color="auto"/>
      </w:divBdr>
    </w:div>
    <w:div w:id="306714344">
      <w:bodyDiv w:val="1"/>
      <w:marLeft w:val="0"/>
      <w:marRight w:val="0"/>
      <w:marTop w:val="0"/>
      <w:marBottom w:val="0"/>
      <w:divBdr>
        <w:top w:val="none" w:sz="0" w:space="0" w:color="auto"/>
        <w:left w:val="none" w:sz="0" w:space="0" w:color="auto"/>
        <w:bottom w:val="none" w:sz="0" w:space="0" w:color="auto"/>
        <w:right w:val="none" w:sz="0" w:space="0" w:color="auto"/>
      </w:divBdr>
      <w:divsChild>
        <w:div w:id="1143426074">
          <w:marLeft w:val="576"/>
          <w:marRight w:val="0"/>
          <w:marTop w:val="0"/>
          <w:marBottom w:val="80"/>
          <w:divBdr>
            <w:top w:val="none" w:sz="0" w:space="0" w:color="auto"/>
            <w:left w:val="none" w:sz="0" w:space="0" w:color="auto"/>
            <w:bottom w:val="none" w:sz="0" w:space="0" w:color="auto"/>
            <w:right w:val="none" w:sz="0" w:space="0" w:color="auto"/>
          </w:divBdr>
        </w:div>
        <w:div w:id="1351491644">
          <w:marLeft w:val="576"/>
          <w:marRight w:val="0"/>
          <w:marTop w:val="0"/>
          <w:marBottom w:val="80"/>
          <w:divBdr>
            <w:top w:val="none" w:sz="0" w:space="0" w:color="auto"/>
            <w:left w:val="none" w:sz="0" w:space="0" w:color="auto"/>
            <w:bottom w:val="none" w:sz="0" w:space="0" w:color="auto"/>
            <w:right w:val="none" w:sz="0" w:space="0" w:color="auto"/>
          </w:divBdr>
        </w:div>
        <w:div w:id="1354260714">
          <w:marLeft w:val="576"/>
          <w:marRight w:val="0"/>
          <w:marTop w:val="0"/>
          <w:marBottom w:val="80"/>
          <w:divBdr>
            <w:top w:val="none" w:sz="0" w:space="0" w:color="auto"/>
            <w:left w:val="none" w:sz="0" w:space="0" w:color="auto"/>
            <w:bottom w:val="none" w:sz="0" w:space="0" w:color="auto"/>
            <w:right w:val="none" w:sz="0" w:space="0" w:color="auto"/>
          </w:divBdr>
        </w:div>
      </w:divsChild>
    </w:div>
    <w:div w:id="314335791">
      <w:bodyDiv w:val="1"/>
      <w:marLeft w:val="0"/>
      <w:marRight w:val="0"/>
      <w:marTop w:val="0"/>
      <w:marBottom w:val="0"/>
      <w:divBdr>
        <w:top w:val="none" w:sz="0" w:space="0" w:color="auto"/>
        <w:left w:val="none" w:sz="0" w:space="0" w:color="auto"/>
        <w:bottom w:val="none" w:sz="0" w:space="0" w:color="auto"/>
        <w:right w:val="none" w:sz="0" w:space="0" w:color="auto"/>
      </w:divBdr>
    </w:div>
    <w:div w:id="331759084">
      <w:bodyDiv w:val="1"/>
      <w:marLeft w:val="0"/>
      <w:marRight w:val="0"/>
      <w:marTop w:val="0"/>
      <w:marBottom w:val="0"/>
      <w:divBdr>
        <w:top w:val="none" w:sz="0" w:space="0" w:color="auto"/>
        <w:left w:val="none" w:sz="0" w:space="0" w:color="auto"/>
        <w:bottom w:val="none" w:sz="0" w:space="0" w:color="auto"/>
        <w:right w:val="none" w:sz="0" w:space="0" w:color="auto"/>
      </w:divBdr>
    </w:div>
    <w:div w:id="336155604">
      <w:bodyDiv w:val="1"/>
      <w:marLeft w:val="0"/>
      <w:marRight w:val="0"/>
      <w:marTop w:val="0"/>
      <w:marBottom w:val="0"/>
      <w:divBdr>
        <w:top w:val="none" w:sz="0" w:space="0" w:color="auto"/>
        <w:left w:val="none" w:sz="0" w:space="0" w:color="auto"/>
        <w:bottom w:val="none" w:sz="0" w:space="0" w:color="auto"/>
        <w:right w:val="none" w:sz="0" w:space="0" w:color="auto"/>
      </w:divBdr>
    </w:div>
    <w:div w:id="340863325">
      <w:bodyDiv w:val="1"/>
      <w:marLeft w:val="0"/>
      <w:marRight w:val="0"/>
      <w:marTop w:val="0"/>
      <w:marBottom w:val="0"/>
      <w:divBdr>
        <w:top w:val="none" w:sz="0" w:space="0" w:color="auto"/>
        <w:left w:val="none" w:sz="0" w:space="0" w:color="auto"/>
        <w:bottom w:val="none" w:sz="0" w:space="0" w:color="auto"/>
        <w:right w:val="none" w:sz="0" w:space="0" w:color="auto"/>
      </w:divBdr>
    </w:div>
    <w:div w:id="344478217">
      <w:bodyDiv w:val="1"/>
      <w:marLeft w:val="0"/>
      <w:marRight w:val="0"/>
      <w:marTop w:val="0"/>
      <w:marBottom w:val="0"/>
      <w:divBdr>
        <w:top w:val="none" w:sz="0" w:space="0" w:color="auto"/>
        <w:left w:val="none" w:sz="0" w:space="0" w:color="auto"/>
        <w:bottom w:val="none" w:sz="0" w:space="0" w:color="auto"/>
        <w:right w:val="none" w:sz="0" w:space="0" w:color="auto"/>
      </w:divBdr>
      <w:divsChild>
        <w:div w:id="433014252">
          <w:marLeft w:val="0"/>
          <w:marRight w:val="0"/>
          <w:marTop w:val="0"/>
          <w:marBottom w:val="0"/>
          <w:divBdr>
            <w:top w:val="none" w:sz="0" w:space="0" w:color="auto"/>
            <w:left w:val="none" w:sz="0" w:space="0" w:color="auto"/>
            <w:bottom w:val="none" w:sz="0" w:space="0" w:color="auto"/>
            <w:right w:val="none" w:sz="0" w:space="0" w:color="auto"/>
          </w:divBdr>
          <w:divsChild>
            <w:div w:id="328292012">
              <w:marLeft w:val="0"/>
              <w:marRight w:val="0"/>
              <w:marTop w:val="0"/>
              <w:marBottom w:val="0"/>
              <w:divBdr>
                <w:top w:val="none" w:sz="0" w:space="0" w:color="auto"/>
                <w:left w:val="none" w:sz="0" w:space="0" w:color="auto"/>
                <w:bottom w:val="none" w:sz="0" w:space="0" w:color="auto"/>
                <w:right w:val="none" w:sz="0" w:space="0" w:color="auto"/>
              </w:divBdr>
            </w:div>
          </w:divsChild>
        </w:div>
        <w:div w:id="678388613">
          <w:marLeft w:val="0"/>
          <w:marRight w:val="0"/>
          <w:marTop w:val="0"/>
          <w:marBottom w:val="0"/>
          <w:divBdr>
            <w:top w:val="none" w:sz="0" w:space="0" w:color="auto"/>
            <w:left w:val="none" w:sz="0" w:space="0" w:color="auto"/>
            <w:bottom w:val="none" w:sz="0" w:space="0" w:color="auto"/>
            <w:right w:val="none" w:sz="0" w:space="0" w:color="auto"/>
          </w:divBdr>
        </w:div>
        <w:div w:id="1508639534">
          <w:marLeft w:val="0"/>
          <w:marRight w:val="0"/>
          <w:marTop w:val="0"/>
          <w:marBottom w:val="0"/>
          <w:divBdr>
            <w:top w:val="none" w:sz="0" w:space="0" w:color="auto"/>
            <w:left w:val="none" w:sz="0" w:space="0" w:color="auto"/>
            <w:bottom w:val="none" w:sz="0" w:space="0" w:color="auto"/>
            <w:right w:val="none" w:sz="0" w:space="0" w:color="auto"/>
          </w:divBdr>
          <w:divsChild>
            <w:div w:id="40553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743508">
      <w:bodyDiv w:val="1"/>
      <w:marLeft w:val="0"/>
      <w:marRight w:val="0"/>
      <w:marTop w:val="0"/>
      <w:marBottom w:val="0"/>
      <w:divBdr>
        <w:top w:val="none" w:sz="0" w:space="0" w:color="auto"/>
        <w:left w:val="none" w:sz="0" w:space="0" w:color="auto"/>
        <w:bottom w:val="none" w:sz="0" w:space="0" w:color="auto"/>
        <w:right w:val="none" w:sz="0" w:space="0" w:color="auto"/>
      </w:divBdr>
    </w:div>
    <w:div w:id="380524674">
      <w:bodyDiv w:val="1"/>
      <w:marLeft w:val="0"/>
      <w:marRight w:val="0"/>
      <w:marTop w:val="0"/>
      <w:marBottom w:val="0"/>
      <w:divBdr>
        <w:top w:val="none" w:sz="0" w:space="0" w:color="auto"/>
        <w:left w:val="none" w:sz="0" w:space="0" w:color="auto"/>
        <w:bottom w:val="none" w:sz="0" w:space="0" w:color="auto"/>
        <w:right w:val="none" w:sz="0" w:space="0" w:color="auto"/>
      </w:divBdr>
    </w:div>
    <w:div w:id="381564135">
      <w:bodyDiv w:val="1"/>
      <w:marLeft w:val="0"/>
      <w:marRight w:val="0"/>
      <w:marTop w:val="0"/>
      <w:marBottom w:val="0"/>
      <w:divBdr>
        <w:top w:val="none" w:sz="0" w:space="0" w:color="auto"/>
        <w:left w:val="none" w:sz="0" w:space="0" w:color="auto"/>
        <w:bottom w:val="none" w:sz="0" w:space="0" w:color="auto"/>
        <w:right w:val="none" w:sz="0" w:space="0" w:color="auto"/>
      </w:divBdr>
    </w:div>
    <w:div w:id="394552904">
      <w:bodyDiv w:val="1"/>
      <w:marLeft w:val="0"/>
      <w:marRight w:val="0"/>
      <w:marTop w:val="0"/>
      <w:marBottom w:val="0"/>
      <w:divBdr>
        <w:top w:val="none" w:sz="0" w:space="0" w:color="auto"/>
        <w:left w:val="none" w:sz="0" w:space="0" w:color="auto"/>
        <w:bottom w:val="none" w:sz="0" w:space="0" w:color="auto"/>
        <w:right w:val="none" w:sz="0" w:space="0" w:color="auto"/>
      </w:divBdr>
    </w:div>
    <w:div w:id="415789061">
      <w:bodyDiv w:val="1"/>
      <w:marLeft w:val="0"/>
      <w:marRight w:val="0"/>
      <w:marTop w:val="0"/>
      <w:marBottom w:val="0"/>
      <w:divBdr>
        <w:top w:val="none" w:sz="0" w:space="0" w:color="auto"/>
        <w:left w:val="none" w:sz="0" w:space="0" w:color="auto"/>
        <w:bottom w:val="none" w:sz="0" w:space="0" w:color="auto"/>
        <w:right w:val="none" w:sz="0" w:space="0" w:color="auto"/>
      </w:divBdr>
    </w:div>
    <w:div w:id="442266128">
      <w:bodyDiv w:val="1"/>
      <w:marLeft w:val="0"/>
      <w:marRight w:val="0"/>
      <w:marTop w:val="0"/>
      <w:marBottom w:val="0"/>
      <w:divBdr>
        <w:top w:val="none" w:sz="0" w:space="0" w:color="auto"/>
        <w:left w:val="none" w:sz="0" w:space="0" w:color="auto"/>
        <w:bottom w:val="none" w:sz="0" w:space="0" w:color="auto"/>
        <w:right w:val="none" w:sz="0" w:space="0" w:color="auto"/>
      </w:divBdr>
    </w:div>
    <w:div w:id="448015364">
      <w:bodyDiv w:val="1"/>
      <w:marLeft w:val="0"/>
      <w:marRight w:val="0"/>
      <w:marTop w:val="0"/>
      <w:marBottom w:val="0"/>
      <w:divBdr>
        <w:top w:val="none" w:sz="0" w:space="0" w:color="auto"/>
        <w:left w:val="none" w:sz="0" w:space="0" w:color="auto"/>
        <w:bottom w:val="none" w:sz="0" w:space="0" w:color="auto"/>
        <w:right w:val="none" w:sz="0" w:space="0" w:color="auto"/>
      </w:divBdr>
    </w:div>
    <w:div w:id="480192719">
      <w:bodyDiv w:val="1"/>
      <w:marLeft w:val="0"/>
      <w:marRight w:val="0"/>
      <w:marTop w:val="0"/>
      <w:marBottom w:val="0"/>
      <w:divBdr>
        <w:top w:val="none" w:sz="0" w:space="0" w:color="auto"/>
        <w:left w:val="none" w:sz="0" w:space="0" w:color="auto"/>
        <w:bottom w:val="none" w:sz="0" w:space="0" w:color="auto"/>
        <w:right w:val="none" w:sz="0" w:space="0" w:color="auto"/>
      </w:divBdr>
    </w:div>
    <w:div w:id="538662205">
      <w:bodyDiv w:val="1"/>
      <w:marLeft w:val="0"/>
      <w:marRight w:val="0"/>
      <w:marTop w:val="0"/>
      <w:marBottom w:val="0"/>
      <w:divBdr>
        <w:top w:val="none" w:sz="0" w:space="0" w:color="auto"/>
        <w:left w:val="none" w:sz="0" w:space="0" w:color="auto"/>
        <w:bottom w:val="none" w:sz="0" w:space="0" w:color="auto"/>
        <w:right w:val="none" w:sz="0" w:space="0" w:color="auto"/>
      </w:divBdr>
      <w:divsChild>
        <w:div w:id="97987563">
          <w:marLeft w:val="0"/>
          <w:marRight w:val="0"/>
          <w:marTop w:val="0"/>
          <w:marBottom w:val="0"/>
          <w:divBdr>
            <w:top w:val="none" w:sz="0" w:space="0" w:color="auto"/>
            <w:left w:val="none" w:sz="0" w:space="0" w:color="auto"/>
            <w:bottom w:val="none" w:sz="0" w:space="0" w:color="auto"/>
            <w:right w:val="none" w:sz="0" w:space="0" w:color="auto"/>
          </w:divBdr>
          <w:divsChild>
            <w:div w:id="278874157">
              <w:marLeft w:val="0"/>
              <w:marRight w:val="0"/>
              <w:marTop w:val="0"/>
              <w:marBottom w:val="0"/>
              <w:divBdr>
                <w:top w:val="none" w:sz="0" w:space="0" w:color="auto"/>
                <w:left w:val="none" w:sz="0" w:space="0" w:color="auto"/>
                <w:bottom w:val="none" w:sz="0" w:space="0" w:color="auto"/>
                <w:right w:val="none" w:sz="0" w:space="0" w:color="auto"/>
              </w:divBdr>
            </w:div>
          </w:divsChild>
        </w:div>
        <w:div w:id="130288099">
          <w:marLeft w:val="0"/>
          <w:marRight w:val="0"/>
          <w:marTop w:val="0"/>
          <w:marBottom w:val="0"/>
          <w:divBdr>
            <w:top w:val="none" w:sz="0" w:space="0" w:color="auto"/>
            <w:left w:val="none" w:sz="0" w:space="0" w:color="auto"/>
            <w:bottom w:val="none" w:sz="0" w:space="0" w:color="auto"/>
            <w:right w:val="none" w:sz="0" w:space="0" w:color="auto"/>
          </w:divBdr>
          <w:divsChild>
            <w:div w:id="1905946185">
              <w:marLeft w:val="0"/>
              <w:marRight w:val="0"/>
              <w:marTop w:val="0"/>
              <w:marBottom w:val="0"/>
              <w:divBdr>
                <w:top w:val="none" w:sz="0" w:space="0" w:color="auto"/>
                <w:left w:val="none" w:sz="0" w:space="0" w:color="auto"/>
                <w:bottom w:val="none" w:sz="0" w:space="0" w:color="auto"/>
                <w:right w:val="none" w:sz="0" w:space="0" w:color="auto"/>
              </w:divBdr>
            </w:div>
          </w:divsChild>
        </w:div>
        <w:div w:id="134764595">
          <w:marLeft w:val="0"/>
          <w:marRight w:val="0"/>
          <w:marTop w:val="0"/>
          <w:marBottom w:val="0"/>
          <w:divBdr>
            <w:top w:val="none" w:sz="0" w:space="0" w:color="auto"/>
            <w:left w:val="none" w:sz="0" w:space="0" w:color="auto"/>
            <w:bottom w:val="none" w:sz="0" w:space="0" w:color="auto"/>
            <w:right w:val="none" w:sz="0" w:space="0" w:color="auto"/>
          </w:divBdr>
          <w:divsChild>
            <w:div w:id="1065565142">
              <w:marLeft w:val="0"/>
              <w:marRight w:val="0"/>
              <w:marTop w:val="0"/>
              <w:marBottom w:val="0"/>
              <w:divBdr>
                <w:top w:val="none" w:sz="0" w:space="0" w:color="auto"/>
                <w:left w:val="none" w:sz="0" w:space="0" w:color="auto"/>
                <w:bottom w:val="none" w:sz="0" w:space="0" w:color="auto"/>
                <w:right w:val="none" w:sz="0" w:space="0" w:color="auto"/>
              </w:divBdr>
            </w:div>
          </w:divsChild>
        </w:div>
        <w:div w:id="157117934">
          <w:marLeft w:val="0"/>
          <w:marRight w:val="0"/>
          <w:marTop w:val="0"/>
          <w:marBottom w:val="0"/>
          <w:divBdr>
            <w:top w:val="none" w:sz="0" w:space="0" w:color="auto"/>
            <w:left w:val="none" w:sz="0" w:space="0" w:color="auto"/>
            <w:bottom w:val="none" w:sz="0" w:space="0" w:color="auto"/>
            <w:right w:val="none" w:sz="0" w:space="0" w:color="auto"/>
          </w:divBdr>
          <w:divsChild>
            <w:div w:id="1405760175">
              <w:marLeft w:val="0"/>
              <w:marRight w:val="0"/>
              <w:marTop w:val="0"/>
              <w:marBottom w:val="0"/>
              <w:divBdr>
                <w:top w:val="none" w:sz="0" w:space="0" w:color="auto"/>
                <w:left w:val="none" w:sz="0" w:space="0" w:color="auto"/>
                <w:bottom w:val="none" w:sz="0" w:space="0" w:color="auto"/>
                <w:right w:val="none" w:sz="0" w:space="0" w:color="auto"/>
              </w:divBdr>
            </w:div>
          </w:divsChild>
        </w:div>
        <w:div w:id="187960318">
          <w:marLeft w:val="0"/>
          <w:marRight w:val="0"/>
          <w:marTop w:val="0"/>
          <w:marBottom w:val="0"/>
          <w:divBdr>
            <w:top w:val="none" w:sz="0" w:space="0" w:color="auto"/>
            <w:left w:val="none" w:sz="0" w:space="0" w:color="auto"/>
            <w:bottom w:val="none" w:sz="0" w:space="0" w:color="auto"/>
            <w:right w:val="none" w:sz="0" w:space="0" w:color="auto"/>
          </w:divBdr>
          <w:divsChild>
            <w:div w:id="1182932938">
              <w:marLeft w:val="0"/>
              <w:marRight w:val="0"/>
              <w:marTop w:val="0"/>
              <w:marBottom w:val="0"/>
              <w:divBdr>
                <w:top w:val="none" w:sz="0" w:space="0" w:color="auto"/>
                <w:left w:val="none" w:sz="0" w:space="0" w:color="auto"/>
                <w:bottom w:val="none" w:sz="0" w:space="0" w:color="auto"/>
                <w:right w:val="none" w:sz="0" w:space="0" w:color="auto"/>
              </w:divBdr>
            </w:div>
          </w:divsChild>
        </w:div>
        <w:div w:id="193731695">
          <w:marLeft w:val="0"/>
          <w:marRight w:val="0"/>
          <w:marTop w:val="0"/>
          <w:marBottom w:val="0"/>
          <w:divBdr>
            <w:top w:val="none" w:sz="0" w:space="0" w:color="auto"/>
            <w:left w:val="none" w:sz="0" w:space="0" w:color="auto"/>
            <w:bottom w:val="none" w:sz="0" w:space="0" w:color="auto"/>
            <w:right w:val="none" w:sz="0" w:space="0" w:color="auto"/>
          </w:divBdr>
          <w:divsChild>
            <w:div w:id="1929389636">
              <w:marLeft w:val="0"/>
              <w:marRight w:val="0"/>
              <w:marTop w:val="0"/>
              <w:marBottom w:val="0"/>
              <w:divBdr>
                <w:top w:val="none" w:sz="0" w:space="0" w:color="auto"/>
                <w:left w:val="none" w:sz="0" w:space="0" w:color="auto"/>
                <w:bottom w:val="none" w:sz="0" w:space="0" w:color="auto"/>
                <w:right w:val="none" w:sz="0" w:space="0" w:color="auto"/>
              </w:divBdr>
            </w:div>
          </w:divsChild>
        </w:div>
        <w:div w:id="296959463">
          <w:marLeft w:val="0"/>
          <w:marRight w:val="0"/>
          <w:marTop w:val="0"/>
          <w:marBottom w:val="0"/>
          <w:divBdr>
            <w:top w:val="none" w:sz="0" w:space="0" w:color="auto"/>
            <w:left w:val="none" w:sz="0" w:space="0" w:color="auto"/>
            <w:bottom w:val="none" w:sz="0" w:space="0" w:color="auto"/>
            <w:right w:val="none" w:sz="0" w:space="0" w:color="auto"/>
          </w:divBdr>
          <w:divsChild>
            <w:div w:id="29384741">
              <w:marLeft w:val="0"/>
              <w:marRight w:val="0"/>
              <w:marTop w:val="0"/>
              <w:marBottom w:val="0"/>
              <w:divBdr>
                <w:top w:val="none" w:sz="0" w:space="0" w:color="auto"/>
                <w:left w:val="none" w:sz="0" w:space="0" w:color="auto"/>
                <w:bottom w:val="none" w:sz="0" w:space="0" w:color="auto"/>
                <w:right w:val="none" w:sz="0" w:space="0" w:color="auto"/>
              </w:divBdr>
            </w:div>
          </w:divsChild>
        </w:div>
        <w:div w:id="302973360">
          <w:marLeft w:val="0"/>
          <w:marRight w:val="0"/>
          <w:marTop w:val="0"/>
          <w:marBottom w:val="0"/>
          <w:divBdr>
            <w:top w:val="none" w:sz="0" w:space="0" w:color="auto"/>
            <w:left w:val="none" w:sz="0" w:space="0" w:color="auto"/>
            <w:bottom w:val="none" w:sz="0" w:space="0" w:color="auto"/>
            <w:right w:val="none" w:sz="0" w:space="0" w:color="auto"/>
          </w:divBdr>
          <w:divsChild>
            <w:div w:id="143158954">
              <w:marLeft w:val="0"/>
              <w:marRight w:val="0"/>
              <w:marTop w:val="0"/>
              <w:marBottom w:val="0"/>
              <w:divBdr>
                <w:top w:val="none" w:sz="0" w:space="0" w:color="auto"/>
                <w:left w:val="none" w:sz="0" w:space="0" w:color="auto"/>
                <w:bottom w:val="none" w:sz="0" w:space="0" w:color="auto"/>
                <w:right w:val="none" w:sz="0" w:space="0" w:color="auto"/>
              </w:divBdr>
            </w:div>
          </w:divsChild>
        </w:div>
        <w:div w:id="320038944">
          <w:marLeft w:val="0"/>
          <w:marRight w:val="0"/>
          <w:marTop w:val="0"/>
          <w:marBottom w:val="0"/>
          <w:divBdr>
            <w:top w:val="none" w:sz="0" w:space="0" w:color="auto"/>
            <w:left w:val="none" w:sz="0" w:space="0" w:color="auto"/>
            <w:bottom w:val="none" w:sz="0" w:space="0" w:color="auto"/>
            <w:right w:val="none" w:sz="0" w:space="0" w:color="auto"/>
          </w:divBdr>
          <w:divsChild>
            <w:div w:id="2109881796">
              <w:marLeft w:val="0"/>
              <w:marRight w:val="0"/>
              <w:marTop w:val="0"/>
              <w:marBottom w:val="0"/>
              <w:divBdr>
                <w:top w:val="none" w:sz="0" w:space="0" w:color="auto"/>
                <w:left w:val="none" w:sz="0" w:space="0" w:color="auto"/>
                <w:bottom w:val="none" w:sz="0" w:space="0" w:color="auto"/>
                <w:right w:val="none" w:sz="0" w:space="0" w:color="auto"/>
              </w:divBdr>
            </w:div>
          </w:divsChild>
        </w:div>
        <w:div w:id="328215204">
          <w:marLeft w:val="0"/>
          <w:marRight w:val="0"/>
          <w:marTop w:val="0"/>
          <w:marBottom w:val="0"/>
          <w:divBdr>
            <w:top w:val="none" w:sz="0" w:space="0" w:color="auto"/>
            <w:left w:val="none" w:sz="0" w:space="0" w:color="auto"/>
            <w:bottom w:val="none" w:sz="0" w:space="0" w:color="auto"/>
            <w:right w:val="none" w:sz="0" w:space="0" w:color="auto"/>
          </w:divBdr>
          <w:divsChild>
            <w:div w:id="287055544">
              <w:marLeft w:val="0"/>
              <w:marRight w:val="0"/>
              <w:marTop w:val="0"/>
              <w:marBottom w:val="0"/>
              <w:divBdr>
                <w:top w:val="none" w:sz="0" w:space="0" w:color="auto"/>
                <w:left w:val="none" w:sz="0" w:space="0" w:color="auto"/>
                <w:bottom w:val="none" w:sz="0" w:space="0" w:color="auto"/>
                <w:right w:val="none" w:sz="0" w:space="0" w:color="auto"/>
              </w:divBdr>
            </w:div>
          </w:divsChild>
        </w:div>
        <w:div w:id="409429990">
          <w:marLeft w:val="0"/>
          <w:marRight w:val="0"/>
          <w:marTop w:val="0"/>
          <w:marBottom w:val="0"/>
          <w:divBdr>
            <w:top w:val="none" w:sz="0" w:space="0" w:color="auto"/>
            <w:left w:val="none" w:sz="0" w:space="0" w:color="auto"/>
            <w:bottom w:val="none" w:sz="0" w:space="0" w:color="auto"/>
            <w:right w:val="none" w:sz="0" w:space="0" w:color="auto"/>
          </w:divBdr>
          <w:divsChild>
            <w:div w:id="1510099927">
              <w:marLeft w:val="0"/>
              <w:marRight w:val="0"/>
              <w:marTop w:val="0"/>
              <w:marBottom w:val="0"/>
              <w:divBdr>
                <w:top w:val="none" w:sz="0" w:space="0" w:color="auto"/>
                <w:left w:val="none" w:sz="0" w:space="0" w:color="auto"/>
                <w:bottom w:val="none" w:sz="0" w:space="0" w:color="auto"/>
                <w:right w:val="none" w:sz="0" w:space="0" w:color="auto"/>
              </w:divBdr>
            </w:div>
          </w:divsChild>
        </w:div>
        <w:div w:id="468864357">
          <w:marLeft w:val="0"/>
          <w:marRight w:val="0"/>
          <w:marTop w:val="0"/>
          <w:marBottom w:val="0"/>
          <w:divBdr>
            <w:top w:val="none" w:sz="0" w:space="0" w:color="auto"/>
            <w:left w:val="none" w:sz="0" w:space="0" w:color="auto"/>
            <w:bottom w:val="none" w:sz="0" w:space="0" w:color="auto"/>
            <w:right w:val="none" w:sz="0" w:space="0" w:color="auto"/>
          </w:divBdr>
          <w:divsChild>
            <w:div w:id="486629977">
              <w:marLeft w:val="0"/>
              <w:marRight w:val="0"/>
              <w:marTop w:val="0"/>
              <w:marBottom w:val="0"/>
              <w:divBdr>
                <w:top w:val="none" w:sz="0" w:space="0" w:color="auto"/>
                <w:left w:val="none" w:sz="0" w:space="0" w:color="auto"/>
                <w:bottom w:val="none" w:sz="0" w:space="0" w:color="auto"/>
                <w:right w:val="none" w:sz="0" w:space="0" w:color="auto"/>
              </w:divBdr>
            </w:div>
          </w:divsChild>
        </w:div>
        <w:div w:id="482429261">
          <w:marLeft w:val="0"/>
          <w:marRight w:val="0"/>
          <w:marTop w:val="0"/>
          <w:marBottom w:val="0"/>
          <w:divBdr>
            <w:top w:val="none" w:sz="0" w:space="0" w:color="auto"/>
            <w:left w:val="none" w:sz="0" w:space="0" w:color="auto"/>
            <w:bottom w:val="none" w:sz="0" w:space="0" w:color="auto"/>
            <w:right w:val="none" w:sz="0" w:space="0" w:color="auto"/>
          </w:divBdr>
          <w:divsChild>
            <w:div w:id="402143897">
              <w:marLeft w:val="0"/>
              <w:marRight w:val="0"/>
              <w:marTop w:val="0"/>
              <w:marBottom w:val="0"/>
              <w:divBdr>
                <w:top w:val="none" w:sz="0" w:space="0" w:color="auto"/>
                <w:left w:val="none" w:sz="0" w:space="0" w:color="auto"/>
                <w:bottom w:val="none" w:sz="0" w:space="0" w:color="auto"/>
                <w:right w:val="none" w:sz="0" w:space="0" w:color="auto"/>
              </w:divBdr>
            </w:div>
          </w:divsChild>
        </w:div>
        <w:div w:id="560556342">
          <w:marLeft w:val="0"/>
          <w:marRight w:val="0"/>
          <w:marTop w:val="0"/>
          <w:marBottom w:val="0"/>
          <w:divBdr>
            <w:top w:val="none" w:sz="0" w:space="0" w:color="auto"/>
            <w:left w:val="none" w:sz="0" w:space="0" w:color="auto"/>
            <w:bottom w:val="none" w:sz="0" w:space="0" w:color="auto"/>
            <w:right w:val="none" w:sz="0" w:space="0" w:color="auto"/>
          </w:divBdr>
          <w:divsChild>
            <w:div w:id="1537347386">
              <w:marLeft w:val="0"/>
              <w:marRight w:val="0"/>
              <w:marTop w:val="0"/>
              <w:marBottom w:val="0"/>
              <w:divBdr>
                <w:top w:val="none" w:sz="0" w:space="0" w:color="auto"/>
                <w:left w:val="none" w:sz="0" w:space="0" w:color="auto"/>
                <w:bottom w:val="none" w:sz="0" w:space="0" w:color="auto"/>
                <w:right w:val="none" w:sz="0" w:space="0" w:color="auto"/>
              </w:divBdr>
            </w:div>
          </w:divsChild>
        </w:div>
        <w:div w:id="645092652">
          <w:marLeft w:val="0"/>
          <w:marRight w:val="0"/>
          <w:marTop w:val="0"/>
          <w:marBottom w:val="0"/>
          <w:divBdr>
            <w:top w:val="none" w:sz="0" w:space="0" w:color="auto"/>
            <w:left w:val="none" w:sz="0" w:space="0" w:color="auto"/>
            <w:bottom w:val="none" w:sz="0" w:space="0" w:color="auto"/>
            <w:right w:val="none" w:sz="0" w:space="0" w:color="auto"/>
          </w:divBdr>
          <w:divsChild>
            <w:div w:id="648944633">
              <w:marLeft w:val="0"/>
              <w:marRight w:val="0"/>
              <w:marTop w:val="0"/>
              <w:marBottom w:val="0"/>
              <w:divBdr>
                <w:top w:val="none" w:sz="0" w:space="0" w:color="auto"/>
                <w:left w:val="none" w:sz="0" w:space="0" w:color="auto"/>
                <w:bottom w:val="none" w:sz="0" w:space="0" w:color="auto"/>
                <w:right w:val="none" w:sz="0" w:space="0" w:color="auto"/>
              </w:divBdr>
            </w:div>
          </w:divsChild>
        </w:div>
        <w:div w:id="662464951">
          <w:marLeft w:val="0"/>
          <w:marRight w:val="0"/>
          <w:marTop w:val="0"/>
          <w:marBottom w:val="0"/>
          <w:divBdr>
            <w:top w:val="none" w:sz="0" w:space="0" w:color="auto"/>
            <w:left w:val="none" w:sz="0" w:space="0" w:color="auto"/>
            <w:bottom w:val="none" w:sz="0" w:space="0" w:color="auto"/>
            <w:right w:val="none" w:sz="0" w:space="0" w:color="auto"/>
          </w:divBdr>
          <w:divsChild>
            <w:div w:id="1136533968">
              <w:marLeft w:val="0"/>
              <w:marRight w:val="0"/>
              <w:marTop w:val="0"/>
              <w:marBottom w:val="0"/>
              <w:divBdr>
                <w:top w:val="none" w:sz="0" w:space="0" w:color="auto"/>
                <w:left w:val="none" w:sz="0" w:space="0" w:color="auto"/>
                <w:bottom w:val="none" w:sz="0" w:space="0" w:color="auto"/>
                <w:right w:val="none" w:sz="0" w:space="0" w:color="auto"/>
              </w:divBdr>
            </w:div>
          </w:divsChild>
        </w:div>
        <w:div w:id="758259047">
          <w:marLeft w:val="0"/>
          <w:marRight w:val="0"/>
          <w:marTop w:val="0"/>
          <w:marBottom w:val="0"/>
          <w:divBdr>
            <w:top w:val="none" w:sz="0" w:space="0" w:color="auto"/>
            <w:left w:val="none" w:sz="0" w:space="0" w:color="auto"/>
            <w:bottom w:val="none" w:sz="0" w:space="0" w:color="auto"/>
            <w:right w:val="none" w:sz="0" w:space="0" w:color="auto"/>
          </w:divBdr>
          <w:divsChild>
            <w:div w:id="1693529239">
              <w:marLeft w:val="0"/>
              <w:marRight w:val="0"/>
              <w:marTop w:val="0"/>
              <w:marBottom w:val="0"/>
              <w:divBdr>
                <w:top w:val="none" w:sz="0" w:space="0" w:color="auto"/>
                <w:left w:val="none" w:sz="0" w:space="0" w:color="auto"/>
                <w:bottom w:val="none" w:sz="0" w:space="0" w:color="auto"/>
                <w:right w:val="none" w:sz="0" w:space="0" w:color="auto"/>
              </w:divBdr>
            </w:div>
          </w:divsChild>
        </w:div>
        <w:div w:id="789277081">
          <w:marLeft w:val="0"/>
          <w:marRight w:val="0"/>
          <w:marTop w:val="0"/>
          <w:marBottom w:val="0"/>
          <w:divBdr>
            <w:top w:val="none" w:sz="0" w:space="0" w:color="auto"/>
            <w:left w:val="none" w:sz="0" w:space="0" w:color="auto"/>
            <w:bottom w:val="none" w:sz="0" w:space="0" w:color="auto"/>
            <w:right w:val="none" w:sz="0" w:space="0" w:color="auto"/>
          </w:divBdr>
          <w:divsChild>
            <w:div w:id="1337532893">
              <w:marLeft w:val="0"/>
              <w:marRight w:val="0"/>
              <w:marTop w:val="0"/>
              <w:marBottom w:val="0"/>
              <w:divBdr>
                <w:top w:val="none" w:sz="0" w:space="0" w:color="auto"/>
                <w:left w:val="none" w:sz="0" w:space="0" w:color="auto"/>
                <w:bottom w:val="none" w:sz="0" w:space="0" w:color="auto"/>
                <w:right w:val="none" w:sz="0" w:space="0" w:color="auto"/>
              </w:divBdr>
            </w:div>
          </w:divsChild>
        </w:div>
        <w:div w:id="938873329">
          <w:marLeft w:val="0"/>
          <w:marRight w:val="0"/>
          <w:marTop w:val="0"/>
          <w:marBottom w:val="0"/>
          <w:divBdr>
            <w:top w:val="none" w:sz="0" w:space="0" w:color="auto"/>
            <w:left w:val="none" w:sz="0" w:space="0" w:color="auto"/>
            <w:bottom w:val="none" w:sz="0" w:space="0" w:color="auto"/>
            <w:right w:val="none" w:sz="0" w:space="0" w:color="auto"/>
          </w:divBdr>
          <w:divsChild>
            <w:div w:id="1069956962">
              <w:marLeft w:val="0"/>
              <w:marRight w:val="0"/>
              <w:marTop w:val="0"/>
              <w:marBottom w:val="0"/>
              <w:divBdr>
                <w:top w:val="none" w:sz="0" w:space="0" w:color="auto"/>
                <w:left w:val="none" w:sz="0" w:space="0" w:color="auto"/>
                <w:bottom w:val="none" w:sz="0" w:space="0" w:color="auto"/>
                <w:right w:val="none" w:sz="0" w:space="0" w:color="auto"/>
              </w:divBdr>
            </w:div>
          </w:divsChild>
        </w:div>
        <w:div w:id="1007058918">
          <w:marLeft w:val="0"/>
          <w:marRight w:val="0"/>
          <w:marTop w:val="0"/>
          <w:marBottom w:val="0"/>
          <w:divBdr>
            <w:top w:val="none" w:sz="0" w:space="0" w:color="auto"/>
            <w:left w:val="none" w:sz="0" w:space="0" w:color="auto"/>
            <w:bottom w:val="none" w:sz="0" w:space="0" w:color="auto"/>
            <w:right w:val="none" w:sz="0" w:space="0" w:color="auto"/>
          </w:divBdr>
          <w:divsChild>
            <w:div w:id="1604066948">
              <w:marLeft w:val="0"/>
              <w:marRight w:val="0"/>
              <w:marTop w:val="0"/>
              <w:marBottom w:val="0"/>
              <w:divBdr>
                <w:top w:val="none" w:sz="0" w:space="0" w:color="auto"/>
                <w:left w:val="none" w:sz="0" w:space="0" w:color="auto"/>
                <w:bottom w:val="none" w:sz="0" w:space="0" w:color="auto"/>
                <w:right w:val="none" w:sz="0" w:space="0" w:color="auto"/>
              </w:divBdr>
            </w:div>
          </w:divsChild>
        </w:div>
        <w:div w:id="1103067187">
          <w:marLeft w:val="0"/>
          <w:marRight w:val="0"/>
          <w:marTop w:val="0"/>
          <w:marBottom w:val="0"/>
          <w:divBdr>
            <w:top w:val="none" w:sz="0" w:space="0" w:color="auto"/>
            <w:left w:val="none" w:sz="0" w:space="0" w:color="auto"/>
            <w:bottom w:val="none" w:sz="0" w:space="0" w:color="auto"/>
            <w:right w:val="none" w:sz="0" w:space="0" w:color="auto"/>
          </w:divBdr>
          <w:divsChild>
            <w:div w:id="1043823456">
              <w:marLeft w:val="0"/>
              <w:marRight w:val="0"/>
              <w:marTop w:val="0"/>
              <w:marBottom w:val="0"/>
              <w:divBdr>
                <w:top w:val="none" w:sz="0" w:space="0" w:color="auto"/>
                <w:left w:val="none" w:sz="0" w:space="0" w:color="auto"/>
                <w:bottom w:val="none" w:sz="0" w:space="0" w:color="auto"/>
                <w:right w:val="none" w:sz="0" w:space="0" w:color="auto"/>
              </w:divBdr>
            </w:div>
          </w:divsChild>
        </w:div>
        <w:div w:id="1231190928">
          <w:marLeft w:val="0"/>
          <w:marRight w:val="0"/>
          <w:marTop w:val="0"/>
          <w:marBottom w:val="0"/>
          <w:divBdr>
            <w:top w:val="none" w:sz="0" w:space="0" w:color="auto"/>
            <w:left w:val="none" w:sz="0" w:space="0" w:color="auto"/>
            <w:bottom w:val="none" w:sz="0" w:space="0" w:color="auto"/>
            <w:right w:val="none" w:sz="0" w:space="0" w:color="auto"/>
          </w:divBdr>
          <w:divsChild>
            <w:div w:id="916941993">
              <w:marLeft w:val="0"/>
              <w:marRight w:val="0"/>
              <w:marTop w:val="0"/>
              <w:marBottom w:val="0"/>
              <w:divBdr>
                <w:top w:val="none" w:sz="0" w:space="0" w:color="auto"/>
                <w:left w:val="none" w:sz="0" w:space="0" w:color="auto"/>
                <w:bottom w:val="none" w:sz="0" w:space="0" w:color="auto"/>
                <w:right w:val="none" w:sz="0" w:space="0" w:color="auto"/>
              </w:divBdr>
            </w:div>
          </w:divsChild>
        </w:div>
        <w:div w:id="1452237357">
          <w:marLeft w:val="0"/>
          <w:marRight w:val="0"/>
          <w:marTop w:val="0"/>
          <w:marBottom w:val="0"/>
          <w:divBdr>
            <w:top w:val="none" w:sz="0" w:space="0" w:color="auto"/>
            <w:left w:val="none" w:sz="0" w:space="0" w:color="auto"/>
            <w:bottom w:val="none" w:sz="0" w:space="0" w:color="auto"/>
            <w:right w:val="none" w:sz="0" w:space="0" w:color="auto"/>
          </w:divBdr>
          <w:divsChild>
            <w:div w:id="1974500">
              <w:marLeft w:val="0"/>
              <w:marRight w:val="0"/>
              <w:marTop w:val="0"/>
              <w:marBottom w:val="0"/>
              <w:divBdr>
                <w:top w:val="none" w:sz="0" w:space="0" w:color="auto"/>
                <w:left w:val="none" w:sz="0" w:space="0" w:color="auto"/>
                <w:bottom w:val="none" w:sz="0" w:space="0" w:color="auto"/>
                <w:right w:val="none" w:sz="0" w:space="0" w:color="auto"/>
              </w:divBdr>
            </w:div>
          </w:divsChild>
        </w:div>
        <w:div w:id="1501194373">
          <w:marLeft w:val="0"/>
          <w:marRight w:val="0"/>
          <w:marTop w:val="0"/>
          <w:marBottom w:val="0"/>
          <w:divBdr>
            <w:top w:val="none" w:sz="0" w:space="0" w:color="auto"/>
            <w:left w:val="none" w:sz="0" w:space="0" w:color="auto"/>
            <w:bottom w:val="none" w:sz="0" w:space="0" w:color="auto"/>
            <w:right w:val="none" w:sz="0" w:space="0" w:color="auto"/>
          </w:divBdr>
          <w:divsChild>
            <w:div w:id="1164584915">
              <w:marLeft w:val="0"/>
              <w:marRight w:val="0"/>
              <w:marTop w:val="0"/>
              <w:marBottom w:val="0"/>
              <w:divBdr>
                <w:top w:val="none" w:sz="0" w:space="0" w:color="auto"/>
                <w:left w:val="none" w:sz="0" w:space="0" w:color="auto"/>
                <w:bottom w:val="none" w:sz="0" w:space="0" w:color="auto"/>
                <w:right w:val="none" w:sz="0" w:space="0" w:color="auto"/>
              </w:divBdr>
            </w:div>
          </w:divsChild>
        </w:div>
        <w:div w:id="1528442085">
          <w:marLeft w:val="0"/>
          <w:marRight w:val="0"/>
          <w:marTop w:val="0"/>
          <w:marBottom w:val="0"/>
          <w:divBdr>
            <w:top w:val="none" w:sz="0" w:space="0" w:color="auto"/>
            <w:left w:val="none" w:sz="0" w:space="0" w:color="auto"/>
            <w:bottom w:val="none" w:sz="0" w:space="0" w:color="auto"/>
            <w:right w:val="none" w:sz="0" w:space="0" w:color="auto"/>
          </w:divBdr>
          <w:divsChild>
            <w:div w:id="450711219">
              <w:marLeft w:val="0"/>
              <w:marRight w:val="0"/>
              <w:marTop w:val="0"/>
              <w:marBottom w:val="0"/>
              <w:divBdr>
                <w:top w:val="none" w:sz="0" w:space="0" w:color="auto"/>
                <w:left w:val="none" w:sz="0" w:space="0" w:color="auto"/>
                <w:bottom w:val="none" w:sz="0" w:space="0" w:color="auto"/>
                <w:right w:val="none" w:sz="0" w:space="0" w:color="auto"/>
              </w:divBdr>
            </w:div>
          </w:divsChild>
        </w:div>
        <w:div w:id="1609192632">
          <w:marLeft w:val="0"/>
          <w:marRight w:val="0"/>
          <w:marTop w:val="0"/>
          <w:marBottom w:val="0"/>
          <w:divBdr>
            <w:top w:val="none" w:sz="0" w:space="0" w:color="auto"/>
            <w:left w:val="none" w:sz="0" w:space="0" w:color="auto"/>
            <w:bottom w:val="none" w:sz="0" w:space="0" w:color="auto"/>
            <w:right w:val="none" w:sz="0" w:space="0" w:color="auto"/>
          </w:divBdr>
          <w:divsChild>
            <w:div w:id="380520606">
              <w:marLeft w:val="0"/>
              <w:marRight w:val="0"/>
              <w:marTop w:val="0"/>
              <w:marBottom w:val="0"/>
              <w:divBdr>
                <w:top w:val="none" w:sz="0" w:space="0" w:color="auto"/>
                <w:left w:val="none" w:sz="0" w:space="0" w:color="auto"/>
                <w:bottom w:val="none" w:sz="0" w:space="0" w:color="auto"/>
                <w:right w:val="none" w:sz="0" w:space="0" w:color="auto"/>
              </w:divBdr>
            </w:div>
          </w:divsChild>
        </w:div>
        <w:div w:id="1687169733">
          <w:marLeft w:val="0"/>
          <w:marRight w:val="0"/>
          <w:marTop w:val="0"/>
          <w:marBottom w:val="0"/>
          <w:divBdr>
            <w:top w:val="none" w:sz="0" w:space="0" w:color="auto"/>
            <w:left w:val="none" w:sz="0" w:space="0" w:color="auto"/>
            <w:bottom w:val="none" w:sz="0" w:space="0" w:color="auto"/>
            <w:right w:val="none" w:sz="0" w:space="0" w:color="auto"/>
          </w:divBdr>
          <w:divsChild>
            <w:div w:id="1339768862">
              <w:marLeft w:val="0"/>
              <w:marRight w:val="0"/>
              <w:marTop w:val="0"/>
              <w:marBottom w:val="0"/>
              <w:divBdr>
                <w:top w:val="none" w:sz="0" w:space="0" w:color="auto"/>
                <w:left w:val="none" w:sz="0" w:space="0" w:color="auto"/>
                <w:bottom w:val="none" w:sz="0" w:space="0" w:color="auto"/>
                <w:right w:val="none" w:sz="0" w:space="0" w:color="auto"/>
              </w:divBdr>
            </w:div>
          </w:divsChild>
        </w:div>
        <w:div w:id="1853491972">
          <w:marLeft w:val="0"/>
          <w:marRight w:val="0"/>
          <w:marTop w:val="0"/>
          <w:marBottom w:val="0"/>
          <w:divBdr>
            <w:top w:val="none" w:sz="0" w:space="0" w:color="auto"/>
            <w:left w:val="none" w:sz="0" w:space="0" w:color="auto"/>
            <w:bottom w:val="none" w:sz="0" w:space="0" w:color="auto"/>
            <w:right w:val="none" w:sz="0" w:space="0" w:color="auto"/>
          </w:divBdr>
          <w:divsChild>
            <w:div w:id="712657858">
              <w:marLeft w:val="0"/>
              <w:marRight w:val="0"/>
              <w:marTop w:val="0"/>
              <w:marBottom w:val="0"/>
              <w:divBdr>
                <w:top w:val="none" w:sz="0" w:space="0" w:color="auto"/>
                <w:left w:val="none" w:sz="0" w:space="0" w:color="auto"/>
                <w:bottom w:val="none" w:sz="0" w:space="0" w:color="auto"/>
                <w:right w:val="none" w:sz="0" w:space="0" w:color="auto"/>
              </w:divBdr>
            </w:div>
          </w:divsChild>
        </w:div>
        <w:div w:id="1862666599">
          <w:marLeft w:val="0"/>
          <w:marRight w:val="0"/>
          <w:marTop w:val="0"/>
          <w:marBottom w:val="0"/>
          <w:divBdr>
            <w:top w:val="none" w:sz="0" w:space="0" w:color="auto"/>
            <w:left w:val="none" w:sz="0" w:space="0" w:color="auto"/>
            <w:bottom w:val="none" w:sz="0" w:space="0" w:color="auto"/>
            <w:right w:val="none" w:sz="0" w:space="0" w:color="auto"/>
          </w:divBdr>
          <w:divsChild>
            <w:div w:id="1600288632">
              <w:marLeft w:val="0"/>
              <w:marRight w:val="0"/>
              <w:marTop w:val="0"/>
              <w:marBottom w:val="0"/>
              <w:divBdr>
                <w:top w:val="none" w:sz="0" w:space="0" w:color="auto"/>
                <w:left w:val="none" w:sz="0" w:space="0" w:color="auto"/>
                <w:bottom w:val="none" w:sz="0" w:space="0" w:color="auto"/>
                <w:right w:val="none" w:sz="0" w:space="0" w:color="auto"/>
              </w:divBdr>
            </w:div>
          </w:divsChild>
        </w:div>
        <w:div w:id="1876116262">
          <w:marLeft w:val="0"/>
          <w:marRight w:val="0"/>
          <w:marTop w:val="0"/>
          <w:marBottom w:val="0"/>
          <w:divBdr>
            <w:top w:val="none" w:sz="0" w:space="0" w:color="auto"/>
            <w:left w:val="none" w:sz="0" w:space="0" w:color="auto"/>
            <w:bottom w:val="none" w:sz="0" w:space="0" w:color="auto"/>
            <w:right w:val="none" w:sz="0" w:space="0" w:color="auto"/>
          </w:divBdr>
          <w:divsChild>
            <w:div w:id="1806895584">
              <w:marLeft w:val="0"/>
              <w:marRight w:val="0"/>
              <w:marTop w:val="0"/>
              <w:marBottom w:val="0"/>
              <w:divBdr>
                <w:top w:val="none" w:sz="0" w:space="0" w:color="auto"/>
                <w:left w:val="none" w:sz="0" w:space="0" w:color="auto"/>
                <w:bottom w:val="none" w:sz="0" w:space="0" w:color="auto"/>
                <w:right w:val="none" w:sz="0" w:space="0" w:color="auto"/>
              </w:divBdr>
            </w:div>
          </w:divsChild>
        </w:div>
        <w:div w:id="1902867702">
          <w:marLeft w:val="0"/>
          <w:marRight w:val="0"/>
          <w:marTop w:val="0"/>
          <w:marBottom w:val="0"/>
          <w:divBdr>
            <w:top w:val="none" w:sz="0" w:space="0" w:color="auto"/>
            <w:left w:val="none" w:sz="0" w:space="0" w:color="auto"/>
            <w:bottom w:val="none" w:sz="0" w:space="0" w:color="auto"/>
            <w:right w:val="none" w:sz="0" w:space="0" w:color="auto"/>
          </w:divBdr>
          <w:divsChild>
            <w:div w:id="1509952249">
              <w:marLeft w:val="0"/>
              <w:marRight w:val="0"/>
              <w:marTop w:val="0"/>
              <w:marBottom w:val="0"/>
              <w:divBdr>
                <w:top w:val="none" w:sz="0" w:space="0" w:color="auto"/>
                <w:left w:val="none" w:sz="0" w:space="0" w:color="auto"/>
                <w:bottom w:val="none" w:sz="0" w:space="0" w:color="auto"/>
                <w:right w:val="none" w:sz="0" w:space="0" w:color="auto"/>
              </w:divBdr>
            </w:div>
          </w:divsChild>
        </w:div>
        <w:div w:id="1947811244">
          <w:marLeft w:val="0"/>
          <w:marRight w:val="0"/>
          <w:marTop w:val="0"/>
          <w:marBottom w:val="0"/>
          <w:divBdr>
            <w:top w:val="none" w:sz="0" w:space="0" w:color="auto"/>
            <w:left w:val="none" w:sz="0" w:space="0" w:color="auto"/>
            <w:bottom w:val="none" w:sz="0" w:space="0" w:color="auto"/>
            <w:right w:val="none" w:sz="0" w:space="0" w:color="auto"/>
          </w:divBdr>
          <w:divsChild>
            <w:div w:id="1339499946">
              <w:marLeft w:val="0"/>
              <w:marRight w:val="0"/>
              <w:marTop w:val="0"/>
              <w:marBottom w:val="0"/>
              <w:divBdr>
                <w:top w:val="none" w:sz="0" w:space="0" w:color="auto"/>
                <w:left w:val="none" w:sz="0" w:space="0" w:color="auto"/>
                <w:bottom w:val="none" w:sz="0" w:space="0" w:color="auto"/>
                <w:right w:val="none" w:sz="0" w:space="0" w:color="auto"/>
              </w:divBdr>
            </w:div>
          </w:divsChild>
        </w:div>
        <w:div w:id="1970353952">
          <w:marLeft w:val="0"/>
          <w:marRight w:val="0"/>
          <w:marTop w:val="0"/>
          <w:marBottom w:val="0"/>
          <w:divBdr>
            <w:top w:val="none" w:sz="0" w:space="0" w:color="auto"/>
            <w:left w:val="none" w:sz="0" w:space="0" w:color="auto"/>
            <w:bottom w:val="none" w:sz="0" w:space="0" w:color="auto"/>
            <w:right w:val="none" w:sz="0" w:space="0" w:color="auto"/>
          </w:divBdr>
          <w:divsChild>
            <w:div w:id="1887791371">
              <w:marLeft w:val="0"/>
              <w:marRight w:val="0"/>
              <w:marTop w:val="0"/>
              <w:marBottom w:val="0"/>
              <w:divBdr>
                <w:top w:val="none" w:sz="0" w:space="0" w:color="auto"/>
                <w:left w:val="none" w:sz="0" w:space="0" w:color="auto"/>
                <w:bottom w:val="none" w:sz="0" w:space="0" w:color="auto"/>
                <w:right w:val="none" w:sz="0" w:space="0" w:color="auto"/>
              </w:divBdr>
            </w:div>
          </w:divsChild>
        </w:div>
        <w:div w:id="1999075056">
          <w:marLeft w:val="0"/>
          <w:marRight w:val="0"/>
          <w:marTop w:val="0"/>
          <w:marBottom w:val="0"/>
          <w:divBdr>
            <w:top w:val="none" w:sz="0" w:space="0" w:color="auto"/>
            <w:left w:val="none" w:sz="0" w:space="0" w:color="auto"/>
            <w:bottom w:val="none" w:sz="0" w:space="0" w:color="auto"/>
            <w:right w:val="none" w:sz="0" w:space="0" w:color="auto"/>
          </w:divBdr>
          <w:divsChild>
            <w:div w:id="1764180646">
              <w:marLeft w:val="0"/>
              <w:marRight w:val="0"/>
              <w:marTop w:val="0"/>
              <w:marBottom w:val="0"/>
              <w:divBdr>
                <w:top w:val="none" w:sz="0" w:space="0" w:color="auto"/>
                <w:left w:val="none" w:sz="0" w:space="0" w:color="auto"/>
                <w:bottom w:val="none" w:sz="0" w:space="0" w:color="auto"/>
                <w:right w:val="none" w:sz="0" w:space="0" w:color="auto"/>
              </w:divBdr>
            </w:div>
          </w:divsChild>
        </w:div>
        <w:div w:id="2011712279">
          <w:marLeft w:val="0"/>
          <w:marRight w:val="0"/>
          <w:marTop w:val="0"/>
          <w:marBottom w:val="0"/>
          <w:divBdr>
            <w:top w:val="none" w:sz="0" w:space="0" w:color="auto"/>
            <w:left w:val="none" w:sz="0" w:space="0" w:color="auto"/>
            <w:bottom w:val="none" w:sz="0" w:space="0" w:color="auto"/>
            <w:right w:val="none" w:sz="0" w:space="0" w:color="auto"/>
          </w:divBdr>
          <w:divsChild>
            <w:div w:id="1046877912">
              <w:marLeft w:val="0"/>
              <w:marRight w:val="0"/>
              <w:marTop w:val="0"/>
              <w:marBottom w:val="0"/>
              <w:divBdr>
                <w:top w:val="none" w:sz="0" w:space="0" w:color="auto"/>
                <w:left w:val="none" w:sz="0" w:space="0" w:color="auto"/>
                <w:bottom w:val="none" w:sz="0" w:space="0" w:color="auto"/>
                <w:right w:val="none" w:sz="0" w:space="0" w:color="auto"/>
              </w:divBdr>
            </w:div>
            <w:div w:id="1909027066">
              <w:marLeft w:val="0"/>
              <w:marRight w:val="0"/>
              <w:marTop w:val="0"/>
              <w:marBottom w:val="0"/>
              <w:divBdr>
                <w:top w:val="none" w:sz="0" w:space="0" w:color="auto"/>
                <w:left w:val="none" w:sz="0" w:space="0" w:color="auto"/>
                <w:bottom w:val="none" w:sz="0" w:space="0" w:color="auto"/>
                <w:right w:val="none" w:sz="0" w:space="0" w:color="auto"/>
              </w:divBdr>
            </w:div>
          </w:divsChild>
        </w:div>
        <w:div w:id="2086029890">
          <w:marLeft w:val="0"/>
          <w:marRight w:val="0"/>
          <w:marTop w:val="0"/>
          <w:marBottom w:val="0"/>
          <w:divBdr>
            <w:top w:val="none" w:sz="0" w:space="0" w:color="auto"/>
            <w:left w:val="none" w:sz="0" w:space="0" w:color="auto"/>
            <w:bottom w:val="none" w:sz="0" w:space="0" w:color="auto"/>
            <w:right w:val="none" w:sz="0" w:space="0" w:color="auto"/>
          </w:divBdr>
          <w:divsChild>
            <w:div w:id="146199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41639">
      <w:bodyDiv w:val="1"/>
      <w:marLeft w:val="0"/>
      <w:marRight w:val="0"/>
      <w:marTop w:val="0"/>
      <w:marBottom w:val="0"/>
      <w:divBdr>
        <w:top w:val="none" w:sz="0" w:space="0" w:color="auto"/>
        <w:left w:val="none" w:sz="0" w:space="0" w:color="auto"/>
        <w:bottom w:val="none" w:sz="0" w:space="0" w:color="auto"/>
        <w:right w:val="none" w:sz="0" w:space="0" w:color="auto"/>
      </w:divBdr>
    </w:div>
    <w:div w:id="605425108">
      <w:bodyDiv w:val="1"/>
      <w:marLeft w:val="0"/>
      <w:marRight w:val="0"/>
      <w:marTop w:val="0"/>
      <w:marBottom w:val="0"/>
      <w:divBdr>
        <w:top w:val="none" w:sz="0" w:space="0" w:color="auto"/>
        <w:left w:val="none" w:sz="0" w:space="0" w:color="auto"/>
        <w:bottom w:val="none" w:sz="0" w:space="0" w:color="auto"/>
        <w:right w:val="none" w:sz="0" w:space="0" w:color="auto"/>
      </w:divBdr>
    </w:div>
    <w:div w:id="646982361">
      <w:bodyDiv w:val="1"/>
      <w:marLeft w:val="0"/>
      <w:marRight w:val="0"/>
      <w:marTop w:val="0"/>
      <w:marBottom w:val="0"/>
      <w:divBdr>
        <w:top w:val="none" w:sz="0" w:space="0" w:color="auto"/>
        <w:left w:val="none" w:sz="0" w:space="0" w:color="auto"/>
        <w:bottom w:val="none" w:sz="0" w:space="0" w:color="auto"/>
        <w:right w:val="none" w:sz="0" w:space="0" w:color="auto"/>
      </w:divBdr>
      <w:divsChild>
        <w:div w:id="316229646">
          <w:marLeft w:val="576"/>
          <w:marRight w:val="0"/>
          <w:marTop w:val="0"/>
          <w:marBottom w:val="80"/>
          <w:divBdr>
            <w:top w:val="none" w:sz="0" w:space="0" w:color="auto"/>
            <w:left w:val="none" w:sz="0" w:space="0" w:color="auto"/>
            <w:bottom w:val="none" w:sz="0" w:space="0" w:color="auto"/>
            <w:right w:val="none" w:sz="0" w:space="0" w:color="auto"/>
          </w:divBdr>
        </w:div>
        <w:div w:id="712465268">
          <w:marLeft w:val="576"/>
          <w:marRight w:val="0"/>
          <w:marTop w:val="0"/>
          <w:marBottom w:val="80"/>
          <w:divBdr>
            <w:top w:val="none" w:sz="0" w:space="0" w:color="auto"/>
            <w:left w:val="none" w:sz="0" w:space="0" w:color="auto"/>
            <w:bottom w:val="none" w:sz="0" w:space="0" w:color="auto"/>
            <w:right w:val="none" w:sz="0" w:space="0" w:color="auto"/>
          </w:divBdr>
        </w:div>
      </w:divsChild>
    </w:div>
    <w:div w:id="663625015">
      <w:bodyDiv w:val="1"/>
      <w:marLeft w:val="0"/>
      <w:marRight w:val="0"/>
      <w:marTop w:val="0"/>
      <w:marBottom w:val="0"/>
      <w:divBdr>
        <w:top w:val="none" w:sz="0" w:space="0" w:color="auto"/>
        <w:left w:val="none" w:sz="0" w:space="0" w:color="auto"/>
        <w:bottom w:val="none" w:sz="0" w:space="0" w:color="auto"/>
        <w:right w:val="none" w:sz="0" w:space="0" w:color="auto"/>
      </w:divBdr>
    </w:div>
    <w:div w:id="668022491">
      <w:bodyDiv w:val="1"/>
      <w:marLeft w:val="0"/>
      <w:marRight w:val="0"/>
      <w:marTop w:val="0"/>
      <w:marBottom w:val="0"/>
      <w:divBdr>
        <w:top w:val="none" w:sz="0" w:space="0" w:color="auto"/>
        <w:left w:val="none" w:sz="0" w:space="0" w:color="auto"/>
        <w:bottom w:val="none" w:sz="0" w:space="0" w:color="auto"/>
        <w:right w:val="none" w:sz="0" w:space="0" w:color="auto"/>
      </w:divBdr>
    </w:div>
    <w:div w:id="734207520">
      <w:bodyDiv w:val="1"/>
      <w:marLeft w:val="0"/>
      <w:marRight w:val="0"/>
      <w:marTop w:val="0"/>
      <w:marBottom w:val="0"/>
      <w:divBdr>
        <w:top w:val="none" w:sz="0" w:space="0" w:color="auto"/>
        <w:left w:val="none" w:sz="0" w:space="0" w:color="auto"/>
        <w:bottom w:val="none" w:sz="0" w:space="0" w:color="auto"/>
        <w:right w:val="none" w:sz="0" w:space="0" w:color="auto"/>
      </w:divBdr>
    </w:div>
    <w:div w:id="752511746">
      <w:bodyDiv w:val="1"/>
      <w:marLeft w:val="0"/>
      <w:marRight w:val="0"/>
      <w:marTop w:val="0"/>
      <w:marBottom w:val="0"/>
      <w:divBdr>
        <w:top w:val="none" w:sz="0" w:space="0" w:color="auto"/>
        <w:left w:val="none" w:sz="0" w:space="0" w:color="auto"/>
        <w:bottom w:val="none" w:sz="0" w:space="0" w:color="auto"/>
        <w:right w:val="none" w:sz="0" w:space="0" w:color="auto"/>
      </w:divBdr>
    </w:div>
    <w:div w:id="767965362">
      <w:bodyDiv w:val="1"/>
      <w:marLeft w:val="0"/>
      <w:marRight w:val="0"/>
      <w:marTop w:val="0"/>
      <w:marBottom w:val="0"/>
      <w:divBdr>
        <w:top w:val="none" w:sz="0" w:space="0" w:color="auto"/>
        <w:left w:val="none" w:sz="0" w:space="0" w:color="auto"/>
        <w:bottom w:val="none" w:sz="0" w:space="0" w:color="auto"/>
        <w:right w:val="none" w:sz="0" w:space="0" w:color="auto"/>
      </w:divBdr>
    </w:div>
    <w:div w:id="812335077">
      <w:bodyDiv w:val="1"/>
      <w:marLeft w:val="0"/>
      <w:marRight w:val="0"/>
      <w:marTop w:val="0"/>
      <w:marBottom w:val="0"/>
      <w:divBdr>
        <w:top w:val="none" w:sz="0" w:space="0" w:color="auto"/>
        <w:left w:val="none" w:sz="0" w:space="0" w:color="auto"/>
        <w:bottom w:val="none" w:sz="0" w:space="0" w:color="auto"/>
        <w:right w:val="none" w:sz="0" w:space="0" w:color="auto"/>
      </w:divBdr>
    </w:div>
    <w:div w:id="848181555">
      <w:bodyDiv w:val="1"/>
      <w:marLeft w:val="0"/>
      <w:marRight w:val="0"/>
      <w:marTop w:val="0"/>
      <w:marBottom w:val="0"/>
      <w:divBdr>
        <w:top w:val="none" w:sz="0" w:space="0" w:color="auto"/>
        <w:left w:val="none" w:sz="0" w:space="0" w:color="auto"/>
        <w:bottom w:val="none" w:sz="0" w:space="0" w:color="auto"/>
        <w:right w:val="none" w:sz="0" w:space="0" w:color="auto"/>
      </w:divBdr>
    </w:div>
    <w:div w:id="905192162">
      <w:bodyDiv w:val="1"/>
      <w:marLeft w:val="0"/>
      <w:marRight w:val="0"/>
      <w:marTop w:val="0"/>
      <w:marBottom w:val="0"/>
      <w:divBdr>
        <w:top w:val="none" w:sz="0" w:space="0" w:color="auto"/>
        <w:left w:val="none" w:sz="0" w:space="0" w:color="auto"/>
        <w:bottom w:val="none" w:sz="0" w:space="0" w:color="auto"/>
        <w:right w:val="none" w:sz="0" w:space="0" w:color="auto"/>
      </w:divBdr>
    </w:div>
    <w:div w:id="936986306">
      <w:bodyDiv w:val="1"/>
      <w:marLeft w:val="0"/>
      <w:marRight w:val="0"/>
      <w:marTop w:val="0"/>
      <w:marBottom w:val="0"/>
      <w:divBdr>
        <w:top w:val="none" w:sz="0" w:space="0" w:color="auto"/>
        <w:left w:val="none" w:sz="0" w:space="0" w:color="auto"/>
        <w:bottom w:val="none" w:sz="0" w:space="0" w:color="auto"/>
        <w:right w:val="none" w:sz="0" w:space="0" w:color="auto"/>
      </w:divBdr>
    </w:div>
    <w:div w:id="954948870">
      <w:bodyDiv w:val="1"/>
      <w:marLeft w:val="0"/>
      <w:marRight w:val="0"/>
      <w:marTop w:val="0"/>
      <w:marBottom w:val="0"/>
      <w:divBdr>
        <w:top w:val="none" w:sz="0" w:space="0" w:color="auto"/>
        <w:left w:val="none" w:sz="0" w:space="0" w:color="auto"/>
        <w:bottom w:val="none" w:sz="0" w:space="0" w:color="auto"/>
        <w:right w:val="none" w:sz="0" w:space="0" w:color="auto"/>
      </w:divBdr>
    </w:div>
    <w:div w:id="992027957">
      <w:bodyDiv w:val="1"/>
      <w:marLeft w:val="0"/>
      <w:marRight w:val="0"/>
      <w:marTop w:val="0"/>
      <w:marBottom w:val="0"/>
      <w:divBdr>
        <w:top w:val="none" w:sz="0" w:space="0" w:color="auto"/>
        <w:left w:val="none" w:sz="0" w:space="0" w:color="auto"/>
        <w:bottom w:val="none" w:sz="0" w:space="0" w:color="auto"/>
        <w:right w:val="none" w:sz="0" w:space="0" w:color="auto"/>
      </w:divBdr>
      <w:divsChild>
        <w:div w:id="1072895397">
          <w:marLeft w:val="576"/>
          <w:marRight w:val="0"/>
          <w:marTop w:val="0"/>
          <w:marBottom w:val="80"/>
          <w:divBdr>
            <w:top w:val="none" w:sz="0" w:space="0" w:color="auto"/>
            <w:left w:val="none" w:sz="0" w:space="0" w:color="auto"/>
            <w:bottom w:val="none" w:sz="0" w:space="0" w:color="auto"/>
            <w:right w:val="none" w:sz="0" w:space="0" w:color="auto"/>
          </w:divBdr>
        </w:div>
        <w:div w:id="1144813608">
          <w:marLeft w:val="576"/>
          <w:marRight w:val="0"/>
          <w:marTop w:val="0"/>
          <w:marBottom w:val="80"/>
          <w:divBdr>
            <w:top w:val="none" w:sz="0" w:space="0" w:color="auto"/>
            <w:left w:val="none" w:sz="0" w:space="0" w:color="auto"/>
            <w:bottom w:val="none" w:sz="0" w:space="0" w:color="auto"/>
            <w:right w:val="none" w:sz="0" w:space="0" w:color="auto"/>
          </w:divBdr>
        </w:div>
      </w:divsChild>
    </w:div>
    <w:div w:id="1008873390">
      <w:bodyDiv w:val="1"/>
      <w:marLeft w:val="0"/>
      <w:marRight w:val="0"/>
      <w:marTop w:val="0"/>
      <w:marBottom w:val="0"/>
      <w:divBdr>
        <w:top w:val="none" w:sz="0" w:space="0" w:color="auto"/>
        <w:left w:val="none" w:sz="0" w:space="0" w:color="auto"/>
        <w:bottom w:val="none" w:sz="0" w:space="0" w:color="auto"/>
        <w:right w:val="none" w:sz="0" w:space="0" w:color="auto"/>
      </w:divBdr>
    </w:div>
    <w:div w:id="1018891366">
      <w:bodyDiv w:val="1"/>
      <w:marLeft w:val="0"/>
      <w:marRight w:val="0"/>
      <w:marTop w:val="0"/>
      <w:marBottom w:val="0"/>
      <w:divBdr>
        <w:top w:val="none" w:sz="0" w:space="0" w:color="auto"/>
        <w:left w:val="none" w:sz="0" w:space="0" w:color="auto"/>
        <w:bottom w:val="none" w:sz="0" w:space="0" w:color="auto"/>
        <w:right w:val="none" w:sz="0" w:space="0" w:color="auto"/>
      </w:divBdr>
    </w:div>
    <w:div w:id="1018893311">
      <w:bodyDiv w:val="1"/>
      <w:marLeft w:val="0"/>
      <w:marRight w:val="0"/>
      <w:marTop w:val="0"/>
      <w:marBottom w:val="0"/>
      <w:divBdr>
        <w:top w:val="none" w:sz="0" w:space="0" w:color="auto"/>
        <w:left w:val="none" w:sz="0" w:space="0" w:color="auto"/>
        <w:bottom w:val="none" w:sz="0" w:space="0" w:color="auto"/>
        <w:right w:val="none" w:sz="0" w:space="0" w:color="auto"/>
      </w:divBdr>
    </w:div>
    <w:div w:id="1021931504">
      <w:bodyDiv w:val="1"/>
      <w:marLeft w:val="0"/>
      <w:marRight w:val="0"/>
      <w:marTop w:val="0"/>
      <w:marBottom w:val="0"/>
      <w:divBdr>
        <w:top w:val="none" w:sz="0" w:space="0" w:color="auto"/>
        <w:left w:val="none" w:sz="0" w:space="0" w:color="auto"/>
        <w:bottom w:val="none" w:sz="0" w:space="0" w:color="auto"/>
        <w:right w:val="none" w:sz="0" w:space="0" w:color="auto"/>
      </w:divBdr>
    </w:div>
    <w:div w:id="1072000492">
      <w:bodyDiv w:val="1"/>
      <w:marLeft w:val="0"/>
      <w:marRight w:val="0"/>
      <w:marTop w:val="0"/>
      <w:marBottom w:val="0"/>
      <w:divBdr>
        <w:top w:val="none" w:sz="0" w:space="0" w:color="auto"/>
        <w:left w:val="none" w:sz="0" w:space="0" w:color="auto"/>
        <w:bottom w:val="none" w:sz="0" w:space="0" w:color="auto"/>
        <w:right w:val="none" w:sz="0" w:space="0" w:color="auto"/>
      </w:divBdr>
    </w:div>
    <w:div w:id="1078405382">
      <w:bodyDiv w:val="1"/>
      <w:marLeft w:val="0"/>
      <w:marRight w:val="0"/>
      <w:marTop w:val="0"/>
      <w:marBottom w:val="0"/>
      <w:divBdr>
        <w:top w:val="none" w:sz="0" w:space="0" w:color="auto"/>
        <w:left w:val="none" w:sz="0" w:space="0" w:color="auto"/>
        <w:bottom w:val="none" w:sz="0" w:space="0" w:color="auto"/>
        <w:right w:val="none" w:sz="0" w:space="0" w:color="auto"/>
      </w:divBdr>
    </w:div>
    <w:div w:id="1087459010">
      <w:bodyDiv w:val="1"/>
      <w:marLeft w:val="0"/>
      <w:marRight w:val="0"/>
      <w:marTop w:val="0"/>
      <w:marBottom w:val="0"/>
      <w:divBdr>
        <w:top w:val="none" w:sz="0" w:space="0" w:color="auto"/>
        <w:left w:val="none" w:sz="0" w:space="0" w:color="auto"/>
        <w:bottom w:val="none" w:sz="0" w:space="0" w:color="auto"/>
        <w:right w:val="none" w:sz="0" w:space="0" w:color="auto"/>
      </w:divBdr>
    </w:div>
    <w:div w:id="1098407061">
      <w:bodyDiv w:val="1"/>
      <w:marLeft w:val="0"/>
      <w:marRight w:val="0"/>
      <w:marTop w:val="0"/>
      <w:marBottom w:val="0"/>
      <w:divBdr>
        <w:top w:val="none" w:sz="0" w:space="0" w:color="auto"/>
        <w:left w:val="none" w:sz="0" w:space="0" w:color="auto"/>
        <w:bottom w:val="none" w:sz="0" w:space="0" w:color="auto"/>
        <w:right w:val="none" w:sz="0" w:space="0" w:color="auto"/>
      </w:divBdr>
    </w:div>
    <w:div w:id="1128552232">
      <w:bodyDiv w:val="1"/>
      <w:marLeft w:val="0"/>
      <w:marRight w:val="0"/>
      <w:marTop w:val="0"/>
      <w:marBottom w:val="0"/>
      <w:divBdr>
        <w:top w:val="none" w:sz="0" w:space="0" w:color="auto"/>
        <w:left w:val="none" w:sz="0" w:space="0" w:color="auto"/>
        <w:bottom w:val="none" w:sz="0" w:space="0" w:color="auto"/>
        <w:right w:val="none" w:sz="0" w:space="0" w:color="auto"/>
      </w:divBdr>
      <w:divsChild>
        <w:div w:id="2980169">
          <w:marLeft w:val="0"/>
          <w:marRight w:val="0"/>
          <w:marTop w:val="0"/>
          <w:marBottom w:val="0"/>
          <w:divBdr>
            <w:top w:val="none" w:sz="0" w:space="0" w:color="auto"/>
            <w:left w:val="none" w:sz="0" w:space="0" w:color="auto"/>
            <w:bottom w:val="none" w:sz="0" w:space="0" w:color="auto"/>
            <w:right w:val="none" w:sz="0" w:space="0" w:color="auto"/>
          </w:divBdr>
        </w:div>
        <w:div w:id="74329377">
          <w:marLeft w:val="0"/>
          <w:marRight w:val="0"/>
          <w:marTop w:val="0"/>
          <w:marBottom w:val="0"/>
          <w:divBdr>
            <w:top w:val="none" w:sz="0" w:space="0" w:color="auto"/>
            <w:left w:val="none" w:sz="0" w:space="0" w:color="auto"/>
            <w:bottom w:val="none" w:sz="0" w:space="0" w:color="auto"/>
            <w:right w:val="none" w:sz="0" w:space="0" w:color="auto"/>
          </w:divBdr>
        </w:div>
        <w:div w:id="115607084">
          <w:marLeft w:val="0"/>
          <w:marRight w:val="0"/>
          <w:marTop w:val="0"/>
          <w:marBottom w:val="0"/>
          <w:divBdr>
            <w:top w:val="none" w:sz="0" w:space="0" w:color="auto"/>
            <w:left w:val="none" w:sz="0" w:space="0" w:color="auto"/>
            <w:bottom w:val="none" w:sz="0" w:space="0" w:color="auto"/>
            <w:right w:val="none" w:sz="0" w:space="0" w:color="auto"/>
          </w:divBdr>
        </w:div>
        <w:div w:id="146019080">
          <w:marLeft w:val="0"/>
          <w:marRight w:val="0"/>
          <w:marTop w:val="0"/>
          <w:marBottom w:val="0"/>
          <w:divBdr>
            <w:top w:val="none" w:sz="0" w:space="0" w:color="auto"/>
            <w:left w:val="none" w:sz="0" w:space="0" w:color="auto"/>
            <w:bottom w:val="none" w:sz="0" w:space="0" w:color="auto"/>
            <w:right w:val="none" w:sz="0" w:space="0" w:color="auto"/>
          </w:divBdr>
        </w:div>
        <w:div w:id="355275415">
          <w:marLeft w:val="0"/>
          <w:marRight w:val="0"/>
          <w:marTop w:val="0"/>
          <w:marBottom w:val="0"/>
          <w:divBdr>
            <w:top w:val="none" w:sz="0" w:space="0" w:color="auto"/>
            <w:left w:val="none" w:sz="0" w:space="0" w:color="auto"/>
            <w:bottom w:val="none" w:sz="0" w:space="0" w:color="auto"/>
            <w:right w:val="none" w:sz="0" w:space="0" w:color="auto"/>
          </w:divBdr>
        </w:div>
        <w:div w:id="479464865">
          <w:marLeft w:val="0"/>
          <w:marRight w:val="0"/>
          <w:marTop w:val="0"/>
          <w:marBottom w:val="0"/>
          <w:divBdr>
            <w:top w:val="none" w:sz="0" w:space="0" w:color="auto"/>
            <w:left w:val="none" w:sz="0" w:space="0" w:color="auto"/>
            <w:bottom w:val="none" w:sz="0" w:space="0" w:color="auto"/>
            <w:right w:val="none" w:sz="0" w:space="0" w:color="auto"/>
          </w:divBdr>
        </w:div>
        <w:div w:id="522548150">
          <w:marLeft w:val="0"/>
          <w:marRight w:val="0"/>
          <w:marTop w:val="0"/>
          <w:marBottom w:val="0"/>
          <w:divBdr>
            <w:top w:val="none" w:sz="0" w:space="0" w:color="auto"/>
            <w:left w:val="none" w:sz="0" w:space="0" w:color="auto"/>
            <w:bottom w:val="none" w:sz="0" w:space="0" w:color="auto"/>
            <w:right w:val="none" w:sz="0" w:space="0" w:color="auto"/>
          </w:divBdr>
        </w:div>
        <w:div w:id="607735611">
          <w:marLeft w:val="0"/>
          <w:marRight w:val="0"/>
          <w:marTop w:val="0"/>
          <w:marBottom w:val="0"/>
          <w:divBdr>
            <w:top w:val="none" w:sz="0" w:space="0" w:color="auto"/>
            <w:left w:val="none" w:sz="0" w:space="0" w:color="auto"/>
            <w:bottom w:val="none" w:sz="0" w:space="0" w:color="auto"/>
            <w:right w:val="none" w:sz="0" w:space="0" w:color="auto"/>
          </w:divBdr>
        </w:div>
        <w:div w:id="683633418">
          <w:marLeft w:val="0"/>
          <w:marRight w:val="0"/>
          <w:marTop w:val="0"/>
          <w:marBottom w:val="0"/>
          <w:divBdr>
            <w:top w:val="none" w:sz="0" w:space="0" w:color="auto"/>
            <w:left w:val="none" w:sz="0" w:space="0" w:color="auto"/>
            <w:bottom w:val="none" w:sz="0" w:space="0" w:color="auto"/>
            <w:right w:val="none" w:sz="0" w:space="0" w:color="auto"/>
          </w:divBdr>
        </w:div>
        <w:div w:id="852454803">
          <w:marLeft w:val="0"/>
          <w:marRight w:val="0"/>
          <w:marTop w:val="0"/>
          <w:marBottom w:val="0"/>
          <w:divBdr>
            <w:top w:val="none" w:sz="0" w:space="0" w:color="auto"/>
            <w:left w:val="none" w:sz="0" w:space="0" w:color="auto"/>
            <w:bottom w:val="none" w:sz="0" w:space="0" w:color="auto"/>
            <w:right w:val="none" w:sz="0" w:space="0" w:color="auto"/>
          </w:divBdr>
        </w:div>
        <w:div w:id="989677034">
          <w:marLeft w:val="0"/>
          <w:marRight w:val="0"/>
          <w:marTop w:val="0"/>
          <w:marBottom w:val="0"/>
          <w:divBdr>
            <w:top w:val="none" w:sz="0" w:space="0" w:color="auto"/>
            <w:left w:val="none" w:sz="0" w:space="0" w:color="auto"/>
            <w:bottom w:val="none" w:sz="0" w:space="0" w:color="auto"/>
            <w:right w:val="none" w:sz="0" w:space="0" w:color="auto"/>
          </w:divBdr>
        </w:div>
        <w:div w:id="1072698275">
          <w:marLeft w:val="0"/>
          <w:marRight w:val="0"/>
          <w:marTop w:val="0"/>
          <w:marBottom w:val="0"/>
          <w:divBdr>
            <w:top w:val="none" w:sz="0" w:space="0" w:color="auto"/>
            <w:left w:val="none" w:sz="0" w:space="0" w:color="auto"/>
            <w:bottom w:val="none" w:sz="0" w:space="0" w:color="auto"/>
            <w:right w:val="none" w:sz="0" w:space="0" w:color="auto"/>
          </w:divBdr>
        </w:div>
        <w:div w:id="1090007541">
          <w:marLeft w:val="0"/>
          <w:marRight w:val="0"/>
          <w:marTop w:val="0"/>
          <w:marBottom w:val="0"/>
          <w:divBdr>
            <w:top w:val="none" w:sz="0" w:space="0" w:color="auto"/>
            <w:left w:val="none" w:sz="0" w:space="0" w:color="auto"/>
            <w:bottom w:val="none" w:sz="0" w:space="0" w:color="auto"/>
            <w:right w:val="none" w:sz="0" w:space="0" w:color="auto"/>
          </w:divBdr>
        </w:div>
        <w:div w:id="1233732606">
          <w:marLeft w:val="0"/>
          <w:marRight w:val="0"/>
          <w:marTop w:val="0"/>
          <w:marBottom w:val="0"/>
          <w:divBdr>
            <w:top w:val="none" w:sz="0" w:space="0" w:color="auto"/>
            <w:left w:val="none" w:sz="0" w:space="0" w:color="auto"/>
            <w:bottom w:val="none" w:sz="0" w:space="0" w:color="auto"/>
            <w:right w:val="none" w:sz="0" w:space="0" w:color="auto"/>
          </w:divBdr>
        </w:div>
        <w:div w:id="1279265617">
          <w:marLeft w:val="0"/>
          <w:marRight w:val="0"/>
          <w:marTop w:val="0"/>
          <w:marBottom w:val="0"/>
          <w:divBdr>
            <w:top w:val="none" w:sz="0" w:space="0" w:color="auto"/>
            <w:left w:val="none" w:sz="0" w:space="0" w:color="auto"/>
            <w:bottom w:val="none" w:sz="0" w:space="0" w:color="auto"/>
            <w:right w:val="none" w:sz="0" w:space="0" w:color="auto"/>
          </w:divBdr>
        </w:div>
        <w:div w:id="1346130339">
          <w:marLeft w:val="0"/>
          <w:marRight w:val="0"/>
          <w:marTop w:val="0"/>
          <w:marBottom w:val="0"/>
          <w:divBdr>
            <w:top w:val="none" w:sz="0" w:space="0" w:color="auto"/>
            <w:left w:val="none" w:sz="0" w:space="0" w:color="auto"/>
            <w:bottom w:val="none" w:sz="0" w:space="0" w:color="auto"/>
            <w:right w:val="none" w:sz="0" w:space="0" w:color="auto"/>
          </w:divBdr>
        </w:div>
        <w:div w:id="1458715807">
          <w:marLeft w:val="0"/>
          <w:marRight w:val="0"/>
          <w:marTop w:val="0"/>
          <w:marBottom w:val="0"/>
          <w:divBdr>
            <w:top w:val="none" w:sz="0" w:space="0" w:color="auto"/>
            <w:left w:val="none" w:sz="0" w:space="0" w:color="auto"/>
            <w:bottom w:val="none" w:sz="0" w:space="0" w:color="auto"/>
            <w:right w:val="none" w:sz="0" w:space="0" w:color="auto"/>
          </w:divBdr>
        </w:div>
        <w:div w:id="1703896502">
          <w:marLeft w:val="0"/>
          <w:marRight w:val="0"/>
          <w:marTop w:val="0"/>
          <w:marBottom w:val="0"/>
          <w:divBdr>
            <w:top w:val="none" w:sz="0" w:space="0" w:color="auto"/>
            <w:left w:val="none" w:sz="0" w:space="0" w:color="auto"/>
            <w:bottom w:val="none" w:sz="0" w:space="0" w:color="auto"/>
            <w:right w:val="none" w:sz="0" w:space="0" w:color="auto"/>
          </w:divBdr>
        </w:div>
        <w:div w:id="1857183611">
          <w:marLeft w:val="0"/>
          <w:marRight w:val="0"/>
          <w:marTop w:val="0"/>
          <w:marBottom w:val="0"/>
          <w:divBdr>
            <w:top w:val="none" w:sz="0" w:space="0" w:color="auto"/>
            <w:left w:val="none" w:sz="0" w:space="0" w:color="auto"/>
            <w:bottom w:val="none" w:sz="0" w:space="0" w:color="auto"/>
            <w:right w:val="none" w:sz="0" w:space="0" w:color="auto"/>
          </w:divBdr>
        </w:div>
      </w:divsChild>
    </w:div>
    <w:div w:id="1138885552">
      <w:bodyDiv w:val="1"/>
      <w:marLeft w:val="0"/>
      <w:marRight w:val="0"/>
      <w:marTop w:val="0"/>
      <w:marBottom w:val="0"/>
      <w:divBdr>
        <w:top w:val="none" w:sz="0" w:space="0" w:color="auto"/>
        <w:left w:val="none" w:sz="0" w:space="0" w:color="auto"/>
        <w:bottom w:val="none" w:sz="0" w:space="0" w:color="auto"/>
        <w:right w:val="none" w:sz="0" w:space="0" w:color="auto"/>
      </w:divBdr>
    </w:div>
    <w:div w:id="1162505021">
      <w:bodyDiv w:val="1"/>
      <w:marLeft w:val="0"/>
      <w:marRight w:val="0"/>
      <w:marTop w:val="0"/>
      <w:marBottom w:val="0"/>
      <w:divBdr>
        <w:top w:val="none" w:sz="0" w:space="0" w:color="auto"/>
        <w:left w:val="none" w:sz="0" w:space="0" w:color="auto"/>
        <w:bottom w:val="none" w:sz="0" w:space="0" w:color="auto"/>
        <w:right w:val="none" w:sz="0" w:space="0" w:color="auto"/>
      </w:divBdr>
    </w:div>
    <w:div w:id="1167330660">
      <w:bodyDiv w:val="1"/>
      <w:marLeft w:val="0"/>
      <w:marRight w:val="0"/>
      <w:marTop w:val="0"/>
      <w:marBottom w:val="0"/>
      <w:divBdr>
        <w:top w:val="none" w:sz="0" w:space="0" w:color="auto"/>
        <w:left w:val="none" w:sz="0" w:space="0" w:color="auto"/>
        <w:bottom w:val="none" w:sz="0" w:space="0" w:color="auto"/>
        <w:right w:val="none" w:sz="0" w:space="0" w:color="auto"/>
      </w:divBdr>
    </w:div>
    <w:div w:id="1203254438">
      <w:bodyDiv w:val="1"/>
      <w:marLeft w:val="0"/>
      <w:marRight w:val="0"/>
      <w:marTop w:val="0"/>
      <w:marBottom w:val="0"/>
      <w:divBdr>
        <w:top w:val="none" w:sz="0" w:space="0" w:color="auto"/>
        <w:left w:val="none" w:sz="0" w:space="0" w:color="auto"/>
        <w:bottom w:val="none" w:sz="0" w:space="0" w:color="auto"/>
        <w:right w:val="none" w:sz="0" w:space="0" w:color="auto"/>
      </w:divBdr>
    </w:div>
    <w:div w:id="1215893978">
      <w:bodyDiv w:val="1"/>
      <w:marLeft w:val="0"/>
      <w:marRight w:val="0"/>
      <w:marTop w:val="0"/>
      <w:marBottom w:val="0"/>
      <w:divBdr>
        <w:top w:val="none" w:sz="0" w:space="0" w:color="auto"/>
        <w:left w:val="none" w:sz="0" w:space="0" w:color="auto"/>
        <w:bottom w:val="none" w:sz="0" w:space="0" w:color="auto"/>
        <w:right w:val="none" w:sz="0" w:space="0" w:color="auto"/>
      </w:divBdr>
    </w:div>
    <w:div w:id="1253467599">
      <w:bodyDiv w:val="1"/>
      <w:marLeft w:val="0"/>
      <w:marRight w:val="0"/>
      <w:marTop w:val="0"/>
      <w:marBottom w:val="0"/>
      <w:divBdr>
        <w:top w:val="none" w:sz="0" w:space="0" w:color="auto"/>
        <w:left w:val="none" w:sz="0" w:space="0" w:color="auto"/>
        <w:bottom w:val="none" w:sz="0" w:space="0" w:color="auto"/>
        <w:right w:val="none" w:sz="0" w:space="0" w:color="auto"/>
      </w:divBdr>
    </w:div>
    <w:div w:id="1294562749">
      <w:bodyDiv w:val="1"/>
      <w:marLeft w:val="0"/>
      <w:marRight w:val="0"/>
      <w:marTop w:val="0"/>
      <w:marBottom w:val="0"/>
      <w:divBdr>
        <w:top w:val="none" w:sz="0" w:space="0" w:color="auto"/>
        <w:left w:val="none" w:sz="0" w:space="0" w:color="auto"/>
        <w:bottom w:val="none" w:sz="0" w:space="0" w:color="auto"/>
        <w:right w:val="none" w:sz="0" w:space="0" w:color="auto"/>
      </w:divBdr>
    </w:div>
    <w:div w:id="1297222737">
      <w:bodyDiv w:val="1"/>
      <w:marLeft w:val="0"/>
      <w:marRight w:val="0"/>
      <w:marTop w:val="0"/>
      <w:marBottom w:val="0"/>
      <w:divBdr>
        <w:top w:val="none" w:sz="0" w:space="0" w:color="auto"/>
        <w:left w:val="none" w:sz="0" w:space="0" w:color="auto"/>
        <w:bottom w:val="none" w:sz="0" w:space="0" w:color="auto"/>
        <w:right w:val="none" w:sz="0" w:space="0" w:color="auto"/>
      </w:divBdr>
    </w:div>
    <w:div w:id="1300958206">
      <w:bodyDiv w:val="1"/>
      <w:marLeft w:val="0"/>
      <w:marRight w:val="0"/>
      <w:marTop w:val="0"/>
      <w:marBottom w:val="0"/>
      <w:divBdr>
        <w:top w:val="none" w:sz="0" w:space="0" w:color="auto"/>
        <w:left w:val="none" w:sz="0" w:space="0" w:color="auto"/>
        <w:bottom w:val="none" w:sz="0" w:space="0" w:color="auto"/>
        <w:right w:val="none" w:sz="0" w:space="0" w:color="auto"/>
      </w:divBdr>
    </w:div>
    <w:div w:id="1306811921">
      <w:bodyDiv w:val="1"/>
      <w:marLeft w:val="0"/>
      <w:marRight w:val="0"/>
      <w:marTop w:val="0"/>
      <w:marBottom w:val="0"/>
      <w:divBdr>
        <w:top w:val="none" w:sz="0" w:space="0" w:color="auto"/>
        <w:left w:val="none" w:sz="0" w:space="0" w:color="auto"/>
        <w:bottom w:val="none" w:sz="0" w:space="0" w:color="auto"/>
        <w:right w:val="none" w:sz="0" w:space="0" w:color="auto"/>
      </w:divBdr>
    </w:div>
    <w:div w:id="1314605172">
      <w:bodyDiv w:val="1"/>
      <w:marLeft w:val="0"/>
      <w:marRight w:val="0"/>
      <w:marTop w:val="0"/>
      <w:marBottom w:val="0"/>
      <w:divBdr>
        <w:top w:val="none" w:sz="0" w:space="0" w:color="auto"/>
        <w:left w:val="none" w:sz="0" w:space="0" w:color="auto"/>
        <w:bottom w:val="none" w:sz="0" w:space="0" w:color="auto"/>
        <w:right w:val="none" w:sz="0" w:space="0" w:color="auto"/>
      </w:divBdr>
    </w:div>
    <w:div w:id="1315061270">
      <w:bodyDiv w:val="1"/>
      <w:marLeft w:val="0"/>
      <w:marRight w:val="0"/>
      <w:marTop w:val="0"/>
      <w:marBottom w:val="0"/>
      <w:divBdr>
        <w:top w:val="none" w:sz="0" w:space="0" w:color="auto"/>
        <w:left w:val="none" w:sz="0" w:space="0" w:color="auto"/>
        <w:bottom w:val="none" w:sz="0" w:space="0" w:color="auto"/>
        <w:right w:val="none" w:sz="0" w:space="0" w:color="auto"/>
      </w:divBdr>
    </w:div>
    <w:div w:id="1346131463">
      <w:bodyDiv w:val="1"/>
      <w:marLeft w:val="0"/>
      <w:marRight w:val="0"/>
      <w:marTop w:val="0"/>
      <w:marBottom w:val="0"/>
      <w:divBdr>
        <w:top w:val="none" w:sz="0" w:space="0" w:color="auto"/>
        <w:left w:val="none" w:sz="0" w:space="0" w:color="auto"/>
        <w:bottom w:val="none" w:sz="0" w:space="0" w:color="auto"/>
        <w:right w:val="none" w:sz="0" w:space="0" w:color="auto"/>
      </w:divBdr>
      <w:divsChild>
        <w:div w:id="480082178">
          <w:marLeft w:val="0"/>
          <w:marRight w:val="0"/>
          <w:marTop w:val="0"/>
          <w:marBottom w:val="0"/>
          <w:divBdr>
            <w:top w:val="none" w:sz="0" w:space="0" w:color="auto"/>
            <w:left w:val="none" w:sz="0" w:space="0" w:color="auto"/>
            <w:bottom w:val="none" w:sz="0" w:space="0" w:color="auto"/>
            <w:right w:val="none" w:sz="0" w:space="0" w:color="auto"/>
          </w:divBdr>
        </w:div>
        <w:div w:id="562914620">
          <w:marLeft w:val="0"/>
          <w:marRight w:val="0"/>
          <w:marTop w:val="0"/>
          <w:marBottom w:val="0"/>
          <w:divBdr>
            <w:top w:val="none" w:sz="0" w:space="0" w:color="auto"/>
            <w:left w:val="none" w:sz="0" w:space="0" w:color="auto"/>
            <w:bottom w:val="none" w:sz="0" w:space="0" w:color="auto"/>
            <w:right w:val="none" w:sz="0" w:space="0" w:color="auto"/>
          </w:divBdr>
        </w:div>
        <w:div w:id="579948733">
          <w:marLeft w:val="0"/>
          <w:marRight w:val="0"/>
          <w:marTop w:val="0"/>
          <w:marBottom w:val="0"/>
          <w:divBdr>
            <w:top w:val="none" w:sz="0" w:space="0" w:color="auto"/>
            <w:left w:val="none" w:sz="0" w:space="0" w:color="auto"/>
            <w:bottom w:val="none" w:sz="0" w:space="0" w:color="auto"/>
            <w:right w:val="none" w:sz="0" w:space="0" w:color="auto"/>
          </w:divBdr>
        </w:div>
        <w:div w:id="741637403">
          <w:marLeft w:val="0"/>
          <w:marRight w:val="0"/>
          <w:marTop w:val="0"/>
          <w:marBottom w:val="0"/>
          <w:divBdr>
            <w:top w:val="none" w:sz="0" w:space="0" w:color="auto"/>
            <w:left w:val="none" w:sz="0" w:space="0" w:color="auto"/>
            <w:bottom w:val="none" w:sz="0" w:space="0" w:color="auto"/>
            <w:right w:val="none" w:sz="0" w:space="0" w:color="auto"/>
          </w:divBdr>
        </w:div>
        <w:div w:id="750351993">
          <w:marLeft w:val="0"/>
          <w:marRight w:val="0"/>
          <w:marTop w:val="0"/>
          <w:marBottom w:val="0"/>
          <w:divBdr>
            <w:top w:val="none" w:sz="0" w:space="0" w:color="auto"/>
            <w:left w:val="none" w:sz="0" w:space="0" w:color="auto"/>
            <w:bottom w:val="none" w:sz="0" w:space="0" w:color="auto"/>
            <w:right w:val="none" w:sz="0" w:space="0" w:color="auto"/>
          </w:divBdr>
        </w:div>
        <w:div w:id="969437181">
          <w:marLeft w:val="0"/>
          <w:marRight w:val="0"/>
          <w:marTop w:val="0"/>
          <w:marBottom w:val="0"/>
          <w:divBdr>
            <w:top w:val="none" w:sz="0" w:space="0" w:color="auto"/>
            <w:left w:val="none" w:sz="0" w:space="0" w:color="auto"/>
            <w:bottom w:val="none" w:sz="0" w:space="0" w:color="auto"/>
            <w:right w:val="none" w:sz="0" w:space="0" w:color="auto"/>
          </w:divBdr>
        </w:div>
        <w:div w:id="1008823819">
          <w:marLeft w:val="0"/>
          <w:marRight w:val="0"/>
          <w:marTop w:val="0"/>
          <w:marBottom w:val="0"/>
          <w:divBdr>
            <w:top w:val="none" w:sz="0" w:space="0" w:color="auto"/>
            <w:left w:val="none" w:sz="0" w:space="0" w:color="auto"/>
            <w:bottom w:val="none" w:sz="0" w:space="0" w:color="auto"/>
            <w:right w:val="none" w:sz="0" w:space="0" w:color="auto"/>
          </w:divBdr>
        </w:div>
        <w:div w:id="1060441952">
          <w:marLeft w:val="0"/>
          <w:marRight w:val="0"/>
          <w:marTop w:val="0"/>
          <w:marBottom w:val="0"/>
          <w:divBdr>
            <w:top w:val="none" w:sz="0" w:space="0" w:color="auto"/>
            <w:left w:val="none" w:sz="0" w:space="0" w:color="auto"/>
            <w:bottom w:val="none" w:sz="0" w:space="0" w:color="auto"/>
            <w:right w:val="none" w:sz="0" w:space="0" w:color="auto"/>
          </w:divBdr>
        </w:div>
        <w:div w:id="1079211246">
          <w:marLeft w:val="0"/>
          <w:marRight w:val="0"/>
          <w:marTop w:val="0"/>
          <w:marBottom w:val="0"/>
          <w:divBdr>
            <w:top w:val="none" w:sz="0" w:space="0" w:color="auto"/>
            <w:left w:val="none" w:sz="0" w:space="0" w:color="auto"/>
            <w:bottom w:val="none" w:sz="0" w:space="0" w:color="auto"/>
            <w:right w:val="none" w:sz="0" w:space="0" w:color="auto"/>
          </w:divBdr>
        </w:div>
        <w:div w:id="1448620540">
          <w:marLeft w:val="0"/>
          <w:marRight w:val="0"/>
          <w:marTop w:val="0"/>
          <w:marBottom w:val="0"/>
          <w:divBdr>
            <w:top w:val="none" w:sz="0" w:space="0" w:color="auto"/>
            <w:left w:val="none" w:sz="0" w:space="0" w:color="auto"/>
            <w:bottom w:val="none" w:sz="0" w:space="0" w:color="auto"/>
            <w:right w:val="none" w:sz="0" w:space="0" w:color="auto"/>
          </w:divBdr>
        </w:div>
        <w:div w:id="1575310487">
          <w:marLeft w:val="0"/>
          <w:marRight w:val="0"/>
          <w:marTop w:val="0"/>
          <w:marBottom w:val="0"/>
          <w:divBdr>
            <w:top w:val="none" w:sz="0" w:space="0" w:color="auto"/>
            <w:left w:val="none" w:sz="0" w:space="0" w:color="auto"/>
            <w:bottom w:val="none" w:sz="0" w:space="0" w:color="auto"/>
            <w:right w:val="none" w:sz="0" w:space="0" w:color="auto"/>
          </w:divBdr>
        </w:div>
        <w:div w:id="1659729812">
          <w:marLeft w:val="0"/>
          <w:marRight w:val="0"/>
          <w:marTop w:val="0"/>
          <w:marBottom w:val="0"/>
          <w:divBdr>
            <w:top w:val="none" w:sz="0" w:space="0" w:color="auto"/>
            <w:left w:val="none" w:sz="0" w:space="0" w:color="auto"/>
            <w:bottom w:val="none" w:sz="0" w:space="0" w:color="auto"/>
            <w:right w:val="none" w:sz="0" w:space="0" w:color="auto"/>
          </w:divBdr>
        </w:div>
        <w:div w:id="1954438332">
          <w:marLeft w:val="0"/>
          <w:marRight w:val="0"/>
          <w:marTop w:val="0"/>
          <w:marBottom w:val="0"/>
          <w:divBdr>
            <w:top w:val="none" w:sz="0" w:space="0" w:color="auto"/>
            <w:left w:val="none" w:sz="0" w:space="0" w:color="auto"/>
            <w:bottom w:val="none" w:sz="0" w:space="0" w:color="auto"/>
            <w:right w:val="none" w:sz="0" w:space="0" w:color="auto"/>
          </w:divBdr>
        </w:div>
        <w:div w:id="1959987121">
          <w:marLeft w:val="0"/>
          <w:marRight w:val="0"/>
          <w:marTop w:val="0"/>
          <w:marBottom w:val="0"/>
          <w:divBdr>
            <w:top w:val="none" w:sz="0" w:space="0" w:color="auto"/>
            <w:left w:val="none" w:sz="0" w:space="0" w:color="auto"/>
            <w:bottom w:val="none" w:sz="0" w:space="0" w:color="auto"/>
            <w:right w:val="none" w:sz="0" w:space="0" w:color="auto"/>
          </w:divBdr>
        </w:div>
        <w:div w:id="1998461629">
          <w:marLeft w:val="0"/>
          <w:marRight w:val="0"/>
          <w:marTop w:val="0"/>
          <w:marBottom w:val="0"/>
          <w:divBdr>
            <w:top w:val="none" w:sz="0" w:space="0" w:color="auto"/>
            <w:left w:val="none" w:sz="0" w:space="0" w:color="auto"/>
            <w:bottom w:val="none" w:sz="0" w:space="0" w:color="auto"/>
            <w:right w:val="none" w:sz="0" w:space="0" w:color="auto"/>
          </w:divBdr>
        </w:div>
        <w:div w:id="2061007120">
          <w:marLeft w:val="0"/>
          <w:marRight w:val="0"/>
          <w:marTop w:val="0"/>
          <w:marBottom w:val="0"/>
          <w:divBdr>
            <w:top w:val="none" w:sz="0" w:space="0" w:color="auto"/>
            <w:left w:val="none" w:sz="0" w:space="0" w:color="auto"/>
            <w:bottom w:val="none" w:sz="0" w:space="0" w:color="auto"/>
            <w:right w:val="none" w:sz="0" w:space="0" w:color="auto"/>
          </w:divBdr>
        </w:div>
      </w:divsChild>
    </w:div>
    <w:div w:id="1351838658">
      <w:bodyDiv w:val="1"/>
      <w:marLeft w:val="0"/>
      <w:marRight w:val="0"/>
      <w:marTop w:val="0"/>
      <w:marBottom w:val="0"/>
      <w:divBdr>
        <w:top w:val="none" w:sz="0" w:space="0" w:color="auto"/>
        <w:left w:val="none" w:sz="0" w:space="0" w:color="auto"/>
        <w:bottom w:val="none" w:sz="0" w:space="0" w:color="auto"/>
        <w:right w:val="none" w:sz="0" w:space="0" w:color="auto"/>
      </w:divBdr>
    </w:div>
    <w:div w:id="1360933854">
      <w:bodyDiv w:val="1"/>
      <w:marLeft w:val="0"/>
      <w:marRight w:val="0"/>
      <w:marTop w:val="0"/>
      <w:marBottom w:val="0"/>
      <w:divBdr>
        <w:top w:val="none" w:sz="0" w:space="0" w:color="auto"/>
        <w:left w:val="none" w:sz="0" w:space="0" w:color="auto"/>
        <w:bottom w:val="none" w:sz="0" w:space="0" w:color="auto"/>
        <w:right w:val="none" w:sz="0" w:space="0" w:color="auto"/>
      </w:divBdr>
    </w:div>
    <w:div w:id="1377242513">
      <w:bodyDiv w:val="1"/>
      <w:marLeft w:val="0"/>
      <w:marRight w:val="0"/>
      <w:marTop w:val="0"/>
      <w:marBottom w:val="0"/>
      <w:divBdr>
        <w:top w:val="none" w:sz="0" w:space="0" w:color="auto"/>
        <w:left w:val="none" w:sz="0" w:space="0" w:color="auto"/>
        <w:bottom w:val="none" w:sz="0" w:space="0" w:color="auto"/>
        <w:right w:val="none" w:sz="0" w:space="0" w:color="auto"/>
      </w:divBdr>
    </w:div>
    <w:div w:id="1385986731">
      <w:bodyDiv w:val="1"/>
      <w:marLeft w:val="0"/>
      <w:marRight w:val="0"/>
      <w:marTop w:val="0"/>
      <w:marBottom w:val="0"/>
      <w:divBdr>
        <w:top w:val="none" w:sz="0" w:space="0" w:color="auto"/>
        <w:left w:val="none" w:sz="0" w:space="0" w:color="auto"/>
        <w:bottom w:val="none" w:sz="0" w:space="0" w:color="auto"/>
        <w:right w:val="none" w:sz="0" w:space="0" w:color="auto"/>
      </w:divBdr>
    </w:div>
    <w:div w:id="1403748175">
      <w:bodyDiv w:val="1"/>
      <w:marLeft w:val="0"/>
      <w:marRight w:val="0"/>
      <w:marTop w:val="0"/>
      <w:marBottom w:val="0"/>
      <w:divBdr>
        <w:top w:val="none" w:sz="0" w:space="0" w:color="auto"/>
        <w:left w:val="none" w:sz="0" w:space="0" w:color="auto"/>
        <w:bottom w:val="none" w:sz="0" w:space="0" w:color="auto"/>
        <w:right w:val="none" w:sz="0" w:space="0" w:color="auto"/>
      </w:divBdr>
    </w:div>
    <w:div w:id="1411464193">
      <w:bodyDiv w:val="1"/>
      <w:marLeft w:val="0"/>
      <w:marRight w:val="0"/>
      <w:marTop w:val="0"/>
      <w:marBottom w:val="0"/>
      <w:divBdr>
        <w:top w:val="none" w:sz="0" w:space="0" w:color="auto"/>
        <w:left w:val="none" w:sz="0" w:space="0" w:color="auto"/>
        <w:bottom w:val="none" w:sz="0" w:space="0" w:color="auto"/>
        <w:right w:val="none" w:sz="0" w:space="0" w:color="auto"/>
      </w:divBdr>
    </w:div>
    <w:div w:id="1438718168">
      <w:bodyDiv w:val="1"/>
      <w:marLeft w:val="0"/>
      <w:marRight w:val="0"/>
      <w:marTop w:val="0"/>
      <w:marBottom w:val="0"/>
      <w:divBdr>
        <w:top w:val="none" w:sz="0" w:space="0" w:color="auto"/>
        <w:left w:val="none" w:sz="0" w:space="0" w:color="auto"/>
        <w:bottom w:val="none" w:sz="0" w:space="0" w:color="auto"/>
        <w:right w:val="none" w:sz="0" w:space="0" w:color="auto"/>
      </w:divBdr>
    </w:div>
    <w:div w:id="1461847323">
      <w:bodyDiv w:val="1"/>
      <w:marLeft w:val="0"/>
      <w:marRight w:val="0"/>
      <w:marTop w:val="0"/>
      <w:marBottom w:val="0"/>
      <w:divBdr>
        <w:top w:val="none" w:sz="0" w:space="0" w:color="auto"/>
        <w:left w:val="none" w:sz="0" w:space="0" w:color="auto"/>
        <w:bottom w:val="none" w:sz="0" w:space="0" w:color="auto"/>
        <w:right w:val="none" w:sz="0" w:space="0" w:color="auto"/>
      </w:divBdr>
    </w:div>
    <w:div w:id="1462459497">
      <w:bodyDiv w:val="1"/>
      <w:marLeft w:val="0"/>
      <w:marRight w:val="0"/>
      <w:marTop w:val="0"/>
      <w:marBottom w:val="0"/>
      <w:divBdr>
        <w:top w:val="none" w:sz="0" w:space="0" w:color="auto"/>
        <w:left w:val="none" w:sz="0" w:space="0" w:color="auto"/>
        <w:bottom w:val="none" w:sz="0" w:space="0" w:color="auto"/>
        <w:right w:val="none" w:sz="0" w:space="0" w:color="auto"/>
      </w:divBdr>
    </w:div>
    <w:div w:id="1473525735">
      <w:bodyDiv w:val="1"/>
      <w:marLeft w:val="0"/>
      <w:marRight w:val="0"/>
      <w:marTop w:val="0"/>
      <w:marBottom w:val="0"/>
      <w:divBdr>
        <w:top w:val="none" w:sz="0" w:space="0" w:color="auto"/>
        <w:left w:val="none" w:sz="0" w:space="0" w:color="auto"/>
        <w:bottom w:val="none" w:sz="0" w:space="0" w:color="auto"/>
        <w:right w:val="none" w:sz="0" w:space="0" w:color="auto"/>
      </w:divBdr>
    </w:div>
    <w:div w:id="1477382580">
      <w:bodyDiv w:val="1"/>
      <w:marLeft w:val="0"/>
      <w:marRight w:val="0"/>
      <w:marTop w:val="0"/>
      <w:marBottom w:val="0"/>
      <w:divBdr>
        <w:top w:val="none" w:sz="0" w:space="0" w:color="auto"/>
        <w:left w:val="none" w:sz="0" w:space="0" w:color="auto"/>
        <w:bottom w:val="none" w:sz="0" w:space="0" w:color="auto"/>
        <w:right w:val="none" w:sz="0" w:space="0" w:color="auto"/>
      </w:divBdr>
    </w:div>
    <w:div w:id="1515026465">
      <w:bodyDiv w:val="1"/>
      <w:marLeft w:val="0"/>
      <w:marRight w:val="0"/>
      <w:marTop w:val="0"/>
      <w:marBottom w:val="0"/>
      <w:divBdr>
        <w:top w:val="none" w:sz="0" w:space="0" w:color="auto"/>
        <w:left w:val="none" w:sz="0" w:space="0" w:color="auto"/>
        <w:bottom w:val="none" w:sz="0" w:space="0" w:color="auto"/>
        <w:right w:val="none" w:sz="0" w:space="0" w:color="auto"/>
      </w:divBdr>
    </w:div>
    <w:div w:id="1537697109">
      <w:bodyDiv w:val="1"/>
      <w:marLeft w:val="0"/>
      <w:marRight w:val="0"/>
      <w:marTop w:val="0"/>
      <w:marBottom w:val="0"/>
      <w:divBdr>
        <w:top w:val="none" w:sz="0" w:space="0" w:color="auto"/>
        <w:left w:val="none" w:sz="0" w:space="0" w:color="auto"/>
        <w:bottom w:val="none" w:sz="0" w:space="0" w:color="auto"/>
        <w:right w:val="none" w:sz="0" w:space="0" w:color="auto"/>
      </w:divBdr>
    </w:div>
    <w:div w:id="1572933648">
      <w:bodyDiv w:val="1"/>
      <w:marLeft w:val="0"/>
      <w:marRight w:val="0"/>
      <w:marTop w:val="0"/>
      <w:marBottom w:val="0"/>
      <w:divBdr>
        <w:top w:val="none" w:sz="0" w:space="0" w:color="auto"/>
        <w:left w:val="none" w:sz="0" w:space="0" w:color="auto"/>
        <w:bottom w:val="none" w:sz="0" w:space="0" w:color="auto"/>
        <w:right w:val="none" w:sz="0" w:space="0" w:color="auto"/>
      </w:divBdr>
    </w:div>
    <w:div w:id="1580287323">
      <w:bodyDiv w:val="1"/>
      <w:marLeft w:val="0"/>
      <w:marRight w:val="0"/>
      <w:marTop w:val="0"/>
      <w:marBottom w:val="0"/>
      <w:divBdr>
        <w:top w:val="none" w:sz="0" w:space="0" w:color="auto"/>
        <w:left w:val="none" w:sz="0" w:space="0" w:color="auto"/>
        <w:bottom w:val="none" w:sz="0" w:space="0" w:color="auto"/>
        <w:right w:val="none" w:sz="0" w:space="0" w:color="auto"/>
      </w:divBdr>
    </w:div>
    <w:div w:id="1584535791">
      <w:bodyDiv w:val="1"/>
      <w:marLeft w:val="0"/>
      <w:marRight w:val="0"/>
      <w:marTop w:val="0"/>
      <w:marBottom w:val="0"/>
      <w:divBdr>
        <w:top w:val="none" w:sz="0" w:space="0" w:color="auto"/>
        <w:left w:val="none" w:sz="0" w:space="0" w:color="auto"/>
        <w:bottom w:val="none" w:sz="0" w:space="0" w:color="auto"/>
        <w:right w:val="none" w:sz="0" w:space="0" w:color="auto"/>
      </w:divBdr>
    </w:div>
    <w:div w:id="1588462322">
      <w:bodyDiv w:val="1"/>
      <w:marLeft w:val="0"/>
      <w:marRight w:val="0"/>
      <w:marTop w:val="0"/>
      <w:marBottom w:val="0"/>
      <w:divBdr>
        <w:top w:val="none" w:sz="0" w:space="0" w:color="auto"/>
        <w:left w:val="none" w:sz="0" w:space="0" w:color="auto"/>
        <w:bottom w:val="none" w:sz="0" w:space="0" w:color="auto"/>
        <w:right w:val="none" w:sz="0" w:space="0" w:color="auto"/>
      </w:divBdr>
    </w:div>
    <w:div w:id="1657417497">
      <w:bodyDiv w:val="1"/>
      <w:marLeft w:val="0"/>
      <w:marRight w:val="0"/>
      <w:marTop w:val="0"/>
      <w:marBottom w:val="0"/>
      <w:divBdr>
        <w:top w:val="none" w:sz="0" w:space="0" w:color="auto"/>
        <w:left w:val="none" w:sz="0" w:space="0" w:color="auto"/>
        <w:bottom w:val="none" w:sz="0" w:space="0" w:color="auto"/>
        <w:right w:val="none" w:sz="0" w:space="0" w:color="auto"/>
      </w:divBdr>
    </w:div>
    <w:div w:id="1660764845">
      <w:bodyDiv w:val="1"/>
      <w:marLeft w:val="0"/>
      <w:marRight w:val="0"/>
      <w:marTop w:val="0"/>
      <w:marBottom w:val="0"/>
      <w:divBdr>
        <w:top w:val="none" w:sz="0" w:space="0" w:color="auto"/>
        <w:left w:val="none" w:sz="0" w:space="0" w:color="auto"/>
        <w:bottom w:val="none" w:sz="0" w:space="0" w:color="auto"/>
        <w:right w:val="none" w:sz="0" w:space="0" w:color="auto"/>
      </w:divBdr>
    </w:div>
    <w:div w:id="1662734207">
      <w:bodyDiv w:val="1"/>
      <w:marLeft w:val="0"/>
      <w:marRight w:val="0"/>
      <w:marTop w:val="0"/>
      <w:marBottom w:val="0"/>
      <w:divBdr>
        <w:top w:val="none" w:sz="0" w:space="0" w:color="auto"/>
        <w:left w:val="none" w:sz="0" w:space="0" w:color="auto"/>
        <w:bottom w:val="none" w:sz="0" w:space="0" w:color="auto"/>
        <w:right w:val="none" w:sz="0" w:space="0" w:color="auto"/>
      </w:divBdr>
    </w:div>
    <w:div w:id="1720737434">
      <w:bodyDiv w:val="1"/>
      <w:marLeft w:val="0"/>
      <w:marRight w:val="0"/>
      <w:marTop w:val="0"/>
      <w:marBottom w:val="0"/>
      <w:divBdr>
        <w:top w:val="none" w:sz="0" w:space="0" w:color="auto"/>
        <w:left w:val="none" w:sz="0" w:space="0" w:color="auto"/>
        <w:bottom w:val="none" w:sz="0" w:space="0" w:color="auto"/>
        <w:right w:val="none" w:sz="0" w:space="0" w:color="auto"/>
      </w:divBdr>
    </w:div>
    <w:div w:id="1725984903">
      <w:bodyDiv w:val="1"/>
      <w:marLeft w:val="0"/>
      <w:marRight w:val="0"/>
      <w:marTop w:val="0"/>
      <w:marBottom w:val="0"/>
      <w:divBdr>
        <w:top w:val="none" w:sz="0" w:space="0" w:color="auto"/>
        <w:left w:val="none" w:sz="0" w:space="0" w:color="auto"/>
        <w:bottom w:val="none" w:sz="0" w:space="0" w:color="auto"/>
        <w:right w:val="none" w:sz="0" w:space="0" w:color="auto"/>
      </w:divBdr>
      <w:divsChild>
        <w:div w:id="468938744">
          <w:marLeft w:val="0"/>
          <w:marRight w:val="0"/>
          <w:marTop w:val="0"/>
          <w:marBottom w:val="0"/>
          <w:divBdr>
            <w:top w:val="none" w:sz="0" w:space="0" w:color="auto"/>
            <w:left w:val="none" w:sz="0" w:space="0" w:color="auto"/>
            <w:bottom w:val="none" w:sz="0" w:space="0" w:color="auto"/>
            <w:right w:val="none" w:sz="0" w:space="0" w:color="auto"/>
          </w:divBdr>
          <w:divsChild>
            <w:div w:id="710038358">
              <w:marLeft w:val="0"/>
              <w:marRight w:val="0"/>
              <w:marTop w:val="0"/>
              <w:marBottom w:val="0"/>
              <w:divBdr>
                <w:top w:val="none" w:sz="0" w:space="0" w:color="auto"/>
                <w:left w:val="none" w:sz="0" w:space="0" w:color="auto"/>
                <w:bottom w:val="none" w:sz="0" w:space="0" w:color="auto"/>
                <w:right w:val="none" w:sz="0" w:space="0" w:color="auto"/>
              </w:divBdr>
            </w:div>
          </w:divsChild>
        </w:div>
        <w:div w:id="1142190709">
          <w:marLeft w:val="0"/>
          <w:marRight w:val="0"/>
          <w:marTop w:val="0"/>
          <w:marBottom w:val="0"/>
          <w:divBdr>
            <w:top w:val="none" w:sz="0" w:space="0" w:color="auto"/>
            <w:left w:val="none" w:sz="0" w:space="0" w:color="auto"/>
            <w:bottom w:val="none" w:sz="0" w:space="0" w:color="auto"/>
            <w:right w:val="none" w:sz="0" w:space="0" w:color="auto"/>
          </w:divBdr>
          <w:divsChild>
            <w:div w:id="459957967">
              <w:marLeft w:val="0"/>
              <w:marRight w:val="0"/>
              <w:marTop w:val="0"/>
              <w:marBottom w:val="0"/>
              <w:divBdr>
                <w:top w:val="none" w:sz="0" w:space="0" w:color="auto"/>
                <w:left w:val="none" w:sz="0" w:space="0" w:color="auto"/>
                <w:bottom w:val="none" w:sz="0" w:space="0" w:color="auto"/>
                <w:right w:val="none" w:sz="0" w:space="0" w:color="auto"/>
              </w:divBdr>
            </w:div>
            <w:div w:id="5749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98704">
      <w:bodyDiv w:val="1"/>
      <w:marLeft w:val="0"/>
      <w:marRight w:val="0"/>
      <w:marTop w:val="0"/>
      <w:marBottom w:val="0"/>
      <w:divBdr>
        <w:top w:val="none" w:sz="0" w:space="0" w:color="auto"/>
        <w:left w:val="none" w:sz="0" w:space="0" w:color="auto"/>
        <w:bottom w:val="none" w:sz="0" w:space="0" w:color="auto"/>
        <w:right w:val="none" w:sz="0" w:space="0" w:color="auto"/>
      </w:divBdr>
    </w:div>
    <w:div w:id="1760717517">
      <w:bodyDiv w:val="1"/>
      <w:marLeft w:val="0"/>
      <w:marRight w:val="0"/>
      <w:marTop w:val="0"/>
      <w:marBottom w:val="0"/>
      <w:divBdr>
        <w:top w:val="none" w:sz="0" w:space="0" w:color="auto"/>
        <w:left w:val="none" w:sz="0" w:space="0" w:color="auto"/>
        <w:bottom w:val="none" w:sz="0" w:space="0" w:color="auto"/>
        <w:right w:val="none" w:sz="0" w:space="0" w:color="auto"/>
      </w:divBdr>
    </w:div>
    <w:div w:id="1766069092">
      <w:bodyDiv w:val="1"/>
      <w:marLeft w:val="0"/>
      <w:marRight w:val="0"/>
      <w:marTop w:val="0"/>
      <w:marBottom w:val="0"/>
      <w:divBdr>
        <w:top w:val="none" w:sz="0" w:space="0" w:color="auto"/>
        <w:left w:val="none" w:sz="0" w:space="0" w:color="auto"/>
        <w:bottom w:val="none" w:sz="0" w:space="0" w:color="auto"/>
        <w:right w:val="none" w:sz="0" w:space="0" w:color="auto"/>
      </w:divBdr>
    </w:div>
    <w:div w:id="1818765839">
      <w:bodyDiv w:val="1"/>
      <w:marLeft w:val="0"/>
      <w:marRight w:val="0"/>
      <w:marTop w:val="0"/>
      <w:marBottom w:val="0"/>
      <w:divBdr>
        <w:top w:val="none" w:sz="0" w:space="0" w:color="auto"/>
        <w:left w:val="none" w:sz="0" w:space="0" w:color="auto"/>
        <w:bottom w:val="none" w:sz="0" w:space="0" w:color="auto"/>
        <w:right w:val="none" w:sz="0" w:space="0" w:color="auto"/>
      </w:divBdr>
    </w:div>
    <w:div w:id="1857230294">
      <w:bodyDiv w:val="1"/>
      <w:marLeft w:val="0"/>
      <w:marRight w:val="0"/>
      <w:marTop w:val="0"/>
      <w:marBottom w:val="0"/>
      <w:divBdr>
        <w:top w:val="none" w:sz="0" w:space="0" w:color="auto"/>
        <w:left w:val="none" w:sz="0" w:space="0" w:color="auto"/>
        <w:bottom w:val="none" w:sz="0" w:space="0" w:color="auto"/>
        <w:right w:val="none" w:sz="0" w:space="0" w:color="auto"/>
      </w:divBdr>
    </w:div>
    <w:div w:id="1872036278">
      <w:bodyDiv w:val="1"/>
      <w:marLeft w:val="0"/>
      <w:marRight w:val="0"/>
      <w:marTop w:val="0"/>
      <w:marBottom w:val="0"/>
      <w:divBdr>
        <w:top w:val="none" w:sz="0" w:space="0" w:color="auto"/>
        <w:left w:val="none" w:sz="0" w:space="0" w:color="auto"/>
        <w:bottom w:val="none" w:sz="0" w:space="0" w:color="auto"/>
        <w:right w:val="none" w:sz="0" w:space="0" w:color="auto"/>
      </w:divBdr>
    </w:div>
    <w:div w:id="1879393678">
      <w:bodyDiv w:val="1"/>
      <w:marLeft w:val="0"/>
      <w:marRight w:val="0"/>
      <w:marTop w:val="0"/>
      <w:marBottom w:val="0"/>
      <w:divBdr>
        <w:top w:val="none" w:sz="0" w:space="0" w:color="auto"/>
        <w:left w:val="none" w:sz="0" w:space="0" w:color="auto"/>
        <w:bottom w:val="none" w:sz="0" w:space="0" w:color="auto"/>
        <w:right w:val="none" w:sz="0" w:space="0" w:color="auto"/>
      </w:divBdr>
    </w:div>
    <w:div w:id="1898013079">
      <w:bodyDiv w:val="1"/>
      <w:marLeft w:val="0"/>
      <w:marRight w:val="0"/>
      <w:marTop w:val="0"/>
      <w:marBottom w:val="0"/>
      <w:divBdr>
        <w:top w:val="none" w:sz="0" w:space="0" w:color="auto"/>
        <w:left w:val="none" w:sz="0" w:space="0" w:color="auto"/>
        <w:bottom w:val="none" w:sz="0" w:space="0" w:color="auto"/>
        <w:right w:val="none" w:sz="0" w:space="0" w:color="auto"/>
      </w:divBdr>
    </w:div>
    <w:div w:id="1902985812">
      <w:bodyDiv w:val="1"/>
      <w:marLeft w:val="0"/>
      <w:marRight w:val="0"/>
      <w:marTop w:val="0"/>
      <w:marBottom w:val="0"/>
      <w:divBdr>
        <w:top w:val="none" w:sz="0" w:space="0" w:color="auto"/>
        <w:left w:val="none" w:sz="0" w:space="0" w:color="auto"/>
        <w:bottom w:val="none" w:sz="0" w:space="0" w:color="auto"/>
        <w:right w:val="none" w:sz="0" w:space="0" w:color="auto"/>
      </w:divBdr>
    </w:div>
    <w:div w:id="1944268034">
      <w:bodyDiv w:val="1"/>
      <w:marLeft w:val="0"/>
      <w:marRight w:val="0"/>
      <w:marTop w:val="0"/>
      <w:marBottom w:val="0"/>
      <w:divBdr>
        <w:top w:val="none" w:sz="0" w:space="0" w:color="auto"/>
        <w:left w:val="none" w:sz="0" w:space="0" w:color="auto"/>
        <w:bottom w:val="none" w:sz="0" w:space="0" w:color="auto"/>
        <w:right w:val="none" w:sz="0" w:space="0" w:color="auto"/>
      </w:divBdr>
    </w:div>
    <w:div w:id="1959020662">
      <w:bodyDiv w:val="1"/>
      <w:marLeft w:val="0"/>
      <w:marRight w:val="0"/>
      <w:marTop w:val="0"/>
      <w:marBottom w:val="0"/>
      <w:divBdr>
        <w:top w:val="none" w:sz="0" w:space="0" w:color="auto"/>
        <w:left w:val="none" w:sz="0" w:space="0" w:color="auto"/>
        <w:bottom w:val="none" w:sz="0" w:space="0" w:color="auto"/>
        <w:right w:val="none" w:sz="0" w:space="0" w:color="auto"/>
      </w:divBdr>
    </w:div>
    <w:div w:id="1991859530">
      <w:bodyDiv w:val="1"/>
      <w:marLeft w:val="0"/>
      <w:marRight w:val="0"/>
      <w:marTop w:val="0"/>
      <w:marBottom w:val="0"/>
      <w:divBdr>
        <w:top w:val="none" w:sz="0" w:space="0" w:color="auto"/>
        <w:left w:val="none" w:sz="0" w:space="0" w:color="auto"/>
        <w:bottom w:val="none" w:sz="0" w:space="0" w:color="auto"/>
        <w:right w:val="none" w:sz="0" w:space="0" w:color="auto"/>
      </w:divBdr>
    </w:div>
    <w:div w:id="1999655028">
      <w:bodyDiv w:val="1"/>
      <w:marLeft w:val="0"/>
      <w:marRight w:val="0"/>
      <w:marTop w:val="0"/>
      <w:marBottom w:val="0"/>
      <w:divBdr>
        <w:top w:val="none" w:sz="0" w:space="0" w:color="auto"/>
        <w:left w:val="none" w:sz="0" w:space="0" w:color="auto"/>
        <w:bottom w:val="none" w:sz="0" w:space="0" w:color="auto"/>
        <w:right w:val="none" w:sz="0" w:space="0" w:color="auto"/>
      </w:divBdr>
    </w:div>
    <w:div w:id="2045472118">
      <w:bodyDiv w:val="1"/>
      <w:marLeft w:val="0"/>
      <w:marRight w:val="0"/>
      <w:marTop w:val="0"/>
      <w:marBottom w:val="0"/>
      <w:divBdr>
        <w:top w:val="none" w:sz="0" w:space="0" w:color="auto"/>
        <w:left w:val="none" w:sz="0" w:space="0" w:color="auto"/>
        <w:bottom w:val="none" w:sz="0" w:space="0" w:color="auto"/>
        <w:right w:val="none" w:sz="0" w:space="0" w:color="auto"/>
      </w:divBdr>
    </w:div>
    <w:div w:id="2062290121">
      <w:bodyDiv w:val="1"/>
      <w:marLeft w:val="0"/>
      <w:marRight w:val="0"/>
      <w:marTop w:val="0"/>
      <w:marBottom w:val="0"/>
      <w:divBdr>
        <w:top w:val="none" w:sz="0" w:space="0" w:color="auto"/>
        <w:left w:val="none" w:sz="0" w:space="0" w:color="auto"/>
        <w:bottom w:val="none" w:sz="0" w:space="0" w:color="auto"/>
        <w:right w:val="none" w:sz="0" w:space="0" w:color="auto"/>
      </w:divBdr>
    </w:div>
    <w:div w:id="2069499936">
      <w:bodyDiv w:val="1"/>
      <w:marLeft w:val="0"/>
      <w:marRight w:val="0"/>
      <w:marTop w:val="0"/>
      <w:marBottom w:val="0"/>
      <w:divBdr>
        <w:top w:val="none" w:sz="0" w:space="0" w:color="auto"/>
        <w:left w:val="none" w:sz="0" w:space="0" w:color="auto"/>
        <w:bottom w:val="none" w:sz="0" w:space="0" w:color="auto"/>
        <w:right w:val="none" w:sz="0" w:space="0" w:color="auto"/>
      </w:divBdr>
    </w:div>
    <w:div w:id="2114278256">
      <w:bodyDiv w:val="1"/>
      <w:marLeft w:val="0"/>
      <w:marRight w:val="0"/>
      <w:marTop w:val="0"/>
      <w:marBottom w:val="0"/>
      <w:divBdr>
        <w:top w:val="none" w:sz="0" w:space="0" w:color="auto"/>
        <w:left w:val="none" w:sz="0" w:space="0" w:color="auto"/>
        <w:bottom w:val="none" w:sz="0" w:space="0" w:color="auto"/>
        <w:right w:val="none" w:sz="0" w:space="0" w:color="auto"/>
      </w:divBdr>
    </w:div>
    <w:div w:id="214034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39" Type="http://schemas.openxmlformats.org/officeDocument/2006/relationships/hyperlink" Target="https://www.bbc.com/news/business-50862349" TargetMode="External"/><Relationship Id="rId21" Type="http://schemas.openxmlformats.org/officeDocument/2006/relationships/image" Target="media/image5.svg"/><Relationship Id="rId34" Type="http://schemas.openxmlformats.org/officeDocument/2006/relationships/hyperlink" Target="https://www.homeaffairs.gov.au/reports-and-pubs/files/critical-infrastructure-consultation-submissions/EDS069-CISoNS-NewPaymentsPlatform.PDF" TargetMode="External"/><Relationship Id="rId42" Type="http://schemas.openxmlformats.org/officeDocument/2006/relationships/hyperlink" Target="https://www.brisbanetimes.com.au/national/queensland/costs-to-remove-toxic-paint-from-great-barrier-reef-triples-to-141-million-20160506-gooe84.html" TargetMode="External"/><Relationship Id="rId47" Type="http://schemas.openxmlformats.org/officeDocument/2006/relationships/hyperlink" Target="https://cabinet.qld.gov.au/documents/2011/apr/operation%20qlder%20implementation%20plan/Attachments/Implementation_Plan%5b1%5d.pdf" TargetMode="External"/><Relationship Id="rId50" Type="http://schemas.openxmlformats.org/officeDocument/2006/relationships/image" Target="media/image11.jpeg"/><Relationship Id="rId55" Type="http://schemas.openxmlformats.org/officeDocument/2006/relationships/hyperlink" Target="https://www.wiley.com/WileyCDA/WileyTitle/productCd-1119276748,miniSiteCd-SYBEX.html" TargetMode="External"/><Relationship Id="rId63" Type="http://schemas.openxmlformats.org/officeDocument/2006/relationships/hyperlink" Target="https://www.oaic.gov.au/privacy/australian-privacy-principles" TargetMode="External"/><Relationship Id="rId68" Type="http://schemas.openxmlformats.org/officeDocument/2006/relationships/footer" Target="footer2.xml"/><Relationship Id="rId76" Type="http://schemas.microsoft.com/office/2016/09/relationships/commentsIds" Target="commentsIds.xml"/><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asio.gov.au/sites/default/files/ASIO%20Annual%20Report%202019-20.pdf" TargetMode="External"/><Relationship Id="rId41" Type="http://schemas.openxmlformats.org/officeDocument/2006/relationships/hyperlink" Target="https://thenewdaily.com.au/news/national/2016/09/19/shen-neng-oil-spill-payout/" TargetMode="External"/><Relationship Id="rId54" Type="http://schemas.openxmlformats.org/officeDocument/2006/relationships/image" Target="media/image13.jpg"/><Relationship Id="rId62" Type="http://schemas.openxmlformats.org/officeDocument/2006/relationships/hyperlink" Target="https://www.oaic.gov.au/privacy/the-privacy-act/rights-and-responsibilities" TargetMode="External"/><Relationship Id="rId7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hyperlink" Target="https://www.cisc.gov.au/help-and-support-subsite/Files/critical_infrastructure_resilience_strategy_plan.pdf" TargetMode="External"/><Relationship Id="rId37" Type="http://schemas.openxmlformats.org/officeDocument/2006/relationships/hyperlink" Target="https://www.ibm.com/downloads/cas/OJDVQGRY" TargetMode="External"/><Relationship Id="rId40" Type="http://schemas.openxmlformats.org/officeDocument/2006/relationships/hyperlink" Target="https://www.geelongadvertiser.com.au/news/geelong/cost-of-cyber-attack-revealed-as-barwon-health-records-surplus-in-challenging-year/news-story/625fa8fc13778725cfc54e9acb79d8fe" TargetMode="External"/><Relationship Id="rId45" Type="http://schemas.openxmlformats.org/officeDocument/2006/relationships/hyperlink" Target="https://www.pm.gov.au/media/statement-malicious-cyber-activity-against-australian-networks" TargetMode="External"/><Relationship Id="rId53" Type="http://schemas.openxmlformats.org/officeDocument/2006/relationships/image" Target="media/image12.jpg"/><Relationship Id="rId58" Type="http://schemas.openxmlformats.org/officeDocument/2006/relationships/hyperlink" Target="https://www.rba.gov.au/payments-and-infrastructure/payments-system-regulation/regulations.html" TargetMode="External"/><Relationship Id="rId66" Type="http://schemas.openxmlformats.org/officeDocument/2006/relationships/header" Target="header2.xml"/><Relationship Id="rId5" Type="http://schemas.openxmlformats.org/officeDocument/2006/relationships/footnotes" Target="footnotes.xml"/><Relationship Id="rId23" Type="http://schemas.openxmlformats.org/officeDocument/2006/relationships/image" Target="media/image5.jpeg"/><Relationship Id="rId28" Type="http://schemas.openxmlformats.org/officeDocument/2006/relationships/hyperlink" Target="https://www.abc.net.au/news/2021-05-16/colonial-pipeline-normal-operations-ransomeware-attack/100142608" TargetMode="External"/><Relationship Id="rId36" Type="http://schemas.openxmlformats.org/officeDocument/2006/relationships/hyperlink" Target="https://my.ibisworld.com/au/en/industry/d2620/about" TargetMode="External"/><Relationship Id="rId49" Type="http://schemas.openxmlformats.org/officeDocument/2006/relationships/image" Target="media/image10.emf"/><Relationship Id="rId57" Type="http://schemas.openxmlformats.org/officeDocument/2006/relationships/hyperlink" Target="https://www.cbaa.org.au/resource/community-radio-broadcasting-codes-practice" TargetMode="External"/><Relationship Id="rId61" Type="http://schemas.openxmlformats.org/officeDocument/2006/relationships/image" Target="media/image17.png"/><Relationship Id="rId31" Type="http://schemas.openxmlformats.org/officeDocument/2006/relationships/hyperlink" Target="https://www.cyber.gov.au/sites/default/files/2020-09/ACSC-Annual-Cyber-Threat-Report-2019-20.pdf" TargetMode="External"/><Relationship Id="rId44" Type="http://schemas.openxmlformats.org/officeDocument/2006/relationships/hyperlink" Target="https://www.abc.net.au/news/2021-05-26/qld-callide-power-station-biloela-investigation/100164942" TargetMode="External"/><Relationship Id="rId52" Type="http://schemas.openxmlformats.org/officeDocument/2006/relationships/hyperlink" Target="https://www.nytimes.com/2021/05/09/us/politics/biden-cyberattack-response.html" TargetMode="External"/><Relationship Id="rId60" Type="http://schemas.openxmlformats.org/officeDocument/2006/relationships/image" Target="media/image16.jpg"/><Relationship Id="rId65" Type="http://schemas.openxmlformats.org/officeDocument/2006/relationships/header" Target="header1.xm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hyperlink" Target="https://www.asio.gov.au/sites/default/files/Annual%20Report%202020-21%20WEB.pdf" TargetMode="External"/><Relationship Id="rId35" Type="http://schemas.openxmlformats.org/officeDocument/2006/relationships/hyperlink" Target="https://www.brisbanetimes.com.au/national/queensland/the-peculiar-reason-hackers-invaded-one-of-queensland-s-biggest-water-companies-20211111-p5987b.html" TargetMode="External"/><Relationship Id="rId43" Type="http://schemas.openxmlformats.org/officeDocument/2006/relationships/hyperlink" Target="https://www.datacenterdynamics.com/en/news/google-cloud-hit-by-outage-in-new-melbourne-australia-region/" TargetMode="External"/><Relationship Id="rId48" Type="http://schemas.openxmlformats.org/officeDocument/2006/relationships/hyperlink" Target="https://www.legislation.gov.au/Details/C2021A00124" TargetMode="External"/><Relationship Id="rId56" Type="http://schemas.openxmlformats.org/officeDocument/2006/relationships/image" Target="media/image14.jpg"/><Relationship Id="rId64" Type="http://schemas.openxmlformats.org/officeDocument/2006/relationships/image" Target="media/image18.emf"/><Relationship Id="rId69" Type="http://schemas.openxmlformats.org/officeDocument/2006/relationships/header" Target="header3.xml"/><Relationship Id="rId77" Type="http://schemas.microsoft.com/office/2018/08/relationships/commentsExtensible" Target="commentsExtensible.xml"/><Relationship Id="rId8" Type="http://schemas.openxmlformats.org/officeDocument/2006/relationships/image" Target="media/image2.jpeg"/><Relationship Id="rId51" Type="http://schemas.openxmlformats.org/officeDocument/2006/relationships/hyperlink" Target="https://en.wikipedia.org/wiki/Forensic_engineering" TargetMode="External"/><Relationship Id="rId72" Type="http://schemas.openxmlformats.org/officeDocument/2006/relationships/glossaryDocument" Target="glossary/document.xml"/><Relationship Id="rId3" Type="http://schemas.openxmlformats.org/officeDocument/2006/relationships/settings" Target="settings.xml"/><Relationship Id="rId25" Type="http://schemas.openxmlformats.org/officeDocument/2006/relationships/image" Target="media/image7.jpeg"/><Relationship Id="rId33" Type="http://schemas.openxmlformats.org/officeDocument/2006/relationships/hyperlink" Target="https://www.homeaffairs.gov.au/about-us/our-portfolios/national-security/security-coordination/critical-infrastructure-resilience" TargetMode="External"/><Relationship Id="rId38" Type="http://schemas.openxmlformats.org/officeDocument/2006/relationships/hyperlink" Target="https://www.mja.com.au/journal/2021/215/11/increasing-icu-capacity-accommodate-higher-demand-during-covid-19-pandemic" TargetMode="External"/><Relationship Id="rId46" Type="http://schemas.openxmlformats.org/officeDocument/2006/relationships/hyperlink" Target="http://www.floodcommission.qld.gov.au/__data/assets/pdf_file/0007/11698/QFCI-Final-Report-March-2012.pdf" TargetMode="External"/><Relationship Id="rId59" Type="http://schemas.openxmlformats.org/officeDocument/2006/relationships/image" Target="media/image15.jpg"/><Relationship Id="rId67"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cnbc.com/2021/09/24/empty-shelves-and-gasoline-shortages-uk-facing-a-difficult-winter.html" TargetMode="External"/><Relationship Id="rId13" Type="http://schemas.openxmlformats.org/officeDocument/2006/relationships/hyperlink" Target="https://www.bloomberg.com/news/articles/2021-06-04/hackers-breached-colonial-pipeline-using-compromised-password" TargetMode="External"/><Relationship Id="rId18" Type="http://schemas.openxmlformats.org/officeDocument/2006/relationships/hyperlink" Target="https://www.afr.com/companies/infrastructure/the-hidden-cost-of-our-covid-shopping-spree-20210120-p56vks" TargetMode="External"/><Relationship Id="rId26" Type="http://schemas.openxmlformats.org/officeDocument/2006/relationships/hyperlink" Target="https://www.abc.net.au/news/2022-02-15/nt-rail-link-reopens-25-days-after-flood-damage/100824484" TargetMode="External"/><Relationship Id="rId39" Type="http://schemas.openxmlformats.org/officeDocument/2006/relationships/hyperlink" Target="https://www.pbs.org/newshour/economy/how-the-baby-formula-shortage-financially-strains-u-s-families" TargetMode="External"/><Relationship Id="rId3" Type="http://schemas.openxmlformats.org/officeDocument/2006/relationships/hyperlink" Target="https://www.abc.net.au/news/2020-10-30/abc-radio-transmitter-melted-in-nsw-bushfires-back-in-action/12830154" TargetMode="External"/><Relationship Id="rId21" Type="http://schemas.openxmlformats.org/officeDocument/2006/relationships/hyperlink" Target="https://www.statista.com/statistics/1063165/revenue-of-coop-retail-stores-in-sweden-by-region/" TargetMode="External"/><Relationship Id="rId34" Type="http://schemas.openxmlformats.org/officeDocument/2006/relationships/hyperlink" Target="https://amic.org.au/domestic-meat-shortages-loom-as-processors-face-covid-induced-labour-shortage/" TargetMode="External"/><Relationship Id="rId42" Type="http://schemas.openxmlformats.org/officeDocument/2006/relationships/hyperlink" Target="https://lighthouse.mq.edu.au/article/january-2022/more-supermarket-diversity-would-ease-supply-disruptions" TargetMode="External"/><Relationship Id="rId7" Type="http://schemas.openxmlformats.org/officeDocument/2006/relationships/hyperlink" Target="https://www.rba.gov.au/publications/fsr/2018/oct/pdf/box-d.pdf" TargetMode="External"/><Relationship Id="rId12" Type="http://schemas.openxmlformats.org/officeDocument/2006/relationships/hyperlink" Target="https://www.abc.net.au/news/2021-05-16/colonial-pipeline-normal-operations-ransomeware-attack/100142608" TargetMode="External"/><Relationship Id="rId17" Type="http://schemas.openxmlformats.org/officeDocument/2006/relationships/hyperlink" Target="https://www.abc.net.au/news/rural/2021-01-08/high-freight-costs-due-to-covid-impact-tasmanian-agriculture/13035798" TargetMode="External"/><Relationship Id="rId25" Type="http://schemas.openxmlformats.org/officeDocument/2006/relationships/hyperlink" Target="https://www.theguardian.com/australia-news/2022/feb/04/a-logistical-nightmare-flooding-takes-out-sole-rail-link-sparking-west-australian-food-shortage" TargetMode="External"/><Relationship Id="rId33" Type="http://schemas.openxmlformats.org/officeDocument/2006/relationships/hyperlink" Target="https://www.abc.net.au/news/rural/2022-01-11/chicken-shortage-due-to-covid-staff-shortage-in-meat-processing/100749802" TargetMode="External"/><Relationship Id="rId38" Type="http://schemas.openxmlformats.org/officeDocument/2006/relationships/hyperlink" Target="https://www.smh.com.au/business/companies/bushfires-likely-to-impact-australian-retailers-analysts-say-20200108-p53pqi.html" TargetMode="External"/><Relationship Id="rId46" Type="http://schemas.openxmlformats.org/officeDocument/2006/relationships/hyperlink" Target="https://www.abc.net.au/news/rural/2021-06-10/jbs-foods-pays-14million-ransom-cyber-attack/100204240" TargetMode="External"/><Relationship Id="rId2" Type="http://schemas.openxmlformats.org/officeDocument/2006/relationships/hyperlink" Target="https://www.abc.net.au/news/2021-07-06/hackers-demand-92m-after-gargantuan-ransomware-attack/100269678" TargetMode="External"/><Relationship Id="rId16" Type="http://schemas.openxmlformats.org/officeDocument/2006/relationships/hyperlink" Target="https://www.afr.com/companies/infrastructure/the-hidden-cost-of-our-covid-shopping-spree-20210120-p56vks" TargetMode="External"/><Relationship Id="rId20" Type="http://schemas.openxmlformats.org/officeDocument/2006/relationships/hyperlink" Target="https://www.abc.net.au/news/2021-07-06/hackers-demand-92m-after-gargantuan-ransomware-attack/100269678" TargetMode="External"/><Relationship Id="rId29" Type="http://schemas.openxmlformats.org/officeDocument/2006/relationships/hyperlink" Target="https://www.theguardian.com/australia-news/2022/mar/02/nothing-to-sell-queensland-and-nsw-flood-waters-hit-supermarket-grocery-supplies" TargetMode="External"/><Relationship Id="rId41" Type="http://schemas.openxmlformats.org/officeDocument/2006/relationships/hyperlink" Target="https://www.pbs.org/newshour/economy/how-the-baby-formula-shortage-financially-strains-u-s-families" TargetMode="External"/><Relationship Id="rId1" Type="http://schemas.openxmlformats.org/officeDocument/2006/relationships/hyperlink" Target="https://www.abc.net.au/news/2020-10-30/abc-radio-transmitter-melted-in-nsw-bushfires-back-in-action/12830154" TargetMode="External"/><Relationship Id="rId6" Type="http://schemas.openxmlformats.org/officeDocument/2006/relationships/hyperlink" Target="https://www.rba.gov.au/publications/fsr/2018/oct/pdf/box-d.pdf" TargetMode="External"/><Relationship Id="rId11" Type="http://schemas.openxmlformats.org/officeDocument/2006/relationships/hyperlink" Target="https://7news.com.au/technology/security/cyber-attack-closes-irans-petrol-stations-c-4340647" TargetMode="External"/><Relationship Id="rId24" Type="http://schemas.openxmlformats.org/officeDocument/2006/relationships/hyperlink" Target="https://www.afr.com/companies/infrastructure/rail-and-road-flooding-intensifies-supply-chain-crisis-20220131-p59sk3" TargetMode="External"/><Relationship Id="rId32" Type="http://schemas.openxmlformats.org/officeDocument/2006/relationships/hyperlink" Target="https://www.afr.com/politics/floods-damage-bill-set-to-top-2b-20220302-p5a0z5" TargetMode="External"/><Relationship Id="rId37" Type="http://schemas.openxmlformats.org/officeDocument/2006/relationships/hyperlink" Target="https://www.stuff.co.nz/southland-times/128309125/meatworks-losing-millions-in-valueadded-products" TargetMode="External"/><Relationship Id="rId40" Type="http://schemas.openxmlformats.org/officeDocument/2006/relationships/hyperlink" Target="https://www.cnbc.com/2022/05/09/40-percent-of-americas-baby-formula-supplies-are-out-of-stock.html" TargetMode="External"/><Relationship Id="rId45" Type="http://schemas.openxmlformats.org/officeDocument/2006/relationships/hyperlink" Target="https://www.statista.com/statistics/1063165/revenue-of-coop-retail-stores-in-sweden-by-region/" TargetMode="External"/><Relationship Id="rId5" Type="http://schemas.openxmlformats.org/officeDocument/2006/relationships/hyperlink" Target="https://www.abc.net.au/news/2019-08-13/press-freedom-inquiry/11407624" TargetMode="External"/><Relationship Id="rId15" Type="http://schemas.openxmlformats.org/officeDocument/2006/relationships/hyperlink" Target="https://www.abc.net.au/news/2021-09-14/prices-ports-transport-shopping-accc-covid-inflation/100458836" TargetMode="External"/><Relationship Id="rId23" Type="http://schemas.openxmlformats.org/officeDocument/2006/relationships/hyperlink" Target="https://www.abc.net.au/news/rural/2021-06-10/jbs-foods-pays-14million-ransom-cyber-attack/100204240" TargetMode="External"/><Relationship Id="rId28" Type="http://schemas.openxmlformats.org/officeDocument/2006/relationships/hyperlink" Target="https://www.theguardian.com/australia-news/2022/feb/04/a-logistical-nightmare-flooding-takes-out-sole-rail-link-sparking-west-australian-food-shortage" TargetMode="External"/><Relationship Id="rId36" Type="http://schemas.openxmlformats.org/officeDocument/2006/relationships/hyperlink" Target="https://www.bbc.com/news/uk-northern-ireland-58637030" TargetMode="External"/><Relationship Id="rId10" Type="http://schemas.openxmlformats.org/officeDocument/2006/relationships/hyperlink" Target="https://www.businessleader.co.uk/what-does-the-fuel-crisis-mean-for-the-uk-economy/" TargetMode="External"/><Relationship Id="rId19" Type="http://schemas.openxmlformats.org/officeDocument/2006/relationships/hyperlink" Target="https://www.homeaffairs.gov.au/reports-and-pubs/files/critical-infrastructure-consultation-submissions/EDS010-CISoNS-AustralianFoodandGroceryCouncil.PDF" TargetMode="External"/><Relationship Id="rId31" Type="http://schemas.openxmlformats.org/officeDocument/2006/relationships/hyperlink" Target="https://www.theguardian.com/australia-news/2022/mar/02/nothing-to-sell-queensland-and-nsw-flood-waters-hit-supermarket-grocery-supplies" TargetMode="External"/><Relationship Id="rId44" Type="http://schemas.openxmlformats.org/officeDocument/2006/relationships/hyperlink" Target="https://www.abc.net.au/news/2020-10-30/abc-radio-transmitter-melted-in-nsw-bushfires-back-in-action/12830154" TargetMode="External"/><Relationship Id="rId4" Type="http://schemas.openxmlformats.org/officeDocument/2006/relationships/hyperlink" Target="https://www.tvtechnology.com/news/sinclair-still-dealing-with-effects-from-ransomware-attack" TargetMode="External"/><Relationship Id="rId9" Type="http://schemas.openxmlformats.org/officeDocument/2006/relationships/hyperlink" Target="https://www.bloomberg.com/news/articles/2021-09-27/u-k-road-fuel-panic-deepens-the-pain-in-crisis-prone-economy" TargetMode="External"/><Relationship Id="rId14" Type="http://schemas.openxmlformats.org/officeDocument/2006/relationships/hyperlink" Target="https://www.theaustralian.com.au/nation/politics/diesel-crisis-threatens-to-crash-supply-chain/news-story/a11f93b9605cbe9d921f089242ab9619" TargetMode="External"/><Relationship Id="rId22" Type="http://schemas.openxmlformats.org/officeDocument/2006/relationships/hyperlink" Target="https://jbsfoodsgroup.com/articles/jbs-usa-cyberattack-media-statement-june-9" TargetMode="External"/><Relationship Id="rId27" Type="http://schemas.openxmlformats.org/officeDocument/2006/relationships/hyperlink" Target="https://www.afr.com/companies/infrastructure/rail-and-road-flooding-intensifies-supply-chain-crisis-20220131-p59sk3" TargetMode="External"/><Relationship Id="rId30" Type="http://schemas.openxmlformats.org/officeDocument/2006/relationships/hyperlink" Target="https://www.theguardian.com/australia-news/2022/mar/02/nothing-to-sell-queensland-and-nsw-flood-waters-hit-supermarket-grocery-supplies" TargetMode="External"/><Relationship Id="rId35" Type="http://schemas.openxmlformats.org/officeDocument/2006/relationships/hyperlink" Target="https://committees.parliament.uk/publications/9580/documents/162177/default/" TargetMode="External"/><Relationship Id="rId43" Type="http://schemas.openxmlformats.org/officeDocument/2006/relationships/hyperlink" Target="https://www.theguardian.com/business/2020/apr/01/morrisons-is-not-liable-for-massive-staff-data-leak-court-rul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CCBCD472ED644EE9AE45F88E31151A7"/>
        <w:category>
          <w:name w:val="General"/>
          <w:gallery w:val="placeholder"/>
        </w:category>
        <w:types>
          <w:type w:val="bbPlcHdr"/>
        </w:types>
        <w:behaviors>
          <w:behavior w:val="content"/>
        </w:behaviors>
        <w:guid w:val="{9857AD30-8C4C-4D0C-88B7-8BC8AB752E73}"/>
      </w:docPartPr>
      <w:docPartBody>
        <w:p w:rsidR="00501B3B" w:rsidRDefault="00501B3B">
          <w:pPr>
            <w:pStyle w:val="DCCBCD472ED644EE9AE45F88E31151A7"/>
          </w:pPr>
          <w:r w:rsidRPr="00D83DF3">
            <w:rPr>
              <w:rStyle w:val="PlaceholderText"/>
            </w:rPr>
            <w:t>Click here to enter text.</w:t>
          </w:r>
        </w:p>
      </w:docPartBody>
    </w:docPart>
    <w:docPart>
      <w:docPartPr>
        <w:name w:val="E17B7016F66C4C2C89BD2A1877DFFCAB"/>
        <w:category>
          <w:name w:val="General"/>
          <w:gallery w:val="placeholder"/>
        </w:category>
        <w:types>
          <w:type w:val="bbPlcHdr"/>
        </w:types>
        <w:behaviors>
          <w:behavior w:val="content"/>
        </w:behaviors>
        <w:guid w:val="{67E7F8F2-1C40-4307-9F91-C16219784A05}"/>
      </w:docPartPr>
      <w:docPartBody>
        <w:p w:rsidR="00501B3B" w:rsidRDefault="00501B3B">
          <w:pPr>
            <w:pStyle w:val="E17B7016F66C4C2C89BD2A1877DFFCAB"/>
          </w:pPr>
          <w:r w:rsidRPr="009A52E2">
            <w:rPr>
              <w:rStyle w:val="PlaceholderText"/>
              <w:sz w:val="16"/>
              <w:szCs w:val="16"/>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45 Light">
    <w:charset w:val="00"/>
    <w:family w:val="auto"/>
    <w:pitch w:val="variable"/>
    <w:sig w:usb0="8000002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9999999">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T Serif">
    <w:altName w:val="Times New Roman"/>
    <w:charset w:val="00"/>
    <w:family w:val="roman"/>
    <w:pitch w:val="variable"/>
    <w:sig w:usb0="A00002EF" w:usb1="5000204B" w:usb2="00000000" w:usb3="00000000" w:csb0="00000097" w:csb1="00000000"/>
  </w:font>
  <w:font w:name="Source Sans Pro">
    <w:altName w:val="Cambria Math"/>
    <w:charset w:val="00"/>
    <w:family w:val="swiss"/>
    <w:pitch w:val="variable"/>
    <w:sig w:usb0="600002F7" w:usb1="02000001" w:usb2="00000000" w:usb3="00000000" w:csb0="0000019F" w:csb1="00000000"/>
  </w:font>
  <w:font w:name="Open Sans">
    <w:altName w:val="Arial"/>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B3B"/>
    <w:rsid w:val="00087039"/>
    <w:rsid w:val="00177031"/>
    <w:rsid w:val="001A2498"/>
    <w:rsid w:val="0022779B"/>
    <w:rsid w:val="002B054E"/>
    <w:rsid w:val="002B72DF"/>
    <w:rsid w:val="002D2E49"/>
    <w:rsid w:val="00320C44"/>
    <w:rsid w:val="00324A9C"/>
    <w:rsid w:val="00351FB0"/>
    <w:rsid w:val="003639F8"/>
    <w:rsid w:val="00401DD0"/>
    <w:rsid w:val="004332E7"/>
    <w:rsid w:val="00454ADC"/>
    <w:rsid w:val="00487DF6"/>
    <w:rsid w:val="004A105B"/>
    <w:rsid w:val="004F496E"/>
    <w:rsid w:val="004F7E05"/>
    <w:rsid w:val="00501B3B"/>
    <w:rsid w:val="005B2D4C"/>
    <w:rsid w:val="005F58DA"/>
    <w:rsid w:val="00663510"/>
    <w:rsid w:val="00666930"/>
    <w:rsid w:val="006679E9"/>
    <w:rsid w:val="006759CC"/>
    <w:rsid w:val="00704DC6"/>
    <w:rsid w:val="00710409"/>
    <w:rsid w:val="00713401"/>
    <w:rsid w:val="00741C5E"/>
    <w:rsid w:val="0077113A"/>
    <w:rsid w:val="007C6A91"/>
    <w:rsid w:val="008059B8"/>
    <w:rsid w:val="00876DA1"/>
    <w:rsid w:val="008F07F4"/>
    <w:rsid w:val="00902A2B"/>
    <w:rsid w:val="009B2778"/>
    <w:rsid w:val="009B7063"/>
    <w:rsid w:val="009F0F74"/>
    <w:rsid w:val="009F766E"/>
    <w:rsid w:val="00A8188E"/>
    <w:rsid w:val="00A84681"/>
    <w:rsid w:val="00AE639F"/>
    <w:rsid w:val="00B11E42"/>
    <w:rsid w:val="00B5456F"/>
    <w:rsid w:val="00B76E72"/>
    <w:rsid w:val="00B824B3"/>
    <w:rsid w:val="00BB4E34"/>
    <w:rsid w:val="00BD2822"/>
    <w:rsid w:val="00BF1319"/>
    <w:rsid w:val="00C77C3D"/>
    <w:rsid w:val="00D02889"/>
    <w:rsid w:val="00D100EA"/>
    <w:rsid w:val="00D331DE"/>
    <w:rsid w:val="00D65479"/>
    <w:rsid w:val="00DC46BA"/>
    <w:rsid w:val="00DF20AB"/>
    <w:rsid w:val="00E76E4A"/>
    <w:rsid w:val="00F422EF"/>
    <w:rsid w:val="00FA68E5"/>
    <w:rsid w:val="00FB08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D0F919FE1194B7694971C4CFF96A461">
    <w:name w:val="BD0F919FE1194B7694971C4CFF96A461"/>
  </w:style>
  <w:style w:type="paragraph" w:customStyle="1" w:styleId="DCCBCD472ED644EE9AE45F88E31151A7">
    <w:name w:val="DCCBCD472ED644EE9AE45F88E31151A7"/>
  </w:style>
  <w:style w:type="paragraph" w:customStyle="1" w:styleId="03E3DC15E8E041EB826280DD6A2D2A1F">
    <w:name w:val="03E3DC15E8E041EB826280DD6A2D2A1F"/>
  </w:style>
  <w:style w:type="paragraph" w:customStyle="1" w:styleId="E17B7016F66C4C2C89BD2A1877DFFCAB">
    <w:name w:val="E17B7016F66C4C2C89BD2A1877DFFC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Dept IBS">
      <a:dk1>
        <a:sysClr val="windowText" lastClr="000000"/>
      </a:dk1>
      <a:lt1>
        <a:sysClr val="window" lastClr="FFFFFF"/>
      </a:lt1>
      <a:dk2>
        <a:srgbClr val="7F7F7F"/>
      </a:dk2>
      <a:lt2>
        <a:srgbClr val="FFFFFF"/>
      </a:lt2>
      <a:accent1>
        <a:srgbClr val="034EA2"/>
      </a:accent1>
      <a:accent2>
        <a:srgbClr val="007BC3"/>
      </a:accent2>
      <a:accent3>
        <a:srgbClr val="5C676D"/>
      </a:accent3>
      <a:accent4>
        <a:srgbClr val="BFBFC7"/>
      </a:accent4>
      <a:accent5>
        <a:srgbClr val="CBCBCB"/>
      </a:accent5>
      <a:accent6>
        <a:srgbClr val="F2F2F2"/>
      </a:accent6>
      <a:hlink>
        <a:srgbClr val="034EA2"/>
      </a:hlink>
      <a:folHlink>
        <a:srgbClr val="034EA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327</Pages>
  <Words>121282</Words>
  <Characters>691308</Characters>
  <Application>Microsoft Office Word</Application>
  <DocSecurity>0</DocSecurity>
  <Lines>5760</Lines>
  <Paragraphs>1621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810969</CharactersWithSpaces>
  <SharedDoc>false</SharedDoc>
  <HLinks>
    <vt:vector size="978" baseType="variant">
      <vt:variant>
        <vt:i4>5505102</vt:i4>
      </vt:variant>
      <vt:variant>
        <vt:i4>855</vt:i4>
      </vt:variant>
      <vt:variant>
        <vt:i4>0</vt:i4>
      </vt:variant>
      <vt:variant>
        <vt:i4>5</vt:i4>
      </vt:variant>
      <vt:variant>
        <vt:lpwstr>https://www.oaic.gov.au/privacy/australian-privacy-principles</vt:lpwstr>
      </vt:variant>
      <vt:variant>
        <vt:lpwstr/>
      </vt:variant>
      <vt:variant>
        <vt:i4>7929906</vt:i4>
      </vt:variant>
      <vt:variant>
        <vt:i4>852</vt:i4>
      </vt:variant>
      <vt:variant>
        <vt:i4>0</vt:i4>
      </vt:variant>
      <vt:variant>
        <vt:i4>5</vt:i4>
      </vt:variant>
      <vt:variant>
        <vt:lpwstr>https://www.oaic.gov.au/privacy/the-privacy-act/rights-and-responsibilities</vt:lpwstr>
      </vt:variant>
      <vt:variant>
        <vt:lpwstr>WhoHasResponsibilitiesUnderPrivacyAct</vt:lpwstr>
      </vt:variant>
      <vt:variant>
        <vt:i4>7340133</vt:i4>
      </vt:variant>
      <vt:variant>
        <vt:i4>849</vt:i4>
      </vt:variant>
      <vt:variant>
        <vt:i4>0</vt:i4>
      </vt:variant>
      <vt:variant>
        <vt:i4>5</vt:i4>
      </vt:variant>
      <vt:variant>
        <vt:lpwstr>https://www.rba.gov.au/payments-and-infrastructure/payments-system-regulation/regulations.html</vt:lpwstr>
      </vt:variant>
      <vt:variant>
        <vt:lpwstr/>
      </vt:variant>
      <vt:variant>
        <vt:i4>458770</vt:i4>
      </vt:variant>
      <vt:variant>
        <vt:i4>846</vt:i4>
      </vt:variant>
      <vt:variant>
        <vt:i4>0</vt:i4>
      </vt:variant>
      <vt:variant>
        <vt:i4>5</vt:i4>
      </vt:variant>
      <vt:variant>
        <vt:lpwstr>https://www.cbaa.org.au/resource/community-radio-broadcasting-codes-practice</vt:lpwstr>
      </vt:variant>
      <vt:variant>
        <vt:lpwstr/>
      </vt:variant>
      <vt:variant>
        <vt:i4>458766</vt:i4>
      </vt:variant>
      <vt:variant>
        <vt:i4>843</vt:i4>
      </vt:variant>
      <vt:variant>
        <vt:i4>0</vt:i4>
      </vt:variant>
      <vt:variant>
        <vt:i4>5</vt:i4>
      </vt:variant>
      <vt:variant>
        <vt:lpwstr>https://www.wiley.com/WileyCDA/WileyTitle/productCd-1119276748,miniSiteCd-SYBEX.html</vt:lpwstr>
      </vt:variant>
      <vt:variant>
        <vt:lpwstr/>
      </vt:variant>
      <vt:variant>
        <vt:i4>8126565</vt:i4>
      </vt:variant>
      <vt:variant>
        <vt:i4>840</vt:i4>
      </vt:variant>
      <vt:variant>
        <vt:i4>0</vt:i4>
      </vt:variant>
      <vt:variant>
        <vt:i4>5</vt:i4>
      </vt:variant>
      <vt:variant>
        <vt:lpwstr>https://www.nytimes.com/2021/05/09/us/politics/biden-cyberattack-response.html</vt:lpwstr>
      </vt:variant>
      <vt:variant>
        <vt:lpwstr/>
      </vt:variant>
      <vt:variant>
        <vt:i4>3145798</vt:i4>
      </vt:variant>
      <vt:variant>
        <vt:i4>837</vt:i4>
      </vt:variant>
      <vt:variant>
        <vt:i4>0</vt:i4>
      </vt:variant>
      <vt:variant>
        <vt:i4>5</vt:i4>
      </vt:variant>
      <vt:variant>
        <vt:lpwstr>https://en.wikipedia.org/wiki/Forensic_engineering</vt:lpwstr>
      </vt:variant>
      <vt:variant>
        <vt:lpwstr/>
      </vt:variant>
      <vt:variant>
        <vt:i4>1966131</vt:i4>
      </vt:variant>
      <vt:variant>
        <vt:i4>830</vt:i4>
      </vt:variant>
      <vt:variant>
        <vt:i4>0</vt:i4>
      </vt:variant>
      <vt:variant>
        <vt:i4>5</vt:i4>
      </vt:variant>
      <vt:variant>
        <vt:lpwstr/>
      </vt:variant>
      <vt:variant>
        <vt:lpwstr>_Toc94519468</vt:lpwstr>
      </vt:variant>
      <vt:variant>
        <vt:i4>1114163</vt:i4>
      </vt:variant>
      <vt:variant>
        <vt:i4>824</vt:i4>
      </vt:variant>
      <vt:variant>
        <vt:i4>0</vt:i4>
      </vt:variant>
      <vt:variant>
        <vt:i4>5</vt:i4>
      </vt:variant>
      <vt:variant>
        <vt:lpwstr/>
      </vt:variant>
      <vt:variant>
        <vt:lpwstr>_Toc94519467</vt:lpwstr>
      </vt:variant>
      <vt:variant>
        <vt:i4>1048627</vt:i4>
      </vt:variant>
      <vt:variant>
        <vt:i4>818</vt:i4>
      </vt:variant>
      <vt:variant>
        <vt:i4>0</vt:i4>
      </vt:variant>
      <vt:variant>
        <vt:i4>5</vt:i4>
      </vt:variant>
      <vt:variant>
        <vt:lpwstr/>
      </vt:variant>
      <vt:variant>
        <vt:lpwstr>_Toc94519466</vt:lpwstr>
      </vt:variant>
      <vt:variant>
        <vt:i4>1245235</vt:i4>
      </vt:variant>
      <vt:variant>
        <vt:i4>812</vt:i4>
      </vt:variant>
      <vt:variant>
        <vt:i4>0</vt:i4>
      </vt:variant>
      <vt:variant>
        <vt:i4>5</vt:i4>
      </vt:variant>
      <vt:variant>
        <vt:lpwstr/>
      </vt:variant>
      <vt:variant>
        <vt:lpwstr>_Toc94519465</vt:lpwstr>
      </vt:variant>
      <vt:variant>
        <vt:i4>1179699</vt:i4>
      </vt:variant>
      <vt:variant>
        <vt:i4>806</vt:i4>
      </vt:variant>
      <vt:variant>
        <vt:i4>0</vt:i4>
      </vt:variant>
      <vt:variant>
        <vt:i4>5</vt:i4>
      </vt:variant>
      <vt:variant>
        <vt:lpwstr/>
      </vt:variant>
      <vt:variant>
        <vt:lpwstr>_Toc94519464</vt:lpwstr>
      </vt:variant>
      <vt:variant>
        <vt:i4>1376307</vt:i4>
      </vt:variant>
      <vt:variant>
        <vt:i4>800</vt:i4>
      </vt:variant>
      <vt:variant>
        <vt:i4>0</vt:i4>
      </vt:variant>
      <vt:variant>
        <vt:i4>5</vt:i4>
      </vt:variant>
      <vt:variant>
        <vt:lpwstr/>
      </vt:variant>
      <vt:variant>
        <vt:lpwstr>_Toc94519463</vt:lpwstr>
      </vt:variant>
      <vt:variant>
        <vt:i4>1310771</vt:i4>
      </vt:variant>
      <vt:variant>
        <vt:i4>794</vt:i4>
      </vt:variant>
      <vt:variant>
        <vt:i4>0</vt:i4>
      </vt:variant>
      <vt:variant>
        <vt:i4>5</vt:i4>
      </vt:variant>
      <vt:variant>
        <vt:lpwstr/>
      </vt:variant>
      <vt:variant>
        <vt:lpwstr>_Toc94519462</vt:lpwstr>
      </vt:variant>
      <vt:variant>
        <vt:i4>1441853</vt:i4>
      </vt:variant>
      <vt:variant>
        <vt:i4>785</vt:i4>
      </vt:variant>
      <vt:variant>
        <vt:i4>0</vt:i4>
      </vt:variant>
      <vt:variant>
        <vt:i4>5</vt:i4>
      </vt:variant>
      <vt:variant>
        <vt:lpwstr/>
      </vt:variant>
      <vt:variant>
        <vt:lpwstr>_Toc95225533</vt:lpwstr>
      </vt:variant>
      <vt:variant>
        <vt:i4>1507389</vt:i4>
      </vt:variant>
      <vt:variant>
        <vt:i4>779</vt:i4>
      </vt:variant>
      <vt:variant>
        <vt:i4>0</vt:i4>
      </vt:variant>
      <vt:variant>
        <vt:i4>5</vt:i4>
      </vt:variant>
      <vt:variant>
        <vt:lpwstr/>
      </vt:variant>
      <vt:variant>
        <vt:lpwstr>_Toc95225532</vt:lpwstr>
      </vt:variant>
      <vt:variant>
        <vt:i4>1310781</vt:i4>
      </vt:variant>
      <vt:variant>
        <vt:i4>773</vt:i4>
      </vt:variant>
      <vt:variant>
        <vt:i4>0</vt:i4>
      </vt:variant>
      <vt:variant>
        <vt:i4>5</vt:i4>
      </vt:variant>
      <vt:variant>
        <vt:lpwstr/>
      </vt:variant>
      <vt:variant>
        <vt:lpwstr>_Toc95225531</vt:lpwstr>
      </vt:variant>
      <vt:variant>
        <vt:i4>1376317</vt:i4>
      </vt:variant>
      <vt:variant>
        <vt:i4>767</vt:i4>
      </vt:variant>
      <vt:variant>
        <vt:i4>0</vt:i4>
      </vt:variant>
      <vt:variant>
        <vt:i4>5</vt:i4>
      </vt:variant>
      <vt:variant>
        <vt:lpwstr/>
      </vt:variant>
      <vt:variant>
        <vt:lpwstr>_Toc95225530</vt:lpwstr>
      </vt:variant>
      <vt:variant>
        <vt:i4>1835068</vt:i4>
      </vt:variant>
      <vt:variant>
        <vt:i4>761</vt:i4>
      </vt:variant>
      <vt:variant>
        <vt:i4>0</vt:i4>
      </vt:variant>
      <vt:variant>
        <vt:i4>5</vt:i4>
      </vt:variant>
      <vt:variant>
        <vt:lpwstr/>
      </vt:variant>
      <vt:variant>
        <vt:lpwstr>_Toc95225529</vt:lpwstr>
      </vt:variant>
      <vt:variant>
        <vt:i4>1900604</vt:i4>
      </vt:variant>
      <vt:variant>
        <vt:i4>755</vt:i4>
      </vt:variant>
      <vt:variant>
        <vt:i4>0</vt:i4>
      </vt:variant>
      <vt:variant>
        <vt:i4>5</vt:i4>
      </vt:variant>
      <vt:variant>
        <vt:lpwstr/>
      </vt:variant>
      <vt:variant>
        <vt:lpwstr>_Toc95225528</vt:lpwstr>
      </vt:variant>
      <vt:variant>
        <vt:i4>1179708</vt:i4>
      </vt:variant>
      <vt:variant>
        <vt:i4>749</vt:i4>
      </vt:variant>
      <vt:variant>
        <vt:i4>0</vt:i4>
      </vt:variant>
      <vt:variant>
        <vt:i4>5</vt:i4>
      </vt:variant>
      <vt:variant>
        <vt:lpwstr/>
      </vt:variant>
      <vt:variant>
        <vt:lpwstr>_Toc95225527</vt:lpwstr>
      </vt:variant>
      <vt:variant>
        <vt:i4>1245244</vt:i4>
      </vt:variant>
      <vt:variant>
        <vt:i4>743</vt:i4>
      </vt:variant>
      <vt:variant>
        <vt:i4>0</vt:i4>
      </vt:variant>
      <vt:variant>
        <vt:i4>5</vt:i4>
      </vt:variant>
      <vt:variant>
        <vt:lpwstr/>
      </vt:variant>
      <vt:variant>
        <vt:lpwstr>_Toc95225526</vt:lpwstr>
      </vt:variant>
      <vt:variant>
        <vt:i4>1048636</vt:i4>
      </vt:variant>
      <vt:variant>
        <vt:i4>737</vt:i4>
      </vt:variant>
      <vt:variant>
        <vt:i4>0</vt:i4>
      </vt:variant>
      <vt:variant>
        <vt:i4>5</vt:i4>
      </vt:variant>
      <vt:variant>
        <vt:lpwstr/>
      </vt:variant>
      <vt:variant>
        <vt:lpwstr>_Toc95225525</vt:lpwstr>
      </vt:variant>
      <vt:variant>
        <vt:i4>1114172</vt:i4>
      </vt:variant>
      <vt:variant>
        <vt:i4>731</vt:i4>
      </vt:variant>
      <vt:variant>
        <vt:i4>0</vt:i4>
      </vt:variant>
      <vt:variant>
        <vt:i4>5</vt:i4>
      </vt:variant>
      <vt:variant>
        <vt:lpwstr/>
      </vt:variant>
      <vt:variant>
        <vt:lpwstr>_Toc95225524</vt:lpwstr>
      </vt:variant>
      <vt:variant>
        <vt:i4>1441852</vt:i4>
      </vt:variant>
      <vt:variant>
        <vt:i4>725</vt:i4>
      </vt:variant>
      <vt:variant>
        <vt:i4>0</vt:i4>
      </vt:variant>
      <vt:variant>
        <vt:i4>5</vt:i4>
      </vt:variant>
      <vt:variant>
        <vt:lpwstr/>
      </vt:variant>
      <vt:variant>
        <vt:lpwstr>_Toc95225523</vt:lpwstr>
      </vt:variant>
      <vt:variant>
        <vt:i4>1507388</vt:i4>
      </vt:variant>
      <vt:variant>
        <vt:i4>719</vt:i4>
      </vt:variant>
      <vt:variant>
        <vt:i4>0</vt:i4>
      </vt:variant>
      <vt:variant>
        <vt:i4>5</vt:i4>
      </vt:variant>
      <vt:variant>
        <vt:lpwstr/>
      </vt:variant>
      <vt:variant>
        <vt:lpwstr>_Toc95225522</vt:lpwstr>
      </vt:variant>
      <vt:variant>
        <vt:i4>1310780</vt:i4>
      </vt:variant>
      <vt:variant>
        <vt:i4>713</vt:i4>
      </vt:variant>
      <vt:variant>
        <vt:i4>0</vt:i4>
      </vt:variant>
      <vt:variant>
        <vt:i4>5</vt:i4>
      </vt:variant>
      <vt:variant>
        <vt:lpwstr/>
      </vt:variant>
      <vt:variant>
        <vt:lpwstr>_Toc95225521</vt:lpwstr>
      </vt:variant>
      <vt:variant>
        <vt:i4>1376316</vt:i4>
      </vt:variant>
      <vt:variant>
        <vt:i4>707</vt:i4>
      </vt:variant>
      <vt:variant>
        <vt:i4>0</vt:i4>
      </vt:variant>
      <vt:variant>
        <vt:i4>5</vt:i4>
      </vt:variant>
      <vt:variant>
        <vt:lpwstr/>
      </vt:variant>
      <vt:variant>
        <vt:lpwstr>_Toc95225520</vt:lpwstr>
      </vt:variant>
      <vt:variant>
        <vt:i4>1835071</vt:i4>
      </vt:variant>
      <vt:variant>
        <vt:i4>701</vt:i4>
      </vt:variant>
      <vt:variant>
        <vt:i4>0</vt:i4>
      </vt:variant>
      <vt:variant>
        <vt:i4>5</vt:i4>
      </vt:variant>
      <vt:variant>
        <vt:lpwstr/>
      </vt:variant>
      <vt:variant>
        <vt:lpwstr>_Toc95225519</vt:lpwstr>
      </vt:variant>
      <vt:variant>
        <vt:i4>1900607</vt:i4>
      </vt:variant>
      <vt:variant>
        <vt:i4>695</vt:i4>
      </vt:variant>
      <vt:variant>
        <vt:i4>0</vt:i4>
      </vt:variant>
      <vt:variant>
        <vt:i4>5</vt:i4>
      </vt:variant>
      <vt:variant>
        <vt:lpwstr/>
      </vt:variant>
      <vt:variant>
        <vt:lpwstr>_Toc95225518</vt:lpwstr>
      </vt:variant>
      <vt:variant>
        <vt:i4>1179711</vt:i4>
      </vt:variant>
      <vt:variant>
        <vt:i4>689</vt:i4>
      </vt:variant>
      <vt:variant>
        <vt:i4>0</vt:i4>
      </vt:variant>
      <vt:variant>
        <vt:i4>5</vt:i4>
      </vt:variant>
      <vt:variant>
        <vt:lpwstr/>
      </vt:variant>
      <vt:variant>
        <vt:lpwstr>_Toc95225517</vt:lpwstr>
      </vt:variant>
      <vt:variant>
        <vt:i4>1245247</vt:i4>
      </vt:variant>
      <vt:variant>
        <vt:i4>683</vt:i4>
      </vt:variant>
      <vt:variant>
        <vt:i4>0</vt:i4>
      </vt:variant>
      <vt:variant>
        <vt:i4>5</vt:i4>
      </vt:variant>
      <vt:variant>
        <vt:lpwstr/>
      </vt:variant>
      <vt:variant>
        <vt:lpwstr>_Toc95225516</vt:lpwstr>
      </vt:variant>
      <vt:variant>
        <vt:i4>1048639</vt:i4>
      </vt:variant>
      <vt:variant>
        <vt:i4>677</vt:i4>
      </vt:variant>
      <vt:variant>
        <vt:i4>0</vt:i4>
      </vt:variant>
      <vt:variant>
        <vt:i4>5</vt:i4>
      </vt:variant>
      <vt:variant>
        <vt:lpwstr/>
      </vt:variant>
      <vt:variant>
        <vt:lpwstr>_Toc95225515</vt:lpwstr>
      </vt:variant>
      <vt:variant>
        <vt:i4>1114175</vt:i4>
      </vt:variant>
      <vt:variant>
        <vt:i4>671</vt:i4>
      </vt:variant>
      <vt:variant>
        <vt:i4>0</vt:i4>
      </vt:variant>
      <vt:variant>
        <vt:i4>5</vt:i4>
      </vt:variant>
      <vt:variant>
        <vt:lpwstr/>
      </vt:variant>
      <vt:variant>
        <vt:lpwstr>_Toc95225514</vt:lpwstr>
      </vt:variant>
      <vt:variant>
        <vt:i4>1441855</vt:i4>
      </vt:variant>
      <vt:variant>
        <vt:i4>665</vt:i4>
      </vt:variant>
      <vt:variant>
        <vt:i4>0</vt:i4>
      </vt:variant>
      <vt:variant>
        <vt:i4>5</vt:i4>
      </vt:variant>
      <vt:variant>
        <vt:lpwstr/>
      </vt:variant>
      <vt:variant>
        <vt:lpwstr>_Toc95225513</vt:lpwstr>
      </vt:variant>
      <vt:variant>
        <vt:i4>1507391</vt:i4>
      </vt:variant>
      <vt:variant>
        <vt:i4>659</vt:i4>
      </vt:variant>
      <vt:variant>
        <vt:i4>0</vt:i4>
      </vt:variant>
      <vt:variant>
        <vt:i4>5</vt:i4>
      </vt:variant>
      <vt:variant>
        <vt:lpwstr/>
      </vt:variant>
      <vt:variant>
        <vt:lpwstr>_Toc95225512</vt:lpwstr>
      </vt:variant>
      <vt:variant>
        <vt:i4>1310783</vt:i4>
      </vt:variant>
      <vt:variant>
        <vt:i4>653</vt:i4>
      </vt:variant>
      <vt:variant>
        <vt:i4>0</vt:i4>
      </vt:variant>
      <vt:variant>
        <vt:i4>5</vt:i4>
      </vt:variant>
      <vt:variant>
        <vt:lpwstr/>
      </vt:variant>
      <vt:variant>
        <vt:lpwstr>_Toc95225511</vt:lpwstr>
      </vt:variant>
      <vt:variant>
        <vt:i4>1376319</vt:i4>
      </vt:variant>
      <vt:variant>
        <vt:i4>647</vt:i4>
      </vt:variant>
      <vt:variant>
        <vt:i4>0</vt:i4>
      </vt:variant>
      <vt:variant>
        <vt:i4>5</vt:i4>
      </vt:variant>
      <vt:variant>
        <vt:lpwstr/>
      </vt:variant>
      <vt:variant>
        <vt:lpwstr>_Toc95225510</vt:lpwstr>
      </vt:variant>
      <vt:variant>
        <vt:i4>1835070</vt:i4>
      </vt:variant>
      <vt:variant>
        <vt:i4>641</vt:i4>
      </vt:variant>
      <vt:variant>
        <vt:i4>0</vt:i4>
      </vt:variant>
      <vt:variant>
        <vt:i4>5</vt:i4>
      </vt:variant>
      <vt:variant>
        <vt:lpwstr/>
      </vt:variant>
      <vt:variant>
        <vt:lpwstr>_Toc95225509</vt:lpwstr>
      </vt:variant>
      <vt:variant>
        <vt:i4>1900606</vt:i4>
      </vt:variant>
      <vt:variant>
        <vt:i4>635</vt:i4>
      </vt:variant>
      <vt:variant>
        <vt:i4>0</vt:i4>
      </vt:variant>
      <vt:variant>
        <vt:i4>5</vt:i4>
      </vt:variant>
      <vt:variant>
        <vt:lpwstr/>
      </vt:variant>
      <vt:variant>
        <vt:lpwstr>_Toc95225508</vt:lpwstr>
      </vt:variant>
      <vt:variant>
        <vt:i4>1179710</vt:i4>
      </vt:variant>
      <vt:variant>
        <vt:i4>629</vt:i4>
      </vt:variant>
      <vt:variant>
        <vt:i4>0</vt:i4>
      </vt:variant>
      <vt:variant>
        <vt:i4>5</vt:i4>
      </vt:variant>
      <vt:variant>
        <vt:lpwstr/>
      </vt:variant>
      <vt:variant>
        <vt:lpwstr>_Toc95225507</vt:lpwstr>
      </vt:variant>
      <vt:variant>
        <vt:i4>7602213</vt:i4>
      </vt:variant>
      <vt:variant>
        <vt:i4>624</vt:i4>
      </vt:variant>
      <vt:variant>
        <vt:i4>0</vt:i4>
      </vt:variant>
      <vt:variant>
        <vt:i4>5</vt:i4>
      </vt:variant>
      <vt:variant>
        <vt:lpwstr>https://www.legislation.gov.au/Details/C2021A00124</vt:lpwstr>
      </vt:variant>
      <vt:variant>
        <vt:lpwstr/>
      </vt:variant>
      <vt:variant>
        <vt:i4>4980782</vt:i4>
      </vt:variant>
      <vt:variant>
        <vt:i4>621</vt:i4>
      </vt:variant>
      <vt:variant>
        <vt:i4>0</vt:i4>
      </vt:variant>
      <vt:variant>
        <vt:i4>5</vt:i4>
      </vt:variant>
      <vt:variant>
        <vt:lpwstr>https://cabinet.qld.gov.au/documents/2011/apr/operation qlder implementation plan/Attachments/Implementation_Plan%5b1%5d.pdf</vt:lpwstr>
      </vt:variant>
      <vt:variant>
        <vt:lpwstr/>
      </vt:variant>
      <vt:variant>
        <vt:i4>6160420</vt:i4>
      </vt:variant>
      <vt:variant>
        <vt:i4>618</vt:i4>
      </vt:variant>
      <vt:variant>
        <vt:i4>0</vt:i4>
      </vt:variant>
      <vt:variant>
        <vt:i4>5</vt:i4>
      </vt:variant>
      <vt:variant>
        <vt:lpwstr>http://www.floodcommission.qld.gov.au/__data/assets/pdf_file/0007/11698/QFCI-Final-Report-March-2012.pdf</vt:lpwstr>
      </vt:variant>
      <vt:variant>
        <vt:lpwstr/>
      </vt:variant>
      <vt:variant>
        <vt:i4>2883642</vt:i4>
      </vt:variant>
      <vt:variant>
        <vt:i4>615</vt:i4>
      </vt:variant>
      <vt:variant>
        <vt:i4>0</vt:i4>
      </vt:variant>
      <vt:variant>
        <vt:i4>5</vt:i4>
      </vt:variant>
      <vt:variant>
        <vt:lpwstr>https://www.pm.gov.au/media/statement-malicious-cyber-activity-against-australian-networks</vt:lpwstr>
      </vt:variant>
      <vt:variant>
        <vt:lpwstr/>
      </vt:variant>
      <vt:variant>
        <vt:i4>327695</vt:i4>
      </vt:variant>
      <vt:variant>
        <vt:i4>612</vt:i4>
      </vt:variant>
      <vt:variant>
        <vt:i4>0</vt:i4>
      </vt:variant>
      <vt:variant>
        <vt:i4>5</vt:i4>
      </vt:variant>
      <vt:variant>
        <vt:lpwstr>https://www.abc.net.au/news/2021-05-26/qld-callide-power-station-biloela-investigation/100164942</vt:lpwstr>
      </vt:variant>
      <vt:variant>
        <vt:lpwstr/>
      </vt:variant>
      <vt:variant>
        <vt:i4>6029398</vt:i4>
      </vt:variant>
      <vt:variant>
        <vt:i4>609</vt:i4>
      </vt:variant>
      <vt:variant>
        <vt:i4>0</vt:i4>
      </vt:variant>
      <vt:variant>
        <vt:i4>5</vt:i4>
      </vt:variant>
      <vt:variant>
        <vt:lpwstr>https://www.datacenterdynamics.com/en/news/google-cloud-hit-by-outage-in-new-melbourne-australia-region/</vt:lpwstr>
      </vt:variant>
      <vt:variant>
        <vt:lpwstr/>
      </vt:variant>
      <vt:variant>
        <vt:i4>1376330</vt:i4>
      </vt:variant>
      <vt:variant>
        <vt:i4>606</vt:i4>
      </vt:variant>
      <vt:variant>
        <vt:i4>0</vt:i4>
      </vt:variant>
      <vt:variant>
        <vt:i4>5</vt:i4>
      </vt:variant>
      <vt:variant>
        <vt:lpwstr>https://www.brisbanetimes.com.au/national/queensland/costs-to-remove-toxic-paint-from-great-barrier-reef-triples-to-141-million-20160506-gooe84.html</vt:lpwstr>
      </vt:variant>
      <vt:variant>
        <vt:lpwstr/>
      </vt:variant>
      <vt:variant>
        <vt:i4>6553661</vt:i4>
      </vt:variant>
      <vt:variant>
        <vt:i4>603</vt:i4>
      </vt:variant>
      <vt:variant>
        <vt:i4>0</vt:i4>
      </vt:variant>
      <vt:variant>
        <vt:i4>5</vt:i4>
      </vt:variant>
      <vt:variant>
        <vt:lpwstr>https://thenewdaily.com.au/news/national/2016/09/19/shen-neng-oil-spill-payout/</vt:lpwstr>
      </vt:variant>
      <vt:variant>
        <vt:lpwstr/>
      </vt:variant>
      <vt:variant>
        <vt:i4>262164</vt:i4>
      </vt:variant>
      <vt:variant>
        <vt:i4>600</vt:i4>
      </vt:variant>
      <vt:variant>
        <vt:i4>0</vt:i4>
      </vt:variant>
      <vt:variant>
        <vt:i4>5</vt:i4>
      </vt:variant>
      <vt:variant>
        <vt:lpwstr>https://www.geelongadvertiser.com.au/news/geelong/cost-of-cyber-attack-revealed-as-barwon-health-records-surplus-in-challenging-year/news-story/625fa8fc13778725cfc54e9acb79d8fe</vt:lpwstr>
      </vt:variant>
      <vt:variant>
        <vt:lpwstr/>
      </vt:variant>
      <vt:variant>
        <vt:i4>8323192</vt:i4>
      </vt:variant>
      <vt:variant>
        <vt:i4>597</vt:i4>
      </vt:variant>
      <vt:variant>
        <vt:i4>0</vt:i4>
      </vt:variant>
      <vt:variant>
        <vt:i4>5</vt:i4>
      </vt:variant>
      <vt:variant>
        <vt:lpwstr>https://www.bbc.com/news/business-50862349</vt:lpwstr>
      </vt:variant>
      <vt:variant>
        <vt:lpwstr/>
      </vt:variant>
      <vt:variant>
        <vt:i4>5373978</vt:i4>
      </vt:variant>
      <vt:variant>
        <vt:i4>594</vt:i4>
      </vt:variant>
      <vt:variant>
        <vt:i4>0</vt:i4>
      </vt:variant>
      <vt:variant>
        <vt:i4>5</vt:i4>
      </vt:variant>
      <vt:variant>
        <vt:lpwstr>https://www.mja.com.au/journal/2021/215/11/increasing-icu-capacity-accommodate-higher-demand-during-covid-19-pandemic</vt:lpwstr>
      </vt:variant>
      <vt:variant>
        <vt:lpwstr/>
      </vt:variant>
      <vt:variant>
        <vt:i4>2949183</vt:i4>
      </vt:variant>
      <vt:variant>
        <vt:i4>591</vt:i4>
      </vt:variant>
      <vt:variant>
        <vt:i4>0</vt:i4>
      </vt:variant>
      <vt:variant>
        <vt:i4>5</vt:i4>
      </vt:variant>
      <vt:variant>
        <vt:lpwstr>https://www.ibm.com/downloads/cas/OJDVQGRY</vt:lpwstr>
      </vt:variant>
      <vt:variant>
        <vt:lpwstr/>
      </vt:variant>
      <vt:variant>
        <vt:i4>3932218</vt:i4>
      </vt:variant>
      <vt:variant>
        <vt:i4>588</vt:i4>
      </vt:variant>
      <vt:variant>
        <vt:i4>0</vt:i4>
      </vt:variant>
      <vt:variant>
        <vt:i4>5</vt:i4>
      </vt:variant>
      <vt:variant>
        <vt:lpwstr>https://my.ibisworld.com/au/en/industry/d2620/about</vt:lpwstr>
      </vt:variant>
      <vt:variant>
        <vt:lpwstr/>
      </vt:variant>
      <vt:variant>
        <vt:i4>5505029</vt:i4>
      </vt:variant>
      <vt:variant>
        <vt:i4>585</vt:i4>
      </vt:variant>
      <vt:variant>
        <vt:i4>0</vt:i4>
      </vt:variant>
      <vt:variant>
        <vt:i4>5</vt:i4>
      </vt:variant>
      <vt:variant>
        <vt:lpwstr>https://www.brisbanetimes.com.au/national/queensland/the-peculiar-reason-hackers-invaded-one-of-queensland-s-biggest-water-companies-20211111-p5987b.html</vt:lpwstr>
      </vt:variant>
      <vt:variant>
        <vt:lpwstr/>
      </vt:variant>
      <vt:variant>
        <vt:i4>327772</vt:i4>
      </vt:variant>
      <vt:variant>
        <vt:i4>582</vt:i4>
      </vt:variant>
      <vt:variant>
        <vt:i4>0</vt:i4>
      </vt:variant>
      <vt:variant>
        <vt:i4>5</vt:i4>
      </vt:variant>
      <vt:variant>
        <vt:lpwstr>https://www.homeaffairs.gov.au/reports-and-pubs/files/critical-infrastructure-consultation-submissions/EDS069-CISoNS-NewPaymentsPlatform.PDF</vt:lpwstr>
      </vt:variant>
      <vt:variant>
        <vt:lpwstr/>
      </vt:variant>
      <vt:variant>
        <vt:i4>65628</vt:i4>
      </vt:variant>
      <vt:variant>
        <vt:i4>579</vt:i4>
      </vt:variant>
      <vt:variant>
        <vt:i4>0</vt:i4>
      </vt:variant>
      <vt:variant>
        <vt:i4>5</vt:i4>
      </vt:variant>
      <vt:variant>
        <vt:lpwstr>https://www.homeaffairs.gov.au/about-us/our-portfolios/national-security/security-coordination/critical-infrastructure-resilience</vt:lpwstr>
      </vt:variant>
      <vt:variant>
        <vt:lpwstr/>
      </vt:variant>
      <vt:variant>
        <vt:i4>2359402</vt:i4>
      </vt:variant>
      <vt:variant>
        <vt:i4>576</vt:i4>
      </vt:variant>
      <vt:variant>
        <vt:i4>0</vt:i4>
      </vt:variant>
      <vt:variant>
        <vt:i4>5</vt:i4>
      </vt:variant>
      <vt:variant>
        <vt:lpwstr>https://www.cisc.gov.au/help-and-support-subsite/Files/critical_infrastructure_resilience_strategy_plan.pdf</vt:lpwstr>
      </vt:variant>
      <vt:variant>
        <vt:lpwstr/>
      </vt:variant>
      <vt:variant>
        <vt:i4>5439507</vt:i4>
      </vt:variant>
      <vt:variant>
        <vt:i4>573</vt:i4>
      </vt:variant>
      <vt:variant>
        <vt:i4>0</vt:i4>
      </vt:variant>
      <vt:variant>
        <vt:i4>5</vt:i4>
      </vt:variant>
      <vt:variant>
        <vt:lpwstr>https://www.cyber.gov.au/sites/default/files/2020-09/ACSC-Annual-Cyber-Threat-Report-2019-20.pdf</vt:lpwstr>
      </vt:variant>
      <vt:variant>
        <vt:lpwstr/>
      </vt:variant>
      <vt:variant>
        <vt:i4>5636117</vt:i4>
      </vt:variant>
      <vt:variant>
        <vt:i4>570</vt:i4>
      </vt:variant>
      <vt:variant>
        <vt:i4>0</vt:i4>
      </vt:variant>
      <vt:variant>
        <vt:i4>5</vt:i4>
      </vt:variant>
      <vt:variant>
        <vt:lpwstr>https://www.asio.gov.au/sites/default/files/Annual Report 2020-21 WEB.pdf</vt:lpwstr>
      </vt:variant>
      <vt:variant>
        <vt:lpwstr/>
      </vt:variant>
      <vt:variant>
        <vt:i4>6815778</vt:i4>
      </vt:variant>
      <vt:variant>
        <vt:i4>567</vt:i4>
      </vt:variant>
      <vt:variant>
        <vt:i4>0</vt:i4>
      </vt:variant>
      <vt:variant>
        <vt:i4>5</vt:i4>
      </vt:variant>
      <vt:variant>
        <vt:lpwstr>https://www.asio.gov.au/sites/default/files/ASIO Annual Report 2019-20.pdf</vt:lpwstr>
      </vt:variant>
      <vt:variant>
        <vt:lpwstr/>
      </vt:variant>
      <vt:variant>
        <vt:i4>7929897</vt:i4>
      </vt:variant>
      <vt:variant>
        <vt:i4>564</vt:i4>
      </vt:variant>
      <vt:variant>
        <vt:i4>0</vt:i4>
      </vt:variant>
      <vt:variant>
        <vt:i4>5</vt:i4>
      </vt:variant>
      <vt:variant>
        <vt:lpwstr>https://www.abc.net.au/news/2021-05-16/colonial-pipeline-normal-operations-ransomeware-attack/100142608</vt:lpwstr>
      </vt:variant>
      <vt:variant>
        <vt:lpwstr/>
      </vt:variant>
      <vt:variant>
        <vt:i4>1441845</vt:i4>
      </vt:variant>
      <vt:variant>
        <vt:i4>338</vt:i4>
      </vt:variant>
      <vt:variant>
        <vt:i4>0</vt:i4>
      </vt:variant>
      <vt:variant>
        <vt:i4>5</vt:i4>
      </vt:variant>
      <vt:variant>
        <vt:lpwstr/>
      </vt:variant>
      <vt:variant>
        <vt:lpwstr>_Toc117868505</vt:lpwstr>
      </vt:variant>
      <vt:variant>
        <vt:i4>1441845</vt:i4>
      </vt:variant>
      <vt:variant>
        <vt:i4>332</vt:i4>
      </vt:variant>
      <vt:variant>
        <vt:i4>0</vt:i4>
      </vt:variant>
      <vt:variant>
        <vt:i4>5</vt:i4>
      </vt:variant>
      <vt:variant>
        <vt:lpwstr/>
      </vt:variant>
      <vt:variant>
        <vt:lpwstr>_Toc117868504</vt:lpwstr>
      </vt:variant>
      <vt:variant>
        <vt:i4>1441845</vt:i4>
      </vt:variant>
      <vt:variant>
        <vt:i4>326</vt:i4>
      </vt:variant>
      <vt:variant>
        <vt:i4>0</vt:i4>
      </vt:variant>
      <vt:variant>
        <vt:i4>5</vt:i4>
      </vt:variant>
      <vt:variant>
        <vt:lpwstr/>
      </vt:variant>
      <vt:variant>
        <vt:lpwstr>_Toc117868503</vt:lpwstr>
      </vt:variant>
      <vt:variant>
        <vt:i4>1441845</vt:i4>
      </vt:variant>
      <vt:variant>
        <vt:i4>320</vt:i4>
      </vt:variant>
      <vt:variant>
        <vt:i4>0</vt:i4>
      </vt:variant>
      <vt:variant>
        <vt:i4>5</vt:i4>
      </vt:variant>
      <vt:variant>
        <vt:lpwstr/>
      </vt:variant>
      <vt:variant>
        <vt:lpwstr>_Toc117868502</vt:lpwstr>
      </vt:variant>
      <vt:variant>
        <vt:i4>1441845</vt:i4>
      </vt:variant>
      <vt:variant>
        <vt:i4>314</vt:i4>
      </vt:variant>
      <vt:variant>
        <vt:i4>0</vt:i4>
      </vt:variant>
      <vt:variant>
        <vt:i4>5</vt:i4>
      </vt:variant>
      <vt:variant>
        <vt:lpwstr/>
      </vt:variant>
      <vt:variant>
        <vt:lpwstr>_Toc117868501</vt:lpwstr>
      </vt:variant>
      <vt:variant>
        <vt:i4>1441845</vt:i4>
      </vt:variant>
      <vt:variant>
        <vt:i4>308</vt:i4>
      </vt:variant>
      <vt:variant>
        <vt:i4>0</vt:i4>
      </vt:variant>
      <vt:variant>
        <vt:i4>5</vt:i4>
      </vt:variant>
      <vt:variant>
        <vt:lpwstr/>
      </vt:variant>
      <vt:variant>
        <vt:lpwstr>_Toc117868500</vt:lpwstr>
      </vt:variant>
      <vt:variant>
        <vt:i4>2031668</vt:i4>
      </vt:variant>
      <vt:variant>
        <vt:i4>302</vt:i4>
      </vt:variant>
      <vt:variant>
        <vt:i4>0</vt:i4>
      </vt:variant>
      <vt:variant>
        <vt:i4>5</vt:i4>
      </vt:variant>
      <vt:variant>
        <vt:lpwstr/>
      </vt:variant>
      <vt:variant>
        <vt:lpwstr>_Toc117868499</vt:lpwstr>
      </vt:variant>
      <vt:variant>
        <vt:i4>2031668</vt:i4>
      </vt:variant>
      <vt:variant>
        <vt:i4>296</vt:i4>
      </vt:variant>
      <vt:variant>
        <vt:i4>0</vt:i4>
      </vt:variant>
      <vt:variant>
        <vt:i4>5</vt:i4>
      </vt:variant>
      <vt:variant>
        <vt:lpwstr/>
      </vt:variant>
      <vt:variant>
        <vt:lpwstr>_Toc117868498</vt:lpwstr>
      </vt:variant>
      <vt:variant>
        <vt:i4>2031668</vt:i4>
      </vt:variant>
      <vt:variant>
        <vt:i4>290</vt:i4>
      </vt:variant>
      <vt:variant>
        <vt:i4>0</vt:i4>
      </vt:variant>
      <vt:variant>
        <vt:i4>5</vt:i4>
      </vt:variant>
      <vt:variant>
        <vt:lpwstr/>
      </vt:variant>
      <vt:variant>
        <vt:lpwstr>_Toc117868497</vt:lpwstr>
      </vt:variant>
      <vt:variant>
        <vt:i4>2031668</vt:i4>
      </vt:variant>
      <vt:variant>
        <vt:i4>284</vt:i4>
      </vt:variant>
      <vt:variant>
        <vt:i4>0</vt:i4>
      </vt:variant>
      <vt:variant>
        <vt:i4>5</vt:i4>
      </vt:variant>
      <vt:variant>
        <vt:lpwstr/>
      </vt:variant>
      <vt:variant>
        <vt:lpwstr>_Toc117868496</vt:lpwstr>
      </vt:variant>
      <vt:variant>
        <vt:i4>2031668</vt:i4>
      </vt:variant>
      <vt:variant>
        <vt:i4>278</vt:i4>
      </vt:variant>
      <vt:variant>
        <vt:i4>0</vt:i4>
      </vt:variant>
      <vt:variant>
        <vt:i4>5</vt:i4>
      </vt:variant>
      <vt:variant>
        <vt:lpwstr/>
      </vt:variant>
      <vt:variant>
        <vt:lpwstr>_Toc117868495</vt:lpwstr>
      </vt:variant>
      <vt:variant>
        <vt:i4>2031668</vt:i4>
      </vt:variant>
      <vt:variant>
        <vt:i4>272</vt:i4>
      </vt:variant>
      <vt:variant>
        <vt:i4>0</vt:i4>
      </vt:variant>
      <vt:variant>
        <vt:i4>5</vt:i4>
      </vt:variant>
      <vt:variant>
        <vt:lpwstr/>
      </vt:variant>
      <vt:variant>
        <vt:lpwstr>_Toc117868494</vt:lpwstr>
      </vt:variant>
      <vt:variant>
        <vt:i4>2031668</vt:i4>
      </vt:variant>
      <vt:variant>
        <vt:i4>266</vt:i4>
      </vt:variant>
      <vt:variant>
        <vt:i4>0</vt:i4>
      </vt:variant>
      <vt:variant>
        <vt:i4>5</vt:i4>
      </vt:variant>
      <vt:variant>
        <vt:lpwstr/>
      </vt:variant>
      <vt:variant>
        <vt:lpwstr>_Toc117868493</vt:lpwstr>
      </vt:variant>
      <vt:variant>
        <vt:i4>2031668</vt:i4>
      </vt:variant>
      <vt:variant>
        <vt:i4>260</vt:i4>
      </vt:variant>
      <vt:variant>
        <vt:i4>0</vt:i4>
      </vt:variant>
      <vt:variant>
        <vt:i4>5</vt:i4>
      </vt:variant>
      <vt:variant>
        <vt:lpwstr/>
      </vt:variant>
      <vt:variant>
        <vt:lpwstr>_Toc117868492</vt:lpwstr>
      </vt:variant>
      <vt:variant>
        <vt:i4>2031668</vt:i4>
      </vt:variant>
      <vt:variant>
        <vt:i4>254</vt:i4>
      </vt:variant>
      <vt:variant>
        <vt:i4>0</vt:i4>
      </vt:variant>
      <vt:variant>
        <vt:i4>5</vt:i4>
      </vt:variant>
      <vt:variant>
        <vt:lpwstr/>
      </vt:variant>
      <vt:variant>
        <vt:lpwstr>_Toc117868491</vt:lpwstr>
      </vt:variant>
      <vt:variant>
        <vt:i4>2031668</vt:i4>
      </vt:variant>
      <vt:variant>
        <vt:i4>248</vt:i4>
      </vt:variant>
      <vt:variant>
        <vt:i4>0</vt:i4>
      </vt:variant>
      <vt:variant>
        <vt:i4>5</vt:i4>
      </vt:variant>
      <vt:variant>
        <vt:lpwstr/>
      </vt:variant>
      <vt:variant>
        <vt:lpwstr>_Toc117868490</vt:lpwstr>
      </vt:variant>
      <vt:variant>
        <vt:i4>1966132</vt:i4>
      </vt:variant>
      <vt:variant>
        <vt:i4>242</vt:i4>
      </vt:variant>
      <vt:variant>
        <vt:i4>0</vt:i4>
      </vt:variant>
      <vt:variant>
        <vt:i4>5</vt:i4>
      </vt:variant>
      <vt:variant>
        <vt:lpwstr/>
      </vt:variant>
      <vt:variant>
        <vt:lpwstr>_Toc117868489</vt:lpwstr>
      </vt:variant>
      <vt:variant>
        <vt:i4>1966132</vt:i4>
      </vt:variant>
      <vt:variant>
        <vt:i4>236</vt:i4>
      </vt:variant>
      <vt:variant>
        <vt:i4>0</vt:i4>
      </vt:variant>
      <vt:variant>
        <vt:i4>5</vt:i4>
      </vt:variant>
      <vt:variant>
        <vt:lpwstr/>
      </vt:variant>
      <vt:variant>
        <vt:lpwstr>_Toc117868488</vt:lpwstr>
      </vt:variant>
      <vt:variant>
        <vt:i4>1966132</vt:i4>
      </vt:variant>
      <vt:variant>
        <vt:i4>230</vt:i4>
      </vt:variant>
      <vt:variant>
        <vt:i4>0</vt:i4>
      </vt:variant>
      <vt:variant>
        <vt:i4>5</vt:i4>
      </vt:variant>
      <vt:variant>
        <vt:lpwstr/>
      </vt:variant>
      <vt:variant>
        <vt:lpwstr>_Toc117868487</vt:lpwstr>
      </vt:variant>
      <vt:variant>
        <vt:i4>1966132</vt:i4>
      </vt:variant>
      <vt:variant>
        <vt:i4>224</vt:i4>
      </vt:variant>
      <vt:variant>
        <vt:i4>0</vt:i4>
      </vt:variant>
      <vt:variant>
        <vt:i4>5</vt:i4>
      </vt:variant>
      <vt:variant>
        <vt:lpwstr/>
      </vt:variant>
      <vt:variant>
        <vt:lpwstr>_Toc117868486</vt:lpwstr>
      </vt:variant>
      <vt:variant>
        <vt:i4>1966132</vt:i4>
      </vt:variant>
      <vt:variant>
        <vt:i4>218</vt:i4>
      </vt:variant>
      <vt:variant>
        <vt:i4>0</vt:i4>
      </vt:variant>
      <vt:variant>
        <vt:i4>5</vt:i4>
      </vt:variant>
      <vt:variant>
        <vt:lpwstr/>
      </vt:variant>
      <vt:variant>
        <vt:lpwstr>_Toc117868485</vt:lpwstr>
      </vt:variant>
      <vt:variant>
        <vt:i4>1966132</vt:i4>
      </vt:variant>
      <vt:variant>
        <vt:i4>212</vt:i4>
      </vt:variant>
      <vt:variant>
        <vt:i4>0</vt:i4>
      </vt:variant>
      <vt:variant>
        <vt:i4>5</vt:i4>
      </vt:variant>
      <vt:variant>
        <vt:lpwstr/>
      </vt:variant>
      <vt:variant>
        <vt:lpwstr>_Toc117868484</vt:lpwstr>
      </vt:variant>
      <vt:variant>
        <vt:i4>1966132</vt:i4>
      </vt:variant>
      <vt:variant>
        <vt:i4>206</vt:i4>
      </vt:variant>
      <vt:variant>
        <vt:i4>0</vt:i4>
      </vt:variant>
      <vt:variant>
        <vt:i4>5</vt:i4>
      </vt:variant>
      <vt:variant>
        <vt:lpwstr/>
      </vt:variant>
      <vt:variant>
        <vt:lpwstr>_Toc117868483</vt:lpwstr>
      </vt:variant>
      <vt:variant>
        <vt:i4>1966132</vt:i4>
      </vt:variant>
      <vt:variant>
        <vt:i4>200</vt:i4>
      </vt:variant>
      <vt:variant>
        <vt:i4>0</vt:i4>
      </vt:variant>
      <vt:variant>
        <vt:i4>5</vt:i4>
      </vt:variant>
      <vt:variant>
        <vt:lpwstr/>
      </vt:variant>
      <vt:variant>
        <vt:lpwstr>_Toc117868482</vt:lpwstr>
      </vt:variant>
      <vt:variant>
        <vt:i4>1966132</vt:i4>
      </vt:variant>
      <vt:variant>
        <vt:i4>194</vt:i4>
      </vt:variant>
      <vt:variant>
        <vt:i4>0</vt:i4>
      </vt:variant>
      <vt:variant>
        <vt:i4>5</vt:i4>
      </vt:variant>
      <vt:variant>
        <vt:lpwstr/>
      </vt:variant>
      <vt:variant>
        <vt:lpwstr>_Toc117868481</vt:lpwstr>
      </vt:variant>
      <vt:variant>
        <vt:i4>1966132</vt:i4>
      </vt:variant>
      <vt:variant>
        <vt:i4>188</vt:i4>
      </vt:variant>
      <vt:variant>
        <vt:i4>0</vt:i4>
      </vt:variant>
      <vt:variant>
        <vt:i4>5</vt:i4>
      </vt:variant>
      <vt:variant>
        <vt:lpwstr/>
      </vt:variant>
      <vt:variant>
        <vt:lpwstr>_Toc117868480</vt:lpwstr>
      </vt:variant>
      <vt:variant>
        <vt:i4>1114164</vt:i4>
      </vt:variant>
      <vt:variant>
        <vt:i4>182</vt:i4>
      </vt:variant>
      <vt:variant>
        <vt:i4>0</vt:i4>
      </vt:variant>
      <vt:variant>
        <vt:i4>5</vt:i4>
      </vt:variant>
      <vt:variant>
        <vt:lpwstr/>
      </vt:variant>
      <vt:variant>
        <vt:lpwstr>_Toc117868479</vt:lpwstr>
      </vt:variant>
      <vt:variant>
        <vt:i4>1114164</vt:i4>
      </vt:variant>
      <vt:variant>
        <vt:i4>176</vt:i4>
      </vt:variant>
      <vt:variant>
        <vt:i4>0</vt:i4>
      </vt:variant>
      <vt:variant>
        <vt:i4>5</vt:i4>
      </vt:variant>
      <vt:variant>
        <vt:lpwstr/>
      </vt:variant>
      <vt:variant>
        <vt:lpwstr>_Toc117868478</vt:lpwstr>
      </vt:variant>
      <vt:variant>
        <vt:i4>1114164</vt:i4>
      </vt:variant>
      <vt:variant>
        <vt:i4>170</vt:i4>
      </vt:variant>
      <vt:variant>
        <vt:i4>0</vt:i4>
      </vt:variant>
      <vt:variant>
        <vt:i4>5</vt:i4>
      </vt:variant>
      <vt:variant>
        <vt:lpwstr/>
      </vt:variant>
      <vt:variant>
        <vt:lpwstr>_Toc117868477</vt:lpwstr>
      </vt:variant>
      <vt:variant>
        <vt:i4>1114164</vt:i4>
      </vt:variant>
      <vt:variant>
        <vt:i4>164</vt:i4>
      </vt:variant>
      <vt:variant>
        <vt:i4>0</vt:i4>
      </vt:variant>
      <vt:variant>
        <vt:i4>5</vt:i4>
      </vt:variant>
      <vt:variant>
        <vt:lpwstr/>
      </vt:variant>
      <vt:variant>
        <vt:lpwstr>_Toc117868476</vt:lpwstr>
      </vt:variant>
      <vt:variant>
        <vt:i4>1114164</vt:i4>
      </vt:variant>
      <vt:variant>
        <vt:i4>158</vt:i4>
      </vt:variant>
      <vt:variant>
        <vt:i4>0</vt:i4>
      </vt:variant>
      <vt:variant>
        <vt:i4>5</vt:i4>
      </vt:variant>
      <vt:variant>
        <vt:lpwstr/>
      </vt:variant>
      <vt:variant>
        <vt:lpwstr>_Toc117868475</vt:lpwstr>
      </vt:variant>
      <vt:variant>
        <vt:i4>1114164</vt:i4>
      </vt:variant>
      <vt:variant>
        <vt:i4>152</vt:i4>
      </vt:variant>
      <vt:variant>
        <vt:i4>0</vt:i4>
      </vt:variant>
      <vt:variant>
        <vt:i4>5</vt:i4>
      </vt:variant>
      <vt:variant>
        <vt:lpwstr/>
      </vt:variant>
      <vt:variant>
        <vt:lpwstr>_Toc117868474</vt:lpwstr>
      </vt:variant>
      <vt:variant>
        <vt:i4>1114164</vt:i4>
      </vt:variant>
      <vt:variant>
        <vt:i4>146</vt:i4>
      </vt:variant>
      <vt:variant>
        <vt:i4>0</vt:i4>
      </vt:variant>
      <vt:variant>
        <vt:i4>5</vt:i4>
      </vt:variant>
      <vt:variant>
        <vt:lpwstr/>
      </vt:variant>
      <vt:variant>
        <vt:lpwstr>_Toc117868473</vt:lpwstr>
      </vt:variant>
      <vt:variant>
        <vt:i4>1114164</vt:i4>
      </vt:variant>
      <vt:variant>
        <vt:i4>140</vt:i4>
      </vt:variant>
      <vt:variant>
        <vt:i4>0</vt:i4>
      </vt:variant>
      <vt:variant>
        <vt:i4>5</vt:i4>
      </vt:variant>
      <vt:variant>
        <vt:lpwstr/>
      </vt:variant>
      <vt:variant>
        <vt:lpwstr>_Toc117868472</vt:lpwstr>
      </vt:variant>
      <vt:variant>
        <vt:i4>1114164</vt:i4>
      </vt:variant>
      <vt:variant>
        <vt:i4>134</vt:i4>
      </vt:variant>
      <vt:variant>
        <vt:i4>0</vt:i4>
      </vt:variant>
      <vt:variant>
        <vt:i4>5</vt:i4>
      </vt:variant>
      <vt:variant>
        <vt:lpwstr/>
      </vt:variant>
      <vt:variant>
        <vt:lpwstr>_Toc117868471</vt:lpwstr>
      </vt:variant>
      <vt:variant>
        <vt:i4>1114164</vt:i4>
      </vt:variant>
      <vt:variant>
        <vt:i4>128</vt:i4>
      </vt:variant>
      <vt:variant>
        <vt:i4>0</vt:i4>
      </vt:variant>
      <vt:variant>
        <vt:i4>5</vt:i4>
      </vt:variant>
      <vt:variant>
        <vt:lpwstr/>
      </vt:variant>
      <vt:variant>
        <vt:lpwstr>_Toc117868470</vt:lpwstr>
      </vt:variant>
      <vt:variant>
        <vt:i4>1048628</vt:i4>
      </vt:variant>
      <vt:variant>
        <vt:i4>122</vt:i4>
      </vt:variant>
      <vt:variant>
        <vt:i4>0</vt:i4>
      </vt:variant>
      <vt:variant>
        <vt:i4>5</vt:i4>
      </vt:variant>
      <vt:variant>
        <vt:lpwstr/>
      </vt:variant>
      <vt:variant>
        <vt:lpwstr>_Toc117868469</vt:lpwstr>
      </vt:variant>
      <vt:variant>
        <vt:i4>1048628</vt:i4>
      </vt:variant>
      <vt:variant>
        <vt:i4>116</vt:i4>
      </vt:variant>
      <vt:variant>
        <vt:i4>0</vt:i4>
      </vt:variant>
      <vt:variant>
        <vt:i4>5</vt:i4>
      </vt:variant>
      <vt:variant>
        <vt:lpwstr/>
      </vt:variant>
      <vt:variant>
        <vt:lpwstr>_Toc117868468</vt:lpwstr>
      </vt:variant>
      <vt:variant>
        <vt:i4>1048628</vt:i4>
      </vt:variant>
      <vt:variant>
        <vt:i4>110</vt:i4>
      </vt:variant>
      <vt:variant>
        <vt:i4>0</vt:i4>
      </vt:variant>
      <vt:variant>
        <vt:i4>5</vt:i4>
      </vt:variant>
      <vt:variant>
        <vt:lpwstr/>
      </vt:variant>
      <vt:variant>
        <vt:lpwstr>_Toc117868467</vt:lpwstr>
      </vt:variant>
      <vt:variant>
        <vt:i4>1048628</vt:i4>
      </vt:variant>
      <vt:variant>
        <vt:i4>104</vt:i4>
      </vt:variant>
      <vt:variant>
        <vt:i4>0</vt:i4>
      </vt:variant>
      <vt:variant>
        <vt:i4>5</vt:i4>
      </vt:variant>
      <vt:variant>
        <vt:lpwstr/>
      </vt:variant>
      <vt:variant>
        <vt:lpwstr>_Toc117868466</vt:lpwstr>
      </vt:variant>
      <vt:variant>
        <vt:i4>1048628</vt:i4>
      </vt:variant>
      <vt:variant>
        <vt:i4>98</vt:i4>
      </vt:variant>
      <vt:variant>
        <vt:i4>0</vt:i4>
      </vt:variant>
      <vt:variant>
        <vt:i4>5</vt:i4>
      </vt:variant>
      <vt:variant>
        <vt:lpwstr/>
      </vt:variant>
      <vt:variant>
        <vt:lpwstr>_Toc117868465</vt:lpwstr>
      </vt:variant>
      <vt:variant>
        <vt:i4>1048628</vt:i4>
      </vt:variant>
      <vt:variant>
        <vt:i4>92</vt:i4>
      </vt:variant>
      <vt:variant>
        <vt:i4>0</vt:i4>
      </vt:variant>
      <vt:variant>
        <vt:i4>5</vt:i4>
      </vt:variant>
      <vt:variant>
        <vt:lpwstr/>
      </vt:variant>
      <vt:variant>
        <vt:lpwstr>_Toc117868464</vt:lpwstr>
      </vt:variant>
      <vt:variant>
        <vt:i4>1048628</vt:i4>
      </vt:variant>
      <vt:variant>
        <vt:i4>86</vt:i4>
      </vt:variant>
      <vt:variant>
        <vt:i4>0</vt:i4>
      </vt:variant>
      <vt:variant>
        <vt:i4>5</vt:i4>
      </vt:variant>
      <vt:variant>
        <vt:lpwstr/>
      </vt:variant>
      <vt:variant>
        <vt:lpwstr>_Toc117868463</vt:lpwstr>
      </vt:variant>
      <vt:variant>
        <vt:i4>1048628</vt:i4>
      </vt:variant>
      <vt:variant>
        <vt:i4>80</vt:i4>
      </vt:variant>
      <vt:variant>
        <vt:i4>0</vt:i4>
      </vt:variant>
      <vt:variant>
        <vt:i4>5</vt:i4>
      </vt:variant>
      <vt:variant>
        <vt:lpwstr/>
      </vt:variant>
      <vt:variant>
        <vt:lpwstr>_Toc117868462</vt:lpwstr>
      </vt:variant>
      <vt:variant>
        <vt:i4>1048628</vt:i4>
      </vt:variant>
      <vt:variant>
        <vt:i4>74</vt:i4>
      </vt:variant>
      <vt:variant>
        <vt:i4>0</vt:i4>
      </vt:variant>
      <vt:variant>
        <vt:i4>5</vt:i4>
      </vt:variant>
      <vt:variant>
        <vt:lpwstr/>
      </vt:variant>
      <vt:variant>
        <vt:lpwstr>_Toc117868461</vt:lpwstr>
      </vt:variant>
      <vt:variant>
        <vt:i4>1048628</vt:i4>
      </vt:variant>
      <vt:variant>
        <vt:i4>68</vt:i4>
      </vt:variant>
      <vt:variant>
        <vt:i4>0</vt:i4>
      </vt:variant>
      <vt:variant>
        <vt:i4>5</vt:i4>
      </vt:variant>
      <vt:variant>
        <vt:lpwstr/>
      </vt:variant>
      <vt:variant>
        <vt:lpwstr>_Toc117868460</vt:lpwstr>
      </vt:variant>
      <vt:variant>
        <vt:i4>1245236</vt:i4>
      </vt:variant>
      <vt:variant>
        <vt:i4>62</vt:i4>
      </vt:variant>
      <vt:variant>
        <vt:i4>0</vt:i4>
      </vt:variant>
      <vt:variant>
        <vt:i4>5</vt:i4>
      </vt:variant>
      <vt:variant>
        <vt:lpwstr/>
      </vt:variant>
      <vt:variant>
        <vt:lpwstr>_Toc117868459</vt:lpwstr>
      </vt:variant>
      <vt:variant>
        <vt:i4>1245236</vt:i4>
      </vt:variant>
      <vt:variant>
        <vt:i4>56</vt:i4>
      </vt:variant>
      <vt:variant>
        <vt:i4>0</vt:i4>
      </vt:variant>
      <vt:variant>
        <vt:i4>5</vt:i4>
      </vt:variant>
      <vt:variant>
        <vt:lpwstr/>
      </vt:variant>
      <vt:variant>
        <vt:lpwstr>_Toc117868458</vt:lpwstr>
      </vt:variant>
      <vt:variant>
        <vt:i4>1245236</vt:i4>
      </vt:variant>
      <vt:variant>
        <vt:i4>50</vt:i4>
      </vt:variant>
      <vt:variant>
        <vt:i4>0</vt:i4>
      </vt:variant>
      <vt:variant>
        <vt:i4>5</vt:i4>
      </vt:variant>
      <vt:variant>
        <vt:lpwstr/>
      </vt:variant>
      <vt:variant>
        <vt:lpwstr>_Toc117868457</vt:lpwstr>
      </vt:variant>
      <vt:variant>
        <vt:i4>1245236</vt:i4>
      </vt:variant>
      <vt:variant>
        <vt:i4>44</vt:i4>
      </vt:variant>
      <vt:variant>
        <vt:i4>0</vt:i4>
      </vt:variant>
      <vt:variant>
        <vt:i4>5</vt:i4>
      </vt:variant>
      <vt:variant>
        <vt:lpwstr/>
      </vt:variant>
      <vt:variant>
        <vt:lpwstr>_Toc117868456</vt:lpwstr>
      </vt:variant>
      <vt:variant>
        <vt:i4>1245236</vt:i4>
      </vt:variant>
      <vt:variant>
        <vt:i4>38</vt:i4>
      </vt:variant>
      <vt:variant>
        <vt:i4>0</vt:i4>
      </vt:variant>
      <vt:variant>
        <vt:i4>5</vt:i4>
      </vt:variant>
      <vt:variant>
        <vt:lpwstr/>
      </vt:variant>
      <vt:variant>
        <vt:lpwstr>_Toc117868455</vt:lpwstr>
      </vt:variant>
      <vt:variant>
        <vt:i4>1245236</vt:i4>
      </vt:variant>
      <vt:variant>
        <vt:i4>32</vt:i4>
      </vt:variant>
      <vt:variant>
        <vt:i4>0</vt:i4>
      </vt:variant>
      <vt:variant>
        <vt:i4>5</vt:i4>
      </vt:variant>
      <vt:variant>
        <vt:lpwstr/>
      </vt:variant>
      <vt:variant>
        <vt:lpwstr>_Toc117868454</vt:lpwstr>
      </vt:variant>
      <vt:variant>
        <vt:i4>1245236</vt:i4>
      </vt:variant>
      <vt:variant>
        <vt:i4>26</vt:i4>
      </vt:variant>
      <vt:variant>
        <vt:i4>0</vt:i4>
      </vt:variant>
      <vt:variant>
        <vt:i4>5</vt:i4>
      </vt:variant>
      <vt:variant>
        <vt:lpwstr/>
      </vt:variant>
      <vt:variant>
        <vt:lpwstr>_Toc117868453</vt:lpwstr>
      </vt:variant>
      <vt:variant>
        <vt:i4>1245236</vt:i4>
      </vt:variant>
      <vt:variant>
        <vt:i4>20</vt:i4>
      </vt:variant>
      <vt:variant>
        <vt:i4>0</vt:i4>
      </vt:variant>
      <vt:variant>
        <vt:i4>5</vt:i4>
      </vt:variant>
      <vt:variant>
        <vt:lpwstr/>
      </vt:variant>
      <vt:variant>
        <vt:lpwstr>_Toc117868452</vt:lpwstr>
      </vt:variant>
      <vt:variant>
        <vt:i4>1245236</vt:i4>
      </vt:variant>
      <vt:variant>
        <vt:i4>14</vt:i4>
      </vt:variant>
      <vt:variant>
        <vt:i4>0</vt:i4>
      </vt:variant>
      <vt:variant>
        <vt:i4>5</vt:i4>
      </vt:variant>
      <vt:variant>
        <vt:lpwstr/>
      </vt:variant>
      <vt:variant>
        <vt:lpwstr>_Toc117868451</vt:lpwstr>
      </vt:variant>
      <vt:variant>
        <vt:i4>1245236</vt:i4>
      </vt:variant>
      <vt:variant>
        <vt:i4>8</vt:i4>
      </vt:variant>
      <vt:variant>
        <vt:i4>0</vt:i4>
      </vt:variant>
      <vt:variant>
        <vt:i4>5</vt:i4>
      </vt:variant>
      <vt:variant>
        <vt:lpwstr/>
      </vt:variant>
      <vt:variant>
        <vt:lpwstr>_Toc117868450</vt:lpwstr>
      </vt:variant>
      <vt:variant>
        <vt:i4>1179700</vt:i4>
      </vt:variant>
      <vt:variant>
        <vt:i4>2</vt:i4>
      </vt:variant>
      <vt:variant>
        <vt:i4>0</vt:i4>
      </vt:variant>
      <vt:variant>
        <vt:i4>5</vt:i4>
      </vt:variant>
      <vt:variant>
        <vt:lpwstr/>
      </vt:variant>
      <vt:variant>
        <vt:lpwstr>_Toc117868449</vt:lpwstr>
      </vt:variant>
      <vt:variant>
        <vt:i4>589907</vt:i4>
      </vt:variant>
      <vt:variant>
        <vt:i4>129</vt:i4>
      </vt:variant>
      <vt:variant>
        <vt:i4>0</vt:i4>
      </vt:variant>
      <vt:variant>
        <vt:i4>5</vt:i4>
      </vt:variant>
      <vt:variant>
        <vt:lpwstr>https://www.abc.net.au/news/2020-10-30/abc-radio-transmitter-melted-in-nsw-bushfires-back-in-action/12830154</vt:lpwstr>
      </vt:variant>
      <vt:variant>
        <vt:lpwstr/>
      </vt:variant>
      <vt:variant>
        <vt:i4>4849740</vt:i4>
      </vt:variant>
      <vt:variant>
        <vt:i4>126</vt:i4>
      </vt:variant>
      <vt:variant>
        <vt:i4>0</vt:i4>
      </vt:variant>
      <vt:variant>
        <vt:i4>5</vt:i4>
      </vt:variant>
      <vt:variant>
        <vt:lpwstr>https://www.theguardian.com/business/2020/apr/01/morrisons-is-not-liable-for-massive-staff-data-leak-court-rules</vt:lpwstr>
      </vt:variant>
      <vt:variant>
        <vt:lpwstr/>
      </vt:variant>
      <vt:variant>
        <vt:i4>6946916</vt:i4>
      </vt:variant>
      <vt:variant>
        <vt:i4>123</vt:i4>
      </vt:variant>
      <vt:variant>
        <vt:i4>0</vt:i4>
      </vt:variant>
      <vt:variant>
        <vt:i4>5</vt:i4>
      </vt:variant>
      <vt:variant>
        <vt:lpwstr>https://lighthouse.mq.edu.au/article/january-2022/more-supermarket-diversity-would-ease-supply-disruptions</vt:lpwstr>
      </vt:variant>
      <vt:variant>
        <vt:lpwstr/>
      </vt:variant>
      <vt:variant>
        <vt:i4>3473518</vt:i4>
      </vt:variant>
      <vt:variant>
        <vt:i4>120</vt:i4>
      </vt:variant>
      <vt:variant>
        <vt:i4>0</vt:i4>
      </vt:variant>
      <vt:variant>
        <vt:i4>5</vt:i4>
      </vt:variant>
      <vt:variant>
        <vt:lpwstr>https://www.pbs.org/newshour/economy/how-the-baby-formula-shortage-financially-strains-u-s-families</vt:lpwstr>
      </vt:variant>
      <vt:variant>
        <vt:lpwstr/>
      </vt:variant>
      <vt:variant>
        <vt:i4>2949180</vt:i4>
      </vt:variant>
      <vt:variant>
        <vt:i4>117</vt:i4>
      </vt:variant>
      <vt:variant>
        <vt:i4>0</vt:i4>
      </vt:variant>
      <vt:variant>
        <vt:i4>5</vt:i4>
      </vt:variant>
      <vt:variant>
        <vt:lpwstr>https://www.cnbc.com/2022/05/09/40-percent-of-americas-baby-formula-supplies-are-out-of-stock.html</vt:lpwstr>
      </vt:variant>
      <vt:variant>
        <vt:lpwstr/>
      </vt:variant>
      <vt:variant>
        <vt:i4>3473518</vt:i4>
      </vt:variant>
      <vt:variant>
        <vt:i4>114</vt:i4>
      </vt:variant>
      <vt:variant>
        <vt:i4>0</vt:i4>
      </vt:variant>
      <vt:variant>
        <vt:i4>5</vt:i4>
      </vt:variant>
      <vt:variant>
        <vt:lpwstr>https://www.pbs.org/newshour/economy/how-the-baby-formula-shortage-financially-strains-u-s-families</vt:lpwstr>
      </vt:variant>
      <vt:variant>
        <vt:lpwstr/>
      </vt:variant>
      <vt:variant>
        <vt:i4>3407999</vt:i4>
      </vt:variant>
      <vt:variant>
        <vt:i4>111</vt:i4>
      </vt:variant>
      <vt:variant>
        <vt:i4>0</vt:i4>
      </vt:variant>
      <vt:variant>
        <vt:i4>5</vt:i4>
      </vt:variant>
      <vt:variant>
        <vt:lpwstr>https://www.smh.com.au/business/companies/bushfires-likely-to-impact-australian-retailers-analysts-say-20200108-p53pqi.html</vt:lpwstr>
      </vt:variant>
      <vt:variant>
        <vt:lpwstr/>
      </vt:variant>
      <vt:variant>
        <vt:i4>2162747</vt:i4>
      </vt:variant>
      <vt:variant>
        <vt:i4>108</vt:i4>
      </vt:variant>
      <vt:variant>
        <vt:i4>0</vt:i4>
      </vt:variant>
      <vt:variant>
        <vt:i4>5</vt:i4>
      </vt:variant>
      <vt:variant>
        <vt:lpwstr>https://www.stuff.co.nz/southland-times/128309125/meatworks-losing-millions-in-valueadded-products</vt:lpwstr>
      </vt:variant>
      <vt:variant>
        <vt:lpwstr/>
      </vt:variant>
      <vt:variant>
        <vt:i4>1310815</vt:i4>
      </vt:variant>
      <vt:variant>
        <vt:i4>105</vt:i4>
      </vt:variant>
      <vt:variant>
        <vt:i4>0</vt:i4>
      </vt:variant>
      <vt:variant>
        <vt:i4>5</vt:i4>
      </vt:variant>
      <vt:variant>
        <vt:lpwstr>https://www.bbc.com/news/uk-northern-ireland-58637030</vt:lpwstr>
      </vt:variant>
      <vt:variant>
        <vt:lpwstr/>
      </vt:variant>
      <vt:variant>
        <vt:i4>4194324</vt:i4>
      </vt:variant>
      <vt:variant>
        <vt:i4>102</vt:i4>
      </vt:variant>
      <vt:variant>
        <vt:i4>0</vt:i4>
      </vt:variant>
      <vt:variant>
        <vt:i4>5</vt:i4>
      </vt:variant>
      <vt:variant>
        <vt:lpwstr>https://committees.parliament.uk/publications/9580/documents/162177/default/</vt:lpwstr>
      </vt:variant>
      <vt:variant>
        <vt:lpwstr/>
      </vt:variant>
      <vt:variant>
        <vt:i4>6946848</vt:i4>
      </vt:variant>
      <vt:variant>
        <vt:i4>99</vt:i4>
      </vt:variant>
      <vt:variant>
        <vt:i4>0</vt:i4>
      </vt:variant>
      <vt:variant>
        <vt:i4>5</vt:i4>
      </vt:variant>
      <vt:variant>
        <vt:lpwstr>https://amic.org.au/domestic-meat-shortages-loom-as-processors-face-covid-induced-labour-shortage/</vt:lpwstr>
      </vt:variant>
      <vt:variant>
        <vt:lpwstr/>
      </vt:variant>
      <vt:variant>
        <vt:i4>3670130</vt:i4>
      </vt:variant>
      <vt:variant>
        <vt:i4>96</vt:i4>
      </vt:variant>
      <vt:variant>
        <vt:i4>0</vt:i4>
      </vt:variant>
      <vt:variant>
        <vt:i4>5</vt:i4>
      </vt:variant>
      <vt:variant>
        <vt:lpwstr>https://www.abc.net.au/news/rural/2022-01-11/chicken-shortage-due-to-covid-staff-shortage-in-meat-processing/100749802</vt:lpwstr>
      </vt:variant>
      <vt:variant>
        <vt:lpwstr/>
      </vt:variant>
      <vt:variant>
        <vt:i4>917529</vt:i4>
      </vt:variant>
      <vt:variant>
        <vt:i4>93</vt:i4>
      </vt:variant>
      <vt:variant>
        <vt:i4>0</vt:i4>
      </vt:variant>
      <vt:variant>
        <vt:i4>5</vt:i4>
      </vt:variant>
      <vt:variant>
        <vt:lpwstr>https://www.afr.com/politics/floods-damage-bill-set-to-top-2b-20220302-p5a0z5</vt:lpwstr>
      </vt:variant>
      <vt:variant>
        <vt:lpwstr/>
      </vt:variant>
      <vt:variant>
        <vt:i4>7602293</vt:i4>
      </vt:variant>
      <vt:variant>
        <vt:i4>90</vt:i4>
      </vt:variant>
      <vt:variant>
        <vt:i4>0</vt:i4>
      </vt:variant>
      <vt:variant>
        <vt:i4>5</vt:i4>
      </vt:variant>
      <vt:variant>
        <vt:lpwstr>https://www.theguardian.com/australia-news/2022/mar/02/nothing-to-sell-queensland-and-nsw-flood-waters-hit-supermarket-grocery-supplies</vt:lpwstr>
      </vt:variant>
      <vt:variant>
        <vt:lpwstr/>
      </vt:variant>
      <vt:variant>
        <vt:i4>7602293</vt:i4>
      </vt:variant>
      <vt:variant>
        <vt:i4>87</vt:i4>
      </vt:variant>
      <vt:variant>
        <vt:i4>0</vt:i4>
      </vt:variant>
      <vt:variant>
        <vt:i4>5</vt:i4>
      </vt:variant>
      <vt:variant>
        <vt:lpwstr>https://www.theguardian.com/australia-news/2022/mar/02/nothing-to-sell-queensland-and-nsw-flood-waters-hit-supermarket-grocery-supplies</vt:lpwstr>
      </vt:variant>
      <vt:variant>
        <vt:lpwstr/>
      </vt:variant>
      <vt:variant>
        <vt:i4>7602293</vt:i4>
      </vt:variant>
      <vt:variant>
        <vt:i4>84</vt:i4>
      </vt:variant>
      <vt:variant>
        <vt:i4>0</vt:i4>
      </vt:variant>
      <vt:variant>
        <vt:i4>5</vt:i4>
      </vt:variant>
      <vt:variant>
        <vt:lpwstr>https://www.theguardian.com/australia-news/2022/mar/02/nothing-to-sell-queensland-and-nsw-flood-waters-hit-supermarket-grocery-supplies</vt:lpwstr>
      </vt:variant>
      <vt:variant>
        <vt:lpwstr/>
      </vt:variant>
      <vt:variant>
        <vt:i4>3342394</vt:i4>
      </vt:variant>
      <vt:variant>
        <vt:i4>81</vt:i4>
      </vt:variant>
      <vt:variant>
        <vt:i4>0</vt:i4>
      </vt:variant>
      <vt:variant>
        <vt:i4>5</vt:i4>
      </vt:variant>
      <vt:variant>
        <vt:lpwstr>https://www.theguardian.com/australia-news/2022/feb/04/a-logistical-nightmare-flooding-takes-out-sole-rail-link-sparking-west-australian-food-shortage</vt:lpwstr>
      </vt:variant>
      <vt:variant>
        <vt:lpwstr/>
      </vt:variant>
      <vt:variant>
        <vt:i4>7143457</vt:i4>
      </vt:variant>
      <vt:variant>
        <vt:i4>78</vt:i4>
      </vt:variant>
      <vt:variant>
        <vt:i4>0</vt:i4>
      </vt:variant>
      <vt:variant>
        <vt:i4>5</vt:i4>
      </vt:variant>
      <vt:variant>
        <vt:lpwstr>https://www.afr.com/companies/infrastructure/rail-and-road-flooding-intensifies-supply-chain-crisis-20220131-p59sk3</vt:lpwstr>
      </vt:variant>
      <vt:variant>
        <vt:lpwstr/>
      </vt:variant>
      <vt:variant>
        <vt:i4>4325384</vt:i4>
      </vt:variant>
      <vt:variant>
        <vt:i4>75</vt:i4>
      </vt:variant>
      <vt:variant>
        <vt:i4>0</vt:i4>
      </vt:variant>
      <vt:variant>
        <vt:i4>5</vt:i4>
      </vt:variant>
      <vt:variant>
        <vt:lpwstr>https://www.abc.net.au/news/2022-02-15/nt-rail-link-reopens-25-days-after-flood-damage/100824484</vt:lpwstr>
      </vt:variant>
      <vt:variant>
        <vt:lpwstr/>
      </vt:variant>
      <vt:variant>
        <vt:i4>3342394</vt:i4>
      </vt:variant>
      <vt:variant>
        <vt:i4>72</vt:i4>
      </vt:variant>
      <vt:variant>
        <vt:i4>0</vt:i4>
      </vt:variant>
      <vt:variant>
        <vt:i4>5</vt:i4>
      </vt:variant>
      <vt:variant>
        <vt:lpwstr>https://www.theguardian.com/australia-news/2022/feb/04/a-logistical-nightmare-flooding-takes-out-sole-rail-link-sparking-west-australian-food-shortage</vt:lpwstr>
      </vt:variant>
      <vt:variant>
        <vt:lpwstr/>
      </vt:variant>
      <vt:variant>
        <vt:i4>7143457</vt:i4>
      </vt:variant>
      <vt:variant>
        <vt:i4>69</vt:i4>
      </vt:variant>
      <vt:variant>
        <vt:i4>0</vt:i4>
      </vt:variant>
      <vt:variant>
        <vt:i4>5</vt:i4>
      </vt:variant>
      <vt:variant>
        <vt:lpwstr>https://www.afr.com/companies/infrastructure/rail-and-road-flooding-intensifies-supply-chain-crisis-20220131-p59sk3</vt:lpwstr>
      </vt:variant>
      <vt:variant>
        <vt:lpwstr/>
      </vt:variant>
      <vt:variant>
        <vt:i4>7864375</vt:i4>
      </vt:variant>
      <vt:variant>
        <vt:i4>66</vt:i4>
      </vt:variant>
      <vt:variant>
        <vt:i4>0</vt:i4>
      </vt:variant>
      <vt:variant>
        <vt:i4>5</vt:i4>
      </vt:variant>
      <vt:variant>
        <vt:lpwstr>https://www.abc.net.au/news/rural/2021-06-10/jbs-foods-pays-14million-ransom-cyber-attack/100204240</vt:lpwstr>
      </vt:variant>
      <vt:variant>
        <vt:lpwstr/>
      </vt:variant>
      <vt:variant>
        <vt:i4>4390993</vt:i4>
      </vt:variant>
      <vt:variant>
        <vt:i4>63</vt:i4>
      </vt:variant>
      <vt:variant>
        <vt:i4>0</vt:i4>
      </vt:variant>
      <vt:variant>
        <vt:i4>5</vt:i4>
      </vt:variant>
      <vt:variant>
        <vt:lpwstr>https://jbsfoodsgroup.com/articles/jbs-usa-cyberattack-media-statement-june-9</vt:lpwstr>
      </vt:variant>
      <vt:variant>
        <vt:lpwstr/>
      </vt:variant>
      <vt:variant>
        <vt:i4>3276858</vt:i4>
      </vt:variant>
      <vt:variant>
        <vt:i4>60</vt:i4>
      </vt:variant>
      <vt:variant>
        <vt:i4>0</vt:i4>
      </vt:variant>
      <vt:variant>
        <vt:i4>5</vt:i4>
      </vt:variant>
      <vt:variant>
        <vt:lpwstr>https://www.statista.com/statistics/1063165/revenue-of-coop-retail-stores-in-sweden-by-region/</vt:lpwstr>
      </vt:variant>
      <vt:variant>
        <vt:lpwstr/>
      </vt:variant>
      <vt:variant>
        <vt:i4>3080289</vt:i4>
      </vt:variant>
      <vt:variant>
        <vt:i4>57</vt:i4>
      </vt:variant>
      <vt:variant>
        <vt:i4>0</vt:i4>
      </vt:variant>
      <vt:variant>
        <vt:i4>5</vt:i4>
      </vt:variant>
      <vt:variant>
        <vt:lpwstr>https://www.abc.net.au/news/2021-07-06/hackers-demand-92m-after-gargantuan-ransomware-attack/100269678</vt:lpwstr>
      </vt:variant>
      <vt:variant>
        <vt:lpwstr/>
      </vt:variant>
      <vt:variant>
        <vt:i4>720979</vt:i4>
      </vt:variant>
      <vt:variant>
        <vt:i4>54</vt:i4>
      </vt:variant>
      <vt:variant>
        <vt:i4>0</vt:i4>
      </vt:variant>
      <vt:variant>
        <vt:i4>5</vt:i4>
      </vt:variant>
      <vt:variant>
        <vt:lpwstr>https://www.homeaffairs.gov.au/reports-and-pubs/files/critical-infrastructure-consultation-submissions/EDS010-CISoNS-AustralianFoodandGroceryCouncil.PDF</vt:lpwstr>
      </vt:variant>
      <vt:variant>
        <vt:lpwstr/>
      </vt:variant>
      <vt:variant>
        <vt:i4>458821</vt:i4>
      </vt:variant>
      <vt:variant>
        <vt:i4>51</vt:i4>
      </vt:variant>
      <vt:variant>
        <vt:i4>0</vt:i4>
      </vt:variant>
      <vt:variant>
        <vt:i4>5</vt:i4>
      </vt:variant>
      <vt:variant>
        <vt:lpwstr>https://www.afr.com/companies/infrastructure/the-hidden-cost-of-our-covid-shopping-spree-20210120-p56vks</vt:lpwstr>
      </vt:variant>
      <vt:variant>
        <vt:lpwstr/>
      </vt:variant>
      <vt:variant>
        <vt:i4>3866742</vt:i4>
      </vt:variant>
      <vt:variant>
        <vt:i4>48</vt:i4>
      </vt:variant>
      <vt:variant>
        <vt:i4>0</vt:i4>
      </vt:variant>
      <vt:variant>
        <vt:i4>5</vt:i4>
      </vt:variant>
      <vt:variant>
        <vt:lpwstr>https://www.abc.net.au/news/rural/2021-01-08/high-freight-costs-due-to-covid-impact-tasmanian-agriculture/13035798</vt:lpwstr>
      </vt:variant>
      <vt:variant>
        <vt:lpwstr/>
      </vt:variant>
      <vt:variant>
        <vt:i4>458821</vt:i4>
      </vt:variant>
      <vt:variant>
        <vt:i4>45</vt:i4>
      </vt:variant>
      <vt:variant>
        <vt:i4>0</vt:i4>
      </vt:variant>
      <vt:variant>
        <vt:i4>5</vt:i4>
      </vt:variant>
      <vt:variant>
        <vt:lpwstr>https://www.afr.com/companies/infrastructure/the-hidden-cost-of-our-covid-shopping-spree-20210120-p56vks</vt:lpwstr>
      </vt:variant>
      <vt:variant>
        <vt:lpwstr/>
      </vt:variant>
      <vt:variant>
        <vt:i4>5963871</vt:i4>
      </vt:variant>
      <vt:variant>
        <vt:i4>42</vt:i4>
      </vt:variant>
      <vt:variant>
        <vt:i4>0</vt:i4>
      </vt:variant>
      <vt:variant>
        <vt:i4>5</vt:i4>
      </vt:variant>
      <vt:variant>
        <vt:lpwstr>https://www.abc.net.au/news/2021-09-14/prices-ports-transport-shopping-accc-covid-inflation/100458836</vt:lpwstr>
      </vt:variant>
      <vt:variant>
        <vt:lpwstr/>
      </vt:variant>
      <vt:variant>
        <vt:i4>2949155</vt:i4>
      </vt:variant>
      <vt:variant>
        <vt:i4>39</vt:i4>
      </vt:variant>
      <vt:variant>
        <vt:i4>0</vt:i4>
      </vt:variant>
      <vt:variant>
        <vt:i4>5</vt:i4>
      </vt:variant>
      <vt:variant>
        <vt:lpwstr>https://www.theaustralian.com.au/nation/politics/diesel-crisis-threatens-to-crash-supply-chain/news-story/a11f93b9605cbe9d921f089242ab9619</vt:lpwstr>
      </vt:variant>
      <vt:variant>
        <vt:lpwstr/>
      </vt:variant>
      <vt:variant>
        <vt:i4>5505030</vt:i4>
      </vt:variant>
      <vt:variant>
        <vt:i4>36</vt:i4>
      </vt:variant>
      <vt:variant>
        <vt:i4>0</vt:i4>
      </vt:variant>
      <vt:variant>
        <vt:i4>5</vt:i4>
      </vt:variant>
      <vt:variant>
        <vt:lpwstr>https://www.bloomberg.com/news/articles/2021-06-04/hackers-breached-colonial-pipeline-using-compromised-password</vt:lpwstr>
      </vt:variant>
      <vt:variant>
        <vt:lpwstr/>
      </vt:variant>
      <vt:variant>
        <vt:i4>7929897</vt:i4>
      </vt:variant>
      <vt:variant>
        <vt:i4>33</vt:i4>
      </vt:variant>
      <vt:variant>
        <vt:i4>0</vt:i4>
      </vt:variant>
      <vt:variant>
        <vt:i4>5</vt:i4>
      </vt:variant>
      <vt:variant>
        <vt:lpwstr>https://www.abc.net.au/news/2021-05-16/colonial-pipeline-normal-operations-ransomeware-attack/100142608</vt:lpwstr>
      </vt:variant>
      <vt:variant>
        <vt:lpwstr/>
      </vt:variant>
      <vt:variant>
        <vt:i4>4718607</vt:i4>
      </vt:variant>
      <vt:variant>
        <vt:i4>30</vt:i4>
      </vt:variant>
      <vt:variant>
        <vt:i4>0</vt:i4>
      </vt:variant>
      <vt:variant>
        <vt:i4>5</vt:i4>
      </vt:variant>
      <vt:variant>
        <vt:lpwstr>https://7news.com.au/technology/security/cyber-attack-closes-irans-petrol-stations-c-4340647</vt:lpwstr>
      </vt:variant>
      <vt:variant>
        <vt:lpwstr/>
      </vt:variant>
      <vt:variant>
        <vt:i4>2883627</vt:i4>
      </vt:variant>
      <vt:variant>
        <vt:i4>27</vt:i4>
      </vt:variant>
      <vt:variant>
        <vt:i4>0</vt:i4>
      </vt:variant>
      <vt:variant>
        <vt:i4>5</vt:i4>
      </vt:variant>
      <vt:variant>
        <vt:lpwstr>https://www.businessleader.co.uk/what-does-the-fuel-crisis-mean-for-the-uk-economy/</vt:lpwstr>
      </vt:variant>
      <vt:variant>
        <vt:lpwstr/>
      </vt:variant>
      <vt:variant>
        <vt:i4>3342370</vt:i4>
      </vt:variant>
      <vt:variant>
        <vt:i4>24</vt:i4>
      </vt:variant>
      <vt:variant>
        <vt:i4>0</vt:i4>
      </vt:variant>
      <vt:variant>
        <vt:i4>5</vt:i4>
      </vt:variant>
      <vt:variant>
        <vt:lpwstr>https://www.bloomberg.com/news/articles/2021-09-27/u-k-road-fuel-panic-deepens-the-pain-in-crisis-prone-economy</vt:lpwstr>
      </vt:variant>
      <vt:variant>
        <vt:lpwstr/>
      </vt:variant>
      <vt:variant>
        <vt:i4>7536688</vt:i4>
      </vt:variant>
      <vt:variant>
        <vt:i4>21</vt:i4>
      </vt:variant>
      <vt:variant>
        <vt:i4>0</vt:i4>
      </vt:variant>
      <vt:variant>
        <vt:i4>5</vt:i4>
      </vt:variant>
      <vt:variant>
        <vt:lpwstr>https://www.cnbc.com/2021/09/24/empty-shelves-and-gasoline-shortages-uk-facing-a-difficult-winter.html</vt:lpwstr>
      </vt:variant>
      <vt:variant>
        <vt:lpwstr/>
      </vt:variant>
      <vt:variant>
        <vt:i4>3342377</vt:i4>
      </vt:variant>
      <vt:variant>
        <vt:i4>18</vt:i4>
      </vt:variant>
      <vt:variant>
        <vt:i4>0</vt:i4>
      </vt:variant>
      <vt:variant>
        <vt:i4>5</vt:i4>
      </vt:variant>
      <vt:variant>
        <vt:lpwstr>https://www.rba.gov.au/publications/fsr/2018/oct/pdf/box-d.pdf</vt:lpwstr>
      </vt:variant>
      <vt:variant>
        <vt:lpwstr/>
      </vt:variant>
      <vt:variant>
        <vt:i4>3342377</vt:i4>
      </vt:variant>
      <vt:variant>
        <vt:i4>15</vt:i4>
      </vt:variant>
      <vt:variant>
        <vt:i4>0</vt:i4>
      </vt:variant>
      <vt:variant>
        <vt:i4>5</vt:i4>
      </vt:variant>
      <vt:variant>
        <vt:lpwstr>https://www.rba.gov.au/publications/fsr/2018/oct/pdf/box-d.pdf</vt:lpwstr>
      </vt:variant>
      <vt:variant>
        <vt:lpwstr/>
      </vt:variant>
      <vt:variant>
        <vt:i4>5177344</vt:i4>
      </vt:variant>
      <vt:variant>
        <vt:i4>12</vt:i4>
      </vt:variant>
      <vt:variant>
        <vt:i4>0</vt:i4>
      </vt:variant>
      <vt:variant>
        <vt:i4>5</vt:i4>
      </vt:variant>
      <vt:variant>
        <vt:lpwstr>https://www.abc.net.au/news/2019-08-13/press-freedom-inquiry/11407624</vt:lpwstr>
      </vt:variant>
      <vt:variant>
        <vt:lpwstr/>
      </vt:variant>
      <vt:variant>
        <vt:i4>5767247</vt:i4>
      </vt:variant>
      <vt:variant>
        <vt:i4>9</vt:i4>
      </vt:variant>
      <vt:variant>
        <vt:i4>0</vt:i4>
      </vt:variant>
      <vt:variant>
        <vt:i4>5</vt:i4>
      </vt:variant>
      <vt:variant>
        <vt:lpwstr>https://www.tvtechnology.com/news/sinclair-still-dealing-with-effects-from-ransomware-attack</vt:lpwstr>
      </vt:variant>
      <vt:variant>
        <vt:lpwstr/>
      </vt:variant>
      <vt:variant>
        <vt:i4>589907</vt:i4>
      </vt:variant>
      <vt:variant>
        <vt:i4>6</vt:i4>
      </vt:variant>
      <vt:variant>
        <vt:i4>0</vt:i4>
      </vt:variant>
      <vt:variant>
        <vt:i4>5</vt:i4>
      </vt:variant>
      <vt:variant>
        <vt:lpwstr>https://www.abc.net.au/news/2020-10-30/abc-radio-transmitter-melted-in-nsw-bushfires-back-in-action/12830154</vt:lpwstr>
      </vt:variant>
      <vt:variant>
        <vt:lpwstr/>
      </vt:variant>
      <vt:variant>
        <vt:i4>3080289</vt:i4>
      </vt:variant>
      <vt:variant>
        <vt:i4>3</vt:i4>
      </vt:variant>
      <vt:variant>
        <vt:i4>0</vt:i4>
      </vt:variant>
      <vt:variant>
        <vt:i4>5</vt:i4>
      </vt:variant>
      <vt:variant>
        <vt:lpwstr>https://www.abc.net.au/news/2021-07-06/hackers-demand-92m-after-gargantuan-ransomware-attack/100269678</vt:lpwstr>
      </vt:variant>
      <vt:variant>
        <vt:lpwstr/>
      </vt:variant>
      <vt:variant>
        <vt:i4>589907</vt:i4>
      </vt:variant>
      <vt:variant>
        <vt:i4>0</vt:i4>
      </vt:variant>
      <vt:variant>
        <vt:i4>0</vt:i4>
      </vt:variant>
      <vt:variant>
        <vt:i4>5</vt:i4>
      </vt:variant>
      <vt:variant>
        <vt:lpwstr>https://www.abc.net.au/news/2020-10-30/abc-radio-transmitter-melted-in-nsw-bushfires-back-in-action/12830154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2025-03-11T22:55:00Z</dcterms:created>
  <dcterms:modified xsi:type="dcterms:W3CDTF">2025-03-11T22:55:00Z</dcterms:modified>
</cp:coreProperties>
</file>