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9A206" w14:textId="77777777" w:rsidR="000C3549" w:rsidRDefault="000C3549" w:rsidP="00BC14AF">
      <w:pPr>
        <w:spacing w:before="0" w:line="276" w:lineRule="auto"/>
        <w:rPr>
          <w:rFonts w:eastAsia="Calibri" w:cs="Times New Roman"/>
          <w:sz w:val="18"/>
          <w:szCs w:val="18"/>
        </w:rPr>
        <w:sectPr w:rsidR="000C3549" w:rsidSect="000C3549">
          <w:headerReference w:type="even" r:id="rId7"/>
          <w:headerReference w:type="default" r:id="rId8"/>
          <w:footerReference w:type="even" r:id="rId9"/>
          <w:footerReference w:type="default" r:id="rId10"/>
          <w:headerReference w:type="first" r:id="rId11"/>
          <w:footerReference w:type="first" r:id="rId12"/>
          <w:pgSz w:w="11906" w:h="16838"/>
          <w:pgMar w:top="284" w:right="284" w:bottom="284" w:left="284" w:header="0" w:footer="0" w:gutter="0"/>
          <w:cols w:space="708"/>
          <w:titlePg/>
          <w:docGrid w:linePitch="360"/>
        </w:sectPr>
      </w:pPr>
      <w:bookmarkStart w:id="0" w:name="_GoBack"/>
      <w:bookmarkEnd w:id="0"/>
      <w:r w:rsidRPr="000C3549">
        <w:rPr>
          <w:rFonts w:eastAsia="Calibri" w:cs="Times New Roman"/>
          <w:noProof/>
          <w:sz w:val="18"/>
          <w:szCs w:val="18"/>
          <w:lang w:eastAsia="en-AU"/>
        </w:rPr>
        <w:drawing>
          <wp:inline distT="0" distB="0" distL="0" distR="0" wp14:anchorId="5E478574" wp14:editId="16AA087C">
            <wp:extent cx="7210425" cy="10201105"/>
            <wp:effectExtent l="0" t="0" r="0" b="0"/>
            <wp:docPr id="8" name="Picture 8" descr="Independent Review of Australian Carbon Credit Units&#10;Final Report - December 2022&#10;Professor Ian Chubb&#10;The Hon Dr Annabelle Bennett&#10;Ariadne Gorring&#10;Dr Steve Hatfield-Do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dependent Review of Australian Carbon Credit Units&#10;Final Report - December 2022&#10;Professor Ian Chubb&#10;The Hon Dr Annabelle Bennett&#10;Ariadne Gorring&#10;Dr Steve Hatfield-Dodds"/>
                    <pic:cNvPicPr/>
                  </pic:nvPicPr>
                  <pic:blipFill>
                    <a:blip r:embed="rId13"/>
                    <a:stretch>
                      <a:fillRect/>
                    </a:stretch>
                  </pic:blipFill>
                  <pic:spPr>
                    <a:xfrm>
                      <a:off x="0" y="0"/>
                      <a:ext cx="7218680" cy="10212784"/>
                    </a:xfrm>
                    <a:prstGeom prst="rect">
                      <a:avLst/>
                    </a:prstGeom>
                  </pic:spPr>
                </pic:pic>
              </a:graphicData>
            </a:graphic>
          </wp:inline>
        </w:drawing>
      </w:r>
    </w:p>
    <w:p w14:paraId="5B7A1136" w14:textId="77777777" w:rsidR="000C3549" w:rsidRDefault="000C3549" w:rsidP="00BC14AF">
      <w:pPr>
        <w:spacing w:before="0" w:line="276" w:lineRule="auto"/>
        <w:rPr>
          <w:rFonts w:eastAsia="Calibri" w:cs="Times New Roman"/>
          <w:sz w:val="18"/>
          <w:szCs w:val="18"/>
        </w:rPr>
      </w:pPr>
    </w:p>
    <w:p w14:paraId="32A9E937" w14:textId="77777777" w:rsidR="000C3549" w:rsidRDefault="000C3549" w:rsidP="00BC14AF">
      <w:pPr>
        <w:spacing w:before="0" w:line="276" w:lineRule="auto"/>
        <w:rPr>
          <w:rFonts w:eastAsia="Calibri" w:cs="Times New Roman"/>
          <w:sz w:val="18"/>
          <w:szCs w:val="18"/>
        </w:rPr>
      </w:pPr>
    </w:p>
    <w:p w14:paraId="1EDB41EF" w14:textId="77777777" w:rsidR="000C3549" w:rsidRDefault="000C3549" w:rsidP="00BC14AF">
      <w:pPr>
        <w:spacing w:before="0" w:line="276" w:lineRule="auto"/>
        <w:rPr>
          <w:rFonts w:eastAsia="Calibri" w:cs="Times New Roman"/>
          <w:sz w:val="18"/>
          <w:szCs w:val="18"/>
        </w:rPr>
      </w:pPr>
    </w:p>
    <w:p w14:paraId="4A6476C3" w14:textId="77777777" w:rsidR="000C3549" w:rsidRDefault="000C3549" w:rsidP="00BC14AF">
      <w:pPr>
        <w:spacing w:before="0" w:line="276" w:lineRule="auto"/>
        <w:rPr>
          <w:rFonts w:eastAsia="Calibri" w:cs="Times New Roman"/>
          <w:sz w:val="18"/>
          <w:szCs w:val="18"/>
        </w:rPr>
      </w:pPr>
    </w:p>
    <w:p w14:paraId="55341F3A" w14:textId="77777777" w:rsidR="000C3549" w:rsidRDefault="000C3549" w:rsidP="00BC14AF">
      <w:pPr>
        <w:spacing w:before="0" w:line="276" w:lineRule="auto"/>
        <w:rPr>
          <w:rFonts w:eastAsia="Calibri" w:cs="Times New Roman"/>
          <w:sz w:val="18"/>
          <w:szCs w:val="18"/>
        </w:rPr>
      </w:pPr>
    </w:p>
    <w:p w14:paraId="29A6CEC7" w14:textId="77777777" w:rsidR="000C3549" w:rsidRDefault="000C3549" w:rsidP="00BC14AF">
      <w:pPr>
        <w:spacing w:before="0" w:line="276" w:lineRule="auto"/>
        <w:rPr>
          <w:rFonts w:eastAsia="Calibri" w:cs="Times New Roman"/>
          <w:sz w:val="18"/>
          <w:szCs w:val="18"/>
        </w:rPr>
      </w:pPr>
    </w:p>
    <w:p w14:paraId="5B05A593" w14:textId="77777777" w:rsidR="000C3549" w:rsidRDefault="000C3549" w:rsidP="00BC14AF">
      <w:pPr>
        <w:spacing w:before="0" w:line="276" w:lineRule="auto"/>
        <w:rPr>
          <w:rFonts w:eastAsia="Calibri" w:cs="Times New Roman"/>
          <w:sz w:val="18"/>
          <w:szCs w:val="18"/>
        </w:rPr>
      </w:pPr>
    </w:p>
    <w:p w14:paraId="63055392" w14:textId="77777777" w:rsidR="000C3549" w:rsidRDefault="000C3549" w:rsidP="00BC14AF">
      <w:pPr>
        <w:spacing w:before="0" w:line="276" w:lineRule="auto"/>
        <w:rPr>
          <w:rFonts w:eastAsia="Calibri" w:cs="Times New Roman"/>
          <w:sz w:val="18"/>
          <w:szCs w:val="18"/>
        </w:rPr>
      </w:pPr>
    </w:p>
    <w:p w14:paraId="3BD9FB03" w14:textId="77777777" w:rsidR="000C3549" w:rsidRDefault="000C3549" w:rsidP="00BC14AF">
      <w:pPr>
        <w:spacing w:before="0" w:line="276" w:lineRule="auto"/>
        <w:rPr>
          <w:rFonts w:eastAsia="Calibri" w:cs="Times New Roman"/>
          <w:sz w:val="18"/>
          <w:szCs w:val="18"/>
        </w:rPr>
      </w:pPr>
    </w:p>
    <w:p w14:paraId="1AC7BF5E" w14:textId="77777777" w:rsidR="000C3549" w:rsidRDefault="000C3549" w:rsidP="00BC14AF">
      <w:pPr>
        <w:spacing w:before="0" w:line="276" w:lineRule="auto"/>
        <w:rPr>
          <w:rFonts w:eastAsia="Calibri" w:cs="Times New Roman"/>
          <w:sz w:val="18"/>
          <w:szCs w:val="18"/>
        </w:rPr>
      </w:pPr>
    </w:p>
    <w:p w14:paraId="6EC719B3" w14:textId="77777777" w:rsidR="000C3549" w:rsidRDefault="000C3549" w:rsidP="00BC14AF">
      <w:pPr>
        <w:spacing w:before="0" w:line="276" w:lineRule="auto"/>
        <w:rPr>
          <w:rFonts w:eastAsia="Calibri" w:cs="Times New Roman"/>
          <w:sz w:val="18"/>
          <w:szCs w:val="18"/>
        </w:rPr>
      </w:pPr>
    </w:p>
    <w:p w14:paraId="7C8520C5" w14:textId="77777777" w:rsidR="000C3549" w:rsidRDefault="000C3549" w:rsidP="00BC14AF">
      <w:pPr>
        <w:spacing w:before="0" w:line="276" w:lineRule="auto"/>
        <w:rPr>
          <w:rFonts w:eastAsia="Calibri" w:cs="Times New Roman"/>
          <w:sz w:val="18"/>
          <w:szCs w:val="18"/>
        </w:rPr>
      </w:pPr>
    </w:p>
    <w:p w14:paraId="34C8FC2D" w14:textId="77777777" w:rsidR="000C3549" w:rsidRDefault="000C3549" w:rsidP="00BC14AF">
      <w:pPr>
        <w:spacing w:before="0" w:line="276" w:lineRule="auto"/>
        <w:rPr>
          <w:rFonts w:eastAsia="Calibri" w:cs="Times New Roman"/>
          <w:sz w:val="18"/>
          <w:szCs w:val="18"/>
        </w:rPr>
      </w:pPr>
    </w:p>
    <w:p w14:paraId="3062C535" w14:textId="77777777" w:rsidR="000C3549" w:rsidRDefault="000C3549" w:rsidP="00BC14AF">
      <w:pPr>
        <w:spacing w:before="0" w:line="276" w:lineRule="auto"/>
        <w:rPr>
          <w:rFonts w:eastAsia="Calibri" w:cs="Times New Roman"/>
          <w:sz w:val="18"/>
          <w:szCs w:val="18"/>
        </w:rPr>
      </w:pPr>
    </w:p>
    <w:p w14:paraId="65279456" w14:textId="5834507A"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 Commonwealth of Australia 2022</w:t>
      </w:r>
    </w:p>
    <w:p w14:paraId="3A7287E6" w14:textId="77777777" w:rsidR="00BC14AF" w:rsidRPr="00BC14AF" w:rsidRDefault="00BC14AF" w:rsidP="00BC14AF">
      <w:pPr>
        <w:spacing w:before="0" w:line="276" w:lineRule="auto"/>
        <w:rPr>
          <w:rFonts w:eastAsia="Calibri" w:cs="Times New Roman"/>
          <w:b/>
          <w:bCs/>
          <w:sz w:val="18"/>
          <w:szCs w:val="18"/>
        </w:rPr>
      </w:pPr>
      <w:r w:rsidRPr="00BC14AF">
        <w:rPr>
          <w:rFonts w:eastAsia="Calibri" w:cs="Times New Roman"/>
          <w:b/>
          <w:bCs/>
          <w:sz w:val="18"/>
          <w:szCs w:val="18"/>
        </w:rPr>
        <w:t>Ownership of intellectual property rights</w:t>
      </w:r>
    </w:p>
    <w:p w14:paraId="56D46888"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Unless otherwise noted, copyright (and any other intellectual property rights) in this publication is owned by the Commonwealth of Australia (referred to as the Commonwealth).</w:t>
      </w:r>
    </w:p>
    <w:p w14:paraId="2DBB0B6A" w14:textId="77777777" w:rsidR="00BC14AF" w:rsidRPr="00BC14AF" w:rsidRDefault="00BC14AF" w:rsidP="00BC14AF">
      <w:pPr>
        <w:spacing w:before="0" w:line="276" w:lineRule="auto"/>
        <w:rPr>
          <w:rFonts w:eastAsia="Calibri" w:cs="Times New Roman"/>
          <w:b/>
          <w:bCs/>
          <w:sz w:val="18"/>
          <w:szCs w:val="18"/>
        </w:rPr>
      </w:pPr>
      <w:r w:rsidRPr="00BC14AF">
        <w:rPr>
          <w:rFonts w:eastAsia="Calibri" w:cs="Times New Roman"/>
          <w:b/>
          <w:bCs/>
          <w:sz w:val="18"/>
          <w:szCs w:val="18"/>
        </w:rPr>
        <w:t>Creative Commons licence</w:t>
      </w:r>
    </w:p>
    <w:p w14:paraId="7BB1AB75"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 xml:space="preserve">All material in this publication is licensed under a </w:t>
      </w:r>
      <w:hyperlink r:id="rId14" w:history="1">
        <w:r w:rsidRPr="00BC14AF">
          <w:rPr>
            <w:rFonts w:eastAsia="Calibri" w:cs="Times New Roman"/>
            <w:color w:val="0563C1"/>
            <w:sz w:val="18"/>
            <w:szCs w:val="18"/>
            <w:u w:val="single"/>
          </w:rPr>
          <w:t>Creative Commons Attribution 4.0 International Licence</w:t>
        </w:r>
      </w:hyperlink>
      <w:r w:rsidRPr="00BC14AF">
        <w:rPr>
          <w:rFonts w:eastAsia="Calibri" w:cs="Times New Roman"/>
          <w:sz w:val="18"/>
          <w:szCs w:val="18"/>
        </w:rPr>
        <w:t xml:space="preserve"> except content supplied by third parties, logos and the Commonwealth Coat of Arms.</w:t>
      </w:r>
    </w:p>
    <w:p w14:paraId="6A0BB26B"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 xml:space="preserve">Inquiries about the licence and any use of this document should be emailed to </w:t>
      </w:r>
      <w:hyperlink r:id="rId15" w:history="1">
        <w:r w:rsidRPr="00BC14AF">
          <w:rPr>
            <w:rFonts w:eastAsia="Calibri" w:cs="Times New Roman"/>
            <w:color w:val="0563C1"/>
            <w:sz w:val="18"/>
            <w:szCs w:val="18"/>
            <w:u w:val="single"/>
          </w:rPr>
          <w:t>copyright@dcceew.gov.au</w:t>
        </w:r>
      </w:hyperlink>
      <w:r w:rsidRPr="00BC14AF">
        <w:rPr>
          <w:rFonts w:eastAsia="Calibri" w:cs="Times New Roman"/>
          <w:sz w:val="18"/>
          <w:szCs w:val="18"/>
        </w:rPr>
        <w:t>.</w:t>
      </w:r>
    </w:p>
    <w:p w14:paraId="5DC8AA15"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noProof/>
          <w:sz w:val="18"/>
          <w:szCs w:val="18"/>
          <w:lang w:eastAsia="en-AU"/>
        </w:rPr>
        <w:drawing>
          <wp:inline distT="0" distB="0" distL="0" distR="0" wp14:anchorId="531F33D4" wp14:editId="6F1433F0">
            <wp:extent cx="724535" cy="255270"/>
            <wp:effectExtent l="0" t="0" r="0" b="0"/>
            <wp:docPr id="2"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631C117" w14:textId="77777777" w:rsidR="00BC14AF" w:rsidRPr="00BC14AF" w:rsidRDefault="00BC14AF" w:rsidP="00BC14AF">
      <w:pPr>
        <w:spacing w:before="0" w:line="276" w:lineRule="auto"/>
        <w:rPr>
          <w:rFonts w:eastAsia="Calibri" w:cs="Times New Roman"/>
          <w:b/>
          <w:bCs/>
          <w:sz w:val="18"/>
          <w:szCs w:val="18"/>
        </w:rPr>
      </w:pPr>
      <w:r w:rsidRPr="00BC14AF">
        <w:rPr>
          <w:rFonts w:eastAsia="Calibri" w:cs="Times New Roman"/>
          <w:b/>
          <w:bCs/>
          <w:sz w:val="18"/>
          <w:szCs w:val="18"/>
        </w:rPr>
        <w:t>Cataloguing data</w:t>
      </w:r>
    </w:p>
    <w:p w14:paraId="6DC98AE9"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 xml:space="preserve">This publication (and any material sourced from it) should be attributed as: </w:t>
      </w:r>
      <w:r w:rsidRPr="00BB6DFF">
        <w:rPr>
          <w:rFonts w:eastAsia="Calibri" w:cs="Times New Roman"/>
          <w:sz w:val="18"/>
          <w:szCs w:val="18"/>
        </w:rPr>
        <w:t xml:space="preserve">Chubb, I., Bennett, A., Gorring, A., Hatfield-Dodds, S., 2022, </w:t>
      </w:r>
      <w:r w:rsidRPr="00BC14AF">
        <w:rPr>
          <w:rFonts w:eastAsia="Calibri" w:cs="Times New Roman"/>
          <w:i/>
          <w:sz w:val="18"/>
          <w:szCs w:val="18"/>
        </w:rPr>
        <w:t>Independent Review of ACCUs</w:t>
      </w:r>
      <w:r w:rsidRPr="00BC14AF">
        <w:rPr>
          <w:rFonts w:eastAsia="Calibri" w:cs="Times New Roman"/>
          <w:sz w:val="18"/>
          <w:szCs w:val="18"/>
        </w:rPr>
        <w:t>, Department of Climate Change, Energy, the Environment and Water, Canberra, December. CC BY 4.0.</w:t>
      </w:r>
    </w:p>
    <w:p w14:paraId="09B911E1" w14:textId="77777777" w:rsidR="00BC14AF" w:rsidRPr="00BC14AF" w:rsidRDefault="00BC14AF" w:rsidP="00BC14AF">
      <w:pPr>
        <w:spacing w:before="0" w:after="0" w:line="276" w:lineRule="auto"/>
        <w:rPr>
          <w:rFonts w:eastAsia="Calibri" w:cs="Times New Roman"/>
          <w:sz w:val="18"/>
          <w:szCs w:val="18"/>
        </w:rPr>
      </w:pPr>
      <w:r w:rsidRPr="00BC14AF">
        <w:rPr>
          <w:rFonts w:eastAsia="Calibri" w:cs="Times New Roman"/>
          <w:sz w:val="18"/>
          <w:szCs w:val="18"/>
        </w:rPr>
        <w:t>Department of Climate Change, Energy, the Environment and Water</w:t>
      </w:r>
    </w:p>
    <w:p w14:paraId="1BEF9E96" w14:textId="77777777" w:rsidR="00BC14AF" w:rsidRPr="00BC14AF" w:rsidRDefault="00BC14AF" w:rsidP="00BC14AF">
      <w:pPr>
        <w:spacing w:before="0" w:after="0" w:line="276" w:lineRule="auto"/>
        <w:rPr>
          <w:rFonts w:eastAsia="Calibri" w:cs="Times New Roman"/>
          <w:sz w:val="18"/>
          <w:szCs w:val="18"/>
        </w:rPr>
      </w:pPr>
      <w:r w:rsidRPr="00BC14AF">
        <w:rPr>
          <w:rFonts w:eastAsia="Calibri" w:cs="Times New Roman"/>
          <w:sz w:val="18"/>
          <w:szCs w:val="18"/>
        </w:rPr>
        <w:t>GPO Box 3090 Canberra ACT 2601</w:t>
      </w:r>
    </w:p>
    <w:p w14:paraId="52A39CA9" w14:textId="77777777" w:rsidR="00BC14AF" w:rsidRPr="00BC14AF" w:rsidRDefault="00BC14AF" w:rsidP="00BC14AF">
      <w:pPr>
        <w:spacing w:before="0" w:after="0" w:line="276" w:lineRule="auto"/>
        <w:rPr>
          <w:rFonts w:eastAsia="Calibri" w:cs="Times New Roman"/>
          <w:sz w:val="18"/>
          <w:szCs w:val="18"/>
        </w:rPr>
      </w:pPr>
      <w:r w:rsidRPr="00BC14AF">
        <w:rPr>
          <w:rFonts w:eastAsia="Calibri" w:cs="Times New Roman"/>
          <w:sz w:val="18"/>
          <w:szCs w:val="18"/>
        </w:rPr>
        <w:t>Telephone 1800 900 090</w:t>
      </w:r>
    </w:p>
    <w:p w14:paraId="69BDD3C3" w14:textId="77777777" w:rsidR="00BC14AF" w:rsidRPr="00BC14AF" w:rsidRDefault="00BC14AF" w:rsidP="00BC14AF">
      <w:pPr>
        <w:spacing w:before="0" w:line="276" w:lineRule="auto"/>
        <w:rPr>
          <w:rFonts w:eastAsia="Calibri" w:cs="Times New Roman"/>
          <w:sz w:val="18"/>
          <w:szCs w:val="18"/>
        </w:rPr>
      </w:pPr>
      <w:bookmarkStart w:id="1" w:name="_Hlk108621036"/>
      <w:r w:rsidRPr="00BC14AF">
        <w:rPr>
          <w:rFonts w:eastAsia="Calibri" w:cs="Times New Roman"/>
          <w:sz w:val="18"/>
          <w:szCs w:val="18"/>
        </w:rPr>
        <w:t xml:space="preserve">Web </w:t>
      </w:r>
      <w:hyperlink r:id="rId17" w:history="1">
        <w:r w:rsidRPr="00BC14AF">
          <w:rPr>
            <w:rFonts w:eastAsia="Calibri" w:cs="Times New Roman"/>
            <w:color w:val="0563C1"/>
            <w:sz w:val="18"/>
            <w:szCs w:val="18"/>
            <w:u w:val="single"/>
          </w:rPr>
          <w:t>dcceew.gov.au</w:t>
        </w:r>
      </w:hyperlink>
    </w:p>
    <w:bookmarkEnd w:id="1"/>
    <w:p w14:paraId="3271CDE9"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b/>
          <w:bCs/>
          <w:sz w:val="18"/>
          <w:szCs w:val="18"/>
        </w:rPr>
        <w:t>Disclaimer</w:t>
      </w:r>
    </w:p>
    <w:p w14:paraId="52F536F7" w14:textId="77777777" w:rsidR="00BC14AF" w:rsidRPr="00BC14AF" w:rsidRDefault="00BC14AF" w:rsidP="00BC14AF">
      <w:pPr>
        <w:spacing w:before="0" w:line="276" w:lineRule="auto"/>
        <w:rPr>
          <w:rFonts w:eastAsia="Calibri" w:cs="Times New Roman"/>
          <w:sz w:val="18"/>
          <w:szCs w:val="18"/>
        </w:rPr>
      </w:pPr>
      <w:r w:rsidRPr="00BC14AF">
        <w:rPr>
          <w:rFonts w:eastAsia="Calibri" w:cs="Times New Roman"/>
          <w:sz w:val="18"/>
          <w:szCs w:val="18"/>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44A7AF9" w14:textId="77777777" w:rsidR="00BC14AF" w:rsidRPr="00BC14AF" w:rsidRDefault="00BC14AF" w:rsidP="00BC14AF">
      <w:pPr>
        <w:spacing w:before="0" w:line="276" w:lineRule="auto"/>
        <w:rPr>
          <w:rFonts w:eastAsia="Calibri" w:cs="Times New Roman"/>
          <w:b/>
          <w:bCs/>
          <w:sz w:val="18"/>
          <w:szCs w:val="18"/>
        </w:rPr>
      </w:pPr>
      <w:r w:rsidRPr="00BC14AF">
        <w:rPr>
          <w:rFonts w:eastAsia="Calibri" w:cs="Times New Roman"/>
          <w:b/>
          <w:bCs/>
          <w:sz w:val="18"/>
          <w:szCs w:val="18"/>
        </w:rPr>
        <w:t>Acknowledgements</w:t>
      </w:r>
    </w:p>
    <w:p w14:paraId="686CB2BB" w14:textId="029D0EEA" w:rsidR="00F3616B" w:rsidRDefault="00BC14AF" w:rsidP="000C3549">
      <w:pPr>
        <w:spacing w:before="0" w:line="276" w:lineRule="auto"/>
      </w:pPr>
      <w:r w:rsidRPr="00BC14AF">
        <w:rPr>
          <w:rFonts w:eastAsia="Calibri" w:cs="Times New Roman"/>
          <w:sz w:val="18"/>
          <w:szCs w:val="18"/>
        </w:rPr>
        <w:t xml:space="preserve">The Panel thanks interview participants and respondents to the public consultation for their input. Thanks also to </w:t>
      </w:r>
      <w:r w:rsidRPr="00364274">
        <w:rPr>
          <w:rFonts w:eastAsia="Calibri" w:cs="Times New Roman"/>
          <w:sz w:val="18"/>
          <w:szCs w:val="18"/>
        </w:rPr>
        <w:t>Joanne Nathan, Simon Roberts, Alex Cummins and Callum Murison</w:t>
      </w:r>
      <w:r w:rsidRPr="00BC14AF">
        <w:rPr>
          <w:rFonts w:eastAsia="Calibri" w:cs="Times New Roman"/>
          <w:sz w:val="18"/>
          <w:szCs w:val="18"/>
        </w:rPr>
        <w:t xml:space="preserve"> for their support in preparing this report.</w:t>
      </w:r>
      <w:r w:rsidR="00F3616B">
        <w:rPr>
          <w:rFonts w:eastAsia="Calibri" w:cs="Times New Roman"/>
          <w:sz w:val="2"/>
        </w:rPr>
        <w:br w:type="page"/>
      </w:r>
    </w:p>
    <w:p w14:paraId="2D119876" w14:textId="77777777" w:rsidR="00F3616B" w:rsidRDefault="00F3616B" w:rsidP="00F3616B">
      <w:pPr>
        <w:pStyle w:val="Normalsmall"/>
      </w:pPr>
    </w:p>
    <w:p w14:paraId="1712A942" w14:textId="77777777" w:rsidR="00F3616B" w:rsidRDefault="00F3616B" w:rsidP="00F3616B">
      <w:pPr>
        <w:pStyle w:val="Normalsmall"/>
      </w:pPr>
    </w:p>
    <w:p w14:paraId="41F3F9E8" w14:textId="77777777" w:rsidR="00F3616B" w:rsidRDefault="00F3616B" w:rsidP="00F3616B">
      <w:pPr>
        <w:pStyle w:val="Normalsmall"/>
      </w:pPr>
    </w:p>
    <w:p w14:paraId="47C70436" w14:textId="77777777" w:rsidR="00F3616B" w:rsidRDefault="00F3616B" w:rsidP="00F3616B">
      <w:pPr>
        <w:pStyle w:val="Normalsmall"/>
      </w:pPr>
    </w:p>
    <w:p w14:paraId="38F957AC" w14:textId="77777777" w:rsidR="00F3616B" w:rsidRDefault="00F3616B" w:rsidP="00F3616B">
      <w:pPr>
        <w:pStyle w:val="Normalsmall"/>
      </w:pPr>
    </w:p>
    <w:p w14:paraId="50A522F9" w14:textId="77777777" w:rsidR="00F3616B" w:rsidRDefault="00F3616B" w:rsidP="00F3616B">
      <w:pPr>
        <w:pStyle w:val="Normalsmall"/>
      </w:pPr>
    </w:p>
    <w:p w14:paraId="6A3B7ADA" w14:textId="77777777" w:rsidR="00F3616B" w:rsidRDefault="00F3616B" w:rsidP="00F3616B">
      <w:pPr>
        <w:pStyle w:val="Normalsmall"/>
      </w:pPr>
    </w:p>
    <w:p w14:paraId="06E4F995" w14:textId="77777777" w:rsidR="00F3616B" w:rsidRDefault="00F3616B" w:rsidP="00F3616B">
      <w:pPr>
        <w:pStyle w:val="Normalsmall"/>
      </w:pPr>
    </w:p>
    <w:p w14:paraId="19476A53" w14:textId="77777777" w:rsidR="00F3616B" w:rsidRDefault="00F3616B" w:rsidP="00F3616B">
      <w:pPr>
        <w:pStyle w:val="Normalsmall"/>
      </w:pPr>
    </w:p>
    <w:p w14:paraId="63C6B789" w14:textId="77777777" w:rsidR="00F3616B" w:rsidRDefault="00F3616B" w:rsidP="00F3616B">
      <w:pPr>
        <w:pStyle w:val="Normalsmall"/>
      </w:pPr>
    </w:p>
    <w:p w14:paraId="597BE440" w14:textId="77777777" w:rsidR="00F3616B" w:rsidRDefault="00F3616B" w:rsidP="00F3616B">
      <w:pPr>
        <w:pStyle w:val="Normalsmall"/>
      </w:pPr>
    </w:p>
    <w:p w14:paraId="00F05128" w14:textId="77777777" w:rsidR="00F3616B" w:rsidRDefault="00F3616B" w:rsidP="00F3616B">
      <w:pPr>
        <w:pStyle w:val="Normalsmall"/>
      </w:pPr>
    </w:p>
    <w:p w14:paraId="3D1F43D9" w14:textId="77777777" w:rsidR="008F402E" w:rsidRDefault="008F402E" w:rsidP="00F3616B">
      <w:pPr>
        <w:pStyle w:val="Normalsmall"/>
      </w:pPr>
    </w:p>
    <w:p w14:paraId="4EEE5F54" w14:textId="77777777" w:rsidR="00F3616B" w:rsidRDefault="00F3616B" w:rsidP="00F3616B">
      <w:pPr>
        <w:pStyle w:val="Normalsmall"/>
      </w:pPr>
    </w:p>
    <w:p w14:paraId="29CC0933" w14:textId="77777777" w:rsidR="00F3616B" w:rsidRPr="00F3616B" w:rsidRDefault="00F3616B" w:rsidP="00F3616B">
      <w:pPr>
        <w:pStyle w:val="Normalsmall"/>
        <w:rPr>
          <w:sz w:val="24"/>
        </w:rPr>
      </w:pPr>
    </w:p>
    <w:p w14:paraId="3F70F38A" w14:textId="77777777" w:rsidR="008F402E" w:rsidRDefault="00F3616B" w:rsidP="00DF0B43">
      <w:pPr>
        <w:pStyle w:val="IntenseQuote"/>
        <w:jc w:val="center"/>
        <w:rPr>
          <w:i/>
        </w:rPr>
      </w:pPr>
      <w:r>
        <w:rPr>
          <w:i/>
        </w:rPr>
        <w:t>The Panel</w:t>
      </w:r>
      <w:r w:rsidRPr="00F3616B">
        <w:rPr>
          <w:i/>
        </w:rPr>
        <w:t xml:space="preserve"> acknowledge</w:t>
      </w:r>
      <w:r>
        <w:rPr>
          <w:i/>
        </w:rPr>
        <w:t>s</w:t>
      </w:r>
      <w:r w:rsidRPr="00F3616B">
        <w:rPr>
          <w:i/>
        </w:rPr>
        <w:t xml:space="preserve"> the Traditional Custodians of Australia and their continuing connection to land and sea, waters, environment and community. </w:t>
      </w:r>
    </w:p>
    <w:p w14:paraId="4296473C" w14:textId="6B3BCD3F" w:rsidR="00F3616B" w:rsidRPr="00F3616B" w:rsidRDefault="00F3616B" w:rsidP="00DF0B43">
      <w:pPr>
        <w:pStyle w:val="IntenseQuote"/>
        <w:jc w:val="center"/>
        <w:rPr>
          <w:i/>
        </w:rPr>
      </w:pPr>
      <w:r w:rsidRPr="00F3616B">
        <w:rPr>
          <w:i/>
        </w:rPr>
        <w:t>We pay our respects to the Traditional Custodians of the lands we live and work on, their culture, and their Elders past and present.</w:t>
      </w:r>
    </w:p>
    <w:p w14:paraId="7BA2BE94" w14:textId="77777777" w:rsidR="00F3616B" w:rsidRPr="00BC14AF" w:rsidRDefault="00F3616B" w:rsidP="00BC14AF">
      <w:pPr>
        <w:spacing w:before="0" w:line="276" w:lineRule="auto"/>
        <w:rPr>
          <w:rFonts w:eastAsia="Calibri" w:cs="Times New Roman"/>
          <w:sz w:val="18"/>
          <w:szCs w:val="18"/>
        </w:rPr>
      </w:pPr>
    </w:p>
    <w:p w14:paraId="6B450D61" w14:textId="77777777" w:rsidR="00BC14AF" w:rsidRPr="00BC14AF" w:rsidRDefault="00BC14AF" w:rsidP="00BC14AF">
      <w:pPr>
        <w:spacing w:before="0" w:after="160" w:line="259" w:lineRule="auto"/>
        <w:rPr>
          <w:rFonts w:eastAsia="Calibri" w:cs="Times New Roman"/>
        </w:rPr>
      </w:pPr>
      <w:r w:rsidRPr="00BC14AF">
        <w:rPr>
          <w:rFonts w:eastAsia="Calibri" w:cs="Times New Roman"/>
          <w:b/>
          <w:bCs/>
          <w:color w:val="1F497D"/>
          <w:sz w:val="25"/>
          <w:szCs w:val="25"/>
        </w:rPr>
        <w:br w:type="page"/>
      </w:r>
    </w:p>
    <w:p w14:paraId="154AD4D0" w14:textId="77777777" w:rsidR="00E077F4" w:rsidRDefault="00E077F4" w:rsidP="004A1FD9">
      <w:pPr>
        <w:pStyle w:val="Heading1"/>
        <w:jc w:val="center"/>
        <w:rPr>
          <w:rFonts w:eastAsia="Calibri"/>
          <w:color w:val="auto"/>
        </w:rPr>
        <w:sectPr w:rsidR="00E077F4" w:rsidSect="000C3549">
          <w:pgSz w:w="11906" w:h="16838"/>
          <w:pgMar w:top="1440" w:right="1440" w:bottom="1440" w:left="1440" w:header="0" w:footer="0" w:gutter="0"/>
          <w:pgNumType w:fmt="lowerRoman"/>
          <w:cols w:space="708"/>
          <w:titlePg/>
          <w:docGrid w:linePitch="360"/>
        </w:sectPr>
      </w:pPr>
      <w:bookmarkStart w:id="2" w:name="_Toc122339740"/>
      <w:bookmarkStart w:id="3" w:name="_Toc122348026"/>
    </w:p>
    <w:p w14:paraId="0B826885" w14:textId="77777777" w:rsidR="004A1FD9" w:rsidRPr="00C5410C" w:rsidRDefault="004A1FD9" w:rsidP="004A1FD9">
      <w:pPr>
        <w:pStyle w:val="Heading1"/>
        <w:jc w:val="center"/>
        <w:rPr>
          <w:rFonts w:eastAsia="Calibri"/>
          <w:color w:val="auto"/>
        </w:rPr>
      </w:pPr>
      <w:bookmarkStart w:id="4" w:name="_Toc122359792"/>
      <w:bookmarkStart w:id="5" w:name="_Toc122360773"/>
      <w:bookmarkStart w:id="6" w:name="_Toc122522991"/>
      <w:r w:rsidRPr="00C5410C">
        <w:rPr>
          <w:rFonts w:eastAsia="Calibri"/>
          <w:color w:val="auto"/>
        </w:rPr>
        <w:lastRenderedPageBreak/>
        <w:t>Foreword</w:t>
      </w:r>
      <w:bookmarkEnd w:id="2"/>
      <w:bookmarkEnd w:id="3"/>
      <w:bookmarkEnd w:id="4"/>
      <w:bookmarkEnd w:id="5"/>
      <w:bookmarkEnd w:id="6"/>
    </w:p>
    <w:p w14:paraId="24F06287" w14:textId="77777777" w:rsidR="004A1FD9" w:rsidRPr="00C5410C" w:rsidRDefault="004A1FD9" w:rsidP="004A1FD9">
      <w:pPr>
        <w:pStyle w:val="StyleNormalBody"/>
        <w:jc w:val="center"/>
        <w:rPr>
          <w:rStyle w:val="IntenseEmphasis"/>
          <w:b/>
          <w:bCs/>
          <w:color w:val="auto"/>
          <w:sz w:val="25"/>
          <w:szCs w:val="25"/>
        </w:rPr>
      </w:pPr>
      <w:r w:rsidRPr="00C5410C">
        <w:rPr>
          <w:rStyle w:val="IntenseEmphasis"/>
          <w:b/>
          <w:bCs/>
          <w:color w:val="auto"/>
          <w:sz w:val="25"/>
          <w:szCs w:val="25"/>
        </w:rPr>
        <w:t>The Australian Carbon Credit Unit (ACCU) Scheme: A Review</w:t>
      </w:r>
    </w:p>
    <w:p w14:paraId="35008EF7" w14:textId="77777777" w:rsidR="004A1FD9" w:rsidRPr="00201FFD" w:rsidRDefault="004A1FD9" w:rsidP="004A1FD9">
      <w:pPr>
        <w:pStyle w:val="StyleNormalBody"/>
      </w:pPr>
      <w:r w:rsidRPr="00201FFD">
        <w:t xml:space="preserve">This report follows a review of an Australian </w:t>
      </w:r>
      <w:r>
        <w:t>s</w:t>
      </w:r>
      <w:r w:rsidRPr="00201FFD">
        <w:t xml:space="preserve">cheme designed to mitigate our contribution to greenhouse gas induced climate change: the Australian Carbon Credit Unit (ACCU) </w:t>
      </w:r>
      <w:r>
        <w:t>s</w:t>
      </w:r>
      <w:r w:rsidRPr="00201FFD">
        <w:t xml:space="preserve">cheme. </w:t>
      </w:r>
    </w:p>
    <w:p w14:paraId="71795CDD" w14:textId="77777777" w:rsidR="004A1FD9" w:rsidRPr="00201FFD" w:rsidRDefault="004A1FD9" w:rsidP="00E01555">
      <w:pPr>
        <w:autoSpaceDE w:val="0"/>
        <w:autoSpaceDN w:val="0"/>
        <w:adjustRightInd w:val="0"/>
        <w:spacing w:before="0" w:line="257" w:lineRule="auto"/>
        <w:rPr>
          <w:rFonts w:eastAsia="Calibri" w:cs="Calibri"/>
          <w:b/>
          <w:bCs/>
        </w:rPr>
      </w:pPr>
      <w:r w:rsidRPr="00201FFD">
        <w:rPr>
          <w:rFonts w:eastAsia="Calibri" w:cs="Calibri"/>
          <w:b/>
          <w:bCs/>
        </w:rPr>
        <w:t>The Australian approach.</w:t>
      </w:r>
    </w:p>
    <w:p w14:paraId="57EC80E5" w14:textId="77777777" w:rsidR="004A1FD9" w:rsidRPr="00201FFD" w:rsidRDefault="004A1FD9" w:rsidP="004A1FD9">
      <w:pPr>
        <w:pStyle w:val="StyleNormalBody"/>
      </w:pPr>
      <w:r>
        <w:t xml:space="preserve">The Australian Carbon Credit Unit (ACCU) scheme was established in 2011 by the passing of </w:t>
      </w:r>
      <w:r w:rsidRPr="00201FFD">
        <w:rPr>
          <w:i/>
          <w:iCs/>
        </w:rPr>
        <w:t>Carbon Credits (Carbon Farming Initiative) Act</w:t>
      </w:r>
      <w:r w:rsidRPr="00201FFD">
        <w:t xml:space="preserve"> </w:t>
      </w:r>
      <w:r w:rsidRPr="0022562E">
        <w:rPr>
          <w:i/>
        </w:rPr>
        <w:t>2011</w:t>
      </w:r>
      <w:r>
        <w:t xml:space="preserve"> </w:t>
      </w:r>
      <w:r w:rsidRPr="00201FFD">
        <w:t>(CFI Act).</w:t>
      </w:r>
    </w:p>
    <w:p w14:paraId="2708B2E9" w14:textId="77777777" w:rsidR="002F20A0" w:rsidRDefault="004A1FD9" w:rsidP="004A1FD9">
      <w:pPr>
        <w:pStyle w:val="StyleNormalBody"/>
      </w:pPr>
      <w:r w:rsidRPr="00201FFD">
        <w:t xml:space="preserve">Schemes such as the ACCU </w:t>
      </w:r>
      <w:r>
        <w:t>s</w:t>
      </w:r>
      <w:r w:rsidRPr="00201FFD">
        <w:t>cheme (and its international companions) are important in efforts to limit global warming to sustainable levels: they incentivise projects that draw down greenhouse gases (GHGs), principally carbon dioxide (CO</w:t>
      </w:r>
      <w:r w:rsidRPr="00201FFD">
        <w:rPr>
          <w:vertAlign w:val="subscript"/>
        </w:rPr>
        <w:t>2</w:t>
      </w:r>
      <w:r w:rsidRPr="00201FFD">
        <w:t>), from the atmosphere, and aim to avoid emissions of major GHGs – CO</w:t>
      </w:r>
      <w:r w:rsidRPr="00201FFD">
        <w:rPr>
          <w:vertAlign w:val="subscript"/>
        </w:rPr>
        <w:t>2</w:t>
      </w:r>
      <w:r w:rsidRPr="00201FFD">
        <w:t>, methane and nitrous oxide</w:t>
      </w:r>
      <w:r w:rsidRPr="00201FFD">
        <w:rPr>
          <w:vertAlign w:val="superscript"/>
        </w:rPr>
        <w:footnoteReference w:id="2"/>
      </w:r>
      <w:r w:rsidRPr="00201FFD">
        <w:t xml:space="preserve">. </w:t>
      </w:r>
    </w:p>
    <w:p w14:paraId="2719BFB6" w14:textId="13C46CC3" w:rsidR="004A1FD9" w:rsidRPr="00201FFD" w:rsidRDefault="004A1FD9" w:rsidP="004A1FD9">
      <w:pPr>
        <w:pStyle w:val="StyleNormalBody"/>
      </w:pPr>
      <w:r w:rsidRPr="00201FFD">
        <w:rPr>
          <w:color w:val="000000"/>
        </w:rPr>
        <w:t>Some proportion of the CO</w:t>
      </w:r>
      <w:r w:rsidRPr="00201FFD">
        <w:rPr>
          <w:color w:val="000000"/>
          <w:vertAlign w:val="subscript"/>
        </w:rPr>
        <w:t>2</w:t>
      </w:r>
      <w:r w:rsidRPr="00201FFD">
        <w:rPr>
          <w:color w:val="000000"/>
        </w:rPr>
        <w:t xml:space="preserve"> may balance (offset) present and future emissions, while also removing CO</w:t>
      </w:r>
      <w:r w:rsidRPr="00201FFD">
        <w:rPr>
          <w:color w:val="000000"/>
          <w:vertAlign w:val="subscript"/>
        </w:rPr>
        <w:t>2</w:t>
      </w:r>
      <w:r w:rsidRPr="00201FFD">
        <w:rPr>
          <w:color w:val="000000"/>
        </w:rPr>
        <w:t xml:space="preserve"> emitted in the past. </w:t>
      </w:r>
    </w:p>
    <w:p w14:paraId="21DC7FE3" w14:textId="77777777" w:rsidR="004A1FD9" w:rsidRPr="00201FFD" w:rsidRDefault="004A1FD9" w:rsidP="004A1FD9">
      <w:pPr>
        <w:pStyle w:val="StyleNormalBody"/>
        <w:rPr>
          <w:rFonts w:eastAsia="MS Gothic"/>
          <w:color w:val="000000"/>
        </w:rPr>
      </w:pPr>
      <w:r w:rsidRPr="00201FFD">
        <w:rPr>
          <w:color w:val="000000"/>
        </w:rPr>
        <w:t>In 2022, the Australian Government legislated targets of a minimum 43% reduction in GHG emissions by 2030 (based on 2005 levels), and ‘net zero’ emissions by 2050.</w:t>
      </w:r>
    </w:p>
    <w:p w14:paraId="2322E7FB" w14:textId="77777777" w:rsidR="004A1FD9" w:rsidRPr="00201FFD" w:rsidRDefault="004A1FD9" w:rsidP="004A1FD9">
      <w:pPr>
        <w:pStyle w:val="StyleNormalBody"/>
        <w:rPr>
          <w:rFonts w:eastAsia="MS Gothic"/>
          <w:color w:val="000000"/>
        </w:rPr>
      </w:pPr>
      <w:r w:rsidRPr="00201FFD">
        <w:rPr>
          <w:rFonts w:eastAsia="MS Gothic"/>
          <w:color w:val="000000"/>
        </w:rPr>
        <w:t>It is planned to meet the targets using a combination of policies including the CFI Act and the revised 'Safeguard Mechanism' which will set caps to limit the emissions from Australia's largest GHG emitters, with the cap gradually lowered.</w:t>
      </w:r>
    </w:p>
    <w:p w14:paraId="0D2A4AB9" w14:textId="77777777" w:rsidR="004A1FD9" w:rsidRPr="00FE170F" w:rsidRDefault="004A1FD9" w:rsidP="00E01555">
      <w:pPr>
        <w:autoSpaceDE w:val="0"/>
        <w:autoSpaceDN w:val="0"/>
        <w:adjustRightInd w:val="0"/>
        <w:spacing w:before="0" w:line="257" w:lineRule="auto"/>
        <w:rPr>
          <w:rFonts w:eastAsia="Calibri" w:cs="Calibri"/>
          <w:b/>
          <w:bCs/>
        </w:rPr>
      </w:pPr>
      <w:r w:rsidRPr="00FE170F">
        <w:rPr>
          <w:rFonts w:eastAsia="Calibri" w:cs="Calibri"/>
          <w:b/>
          <w:bCs/>
        </w:rPr>
        <w:t>Carbon dioxide drawdown.</w:t>
      </w:r>
    </w:p>
    <w:p w14:paraId="2A815A13" w14:textId="77777777" w:rsidR="004A1FD9" w:rsidRPr="00FE170F" w:rsidRDefault="004A1FD9" w:rsidP="004A1FD9">
      <w:pPr>
        <w:autoSpaceDE w:val="0"/>
        <w:autoSpaceDN w:val="0"/>
        <w:adjustRightInd w:val="0"/>
        <w:spacing w:before="0" w:after="160" w:line="257" w:lineRule="auto"/>
        <w:rPr>
          <w:rFonts w:eastAsia="Calibri" w:cs="Calibri"/>
          <w:i/>
          <w:iCs/>
        </w:rPr>
      </w:pPr>
      <w:r w:rsidRPr="00FE170F">
        <w:rPr>
          <w:rFonts w:eastAsia="Calibri" w:cs="Calibri"/>
          <w:i/>
          <w:iCs/>
        </w:rPr>
        <w:t>Drawdown, emissions reduction, offsets.</w:t>
      </w:r>
    </w:p>
    <w:p w14:paraId="3F694D97" w14:textId="77777777" w:rsidR="004A1FD9" w:rsidRPr="00201FFD" w:rsidRDefault="004A1FD9" w:rsidP="004A1FD9">
      <w:pPr>
        <w:pStyle w:val="StyleNormalBody"/>
      </w:pPr>
      <w:r w:rsidRPr="00201FFD">
        <w:t xml:space="preserve">These are not alternatives.  They are complementary elements of a strategy to moderate global warming. </w:t>
      </w:r>
    </w:p>
    <w:p w14:paraId="45D266A8" w14:textId="77777777" w:rsidR="004A1FD9" w:rsidRPr="00201FFD" w:rsidRDefault="004A1FD9" w:rsidP="004A1FD9">
      <w:pPr>
        <w:pStyle w:val="StyleNormalBody"/>
        <w:rPr>
          <w:b/>
          <w:bCs/>
        </w:rPr>
      </w:pPr>
      <w:r w:rsidRPr="00201FFD">
        <w:t xml:space="preserve">While GHG emissions must be reduced or eliminated wherever they can be, it is unlikely that every emitter will be at zero by 2050.  Indeed, even if close to zero, some may never get there because we collectively want or need what their continuing emissions provide. The social and economic consequences of trying to eliminate all emissions everywhere should not be underestimated. </w:t>
      </w:r>
    </w:p>
    <w:p w14:paraId="33B91BD7" w14:textId="77777777" w:rsidR="004A1FD9" w:rsidRPr="00201FFD" w:rsidRDefault="004A1FD9" w:rsidP="004A1FD9">
      <w:pPr>
        <w:pStyle w:val="StyleNormalBody"/>
      </w:pPr>
      <w:r w:rsidRPr="00201FFD">
        <w:t>While the need not just to reduce, but actually to stop, global emissions is unarguable, it is clear that removing significant amounts of CO</w:t>
      </w:r>
      <w:r w:rsidRPr="00201FFD">
        <w:rPr>
          <w:vertAlign w:val="subscript"/>
        </w:rPr>
        <w:t>2</w:t>
      </w:r>
      <w:r w:rsidRPr="00201FFD">
        <w:t xml:space="preserve"> already emitted into the atmosphere is essential if global heating is to be controlled. </w:t>
      </w:r>
    </w:p>
    <w:p w14:paraId="5F6DD4A8" w14:textId="77777777" w:rsidR="004A1FD9" w:rsidRDefault="004A1FD9" w:rsidP="004A1FD9">
      <w:pPr>
        <w:pStyle w:val="StyleNormalBody"/>
        <w:rPr>
          <w:i/>
        </w:rPr>
      </w:pPr>
      <w:r w:rsidRPr="00201FFD">
        <w:t xml:space="preserve">The Intergovernmental Panel on Climate Change (IPCC) (2018) reported: </w:t>
      </w:r>
      <w:r w:rsidRPr="0022562E">
        <w:rPr>
          <w:i/>
        </w:rPr>
        <w:t>All pathways that limit global warming to 1.5°C with limited or no overshoot project the use of carbon dioxide removal (CDR) in the order of 100 –1000 Gt CO</w:t>
      </w:r>
      <w:r w:rsidRPr="0022562E">
        <w:rPr>
          <w:i/>
          <w:vertAlign w:val="subscript"/>
        </w:rPr>
        <w:t>2</w:t>
      </w:r>
      <w:r w:rsidRPr="0022562E">
        <w:rPr>
          <w:i/>
        </w:rPr>
        <w:t xml:space="preserve"> over the 21st century. CDR would be used to compensate for residual emissions and, in most cases, achieve net negative emissions to return global warming to 1.5°C following a peak.</w:t>
      </w:r>
    </w:p>
    <w:p w14:paraId="13840ACC" w14:textId="77777777" w:rsidR="004A1FD9" w:rsidRPr="00FE170F" w:rsidRDefault="004A1FD9" w:rsidP="004A1FD9">
      <w:pPr>
        <w:pStyle w:val="StyleNormalBody"/>
        <w:rPr>
          <w:i/>
        </w:rPr>
      </w:pPr>
      <w:r w:rsidRPr="00C77217">
        <w:rPr>
          <w:rFonts w:eastAsia="Calibri" w:cs="Calibri"/>
          <w:bCs/>
        </w:rPr>
        <w:lastRenderedPageBreak/>
        <w:t>In a later IPCC report (2021), the panel stated:</w:t>
      </w:r>
      <w:r w:rsidRPr="00201FFD">
        <w:rPr>
          <w:rFonts w:eastAsia="Times New Roman" w:cs="Calibri"/>
          <w:b/>
          <w:bCs/>
          <w:i/>
          <w:iCs/>
          <w:lang w:eastAsia="en-AU"/>
        </w:rPr>
        <w:t xml:space="preserve"> </w:t>
      </w:r>
      <w:r w:rsidRPr="00201FFD">
        <w:rPr>
          <w:rFonts w:eastAsia="Times New Roman" w:cs="Calibri"/>
          <w:i/>
          <w:iCs/>
          <w:lang w:eastAsia="en-AU"/>
        </w:rPr>
        <w:t>Affordable and environmentally and socially acceptable CDR options at scale well before 2050 are an important element of 1.5°C-consistent pathways</w:t>
      </w:r>
      <w:r w:rsidRPr="00201FFD">
        <w:rPr>
          <w:rFonts w:eastAsia="Times New Roman" w:cs="Calibri"/>
          <w:lang w:eastAsia="en-AU"/>
        </w:rPr>
        <w:t>)</w:t>
      </w:r>
      <w:r w:rsidRPr="00201FFD">
        <w:rPr>
          <w:rFonts w:eastAsia="Times New Roman" w:cs="Calibri"/>
          <w:vertAlign w:val="superscript"/>
          <w:lang w:eastAsia="en-AU"/>
        </w:rPr>
        <w:footnoteReference w:id="3"/>
      </w:r>
      <w:r w:rsidRPr="00201FFD">
        <w:rPr>
          <w:rFonts w:eastAsia="Times New Roman" w:cs="Calibri"/>
          <w:lang w:eastAsia="en-AU"/>
        </w:rPr>
        <w:t>.</w:t>
      </w:r>
      <w:r w:rsidRPr="00201FFD">
        <w:rPr>
          <w:rFonts w:eastAsia="Times New Roman" w:cs="Calibri"/>
          <w:i/>
          <w:iCs/>
          <w:lang w:eastAsia="en-AU"/>
        </w:rPr>
        <w:t> </w:t>
      </w:r>
      <w:r w:rsidRPr="00201FFD">
        <w:rPr>
          <w:rFonts w:eastAsia="Times New Roman" w:cs="Calibri"/>
          <w:lang w:eastAsia="en-AU"/>
        </w:rPr>
        <w:t> </w:t>
      </w:r>
    </w:p>
    <w:p w14:paraId="4B9EFED0" w14:textId="26EA9286" w:rsidR="004A1FD9" w:rsidRPr="00201FFD" w:rsidRDefault="004A1FD9" w:rsidP="004A1FD9">
      <w:pPr>
        <w:pStyle w:val="StyleNormalBody"/>
      </w:pPr>
      <w:r w:rsidRPr="00201FFD">
        <w:t>Depending on when the world ‘stops’ emitting CO</w:t>
      </w:r>
      <w:r w:rsidRPr="00201FFD">
        <w:rPr>
          <w:vertAlign w:val="subscript"/>
        </w:rPr>
        <w:t>2</w:t>
      </w:r>
      <w:r w:rsidRPr="00201FFD">
        <w:t xml:space="preserve">, its concentration in the atmosphere will be something higher than the present ~420 parts per million – higher than at any time in the last million </w:t>
      </w:r>
      <w:r w:rsidR="00C77217">
        <w:t xml:space="preserve">or so </w:t>
      </w:r>
      <w:r w:rsidRPr="00201FFD">
        <w:t>years. That concentration is enough to take the global average temperature to ‘a peak’ above 1.5ºC before it drops back as the natural sinks reduce the atmospheric CO</w:t>
      </w:r>
      <w:r w:rsidRPr="00201FFD">
        <w:rPr>
          <w:vertAlign w:val="subscript"/>
        </w:rPr>
        <w:t xml:space="preserve">2 – </w:t>
      </w:r>
      <w:r w:rsidRPr="00201FFD">
        <w:t>which in the case of the oceans, at least, will be at a cost to their own ecological integrity.</w:t>
      </w:r>
    </w:p>
    <w:p w14:paraId="2DA24F13" w14:textId="77777777" w:rsidR="004A1FD9" w:rsidRPr="00201FFD" w:rsidRDefault="004A1FD9" w:rsidP="004A1FD9">
      <w:pPr>
        <w:pStyle w:val="StyleNormalBody"/>
      </w:pPr>
      <w:r w:rsidRPr="00201FFD">
        <w:t xml:space="preserve">After experimentation and speculation for decades, the only pathway known to science that has the </w:t>
      </w:r>
      <w:r w:rsidRPr="00201FFD">
        <w:rPr>
          <w:i/>
          <w:iCs/>
        </w:rPr>
        <w:t>immediate</w:t>
      </w:r>
      <w:r w:rsidRPr="00201FFD">
        <w:t xml:space="preserve"> capacity to remove GHG (CO</w:t>
      </w:r>
      <w:r w:rsidRPr="00201FFD">
        <w:rPr>
          <w:vertAlign w:val="subscript"/>
        </w:rPr>
        <w:t>2</w:t>
      </w:r>
      <w:r w:rsidRPr="00201FFD">
        <w:t xml:space="preserve">) from the atmosphere </w:t>
      </w:r>
      <w:r w:rsidRPr="00201FFD">
        <w:rPr>
          <w:i/>
          <w:iCs/>
        </w:rPr>
        <w:t>at scale</w:t>
      </w:r>
      <w:r w:rsidRPr="00201FFD">
        <w:t xml:space="preserve"> is photosynthesis: the mechanism by which plants and some other organisms use light, CO</w:t>
      </w:r>
      <w:r w:rsidRPr="00201FFD">
        <w:rPr>
          <w:vertAlign w:val="subscript"/>
        </w:rPr>
        <w:t>2</w:t>
      </w:r>
      <w:r w:rsidRPr="00201FFD">
        <w:t xml:space="preserve"> and water to create energy (stored as sugars) to fuel cellular activity and growth.  </w:t>
      </w:r>
    </w:p>
    <w:p w14:paraId="46C059C1" w14:textId="255F7851" w:rsidR="004A1FD9" w:rsidRPr="00201FFD" w:rsidRDefault="004A1FD9" w:rsidP="004A1FD9">
      <w:pPr>
        <w:pStyle w:val="StyleNormalBody"/>
      </w:pPr>
      <w:r w:rsidRPr="00201FFD">
        <w:t xml:space="preserve">Science and technology may well develop effective and scalable options to meet the twin challenges of GHG removal and secure long-term (millennial) storage. But to start </w:t>
      </w:r>
      <w:r w:rsidRPr="00201FFD">
        <w:rPr>
          <w:i/>
          <w:iCs/>
        </w:rPr>
        <w:t>at scale well before 2050</w:t>
      </w:r>
      <w:r w:rsidRPr="00201FFD">
        <w:t>, the land sector will have to carry much of the immediate load</w:t>
      </w:r>
      <w:r w:rsidR="007621F9">
        <w:t>, starting now</w:t>
      </w:r>
      <w:r w:rsidRPr="00201FFD">
        <w:t xml:space="preserve">. </w:t>
      </w:r>
    </w:p>
    <w:p w14:paraId="5C401063" w14:textId="77777777" w:rsidR="004A1FD9" w:rsidRPr="0013632B" w:rsidRDefault="004A1FD9" w:rsidP="00E01555">
      <w:pPr>
        <w:autoSpaceDE w:val="0"/>
        <w:autoSpaceDN w:val="0"/>
        <w:adjustRightInd w:val="0"/>
        <w:spacing w:before="0" w:line="257" w:lineRule="auto"/>
        <w:rPr>
          <w:rFonts w:eastAsia="Calibri" w:cs="Calibri"/>
          <w:b/>
          <w:bCs/>
        </w:rPr>
      </w:pPr>
      <w:r w:rsidRPr="0013632B">
        <w:rPr>
          <w:rFonts w:eastAsia="Calibri" w:cs="Calibri"/>
          <w:b/>
          <w:bCs/>
        </w:rPr>
        <w:t>Confidence in the Australian scheme.</w:t>
      </w:r>
    </w:p>
    <w:p w14:paraId="20C1868D" w14:textId="77777777" w:rsidR="004A1FD9" w:rsidRPr="00201FFD" w:rsidRDefault="004A1FD9" w:rsidP="004A1FD9">
      <w:pPr>
        <w:pStyle w:val="StyleNormalBody"/>
      </w:pPr>
      <w:r w:rsidRPr="00201FFD">
        <w:t xml:space="preserve">The </w:t>
      </w:r>
      <w:r>
        <w:t>scheme</w:t>
      </w:r>
      <w:r w:rsidRPr="00201FFD">
        <w:t xml:space="preserve"> will deliver the anticipated benefits only if abatement is real. </w:t>
      </w:r>
    </w:p>
    <w:p w14:paraId="3B5387DE" w14:textId="77777777" w:rsidR="004A1FD9" w:rsidRPr="00201FFD" w:rsidRDefault="004A1FD9" w:rsidP="004A1FD9">
      <w:pPr>
        <w:pStyle w:val="StyleNormalBody"/>
      </w:pPr>
      <w:r w:rsidRPr="00201FFD">
        <w:t>The process from beginning to end must give confidence to all participants, and the Australian community presently paying for it, that there is real CO</w:t>
      </w:r>
      <w:r w:rsidRPr="00201FFD">
        <w:rPr>
          <w:vertAlign w:val="subscript"/>
        </w:rPr>
        <w:t>2</w:t>
      </w:r>
      <w:r w:rsidRPr="00201FFD">
        <w:t xml:space="preserve"> abatement - a ‘public good’ worth paying for. </w:t>
      </w:r>
    </w:p>
    <w:p w14:paraId="0E9035C7" w14:textId="77777777" w:rsidR="004A1FD9" w:rsidRPr="00201FFD" w:rsidRDefault="004A1FD9" w:rsidP="004A1FD9">
      <w:pPr>
        <w:pStyle w:val="StyleNormalBody"/>
      </w:pPr>
      <w:r w:rsidRPr="00201FFD">
        <w:t xml:space="preserve">Much has been learnt in the years following the introduction of the scheme. We as a review team were fortunate to be able to take the learnings into account in this review. </w:t>
      </w:r>
    </w:p>
    <w:p w14:paraId="4D6BDCDF" w14:textId="77777777" w:rsidR="004A1FD9" w:rsidRPr="00201FFD" w:rsidRDefault="004A1FD9" w:rsidP="004A1FD9">
      <w:pPr>
        <w:pStyle w:val="StyleNormalBody"/>
      </w:pPr>
      <w:r w:rsidRPr="00201FFD">
        <w:t xml:space="preserve">The scheme must have integrity. Therefore, it must be carefully designed, rigorous, independently appraised, monitored, transparent, continuously improved, and fair to all parties. </w:t>
      </w:r>
    </w:p>
    <w:p w14:paraId="3E053F16" w14:textId="77777777" w:rsidR="004A1FD9" w:rsidRPr="00201FFD" w:rsidRDefault="004A1FD9" w:rsidP="004A1FD9">
      <w:pPr>
        <w:pStyle w:val="StyleNormalBody"/>
      </w:pPr>
      <w:r w:rsidRPr="00201FFD">
        <w:t xml:space="preserve">Even when most ACCUs are eventually traded in the open market, the need for regulation and assurance of ACCUs should continue as a government responsibility. </w:t>
      </w:r>
    </w:p>
    <w:p w14:paraId="6A52144B" w14:textId="77777777" w:rsidR="004A1FD9" w:rsidRPr="00201FFD" w:rsidRDefault="004A1FD9" w:rsidP="004A1FD9">
      <w:pPr>
        <w:pStyle w:val="StyleNormalBody"/>
      </w:pPr>
      <w:r w:rsidRPr="00201FFD">
        <w:t xml:space="preserve">Community acceptance of the scheme is likely to be more widespread if benefits flow not just to the individual landholders, or companies. Local employment and services, enhanced land management, and resilience to climate change, are co-benefits that extend beyond carbon abatement and serve to encourage growth of the program. </w:t>
      </w:r>
    </w:p>
    <w:p w14:paraId="69E17143" w14:textId="77777777" w:rsidR="004A1FD9" w:rsidRPr="0013632B" w:rsidRDefault="004A1FD9" w:rsidP="00E01555">
      <w:pPr>
        <w:autoSpaceDE w:val="0"/>
        <w:autoSpaceDN w:val="0"/>
        <w:adjustRightInd w:val="0"/>
        <w:spacing w:before="0" w:line="257" w:lineRule="auto"/>
        <w:rPr>
          <w:rFonts w:eastAsia="Calibri" w:cs="Calibri"/>
          <w:b/>
          <w:bCs/>
        </w:rPr>
      </w:pPr>
      <w:r w:rsidRPr="0013632B">
        <w:rPr>
          <w:rFonts w:eastAsia="Calibri" w:cs="Calibri"/>
          <w:b/>
          <w:bCs/>
        </w:rPr>
        <w:t>Conclusion.</w:t>
      </w:r>
    </w:p>
    <w:p w14:paraId="08C30663" w14:textId="77777777" w:rsidR="004A1FD9" w:rsidRPr="00FE170F" w:rsidRDefault="004A1FD9" w:rsidP="004A1FD9">
      <w:pPr>
        <w:pStyle w:val="StyleNormalBody"/>
      </w:pPr>
      <w:r w:rsidRPr="00FE170F">
        <w:t xml:space="preserve">The purpose of this review is to ensure that the carbon crediting framework has integrity and that it warrants a strong and credible reputation. </w:t>
      </w:r>
    </w:p>
    <w:p w14:paraId="3CD8BEC9" w14:textId="6CCA2900" w:rsidR="004A1FD9" w:rsidRPr="00FE170F" w:rsidRDefault="004A1FD9" w:rsidP="004A1FD9">
      <w:pPr>
        <w:pStyle w:val="StyleNormalBody"/>
      </w:pPr>
      <w:r w:rsidRPr="00FE170F">
        <w:t xml:space="preserve">The more effective and accessible we can make the scheme, the more it enhances the sustainability of our land, the more demonstrable the benefits, the more people who actively engage, the more we reduce our negative impact on the planet, the more we can showcase what can be done when incentives combine to encourage well-designed and cost-effective action –the better off we will all be. </w:t>
      </w:r>
      <w:r w:rsidR="00C77217">
        <w:t>And that is worth the effort.</w:t>
      </w:r>
      <w:r w:rsidRPr="00FE170F">
        <w:t xml:space="preserve"> </w:t>
      </w:r>
    </w:p>
    <w:p w14:paraId="621BEF0C" w14:textId="77777777" w:rsidR="004A1FD9" w:rsidRPr="00201FFD" w:rsidRDefault="004A1FD9" w:rsidP="00E01555">
      <w:pPr>
        <w:pStyle w:val="StyleNormalBody"/>
        <w:spacing w:after="120"/>
      </w:pPr>
      <w:r w:rsidRPr="00201FFD">
        <w:t>IW Chubb AC FAA FTSE</w:t>
      </w:r>
    </w:p>
    <w:p w14:paraId="2ABEFDAD" w14:textId="00F140E4" w:rsidR="00201FFD" w:rsidRPr="00201FFD" w:rsidRDefault="00201FFD" w:rsidP="00E01555">
      <w:pPr>
        <w:autoSpaceDE w:val="0"/>
        <w:autoSpaceDN w:val="0"/>
        <w:adjustRightInd w:val="0"/>
        <w:spacing w:before="0" w:after="0" w:line="256" w:lineRule="auto"/>
        <w:rPr>
          <w:rFonts w:eastAsia="Calibri" w:cs="Times New Roman"/>
          <w:b/>
          <w:bCs/>
          <w:color w:val="1F497D"/>
          <w:sz w:val="25"/>
          <w:szCs w:val="25"/>
        </w:rPr>
      </w:pPr>
      <w:r w:rsidRPr="00201FFD">
        <w:t xml:space="preserve">Chair ACCU Review </w:t>
      </w:r>
      <w:r w:rsidR="00C234A1">
        <w:t>Panel</w:t>
      </w:r>
      <w:r w:rsidRPr="00201FFD">
        <w:rPr>
          <w:rFonts w:eastAsia="Calibri" w:cs="Times New Roman"/>
          <w:b/>
          <w:bCs/>
          <w:color w:val="1F497D"/>
          <w:sz w:val="25"/>
          <w:szCs w:val="25"/>
        </w:rPr>
        <w:br w:type="page"/>
      </w:r>
    </w:p>
    <w:p w14:paraId="6C878309" w14:textId="77777777" w:rsidR="006C1C2F" w:rsidRDefault="006C1C2F" w:rsidP="006C1C2F">
      <w:pPr>
        <w:pStyle w:val="Heading1"/>
      </w:pPr>
      <w:bookmarkStart w:id="7" w:name="_Toc122339741"/>
      <w:bookmarkStart w:id="8" w:name="_Toc122348027"/>
      <w:bookmarkStart w:id="9" w:name="_Toc122359793"/>
      <w:bookmarkStart w:id="10" w:name="_Toc122360774"/>
      <w:bookmarkStart w:id="11" w:name="_Toc122522992"/>
      <w:bookmarkStart w:id="12" w:name="_Toc121817692"/>
      <w:r>
        <w:lastRenderedPageBreak/>
        <w:t>Executive Summary</w:t>
      </w:r>
      <w:bookmarkEnd w:id="7"/>
      <w:bookmarkEnd w:id="8"/>
      <w:bookmarkEnd w:id="9"/>
      <w:bookmarkEnd w:id="10"/>
      <w:bookmarkEnd w:id="11"/>
    </w:p>
    <w:p w14:paraId="25BAF45F" w14:textId="77777777" w:rsidR="006C1C2F" w:rsidRDefault="006C1C2F" w:rsidP="006C1C2F">
      <w:pPr>
        <w:shd w:val="clear" w:color="auto" w:fill="FFFFFF"/>
        <w:rPr>
          <w:rFonts w:cs="Calibri"/>
        </w:rPr>
      </w:pPr>
      <w:r>
        <w:rPr>
          <w:rFonts w:cs="Calibri"/>
        </w:rPr>
        <w:t>The Australian Carbon Credit Unit (ACCU) scheme is an Australian Government scheme to remove greenhouse gases from the atmosphere, or to prevent their emission. To achieve this end, the scheme supports carbon farming initiatives leading to the allocation of one ACCU for each tonne of carbon abatement. It also allows some ACCUs to be purchased by the Australian Government, some by emitters to offset a proportion of their continuing emissions, or traded on the domestic market.</w:t>
      </w:r>
    </w:p>
    <w:p w14:paraId="103D9CFB" w14:textId="77777777" w:rsidR="006C1C2F" w:rsidRDefault="006C1C2F" w:rsidP="006C1C2F">
      <w:pPr>
        <w:shd w:val="clear" w:color="auto" w:fill="FFFFFF"/>
        <w:rPr>
          <w:rFonts w:cs="Calibri"/>
        </w:rPr>
      </w:pPr>
      <w:r>
        <w:rPr>
          <w:rFonts w:cs="Calibri"/>
        </w:rPr>
        <w:t xml:space="preserve">The ACCU scheme has an important role to play in Australia’s pathway to net zero emissions by 2050.  </w:t>
      </w:r>
    </w:p>
    <w:p w14:paraId="26BC1311" w14:textId="77777777" w:rsidR="006C1C2F" w:rsidRDefault="006C1C2F" w:rsidP="006C1C2F">
      <w:pPr>
        <w:shd w:val="clear" w:color="auto" w:fill="FFFFFF"/>
        <w:rPr>
          <w:rFonts w:cs="Calibri"/>
        </w:rPr>
      </w:pPr>
      <w:r>
        <w:rPr>
          <w:rFonts w:cs="Calibri"/>
        </w:rPr>
        <w:t>It is important to have a policy, but it is critical that it be effective. To be effective, abatement has to be real, and it has to be known to be real.</w:t>
      </w:r>
    </w:p>
    <w:p w14:paraId="18342A67" w14:textId="77777777" w:rsidR="006C1C2F" w:rsidRDefault="006C1C2F" w:rsidP="006C1C2F">
      <w:pPr>
        <w:shd w:val="clear" w:color="auto" w:fill="FFFFFF"/>
        <w:rPr>
          <w:rFonts w:cs="Calibri"/>
        </w:rPr>
      </w:pPr>
      <w:r>
        <w:rPr>
          <w:rFonts w:cs="Calibri"/>
        </w:rPr>
        <w:t xml:space="preserve">In recent times, the integrity of the scheme has been called into question – it has been argued that the level of abatement has been overstated, that ACCUs are therefore not what they are meant to be, so that the policy is not effective.     </w:t>
      </w:r>
    </w:p>
    <w:p w14:paraId="244B5FE0" w14:textId="77777777" w:rsidR="006C1C2F" w:rsidRDefault="006C1C2F" w:rsidP="006C1C2F">
      <w:pPr>
        <w:shd w:val="clear" w:color="auto" w:fill="FFFFFF"/>
        <w:rPr>
          <w:rFonts w:cs="Calibri"/>
        </w:rPr>
      </w:pPr>
      <w:r>
        <w:rPr>
          <w:rFonts w:cs="Calibri"/>
        </w:rPr>
        <w:t xml:space="preserve">The Panel does not share this view. While the Panel was provided with some evidence supporting that position, it was also provided with evidence to the contrary. </w:t>
      </w:r>
    </w:p>
    <w:p w14:paraId="7AA9DF86" w14:textId="44C36966" w:rsidR="006C1C2F" w:rsidRDefault="006C1C2F" w:rsidP="006C1C2F">
      <w:pPr>
        <w:shd w:val="clear" w:color="auto" w:fill="FFFFFF"/>
        <w:rPr>
          <w:rFonts w:cs="Calibri"/>
        </w:rPr>
      </w:pPr>
      <w:r>
        <w:rPr>
          <w:rFonts w:cs="Calibri"/>
        </w:rPr>
        <w:t>There may be several reasons for the polar-opposite views. One is likely to be a lack of transparency, meaning that third parties cannot access the relevant data and so different conclusion</w:t>
      </w:r>
      <w:r w:rsidR="009B4D6A">
        <w:rPr>
          <w:rFonts w:cs="Calibri"/>
        </w:rPr>
        <w:t>s can be drawn, and all genuinely held.</w:t>
      </w:r>
    </w:p>
    <w:p w14:paraId="61F11F00" w14:textId="77777777" w:rsidR="006C1C2F" w:rsidRDefault="006C1C2F" w:rsidP="006C1C2F">
      <w:pPr>
        <w:shd w:val="clear" w:color="auto" w:fill="FFFFFF"/>
        <w:rPr>
          <w:rFonts w:cs="Calibri"/>
        </w:rPr>
      </w:pPr>
      <w:r>
        <w:rPr>
          <w:rFonts w:cs="Calibri"/>
        </w:rPr>
        <w:t>Notwithstanding the criticisms, the Panel concludes that the scheme was fundamentally well-designed when introduced. Nevertheless, after 11 years of operation, the scheme can be improved – applying knowledge gained through implementation or practical experience is the story of continuous improvement.</w:t>
      </w:r>
    </w:p>
    <w:p w14:paraId="7A3F1EA2" w14:textId="77777777" w:rsidR="006C1C2F" w:rsidRDefault="006C1C2F" w:rsidP="006C1C2F">
      <w:pPr>
        <w:shd w:val="clear" w:color="auto" w:fill="FFFFFF"/>
        <w:rPr>
          <w:rFonts w:cs="Calibri"/>
        </w:rPr>
      </w:pPr>
      <w:r>
        <w:rPr>
          <w:rFonts w:cs="Calibri"/>
        </w:rPr>
        <w:t xml:space="preserve">The Panel makes a number of recommendations. The purpose of each is to improve the scheme: to clarify intention where necessary; to clearly identify (and separate) the key roles of integrity assurance, regulation and administration; to remove unnecessary restrictions on data sharing; to enable free prior and informed consent; and to improve information and incentives, including in relation to non-carbon benefits and attributes. </w:t>
      </w:r>
    </w:p>
    <w:p w14:paraId="628732AC" w14:textId="77777777" w:rsidR="006C1C2F" w:rsidRDefault="006C1C2F" w:rsidP="006C1C2F">
      <w:pPr>
        <w:shd w:val="clear" w:color="auto" w:fill="FFFFFF"/>
        <w:rPr>
          <w:rFonts w:cs="Calibri"/>
        </w:rPr>
      </w:pPr>
      <w:r>
        <w:rPr>
          <w:rFonts w:cs="Calibri"/>
        </w:rPr>
        <w:t>The Panel also notes that it is unwise to assume that what needs to be done can be achieved without adequate resourcing. Given the important role of ACCUs in the suite of climate mitigation policies, and the essential need for their integrity to be unarguable, all the links in the chain need to be able to do the job required of them – and that means resourcing. There is no practical or cheap alternative.</w:t>
      </w:r>
    </w:p>
    <w:p w14:paraId="619035B6" w14:textId="77777777" w:rsidR="00E077F4" w:rsidRDefault="00E077F4">
      <w:pPr>
        <w:spacing w:before="0" w:after="160" w:line="259" w:lineRule="auto"/>
      </w:pPr>
    </w:p>
    <w:p w14:paraId="3C6F9EC0" w14:textId="77777777" w:rsidR="001947A5" w:rsidRDefault="001947A5">
      <w:pPr>
        <w:spacing w:before="0" w:after="160" w:line="259" w:lineRule="auto"/>
        <w:sectPr w:rsidR="001947A5" w:rsidSect="000C3549">
          <w:headerReference w:type="even" r:id="rId18"/>
          <w:headerReference w:type="default" r:id="rId19"/>
          <w:headerReference w:type="first" r:id="rId20"/>
          <w:footerReference w:type="first" r:id="rId21"/>
          <w:pgSz w:w="11906" w:h="16838"/>
          <w:pgMar w:top="1440" w:right="1440" w:bottom="1440" w:left="1440" w:header="737" w:footer="708" w:gutter="0"/>
          <w:pgNumType w:fmt="lowerRoman"/>
          <w:cols w:space="708"/>
          <w:titlePg/>
          <w:docGrid w:linePitch="360"/>
        </w:sectPr>
      </w:pPr>
    </w:p>
    <w:p w14:paraId="4854B07A" w14:textId="0D2EE7A3" w:rsidR="001947A5" w:rsidRDefault="001947A5" w:rsidP="001947A5">
      <w:pPr>
        <w:pStyle w:val="Heading1"/>
      </w:pPr>
      <w:bookmarkStart w:id="13" w:name="_Toc122522993"/>
      <w:r>
        <w:lastRenderedPageBreak/>
        <w:t>Summary of Recommendations and Key Findings by Terms of Reference</w:t>
      </w:r>
      <w:bookmarkEnd w:id="13"/>
    </w:p>
    <w:tbl>
      <w:tblPr>
        <w:tblStyle w:val="TableGridLight"/>
        <w:tblW w:w="13887" w:type="dxa"/>
        <w:tblLook w:val="04A0" w:firstRow="1" w:lastRow="0" w:firstColumn="1" w:lastColumn="0" w:noHBand="0" w:noVBand="1"/>
      </w:tblPr>
      <w:tblGrid>
        <w:gridCol w:w="6943"/>
        <w:gridCol w:w="6944"/>
      </w:tblGrid>
      <w:tr w:rsidR="001947A5" w:rsidRPr="00314499" w14:paraId="3FC72DB7" w14:textId="77777777" w:rsidTr="001947A5">
        <w:tc>
          <w:tcPr>
            <w:tcW w:w="13887" w:type="dxa"/>
            <w:gridSpan w:val="2"/>
          </w:tcPr>
          <w:p w14:paraId="74030352" w14:textId="77777777" w:rsidR="001947A5" w:rsidRPr="00C91E4D" w:rsidRDefault="001947A5" w:rsidP="001947A5">
            <w:pPr>
              <w:pStyle w:val="Heading4"/>
              <w:outlineLvl w:val="3"/>
              <w:rPr>
                <w:rFonts w:asciiTheme="minorHAnsi" w:hAnsiTheme="minorHAnsi" w:cstheme="minorHAnsi"/>
                <w:sz w:val="20"/>
                <w:szCs w:val="20"/>
              </w:rPr>
            </w:pPr>
            <w:r w:rsidRPr="00C91E4D">
              <w:rPr>
                <w:rFonts w:asciiTheme="minorHAnsi" w:hAnsiTheme="minorHAnsi" w:cstheme="minorHAnsi"/>
                <w:sz w:val="20"/>
                <w:szCs w:val="20"/>
              </w:rPr>
              <w:t>Terms of Reference</w:t>
            </w:r>
          </w:p>
          <w:p w14:paraId="32A35A2D"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r>
              <w:t>This review is to ensure that ACCUs and the carbon crediting framework maintain a strong and credible reputation supported by participants, purchasers and the broader community. To achieve this, the independent, expert panel will provide advice to the Minister for Climate Change and Energy about the framework for ACCU generation and trade to ensure its integrity, consistency with agricultural and other objectives, and contribution to environmental, economic and other benefits like biodiversity.</w:t>
            </w:r>
          </w:p>
        </w:tc>
      </w:tr>
      <w:tr w:rsidR="001947A5" w:rsidRPr="002E5B9E" w14:paraId="68217FAA" w14:textId="77777777" w:rsidTr="001947A5">
        <w:tc>
          <w:tcPr>
            <w:tcW w:w="6943" w:type="dxa"/>
          </w:tcPr>
          <w:p w14:paraId="57319641" w14:textId="77777777" w:rsidR="001947A5" w:rsidRPr="00D938FA" w:rsidRDefault="001947A5" w:rsidP="001947A5">
            <w:pPr>
              <w:pStyle w:val="Style1ListNumber2"/>
              <w:numPr>
                <w:ilvl w:val="0"/>
                <w:numId w:val="0"/>
              </w:numPr>
              <w:rPr>
                <w:rStyle w:val="Emphasis"/>
                <w:rFonts w:cstheme="minorHAnsi"/>
                <w:b/>
                <w:bCs/>
                <w:i w:val="0"/>
                <w:iCs w:val="0"/>
                <w:color w:val="auto"/>
                <w:sz w:val="20"/>
                <w:szCs w:val="20"/>
              </w:rPr>
            </w:pPr>
          </w:p>
        </w:tc>
        <w:tc>
          <w:tcPr>
            <w:tcW w:w="6944" w:type="dxa"/>
          </w:tcPr>
          <w:p w14:paraId="1A13A045" w14:textId="77777777" w:rsidR="001947A5" w:rsidRPr="001947A5" w:rsidRDefault="001947A5" w:rsidP="001947A5">
            <w:pPr>
              <w:pStyle w:val="Normalsmall"/>
              <w:rPr>
                <w:b/>
                <w:i/>
                <w:color w:val="006266"/>
                <w:sz w:val="20"/>
              </w:rPr>
            </w:pPr>
            <w:r w:rsidRPr="001947A5">
              <w:rPr>
                <w:b/>
                <w:i/>
                <w:color w:val="006266"/>
                <w:sz w:val="20"/>
              </w:rPr>
              <w:t>Key findings</w:t>
            </w:r>
          </w:p>
          <w:p w14:paraId="4750217C" w14:textId="77777777" w:rsidR="001947A5" w:rsidRPr="002E5B9E" w:rsidRDefault="001947A5" w:rsidP="001947A5">
            <w:pPr>
              <w:pStyle w:val="Style1ListNumber2"/>
              <w:numPr>
                <w:ilvl w:val="0"/>
                <w:numId w:val="0"/>
              </w:numPr>
              <w:rPr>
                <w:sz w:val="20"/>
                <w:szCs w:val="20"/>
              </w:rPr>
            </w:pPr>
            <w:r w:rsidRPr="00503D1D">
              <w:rPr>
                <w:sz w:val="20"/>
                <w:szCs w:val="20"/>
              </w:rPr>
              <w:t>The Panel concludes that the ACCU scheme arrangements are essentially sound, incorporating mechanisms for regular review and improvement, and recommends a number of changes to clarify governance, improve transparency, facilitate positive project outcomes and co-benefits, and enhance confidence in the integrity and effectiveness of the scheme.</w:t>
            </w:r>
          </w:p>
        </w:tc>
      </w:tr>
    </w:tbl>
    <w:p w14:paraId="682B92FE" w14:textId="77777777" w:rsidR="001947A5" w:rsidRPr="00400668" w:rsidRDefault="001947A5" w:rsidP="001947A5"/>
    <w:tbl>
      <w:tblPr>
        <w:tblStyle w:val="TableGridLight"/>
        <w:tblW w:w="13887" w:type="dxa"/>
        <w:tblLook w:val="04A0" w:firstRow="1" w:lastRow="0" w:firstColumn="1" w:lastColumn="0" w:noHBand="0" w:noVBand="1"/>
      </w:tblPr>
      <w:tblGrid>
        <w:gridCol w:w="6943"/>
        <w:gridCol w:w="71"/>
        <w:gridCol w:w="6873"/>
      </w:tblGrid>
      <w:tr w:rsidR="001947A5" w:rsidRPr="00314499" w14:paraId="5D170A0F" w14:textId="77777777" w:rsidTr="001947A5">
        <w:tc>
          <w:tcPr>
            <w:tcW w:w="13887" w:type="dxa"/>
            <w:gridSpan w:val="3"/>
          </w:tcPr>
          <w:p w14:paraId="6AB30C3D" w14:textId="77777777" w:rsidR="001947A5" w:rsidRPr="00C91E4D" w:rsidRDefault="001947A5" w:rsidP="001947A5">
            <w:pPr>
              <w:pStyle w:val="Heading4"/>
              <w:outlineLvl w:val="3"/>
              <w:rPr>
                <w:rFonts w:asciiTheme="minorHAnsi" w:hAnsiTheme="minorHAnsi" w:cstheme="minorHAnsi"/>
                <w:sz w:val="20"/>
                <w:szCs w:val="20"/>
              </w:rPr>
            </w:pPr>
            <w:r w:rsidRPr="00C91E4D">
              <w:rPr>
                <w:rFonts w:asciiTheme="minorHAnsi" w:hAnsiTheme="minorHAnsi" w:cstheme="minorHAnsi"/>
                <w:sz w:val="20"/>
                <w:szCs w:val="20"/>
              </w:rPr>
              <w:t>Terms of Reference</w:t>
            </w:r>
          </w:p>
          <w:p w14:paraId="71E96490" w14:textId="77777777" w:rsidR="001947A5" w:rsidRPr="00314499" w:rsidRDefault="001947A5" w:rsidP="001947A5">
            <w:pPr>
              <w:spacing w:before="80"/>
              <w:rPr>
                <w:rFonts w:asciiTheme="minorHAnsi" w:hAnsiTheme="minorHAnsi" w:cstheme="minorHAnsi"/>
                <w:sz w:val="20"/>
                <w:szCs w:val="20"/>
              </w:rPr>
            </w:pPr>
            <w:r w:rsidRPr="00314499">
              <w:rPr>
                <w:rStyle w:val="StyleListNumber1Char"/>
                <w:rFonts w:asciiTheme="minorHAnsi" w:hAnsiTheme="minorHAnsi" w:cstheme="minorHAnsi"/>
                <w:sz w:val="20"/>
                <w:szCs w:val="20"/>
              </w:rPr>
              <w:t>1</w:t>
            </w:r>
            <w:r w:rsidRPr="00314499">
              <w:rPr>
                <w:rFonts w:asciiTheme="minorHAnsi" w:hAnsiTheme="minorHAnsi" w:cstheme="minorHAnsi"/>
                <w:sz w:val="20"/>
                <w:szCs w:val="20"/>
              </w:rPr>
              <w:t>(a) Whether scheme governance is appropriate, including:</w:t>
            </w:r>
          </w:p>
          <w:p w14:paraId="21C3D170" w14:textId="77777777" w:rsidR="001947A5" w:rsidRPr="00314499" w:rsidRDefault="001947A5" w:rsidP="001947A5">
            <w:pPr>
              <w:pStyle w:val="ListParagraph"/>
              <w:numPr>
                <w:ilvl w:val="0"/>
                <w:numId w:val="5"/>
              </w:numPr>
              <w:spacing w:before="80" w:after="0"/>
              <w:ind w:right="-47"/>
              <w:rPr>
                <w:rFonts w:asciiTheme="minorHAnsi" w:hAnsiTheme="minorHAnsi" w:cstheme="minorHAnsi"/>
                <w:sz w:val="20"/>
                <w:szCs w:val="20"/>
              </w:rPr>
            </w:pPr>
            <w:r w:rsidRPr="00314499">
              <w:rPr>
                <w:rFonts w:asciiTheme="minorHAnsi" w:hAnsiTheme="minorHAnsi" w:cstheme="minorHAnsi"/>
                <w:sz w:val="20"/>
                <w:szCs w:val="20"/>
              </w:rPr>
              <w:t>Whether the scheme’s governance structure is fit for purpose including the allocation and operation of roles and responsibilities between and within relevant agencies, including management of conflicts of interest</w:t>
            </w:r>
          </w:p>
          <w:p w14:paraId="70468988" w14:textId="77777777" w:rsidR="001947A5" w:rsidRPr="00314499" w:rsidRDefault="001947A5" w:rsidP="001947A5">
            <w:pPr>
              <w:pStyle w:val="Style1ListNumber2"/>
              <w:numPr>
                <w:ilvl w:val="0"/>
                <w:numId w:val="5"/>
              </w:numPr>
              <w:rPr>
                <w:rStyle w:val="Emphasis"/>
                <w:rFonts w:cstheme="minorHAnsi"/>
                <w:i w:val="0"/>
                <w:iCs w:val="0"/>
                <w:color w:val="auto"/>
                <w:sz w:val="20"/>
                <w:szCs w:val="20"/>
              </w:rPr>
            </w:pPr>
            <w:r w:rsidRPr="00314499">
              <w:rPr>
                <w:rFonts w:asciiTheme="minorHAnsi" w:hAnsiTheme="minorHAnsi" w:cstheme="minorHAnsi"/>
                <w:color w:val="auto"/>
                <w:sz w:val="20"/>
                <w:szCs w:val="20"/>
              </w:rPr>
              <w:t>Whether the scheme’s settings and legislative requirements are appropriate to ensure good governance and confidence in scheme integrity</w:t>
            </w:r>
          </w:p>
        </w:tc>
      </w:tr>
      <w:tr w:rsidR="001947A5" w:rsidRPr="00314499" w14:paraId="5B7BB0E0" w14:textId="77777777" w:rsidTr="001947A5">
        <w:tc>
          <w:tcPr>
            <w:tcW w:w="6943" w:type="dxa"/>
          </w:tcPr>
          <w:p w14:paraId="57E9D1C4" w14:textId="77777777" w:rsidR="001947A5" w:rsidRPr="00D938FA" w:rsidRDefault="001947A5" w:rsidP="001947A5">
            <w:pPr>
              <w:pStyle w:val="Style1ListNumber2"/>
              <w:numPr>
                <w:ilvl w:val="0"/>
                <w:numId w:val="0"/>
              </w:numPr>
              <w:rPr>
                <w:rStyle w:val="Emphasis"/>
                <w:rFonts w:cstheme="minorHAnsi"/>
                <w:b/>
                <w:bCs/>
                <w:i w:val="0"/>
                <w:iCs w:val="0"/>
                <w:color w:val="auto"/>
                <w:sz w:val="20"/>
                <w:szCs w:val="20"/>
              </w:rPr>
            </w:pPr>
            <w:r w:rsidRPr="00D938FA">
              <w:rPr>
                <w:rStyle w:val="Emphasis"/>
                <w:b/>
                <w:bCs/>
                <w:iCs w:val="0"/>
                <w:sz w:val="20"/>
                <w:szCs w:val="20"/>
              </w:rPr>
              <w:t>Recommendation 1. The respective roles of scheme assurer, scheme regulator and related policy development should be clear, undertaken by visibly separate bodies, and each function resourced sufficiently to play its role effectively in administering the scheme and supporting well-functioning carbon offset markets.</w:t>
            </w:r>
          </w:p>
        </w:tc>
        <w:tc>
          <w:tcPr>
            <w:tcW w:w="6944" w:type="dxa"/>
            <w:gridSpan w:val="2"/>
          </w:tcPr>
          <w:p w14:paraId="402130C2" w14:textId="49353A8A" w:rsidR="001947A5" w:rsidRPr="001947A5" w:rsidRDefault="001947A5" w:rsidP="001947A5">
            <w:pPr>
              <w:pStyle w:val="Normalsmall"/>
              <w:rPr>
                <w:b/>
                <w:i/>
                <w:color w:val="006266"/>
                <w:sz w:val="20"/>
              </w:rPr>
            </w:pPr>
            <w:r w:rsidRPr="001947A5">
              <w:rPr>
                <w:b/>
                <w:i/>
                <w:color w:val="006266"/>
                <w:sz w:val="20"/>
              </w:rPr>
              <w:t>Key findings</w:t>
            </w:r>
          </w:p>
          <w:p w14:paraId="5458532C" w14:textId="77777777" w:rsidR="001947A5" w:rsidRPr="002E5B9E" w:rsidRDefault="001947A5" w:rsidP="001947A5">
            <w:pPr>
              <w:pStyle w:val="Style1ListNumber2"/>
              <w:numPr>
                <w:ilvl w:val="0"/>
                <w:numId w:val="0"/>
              </w:numPr>
              <w:rPr>
                <w:sz w:val="20"/>
                <w:szCs w:val="20"/>
              </w:rPr>
            </w:pPr>
            <w:r w:rsidRPr="002E5B9E">
              <w:rPr>
                <w:sz w:val="20"/>
                <w:szCs w:val="20"/>
              </w:rPr>
              <w:t>Current arrangements include all the functions necessary for good governance of the scheme; however, separation of these would enhance confidence and transparency.</w:t>
            </w:r>
          </w:p>
        </w:tc>
      </w:tr>
      <w:tr w:rsidR="001947A5" w:rsidRPr="00314499" w14:paraId="6E0FDD6C" w14:textId="77777777" w:rsidTr="001947A5">
        <w:tc>
          <w:tcPr>
            <w:tcW w:w="7014" w:type="dxa"/>
            <w:gridSpan w:val="2"/>
          </w:tcPr>
          <w:p w14:paraId="333D5ED0" w14:textId="77777777" w:rsidR="001947A5" w:rsidRPr="00D938FA" w:rsidRDefault="001947A5" w:rsidP="001947A5">
            <w:pPr>
              <w:pStyle w:val="Heading4"/>
              <w:outlineLvl w:val="3"/>
              <w:rPr>
                <w:rStyle w:val="Emphasis"/>
                <w:i w:val="0"/>
                <w:iCs/>
                <w:sz w:val="20"/>
                <w:szCs w:val="20"/>
              </w:rPr>
            </w:pPr>
            <w:r w:rsidRPr="00D938FA">
              <w:rPr>
                <w:rStyle w:val="Emphasis"/>
                <w:iCs/>
                <w:sz w:val="20"/>
                <w:szCs w:val="20"/>
              </w:rPr>
              <w:lastRenderedPageBreak/>
              <w:t>Recommendation 2. The ERAC be re-established as the Carbon Abatement Integrity Committee (the CAIC) as soon as practicable with adjusted terms of reference, membership and functions, and that it be well-resourced and supported by an independent secretariat:</w:t>
            </w:r>
          </w:p>
          <w:p w14:paraId="546B1872" w14:textId="77777777" w:rsidR="001947A5" w:rsidRPr="00D938FA" w:rsidRDefault="001947A5" w:rsidP="00612D33">
            <w:pPr>
              <w:pStyle w:val="Style1"/>
              <w:numPr>
                <w:ilvl w:val="0"/>
                <w:numId w:val="15"/>
              </w:numPr>
              <w:rPr>
                <w:rStyle w:val="Emphasis"/>
                <w:i w:val="0"/>
                <w:iCs/>
                <w:sz w:val="20"/>
                <w:szCs w:val="20"/>
              </w:rPr>
            </w:pPr>
            <w:r w:rsidRPr="00D938FA">
              <w:rPr>
                <w:rStyle w:val="Emphasis"/>
                <w:iCs/>
                <w:sz w:val="20"/>
                <w:szCs w:val="20"/>
              </w:rPr>
              <w:t xml:space="preserve">The CAIC should have a membership of a full-time Chair and at least 4 part-time members with a range of skills, expertise and experience. </w:t>
            </w:r>
          </w:p>
          <w:p w14:paraId="2B95A0D0" w14:textId="77777777" w:rsidR="001947A5" w:rsidRPr="00D938FA" w:rsidRDefault="001947A5" w:rsidP="00612D33">
            <w:pPr>
              <w:pStyle w:val="Style1"/>
              <w:numPr>
                <w:ilvl w:val="0"/>
                <w:numId w:val="15"/>
              </w:numPr>
              <w:rPr>
                <w:rStyle w:val="Emphasis"/>
                <w:i w:val="0"/>
                <w:iCs/>
                <w:sz w:val="20"/>
                <w:szCs w:val="20"/>
              </w:rPr>
            </w:pPr>
            <w:r w:rsidRPr="00D938FA">
              <w:rPr>
                <w:rStyle w:val="Emphasis"/>
                <w:iCs/>
                <w:sz w:val="20"/>
                <w:szCs w:val="20"/>
              </w:rPr>
              <w:t>A skills matrix must be used to inform appointments.</w:t>
            </w:r>
          </w:p>
          <w:p w14:paraId="26470569" w14:textId="77777777" w:rsidR="001947A5" w:rsidRPr="00D938FA" w:rsidRDefault="001947A5" w:rsidP="00612D33">
            <w:pPr>
              <w:pStyle w:val="Style1"/>
              <w:numPr>
                <w:ilvl w:val="0"/>
                <w:numId w:val="15"/>
              </w:numPr>
              <w:rPr>
                <w:rStyle w:val="Emphasis"/>
                <w:i w:val="0"/>
                <w:iCs/>
                <w:sz w:val="20"/>
                <w:szCs w:val="20"/>
              </w:rPr>
            </w:pPr>
            <w:r w:rsidRPr="00D938FA">
              <w:rPr>
                <w:rStyle w:val="Emphasis"/>
                <w:iCs/>
                <w:sz w:val="20"/>
                <w:szCs w:val="20"/>
              </w:rPr>
              <w:t>At least one of the members of the CAIC should be a First Nations Australian with relevant expertise.</w:t>
            </w:r>
          </w:p>
          <w:p w14:paraId="0DA74951" w14:textId="77777777" w:rsidR="001947A5" w:rsidRPr="00D938FA" w:rsidRDefault="001947A5" w:rsidP="00612D33">
            <w:pPr>
              <w:pStyle w:val="Style1"/>
              <w:numPr>
                <w:ilvl w:val="0"/>
                <w:numId w:val="15"/>
              </w:numPr>
              <w:rPr>
                <w:rStyle w:val="Emphasis"/>
                <w:i w:val="0"/>
                <w:iCs/>
                <w:sz w:val="20"/>
                <w:szCs w:val="20"/>
              </w:rPr>
            </w:pPr>
            <w:r w:rsidRPr="00D938FA">
              <w:rPr>
                <w:rStyle w:val="Emphasis"/>
                <w:iCs/>
                <w:sz w:val="20"/>
                <w:szCs w:val="20"/>
              </w:rPr>
              <w:t>Resources should be allocated to cover the costs of the CAIC doing its job independently, effectively and efficiently.</w:t>
            </w:r>
          </w:p>
          <w:p w14:paraId="65B4566E" w14:textId="77777777" w:rsidR="001947A5" w:rsidRPr="00D938FA" w:rsidRDefault="001947A5" w:rsidP="00612D33">
            <w:pPr>
              <w:pStyle w:val="Style1"/>
              <w:numPr>
                <w:ilvl w:val="0"/>
                <w:numId w:val="15"/>
              </w:numPr>
              <w:rPr>
                <w:rStyle w:val="Emphasis"/>
                <w:i w:val="0"/>
                <w:iCs/>
                <w:sz w:val="20"/>
                <w:szCs w:val="20"/>
              </w:rPr>
            </w:pPr>
            <w:r w:rsidRPr="00D938FA">
              <w:rPr>
                <w:rStyle w:val="Emphasis"/>
                <w:iCs/>
                <w:sz w:val="20"/>
                <w:szCs w:val="20"/>
              </w:rPr>
              <w:t>Remuneration should reflect the members’ high level of expertise, their time, and the responsibility and accountability of their role.</w:t>
            </w:r>
          </w:p>
          <w:p w14:paraId="5264A808" w14:textId="77777777" w:rsidR="001947A5" w:rsidRPr="008B4162" w:rsidRDefault="001947A5" w:rsidP="00612D33">
            <w:pPr>
              <w:pStyle w:val="Style1"/>
              <w:numPr>
                <w:ilvl w:val="0"/>
                <w:numId w:val="15"/>
              </w:numPr>
              <w:rPr>
                <w:rStyle w:val="Emphasis"/>
                <w:i w:val="0"/>
                <w:iCs/>
              </w:rPr>
            </w:pPr>
            <w:r w:rsidRPr="00D938FA">
              <w:rPr>
                <w:rStyle w:val="Emphasis"/>
                <w:iCs/>
                <w:sz w:val="20"/>
                <w:szCs w:val="20"/>
              </w:rPr>
              <w:t>The CAIC Secretariat should be independent and resourced to support the functions of the CAIC.</w:t>
            </w:r>
          </w:p>
        </w:tc>
        <w:tc>
          <w:tcPr>
            <w:tcW w:w="6873" w:type="dxa"/>
          </w:tcPr>
          <w:p w14:paraId="0489D6BE" w14:textId="77777777" w:rsidR="001947A5" w:rsidRPr="001947A5" w:rsidRDefault="001947A5" w:rsidP="001947A5">
            <w:pPr>
              <w:pStyle w:val="Normalsmall"/>
              <w:rPr>
                <w:b/>
                <w:i/>
                <w:color w:val="006266"/>
                <w:sz w:val="20"/>
              </w:rPr>
            </w:pPr>
            <w:r w:rsidRPr="001947A5">
              <w:rPr>
                <w:b/>
                <w:i/>
                <w:color w:val="006266"/>
                <w:sz w:val="20"/>
              </w:rPr>
              <w:t>Key findings</w:t>
            </w:r>
          </w:p>
          <w:p w14:paraId="5D21A04F"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r w:rsidRPr="00D938FA">
              <w:rPr>
                <w:sz w:val="20"/>
                <w:szCs w:val="20"/>
              </w:rPr>
              <w:t>There is a need for a new body, differently constituted and supported, with the major responsibility of assuring method integrity.</w:t>
            </w:r>
          </w:p>
        </w:tc>
      </w:tr>
      <w:tr w:rsidR="001947A5" w:rsidRPr="00314499" w14:paraId="2081F986" w14:textId="77777777" w:rsidTr="001947A5">
        <w:tc>
          <w:tcPr>
            <w:tcW w:w="7014" w:type="dxa"/>
            <w:gridSpan w:val="2"/>
          </w:tcPr>
          <w:p w14:paraId="71AE798F" w14:textId="77777777" w:rsidR="001947A5" w:rsidRPr="00D938FA" w:rsidRDefault="001947A5" w:rsidP="001947A5">
            <w:pPr>
              <w:pStyle w:val="Heading4"/>
              <w:outlineLvl w:val="3"/>
              <w:rPr>
                <w:sz w:val="20"/>
                <w:szCs w:val="20"/>
              </w:rPr>
            </w:pPr>
            <w:r w:rsidRPr="00D938FA">
              <w:rPr>
                <w:sz w:val="20"/>
                <w:szCs w:val="20"/>
              </w:rPr>
              <w:lastRenderedPageBreak/>
              <w:t>Recommendation 3: The CER be responsible for project monitoring, compliance and enforcement, and providing transparent project and scheme information:</w:t>
            </w:r>
          </w:p>
          <w:p w14:paraId="4D7A5092" w14:textId="77777777" w:rsidR="001947A5" w:rsidRPr="00D938FA" w:rsidRDefault="001947A5" w:rsidP="00612D33">
            <w:pPr>
              <w:pStyle w:val="List3"/>
              <w:numPr>
                <w:ilvl w:val="0"/>
                <w:numId w:val="18"/>
              </w:numPr>
              <w:ind w:left="1080" w:hanging="720"/>
              <w:rPr>
                <w:sz w:val="20"/>
                <w:szCs w:val="20"/>
              </w:rPr>
            </w:pPr>
            <w:r w:rsidRPr="00D938FA">
              <w:rPr>
                <w:sz w:val="20"/>
                <w:szCs w:val="20"/>
              </w:rPr>
              <w:t xml:space="preserve">The remit of the CER should explicitly include monitoring and the publishing of information on the impact of the scheme in the protection of Australia’s natural environment and improved resilience to the effects of climate change in accordance with the objects of the CFI Act (section 3). </w:t>
            </w:r>
          </w:p>
          <w:p w14:paraId="6871C0FC" w14:textId="77777777" w:rsidR="001947A5" w:rsidRPr="00D938FA" w:rsidRDefault="001947A5" w:rsidP="00612D33">
            <w:pPr>
              <w:pStyle w:val="List3"/>
              <w:numPr>
                <w:ilvl w:val="0"/>
                <w:numId w:val="18"/>
              </w:numPr>
              <w:ind w:left="1080" w:hanging="720"/>
              <w:rPr>
                <w:sz w:val="20"/>
                <w:szCs w:val="20"/>
              </w:rPr>
            </w:pPr>
            <w:r w:rsidRPr="00D938FA">
              <w:rPr>
                <w:sz w:val="20"/>
                <w:szCs w:val="20"/>
              </w:rPr>
              <w:t>The CER should:</w:t>
            </w:r>
          </w:p>
          <w:p w14:paraId="6F057C7B" w14:textId="77777777" w:rsidR="001947A5" w:rsidRPr="00D938FA" w:rsidRDefault="001947A5" w:rsidP="00612D33">
            <w:pPr>
              <w:pStyle w:val="List31"/>
              <w:numPr>
                <w:ilvl w:val="0"/>
                <w:numId w:val="16"/>
              </w:numPr>
              <w:ind w:left="1621" w:hanging="907"/>
              <w:rPr>
                <w:sz w:val="20"/>
                <w:szCs w:val="20"/>
              </w:rPr>
            </w:pPr>
            <w:r w:rsidRPr="00D938FA">
              <w:rPr>
                <w:sz w:val="20"/>
                <w:szCs w:val="20"/>
              </w:rPr>
              <w:t>Continue to be responsible for education about the scheme and information concerning the carbon market;</w:t>
            </w:r>
          </w:p>
          <w:p w14:paraId="40855AF7" w14:textId="77777777" w:rsidR="001947A5" w:rsidRPr="00D938FA" w:rsidRDefault="001947A5" w:rsidP="00612D33">
            <w:pPr>
              <w:pStyle w:val="List31"/>
              <w:numPr>
                <w:ilvl w:val="0"/>
                <w:numId w:val="16"/>
              </w:numPr>
              <w:ind w:left="1621" w:hanging="907"/>
              <w:rPr>
                <w:sz w:val="20"/>
                <w:szCs w:val="20"/>
              </w:rPr>
            </w:pPr>
            <w:r w:rsidRPr="00D938FA">
              <w:rPr>
                <w:sz w:val="20"/>
                <w:szCs w:val="20"/>
              </w:rPr>
              <w:t>Reduce complexity by simplifying scheme documents and improving the accessibility of scheme information; and</w:t>
            </w:r>
          </w:p>
          <w:p w14:paraId="56FF9F4E" w14:textId="77777777" w:rsidR="001947A5" w:rsidRPr="00D938FA" w:rsidRDefault="001947A5" w:rsidP="00612D33">
            <w:pPr>
              <w:pStyle w:val="List31"/>
              <w:numPr>
                <w:ilvl w:val="0"/>
                <w:numId w:val="16"/>
              </w:numPr>
              <w:ind w:left="1621" w:hanging="907"/>
              <w:rPr>
                <w:sz w:val="20"/>
                <w:szCs w:val="20"/>
              </w:rPr>
            </w:pPr>
            <w:r w:rsidRPr="00D938FA">
              <w:rPr>
                <w:sz w:val="20"/>
                <w:szCs w:val="20"/>
              </w:rPr>
              <w:t>Create a public registry of precedents and rulings.</w:t>
            </w:r>
          </w:p>
          <w:p w14:paraId="278F4A8E" w14:textId="77777777" w:rsidR="001947A5" w:rsidRPr="00433058" w:rsidRDefault="001947A5" w:rsidP="00612D33">
            <w:pPr>
              <w:pStyle w:val="List3"/>
              <w:numPr>
                <w:ilvl w:val="0"/>
                <w:numId w:val="18"/>
              </w:numPr>
              <w:rPr>
                <w:rStyle w:val="Emphasis"/>
                <w:rFonts w:ascii="Calibri" w:hAnsi="Calibri"/>
                <w:i w:val="0"/>
                <w:iCs/>
              </w:rPr>
            </w:pPr>
            <w:r w:rsidRPr="00D938FA">
              <w:rPr>
                <w:sz w:val="20"/>
                <w:szCs w:val="20"/>
              </w:rPr>
              <w:t>Responsibility for Australian Government purchasing of ACCUs should be moved out of the CER and into another Australian Government body to avoid actual or perceived conflicts of interest.</w:t>
            </w:r>
          </w:p>
        </w:tc>
        <w:tc>
          <w:tcPr>
            <w:tcW w:w="6873" w:type="dxa"/>
          </w:tcPr>
          <w:p w14:paraId="1B396950" w14:textId="77777777" w:rsidR="001947A5" w:rsidRPr="001947A5" w:rsidRDefault="001947A5" w:rsidP="001947A5">
            <w:pPr>
              <w:pStyle w:val="Normalsmall"/>
              <w:rPr>
                <w:b/>
                <w:i/>
                <w:color w:val="006266"/>
                <w:sz w:val="20"/>
              </w:rPr>
            </w:pPr>
            <w:r w:rsidRPr="001947A5">
              <w:rPr>
                <w:b/>
                <w:i/>
                <w:color w:val="006266"/>
                <w:sz w:val="20"/>
              </w:rPr>
              <w:t>Key findings</w:t>
            </w:r>
          </w:p>
          <w:p w14:paraId="1344E409" w14:textId="77777777" w:rsidR="001947A5" w:rsidRPr="00D938FA" w:rsidRDefault="001947A5" w:rsidP="001947A5">
            <w:pPr>
              <w:pStyle w:val="StyleNormalBody"/>
              <w:rPr>
                <w:b/>
                <w:bCs/>
                <w:sz w:val="20"/>
                <w:szCs w:val="20"/>
                <w:lang w:val="en-AU"/>
              </w:rPr>
            </w:pPr>
            <w:r w:rsidRPr="00D938FA">
              <w:rPr>
                <w:sz w:val="20"/>
                <w:szCs w:val="20"/>
                <w:lang w:val="en-AU"/>
              </w:rPr>
              <w:t xml:space="preserve">The multiple roles of the CER, in developing methods, regulating projects and issuing ACCUs, and administering government purchase of ACCUs, results in potential conflicts of interest and risks reduced confidence in scheme arrangements and governance.  </w:t>
            </w:r>
          </w:p>
          <w:p w14:paraId="54ECEE62"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r w:rsidRPr="00D938FA">
              <w:rPr>
                <w:sz w:val="20"/>
                <w:szCs w:val="20"/>
              </w:rPr>
              <w:t>Responsibility for monitoring all consequences of the CFI Act should remain with the CER.</w:t>
            </w:r>
          </w:p>
        </w:tc>
      </w:tr>
    </w:tbl>
    <w:p w14:paraId="354E4DF1" w14:textId="77777777" w:rsidR="001947A5" w:rsidRDefault="001947A5" w:rsidP="001947A5">
      <w:pPr>
        <w:rPr>
          <w:rFonts w:asciiTheme="minorHAnsi" w:hAnsiTheme="minorHAnsi" w:cstheme="minorHAnsi"/>
          <w:sz w:val="20"/>
          <w:szCs w:val="20"/>
        </w:rPr>
      </w:pPr>
    </w:p>
    <w:tbl>
      <w:tblPr>
        <w:tblStyle w:val="TableGridLight"/>
        <w:tblW w:w="13887" w:type="dxa"/>
        <w:tblLook w:val="04A0" w:firstRow="1" w:lastRow="0" w:firstColumn="1" w:lastColumn="0" w:noHBand="0" w:noVBand="1"/>
      </w:tblPr>
      <w:tblGrid>
        <w:gridCol w:w="6943"/>
        <w:gridCol w:w="6944"/>
      </w:tblGrid>
      <w:tr w:rsidR="001947A5" w:rsidRPr="00314499" w14:paraId="658BC702" w14:textId="77777777" w:rsidTr="001947A5">
        <w:tc>
          <w:tcPr>
            <w:tcW w:w="13887" w:type="dxa"/>
            <w:gridSpan w:val="2"/>
          </w:tcPr>
          <w:p w14:paraId="1810DC3D" w14:textId="77777777" w:rsidR="001947A5" w:rsidRPr="00C91E4D" w:rsidRDefault="001947A5" w:rsidP="001947A5">
            <w:pPr>
              <w:spacing w:before="80"/>
              <w:rPr>
                <w:rFonts w:asciiTheme="minorHAnsi" w:hAnsiTheme="minorHAnsi" w:cstheme="minorHAnsi"/>
                <w:b/>
                <w:bCs/>
                <w:sz w:val="20"/>
                <w:szCs w:val="20"/>
              </w:rPr>
            </w:pPr>
            <w:r w:rsidRPr="00C91E4D">
              <w:rPr>
                <w:rFonts w:asciiTheme="minorHAnsi" w:hAnsiTheme="minorHAnsi" w:cstheme="minorHAnsi"/>
                <w:b/>
                <w:bCs/>
                <w:sz w:val="20"/>
                <w:szCs w:val="20"/>
              </w:rPr>
              <w:t>Terms of Reference</w:t>
            </w:r>
          </w:p>
          <w:p w14:paraId="59DDC0CA" w14:textId="77777777" w:rsidR="001947A5" w:rsidRPr="00314499" w:rsidRDefault="001947A5" w:rsidP="001947A5">
            <w:pPr>
              <w:spacing w:before="80"/>
              <w:rPr>
                <w:rFonts w:asciiTheme="minorHAnsi" w:hAnsiTheme="minorHAnsi" w:cstheme="minorHAnsi"/>
                <w:sz w:val="20"/>
                <w:szCs w:val="20"/>
              </w:rPr>
            </w:pPr>
            <w:r w:rsidRPr="00314499">
              <w:rPr>
                <w:rFonts w:asciiTheme="minorHAnsi" w:hAnsiTheme="minorHAnsi" w:cstheme="minorHAnsi"/>
                <w:sz w:val="20"/>
                <w:szCs w:val="20"/>
              </w:rPr>
              <w:t>1(a) Whether scheme governance is appropriate, including:</w:t>
            </w:r>
          </w:p>
          <w:p w14:paraId="2B39DACD" w14:textId="77777777" w:rsidR="001947A5" w:rsidRPr="00314499" w:rsidRDefault="001947A5" w:rsidP="00612D33">
            <w:pPr>
              <w:pStyle w:val="Style1ListNumber2"/>
              <w:numPr>
                <w:ilvl w:val="0"/>
                <w:numId w:val="31"/>
              </w:numPr>
              <w:rPr>
                <w:rStyle w:val="Emphasis"/>
                <w:rFonts w:cstheme="minorHAnsi"/>
                <w:i w:val="0"/>
                <w:iCs w:val="0"/>
                <w:color w:val="auto"/>
                <w:sz w:val="20"/>
                <w:szCs w:val="20"/>
              </w:rPr>
            </w:pPr>
            <w:r w:rsidRPr="00314499">
              <w:rPr>
                <w:rFonts w:asciiTheme="minorHAnsi" w:hAnsiTheme="minorHAnsi" w:cstheme="minorHAnsi"/>
                <w:color w:val="auto"/>
                <w:sz w:val="20"/>
                <w:szCs w:val="20"/>
              </w:rPr>
              <w:t>Whether the scheme has appropriate transparency including whether and how reporting and publication of data could be improved.</w:t>
            </w:r>
          </w:p>
        </w:tc>
      </w:tr>
      <w:tr w:rsidR="001947A5" w:rsidRPr="00314499" w14:paraId="56304946" w14:textId="77777777" w:rsidTr="001947A5">
        <w:tc>
          <w:tcPr>
            <w:tcW w:w="6943" w:type="dxa"/>
          </w:tcPr>
          <w:p w14:paraId="3E5E7E14" w14:textId="77777777" w:rsidR="001947A5" w:rsidRPr="00D938FA" w:rsidRDefault="001947A5" w:rsidP="001947A5">
            <w:pPr>
              <w:pStyle w:val="Heading4"/>
              <w:outlineLvl w:val="3"/>
              <w:rPr>
                <w:rFonts w:cs="Calibri"/>
                <w:bCs/>
                <w:sz w:val="20"/>
                <w:szCs w:val="20"/>
              </w:rPr>
            </w:pPr>
            <w:r w:rsidRPr="00D938FA">
              <w:rPr>
                <w:rFonts w:cs="Calibri"/>
                <w:bCs/>
                <w:sz w:val="20"/>
                <w:szCs w:val="20"/>
              </w:rPr>
              <w:lastRenderedPageBreak/>
              <w:t>Recommendation 4: Provisions in the governing legislation should be amended to maximise transparency, data access and data sharing, while enabling protection of privacy and commercial-in-confidence information, to support greater public trust and confidence in scheme arrangements.</w:t>
            </w:r>
          </w:p>
          <w:p w14:paraId="4A17A3C0" w14:textId="77777777" w:rsidR="001947A5" w:rsidRPr="00D938FA" w:rsidRDefault="001947A5" w:rsidP="00612D33">
            <w:pPr>
              <w:pStyle w:val="ListParagraph"/>
              <w:numPr>
                <w:ilvl w:val="0"/>
                <w:numId w:val="19"/>
              </w:numPr>
              <w:spacing w:after="0"/>
              <w:ind w:left="714" w:hanging="357"/>
              <w:contextualSpacing w:val="0"/>
              <w:rPr>
                <w:rFonts w:eastAsia="Calibri" w:cs="Times New Roman"/>
                <w:bCs/>
                <w:sz w:val="20"/>
                <w:szCs w:val="20"/>
              </w:rPr>
            </w:pPr>
            <w:r w:rsidRPr="00D938FA">
              <w:rPr>
                <w:rFonts w:eastAsia="Calibri" w:cs="Times New Roman"/>
                <w:bCs/>
                <w:sz w:val="20"/>
                <w:szCs w:val="20"/>
              </w:rPr>
              <w:t>The default should be that data be made public, including carbon estimation areas.</w:t>
            </w:r>
          </w:p>
          <w:p w14:paraId="07F1D877" w14:textId="77777777" w:rsidR="001947A5" w:rsidRPr="00433058" w:rsidRDefault="001947A5" w:rsidP="00612D33">
            <w:pPr>
              <w:pStyle w:val="ListParagraph"/>
              <w:numPr>
                <w:ilvl w:val="0"/>
                <w:numId w:val="19"/>
              </w:numPr>
              <w:spacing w:after="0"/>
              <w:ind w:left="714" w:hanging="357"/>
              <w:contextualSpacing w:val="0"/>
              <w:rPr>
                <w:rStyle w:val="Emphasis"/>
                <w:rFonts w:ascii="Calibri" w:eastAsia="Calibri" w:hAnsi="Calibri" w:cs="Times New Roman"/>
                <w:i w:val="0"/>
                <w:iCs w:val="0"/>
                <w:sz w:val="20"/>
                <w:szCs w:val="20"/>
              </w:rPr>
            </w:pPr>
            <w:r w:rsidRPr="00D938FA">
              <w:rPr>
                <w:rFonts w:eastAsia="Calibri" w:cs="Times New Roman"/>
                <w:sz w:val="20"/>
                <w:szCs w:val="20"/>
              </w:rPr>
              <w:t>The government should explore using a national platform to share information and data about the ACCU scheme, in the spirit of continuous improvement.</w:t>
            </w:r>
          </w:p>
        </w:tc>
        <w:tc>
          <w:tcPr>
            <w:tcW w:w="6944" w:type="dxa"/>
          </w:tcPr>
          <w:p w14:paraId="4E728A88" w14:textId="77777777" w:rsidR="001947A5" w:rsidRPr="001947A5" w:rsidRDefault="001947A5" w:rsidP="001947A5">
            <w:pPr>
              <w:pStyle w:val="Normalsmall"/>
              <w:rPr>
                <w:b/>
                <w:i/>
                <w:color w:val="006266"/>
                <w:sz w:val="20"/>
              </w:rPr>
            </w:pPr>
            <w:r w:rsidRPr="001947A5">
              <w:rPr>
                <w:b/>
                <w:i/>
                <w:color w:val="006266"/>
                <w:sz w:val="20"/>
              </w:rPr>
              <w:t>Key findings</w:t>
            </w:r>
          </w:p>
          <w:p w14:paraId="70ACDBB2" w14:textId="77777777" w:rsidR="001947A5" w:rsidRPr="00D938FA" w:rsidRDefault="001947A5" w:rsidP="001947A5">
            <w:pPr>
              <w:spacing w:line="257" w:lineRule="auto"/>
              <w:rPr>
                <w:b/>
                <w:bCs/>
                <w:sz w:val="20"/>
                <w:szCs w:val="20"/>
              </w:rPr>
            </w:pPr>
            <w:r w:rsidRPr="00D938FA">
              <w:rPr>
                <w:sz w:val="20"/>
                <w:szCs w:val="20"/>
              </w:rPr>
              <w:t>Current restrictions on data sharing and disclosure in the scheme’s governing legislation go further than required to protect privacy and commercial-in-confidence information, and the blanket nature of these restrictions is undermining transparency, trust and confidence in the scheme.</w:t>
            </w:r>
          </w:p>
          <w:p w14:paraId="3275399F" w14:textId="77777777" w:rsidR="001947A5" w:rsidRPr="00433058" w:rsidRDefault="001947A5" w:rsidP="001947A5">
            <w:pPr>
              <w:pStyle w:val="Style1ListNumber2"/>
              <w:numPr>
                <w:ilvl w:val="0"/>
                <w:numId w:val="0"/>
              </w:numPr>
              <w:rPr>
                <w:rStyle w:val="Emphasis"/>
                <w:rFonts w:cstheme="minorHAnsi"/>
                <w:i w:val="0"/>
                <w:iCs w:val="0"/>
                <w:color w:val="auto"/>
                <w:sz w:val="20"/>
                <w:szCs w:val="20"/>
              </w:rPr>
            </w:pPr>
            <w:r w:rsidRPr="00D938FA">
              <w:rPr>
                <w:sz w:val="20"/>
                <w:szCs w:val="20"/>
              </w:rPr>
              <w:t>More transparent data and information sharing arrangements would enable communities and carbon market stakeholders to assess, understand and manage potential project impacts and opportunities more effectively.</w:t>
            </w:r>
          </w:p>
        </w:tc>
      </w:tr>
    </w:tbl>
    <w:p w14:paraId="1577EB55" w14:textId="77777777" w:rsidR="001947A5" w:rsidRDefault="001947A5" w:rsidP="001947A5">
      <w:pPr>
        <w:rPr>
          <w:rFonts w:asciiTheme="minorHAnsi" w:hAnsiTheme="minorHAnsi" w:cstheme="minorHAnsi"/>
          <w:sz w:val="20"/>
          <w:szCs w:val="20"/>
        </w:rPr>
      </w:pPr>
    </w:p>
    <w:tbl>
      <w:tblPr>
        <w:tblStyle w:val="TableGridLight"/>
        <w:tblW w:w="13887" w:type="dxa"/>
        <w:tblLook w:val="04A0" w:firstRow="1" w:lastRow="0" w:firstColumn="1" w:lastColumn="0" w:noHBand="0" w:noVBand="1"/>
      </w:tblPr>
      <w:tblGrid>
        <w:gridCol w:w="6943"/>
        <w:gridCol w:w="6944"/>
      </w:tblGrid>
      <w:tr w:rsidR="001947A5" w:rsidRPr="00314499" w14:paraId="3837FF46" w14:textId="77777777" w:rsidTr="001947A5">
        <w:tc>
          <w:tcPr>
            <w:tcW w:w="13887" w:type="dxa"/>
            <w:gridSpan w:val="2"/>
          </w:tcPr>
          <w:p w14:paraId="348BDABF" w14:textId="77777777" w:rsidR="001947A5" w:rsidRPr="00AF3BA5" w:rsidRDefault="001947A5" w:rsidP="001947A5">
            <w:pPr>
              <w:spacing w:before="80"/>
              <w:rPr>
                <w:rFonts w:asciiTheme="minorHAnsi" w:hAnsiTheme="minorHAnsi" w:cstheme="minorHAnsi"/>
                <w:b/>
                <w:bCs/>
                <w:sz w:val="20"/>
                <w:szCs w:val="20"/>
              </w:rPr>
            </w:pPr>
            <w:r w:rsidRPr="00AF3BA5">
              <w:rPr>
                <w:rFonts w:asciiTheme="minorHAnsi" w:hAnsiTheme="minorHAnsi" w:cstheme="minorHAnsi"/>
                <w:b/>
                <w:bCs/>
                <w:sz w:val="20"/>
                <w:szCs w:val="20"/>
              </w:rPr>
              <w:t>Terms of Reference</w:t>
            </w:r>
          </w:p>
          <w:p w14:paraId="74539412" w14:textId="77777777" w:rsidR="001947A5" w:rsidRPr="00AF3BA5" w:rsidRDefault="001947A5" w:rsidP="001947A5">
            <w:pPr>
              <w:spacing w:before="80"/>
              <w:rPr>
                <w:rFonts w:asciiTheme="minorHAnsi" w:hAnsiTheme="minorHAnsi" w:cstheme="minorHAnsi"/>
                <w:sz w:val="20"/>
                <w:szCs w:val="20"/>
              </w:rPr>
            </w:pPr>
            <w:r w:rsidRPr="00AF3BA5">
              <w:rPr>
                <w:rFonts w:asciiTheme="minorHAnsi" w:hAnsiTheme="minorHAnsi" w:cstheme="minorHAnsi"/>
                <w:sz w:val="20"/>
                <w:szCs w:val="20"/>
              </w:rPr>
              <w:t xml:space="preserve">1(b). Whether the methods by which ACCUs are generated meet the Offsets Integrity Standards, including: </w:t>
            </w:r>
          </w:p>
          <w:p w14:paraId="456469B4" w14:textId="77777777" w:rsidR="001947A5" w:rsidRPr="00314499" w:rsidRDefault="001947A5" w:rsidP="00612D33">
            <w:pPr>
              <w:pStyle w:val="Style1ListNumber2"/>
              <w:numPr>
                <w:ilvl w:val="0"/>
                <w:numId w:val="33"/>
              </w:numPr>
              <w:rPr>
                <w:rStyle w:val="Emphasis"/>
                <w:rFonts w:cstheme="minorHAnsi"/>
                <w:i w:val="0"/>
                <w:iCs w:val="0"/>
                <w:color w:val="auto"/>
                <w:sz w:val="20"/>
                <w:szCs w:val="20"/>
              </w:rPr>
            </w:pPr>
            <w:r w:rsidRPr="00AF3BA5">
              <w:rPr>
                <w:rFonts w:asciiTheme="minorHAnsi" w:hAnsiTheme="minorHAnsi" w:cstheme="minorHAnsi"/>
                <w:sz w:val="20"/>
                <w:szCs w:val="20"/>
              </w:rPr>
              <w:t>Whether method development and review processes are appropriate and effective.</w:t>
            </w:r>
          </w:p>
        </w:tc>
      </w:tr>
      <w:tr w:rsidR="001947A5" w:rsidRPr="00314499" w14:paraId="41D5CFE5" w14:textId="77777777" w:rsidTr="001947A5">
        <w:tc>
          <w:tcPr>
            <w:tcW w:w="6943" w:type="dxa"/>
          </w:tcPr>
          <w:p w14:paraId="5748F4F3" w14:textId="77777777" w:rsidR="001947A5" w:rsidRPr="00AF3BA5" w:rsidRDefault="001947A5" w:rsidP="001947A5">
            <w:pPr>
              <w:spacing w:line="259" w:lineRule="auto"/>
              <w:rPr>
                <w:rFonts w:cs="Calibri"/>
                <w:bCs/>
                <w:sz w:val="20"/>
                <w:szCs w:val="20"/>
              </w:rPr>
            </w:pPr>
            <w:r w:rsidRPr="00AF3BA5">
              <w:rPr>
                <w:rStyle w:val="Heading4Char"/>
                <w:sz w:val="20"/>
                <w:szCs w:val="20"/>
              </w:rPr>
              <w:t>Recommendation 5. Establish a transparent proponent-led process for developing and modifying methods as soon as practicable, with the CAIC assuring the integrity of methods and the Department providing support for participants who otherwise may not be able to participate</w:t>
            </w:r>
            <w:r w:rsidRPr="00AF3BA5">
              <w:rPr>
                <w:rFonts w:cs="Calibri"/>
                <w:b/>
                <w:sz w:val="20"/>
                <w:szCs w:val="20"/>
              </w:rPr>
              <w:t>:</w:t>
            </w:r>
          </w:p>
          <w:p w14:paraId="24E9E3EC" w14:textId="77777777" w:rsidR="001947A5" w:rsidRPr="00D11649" w:rsidRDefault="001947A5" w:rsidP="00D11649">
            <w:pPr>
              <w:pStyle w:val="ListParagraph"/>
              <w:numPr>
                <w:ilvl w:val="1"/>
                <w:numId w:val="17"/>
              </w:numPr>
              <w:rPr>
                <w:sz w:val="20"/>
                <w:szCs w:val="20"/>
              </w:rPr>
            </w:pPr>
            <w:r w:rsidRPr="00D11649">
              <w:rPr>
                <w:sz w:val="20"/>
                <w:szCs w:val="20"/>
              </w:rPr>
              <w:t>Replace current priority setting process with an open EOI process, with the CAIC involved in setting priorities for method endorsement and approval. The Minister may nominate priorities but is not required to do so.</w:t>
            </w:r>
          </w:p>
          <w:p w14:paraId="3BD99FD0" w14:textId="77777777" w:rsidR="001947A5" w:rsidRPr="00AF3BA5" w:rsidRDefault="001947A5" w:rsidP="00612D33">
            <w:pPr>
              <w:pStyle w:val="ListParagraph"/>
              <w:numPr>
                <w:ilvl w:val="1"/>
                <w:numId w:val="17"/>
              </w:numPr>
              <w:ind w:left="717"/>
            </w:pPr>
            <w:r w:rsidRPr="00AF3BA5">
              <w:rPr>
                <w:sz w:val="20"/>
                <w:szCs w:val="20"/>
              </w:rPr>
              <w:t>The Minister is not obliged to approve any method.</w:t>
            </w:r>
          </w:p>
          <w:p w14:paraId="26D4C88E" w14:textId="77777777" w:rsidR="001947A5" w:rsidRPr="00AF3BA5" w:rsidRDefault="001947A5" w:rsidP="00612D33">
            <w:pPr>
              <w:pStyle w:val="List5"/>
              <w:numPr>
                <w:ilvl w:val="2"/>
                <w:numId w:val="17"/>
              </w:numPr>
              <w:ind w:left="894" w:hanging="180"/>
              <w:rPr>
                <w:sz w:val="20"/>
                <w:szCs w:val="20"/>
              </w:rPr>
            </w:pPr>
            <w:r w:rsidRPr="00AF3BA5">
              <w:rPr>
                <w:bCs w:val="0"/>
                <w:sz w:val="20"/>
                <w:szCs w:val="20"/>
              </w:rPr>
              <w:lastRenderedPageBreak/>
              <w:t xml:space="preserve">The Minister </w:t>
            </w:r>
            <w:r w:rsidRPr="00AF3BA5">
              <w:rPr>
                <w:sz w:val="20"/>
                <w:szCs w:val="20"/>
              </w:rPr>
              <w:t xml:space="preserve">may only make or vary methods which have been endorsed by the CAIC. </w:t>
            </w:r>
          </w:p>
          <w:p w14:paraId="4C1EA8D5" w14:textId="77777777" w:rsidR="001947A5" w:rsidRPr="00AF3BA5" w:rsidRDefault="001947A5" w:rsidP="00612D33">
            <w:pPr>
              <w:pStyle w:val="List5"/>
              <w:numPr>
                <w:ilvl w:val="2"/>
                <w:numId w:val="17"/>
              </w:numPr>
              <w:ind w:left="894" w:hanging="180"/>
              <w:rPr>
                <w:sz w:val="20"/>
                <w:szCs w:val="20"/>
              </w:rPr>
            </w:pPr>
            <w:r w:rsidRPr="00AF3BA5">
              <w:rPr>
                <w:sz w:val="20"/>
                <w:szCs w:val="20"/>
              </w:rPr>
              <w:t>Before making or varying a method, the Minister must be satisfied that it complies with the Offsets Integrity Standards (OIS) and ACCU Scheme Principles.</w:t>
            </w:r>
          </w:p>
          <w:p w14:paraId="4F3FC487" w14:textId="77777777" w:rsidR="001947A5" w:rsidRPr="00AF3BA5" w:rsidRDefault="001947A5" w:rsidP="001947A5">
            <w:pPr>
              <w:pStyle w:val="List5"/>
              <w:ind w:left="717"/>
              <w:rPr>
                <w:sz w:val="20"/>
                <w:szCs w:val="20"/>
              </w:rPr>
            </w:pPr>
            <w:r w:rsidRPr="00AF3BA5">
              <w:rPr>
                <w:b/>
                <w:sz w:val="20"/>
                <w:szCs w:val="20"/>
              </w:rPr>
              <w:t>5.3</w:t>
            </w:r>
            <w:r w:rsidRPr="00AF3BA5">
              <w:rPr>
                <w:sz w:val="20"/>
                <w:szCs w:val="20"/>
              </w:rPr>
              <w:t xml:space="preserve"> </w:t>
            </w:r>
            <w:r w:rsidRPr="00AF3BA5">
              <w:rPr>
                <w:sz w:val="20"/>
                <w:szCs w:val="20"/>
              </w:rPr>
              <w:tab/>
              <w:t xml:space="preserve">The CAIC must only endorse a method if it is satisfied that it complies with the OIS.  </w:t>
            </w:r>
          </w:p>
          <w:p w14:paraId="5C633E04" w14:textId="77777777" w:rsidR="001947A5" w:rsidRPr="00AF3BA5" w:rsidRDefault="001947A5" w:rsidP="001947A5">
            <w:pPr>
              <w:pStyle w:val="List5"/>
              <w:ind w:left="717"/>
              <w:rPr>
                <w:sz w:val="20"/>
                <w:szCs w:val="20"/>
              </w:rPr>
            </w:pPr>
            <w:r w:rsidRPr="00AF3BA5">
              <w:rPr>
                <w:b/>
                <w:bCs w:val="0"/>
                <w:sz w:val="20"/>
                <w:szCs w:val="20"/>
              </w:rPr>
              <w:t>5.4</w:t>
            </w:r>
            <w:r w:rsidRPr="00AF3BA5">
              <w:rPr>
                <w:sz w:val="20"/>
                <w:szCs w:val="20"/>
              </w:rPr>
              <w:t xml:space="preserve"> The Minister and the CAIC must publish reasons for recommendations and for decisions.</w:t>
            </w:r>
          </w:p>
          <w:p w14:paraId="664F0A86" w14:textId="77777777" w:rsidR="001947A5" w:rsidRPr="00AF3BA5" w:rsidRDefault="001947A5" w:rsidP="001947A5">
            <w:pPr>
              <w:pStyle w:val="List5"/>
              <w:ind w:left="717"/>
              <w:rPr>
                <w:sz w:val="20"/>
                <w:szCs w:val="20"/>
              </w:rPr>
            </w:pPr>
            <w:r w:rsidRPr="00AF3BA5">
              <w:rPr>
                <w:b/>
                <w:bCs w:val="0"/>
                <w:sz w:val="20"/>
                <w:szCs w:val="20"/>
              </w:rPr>
              <w:t>5.5</w:t>
            </w:r>
            <w:r w:rsidRPr="00AF3BA5">
              <w:rPr>
                <w:b/>
                <w:bCs w:val="0"/>
                <w:sz w:val="20"/>
                <w:szCs w:val="20"/>
              </w:rPr>
              <w:tab/>
            </w:r>
            <w:r w:rsidRPr="00AF3BA5">
              <w:rPr>
                <w:sz w:val="20"/>
                <w:szCs w:val="20"/>
              </w:rPr>
              <w:t xml:space="preserve">The Department should support method development, including supporting community and NGO participation. Support could include allocation of staff resources, grants and other mechanisms. </w:t>
            </w:r>
          </w:p>
          <w:p w14:paraId="0153A62D" w14:textId="77777777" w:rsidR="001947A5" w:rsidRPr="00AF3BA5" w:rsidRDefault="001947A5" w:rsidP="00612D33">
            <w:pPr>
              <w:pStyle w:val="List5"/>
              <w:numPr>
                <w:ilvl w:val="1"/>
                <w:numId w:val="34"/>
              </w:numPr>
              <w:ind w:left="717"/>
              <w:rPr>
                <w:sz w:val="20"/>
                <w:szCs w:val="20"/>
              </w:rPr>
            </w:pPr>
            <w:r w:rsidRPr="00AF3BA5">
              <w:rPr>
                <w:sz w:val="20"/>
                <w:szCs w:val="20"/>
              </w:rPr>
              <w:t>The proposed process should apply to methods currently in development.</w:t>
            </w:r>
          </w:p>
          <w:p w14:paraId="011ACA9E" w14:textId="77777777" w:rsidR="001947A5" w:rsidRPr="00C07320" w:rsidRDefault="001947A5" w:rsidP="00612D33">
            <w:pPr>
              <w:pStyle w:val="ListParagraph"/>
              <w:numPr>
                <w:ilvl w:val="1"/>
                <w:numId w:val="34"/>
              </w:numPr>
              <w:spacing w:after="0"/>
              <w:ind w:left="717"/>
              <w:rPr>
                <w:rStyle w:val="Emphasis"/>
                <w:rFonts w:ascii="Calibri" w:eastAsia="Calibri" w:hAnsi="Calibri" w:cs="Times New Roman"/>
                <w:i w:val="0"/>
                <w:iCs w:val="0"/>
                <w:sz w:val="20"/>
                <w:szCs w:val="20"/>
              </w:rPr>
            </w:pPr>
            <w:r w:rsidRPr="00C07320">
              <w:rPr>
                <w:sz w:val="20"/>
                <w:szCs w:val="20"/>
              </w:rPr>
              <w:t>Until the CAIC is established, the Department should develop a framework for proponents to follow when proposing and developing methods and modifications.</w:t>
            </w:r>
          </w:p>
        </w:tc>
        <w:tc>
          <w:tcPr>
            <w:tcW w:w="6944" w:type="dxa"/>
          </w:tcPr>
          <w:p w14:paraId="3EA80271" w14:textId="77777777" w:rsidR="001947A5" w:rsidRPr="001947A5" w:rsidRDefault="001947A5" w:rsidP="001947A5">
            <w:pPr>
              <w:pStyle w:val="Normalsmall"/>
              <w:rPr>
                <w:b/>
                <w:i/>
                <w:color w:val="006266"/>
                <w:sz w:val="20"/>
              </w:rPr>
            </w:pPr>
            <w:r w:rsidRPr="001947A5">
              <w:rPr>
                <w:b/>
                <w:i/>
                <w:color w:val="006266"/>
                <w:sz w:val="20"/>
              </w:rPr>
              <w:lastRenderedPageBreak/>
              <w:t>Key findings</w:t>
            </w:r>
          </w:p>
          <w:p w14:paraId="387C8C4C" w14:textId="77777777" w:rsidR="001947A5" w:rsidRPr="009E107F" w:rsidRDefault="001947A5" w:rsidP="001947A5">
            <w:pPr>
              <w:pStyle w:val="Style1ListNumber2"/>
              <w:numPr>
                <w:ilvl w:val="0"/>
                <w:numId w:val="0"/>
              </w:numPr>
              <w:rPr>
                <w:sz w:val="20"/>
                <w:szCs w:val="20"/>
              </w:rPr>
            </w:pPr>
            <w:r w:rsidRPr="009E107F">
              <w:rPr>
                <w:sz w:val="20"/>
                <w:szCs w:val="20"/>
              </w:rPr>
              <w:t>It is important to provide incentives for all emissions reduction options.</w:t>
            </w:r>
          </w:p>
          <w:p w14:paraId="1D1F151B" w14:textId="77777777" w:rsidR="001947A5" w:rsidRPr="009E107F" w:rsidRDefault="001947A5" w:rsidP="001947A5">
            <w:pPr>
              <w:pStyle w:val="Style1ListNumber2"/>
              <w:numPr>
                <w:ilvl w:val="0"/>
                <w:numId w:val="0"/>
              </w:numPr>
              <w:rPr>
                <w:sz w:val="20"/>
                <w:szCs w:val="20"/>
              </w:rPr>
            </w:pPr>
            <w:r w:rsidRPr="009E107F">
              <w:rPr>
                <w:sz w:val="20"/>
                <w:szCs w:val="20"/>
              </w:rPr>
              <w:t xml:space="preserve">The current method development process impedes timely and effective emissions reductions. The focus of method development should shift towards a more modular proponent-led approach to facilitate fit-for-purpose development and implementation of methods for delivering high integrity emissions-reductions.  </w:t>
            </w:r>
          </w:p>
          <w:p w14:paraId="4C7969F3" w14:textId="77777777" w:rsidR="001947A5" w:rsidRPr="009E107F" w:rsidRDefault="001947A5" w:rsidP="001947A5">
            <w:pPr>
              <w:pStyle w:val="Style1ListNumber2"/>
              <w:numPr>
                <w:ilvl w:val="0"/>
                <w:numId w:val="0"/>
              </w:numPr>
              <w:rPr>
                <w:sz w:val="20"/>
                <w:szCs w:val="20"/>
              </w:rPr>
            </w:pPr>
            <w:r w:rsidRPr="009E107F">
              <w:rPr>
                <w:sz w:val="20"/>
                <w:szCs w:val="20"/>
              </w:rPr>
              <w:t>The process for prioritising new methods for development has not been sufficiently transparent and accessible to all groups.</w:t>
            </w:r>
          </w:p>
          <w:p w14:paraId="68E27182" w14:textId="77777777" w:rsidR="001947A5" w:rsidRPr="00F54CCC" w:rsidRDefault="001947A5" w:rsidP="001947A5">
            <w:pPr>
              <w:pStyle w:val="Style1ListNumber2"/>
              <w:numPr>
                <w:ilvl w:val="0"/>
                <w:numId w:val="0"/>
              </w:numPr>
              <w:rPr>
                <w:b/>
                <w:bCs/>
              </w:rPr>
            </w:pPr>
            <w:r w:rsidRPr="009E107F">
              <w:rPr>
                <w:sz w:val="20"/>
                <w:szCs w:val="20"/>
              </w:rPr>
              <w:t>A proponent-led method development model would promote innovation by giving proponents the flexibility to develop or adapt new approaches to carbon abatement. This approach would also support the development of a portfolio of methods able to deliver emissions reductions at scale.</w:t>
            </w:r>
          </w:p>
          <w:p w14:paraId="52296716" w14:textId="77777777" w:rsidR="001947A5" w:rsidRPr="009E107F" w:rsidRDefault="001947A5" w:rsidP="001947A5">
            <w:pPr>
              <w:pStyle w:val="Style1ListNumber2"/>
              <w:numPr>
                <w:ilvl w:val="0"/>
                <w:numId w:val="0"/>
              </w:numPr>
              <w:rPr>
                <w:sz w:val="20"/>
                <w:szCs w:val="20"/>
              </w:rPr>
            </w:pPr>
            <w:r w:rsidRPr="009E107F">
              <w:rPr>
                <w:sz w:val="20"/>
                <w:szCs w:val="20"/>
              </w:rPr>
              <w:t xml:space="preserve">Method development must continue to be supported by clear and compelling evidence that has been independently peer reviewed, preferably scientific results published in peer-reviewed literature.  </w:t>
            </w:r>
          </w:p>
          <w:p w14:paraId="19648F2F" w14:textId="77777777" w:rsidR="001947A5" w:rsidRPr="00433058" w:rsidRDefault="001947A5" w:rsidP="001947A5">
            <w:pPr>
              <w:pStyle w:val="Style1ListNumber2"/>
              <w:numPr>
                <w:ilvl w:val="0"/>
                <w:numId w:val="0"/>
              </w:numPr>
              <w:rPr>
                <w:rStyle w:val="Emphasis"/>
                <w:rFonts w:cstheme="minorHAnsi"/>
                <w:i w:val="0"/>
                <w:iCs w:val="0"/>
                <w:color w:val="auto"/>
                <w:sz w:val="20"/>
                <w:szCs w:val="20"/>
              </w:rPr>
            </w:pPr>
            <w:r w:rsidRPr="009E107F">
              <w:rPr>
                <w:sz w:val="20"/>
                <w:szCs w:val="20"/>
              </w:rPr>
              <w:lastRenderedPageBreak/>
              <w:t>Proponent-led method development is consistent with commonly accepted international practice.</w:t>
            </w:r>
          </w:p>
        </w:tc>
      </w:tr>
    </w:tbl>
    <w:p w14:paraId="42956B85" w14:textId="77777777" w:rsidR="001947A5" w:rsidRDefault="001947A5" w:rsidP="001947A5">
      <w:pPr>
        <w:rPr>
          <w:rFonts w:asciiTheme="minorHAnsi" w:hAnsiTheme="minorHAnsi" w:cstheme="minorHAnsi"/>
          <w:sz w:val="20"/>
          <w:szCs w:val="20"/>
        </w:rPr>
      </w:pPr>
    </w:p>
    <w:tbl>
      <w:tblPr>
        <w:tblStyle w:val="TableGridLight"/>
        <w:tblW w:w="0" w:type="auto"/>
        <w:tblLook w:val="04A0" w:firstRow="1" w:lastRow="0" w:firstColumn="1" w:lastColumn="0" w:noHBand="0" w:noVBand="1"/>
      </w:tblPr>
      <w:tblGrid>
        <w:gridCol w:w="6974"/>
        <w:gridCol w:w="6974"/>
      </w:tblGrid>
      <w:tr w:rsidR="001947A5" w14:paraId="50DB2308" w14:textId="77777777" w:rsidTr="001947A5">
        <w:tc>
          <w:tcPr>
            <w:tcW w:w="13948" w:type="dxa"/>
            <w:gridSpan w:val="2"/>
          </w:tcPr>
          <w:p w14:paraId="794A934C" w14:textId="77777777" w:rsidR="001947A5" w:rsidRPr="00C91E4D" w:rsidRDefault="001947A5" w:rsidP="001947A5">
            <w:pPr>
              <w:spacing w:before="80"/>
              <w:rPr>
                <w:rFonts w:asciiTheme="minorHAnsi" w:hAnsiTheme="minorHAnsi" w:cstheme="minorHAnsi"/>
                <w:b/>
                <w:bCs/>
                <w:sz w:val="20"/>
                <w:szCs w:val="20"/>
              </w:rPr>
            </w:pPr>
            <w:r w:rsidRPr="00C91E4D">
              <w:rPr>
                <w:rFonts w:asciiTheme="minorHAnsi" w:hAnsiTheme="minorHAnsi" w:cstheme="minorHAnsi"/>
                <w:b/>
                <w:bCs/>
                <w:sz w:val="20"/>
                <w:szCs w:val="20"/>
              </w:rPr>
              <w:t>Terms of Reference</w:t>
            </w:r>
          </w:p>
          <w:p w14:paraId="3D01BD7A" w14:textId="77777777" w:rsidR="001947A5" w:rsidRPr="00314499" w:rsidRDefault="001947A5" w:rsidP="001947A5">
            <w:pPr>
              <w:spacing w:before="80"/>
              <w:rPr>
                <w:rFonts w:asciiTheme="minorHAnsi" w:hAnsiTheme="minorHAnsi" w:cstheme="minorHAnsi"/>
                <w:sz w:val="20"/>
                <w:szCs w:val="20"/>
              </w:rPr>
            </w:pPr>
            <w:r w:rsidRPr="00314499">
              <w:rPr>
                <w:rStyle w:val="StyleListNumber1Char"/>
                <w:rFonts w:asciiTheme="minorHAnsi" w:hAnsiTheme="minorHAnsi" w:cstheme="minorHAnsi"/>
                <w:sz w:val="20"/>
                <w:szCs w:val="20"/>
              </w:rPr>
              <w:t>1</w:t>
            </w:r>
            <w:r w:rsidRPr="00314499">
              <w:rPr>
                <w:rFonts w:asciiTheme="minorHAnsi" w:hAnsiTheme="minorHAnsi" w:cstheme="minorHAnsi"/>
                <w:sz w:val="20"/>
                <w:szCs w:val="20"/>
              </w:rPr>
              <w:t>(a) Whether scheme governance is appropriate, including:</w:t>
            </w:r>
          </w:p>
          <w:p w14:paraId="06CEB655" w14:textId="77777777" w:rsidR="001947A5" w:rsidRPr="00C07320" w:rsidRDefault="001947A5" w:rsidP="00612D33">
            <w:pPr>
              <w:pStyle w:val="ListParagraph"/>
              <w:numPr>
                <w:ilvl w:val="0"/>
                <w:numId w:val="35"/>
              </w:numPr>
              <w:spacing w:before="80"/>
              <w:rPr>
                <w:rFonts w:asciiTheme="minorHAnsi" w:hAnsiTheme="minorHAnsi" w:cstheme="minorHAnsi"/>
                <w:sz w:val="20"/>
                <w:szCs w:val="20"/>
              </w:rPr>
            </w:pPr>
            <w:r w:rsidRPr="00C07320">
              <w:rPr>
                <w:rFonts w:asciiTheme="minorHAnsi" w:hAnsiTheme="minorHAnsi" w:cstheme="minorHAnsi"/>
                <w:sz w:val="20"/>
                <w:szCs w:val="20"/>
              </w:rPr>
              <w:t>Whether the scheme’s settings and legislative requirements are appropriate to ensure good governance and confidence in scheme integrity.</w:t>
            </w:r>
          </w:p>
          <w:p w14:paraId="43359985" w14:textId="77777777" w:rsidR="001947A5" w:rsidRPr="00314499" w:rsidRDefault="001947A5" w:rsidP="001947A5">
            <w:pPr>
              <w:spacing w:before="80"/>
              <w:rPr>
                <w:rFonts w:asciiTheme="minorHAnsi" w:hAnsiTheme="minorHAnsi" w:cstheme="minorHAnsi"/>
                <w:sz w:val="20"/>
                <w:szCs w:val="20"/>
              </w:rPr>
            </w:pPr>
            <w:r w:rsidRPr="00314499">
              <w:rPr>
                <w:rFonts w:asciiTheme="minorHAnsi" w:hAnsiTheme="minorHAnsi" w:cstheme="minorHAnsi"/>
                <w:sz w:val="20"/>
                <w:szCs w:val="20"/>
              </w:rPr>
              <w:t xml:space="preserve">1(b). Whether the methods by which ACCUs are generated meet the offsets integrity standards, including: </w:t>
            </w:r>
          </w:p>
          <w:p w14:paraId="7A4F5775" w14:textId="77777777" w:rsidR="001947A5" w:rsidRPr="00D21554" w:rsidRDefault="001947A5" w:rsidP="00612D33">
            <w:pPr>
              <w:pStyle w:val="ListParagraph"/>
              <w:numPr>
                <w:ilvl w:val="0"/>
                <w:numId w:val="36"/>
              </w:numPr>
              <w:rPr>
                <w:rFonts w:asciiTheme="minorHAnsi" w:hAnsiTheme="minorHAnsi" w:cstheme="minorHAnsi"/>
                <w:sz w:val="20"/>
                <w:szCs w:val="20"/>
              </w:rPr>
            </w:pPr>
            <w:r w:rsidRPr="00D21554">
              <w:rPr>
                <w:rFonts w:asciiTheme="minorHAnsi" w:hAnsiTheme="minorHAnsi" w:cstheme="minorHAnsi"/>
                <w:sz w:val="20"/>
                <w:szCs w:val="20"/>
              </w:rPr>
              <w:t>Whether method development and review processes are appropriate and effective.</w:t>
            </w:r>
          </w:p>
        </w:tc>
      </w:tr>
      <w:tr w:rsidR="001947A5" w14:paraId="48FC5845" w14:textId="77777777" w:rsidTr="001947A5">
        <w:tc>
          <w:tcPr>
            <w:tcW w:w="6974" w:type="dxa"/>
          </w:tcPr>
          <w:p w14:paraId="01DBC9BE" w14:textId="77777777" w:rsidR="001947A5" w:rsidRDefault="001947A5" w:rsidP="001947A5">
            <w:pPr>
              <w:rPr>
                <w:rFonts w:asciiTheme="minorHAnsi" w:hAnsiTheme="minorHAnsi" w:cstheme="minorHAnsi"/>
                <w:sz w:val="20"/>
                <w:szCs w:val="20"/>
              </w:rPr>
            </w:pPr>
            <w:r w:rsidRPr="002561E3">
              <w:rPr>
                <w:rFonts w:cs="Calibri"/>
                <w:b/>
                <w:sz w:val="20"/>
                <w:szCs w:val="20"/>
              </w:rPr>
              <w:t>Recommendation 6. T</w:t>
            </w:r>
            <w:r w:rsidRPr="002561E3">
              <w:rPr>
                <w:b/>
                <w:sz w:val="20"/>
                <w:szCs w:val="20"/>
              </w:rPr>
              <w:t xml:space="preserve">he Offsets Integrity Standards </w:t>
            </w:r>
            <w:r>
              <w:rPr>
                <w:b/>
                <w:sz w:val="20"/>
                <w:szCs w:val="20"/>
              </w:rPr>
              <w:t xml:space="preserve">(OIS) </w:t>
            </w:r>
            <w:r w:rsidRPr="002561E3">
              <w:rPr>
                <w:b/>
                <w:sz w:val="20"/>
                <w:szCs w:val="20"/>
              </w:rPr>
              <w:t xml:space="preserve">should be clearly defined and supplemented with </w:t>
            </w:r>
            <w:r w:rsidRPr="002561E3">
              <w:rPr>
                <w:rFonts w:cs="Calibri"/>
                <w:b/>
                <w:sz w:val="20"/>
                <w:szCs w:val="20"/>
              </w:rPr>
              <w:t>ACCU Scheme Principles to support their consistent application in method development and project implementation and administration.</w:t>
            </w:r>
          </w:p>
        </w:tc>
        <w:tc>
          <w:tcPr>
            <w:tcW w:w="6974" w:type="dxa"/>
          </w:tcPr>
          <w:p w14:paraId="1E76625B" w14:textId="77777777" w:rsidR="001947A5" w:rsidRPr="001947A5" w:rsidRDefault="001947A5" w:rsidP="001947A5">
            <w:pPr>
              <w:pStyle w:val="Normalsmall"/>
              <w:rPr>
                <w:b/>
                <w:i/>
                <w:color w:val="006266"/>
                <w:sz w:val="20"/>
              </w:rPr>
            </w:pPr>
            <w:r w:rsidRPr="001947A5">
              <w:rPr>
                <w:b/>
                <w:i/>
                <w:color w:val="006266"/>
                <w:sz w:val="20"/>
              </w:rPr>
              <w:t>Key findings</w:t>
            </w:r>
          </w:p>
          <w:p w14:paraId="47675818" w14:textId="77777777" w:rsidR="001947A5" w:rsidRPr="002561E3" w:rsidRDefault="001947A5" w:rsidP="001947A5">
            <w:pPr>
              <w:pStyle w:val="StyleNormalBody"/>
              <w:rPr>
                <w:b/>
                <w:bCs/>
                <w:sz w:val="20"/>
                <w:szCs w:val="20"/>
                <w:lang w:val="en-AU"/>
              </w:rPr>
            </w:pPr>
            <w:r w:rsidRPr="002561E3">
              <w:rPr>
                <w:sz w:val="20"/>
                <w:szCs w:val="20"/>
                <w:lang w:val="en-AU"/>
              </w:rPr>
              <w:t xml:space="preserve">Interpreting the OIS is inherently complex. Different judgements lead to different expectations. </w:t>
            </w:r>
          </w:p>
          <w:p w14:paraId="62AB6D8E" w14:textId="77777777" w:rsidR="001947A5" w:rsidRPr="002561E3" w:rsidRDefault="001947A5" w:rsidP="001947A5">
            <w:pPr>
              <w:pStyle w:val="StyleNormalBody"/>
              <w:rPr>
                <w:sz w:val="20"/>
                <w:szCs w:val="20"/>
                <w:lang w:val="en-AU"/>
              </w:rPr>
            </w:pPr>
            <w:r w:rsidRPr="002561E3">
              <w:rPr>
                <w:sz w:val="20"/>
                <w:szCs w:val="20"/>
                <w:lang w:val="en-AU"/>
              </w:rPr>
              <w:lastRenderedPageBreak/>
              <w:t>The current OIS, in conjunction with key ACCU scheme provisions, are consistent with good governance, well regarded by stakeholders and experts, and support confidence in the integrity of A</w:t>
            </w:r>
            <w:r w:rsidRPr="002561E3">
              <w:rPr>
                <w:sz w:val="20"/>
                <w:szCs w:val="20"/>
              </w:rPr>
              <w:t>CCUs</w:t>
            </w:r>
            <w:r w:rsidRPr="002561E3">
              <w:rPr>
                <w:sz w:val="20"/>
                <w:szCs w:val="20"/>
                <w:lang w:val="en-AU"/>
              </w:rPr>
              <w:t xml:space="preserve"> and t</w:t>
            </w:r>
            <w:r w:rsidRPr="002561E3">
              <w:rPr>
                <w:sz w:val="20"/>
                <w:szCs w:val="20"/>
              </w:rPr>
              <w:t xml:space="preserve">he </w:t>
            </w:r>
            <w:r w:rsidRPr="002561E3">
              <w:rPr>
                <w:sz w:val="20"/>
                <w:szCs w:val="20"/>
                <w:lang w:val="en-AU"/>
              </w:rPr>
              <w:t xml:space="preserve">scheme. </w:t>
            </w:r>
          </w:p>
          <w:p w14:paraId="6596BC72" w14:textId="77777777" w:rsidR="001947A5" w:rsidRPr="002561E3" w:rsidRDefault="001947A5" w:rsidP="001947A5">
            <w:pPr>
              <w:spacing w:before="160"/>
              <w:rPr>
                <w:bCs/>
                <w:sz w:val="20"/>
                <w:szCs w:val="20"/>
              </w:rPr>
            </w:pPr>
            <w:r w:rsidRPr="002561E3">
              <w:rPr>
                <w:sz w:val="20"/>
                <w:szCs w:val="20"/>
              </w:rPr>
              <w:t xml:space="preserve">Confidence in the application and administration of the OIS is best maintained through a robust and transparent institutional framework. </w:t>
            </w:r>
          </w:p>
          <w:p w14:paraId="62C855C7" w14:textId="77777777" w:rsidR="001947A5" w:rsidRPr="002561E3" w:rsidRDefault="001947A5" w:rsidP="001947A5">
            <w:pPr>
              <w:spacing w:before="160"/>
              <w:rPr>
                <w:rFonts w:cs="Calibri"/>
                <w:bCs/>
                <w:sz w:val="20"/>
                <w:szCs w:val="20"/>
              </w:rPr>
            </w:pPr>
            <w:r w:rsidRPr="002561E3">
              <w:rPr>
                <w:sz w:val="20"/>
                <w:szCs w:val="20"/>
              </w:rPr>
              <w:t xml:space="preserve">Plain English definitions of the OIS supplemented with a suite of </w:t>
            </w:r>
            <w:r w:rsidRPr="002561E3">
              <w:rPr>
                <w:rFonts w:cs="Calibri"/>
                <w:sz w:val="20"/>
                <w:szCs w:val="20"/>
              </w:rPr>
              <w:t>clearly defined principles would support best-practice method development and project implementation, regulation and assurance.</w:t>
            </w:r>
          </w:p>
          <w:p w14:paraId="3A8F9081" w14:textId="77777777" w:rsidR="001947A5" w:rsidRPr="002561E3" w:rsidRDefault="001947A5" w:rsidP="001947A5">
            <w:pPr>
              <w:spacing w:before="160"/>
              <w:rPr>
                <w:b/>
                <w:bCs/>
                <w:sz w:val="20"/>
                <w:szCs w:val="20"/>
              </w:rPr>
            </w:pPr>
            <w:r w:rsidRPr="002561E3">
              <w:rPr>
                <w:sz w:val="20"/>
                <w:szCs w:val="20"/>
              </w:rPr>
              <w:t>Articulating clear and consistent interpretative material, with appropriate standing for enforcement would reduce ambiguity over how the OIS are or should be administered. </w:t>
            </w:r>
          </w:p>
          <w:p w14:paraId="30A77D34" w14:textId="77777777" w:rsidR="001947A5" w:rsidRPr="002561E3" w:rsidRDefault="001947A5" w:rsidP="001947A5">
            <w:pPr>
              <w:pStyle w:val="StyleNormalBody"/>
              <w:rPr>
                <w:b/>
                <w:sz w:val="20"/>
                <w:szCs w:val="20"/>
              </w:rPr>
            </w:pPr>
            <w:r w:rsidRPr="002561E3">
              <w:rPr>
                <w:sz w:val="20"/>
                <w:szCs w:val="20"/>
              </w:rPr>
              <w:t>International experience and initiatives, such as the Integrity Council for the Voluntary Carbon Market’s Core Carbon Principles</w:t>
            </w:r>
            <w:r w:rsidRPr="002561E3">
              <w:rPr>
                <w:rStyle w:val="FootnoteReference"/>
                <w:sz w:val="20"/>
                <w:szCs w:val="20"/>
              </w:rPr>
              <w:footnoteReference w:id="4"/>
            </w:r>
            <w:r w:rsidRPr="002561E3">
              <w:rPr>
                <w:sz w:val="20"/>
                <w:szCs w:val="20"/>
              </w:rPr>
              <w:t xml:space="preserve">, are consolidating views on best practice scheme principles and should be taken into account. </w:t>
            </w:r>
          </w:p>
          <w:p w14:paraId="247B13A7" w14:textId="77777777" w:rsidR="001947A5" w:rsidRPr="002561E3" w:rsidRDefault="001947A5" w:rsidP="001947A5">
            <w:pPr>
              <w:pStyle w:val="StyleNormalBody"/>
              <w:rPr>
                <w:b/>
                <w:sz w:val="20"/>
                <w:szCs w:val="20"/>
              </w:rPr>
            </w:pPr>
            <w:r w:rsidRPr="002561E3">
              <w:rPr>
                <w:sz w:val="20"/>
                <w:szCs w:val="20"/>
              </w:rPr>
              <w:t xml:space="preserve">The Panel endorses the definitions adopted by the CCA for scheme criteria, standards and principles – principles are </w:t>
            </w:r>
            <w:r w:rsidRPr="002561E3">
              <w:rPr>
                <w:sz w:val="20"/>
                <w:szCs w:val="20"/>
                <w:lang w:val="en-AU"/>
              </w:rPr>
              <w:t>the combination of criteria and the standards which should be met</w:t>
            </w:r>
            <w:r w:rsidRPr="002561E3">
              <w:rPr>
                <w:rStyle w:val="FootnoteReference"/>
                <w:sz w:val="20"/>
                <w:szCs w:val="20"/>
                <w:lang w:val="en-AU"/>
              </w:rPr>
              <w:footnoteReference w:id="5"/>
            </w:r>
            <w:r w:rsidRPr="002561E3">
              <w:rPr>
                <w:sz w:val="20"/>
                <w:szCs w:val="20"/>
                <w:lang w:val="en-AU"/>
              </w:rPr>
              <w:t>.</w:t>
            </w:r>
          </w:p>
          <w:p w14:paraId="20ADA664" w14:textId="77777777" w:rsidR="001947A5" w:rsidRPr="002561E3" w:rsidRDefault="001947A5" w:rsidP="001947A5">
            <w:pPr>
              <w:pStyle w:val="StyleNormalBody"/>
              <w:rPr>
                <w:sz w:val="20"/>
                <w:szCs w:val="20"/>
              </w:rPr>
            </w:pPr>
            <w:r w:rsidRPr="002561E3">
              <w:rPr>
                <w:rStyle w:val="Emphasis"/>
                <w:iCs w:val="0"/>
                <w:sz w:val="20"/>
                <w:szCs w:val="20"/>
              </w:rPr>
              <w:t xml:space="preserve">At the project-level the </w:t>
            </w:r>
            <w:r w:rsidRPr="002561E3">
              <w:rPr>
                <w:sz w:val="20"/>
                <w:szCs w:val="20"/>
              </w:rPr>
              <w:t>regulatory additionality requirement and the government program requirement are appropriate, but the newness requirement should be refocussed to place emphasis on ‘new’ abatement that will be credited following a project’s commencement date.</w:t>
            </w:r>
          </w:p>
          <w:p w14:paraId="40D51110" w14:textId="77777777" w:rsidR="001947A5" w:rsidRDefault="001947A5" w:rsidP="001947A5">
            <w:pPr>
              <w:rPr>
                <w:rFonts w:asciiTheme="minorHAnsi" w:hAnsiTheme="minorHAnsi" w:cstheme="minorHAnsi"/>
                <w:sz w:val="20"/>
                <w:szCs w:val="20"/>
              </w:rPr>
            </w:pPr>
            <w:r w:rsidRPr="002561E3">
              <w:rPr>
                <w:rStyle w:val="Emphasis"/>
                <w:iCs w:val="0"/>
                <w:sz w:val="20"/>
                <w:szCs w:val="20"/>
              </w:rPr>
              <w:t>At the method-level, additionality tests should be applied on the basis of evidence and observable common practice, and not require statements of intent or financial viability by project proponent.</w:t>
            </w:r>
          </w:p>
        </w:tc>
      </w:tr>
      <w:tr w:rsidR="001947A5" w14:paraId="4B9B5FAC" w14:textId="77777777" w:rsidTr="001947A5">
        <w:tc>
          <w:tcPr>
            <w:tcW w:w="6974" w:type="dxa"/>
          </w:tcPr>
          <w:p w14:paraId="13D33785" w14:textId="77777777" w:rsidR="001947A5" w:rsidRDefault="001947A5" w:rsidP="001947A5">
            <w:pPr>
              <w:rPr>
                <w:rFonts w:asciiTheme="minorHAnsi" w:hAnsiTheme="minorHAnsi" w:cstheme="minorHAnsi"/>
                <w:sz w:val="20"/>
                <w:szCs w:val="20"/>
              </w:rPr>
            </w:pPr>
            <w:r w:rsidRPr="002561E3">
              <w:rPr>
                <w:rFonts w:cs="Calibri"/>
                <w:b/>
                <w:sz w:val="20"/>
                <w:szCs w:val="20"/>
              </w:rPr>
              <w:lastRenderedPageBreak/>
              <w:t xml:space="preserve">Recommendation 7. The CCA should provide advice to the Minister on the merits of a mechanism at the scheme level </w:t>
            </w:r>
            <w:r w:rsidRPr="002561E3">
              <w:rPr>
                <w:rFonts w:cs="Calibri"/>
                <w:b/>
                <w:bCs/>
                <w:sz w:val="20"/>
                <w:szCs w:val="20"/>
              </w:rPr>
              <w:t>to provide</w:t>
            </w:r>
            <w:r w:rsidRPr="002561E3">
              <w:rPr>
                <w:rFonts w:cs="Calibri"/>
                <w:b/>
                <w:sz w:val="20"/>
                <w:szCs w:val="20"/>
              </w:rPr>
              <w:t xml:space="preserve"> further </w:t>
            </w:r>
            <w:r w:rsidRPr="002561E3">
              <w:rPr>
                <w:rFonts w:cs="Calibri"/>
                <w:b/>
                <w:bCs/>
                <w:sz w:val="20"/>
                <w:szCs w:val="20"/>
              </w:rPr>
              <w:t>assurance of additionality</w:t>
            </w:r>
            <w:r w:rsidRPr="002561E3">
              <w:rPr>
                <w:rFonts w:cs="Calibri"/>
                <w:b/>
                <w:sz w:val="20"/>
                <w:szCs w:val="20"/>
              </w:rPr>
              <w:t xml:space="preserve"> and </w:t>
            </w:r>
            <w:r w:rsidRPr="002561E3">
              <w:rPr>
                <w:rFonts w:cs="Calibri"/>
                <w:b/>
                <w:bCs/>
                <w:sz w:val="20"/>
                <w:szCs w:val="20"/>
              </w:rPr>
              <w:t>conservativeness in a transparent manner</w:t>
            </w:r>
            <w:r w:rsidRPr="002561E3">
              <w:rPr>
                <w:rFonts w:cs="Calibri"/>
                <w:b/>
                <w:sz w:val="20"/>
                <w:szCs w:val="20"/>
              </w:rPr>
              <w:t>.</w:t>
            </w:r>
          </w:p>
        </w:tc>
        <w:tc>
          <w:tcPr>
            <w:tcW w:w="6974" w:type="dxa"/>
          </w:tcPr>
          <w:p w14:paraId="1FFF413C" w14:textId="77777777" w:rsidR="001947A5" w:rsidRPr="001947A5" w:rsidRDefault="001947A5" w:rsidP="001947A5">
            <w:pPr>
              <w:pStyle w:val="Normalsmall"/>
              <w:rPr>
                <w:b/>
                <w:i/>
                <w:color w:val="006266"/>
                <w:sz w:val="20"/>
              </w:rPr>
            </w:pPr>
            <w:r w:rsidRPr="001947A5">
              <w:rPr>
                <w:b/>
                <w:i/>
                <w:color w:val="006266"/>
                <w:sz w:val="20"/>
              </w:rPr>
              <w:t>Key findings</w:t>
            </w:r>
          </w:p>
          <w:p w14:paraId="588D9BB5" w14:textId="77777777" w:rsidR="001947A5" w:rsidRDefault="001947A5" w:rsidP="001947A5">
            <w:pPr>
              <w:rPr>
                <w:rFonts w:asciiTheme="minorHAnsi" w:hAnsiTheme="minorHAnsi" w:cstheme="minorHAnsi"/>
                <w:sz w:val="20"/>
                <w:szCs w:val="20"/>
              </w:rPr>
            </w:pPr>
            <w:r w:rsidRPr="002561E3">
              <w:rPr>
                <w:sz w:val="20"/>
                <w:szCs w:val="20"/>
              </w:rPr>
              <w:t xml:space="preserve">Implementing a scheme-level buffer – the mandatory cancellation of a percentage of ACCUs generated under the scheme – would ensure that abatement credited was appropriately conservative across the scheme portfolio. However, this </w:t>
            </w:r>
            <w:r w:rsidRPr="002561E3">
              <w:rPr>
                <w:sz w:val="20"/>
                <w:szCs w:val="20"/>
              </w:rPr>
              <w:lastRenderedPageBreak/>
              <w:t>warrants further consideration because, for example, it may risk upward pressure on the ACCU price</w:t>
            </w:r>
            <w:r>
              <w:rPr>
                <w:sz w:val="20"/>
                <w:szCs w:val="20"/>
              </w:rPr>
              <w:t>,</w:t>
            </w:r>
            <w:r w:rsidRPr="002561E3">
              <w:rPr>
                <w:sz w:val="20"/>
                <w:szCs w:val="20"/>
              </w:rPr>
              <w:t xml:space="preserve"> with implications for the cost-effectiveness of abatement.</w:t>
            </w:r>
          </w:p>
        </w:tc>
      </w:tr>
    </w:tbl>
    <w:p w14:paraId="22B2190F" w14:textId="77777777" w:rsidR="001947A5" w:rsidRDefault="001947A5" w:rsidP="001947A5">
      <w:pPr>
        <w:rPr>
          <w:rFonts w:asciiTheme="minorHAnsi" w:hAnsiTheme="minorHAnsi" w:cstheme="minorHAnsi"/>
          <w:sz w:val="20"/>
          <w:szCs w:val="20"/>
        </w:rPr>
      </w:pPr>
    </w:p>
    <w:p w14:paraId="25782A8B" w14:textId="77777777" w:rsidR="001947A5" w:rsidRDefault="001947A5" w:rsidP="001947A5">
      <w:pPr>
        <w:spacing w:before="80"/>
        <w:rPr>
          <w:rFonts w:asciiTheme="minorHAnsi" w:hAnsiTheme="minorHAnsi" w:cstheme="minorHAnsi"/>
          <w:sz w:val="20"/>
          <w:szCs w:val="20"/>
        </w:rPr>
      </w:pPr>
    </w:p>
    <w:p w14:paraId="0E04E506" w14:textId="77777777" w:rsidR="001947A5" w:rsidRPr="00314499" w:rsidRDefault="001947A5" w:rsidP="001947A5">
      <w:pPr>
        <w:rPr>
          <w:rFonts w:asciiTheme="minorHAnsi" w:hAnsiTheme="minorHAnsi" w:cstheme="minorHAnsi"/>
          <w:sz w:val="20"/>
          <w:szCs w:val="20"/>
        </w:rPr>
      </w:pPr>
    </w:p>
    <w:tbl>
      <w:tblPr>
        <w:tblStyle w:val="TableGridLight"/>
        <w:tblW w:w="13887" w:type="dxa"/>
        <w:tblLook w:val="04A0" w:firstRow="1" w:lastRow="0" w:firstColumn="1" w:lastColumn="0" w:noHBand="0" w:noVBand="1"/>
      </w:tblPr>
      <w:tblGrid>
        <w:gridCol w:w="6943"/>
        <w:gridCol w:w="6944"/>
      </w:tblGrid>
      <w:tr w:rsidR="001947A5" w:rsidRPr="00314499" w14:paraId="6BF5D601" w14:textId="77777777" w:rsidTr="001947A5">
        <w:tc>
          <w:tcPr>
            <w:tcW w:w="13887" w:type="dxa"/>
            <w:gridSpan w:val="2"/>
          </w:tcPr>
          <w:p w14:paraId="6CD2D871" w14:textId="77777777" w:rsidR="001947A5" w:rsidRPr="00C91E4D" w:rsidRDefault="001947A5" w:rsidP="001947A5">
            <w:pPr>
              <w:pStyle w:val="Heading4"/>
              <w:outlineLvl w:val="3"/>
              <w:rPr>
                <w:rFonts w:asciiTheme="minorHAnsi" w:hAnsiTheme="minorHAnsi" w:cstheme="minorHAnsi"/>
                <w:sz w:val="20"/>
                <w:szCs w:val="20"/>
              </w:rPr>
            </w:pPr>
            <w:r w:rsidRPr="00C91E4D">
              <w:rPr>
                <w:rFonts w:asciiTheme="minorHAnsi" w:hAnsiTheme="minorHAnsi" w:cstheme="minorHAnsi"/>
                <w:sz w:val="20"/>
                <w:szCs w:val="20"/>
              </w:rPr>
              <w:lastRenderedPageBreak/>
              <w:t>Terms of Reference</w:t>
            </w:r>
          </w:p>
          <w:p w14:paraId="6FC648E8" w14:textId="77777777" w:rsidR="001947A5" w:rsidRDefault="001947A5" w:rsidP="001947A5">
            <w:pPr>
              <w:spacing w:before="80"/>
              <w:rPr>
                <w:rFonts w:asciiTheme="minorHAnsi" w:hAnsiTheme="minorHAnsi" w:cstheme="minorHAnsi"/>
                <w:sz w:val="20"/>
                <w:szCs w:val="20"/>
              </w:rPr>
            </w:pPr>
            <w:r w:rsidRPr="00314499">
              <w:rPr>
                <w:rFonts w:asciiTheme="minorHAnsi" w:hAnsiTheme="minorHAnsi" w:cstheme="minorHAnsi"/>
                <w:sz w:val="20"/>
                <w:szCs w:val="20"/>
              </w:rPr>
              <w:t xml:space="preserve">1(b). Whether the methods by which ACCUs are generated meet the offsets integrity standards, including: </w:t>
            </w:r>
          </w:p>
          <w:p w14:paraId="24E7CED0" w14:textId="77777777" w:rsidR="001947A5" w:rsidRPr="00245980" w:rsidRDefault="001947A5" w:rsidP="00612D33">
            <w:pPr>
              <w:pStyle w:val="ListParagraph"/>
              <w:numPr>
                <w:ilvl w:val="0"/>
                <w:numId w:val="32"/>
              </w:numPr>
              <w:spacing w:before="80"/>
              <w:rPr>
                <w:rStyle w:val="Emphasis"/>
                <w:rFonts w:cstheme="minorHAnsi"/>
                <w:i w:val="0"/>
                <w:iCs w:val="0"/>
                <w:sz w:val="20"/>
                <w:szCs w:val="20"/>
              </w:rPr>
            </w:pPr>
            <w:r w:rsidRPr="00245980">
              <w:rPr>
                <w:rFonts w:asciiTheme="minorHAnsi" w:hAnsiTheme="minorHAnsi" w:cstheme="minorHAnsi"/>
                <w:sz w:val="20"/>
                <w:szCs w:val="20"/>
              </w:rPr>
              <w:t>Consideration of recent claims raised about the human-induced regeneration, carbon capture and storage, avoided deforestation, and landfill waste gas methods.</w:t>
            </w:r>
          </w:p>
        </w:tc>
      </w:tr>
      <w:tr w:rsidR="001947A5" w:rsidRPr="00314499" w14:paraId="0B24F750" w14:textId="77777777" w:rsidTr="001947A5">
        <w:trPr>
          <w:trHeight w:val="5815"/>
        </w:trPr>
        <w:tc>
          <w:tcPr>
            <w:tcW w:w="6943" w:type="dxa"/>
          </w:tcPr>
          <w:p w14:paraId="511FD967" w14:textId="77777777" w:rsidR="001947A5" w:rsidRPr="002561E3" w:rsidRDefault="001947A5" w:rsidP="001947A5">
            <w:pPr>
              <w:rPr>
                <w:b/>
                <w:sz w:val="20"/>
                <w:szCs w:val="20"/>
              </w:rPr>
            </w:pPr>
            <w:r w:rsidRPr="002561E3">
              <w:rPr>
                <w:b/>
                <w:sz w:val="20"/>
                <w:szCs w:val="20"/>
              </w:rPr>
              <w:t xml:space="preserve">Recommendation 8. Project administration for the human-induced regeneration (HIR) method should ensure that all HIR projects conform to its current intent: that it is reasonable to expect that the project area will become native forest, attain forest cover, and permanently store carbon as a direct result of project management actions.  </w:t>
            </w:r>
          </w:p>
          <w:p w14:paraId="4DE413C4" w14:textId="77777777" w:rsidR="001947A5" w:rsidRPr="002561E3" w:rsidRDefault="001947A5" w:rsidP="001947A5">
            <w:pPr>
              <w:pStyle w:val="Bullets"/>
              <w:numPr>
                <w:ilvl w:val="0"/>
                <w:numId w:val="0"/>
              </w:numPr>
              <w:rPr>
                <w:sz w:val="20"/>
                <w:szCs w:val="22"/>
              </w:rPr>
            </w:pPr>
            <w:r w:rsidRPr="002561E3">
              <w:rPr>
                <w:rStyle w:val="List5Char"/>
                <w:b/>
                <w:sz w:val="20"/>
                <w:szCs w:val="22"/>
              </w:rPr>
              <w:t>8.1</w:t>
            </w:r>
            <w:r w:rsidRPr="002561E3">
              <w:rPr>
                <w:sz w:val="20"/>
                <w:szCs w:val="22"/>
              </w:rPr>
              <w:t xml:space="preserve"> The method should be interpreted as requiring: </w:t>
            </w:r>
          </w:p>
          <w:p w14:paraId="41D72DC1" w14:textId="77777777" w:rsidR="001947A5" w:rsidRPr="002561E3" w:rsidRDefault="001947A5" w:rsidP="001947A5">
            <w:pPr>
              <w:pStyle w:val="Bullets"/>
              <w:rPr>
                <w:sz w:val="20"/>
                <w:szCs w:val="22"/>
              </w:rPr>
            </w:pPr>
            <w:r w:rsidRPr="002561E3">
              <w:rPr>
                <w:sz w:val="20"/>
                <w:szCs w:val="22"/>
              </w:rPr>
              <w:t>evidence of a causal relationship between the nominated eligible HIR activity or activities and the dominant suppression mechanism(s) that occurred through the entirety of the baseline period;</w:t>
            </w:r>
          </w:p>
          <w:p w14:paraId="77032000" w14:textId="77777777" w:rsidR="001947A5" w:rsidRPr="002561E3" w:rsidRDefault="001947A5" w:rsidP="001947A5">
            <w:pPr>
              <w:pStyle w:val="Bullets"/>
              <w:rPr>
                <w:sz w:val="20"/>
                <w:szCs w:val="22"/>
              </w:rPr>
            </w:pPr>
            <w:r w:rsidRPr="002561E3">
              <w:rPr>
                <w:sz w:val="20"/>
                <w:szCs w:val="22"/>
              </w:rPr>
              <w:t>demonstration that these suppressors are directly addressed by the HIR activity or activities throughout the life of the project; and</w:t>
            </w:r>
          </w:p>
          <w:p w14:paraId="4DEF8680" w14:textId="77777777" w:rsidR="001947A5" w:rsidRPr="002561E3" w:rsidRDefault="001947A5" w:rsidP="00612D33">
            <w:pPr>
              <w:pStyle w:val="Bullets"/>
              <w:numPr>
                <w:ilvl w:val="0"/>
                <w:numId w:val="24"/>
              </w:numPr>
              <w:rPr>
                <w:rFonts w:ascii="Calibri" w:hAnsi="Calibri"/>
                <w:sz w:val="20"/>
                <w:szCs w:val="22"/>
              </w:rPr>
            </w:pPr>
            <w:r w:rsidRPr="002561E3">
              <w:rPr>
                <w:rFonts w:ascii="Calibri" w:hAnsi="Calibri" w:cs="Calibri"/>
                <w:sz w:val="20"/>
                <w:szCs w:val="22"/>
              </w:rPr>
              <w:t>demonstration that the application of FullCAM is consistent with the guidelines</w:t>
            </w:r>
            <w:r w:rsidRPr="002561E3">
              <w:rPr>
                <w:sz w:val="20"/>
                <w:szCs w:val="22"/>
              </w:rPr>
              <w:t>.</w:t>
            </w:r>
          </w:p>
          <w:p w14:paraId="7907C8EB" w14:textId="77777777" w:rsidR="001947A5" w:rsidRPr="002561E3" w:rsidRDefault="001947A5" w:rsidP="001947A5">
            <w:pPr>
              <w:pStyle w:val="Bullets"/>
              <w:numPr>
                <w:ilvl w:val="0"/>
                <w:numId w:val="0"/>
              </w:numPr>
              <w:rPr>
                <w:rFonts w:ascii="Calibri" w:hAnsi="Calibri"/>
                <w:bCs/>
                <w:sz w:val="20"/>
                <w:szCs w:val="22"/>
              </w:rPr>
            </w:pPr>
            <w:r w:rsidRPr="002561E3">
              <w:rPr>
                <w:rFonts w:ascii="Calibri" w:hAnsi="Calibri"/>
                <w:b/>
                <w:bCs/>
                <w:sz w:val="20"/>
                <w:szCs w:val="22"/>
              </w:rPr>
              <w:t>8.2</w:t>
            </w:r>
            <w:r w:rsidRPr="002561E3">
              <w:rPr>
                <w:rFonts w:ascii="Calibri" w:hAnsi="Calibri"/>
                <w:bCs/>
                <w:sz w:val="20"/>
                <w:szCs w:val="22"/>
              </w:rPr>
              <w:t xml:space="preserve"> </w:t>
            </w:r>
            <w:r>
              <w:rPr>
                <w:rFonts w:ascii="Calibri" w:hAnsi="Calibri"/>
                <w:bCs/>
                <w:sz w:val="20"/>
                <w:szCs w:val="22"/>
              </w:rPr>
              <w:t>Each project</w:t>
            </w:r>
            <w:r w:rsidRPr="002561E3">
              <w:rPr>
                <w:rFonts w:ascii="Calibri" w:hAnsi="Calibri"/>
                <w:bCs/>
                <w:sz w:val="20"/>
                <w:szCs w:val="22"/>
              </w:rPr>
              <w:t xml:space="preserve"> must meet these criteria before future ACCUs may be issued. </w:t>
            </w:r>
          </w:p>
          <w:p w14:paraId="3AB3D935" w14:textId="77777777" w:rsidR="001947A5" w:rsidRPr="00314499" w:rsidRDefault="001947A5" w:rsidP="001947A5">
            <w:pPr>
              <w:spacing w:after="0"/>
              <w:rPr>
                <w:rStyle w:val="Emphasis"/>
                <w:rFonts w:eastAsia="Calibri" w:cstheme="minorHAnsi"/>
                <w:bCs/>
                <w:i w:val="0"/>
                <w:iCs w:val="0"/>
                <w:sz w:val="20"/>
                <w:szCs w:val="20"/>
              </w:rPr>
            </w:pPr>
            <w:r w:rsidRPr="002561E3">
              <w:rPr>
                <w:b/>
                <w:sz w:val="20"/>
                <w:szCs w:val="20"/>
              </w:rPr>
              <w:t>8.3</w:t>
            </w:r>
            <w:r w:rsidRPr="002561E3">
              <w:rPr>
                <w:bCs/>
                <w:sz w:val="20"/>
                <w:szCs w:val="20"/>
              </w:rPr>
              <w:t xml:space="preserve"> The CER should include nominated suppression mechanism(s) and eligible HIR activities for new and existing projects on the project register, as soon as feasible, and routinely publish project assessment data and results.</w:t>
            </w:r>
          </w:p>
        </w:tc>
        <w:tc>
          <w:tcPr>
            <w:tcW w:w="6944" w:type="dxa"/>
          </w:tcPr>
          <w:p w14:paraId="12E616A4" w14:textId="77777777" w:rsidR="001947A5" w:rsidRPr="001947A5" w:rsidRDefault="001947A5" w:rsidP="001947A5">
            <w:pPr>
              <w:pStyle w:val="Normalsmall"/>
              <w:rPr>
                <w:b/>
                <w:i/>
                <w:color w:val="006266"/>
                <w:sz w:val="20"/>
              </w:rPr>
            </w:pPr>
            <w:r w:rsidRPr="001947A5">
              <w:rPr>
                <w:b/>
                <w:i/>
                <w:color w:val="006266"/>
                <w:sz w:val="20"/>
              </w:rPr>
              <w:t>Key findings</w:t>
            </w:r>
          </w:p>
          <w:p w14:paraId="49703554" w14:textId="77777777" w:rsidR="001947A5" w:rsidRPr="002561E3" w:rsidRDefault="001947A5" w:rsidP="001947A5">
            <w:pPr>
              <w:pStyle w:val="StyleNormalBody"/>
              <w:rPr>
                <w:b/>
                <w:bCs/>
                <w:sz w:val="20"/>
                <w:szCs w:val="20"/>
              </w:rPr>
            </w:pPr>
            <w:r w:rsidRPr="002561E3">
              <w:rPr>
                <w:sz w:val="20"/>
                <w:szCs w:val="20"/>
              </w:rPr>
              <w:t xml:space="preserve">The HIR method is sound - it meets the OIS and is administered by a robust regulatory framework. Notwithstanding this, there is always room for improvement. </w:t>
            </w:r>
          </w:p>
          <w:p w14:paraId="70BAA404" w14:textId="77777777" w:rsidR="001947A5" w:rsidRPr="002561E3" w:rsidRDefault="001947A5" w:rsidP="001947A5">
            <w:pPr>
              <w:pStyle w:val="StyleNormalBody"/>
              <w:rPr>
                <w:b/>
                <w:bCs/>
                <w:sz w:val="20"/>
                <w:szCs w:val="20"/>
              </w:rPr>
            </w:pPr>
            <w:r w:rsidRPr="002561E3">
              <w:rPr>
                <w:sz w:val="20"/>
                <w:szCs w:val="20"/>
              </w:rPr>
              <w:t xml:space="preserve">HIR projects are subject to additional requirements, including 5-yearly regeneration and forest attainment gateway checks. It would be beneficial for the CER to publish outcomes of project assessments, </w:t>
            </w:r>
            <w:r w:rsidRPr="002561E3">
              <w:rPr>
                <w:color w:val="000000" w:themeColor="text1"/>
                <w:sz w:val="20"/>
                <w:szCs w:val="20"/>
              </w:rPr>
              <w:t>consistent with relevant privacy and confidentiality provisions.</w:t>
            </w:r>
          </w:p>
          <w:p w14:paraId="433318C0" w14:textId="77777777" w:rsidR="001947A5" w:rsidRPr="002561E3" w:rsidRDefault="001947A5" w:rsidP="001947A5">
            <w:pPr>
              <w:pStyle w:val="StyleNormalBody"/>
              <w:rPr>
                <w:b/>
                <w:bCs/>
                <w:sz w:val="20"/>
                <w:szCs w:val="20"/>
              </w:rPr>
            </w:pPr>
            <w:r w:rsidRPr="002561E3">
              <w:rPr>
                <w:rStyle w:val="Emphasis"/>
                <w:iCs w:val="0"/>
                <w:sz w:val="20"/>
                <w:szCs w:val="20"/>
              </w:rPr>
              <w:t xml:space="preserve">While the Panel did not review individual projects, it understands that should </w:t>
            </w:r>
            <w:r w:rsidRPr="002561E3">
              <w:rPr>
                <w:sz w:val="20"/>
                <w:szCs w:val="20"/>
              </w:rPr>
              <w:t xml:space="preserve">any project under any method be found to be noncompliant, the CER would use existing provisions to address project noncompliance on a case-by-case basis. </w:t>
            </w:r>
          </w:p>
          <w:p w14:paraId="1A495BCA" w14:textId="77777777" w:rsidR="001947A5" w:rsidRPr="002561E3" w:rsidDel="000A782D" w:rsidRDefault="001947A5" w:rsidP="001947A5">
            <w:pPr>
              <w:pStyle w:val="StyleNormalBody"/>
              <w:rPr>
                <w:rFonts w:cstheme="minorHAnsi"/>
                <w:color w:val="242424"/>
                <w:sz w:val="20"/>
                <w:szCs w:val="20"/>
                <w:shd w:val="clear" w:color="auto" w:fill="FFFFFF"/>
              </w:rPr>
            </w:pPr>
            <w:r w:rsidRPr="002561E3">
              <w:rPr>
                <w:color w:val="000000" w:themeColor="text1"/>
                <w:sz w:val="20"/>
                <w:szCs w:val="20"/>
              </w:rPr>
              <w:t xml:space="preserve">The Panel does not accept that a correlation between rainfall and vegetation growth undermines the method. Rainfall is necessary but not sufficient to ensure permanent storage of carbon. </w:t>
            </w:r>
            <w:r w:rsidRPr="002561E3">
              <w:rPr>
                <w:rFonts w:cstheme="minorHAnsi"/>
                <w:color w:val="242424"/>
                <w:sz w:val="20"/>
                <w:szCs w:val="20"/>
                <w:shd w:val="clear" w:color="auto" w:fill="FFFFFF"/>
              </w:rPr>
              <w:t>For this reason, the method requires that projects include HIR activities that address the reasons why forest cover has not been maintained or restored in the past (referred to as the dominant suppressor or suppressors in the method).</w:t>
            </w:r>
          </w:p>
          <w:p w14:paraId="0B53064A" w14:textId="77777777" w:rsidR="001947A5" w:rsidRPr="008B4162" w:rsidRDefault="001947A5" w:rsidP="001947A5">
            <w:pPr>
              <w:pStyle w:val="Style1ListNumber2"/>
              <w:ind w:left="0"/>
              <w:rPr>
                <w:rStyle w:val="Emphasis"/>
                <w:rFonts w:cstheme="minorHAnsi"/>
                <w:i w:val="0"/>
                <w:iCs w:val="0"/>
                <w:color w:val="auto"/>
                <w:sz w:val="20"/>
                <w:szCs w:val="20"/>
              </w:rPr>
            </w:pPr>
            <w:r w:rsidRPr="002561E3">
              <w:rPr>
                <w:sz w:val="20"/>
                <w:szCs w:val="20"/>
                <w:lang w:val="en-GB"/>
              </w:rPr>
              <w:t>Less restrictive data arrangements would have allowed the substance of many of the concerns raised about HIR projects to be transparently assessed and dealt with, rather than lingering (Recommendation 4).</w:t>
            </w:r>
          </w:p>
        </w:tc>
      </w:tr>
      <w:tr w:rsidR="001947A5" w:rsidRPr="00314499" w14:paraId="09EF893B" w14:textId="77777777" w:rsidTr="001947A5">
        <w:trPr>
          <w:trHeight w:val="557"/>
        </w:trPr>
        <w:tc>
          <w:tcPr>
            <w:tcW w:w="6943" w:type="dxa"/>
          </w:tcPr>
          <w:p w14:paraId="243074E8" w14:textId="77777777" w:rsidR="001947A5" w:rsidRPr="002561E3" w:rsidRDefault="001947A5" w:rsidP="001947A5">
            <w:pPr>
              <w:rPr>
                <w:b/>
                <w:sz w:val="20"/>
                <w:szCs w:val="20"/>
              </w:rPr>
            </w:pPr>
          </w:p>
        </w:tc>
        <w:tc>
          <w:tcPr>
            <w:tcW w:w="6944" w:type="dxa"/>
          </w:tcPr>
          <w:p w14:paraId="472FE161" w14:textId="77777777" w:rsidR="001947A5" w:rsidRPr="001947A5" w:rsidRDefault="001947A5" w:rsidP="001947A5">
            <w:pPr>
              <w:pStyle w:val="Normalsmall"/>
              <w:rPr>
                <w:b/>
                <w:i/>
                <w:color w:val="006266"/>
                <w:sz w:val="20"/>
              </w:rPr>
            </w:pPr>
            <w:r w:rsidRPr="001947A5">
              <w:rPr>
                <w:b/>
                <w:i/>
                <w:color w:val="006266"/>
                <w:sz w:val="20"/>
              </w:rPr>
              <w:t>Key findings</w:t>
            </w:r>
          </w:p>
          <w:p w14:paraId="4595928F" w14:textId="77777777" w:rsidR="001947A5" w:rsidRPr="002561E3" w:rsidRDefault="001947A5" w:rsidP="001947A5">
            <w:pPr>
              <w:pStyle w:val="StyleNormalBody"/>
              <w:rPr>
                <w:b/>
                <w:bCs/>
                <w:sz w:val="20"/>
                <w:szCs w:val="20"/>
              </w:rPr>
            </w:pPr>
            <w:r w:rsidRPr="002561E3">
              <w:rPr>
                <w:sz w:val="20"/>
                <w:szCs w:val="20"/>
              </w:rPr>
              <w:t xml:space="preserve">The current model-based estimation of carbon sequestration using FullCAM is a suitable basis for estimating aggregate carbon storage in native vegetation, when applied appropriately at the project level. </w:t>
            </w:r>
          </w:p>
          <w:p w14:paraId="16244ECB" w14:textId="77777777" w:rsidR="001947A5" w:rsidRPr="00AF3BA5" w:rsidRDefault="001947A5" w:rsidP="001947A5">
            <w:pPr>
              <w:pStyle w:val="Style1ListNumber2"/>
              <w:ind w:left="0"/>
              <w:rPr>
                <w:i/>
                <w:iCs/>
                <w:sz w:val="20"/>
              </w:rPr>
            </w:pPr>
            <w:r w:rsidRPr="002561E3">
              <w:rPr>
                <w:sz w:val="20"/>
                <w:szCs w:val="20"/>
              </w:rPr>
              <w:lastRenderedPageBreak/>
              <w:t>Some stakeholders consider that there would be benefits in allowing HIR and other land-based sequestration projects to opt for direct measurement of carbon storage, with appropriate evidence and assurance, rather than relying on modelled estimates. This could be explored by the proposed proponent-led method development process.</w:t>
            </w:r>
          </w:p>
        </w:tc>
      </w:tr>
      <w:tr w:rsidR="001947A5" w:rsidRPr="00314499" w14:paraId="6827AC59" w14:textId="77777777" w:rsidTr="001947A5">
        <w:tc>
          <w:tcPr>
            <w:tcW w:w="6943" w:type="dxa"/>
          </w:tcPr>
          <w:p w14:paraId="45705AD9" w14:textId="77777777" w:rsidR="001947A5" w:rsidRPr="008B4162" w:rsidRDefault="001947A5" w:rsidP="001947A5">
            <w:pPr>
              <w:rPr>
                <w:rStyle w:val="Heading4Char"/>
                <w:rFonts w:eastAsiaTheme="minorHAnsi" w:cs="Calibri"/>
                <w:b w:val="0"/>
                <w:bCs/>
                <w:iCs w:val="0"/>
              </w:rPr>
            </w:pPr>
            <w:r w:rsidRPr="002561E3">
              <w:rPr>
                <w:rStyle w:val="Heading4Char"/>
                <w:sz w:val="20"/>
                <w:szCs w:val="20"/>
              </w:rPr>
              <w:lastRenderedPageBreak/>
              <w:t>Recommendation 9.</w:t>
            </w:r>
            <w:r w:rsidRPr="002561E3">
              <w:rPr>
                <w:rFonts w:cs="Calibri"/>
                <w:bCs/>
                <w:sz w:val="20"/>
                <w:szCs w:val="20"/>
              </w:rPr>
              <w:t xml:space="preserve"> </w:t>
            </w:r>
            <w:r w:rsidRPr="002561E3">
              <w:rPr>
                <w:rFonts w:cs="Calibri"/>
                <w:b/>
                <w:sz w:val="20"/>
                <w:szCs w:val="20"/>
              </w:rPr>
              <w:t>No new project registrations be allowed under the current avoided deforestation method.</w:t>
            </w:r>
            <w:r w:rsidRPr="002561E3">
              <w:rPr>
                <w:rFonts w:cs="Calibri"/>
                <w:bCs/>
                <w:sz w:val="20"/>
                <w:szCs w:val="20"/>
              </w:rPr>
              <w:t xml:space="preserve"> </w:t>
            </w:r>
            <w:r w:rsidRPr="002561E3">
              <w:rPr>
                <w:rFonts w:cs="Calibri"/>
                <w:b/>
                <w:sz w:val="20"/>
                <w:szCs w:val="20"/>
              </w:rPr>
              <w:t>Consideration should be given to developing new methods that incentivise the maintenance of native vegetation that has the potential to become a forest, as well as maintaining existing forests at risk of land-use conversion.</w:t>
            </w:r>
          </w:p>
        </w:tc>
        <w:tc>
          <w:tcPr>
            <w:tcW w:w="6944" w:type="dxa"/>
          </w:tcPr>
          <w:p w14:paraId="03895934" w14:textId="77777777" w:rsidR="001947A5" w:rsidRPr="001947A5" w:rsidRDefault="001947A5" w:rsidP="001947A5">
            <w:pPr>
              <w:pStyle w:val="Normalsmall"/>
              <w:rPr>
                <w:b/>
                <w:i/>
                <w:color w:val="006266"/>
                <w:sz w:val="20"/>
              </w:rPr>
            </w:pPr>
            <w:r w:rsidRPr="001947A5">
              <w:rPr>
                <w:b/>
                <w:i/>
                <w:color w:val="006266"/>
                <w:sz w:val="20"/>
              </w:rPr>
              <w:t>Key findings</w:t>
            </w:r>
          </w:p>
          <w:p w14:paraId="5601B3DA" w14:textId="77777777" w:rsidR="001947A5" w:rsidRPr="002561E3" w:rsidRDefault="001947A5" w:rsidP="001947A5">
            <w:pPr>
              <w:pStyle w:val="StyleNormalBody"/>
              <w:rPr>
                <w:b/>
                <w:bCs/>
                <w:sz w:val="20"/>
                <w:szCs w:val="20"/>
              </w:rPr>
            </w:pPr>
            <w:r w:rsidRPr="002561E3">
              <w:rPr>
                <w:sz w:val="20"/>
                <w:szCs w:val="20"/>
              </w:rPr>
              <w:t xml:space="preserve">Land clearing has accounted for a significant share of national emissions. </w:t>
            </w:r>
          </w:p>
          <w:p w14:paraId="1A5D90C3" w14:textId="77777777" w:rsidR="001947A5" w:rsidRPr="002561E3" w:rsidRDefault="001947A5" w:rsidP="001947A5">
            <w:pPr>
              <w:pStyle w:val="StyleNormalBody"/>
              <w:rPr>
                <w:b/>
                <w:bCs/>
                <w:sz w:val="20"/>
                <w:szCs w:val="20"/>
              </w:rPr>
            </w:pPr>
            <w:r w:rsidRPr="002561E3">
              <w:rPr>
                <w:sz w:val="20"/>
                <w:szCs w:val="20"/>
              </w:rPr>
              <w:t>The avoided deforestation method is a means to avoid these emissions.</w:t>
            </w:r>
          </w:p>
          <w:p w14:paraId="128735CD" w14:textId="77777777" w:rsidR="001947A5" w:rsidRPr="00314499" w:rsidRDefault="001947A5" w:rsidP="001947A5">
            <w:pPr>
              <w:pStyle w:val="KeyFindings"/>
              <w:rPr>
                <w:rStyle w:val="IntenseEmphasis"/>
                <w:rFonts w:cstheme="minorHAnsi"/>
                <w:i w:val="0"/>
                <w:color w:val="auto"/>
              </w:rPr>
            </w:pPr>
            <w:r w:rsidRPr="002561E3">
              <w:rPr>
                <w:rStyle w:val="Emphasis"/>
                <w:bCs w:val="0"/>
                <w:color w:val="auto"/>
                <w:sz w:val="20"/>
                <w:szCs w:val="20"/>
              </w:rPr>
              <w:t>The length of time that has elapsed since the issue of any remaining unused land clearing permits imply that it would be hard to establish intent to clear land, raising questions about the additionality of any new projects that might be registered under the current method.</w:t>
            </w:r>
            <w:r w:rsidRPr="002561E3">
              <w:rPr>
                <w:rStyle w:val="Emphasis"/>
                <w:bCs w:val="0"/>
                <w:iCs/>
                <w:color w:val="auto"/>
                <w:sz w:val="20"/>
                <w:szCs w:val="20"/>
              </w:rPr>
              <w:t xml:space="preserve">  </w:t>
            </w:r>
          </w:p>
        </w:tc>
      </w:tr>
      <w:tr w:rsidR="001947A5" w:rsidRPr="00314499" w14:paraId="69C11B74" w14:textId="77777777" w:rsidTr="001947A5">
        <w:tc>
          <w:tcPr>
            <w:tcW w:w="6943" w:type="dxa"/>
          </w:tcPr>
          <w:p w14:paraId="550BB8FC" w14:textId="77777777" w:rsidR="001947A5" w:rsidRPr="002561E3" w:rsidRDefault="001947A5" w:rsidP="001947A5">
            <w:pPr>
              <w:rPr>
                <w:rFonts w:eastAsiaTheme="majorEastAsia" w:cstheme="majorBidi"/>
                <w:b/>
                <w:bCs/>
                <w:iCs/>
                <w:sz w:val="20"/>
                <w:szCs w:val="20"/>
              </w:rPr>
            </w:pPr>
            <w:r w:rsidRPr="002561E3">
              <w:rPr>
                <w:rFonts w:eastAsiaTheme="majorEastAsia" w:cstheme="majorBidi"/>
                <w:b/>
                <w:bCs/>
                <w:iCs/>
                <w:sz w:val="20"/>
                <w:szCs w:val="20"/>
              </w:rPr>
              <w:t xml:space="preserve">Recommendation 10. Landfill gas methods and crediting period extensions should incorporate upward sloping baselines. </w:t>
            </w:r>
          </w:p>
          <w:p w14:paraId="3DC46F8B" w14:textId="77777777" w:rsidR="001947A5" w:rsidRPr="002561E3" w:rsidRDefault="001947A5" w:rsidP="001947A5">
            <w:pPr>
              <w:ind w:left="720"/>
              <w:rPr>
                <w:rFonts w:eastAsiaTheme="majorEastAsia" w:cstheme="majorBidi"/>
                <w:b/>
                <w:iCs/>
                <w:sz w:val="20"/>
                <w:szCs w:val="20"/>
              </w:rPr>
            </w:pPr>
            <w:r w:rsidRPr="002561E3">
              <w:rPr>
                <w:rFonts w:eastAsiaTheme="majorEastAsia" w:cstheme="majorBidi"/>
                <w:b/>
                <w:iCs/>
                <w:sz w:val="20"/>
                <w:szCs w:val="20"/>
              </w:rPr>
              <w:t xml:space="preserve">10.1 </w:t>
            </w:r>
            <w:r w:rsidRPr="002561E3">
              <w:rPr>
                <w:rFonts w:eastAsiaTheme="majorEastAsia" w:cstheme="majorBidi"/>
                <w:bCs/>
                <w:iCs/>
                <w:sz w:val="20"/>
                <w:szCs w:val="20"/>
              </w:rPr>
              <w:t>The baseline of</w:t>
            </w:r>
            <w:r w:rsidRPr="002561E3">
              <w:rPr>
                <w:rFonts w:eastAsiaTheme="majorEastAsia" w:cstheme="majorBidi"/>
                <w:b/>
                <w:iCs/>
                <w:sz w:val="20"/>
                <w:szCs w:val="20"/>
              </w:rPr>
              <w:t xml:space="preserve"> </w:t>
            </w:r>
            <w:r w:rsidRPr="002561E3">
              <w:rPr>
                <w:rFonts w:eastAsiaTheme="majorEastAsia" w:cstheme="majorBidi"/>
                <w:bCs/>
                <w:iCs/>
                <w:sz w:val="20"/>
                <w:szCs w:val="20"/>
              </w:rPr>
              <w:t>new landfill gas projects and crediting period extensions of existing projects should be adjusted during the lifespan of the project.</w:t>
            </w:r>
            <w:r w:rsidRPr="002561E3">
              <w:rPr>
                <w:rFonts w:eastAsiaTheme="majorEastAsia" w:cstheme="majorBidi"/>
                <w:b/>
                <w:iCs/>
                <w:sz w:val="20"/>
                <w:szCs w:val="20"/>
              </w:rPr>
              <w:t xml:space="preserve"> </w:t>
            </w:r>
          </w:p>
          <w:p w14:paraId="33F7F2BA" w14:textId="77777777" w:rsidR="001947A5" w:rsidRPr="008B4162" w:rsidRDefault="001947A5" w:rsidP="001947A5">
            <w:pPr>
              <w:ind w:left="720"/>
              <w:rPr>
                <w:rStyle w:val="Heading4Char"/>
                <w:b w:val="0"/>
              </w:rPr>
            </w:pPr>
            <w:r w:rsidRPr="002561E3">
              <w:rPr>
                <w:rFonts w:eastAsiaTheme="majorEastAsia" w:cstheme="majorBidi"/>
                <w:b/>
                <w:iCs/>
                <w:sz w:val="20"/>
                <w:szCs w:val="20"/>
              </w:rPr>
              <w:t>10.2</w:t>
            </w:r>
            <w:r w:rsidRPr="002561E3">
              <w:rPr>
                <w:rFonts w:eastAsiaTheme="majorEastAsia" w:cstheme="majorBidi"/>
                <w:iCs/>
                <w:sz w:val="20"/>
                <w:szCs w:val="20"/>
              </w:rPr>
              <w:t xml:space="preserve"> Arrangements should be made for the early review and voluntary adjustment to the baseline of existing projects.</w:t>
            </w:r>
          </w:p>
        </w:tc>
        <w:tc>
          <w:tcPr>
            <w:tcW w:w="6944" w:type="dxa"/>
          </w:tcPr>
          <w:p w14:paraId="6572E35D" w14:textId="77777777" w:rsidR="001947A5" w:rsidRPr="001947A5" w:rsidRDefault="001947A5" w:rsidP="001947A5">
            <w:pPr>
              <w:pStyle w:val="Normalsmall"/>
              <w:rPr>
                <w:b/>
                <w:i/>
                <w:color w:val="006266"/>
                <w:sz w:val="20"/>
              </w:rPr>
            </w:pPr>
            <w:r w:rsidRPr="001947A5">
              <w:rPr>
                <w:b/>
                <w:i/>
                <w:color w:val="006266"/>
                <w:sz w:val="20"/>
              </w:rPr>
              <w:t>Key findings</w:t>
            </w:r>
          </w:p>
          <w:p w14:paraId="6A116EB7" w14:textId="77777777" w:rsidR="001947A5" w:rsidRPr="002561E3" w:rsidRDefault="001947A5" w:rsidP="001947A5">
            <w:pPr>
              <w:pStyle w:val="StyleNormalBody"/>
              <w:rPr>
                <w:rFonts w:cstheme="minorHAnsi"/>
                <w:b/>
                <w:bCs/>
                <w:sz w:val="20"/>
                <w:szCs w:val="20"/>
              </w:rPr>
            </w:pPr>
            <w:r w:rsidRPr="002561E3">
              <w:rPr>
                <w:rFonts w:cstheme="minorHAnsi"/>
                <w:sz w:val="20"/>
                <w:szCs w:val="20"/>
              </w:rPr>
              <w:t>Landfill gas is a nationally significant source of methane emissions. Its collection and use or flaring is a successful mitigation strategy.</w:t>
            </w:r>
          </w:p>
          <w:p w14:paraId="39D15ABE" w14:textId="77777777" w:rsidR="001947A5" w:rsidRPr="002561E3" w:rsidRDefault="001947A5" w:rsidP="001947A5">
            <w:pPr>
              <w:pStyle w:val="StyleNormalBody"/>
              <w:rPr>
                <w:rFonts w:cstheme="minorHAnsi"/>
                <w:b/>
                <w:bCs/>
                <w:sz w:val="20"/>
                <w:szCs w:val="20"/>
              </w:rPr>
            </w:pPr>
            <w:r w:rsidRPr="002561E3">
              <w:rPr>
                <w:rFonts w:cstheme="minorHAnsi"/>
                <w:sz w:val="20"/>
                <w:szCs w:val="20"/>
              </w:rPr>
              <w:t>It has become common practice to extend the crediting period for landfill gas projects without adjustment of the baseline. Given that expectations and regulatory standards are likely to increase over time, any extensions of the project crediting period should only occur with appropriate review and adjustments to baselines.</w:t>
            </w:r>
          </w:p>
          <w:p w14:paraId="2F92F2F5" w14:textId="77777777" w:rsidR="001947A5" w:rsidRPr="002561E3" w:rsidRDefault="001947A5" w:rsidP="001947A5">
            <w:pPr>
              <w:pStyle w:val="StyleNormalBody"/>
              <w:rPr>
                <w:rFonts w:cstheme="minorHAnsi"/>
                <w:b/>
                <w:bCs/>
                <w:sz w:val="20"/>
                <w:szCs w:val="20"/>
              </w:rPr>
            </w:pPr>
            <w:r w:rsidRPr="002561E3">
              <w:rPr>
                <w:rFonts w:cstheme="minorHAnsi"/>
                <w:sz w:val="20"/>
                <w:szCs w:val="20"/>
              </w:rPr>
              <w:t xml:space="preserve">Industry expressed strong support for adjusting baselines through a transparent and predictable approach. </w:t>
            </w:r>
          </w:p>
          <w:p w14:paraId="337F62DE" w14:textId="77777777" w:rsidR="001947A5" w:rsidRPr="002561E3" w:rsidRDefault="001947A5" w:rsidP="001947A5">
            <w:pPr>
              <w:pStyle w:val="StyleNormalBody"/>
              <w:rPr>
                <w:rFonts w:cstheme="minorHAnsi"/>
                <w:bCs/>
                <w:sz w:val="20"/>
                <w:szCs w:val="20"/>
              </w:rPr>
            </w:pPr>
            <w:r w:rsidRPr="002561E3">
              <w:rPr>
                <w:rFonts w:cstheme="minorHAnsi"/>
                <w:sz w:val="20"/>
                <w:szCs w:val="20"/>
              </w:rPr>
              <w:t xml:space="preserve">Without ACCUs, some landfill gas projects may not be financially viable. </w:t>
            </w:r>
          </w:p>
          <w:p w14:paraId="3900AB87" w14:textId="77777777" w:rsidR="001947A5" w:rsidRPr="008B4162" w:rsidRDefault="001947A5" w:rsidP="001947A5">
            <w:pPr>
              <w:pStyle w:val="Heading5"/>
              <w:outlineLvl w:val="4"/>
            </w:pPr>
            <w:r w:rsidRPr="002561E3" w:rsidDel="003372FB">
              <w:rPr>
                <w:rFonts w:asciiTheme="minorHAnsi" w:hAnsiTheme="minorHAnsi" w:cstheme="minorHAnsi"/>
                <w:color w:val="auto"/>
                <w:sz w:val="20"/>
                <w:szCs w:val="20"/>
              </w:rPr>
              <w:t>Long-term investment certainty is needed as infrastructure is required across decades.</w:t>
            </w:r>
          </w:p>
        </w:tc>
      </w:tr>
      <w:tr w:rsidR="001947A5" w:rsidRPr="00314499" w14:paraId="5F5D55E9" w14:textId="77777777" w:rsidTr="001947A5">
        <w:tc>
          <w:tcPr>
            <w:tcW w:w="6943" w:type="dxa"/>
          </w:tcPr>
          <w:p w14:paraId="304720EF" w14:textId="77777777" w:rsidR="001947A5" w:rsidRPr="00314499" w:rsidRDefault="001947A5" w:rsidP="001947A5">
            <w:pPr>
              <w:rPr>
                <w:rFonts w:asciiTheme="minorHAnsi" w:eastAsiaTheme="majorEastAsia" w:hAnsiTheme="minorHAnsi" w:cstheme="minorHAnsi"/>
                <w:bCs/>
                <w:iCs/>
                <w:sz w:val="20"/>
                <w:szCs w:val="20"/>
              </w:rPr>
            </w:pPr>
          </w:p>
        </w:tc>
        <w:tc>
          <w:tcPr>
            <w:tcW w:w="6944" w:type="dxa"/>
          </w:tcPr>
          <w:p w14:paraId="213E1330" w14:textId="77777777" w:rsidR="001947A5" w:rsidRPr="001947A5" w:rsidRDefault="001947A5" w:rsidP="001947A5">
            <w:pPr>
              <w:pStyle w:val="Normalsmall"/>
              <w:rPr>
                <w:b/>
                <w:i/>
                <w:color w:val="006266"/>
                <w:sz w:val="20"/>
              </w:rPr>
            </w:pPr>
            <w:r w:rsidRPr="001947A5">
              <w:rPr>
                <w:b/>
                <w:i/>
                <w:color w:val="006266"/>
                <w:sz w:val="20"/>
              </w:rPr>
              <w:t>Key findings</w:t>
            </w:r>
          </w:p>
          <w:p w14:paraId="7F93ACE9" w14:textId="77777777" w:rsidR="001947A5" w:rsidRPr="00314499" w:rsidRDefault="001947A5" w:rsidP="001947A5">
            <w:pPr>
              <w:pStyle w:val="StyleNormalBody"/>
              <w:rPr>
                <w:rFonts w:cstheme="minorHAnsi"/>
                <w:bCs/>
                <w:sz w:val="20"/>
                <w:szCs w:val="20"/>
              </w:rPr>
            </w:pPr>
            <w:r w:rsidRPr="002561E3">
              <w:rPr>
                <w:sz w:val="20"/>
                <w:szCs w:val="20"/>
              </w:rPr>
              <w:t>While there has been relatively limited deployment of carbon capture and storage (CCS) nationally or globally, it is considered to have an important potential contribution to limiting the pace and extent of climate change.</w:t>
            </w:r>
          </w:p>
        </w:tc>
      </w:tr>
    </w:tbl>
    <w:p w14:paraId="1AB5C1CF" w14:textId="77777777" w:rsidR="001947A5" w:rsidRPr="00314499" w:rsidRDefault="001947A5" w:rsidP="001947A5">
      <w:pPr>
        <w:rPr>
          <w:rFonts w:asciiTheme="minorHAnsi" w:hAnsiTheme="minorHAnsi" w:cstheme="minorHAnsi"/>
          <w:sz w:val="20"/>
          <w:szCs w:val="20"/>
        </w:rPr>
      </w:pPr>
    </w:p>
    <w:tbl>
      <w:tblPr>
        <w:tblStyle w:val="TableGridLight"/>
        <w:tblW w:w="13887" w:type="dxa"/>
        <w:tblLook w:val="04A0" w:firstRow="1" w:lastRow="0" w:firstColumn="1" w:lastColumn="0" w:noHBand="0" w:noVBand="1"/>
      </w:tblPr>
      <w:tblGrid>
        <w:gridCol w:w="6943"/>
        <w:gridCol w:w="6944"/>
      </w:tblGrid>
      <w:tr w:rsidR="001947A5" w:rsidRPr="00314499" w14:paraId="6414ABBD" w14:textId="77777777" w:rsidTr="001947A5">
        <w:trPr>
          <w:cantSplit/>
        </w:trPr>
        <w:tc>
          <w:tcPr>
            <w:tcW w:w="13887" w:type="dxa"/>
            <w:gridSpan w:val="2"/>
          </w:tcPr>
          <w:p w14:paraId="49D8E6D5" w14:textId="77777777" w:rsidR="001947A5" w:rsidRPr="00C91E4D" w:rsidRDefault="001947A5" w:rsidP="001947A5">
            <w:pPr>
              <w:pStyle w:val="Heading4"/>
              <w:outlineLvl w:val="3"/>
              <w:rPr>
                <w:rFonts w:asciiTheme="minorHAnsi" w:hAnsiTheme="minorHAnsi" w:cstheme="minorHAnsi"/>
                <w:sz w:val="20"/>
                <w:szCs w:val="20"/>
              </w:rPr>
            </w:pPr>
            <w:r w:rsidRPr="00C91E4D">
              <w:rPr>
                <w:rFonts w:asciiTheme="minorHAnsi" w:hAnsiTheme="minorHAnsi" w:cstheme="minorHAnsi"/>
                <w:sz w:val="20"/>
                <w:szCs w:val="20"/>
              </w:rPr>
              <w:t>Terms of Reference</w:t>
            </w:r>
          </w:p>
          <w:p w14:paraId="211C61E8" w14:textId="77777777" w:rsidR="001947A5" w:rsidRPr="00314499" w:rsidRDefault="001947A5" w:rsidP="00612D33">
            <w:pPr>
              <w:pStyle w:val="ListParagraph"/>
              <w:numPr>
                <w:ilvl w:val="0"/>
                <w:numId w:val="10"/>
              </w:numPr>
              <w:spacing w:before="80" w:after="0"/>
              <w:rPr>
                <w:rFonts w:asciiTheme="minorHAnsi" w:hAnsiTheme="minorHAnsi" w:cstheme="minorHAnsi"/>
                <w:sz w:val="20"/>
                <w:szCs w:val="20"/>
              </w:rPr>
            </w:pPr>
            <w:r w:rsidRPr="00314499">
              <w:rPr>
                <w:rFonts w:asciiTheme="minorHAnsi" w:hAnsiTheme="minorHAnsi" w:cstheme="minorHAnsi"/>
                <w:sz w:val="20"/>
                <w:szCs w:val="20"/>
              </w:rPr>
              <w:t>The broader impacts of activities incentivised under Australia’s carbon crediting framework including:</w:t>
            </w:r>
          </w:p>
          <w:p w14:paraId="58E4C3AB" w14:textId="77777777" w:rsidR="001947A5" w:rsidRPr="00314499" w:rsidRDefault="001947A5" w:rsidP="00612D33">
            <w:pPr>
              <w:pStyle w:val="ListParagraph"/>
              <w:numPr>
                <w:ilvl w:val="1"/>
                <w:numId w:val="10"/>
              </w:numPr>
              <w:spacing w:before="80" w:after="0"/>
              <w:rPr>
                <w:rFonts w:asciiTheme="minorHAnsi" w:hAnsiTheme="minorHAnsi" w:cstheme="minorHAnsi"/>
                <w:sz w:val="20"/>
                <w:szCs w:val="20"/>
              </w:rPr>
            </w:pPr>
            <w:r w:rsidRPr="00314499">
              <w:rPr>
                <w:rFonts w:asciiTheme="minorHAnsi" w:hAnsiTheme="minorHAnsi" w:cstheme="minorHAnsi"/>
                <w:sz w:val="20"/>
                <w:szCs w:val="20"/>
              </w:rPr>
              <w:t>whether the current processes and requirements are appropriate to manage negative social, economic and environmental impacts, including on agricultural productivity and regional communities; </w:t>
            </w:r>
          </w:p>
          <w:p w14:paraId="5B334E69" w14:textId="77777777" w:rsidR="001947A5" w:rsidRPr="00314499" w:rsidRDefault="001947A5" w:rsidP="00612D33">
            <w:pPr>
              <w:pStyle w:val="ListParagraph"/>
              <w:numPr>
                <w:ilvl w:val="1"/>
                <w:numId w:val="10"/>
              </w:numPr>
              <w:spacing w:before="80" w:after="0"/>
              <w:rPr>
                <w:rFonts w:asciiTheme="minorHAnsi" w:hAnsiTheme="minorHAnsi" w:cstheme="minorHAnsi"/>
                <w:sz w:val="20"/>
                <w:szCs w:val="20"/>
              </w:rPr>
            </w:pPr>
            <w:r w:rsidRPr="00314499">
              <w:rPr>
                <w:rFonts w:asciiTheme="minorHAnsi" w:hAnsiTheme="minorHAnsi" w:cstheme="minorHAnsi"/>
                <w:sz w:val="20"/>
                <w:szCs w:val="20"/>
              </w:rPr>
              <w:t>the extent to which carbon projects are currently supporting positive environmental, social and economic outcomes including for biodiversity and the participation of First Nations people;</w:t>
            </w:r>
          </w:p>
          <w:p w14:paraId="5A54036F" w14:textId="77777777" w:rsidR="001947A5" w:rsidRPr="00314499" w:rsidRDefault="001947A5" w:rsidP="00612D33">
            <w:pPr>
              <w:pStyle w:val="Style1ListNumber2"/>
              <w:numPr>
                <w:ilvl w:val="1"/>
                <w:numId w:val="10"/>
              </w:numPr>
              <w:spacing w:before="0"/>
              <w:rPr>
                <w:rStyle w:val="Emphasis"/>
                <w:rFonts w:cstheme="minorHAnsi"/>
                <w:i w:val="0"/>
                <w:iCs w:val="0"/>
                <w:color w:val="auto"/>
                <w:sz w:val="20"/>
                <w:szCs w:val="20"/>
              </w:rPr>
            </w:pPr>
            <w:r w:rsidRPr="00314499">
              <w:rPr>
                <w:rFonts w:asciiTheme="minorHAnsi" w:hAnsiTheme="minorHAnsi" w:cstheme="minorHAnsi"/>
                <w:color w:val="auto"/>
                <w:sz w:val="20"/>
                <w:szCs w:val="20"/>
              </w:rPr>
              <w:t>opportunities to maximise non-carbon benefits of projects.</w:t>
            </w:r>
          </w:p>
        </w:tc>
      </w:tr>
      <w:tr w:rsidR="001947A5" w:rsidRPr="00314499" w14:paraId="04AA4B06" w14:textId="77777777" w:rsidTr="001947A5">
        <w:trPr>
          <w:cantSplit/>
        </w:trPr>
        <w:tc>
          <w:tcPr>
            <w:tcW w:w="6943" w:type="dxa"/>
          </w:tcPr>
          <w:p w14:paraId="080D5984"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p>
        </w:tc>
        <w:tc>
          <w:tcPr>
            <w:tcW w:w="6944" w:type="dxa"/>
          </w:tcPr>
          <w:p w14:paraId="51180329" w14:textId="77777777" w:rsidR="001947A5" w:rsidRPr="001947A5" w:rsidRDefault="001947A5" w:rsidP="001947A5">
            <w:pPr>
              <w:pStyle w:val="Normalsmall"/>
              <w:rPr>
                <w:b/>
                <w:i/>
                <w:color w:val="006266"/>
                <w:sz w:val="20"/>
              </w:rPr>
            </w:pPr>
            <w:r w:rsidRPr="001947A5">
              <w:rPr>
                <w:b/>
                <w:i/>
                <w:color w:val="006266"/>
                <w:sz w:val="20"/>
              </w:rPr>
              <w:t>Key findings</w:t>
            </w:r>
          </w:p>
          <w:p w14:paraId="5AF1ADED"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r w:rsidRPr="00395F94">
              <w:rPr>
                <w:rFonts w:asciiTheme="minorHAnsi" w:hAnsiTheme="minorHAnsi" w:cstheme="minorHAnsi"/>
                <w:color w:val="auto"/>
                <w:sz w:val="20"/>
                <w:szCs w:val="20"/>
              </w:rPr>
              <w:t>Potential adverse impacts from projects can be mitigated through regulation and oversight mechanisms, in conjunction with the new governance and method development arrangements recommended by the Panel, and supported by initiatives to increase trust, capability and coordination across the carbon farming supply chain.</w:t>
            </w:r>
          </w:p>
        </w:tc>
      </w:tr>
      <w:tr w:rsidR="001947A5" w:rsidRPr="00314499" w14:paraId="382171F4" w14:textId="77777777" w:rsidTr="001947A5">
        <w:trPr>
          <w:cantSplit/>
        </w:trPr>
        <w:tc>
          <w:tcPr>
            <w:tcW w:w="6943" w:type="dxa"/>
          </w:tcPr>
          <w:p w14:paraId="140CDB35" w14:textId="77777777" w:rsidR="001947A5" w:rsidRPr="002561E3" w:rsidRDefault="001947A5" w:rsidP="001947A5">
            <w:pPr>
              <w:pStyle w:val="KeyFindings"/>
              <w:rPr>
                <w:rStyle w:val="IntenseEmphasis"/>
                <w:rFonts w:cstheme="minorHAnsi"/>
                <w:i w:val="0"/>
                <w:color w:val="auto"/>
              </w:rPr>
            </w:pPr>
          </w:p>
        </w:tc>
        <w:tc>
          <w:tcPr>
            <w:tcW w:w="6944" w:type="dxa"/>
          </w:tcPr>
          <w:p w14:paraId="0FB5EB7E" w14:textId="77777777" w:rsidR="001947A5" w:rsidRPr="001947A5" w:rsidRDefault="001947A5" w:rsidP="001947A5">
            <w:pPr>
              <w:pStyle w:val="Normalsmall"/>
              <w:rPr>
                <w:b/>
                <w:i/>
                <w:color w:val="006266"/>
                <w:sz w:val="20"/>
              </w:rPr>
            </w:pPr>
            <w:r w:rsidRPr="001947A5">
              <w:rPr>
                <w:b/>
                <w:i/>
                <w:color w:val="006266"/>
                <w:sz w:val="20"/>
              </w:rPr>
              <w:t>Key findings</w:t>
            </w:r>
          </w:p>
          <w:p w14:paraId="2290C111" w14:textId="77777777" w:rsidR="001947A5" w:rsidRPr="002561E3" w:rsidRDefault="001947A5" w:rsidP="001947A5">
            <w:pPr>
              <w:pStyle w:val="Heading5"/>
              <w:outlineLvl w:val="4"/>
              <w:rPr>
                <w:rFonts w:asciiTheme="minorHAnsi" w:hAnsiTheme="minorHAnsi" w:cstheme="minorHAnsi"/>
                <w:b/>
                <w:color w:val="auto"/>
                <w:sz w:val="20"/>
                <w:szCs w:val="20"/>
                <w:lang w:val="en-GB"/>
              </w:rPr>
            </w:pPr>
            <w:r w:rsidRPr="002561E3">
              <w:rPr>
                <w:rFonts w:asciiTheme="minorHAnsi" w:hAnsiTheme="minorHAnsi" w:cstheme="minorHAnsi"/>
                <w:color w:val="auto"/>
                <w:sz w:val="20"/>
                <w:szCs w:val="20"/>
                <w:lang w:val="en-GB"/>
              </w:rPr>
              <w:t xml:space="preserve">Risks and potential adverse impacts of project activities in regional and remote Australia include: </w:t>
            </w:r>
          </w:p>
          <w:p w14:paraId="264B5DC7" w14:textId="77777777" w:rsidR="001947A5" w:rsidRPr="002561E3" w:rsidRDefault="001947A5" w:rsidP="00612D33">
            <w:pPr>
              <w:pStyle w:val="Heading5"/>
              <w:numPr>
                <w:ilvl w:val="0"/>
                <w:numId w:val="6"/>
              </w:numPr>
              <w:ind w:left="720"/>
              <w:outlineLvl w:val="4"/>
              <w:rPr>
                <w:rFonts w:asciiTheme="minorHAnsi" w:hAnsiTheme="minorHAnsi" w:cstheme="minorHAnsi"/>
                <w:b/>
                <w:color w:val="auto"/>
                <w:sz w:val="20"/>
                <w:szCs w:val="20"/>
              </w:rPr>
            </w:pPr>
            <w:r w:rsidRPr="002561E3">
              <w:rPr>
                <w:rFonts w:asciiTheme="minorHAnsi" w:hAnsiTheme="minorHAnsi" w:cstheme="minorHAnsi"/>
                <w:color w:val="auto"/>
                <w:sz w:val="20"/>
                <w:szCs w:val="20"/>
              </w:rPr>
              <w:t>differing levels of community understanding of the scheme and ability to participate has led to differences in perception of scheme impacts and integrity;</w:t>
            </w:r>
          </w:p>
          <w:p w14:paraId="34596267" w14:textId="77777777" w:rsidR="001947A5" w:rsidRPr="002561E3" w:rsidRDefault="001947A5" w:rsidP="00612D33">
            <w:pPr>
              <w:pStyle w:val="Heading5"/>
              <w:numPr>
                <w:ilvl w:val="0"/>
                <w:numId w:val="6"/>
              </w:numPr>
              <w:ind w:left="720"/>
              <w:outlineLvl w:val="4"/>
              <w:rPr>
                <w:rFonts w:asciiTheme="minorHAnsi" w:hAnsiTheme="minorHAnsi" w:cstheme="minorHAnsi"/>
                <w:b/>
                <w:color w:val="auto"/>
                <w:sz w:val="20"/>
                <w:szCs w:val="20"/>
              </w:rPr>
            </w:pPr>
            <w:r w:rsidRPr="002561E3">
              <w:rPr>
                <w:rFonts w:asciiTheme="minorHAnsi" w:hAnsiTheme="minorHAnsi" w:cstheme="minorHAnsi"/>
                <w:color w:val="auto"/>
                <w:sz w:val="20"/>
                <w:szCs w:val="20"/>
              </w:rPr>
              <w:t>lack of regional co-ordination, planning and consistency between local, state and federal policies impede landholder participation in the scheme; and</w:t>
            </w:r>
          </w:p>
          <w:p w14:paraId="6420CB5A" w14:textId="77777777" w:rsidR="001947A5" w:rsidRPr="002561E3" w:rsidRDefault="001947A5" w:rsidP="00612D33">
            <w:pPr>
              <w:pStyle w:val="Heading5"/>
              <w:numPr>
                <w:ilvl w:val="0"/>
                <w:numId w:val="6"/>
              </w:numPr>
              <w:ind w:left="720"/>
              <w:outlineLvl w:val="4"/>
              <w:rPr>
                <w:rFonts w:asciiTheme="minorHAnsi" w:hAnsiTheme="minorHAnsi" w:cstheme="minorHAnsi"/>
                <w:b/>
                <w:color w:val="auto"/>
                <w:sz w:val="20"/>
                <w:szCs w:val="20"/>
              </w:rPr>
            </w:pPr>
            <w:r w:rsidRPr="002561E3">
              <w:rPr>
                <w:rFonts w:asciiTheme="minorHAnsi" w:hAnsiTheme="minorHAnsi" w:cstheme="minorHAnsi"/>
                <w:color w:val="auto"/>
                <w:sz w:val="20"/>
                <w:szCs w:val="20"/>
              </w:rPr>
              <w:t xml:space="preserve">an absence of re-investment into regional communities </w:t>
            </w:r>
          </w:p>
          <w:p w14:paraId="592635E7" w14:textId="77777777" w:rsidR="001947A5" w:rsidRPr="002561E3" w:rsidRDefault="001947A5" w:rsidP="001947A5">
            <w:pPr>
              <w:pStyle w:val="Heading5"/>
              <w:outlineLvl w:val="4"/>
              <w:rPr>
                <w:rFonts w:asciiTheme="minorHAnsi" w:hAnsiTheme="minorHAnsi" w:cstheme="minorHAnsi"/>
                <w:b/>
                <w:color w:val="auto"/>
                <w:sz w:val="20"/>
                <w:szCs w:val="20"/>
                <w:lang w:val="en-GB"/>
              </w:rPr>
            </w:pPr>
            <w:r w:rsidRPr="002561E3">
              <w:rPr>
                <w:rFonts w:asciiTheme="minorHAnsi" w:hAnsiTheme="minorHAnsi" w:cstheme="minorHAnsi"/>
                <w:color w:val="auto"/>
                <w:sz w:val="20"/>
                <w:szCs w:val="20"/>
                <w:lang w:val="en-GB"/>
              </w:rPr>
              <w:t>Risk and potential adverse impacts unique to First Nations Australians could arise from:</w:t>
            </w:r>
          </w:p>
          <w:p w14:paraId="29EEC293" w14:textId="77777777" w:rsidR="001947A5" w:rsidRPr="002561E3" w:rsidRDefault="001947A5" w:rsidP="00612D33">
            <w:pPr>
              <w:pStyle w:val="Heading5"/>
              <w:numPr>
                <w:ilvl w:val="0"/>
                <w:numId w:val="6"/>
              </w:numPr>
              <w:ind w:left="720"/>
              <w:outlineLvl w:val="4"/>
              <w:rPr>
                <w:rFonts w:asciiTheme="minorHAnsi" w:hAnsiTheme="minorHAnsi" w:cstheme="minorHAnsi"/>
                <w:b/>
                <w:color w:val="auto"/>
                <w:sz w:val="20"/>
                <w:szCs w:val="20"/>
              </w:rPr>
            </w:pPr>
            <w:r w:rsidRPr="002561E3">
              <w:rPr>
                <w:rFonts w:asciiTheme="minorHAnsi" w:hAnsiTheme="minorHAnsi" w:cstheme="minorHAnsi"/>
                <w:color w:val="auto"/>
                <w:sz w:val="20"/>
                <w:szCs w:val="20"/>
              </w:rPr>
              <w:t>conditional registration of carbon projects and lack of Native Title Holder consent, at odds with the principles of free, prior and informed consent (FPIC);</w:t>
            </w:r>
          </w:p>
          <w:p w14:paraId="47AB4B35" w14:textId="77777777" w:rsidR="001947A5" w:rsidRPr="002561E3" w:rsidRDefault="001947A5" w:rsidP="00612D33">
            <w:pPr>
              <w:pStyle w:val="Heading5"/>
              <w:numPr>
                <w:ilvl w:val="0"/>
                <w:numId w:val="6"/>
              </w:numPr>
              <w:ind w:left="720"/>
              <w:outlineLvl w:val="4"/>
              <w:rPr>
                <w:rFonts w:asciiTheme="minorHAnsi" w:hAnsiTheme="minorHAnsi" w:cstheme="minorHAnsi"/>
                <w:b/>
                <w:color w:val="auto"/>
                <w:sz w:val="20"/>
                <w:szCs w:val="20"/>
              </w:rPr>
            </w:pPr>
            <w:r w:rsidRPr="002561E3">
              <w:rPr>
                <w:rFonts w:asciiTheme="minorHAnsi" w:hAnsiTheme="minorHAnsi" w:cstheme="minorHAnsi"/>
                <w:color w:val="auto"/>
                <w:sz w:val="20"/>
                <w:szCs w:val="20"/>
              </w:rPr>
              <w:t>lack of oversight and capacity to ensure that consent processes are robust and adhere to best practice principles; and</w:t>
            </w:r>
          </w:p>
          <w:p w14:paraId="117106E0" w14:textId="77777777" w:rsidR="001947A5" w:rsidRPr="00503D1D" w:rsidRDefault="001947A5" w:rsidP="00612D33">
            <w:pPr>
              <w:pStyle w:val="Heading5"/>
              <w:numPr>
                <w:ilvl w:val="0"/>
                <w:numId w:val="6"/>
              </w:numPr>
              <w:ind w:left="720"/>
              <w:outlineLvl w:val="4"/>
              <w:rPr>
                <w:rStyle w:val="IntenseEmphasis"/>
                <w:rFonts w:cstheme="minorHAnsi"/>
                <w:b/>
                <w:iCs w:val="0"/>
                <w:color w:val="auto"/>
              </w:rPr>
            </w:pPr>
            <w:r w:rsidRPr="002561E3">
              <w:rPr>
                <w:rFonts w:asciiTheme="minorHAnsi" w:hAnsiTheme="minorHAnsi" w:cstheme="minorHAnsi"/>
                <w:color w:val="auto"/>
                <w:sz w:val="20"/>
                <w:szCs w:val="20"/>
              </w:rPr>
              <w:t>a lack of adequate representation and resourcing to ensure First Nations representation in scheme governance and participation.</w:t>
            </w:r>
          </w:p>
        </w:tc>
      </w:tr>
      <w:tr w:rsidR="001947A5" w:rsidRPr="00314499" w14:paraId="5852A7D6" w14:textId="77777777" w:rsidTr="001947A5">
        <w:trPr>
          <w:cantSplit/>
        </w:trPr>
        <w:tc>
          <w:tcPr>
            <w:tcW w:w="6943" w:type="dxa"/>
          </w:tcPr>
          <w:p w14:paraId="761D686B" w14:textId="77777777" w:rsidR="001947A5" w:rsidRPr="002561E3" w:rsidRDefault="001947A5" w:rsidP="001947A5">
            <w:pPr>
              <w:rPr>
                <w:rFonts w:eastAsiaTheme="majorEastAsia" w:cstheme="majorBidi"/>
                <w:b/>
                <w:bCs/>
                <w:iCs/>
                <w:sz w:val="20"/>
                <w:szCs w:val="20"/>
              </w:rPr>
            </w:pPr>
            <w:r w:rsidRPr="002561E3">
              <w:rPr>
                <w:rFonts w:eastAsiaTheme="majorEastAsia" w:cstheme="majorBidi"/>
                <w:b/>
                <w:bCs/>
                <w:iCs/>
                <w:sz w:val="20"/>
                <w:szCs w:val="20"/>
              </w:rPr>
              <w:t>Recommendation 11. The CFI Act should be amended to remove the option to conditionally register ACCU projects on Native Title lands (as defined in the CFI Act) prior to obtaining consent, in alignment with the principles of Free, Prior and Informed Consent (FPIC):</w:t>
            </w:r>
          </w:p>
          <w:p w14:paraId="613BB559" w14:textId="77777777" w:rsidR="001947A5" w:rsidRPr="00C91E4D" w:rsidRDefault="001947A5" w:rsidP="001947A5">
            <w:pPr>
              <w:spacing w:after="0"/>
              <w:rPr>
                <w:rStyle w:val="Emphasis"/>
                <w:rFonts w:eastAsia="Calibri" w:cstheme="minorHAnsi"/>
                <w:b/>
                <w:bCs/>
                <w:i w:val="0"/>
                <w:iCs w:val="0"/>
                <w:sz w:val="20"/>
                <w:szCs w:val="20"/>
              </w:rPr>
            </w:pPr>
            <w:r w:rsidRPr="002561E3">
              <w:rPr>
                <w:b/>
                <w:bCs/>
                <w:sz w:val="20"/>
                <w:szCs w:val="20"/>
              </w:rPr>
              <w:t>11.1</w:t>
            </w:r>
            <w:r w:rsidRPr="002561E3">
              <w:rPr>
                <w:sz w:val="20"/>
                <w:szCs w:val="20"/>
              </w:rPr>
              <w:t xml:space="preserve"> The Australian Government should support Native Title Representative Bodies and other relevant bodies to ensure consistent standards in the application of FPIC.</w:t>
            </w:r>
          </w:p>
        </w:tc>
        <w:tc>
          <w:tcPr>
            <w:tcW w:w="6944" w:type="dxa"/>
          </w:tcPr>
          <w:p w14:paraId="3D661164" w14:textId="77777777" w:rsidR="001947A5" w:rsidRPr="001947A5" w:rsidRDefault="001947A5" w:rsidP="001947A5">
            <w:pPr>
              <w:pStyle w:val="Normalsmall"/>
              <w:rPr>
                <w:b/>
                <w:i/>
                <w:color w:val="006266"/>
                <w:sz w:val="20"/>
              </w:rPr>
            </w:pPr>
            <w:r w:rsidRPr="001947A5">
              <w:rPr>
                <w:b/>
                <w:i/>
                <w:color w:val="006266"/>
                <w:sz w:val="20"/>
              </w:rPr>
              <w:t>Key findings</w:t>
            </w:r>
          </w:p>
          <w:p w14:paraId="5191901E" w14:textId="77777777" w:rsidR="001947A5" w:rsidRPr="002561E3" w:rsidRDefault="001947A5" w:rsidP="001947A5">
            <w:pPr>
              <w:pStyle w:val="KeyFindings"/>
              <w:rPr>
                <w:rStyle w:val="IntenseEmphasis"/>
                <w:rFonts w:cstheme="minorHAnsi"/>
                <w:i w:val="0"/>
                <w:iCs/>
                <w:color w:val="auto"/>
              </w:rPr>
            </w:pPr>
            <w:r w:rsidRPr="002561E3">
              <w:rPr>
                <w:bCs w:val="0"/>
                <w:i w:val="0"/>
                <w:iCs w:val="0"/>
                <w:color w:val="auto"/>
                <w:sz w:val="20"/>
                <w:szCs w:val="20"/>
              </w:rPr>
              <w:t>Adherence to the principles of FPIC are essential to achieving positive outcomes. Allowing conditional registration is inconsistent with FPIC.</w:t>
            </w:r>
          </w:p>
        </w:tc>
      </w:tr>
      <w:tr w:rsidR="001947A5" w:rsidRPr="00314499" w14:paraId="0CBE3EFE" w14:textId="77777777" w:rsidTr="001947A5">
        <w:trPr>
          <w:cantSplit/>
        </w:trPr>
        <w:tc>
          <w:tcPr>
            <w:tcW w:w="6943" w:type="dxa"/>
          </w:tcPr>
          <w:p w14:paraId="75FDADE2" w14:textId="77777777" w:rsidR="001947A5" w:rsidRPr="00395F94" w:rsidRDefault="001947A5" w:rsidP="001947A5">
            <w:pPr>
              <w:pStyle w:val="StyleNormalBody"/>
              <w:spacing w:after="0"/>
              <w:rPr>
                <w:rStyle w:val="Emphasis"/>
                <w:i w:val="0"/>
                <w:iCs w:val="0"/>
                <w:sz w:val="20"/>
              </w:rPr>
            </w:pPr>
            <w:r w:rsidRPr="002561E3">
              <w:rPr>
                <w:rFonts w:eastAsiaTheme="majorEastAsia" w:cstheme="majorBidi"/>
                <w:b/>
                <w:bCs/>
                <w:iCs/>
                <w:sz w:val="20"/>
                <w:szCs w:val="20"/>
              </w:rPr>
              <w:t xml:space="preserve">Recommendation 12. </w:t>
            </w:r>
            <w:r w:rsidRPr="002561E3">
              <w:rPr>
                <w:b/>
                <w:bCs/>
                <w:sz w:val="20"/>
                <w:szCs w:val="20"/>
              </w:rPr>
              <w:t>Carbon service providers and carbon market advisors, including agents, should be accredited and regulated.</w:t>
            </w:r>
          </w:p>
        </w:tc>
        <w:tc>
          <w:tcPr>
            <w:tcW w:w="6944" w:type="dxa"/>
          </w:tcPr>
          <w:p w14:paraId="7F5A11B4" w14:textId="77777777" w:rsidR="001947A5" w:rsidRPr="001947A5" w:rsidRDefault="001947A5" w:rsidP="001947A5">
            <w:pPr>
              <w:pStyle w:val="Normalsmall"/>
              <w:rPr>
                <w:b/>
                <w:i/>
                <w:color w:val="006266"/>
                <w:sz w:val="20"/>
              </w:rPr>
            </w:pPr>
            <w:r w:rsidRPr="001947A5">
              <w:rPr>
                <w:b/>
                <w:i/>
                <w:color w:val="006266"/>
                <w:sz w:val="20"/>
              </w:rPr>
              <w:t>Key findings</w:t>
            </w:r>
          </w:p>
          <w:p w14:paraId="6BD16CEE" w14:textId="77777777" w:rsidR="001947A5" w:rsidRPr="002561E3" w:rsidRDefault="001947A5" w:rsidP="001947A5">
            <w:pPr>
              <w:pStyle w:val="StyleNormalBody"/>
              <w:rPr>
                <w:b/>
                <w:bCs/>
                <w:sz w:val="20"/>
                <w:szCs w:val="20"/>
              </w:rPr>
            </w:pPr>
            <w:r w:rsidRPr="002561E3">
              <w:rPr>
                <w:sz w:val="20"/>
                <w:szCs w:val="20"/>
              </w:rPr>
              <w:t>The Carbon Market Institute’s voluntary Carbon Industry Code of Conduct contributes to the integrity of the ACCU scheme.</w:t>
            </w:r>
          </w:p>
          <w:p w14:paraId="5C4CE371" w14:textId="77777777" w:rsidR="001947A5" w:rsidRPr="00314499" w:rsidRDefault="001947A5" w:rsidP="001947A5">
            <w:pPr>
              <w:pStyle w:val="KeyFindings"/>
              <w:rPr>
                <w:rStyle w:val="IntenseEmphasis"/>
                <w:rFonts w:cstheme="minorHAnsi"/>
                <w:i w:val="0"/>
                <w:color w:val="auto"/>
              </w:rPr>
            </w:pPr>
            <w:r w:rsidRPr="002561E3">
              <w:rPr>
                <w:bCs w:val="0"/>
                <w:i w:val="0"/>
                <w:iCs w:val="0"/>
                <w:color w:val="auto"/>
                <w:sz w:val="20"/>
                <w:szCs w:val="20"/>
              </w:rPr>
              <w:t>Mandating performance standards for carbon service providers, including agents, would enhance market confidence and consumer protection.</w:t>
            </w:r>
          </w:p>
        </w:tc>
      </w:tr>
      <w:tr w:rsidR="001947A5" w:rsidRPr="00314499" w14:paraId="13278367" w14:textId="77777777" w:rsidTr="001947A5">
        <w:trPr>
          <w:cantSplit/>
        </w:trPr>
        <w:tc>
          <w:tcPr>
            <w:tcW w:w="6943" w:type="dxa"/>
          </w:tcPr>
          <w:p w14:paraId="7983610C" w14:textId="77777777" w:rsidR="001947A5" w:rsidRPr="00C91E4D" w:rsidRDefault="001947A5" w:rsidP="001947A5">
            <w:pPr>
              <w:rPr>
                <w:rFonts w:asciiTheme="minorHAnsi" w:eastAsiaTheme="majorEastAsia" w:hAnsiTheme="minorHAnsi" w:cstheme="minorHAnsi"/>
                <w:b/>
                <w:bCs/>
                <w:iCs/>
                <w:sz w:val="20"/>
                <w:szCs w:val="20"/>
              </w:rPr>
            </w:pPr>
            <w:r w:rsidRPr="002561E3">
              <w:rPr>
                <w:rFonts w:eastAsiaTheme="majorEastAsia" w:cstheme="majorBidi"/>
                <w:b/>
                <w:bCs/>
                <w:iCs/>
                <w:sz w:val="20"/>
                <w:szCs w:val="20"/>
              </w:rPr>
              <w:lastRenderedPageBreak/>
              <w:t>Recommendation 13. The CER, in consultation with market participants and stakeholders, should develop procedures to support transparency of different project characteristics and types of co-benefits associated with ACCUs.</w:t>
            </w:r>
          </w:p>
        </w:tc>
        <w:tc>
          <w:tcPr>
            <w:tcW w:w="6944" w:type="dxa"/>
          </w:tcPr>
          <w:p w14:paraId="54BD5B08" w14:textId="77777777" w:rsidR="001947A5" w:rsidRPr="001947A5" w:rsidRDefault="001947A5" w:rsidP="001947A5">
            <w:pPr>
              <w:pStyle w:val="Normalsmall"/>
              <w:rPr>
                <w:b/>
                <w:i/>
                <w:color w:val="006266"/>
                <w:sz w:val="20"/>
              </w:rPr>
            </w:pPr>
            <w:r w:rsidRPr="001947A5">
              <w:rPr>
                <w:b/>
                <w:i/>
                <w:color w:val="006266"/>
                <w:sz w:val="20"/>
              </w:rPr>
              <w:t>Key findings</w:t>
            </w:r>
          </w:p>
          <w:p w14:paraId="6926D8B1" w14:textId="77777777" w:rsidR="001947A5" w:rsidRPr="00056F45" w:rsidRDefault="001947A5" w:rsidP="001947A5">
            <w:pPr>
              <w:pStyle w:val="StyleNormalBody"/>
              <w:rPr>
                <w:b/>
                <w:bCs/>
                <w:sz w:val="20"/>
                <w:szCs w:val="20"/>
              </w:rPr>
            </w:pPr>
            <w:r w:rsidRPr="00056F45">
              <w:rPr>
                <w:sz w:val="20"/>
                <w:szCs w:val="20"/>
              </w:rPr>
              <w:t>Co-benefits extend beyond reduced emissions and carbon removals. They include non-carbon benefits to proponents, the broader community, and to the environment.</w:t>
            </w:r>
          </w:p>
          <w:p w14:paraId="1253FB49" w14:textId="77777777" w:rsidR="001947A5" w:rsidRPr="00056F45" w:rsidRDefault="001947A5" w:rsidP="001947A5">
            <w:pPr>
              <w:pStyle w:val="StyleNormalBody"/>
              <w:rPr>
                <w:b/>
                <w:bCs/>
                <w:sz w:val="20"/>
                <w:szCs w:val="20"/>
              </w:rPr>
            </w:pPr>
            <w:r w:rsidRPr="00056F45">
              <w:rPr>
                <w:sz w:val="20"/>
                <w:szCs w:val="20"/>
              </w:rPr>
              <w:t>Scheme arrangements should facilitate but not require provision of co-benefits.</w:t>
            </w:r>
          </w:p>
          <w:p w14:paraId="3ADBD219" w14:textId="77777777" w:rsidR="001947A5" w:rsidRPr="00056F45" w:rsidRDefault="001947A5" w:rsidP="001947A5">
            <w:pPr>
              <w:pStyle w:val="StyleNormalBody"/>
              <w:rPr>
                <w:b/>
                <w:bCs/>
                <w:sz w:val="20"/>
                <w:szCs w:val="20"/>
              </w:rPr>
            </w:pPr>
            <w:r w:rsidRPr="00056F45">
              <w:rPr>
                <w:sz w:val="20"/>
                <w:szCs w:val="20"/>
              </w:rPr>
              <w:t xml:space="preserve">Current arrangements for attributing project characteristics and co-benefits to ACCUs are not mature. This weakens incentives for market participants to supply, demand, and resource these value-adding outcomes. </w:t>
            </w:r>
          </w:p>
          <w:p w14:paraId="1E17D3DD" w14:textId="77777777" w:rsidR="001947A5" w:rsidRPr="00056F45" w:rsidRDefault="001947A5" w:rsidP="001947A5">
            <w:pPr>
              <w:pStyle w:val="KeyFindings"/>
              <w:rPr>
                <w:rStyle w:val="IntenseEmphasis"/>
                <w:rFonts w:cstheme="minorHAnsi"/>
                <w:i w:val="0"/>
                <w:color w:val="auto"/>
              </w:rPr>
            </w:pPr>
            <w:r w:rsidRPr="00056F45">
              <w:rPr>
                <w:bCs w:val="0"/>
                <w:i w:val="0"/>
                <w:iCs w:val="0"/>
                <w:color w:val="auto"/>
                <w:sz w:val="20"/>
                <w:szCs w:val="20"/>
              </w:rPr>
              <w:t>Where a co-benefit is claimed, the proponent should use an appropriate method, verifying the claims made in relation to the co-benefit, and provide evidence to the CER before the claim can be published.</w:t>
            </w:r>
          </w:p>
        </w:tc>
      </w:tr>
      <w:tr w:rsidR="001947A5" w:rsidRPr="00314499" w14:paraId="143EB12B" w14:textId="77777777" w:rsidTr="001947A5">
        <w:trPr>
          <w:cantSplit/>
        </w:trPr>
        <w:tc>
          <w:tcPr>
            <w:tcW w:w="6943" w:type="dxa"/>
          </w:tcPr>
          <w:p w14:paraId="6DE8D025" w14:textId="77777777" w:rsidR="001947A5" w:rsidRPr="00245980" w:rsidRDefault="001947A5" w:rsidP="001947A5">
            <w:pPr>
              <w:rPr>
                <w:rFonts w:asciiTheme="minorHAnsi" w:eastAsiaTheme="majorEastAsia" w:hAnsiTheme="minorHAnsi" w:cstheme="minorHAnsi"/>
                <w:b/>
                <w:bCs/>
                <w:iCs/>
                <w:sz w:val="20"/>
                <w:szCs w:val="20"/>
              </w:rPr>
            </w:pPr>
            <w:r w:rsidRPr="00056F45">
              <w:rPr>
                <w:rStyle w:val="Heading4Char"/>
                <w:sz w:val="20"/>
                <w:szCs w:val="20"/>
              </w:rPr>
              <w:t>Recommendation 14.</w:t>
            </w:r>
            <w:r w:rsidRPr="00056F45">
              <w:rPr>
                <w:rFonts w:eastAsiaTheme="majorEastAsia" w:cstheme="majorBidi"/>
                <w:b/>
                <w:bCs/>
                <w:iCs/>
                <w:sz w:val="20"/>
                <w:szCs w:val="20"/>
              </w:rPr>
              <w:t xml:space="preserve"> The Australian Government should continue to support the capacity and capability of rural and remote communities, including First Nations Australians, to participate in and benefit from the ACCU scheme.</w:t>
            </w:r>
          </w:p>
        </w:tc>
        <w:tc>
          <w:tcPr>
            <w:tcW w:w="6944" w:type="dxa"/>
          </w:tcPr>
          <w:p w14:paraId="156B698F" w14:textId="77777777" w:rsidR="001947A5" w:rsidRPr="001947A5" w:rsidRDefault="001947A5" w:rsidP="001947A5">
            <w:pPr>
              <w:pStyle w:val="Normalsmall"/>
              <w:rPr>
                <w:b/>
                <w:i/>
                <w:color w:val="006266"/>
                <w:sz w:val="20"/>
              </w:rPr>
            </w:pPr>
            <w:r w:rsidRPr="001947A5">
              <w:rPr>
                <w:b/>
                <w:i/>
                <w:color w:val="006266"/>
                <w:sz w:val="20"/>
              </w:rPr>
              <w:t>Key findings</w:t>
            </w:r>
          </w:p>
          <w:p w14:paraId="0D586C48" w14:textId="77777777" w:rsidR="001947A5" w:rsidRPr="00056F45" w:rsidRDefault="001947A5" w:rsidP="001947A5">
            <w:pPr>
              <w:pStyle w:val="Heading5"/>
              <w:outlineLvl w:val="4"/>
              <w:rPr>
                <w:rFonts w:asciiTheme="minorHAnsi" w:hAnsiTheme="minorHAnsi" w:cstheme="minorHAnsi"/>
                <w:color w:val="auto"/>
                <w:sz w:val="20"/>
                <w:szCs w:val="20"/>
              </w:rPr>
            </w:pPr>
            <w:r w:rsidRPr="00056F45">
              <w:rPr>
                <w:rFonts w:asciiTheme="minorHAnsi" w:hAnsiTheme="minorHAnsi" w:cstheme="minorHAnsi"/>
                <w:color w:val="auto"/>
                <w:sz w:val="20"/>
                <w:szCs w:val="20"/>
              </w:rPr>
              <w:t>Governments have an important role in education and capacity building to enable greater participation in and access to the benefits of carbon and environmental markets.</w:t>
            </w:r>
          </w:p>
        </w:tc>
      </w:tr>
      <w:tr w:rsidR="001947A5" w:rsidRPr="00314499" w14:paraId="04B93F8F" w14:textId="77777777" w:rsidTr="001947A5">
        <w:trPr>
          <w:cantSplit/>
        </w:trPr>
        <w:tc>
          <w:tcPr>
            <w:tcW w:w="6943" w:type="dxa"/>
          </w:tcPr>
          <w:p w14:paraId="441F7C23" w14:textId="77777777" w:rsidR="001947A5" w:rsidRDefault="001947A5" w:rsidP="001947A5">
            <w:pPr>
              <w:rPr>
                <w:rFonts w:asciiTheme="minorHAnsi" w:eastAsiaTheme="majorEastAsia" w:hAnsiTheme="minorHAnsi" w:cstheme="minorHAnsi"/>
                <w:b/>
                <w:iCs/>
                <w:sz w:val="20"/>
                <w:szCs w:val="20"/>
              </w:rPr>
            </w:pPr>
          </w:p>
        </w:tc>
        <w:tc>
          <w:tcPr>
            <w:tcW w:w="6944" w:type="dxa"/>
          </w:tcPr>
          <w:p w14:paraId="2250EB9B" w14:textId="77777777" w:rsidR="001947A5" w:rsidRPr="001947A5" w:rsidRDefault="001947A5" w:rsidP="001947A5">
            <w:pPr>
              <w:pStyle w:val="Normalsmall"/>
              <w:rPr>
                <w:b/>
                <w:i/>
                <w:color w:val="006266"/>
                <w:sz w:val="20"/>
              </w:rPr>
            </w:pPr>
            <w:r w:rsidRPr="001947A5">
              <w:rPr>
                <w:b/>
                <w:i/>
                <w:color w:val="006266"/>
                <w:sz w:val="20"/>
              </w:rPr>
              <w:t>Key findings</w:t>
            </w:r>
          </w:p>
          <w:p w14:paraId="604404DA" w14:textId="77777777" w:rsidR="001947A5" w:rsidRPr="00056F45" w:rsidRDefault="001947A5" w:rsidP="001947A5">
            <w:pPr>
              <w:pStyle w:val="StyleNormalBody"/>
              <w:spacing w:after="120"/>
              <w:rPr>
                <w:b/>
                <w:bCs/>
                <w:sz w:val="20"/>
                <w:szCs w:val="20"/>
              </w:rPr>
            </w:pPr>
            <w:r w:rsidRPr="00056F45">
              <w:rPr>
                <w:sz w:val="20"/>
                <w:szCs w:val="20"/>
              </w:rPr>
              <w:t xml:space="preserve">Carbon farming activities bring benefits to regional Australia through their implementation. </w:t>
            </w:r>
          </w:p>
          <w:p w14:paraId="2C7AF943" w14:textId="77777777" w:rsidR="001947A5" w:rsidRPr="00314499" w:rsidRDefault="001947A5" w:rsidP="001947A5">
            <w:pPr>
              <w:pStyle w:val="KeyFindings"/>
              <w:rPr>
                <w:rStyle w:val="IntenseEmphasis"/>
                <w:rFonts w:cstheme="minorHAnsi"/>
                <w:i w:val="0"/>
                <w:color w:val="auto"/>
              </w:rPr>
            </w:pPr>
            <w:r w:rsidRPr="00056F45">
              <w:rPr>
                <w:bCs w:val="0"/>
                <w:i w:val="0"/>
                <w:iCs w:val="0"/>
                <w:color w:val="auto"/>
                <w:sz w:val="20"/>
                <w:szCs w:val="20"/>
              </w:rPr>
              <w:t>Consideration should be given to appropriate steps to enhance regional income and business opportunities associated with the scheme.</w:t>
            </w:r>
          </w:p>
        </w:tc>
      </w:tr>
      <w:tr w:rsidR="001947A5" w:rsidRPr="00314499" w14:paraId="6D1DAA67" w14:textId="77777777" w:rsidTr="001947A5">
        <w:trPr>
          <w:cantSplit/>
        </w:trPr>
        <w:tc>
          <w:tcPr>
            <w:tcW w:w="6943" w:type="dxa"/>
          </w:tcPr>
          <w:p w14:paraId="51C7F79D" w14:textId="77777777" w:rsidR="001947A5" w:rsidRPr="00C91E4D" w:rsidRDefault="001947A5" w:rsidP="001947A5">
            <w:pPr>
              <w:rPr>
                <w:rStyle w:val="Heading4Char"/>
                <w:rFonts w:asciiTheme="minorHAnsi" w:hAnsiTheme="minorHAnsi" w:cstheme="minorHAnsi"/>
                <w:b w:val="0"/>
                <w:sz w:val="20"/>
                <w:szCs w:val="20"/>
              </w:rPr>
            </w:pPr>
            <w:r w:rsidRPr="00056F45">
              <w:rPr>
                <w:rFonts w:eastAsiaTheme="majorEastAsia" w:cstheme="majorBidi"/>
                <w:b/>
                <w:iCs/>
                <w:sz w:val="20"/>
                <w:szCs w:val="20"/>
              </w:rPr>
              <w:t>Recommendation 15: Reforms relating to First Nations Australians’ participation in the ACCU scheme should align with the accepted recommendations of concurrent reviews and reforms.</w:t>
            </w:r>
          </w:p>
        </w:tc>
        <w:tc>
          <w:tcPr>
            <w:tcW w:w="6944" w:type="dxa"/>
          </w:tcPr>
          <w:p w14:paraId="7E4E70F9" w14:textId="77777777" w:rsidR="001947A5" w:rsidRPr="001947A5" w:rsidRDefault="001947A5" w:rsidP="001947A5">
            <w:pPr>
              <w:pStyle w:val="Normalsmall"/>
              <w:rPr>
                <w:b/>
                <w:i/>
                <w:color w:val="006266"/>
                <w:sz w:val="20"/>
              </w:rPr>
            </w:pPr>
            <w:r w:rsidRPr="001947A5">
              <w:rPr>
                <w:b/>
                <w:i/>
                <w:color w:val="006266"/>
                <w:sz w:val="20"/>
              </w:rPr>
              <w:t>Key findings</w:t>
            </w:r>
          </w:p>
          <w:p w14:paraId="7C6EC426" w14:textId="77777777" w:rsidR="001947A5" w:rsidRPr="00056F45" w:rsidRDefault="001947A5" w:rsidP="001947A5">
            <w:pPr>
              <w:pStyle w:val="StyleNormalBody"/>
              <w:rPr>
                <w:rFonts w:cstheme="minorHAnsi"/>
                <w:sz w:val="20"/>
                <w:szCs w:val="20"/>
                <w:lang w:val="en-AU"/>
              </w:rPr>
            </w:pPr>
            <w:r w:rsidRPr="00056F45">
              <w:rPr>
                <w:rFonts w:cstheme="minorHAnsi"/>
                <w:sz w:val="20"/>
                <w:szCs w:val="20"/>
                <w:lang w:val="en-AU"/>
              </w:rPr>
              <w:t xml:space="preserve">The policy, legislative and governance arrangements in place to protect the rights and interests of First Nations Australians are evolving rapidly. </w:t>
            </w:r>
          </w:p>
          <w:p w14:paraId="4067E735" w14:textId="77777777" w:rsidR="001947A5" w:rsidRPr="00395F94" w:rsidRDefault="001947A5" w:rsidP="001947A5">
            <w:pPr>
              <w:pStyle w:val="Heading5"/>
              <w:outlineLvl w:val="4"/>
              <w:rPr>
                <w:rFonts w:asciiTheme="minorHAnsi" w:hAnsiTheme="minorHAnsi" w:cstheme="minorHAnsi"/>
                <w:color w:val="auto"/>
                <w:sz w:val="20"/>
                <w:szCs w:val="20"/>
              </w:rPr>
            </w:pPr>
            <w:r w:rsidRPr="00056F45">
              <w:rPr>
                <w:rFonts w:asciiTheme="minorHAnsi" w:hAnsiTheme="minorHAnsi" w:cstheme="minorHAnsi"/>
                <w:color w:val="auto"/>
                <w:sz w:val="20"/>
                <w:szCs w:val="20"/>
              </w:rPr>
              <w:t>First Nations Australians have unique expertise in cultural land management practices and can make a distinctive contribution to carbon markets, community and environmental outcomes.</w:t>
            </w:r>
          </w:p>
        </w:tc>
      </w:tr>
      <w:tr w:rsidR="001947A5" w:rsidRPr="00314499" w14:paraId="0B633683" w14:textId="77777777" w:rsidTr="001947A5">
        <w:trPr>
          <w:cantSplit/>
        </w:trPr>
        <w:tc>
          <w:tcPr>
            <w:tcW w:w="6943" w:type="dxa"/>
          </w:tcPr>
          <w:p w14:paraId="261F1C91" w14:textId="77777777" w:rsidR="001947A5" w:rsidRDefault="001947A5" w:rsidP="001947A5">
            <w:pPr>
              <w:rPr>
                <w:rFonts w:asciiTheme="minorHAnsi" w:eastAsiaTheme="majorEastAsia" w:hAnsiTheme="minorHAnsi" w:cstheme="minorHAnsi"/>
                <w:b/>
                <w:iCs/>
                <w:sz w:val="20"/>
                <w:szCs w:val="20"/>
              </w:rPr>
            </w:pPr>
          </w:p>
        </w:tc>
        <w:tc>
          <w:tcPr>
            <w:tcW w:w="6944" w:type="dxa"/>
          </w:tcPr>
          <w:p w14:paraId="1100B521" w14:textId="77777777" w:rsidR="001947A5" w:rsidRPr="001947A5" w:rsidRDefault="001947A5" w:rsidP="001947A5">
            <w:pPr>
              <w:pStyle w:val="Normalsmall"/>
              <w:rPr>
                <w:b/>
                <w:i/>
                <w:color w:val="006266"/>
                <w:sz w:val="20"/>
              </w:rPr>
            </w:pPr>
            <w:r w:rsidRPr="001947A5">
              <w:rPr>
                <w:b/>
                <w:i/>
                <w:color w:val="006266"/>
                <w:sz w:val="20"/>
              </w:rPr>
              <w:t>Key findings</w:t>
            </w:r>
          </w:p>
          <w:p w14:paraId="61516A2D" w14:textId="77777777" w:rsidR="001947A5" w:rsidRPr="00056F45" w:rsidRDefault="001947A5" w:rsidP="001947A5">
            <w:pPr>
              <w:pStyle w:val="KeyFindings"/>
              <w:rPr>
                <w:rStyle w:val="IntenseEmphasis"/>
                <w:rFonts w:cstheme="minorHAnsi"/>
                <w:i w:val="0"/>
                <w:iCs/>
                <w:color w:val="auto"/>
              </w:rPr>
            </w:pPr>
            <w:r w:rsidRPr="00056F45">
              <w:rPr>
                <w:rFonts w:asciiTheme="minorHAnsi" w:hAnsiTheme="minorHAnsi" w:cstheme="minorHAnsi"/>
                <w:bCs w:val="0"/>
                <w:i w:val="0"/>
                <w:iCs w:val="0"/>
                <w:color w:val="auto"/>
                <w:sz w:val="20"/>
                <w:szCs w:val="20"/>
              </w:rPr>
              <w:t>Improving coordination and consistency between local, state and federal governments would support positive economic, social and environmental outcomes.</w:t>
            </w:r>
          </w:p>
        </w:tc>
      </w:tr>
    </w:tbl>
    <w:p w14:paraId="782F0439" w14:textId="77777777" w:rsidR="001947A5" w:rsidRPr="00314499" w:rsidRDefault="001947A5" w:rsidP="001947A5">
      <w:pPr>
        <w:rPr>
          <w:rFonts w:asciiTheme="minorHAnsi" w:hAnsiTheme="minorHAnsi" w:cstheme="minorHAnsi"/>
          <w:sz w:val="20"/>
          <w:szCs w:val="20"/>
        </w:rPr>
      </w:pPr>
    </w:p>
    <w:tbl>
      <w:tblPr>
        <w:tblStyle w:val="TableGridLight"/>
        <w:tblW w:w="13887" w:type="dxa"/>
        <w:tblLook w:val="04A0" w:firstRow="1" w:lastRow="0" w:firstColumn="1" w:lastColumn="0" w:noHBand="0" w:noVBand="1"/>
      </w:tblPr>
      <w:tblGrid>
        <w:gridCol w:w="6943"/>
        <w:gridCol w:w="6944"/>
      </w:tblGrid>
      <w:tr w:rsidR="001947A5" w:rsidRPr="00314499" w14:paraId="013BA7F9" w14:textId="77777777" w:rsidTr="001947A5">
        <w:tc>
          <w:tcPr>
            <w:tcW w:w="13887" w:type="dxa"/>
            <w:gridSpan w:val="2"/>
          </w:tcPr>
          <w:p w14:paraId="3EC1E73B" w14:textId="77777777" w:rsidR="001947A5" w:rsidRPr="00087534" w:rsidRDefault="001947A5" w:rsidP="001947A5">
            <w:pPr>
              <w:pStyle w:val="Heading4"/>
              <w:outlineLvl w:val="3"/>
              <w:rPr>
                <w:rFonts w:asciiTheme="minorHAnsi" w:hAnsiTheme="minorHAnsi" w:cstheme="minorHAnsi"/>
                <w:sz w:val="20"/>
                <w:szCs w:val="20"/>
              </w:rPr>
            </w:pPr>
            <w:r w:rsidRPr="00087534">
              <w:rPr>
                <w:rFonts w:asciiTheme="minorHAnsi" w:hAnsiTheme="minorHAnsi" w:cstheme="minorHAnsi"/>
                <w:sz w:val="20"/>
                <w:szCs w:val="20"/>
              </w:rPr>
              <w:t>Terms of Reference</w:t>
            </w:r>
          </w:p>
          <w:p w14:paraId="2FD0AB42" w14:textId="77777777" w:rsidR="001947A5" w:rsidRPr="00314499" w:rsidRDefault="001947A5" w:rsidP="00612D33">
            <w:pPr>
              <w:pStyle w:val="ListParagraph"/>
              <w:numPr>
                <w:ilvl w:val="0"/>
                <w:numId w:val="37"/>
              </w:numPr>
              <w:spacing w:before="80" w:after="0"/>
              <w:rPr>
                <w:rFonts w:asciiTheme="minorHAnsi" w:hAnsiTheme="minorHAnsi" w:cstheme="minorHAnsi"/>
                <w:sz w:val="20"/>
                <w:szCs w:val="20"/>
              </w:rPr>
            </w:pPr>
            <w:r w:rsidRPr="00314499">
              <w:rPr>
                <w:rFonts w:asciiTheme="minorHAnsi" w:hAnsiTheme="minorHAnsi" w:cstheme="minorHAnsi"/>
                <w:sz w:val="20"/>
                <w:szCs w:val="20"/>
              </w:rPr>
              <w:t>The broader impacts of activities incentivised under Australia’s carbon crediting framework including:</w:t>
            </w:r>
          </w:p>
          <w:p w14:paraId="7346E13C" w14:textId="77777777" w:rsidR="001947A5" w:rsidRPr="00314499" w:rsidRDefault="001947A5" w:rsidP="00612D33">
            <w:pPr>
              <w:pStyle w:val="Style1ListNumber2"/>
              <w:numPr>
                <w:ilvl w:val="0"/>
                <w:numId w:val="38"/>
              </w:numPr>
              <w:rPr>
                <w:rStyle w:val="Emphasis"/>
                <w:rFonts w:cstheme="minorHAnsi"/>
                <w:i w:val="0"/>
                <w:iCs w:val="0"/>
                <w:color w:val="auto"/>
                <w:sz w:val="20"/>
                <w:szCs w:val="20"/>
              </w:rPr>
            </w:pPr>
            <w:r w:rsidRPr="00314499">
              <w:rPr>
                <w:rFonts w:asciiTheme="minorHAnsi" w:hAnsiTheme="minorHAnsi" w:cstheme="minorHAnsi"/>
                <w:bCs/>
                <w:color w:val="auto"/>
                <w:sz w:val="20"/>
                <w:szCs w:val="20"/>
              </w:rPr>
              <w:t>requirements for the use of ACCUs under Climate Active.</w:t>
            </w:r>
          </w:p>
        </w:tc>
      </w:tr>
      <w:tr w:rsidR="001947A5" w:rsidRPr="00314499" w14:paraId="1F764E51" w14:textId="77777777" w:rsidTr="001947A5">
        <w:tc>
          <w:tcPr>
            <w:tcW w:w="6943" w:type="dxa"/>
          </w:tcPr>
          <w:p w14:paraId="68A7A198" w14:textId="77777777" w:rsidR="001947A5" w:rsidRPr="00C91E4D" w:rsidRDefault="001947A5" w:rsidP="001947A5">
            <w:pPr>
              <w:spacing w:after="0"/>
              <w:rPr>
                <w:rStyle w:val="Emphasis"/>
                <w:rFonts w:eastAsia="Calibri" w:cstheme="minorHAnsi"/>
                <w:b/>
                <w:bCs/>
                <w:i w:val="0"/>
                <w:iCs w:val="0"/>
                <w:sz w:val="20"/>
                <w:szCs w:val="20"/>
              </w:rPr>
            </w:pPr>
            <w:r w:rsidRPr="00056F45">
              <w:rPr>
                <w:rFonts w:eastAsiaTheme="majorEastAsia" w:cstheme="majorBidi"/>
                <w:b/>
                <w:bCs/>
                <w:iCs/>
                <w:sz w:val="20"/>
                <w:szCs w:val="20"/>
              </w:rPr>
              <w:t>Recommendation 16. The mandatory requirement for Climate Active organisations to use a minimum 20 per cent ACCU to achieve their emissions offsets should not come into effect.</w:t>
            </w:r>
          </w:p>
        </w:tc>
        <w:tc>
          <w:tcPr>
            <w:tcW w:w="6944" w:type="dxa"/>
          </w:tcPr>
          <w:p w14:paraId="01EF2F85" w14:textId="77777777" w:rsidR="001947A5" w:rsidRPr="001947A5" w:rsidRDefault="001947A5" w:rsidP="001947A5">
            <w:pPr>
              <w:pStyle w:val="Normalsmall"/>
              <w:rPr>
                <w:b/>
                <w:i/>
                <w:color w:val="006266"/>
                <w:sz w:val="20"/>
              </w:rPr>
            </w:pPr>
            <w:r w:rsidRPr="001947A5">
              <w:rPr>
                <w:b/>
                <w:i/>
                <w:color w:val="006266"/>
                <w:sz w:val="20"/>
              </w:rPr>
              <w:t>Key findings</w:t>
            </w:r>
          </w:p>
          <w:p w14:paraId="4FFEC474" w14:textId="77777777" w:rsidR="001947A5" w:rsidRPr="00056F45" w:rsidRDefault="001947A5" w:rsidP="001947A5">
            <w:pPr>
              <w:pStyle w:val="StyleNormalBody"/>
              <w:rPr>
                <w:b/>
                <w:bCs/>
                <w:sz w:val="20"/>
                <w:szCs w:val="20"/>
              </w:rPr>
            </w:pPr>
            <w:r w:rsidRPr="00056F45">
              <w:rPr>
                <w:sz w:val="20"/>
                <w:szCs w:val="20"/>
              </w:rPr>
              <w:t xml:space="preserve">Organisations accredited through Climate Active’s voluntary carbon neutral certification program are able to use ACCUs to offset their emissions. </w:t>
            </w:r>
          </w:p>
          <w:p w14:paraId="7BC36663" w14:textId="77777777" w:rsidR="001947A5" w:rsidRPr="00056F45" w:rsidRDefault="001947A5" w:rsidP="001947A5">
            <w:pPr>
              <w:pStyle w:val="StyleNormalBody"/>
              <w:rPr>
                <w:b/>
                <w:bCs/>
                <w:sz w:val="20"/>
                <w:szCs w:val="20"/>
              </w:rPr>
            </w:pPr>
            <w:r w:rsidRPr="00056F45">
              <w:rPr>
                <w:sz w:val="20"/>
                <w:szCs w:val="20"/>
              </w:rPr>
              <w:t xml:space="preserve">The introduction of a mandatory requirement to use ACCUs is inconsistent with the flexibility that is central to the intent and purpose of the Climate Active program. </w:t>
            </w:r>
          </w:p>
          <w:p w14:paraId="123BE96A" w14:textId="77777777" w:rsidR="001947A5" w:rsidRPr="00314499" w:rsidRDefault="001947A5" w:rsidP="001947A5">
            <w:pPr>
              <w:pStyle w:val="Style1ListNumber2"/>
              <w:numPr>
                <w:ilvl w:val="0"/>
                <w:numId w:val="0"/>
              </w:numPr>
              <w:rPr>
                <w:rStyle w:val="Emphasis"/>
                <w:rFonts w:cstheme="minorHAnsi"/>
                <w:i w:val="0"/>
                <w:iCs w:val="0"/>
                <w:color w:val="auto"/>
                <w:sz w:val="20"/>
                <w:szCs w:val="20"/>
              </w:rPr>
            </w:pPr>
            <w:r w:rsidRPr="00056F45">
              <w:rPr>
                <w:sz w:val="20"/>
                <w:szCs w:val="20"/>
              </w:rPr>
              <w:t>It is likely that the mandatory requirement will be cost-prohibitive for some organisations, which will choose or be forced to leave the Climate Active scheme.</w:t>
            </w:r>
          </w:p>
        </w:tc>
      </w:tr>
    </w:tbl>
    <w:p w14:paraId="26DD7CDC" w14:textId="04BF5D6C" w:rsidR="00E077F4" w:rsidRDefault="00E077F4">
      <w:pPr>
        <w:spacing w:before="0" w:after="160" w:line="259" w:lineRule="auto"/>
        <w:sectPr w:rsidR="00E077F4" w:rsidSect="000C3549">
          <w:pgSz w:w="16838" w:h="11906" w:orient="landscape"/>
          <w:pgMar w:top="1440" w:right="1440" w:bottom="1440" w:left="1440" w:header="737" w:footer="708" w:gutter="0"/>
          <w:pgNumType w:fmt="lowerRoman"/>
          <w:cols w:space="708"/>
          <w:titlePg/>
          <w:docGrid w:linePitch="360"/>
        </w:sectPr>
      </w:pPr>
    </w:p>
    <w:sdt>
      <w:sdtPr>
        <w:rPr>
          <w:rFonts w:ascii="Calibri" w:eastAsiaTheme="minorHAnsi" w:hAnsi="Calibri" w:cstheme="minorBidi"/>
          <w:b/>
          <w:color w:val="auto"/>
          <w:sz w:val="22"/>
          <w:szCs w:val="22"/>
          <w:lang w:val="en-AU"/>
        </w:rPr>
        <w:id w:val="1943341589"/>
        <w:docPartObj>
          <w:docPartGallery w:val="Table of Contents"/>
          <w:docPartUnique/>
        </w:docPartObj>
      </w:sdtPr>
      <w:sdtEndPr>
        <w:rPr>
          <w:rFonts w:eastAsiaTheme="majorEastAsia" w:cstheme="majorBidi"/>
          <w:bCs/>
          <w:noProof/>
          <w:color w:val="006266"/>
          <w:sz w:val="25"/>
          <w:szCs w:val="32"/>
        </w:rPr>
      </w:sdtEndPr>
      <w:sdtContent>
        <w:p w14:paraId="18300FD9" w14:textId="77777777" w:rsidR="008227E1" w:rsidRPr="00207FD7" w:rsidRDefault="008227E1" w:rsidP="008227E1">
          <w:pPr>
            <w:pStyle w:val="TOCHeading"/>
            <w:tabs>
              <w:tab w:val="left" w:pos="3733"/>
            </w:tabs>
            <w:spacing w:before="0"/>
            <w:rPr>
              <w:rFonts w:ascii="Calibri" w:hAnsi="Calibri"/>
              <w:b/>
              <w:color w:val="006266"/>
              <w:sz w:val="25"/>
              <w:lang w:val="en-AU"/>
            </w:rPr>
          </w:pPr>
          <w:r w:rsidRPr="00207FD7">
            <w:rPr>
              <w:rFonts w:ascii="Calibri" w:hAnsi="Calibri"/>
              <w:b/>
              <w:color w:val="006266"/>
              <w:sz w:val="25"/>
              <w:lang w:val="en-AU"/>
            </w:rPr>
            <w:t>Table of Contents</w:t>
          </w:r>
        </w:p>
        <w:p w14:paraId="063B459E" w14:textId="744AD756" w:rsidR="00927ADE" w:rsidRDefault="008227E1">
          <w:pPr>
            <w:pStyle w:val="TOC1"/>
            <w:tabs>
              <w:tab w:val="right" w:leader="dot" w:pos="9016"/>
            </w:tabs>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122522991" w:history="1">
            <w:r w:rsidR="00927ADE" w:rsidRPr="00314D14">
              <w:rPr>
                <w:rStyle w:val="Hyperlink"/>
                <w:rFonts w:eastAsia="Calibri"/>
                <w:noProof/>
              </w:rPr>
              <w:t>Foreword</w:t>
            </w:r>
            <w:r w:rsidR="00927ADE">
              <w:rPr>
                <w:noProof/>
                <w:webHidden/>
              </w:rPr>
              <w:tab/>
            </w:r>
            <w:r w:rsidR="00927ADE">
              <w:rPr>
                <w:noProof/>
                <w:webHidden/>
              </w:rPr>
              <w:fldChar w:fldCharType="begin"/>
            </w:r>
            <w:r w:rsidR="00927ADE">
              <w:rPr>
                <w:noProof/>
                <w:webHidden/>
              </w:rPr>
              <w:instrText xml:space="preserve"> PAGEREF _Toc122522991 \h </w:instrText>
            </w:r>
            <w:r w:rsidR="00927ADE">
              <w:rPr>
                <w:noProof/>
                <w:webHidden/>
              </w:rPr>
            </w:r>
            <w:r w:rsidR="00927ADE">
              <w:rPr>
                <w:noProof/>
                <w:webHidden/>
              </w:rPr>
              <w:fldChar w:fldCharType="separate"/>
            </w:r>
            <w:r w:rsidR="00927ADE">
              <w:rPr>
                <w:noProof/>
                <w:webHidden/>
              </w:rPr>
              <w:t>I</w:t>
            </w:r>
            <w:r w:rsidR="00927ADE">
              <w:rPr>
                <w:noProof/>
                <w:webHidden/>
              </w:rPr>
              <w:fldChar w:fldCharType="end"/>
            </w:r>
          </w:hyperlink>
        </w:p>
        <w:p w14:paraId="2AEA7C11" w14:textId="7633E856" w:rsidR="00927ADE" w:rsidRDefault="005B3FDC">
          <w:pPr>
            <w:pStyle w:val="TOC1"/>
            <w:tabs>
              <w:tab w:val="right" w:leader="dot" w:pos="9016"/>
            </w:tabs>
            <w:rPr>
              <w:rFonts w:eastAsiaTheme="minorEastAsia"/>
              <w:noProof/>
              <w:lang w:eastAsia="en-AU"/>
            </w:rPr>
          </w:pPr>
          <w:hyperlink w:anchor="_Toc122522992" w:history="1">
            <w:r w:rsidR="00927ADE" w:rsidRPr="00314D14">
              <w:rPr>
                <w:rStyle w:val="Hyperlink"/>
                <w:noProof/>
              </w:rPr>
              <w:t>Executive Summary</w:t>
            </w:r>
            <w:r w:rsidR="00927ADE">
              <w:rPr>
                <w:noProof/>
                <w:webHidden/>
              </w:rPr>
              <w:tab/>
            </w:r>
            <w:r w:rsidR="00927ADE">
              <w:rPr>
                <w:noProof/>
                <w:webHidden/>
              </w:rPr>
              <w:fldChar w:fldCharType="begin"/>
            </w:r>
            <w:r w:rsidR="00927ADE">
              <w:rPr>
                <w:noProof/>
                <w:webHidden/>
              </w:rPr>
              <w:instrText xml:space="preserve"> PAGEREF _Toc122522992 \h </w:instrText>
            </w:r>
            <w:r w:rsidR="00927ADE">
              <w:rPr>
                <w:noProof/>
                <w:webHidden/>
              </w:rPr>
            </w:r>
            <w:r w:rsidR="00927ADE">
              <w:rPr>
                <w:noProof/>
                <w:webHidden/>
              </w:rPr>
              <w:fldChar w:fldCharType="separate"/>
            </w:r>
            <w:r w:rsidR="00927ADE">
              <w:rPr>
                <w:noProof/>
                <w:webHidden/>
              </w:rPr>
              <w:t>III</w:t>
            </w:r>
            <w:r w:rsidR="00927ADE">
              <w:rPr>
                <w:noProof/>
                <w:webHidden/>
              </w:rPr>
              <w:fldChar w:fldCharType="end"/>
            </w:r>
          </w:hyperlink>
        </w:p>
        <w:p w14:paraId="00A65E76" w14:textId="4065333D" w:rsidR="00927ADE" w:rsidRDefault="005B3FDC">
          <w:pPr>
            <w:pStyle w:val="TOC1"/>
            <w:tabs>
              <w:tab w:val="right" w:leader="dot" w:pos="9016"/>
            </w:tabs>
            <w:rPr>
              <w:rFonts w:eastAsiaTheme="minorEastAsia"/>
              <w:noProof/>
              <w:lang w:eastAsia="en-AU"/>
            </w:rPr>
          </w:pPr>
          <w:hyperlink w:anchor="_Toc122522993" w:history="1">
            <w:r w:rsidR="00927ADE" w:rsidRPr="00314D14">
              <w:rPr>
                <w:rStyle w:val="Hyperlink"/>
                <w:noProof/>
              </w:rPr>
              <w:t>Summary of Recommendations and Key Findings by Terms of Reference</w:t>
            </w:r>
            <w:r w:rsidR="00927ADE">
              <w:rPr>
                <w:noProof/>
                <w:webHidden/>
              </w:rPr>
              <w:tab/>
            </w:r>
            <w:r w:rsidR="00927ADE">
              <w:rPr>
                <w:noProof/>
                <w:webHidden/>
              </w:rPr>
              <w:fldChar w:fldCharType="begin"/>
            </w:r>
            <w:r w:rsidR="00927ADE">
              <w:rPr>
                <w:noProof/>
                <w:webHidden/>
              </w:rPr>
              <w:instrText xml:space="preserve"> PAGEREF _Toc122522993 \h </w:instrText>
            </w:r>
            <w:r w:rsidR="00927ADE">
              <w:rPr>
                <w:noProof/>
                <w:webHidden/>
              </w:rPr>
            </w:r>
            <w:r w:rsidR="00927ADE">
              <w:rPr>
                <w:noProof/>
                <w:webHidden/>
              </w:rPr>
              <w:fldChar w:fldCharType="separate"/>
            </w:r>
            <w:r w:rsidR="00927ADE">
              <w:rPr>
                <w:noProof/>
                <w:webHidden/>
              </w:rPr>
              <w:t>I</w:t>
            </w:r>
            <w:r w:rsidR="00927ADE">
              <w:rPr>
                <w:noProof/>
                <w:webHidden/>
              </w:rPr>
              <w:fldChar w:fldCharType="end"/>
            </w:r>
          </w:hyperlink>
        </w:p>
        <w:p w14:paraId="098296E2" w14:textId="056B78B7" w:rsidR="00927ADE" w:rsidRDefault="005B3FDC">
          <w:pPr>
            <w:pStyle w:val="TOC1"/>
            <w:tabs>
              <w:tab w:val="right" w:leader="dot" w:pos="9016"/>
            </w:tabs>
            <w:rPr>
              <w:rFonts w:eastAsiaTheme="minorEastAsia"/>
              <w:noProof/>
              <w:lang w:eastAsia="en-AU"/>
            </w:rPr>
          </w:pPr>
          <w:hyperlink w:anchor="_Toc122522994" w:history="1">
            <w:r w:rsidR="00927ADE" w:rsidRPr="00314D14">
              <w:rPr>
                <w:rStyle w:val="Hyperlink"/>
                <w:noProof/>
              </w:rPr>
              <w:t>Introduction</w:t>
            </w:r>
            <w:r w:rsidR="00927ADE">
              <w:rPr>
                <w:noProof/>
                <w:webHidden/>
              </w:rPr>
              <w:tab/>
            </w:r>
            <w:r w:rsidR="00927ADE">
              <w:rPr>
                <w:noProof/>
                <w:webHidden/>
              </w:rPr>
              <w:fldChar w:fldCharType="begin"/>
            </w:r>
            <w:r w:rsidR="00927ADE">
              <w:rPr>
                <w:noProof/>
                <w:webHidden/>
              </w:rPr>
              <w:instrText xml:space="preserve"> PAGEREF _Toc122522994 \h </w:instrText>
            </w:r>
            <w:r w:rsidR="00927ADE">
              <w:rPr>
                <w:noProof/>
                <w:webHidden/>
              </w:rPr>
            </w:r>
            <w:r w:rsidR="00927ADE">
              <w:rPr>
                <w:noProof/>
                <w:webHidden/>
              </w:rPr>
              <w:fldChar w:fldCharType="separate"/>
            </w:r>
            <w:r w:rsidR="00927ADE">
              <w:rPr>
                <w:noProof/>
                <w:webHidden/>
              </w:rPr>
              <w:t>1</w:t>
            </w:r>
            <w:r w:rsidR="00927ADE">
              <w:rPr>
                <w:noProof/>
                <w:webHidden/>
              </w:rPr>
              <w:fldChar w:fldCharType="end"/>
            </w:r>
          </w:hyperlink>
        </w:p>
        <w:p w14:paraId="71E3108D" w14:textId="0702B7E3" w:rsidR="00927ADE" w:rsidRDefault="005B3FDC">
          <w:pPr>
            <w:pStyle w:val="TOC1"/>
            <w:tabs>
              <w:tab w:val="right" w:leader="dot" w:pos="9016"/>
            </w:tabs>
            <w:rPr>
              <w:rFonts w:eastAsiaTheme="minorEastAsia"/>
              <w:noProof/>
              <w:lang w:eastAsia="en-AU"/>
            </w:rPr>
          </w:pPr>
          <w:hyperlink w:anchor="_Toc122522995" w:history="1">
            <w:r w:rsidR="00927ADE" w:rsidRPr="00314D14">
              <w:rPr>
                <w:rStyle w:val="Hyperlink"/>
                <w:noProof/>
              </w:rPr>
              <w:t>Part 1. Panel Overview</w:t>
            </w:r>
            <w:r w:rsidR="00927ADE">
              <w:rPr>
                <w:noProof/>
                <w:webHidden/>
              </w:rPr>
              <w:tab/>
            </w:r>
            <w:r w:rsidR="00927ADE">
              <w:rPr>
                <w:noProof/>
                <w:webHidden/>
              </w:rPr>
              <w:fldChar w:fldCharType="begin"/>
            </w:r>
            <w:r w:rsidR="00927ADE">
              <w:rPr>
                <w:noProof/>
                <w:webHidden/>
              </w:rPr>
              <w:instrText xml:space="preserve"> PAGEREF _Toc122522995 \h </w:instrText>
            </w:r>
            <w:r w:rsidR="00927ADE">
              <w:rPr>
                <w:noProof/>
                <w:webHidden/>
              </w:rPr>
            </w:r>
            <w:r w:rsidR="00927ADE">
              <w:rPr>
                <w:noProof/>
                <w:webHidden/>
              </w:rPr>
              <w:fldChar w:fldCharType="separate"/>
            </w:r>
            <w:r w:rsidR="00927ADE">
              <w:rPr>
                <w:noProof/>
                <w:webHidden/>
              </w:rPr>
              <w:t>2</w:t>
            </w:r>
            <w:r w:rsidR="00927ADE">
              <w:rPr>
                <w:noProof/>
                <w:webHidden/>
              </w:rPr>
              <w:fldChar w:fldCharType="end"/>
            </w:r>
          </w:hyperlink>
        </w:p>
        <w:p w14:paraId="2EFEDC42" w14:textId="0E5523CF" w:rsidR="00927ADE" w:rsidRDefault="005B3FDC">
          <w:pPr>
            <w:pStyle w:val="TOC1"/>
            <w:tabs>
              <w:tab w:val="right" w:leader="dot" w:pos="9016"/>
            </w:tabs>
            <w:rPr>
              <w:rFonts w:eastAsiaTheme="minorEastAsia"/>
              <w:noProof/>
              <w:lang w:eastAsia="en-AU"/>
            </w:rPr>
          </w:pPr>
          <w:hyperlink w:anchor="_Toc122522996" w:history="1">
            <w:r w:rsidR="00927ADE" w:rsidRPr="00314D14">
              <w:rPr>
                <w:rStyle w:val="Hyperlink"/>
                <w:noProof/>
              </w:rPr>
              <w:t>Part 2. Scheme governance</w:t>
            </w:r>
            <w:r w:rsidR="00927ADE">
              <w:rPr>
                <w:noProof/>
                <w:webHidden/>
              </w:rPr>
              <w:tab/>
            </w:r>
            <w:r w:rsidR="00927ADE">
              <w:rPr>
                <w:noProof/>
                <w:webHidden/>
              </w:rPr>
              <w:fldChar w:fldCharType="begin"/>
            </w:r>
            <w:r w:rsidR="00927ADE">
              <w:rPr>
                <w:noProof/>
                <w:webHidden/>
              </w:rPr>
              <w:instrText xml:space="preserve"> PAGEREF _Toc122522996 \h </w:instrText>
            </w:r>
            <w:r w:rsidR="00927ADE">
              <w:rPr>
                <w:noProof/>
                <w:webHidden/>
              </w:rPr>
            </w:r>
            <w:r w:rsidR="00927ADE">
              <w:rPr>
                <w:noProof/>
                <w:webHidden/>
              </w:rPr>
              <w:fldChar w:fldCharType="separate"/>
            </w:r>
            <w:r w:rsidR="00927ADE">
              <w:rPr>
                <w:noProof/>
                <w:webHidden/>
              </w:rPr>
              <w:t>3</w:t>
            </w:r>
            <w:r w:rsidR="00927ADE">
              <w:rPr>
                <w:noProof/>
                <w:webHidden/>
              </w:rPr>
              <w:fldChar w:fldCharType="end"/>
            </w:r>
          </w:hyperlink>
        </w:p>
        <w:p w14:paraId="0254A8EC" w14:textId="734B7358" w:rsidR="00927ADE" w:rsidRDefault="005B3FDC">
          <w:pPr>
            <w:pStyle w:val="TOC2"/>
            <w:tabs>
              <w:tab w:val="right" w:leader="dot" w:pos="9016"/>
            </w:tabs>
            <w:rPr>
              <w:rFonts w:eastAsiaTheme="minorEastAsia"/>
              <w:noProof/>
              <w:lang w:eastAsia="en-AU"/>
            </w:rPr>
          </w:pPr>
          <w:hyperlink w:anchor="_Toc122522997" w:history="1">
            <w:r w:rsidR="00927ADE" w:rsidRPr="00314D14">
              <w:rPr>
                <w:rStyle w:val="Hyperlink"/>
                <w:noProof/>
              </w:rPr>
              <w:t>Re-establishing the Emission Reduction Assurance Committee (ERAC) as the Carbon Abatement Integrity Committee (CAIC)</w:t>
            </w:r>
            <w:r w:rsidR="00927ADE">
              <w:rPr>
                <w:noProof/>
                <w:webHidden/>
              </w:rPr>
              <w:tab/>
            </w:r>
            <w:r w:rsidR="00927ADE">
              <w:rPr>
                <w:noProof/>
                <w:webHidden/>
              </w:rPr>
              <w:fldChar w:fldCharType="begin"/>
            </w:r>
            <w:r w:rsidR="00927ADE">
              <w:rPr>
                <w:noProof/>
                <w:webHidden/>
              </w:rPr>
              <w:instrText xml:space="preserve"> PAGEREF _Toc122522997 \h </w:instrText>
            </w:r>
            <w:r w:rsidR="00927ADE">
              <w:rPr>
                <w:noProof/>
                <w:webHidden/>
              </w:rPr>
            </w:r>
            <w:r w:rsidR="00927ADE">
              <w:rPr>
                <w:noProof/>
                <w:webHidden/>
              </w:rPr>
              <w:fldChar w:fldCharType="separate"/>
            </w:r>
            <w:r w:rsidR="00927ADE">
              <w:rPr>
                <w:noProof/>
                <w:webHidden/>
              </w:rPr>
              <w:t>4</w:t>
            </w:r>
            <w:r w:rsidR="00927ADE">
              <w:rPr>
                <w:noProof/>
                <w:webHidden/>
              </w:rPr>
              <w:fldChar w:fldCharType="end"/>
            </w:r>
          </w:hyperlink>
        </w:p>
        <w:p w14:paraId="04E10A27" w14:textId="3094EB2F" w:rsidR="00927ADE" w:rsidRDefault="005B3FDC">
          <w:pPr>
            <w:pStyle w:val="TOC2"/>
            <w:tabs>
              <w:tab w:val="right" w:leader="dot" w:pos="9016"/>
            </w:tabs>
            <w:rPr>
              <w:rFonts w:eastAsiaTheme="minorEastAsia"/>
              <w:noProof/>
              <w:lang w:eastAsia="en-AU"/>
            </w:rPr>
          </w:pPr>
          <w:hyperlink w:anchor="_Toc122522998" w:history="1">
            <w:r w:rsidR="00927ADE" w:rsidRPr="00314D14">
              <w:rPr>
                <w:rStyle w:val="Hyperlink"/>
                <w:noProof/>
              </w:rPr>
              <w:t>Clean Energy Regulator</w:t>
            </w:r>
            <w:r w:rsidR="00927ADE">
              <w:rPr>
                <w:noProof/>
                <w:webHidden/>
              </w:rPr>
              <w:tab/>
            </w:r>
            <w:r w:rsidR="00927ADE">
              <w:rPr>
                <w:noProof/>
                <w:webHidden/>
              </w:rPr>
              <w:fldChar w:fldCharType="begin"/>
            </w:r>
            <w:r w:rsidR="00927ADE">
              <w:rPr>
                <w:noProof/>
                <w:webHidden/>
              </w:rPr>
              <w:instrText xml:space="preserve"> PAGEREF _Toc122522998 \h </w:instrText>
            </w:r>
            <w:r w:rsidR="00927ADE">
              <w:rPr>
                <w:noProof/>
                <w:webHidden/>
              </w:rPr>
            </w:r>
            <w:r w:rsidR="00927ADE">
              <w:rPr>
                <w:noProof/>
                <w:webHidden/>
              </w:rPr>
              <w:fldChar w:fldCharType="separate"/>
            </w:r>
            <w:r w:rsidR="00927ADE">
              <w:rPr>
                <w:noProof/>
                <w:webHidden/>
              </w:rPr>
              <w:t>6</w:t>
            </w:r>
            <w:r w:rsidR="00927ADE">
              <w:rPr>
                <w:noProof/>
                <w:webHidden/>
              </w:rPr>
              <w:fldChar w:fldCharType="end"/>
            </w:r>
          </w:hyperlink>
        </w:p>
        <w:p w14:paraId="484F3849" w14:textId="5C0F396C" w:rsidR="00927ADE" w:rsidRDefault="005B3FDC">
          <w:pPr>
            <w:pStyle w:val="TOC2"/>
            <w:tabs>
              <w:tab w:val="right" w:leader="dot" w:pos="9016"/>
            </w:tabs>
            <w:rPr>
              <w:rFonts w:eastAsiaTheme="minorEastAsia"/>
              <w:noProof/>
              <w:lang w:eastAsia="en-AU"/>
            </w:rPr>
          </w:pPr>
          <w:hyperlink w:anchor="_Toc122522999" w:history="1">
            <w:r w:rsidR="00927ADE" w:rsidRPr="00314D14">
              <w:rPr>
                <w:rStyle w:val="Hyperlink"/>
                <w:noProof/>
              </w:rPr>
              <w:t>Disclosure provisions and transparency</w:t>
            </w:r>
            <w:r w:rsidR="00927ADE">
              <w:rPr>
                <w:noProof/>
                <w:webHidden/>
              </w:rPr>
              <w:tab/>
            </w:r>
            <w:r w:rsidR="00927ADE">
              <w:rPr>
                <w:noProof/>
                <w:webHidden/>
              </w:rPr>
              <w:fldChar w:fldCharType="begin"/>
            </w:r>
            <w:r w:rsidR="00927ADE">
              <w:rPr>
                <w:noProof/>
                <w:webHidden/>
              </w:rPr>
              <w:instrText xml:space="preserve"> PAGEREF _Toc122522999 \h </w:instrText>
            </w:r>
            <w:r w:rsidR="00927ADE">
              <w:rPr>
                <w:noProof/>
                <w:webHidden/>
              </w:rPr>
            </w:r>
            <w:r w:rsidR="00927ADE">
              <w:rPr>
                <w:noProof/>
                <w:webHidden/>
              </w:rPr>
              <w:fldChar w:fldCharType="separate"/>
            </w:r>
            <w:r w:rsidR="00927ADE">
              <w:rPr>
                <w:noProof/>
                <w:webHidden/>
              </w:rPr>
              <w:t>8</w:t>
            </w:r>
            <w:r w:rsidR="00927ADE">
              <w:rPr>
                <w:noProof/>
                <w:webHidden/>
              </w:rPr>
              <w:fldChar w:fldCharType="end"/>
            </w:r>
          </w:hyperlink>
        </w:p>
        <w:p w14:paraId="222F293F" w14:textId="4F1ACBC9" w:rsidR="00927ADE" w:rsidRDefault="005B3FDC">
          <w:pPr>
            <w:pStyle w:val="TOC1"/>
            <w:tabs>
              <w:tab w:val="right" w:leader="dot" w:pos="9016"/>
            </w:tabs>
            <w:rPr>
              <w:rFonts w:eastAsiaTheme="minorEastAsia"/>
              <w:noProof/>
              <w:lang w:eastAsia="en-AU"/>
            </w:rPr>
          </w:pPr>
          <w:hyperlink w:anchor="_Toc122523000" w:history="1">
            <w:r w:rsidR="00927ADE" w:rsidRPr="00314D14">
              <w:rPr>
                <w:rStyle w:val="Hyperlink"/>
                <w:noProof/>
              </w:rPr>
              <w:t>Part 3. Method development and review</w:t>
            </w:r>
            <w:r w:rsidR="00927ADE">
              <w:rPr>
                <w:noProof/>
                <w:webHidden/>
              </w:rPr>
              <w:tab/>
            </w:r>
            <w:r w:rsidR="00927ADE">
              <w:rPr>
                <w:noProof/>
                <w:webHidden/>
              </w:rPr>
              <w:fldChar w:fldCharType="begin"/>
            </w:r>
            <w:r w:rsidR="00927ADE">
              <w:rPr>
                <w:noProof/>
                <w:webHidden/>
              </w:rPr>
              <w:instrText xml:space="preserve"> PAGEREF _Toc122523000 \h </w:instrText>
            </w:r>
            <w:r w:rsidR="00927ADE">
              <w:rPr>
                <w:noProof/>
                <w:webHidden/>
              </w:rPr>
            </w:r>
            <w:r w:rsidR="00927ADE">
              <w:rPr>
                <w:noProof/>
                <w:webHidden/>
              </w:rPr>
              <w:fldChar w:fldCharType="separate"/>
            </w:r>
            <w:r w:rsidR="00927ADE">
              <w:rPr>
                <w:noProof/>
                <w:webHidden/>
              </w:rPr>
              <w:t>10</w:t>
            </w:r>
            <w:r w:rsidR="00927ADE">
              <w:rPr>
                <w:noProof/>
                <w:webHidden/>
              </w:rPr>
              <w:fldChar w:fldCharType="end"/>
            </w:r>
          </w:hyperlink>
        </w:p>
        <w:p w14:paraId="064E0D30" w14:textId="5208B8E8" w:rsidR="00927ADE" w:rsidRDefault="005B3FDC">
          <w:pPr>
            <w:pStyle w:val="TOC2"/>
            <w:tabs>
              <w:tab w:val="right" w:leader="dot" w:pos="9016"/>
            </w:tabs>
            <w:rPr>
              <w:rFonts w:eastAsiaTheme="minorEastAsia"/>
              <w:noProof/>
              <w:lang w:eastAsia="en-AU"/>
            </w:rPr>
          </w:pPr>
          <w:hyperlink w:anchor="_Toc122523001" w:history="1">
            <w:r w:rsidR="00927ADE" w:rsidRPr="00314D14">
              <w:rPr>
                <w:rStyle w:val="Hyperlink"/>
                <w:noProof/>
              </w:rPr>
              <w:t>Method development</w:t>
            </w:r>
            <w:r w:rsidR="00927ADE">
              <w:rPr>
                <w:noProof/>
                <w:webHidden/>
              </w:rPr>
              <w:tab/>
            </w:r>
            <w:r w:rsidR="00927ADE">
              <w:rPr>
                <w:noProof/>
                <w:webHidden/>
              </w:rPr>
              <w:fldChar w:fldCharType="begin"/>
            </w:r>
            <w:r w:rsidR="00927ADE">
              <w:rPr>
                <w:noProof/>
                <w:webHidden/>
              </w:rPr>
              <w:instrText xml:space="preserve"> PAGEREF _Toc122523001 \h </w:instrText>
            </w:r>
            <w:r w:rsidR="00927ADE">
              <w:rPr>
                <w:noProof/>
                <w:webHidden/>
              </w:rPr>
            </w:r>
            <w:r w:rsidR="00927ADE">
              <w:rPr>
                <w:noProof/>
                <w:webHidden/>
              </w:rPr>
              <w:fldChar w:fldCharType="separate"/>
            </w:r>
            <w:r w:rsidR="00927ADE">
              <w:rPr>
                <w:noProof/>
                <w:webHidden/>
              </w:rPr>
              <w:t>11</w:t>
            </w:r>
            <w:r w:rsidR="00927ADE">
              <w:rPr>
                <w:noProof/>
                <w:webHidden/>
              </w:rPr>
              <w:fldChar w:fldCharType="end"/>
            </w:r>
          </w:hyperlink>
        </w:p>
        <w:p w14:paraId="7B5C9FDC" w14:textId="33AA82C9" w:rsidR="00927ADE" w:rsidRDefault="005B3FDC">
          <w:pPr>
            <w:pStyle w:val="TOC1"/>
            <w:tabs>
              <w:tab w:val="right" w:leader="dot" w:pos="9016"/>
            </w:tabs>
            <w:rPr>
              <w:rFonts w:eastAsiaTheme="minorEastAsia"/>
              <w:noProof/>
              <w:lang w:eastAsia="en-AU"/>
            </w:rPr>
          </w:pPr>
          <w:hyperlink w:anchor="_Toc122523002" w:history="1">
            <w:r w:rsidR="00927ADE" w:rsidRPr="00314D14">
              <w:rPr>
                <w:rStyle w:val="Hyperlink"/>
                <w:noProof/>
              </w:rPr>
              <w:t>Part 4. Offsets Integrity Standards</w:t>
            </w:r>
            <w:r w:rsidR="00927ADE">
              <w:rPr>
                <w:noProof/>
                <w:webHidden/>
              </w:rPr>
              <w:tab/>
            </w:r>
            <w:r w:rsidR="00927ADE">
              <w:rPr>
                <w:noProof/>
                <w:webHidden/>
              </w:rPr>
              <w:fldChar w:fldCharType="begin"/>
            </w:r>
            <w:r w:rsidR="00927ADE">
              <w:rPr>
                <w:noProof/>
                <w:webHidden/>
              </w:rPr>
              <w:instrText xml:space="preserve"> PAGEREF _Toc122523002 \h </w:instrText>
            </w:r>
            <w:r w:rsidR="00927ADE">
              <w:rPr>
                <w:noProof/>
                <w:webHidden/>
              </w:rPr>
            </w:r>
            <w:r w:rsidR="00927ADE">
              <w:rPr>
                <w:noProof/>
                <w:webHidden/>
              </w:rPr>
              <w:fldChar w:fldCharType="separate"/>
            </w:r>
            <w:r w:rsidR="00927ADE">
              <w:rPr>
                <w:noProof/>
                <w:webHidden/>
              </w:rPr>
              <w:t>16</w:t>
            </w:r>
            <w:r w:rsidR="00927ADE">
              <w:rPr>
                <w:noProof/>
                <w:webHidden/>
              </w:rPr>
              <w:fldChar w:fldCharType="end"/>
            </w:r>
          </w:hyperlink>
        </w:p>
        <w:p w14:paraId="2B6DA852" w14:textId="2F681F14" w:rsidR="00927ADE" w:rsidRDefault="005B3FDC">
          <w:pPr>
            <w:pStyle w:val="TOC2"/>
            <w:tabs>
              <w:tab w:val="right" w:leader="dot" w:pos="9016"/>
            </w:tabs>
            <w:rPr>
              <w:rFonts w:eastAsiaTheme="minorEastAsia"/>
              <w:noProof/>
              <w:lang w:eastAsia="en-AU"/>
            </w:rPr>
          </w:pPr>
          <w:hyperlink w:anchor="_Toc122523003" w:history="1">
            <w:r w:rsidR="00927ADE" w:rsidRPr="00314D14">
              <w:rPr>
                <w:rStyle w:val="Hyperlink"/>
                <w:noProof/>
              </w:rPr>
              <w:t>Method criteria: Offsets Integrity Standards (OIS)</w:t>
            </w:r>
            <w:r w:rsidR="00927ADE">
              <w:rPr>
                <w:noProof/>
                <w:webHidden/>
              </w:rPr>
              <w:tab/>
            </w:r>
            <w:r w:rsidR="00927ADE">
              <w:rPr>
                <w:noProof/>
                <w:webHidden/>
              </w:rPr>
              <w:fldChar w:fldCharType="begin"/>
            </w:r>
            <w:r w:rsidR="00927ADE">
              <w:rPr>
                <w:noProof/>
                <w:webHidden/>
              </w:rPr>
              <w:instrText xml:space="preserve"> PAGEREF _Toc122523003 \h </w:instrText>
            </w:r>
            <w:r w:rsidR="00927ADE">
              <w:rPr>
                <w:noProof/>
                <w:webHidden/>
              </w:rPr>
            </w:r>
            <w:r w:rsidR="00927ADE">
              <w:rPr>
                <w:noProof/>
                <w:webHidden/>
              </w:rPr>
              <w:fldChar w:fldCharType="separate"/>
            </w:r>
            <w:r w:rsidR="00927ADE">
              <w:rPr>
                <w:noProof/>
                <w:webHidden/>
              </w:rPr>
              <w:t>17</w:t>
            </w:r>
            <w:r w:rsidR="00927ADE">
              <w:rPr>
                <w:noProof/>
                <w:webHidden/>
              </w:rPr>
              <w:fldChar w:fldCharType="end"/>
            </w:r>
          </w:hyperlink>
        </w:p>
        <w:p w14:paraId="28DF0CC2" w14:textId="487D15BC" w:rsidR="00927ADE" w:rsidRDefault="005B3FDC">
          <w:pPr>
            <w:pStyle w:val="TOC2"/>
            <w:tabs>
              <w:tab w:val="right" w:leader="dot" w:pos="9016"/>
            </w:tabs>
            <w:rPr>
              <w:rFonts w:eastAsiaTheme="minorEastAsia"/>
              <w:noProof/>
              <w:lang w:eastAsia="en-AU"/>
            </w:rPr>
          </w:pPr>
          <w:hyperlink w:anchor="_Toc122523004" w:history="1">
            <w:r w:rsidR="00927ADE" w:rsidRPr="00314D14">
              <w:rPr>
                <w:rStyle w:val="Hyperlink"/>
                <w:noProof/>
              </w:rPr>
              <w:t>Scheme level integrity</w:t>
            </w:r>
            <w:r w:rsidR="00927ADE">
              <w:rPr>
                <w:noProof/>
                <w:webHidden/>
              </w:rPr>
              <w:tab/>
            </w:r>
            <w:r w:rsidR="00927ADE">
              <w:rPr>
                <w:noProof/>
                <w:webHidden/>
              </w:rPr>
              <w:fldChar w:fldCharType="begin"/>
            </w:r>
            <w:r w:rsidR="00927ADE">
              <w:rPr>
                <w:noProof/>
                <w:webHidden/>
              </w:rPr>
              <w:instrText xml:space="preserve"> PAGEREF _Toc122523004 \h </w:instrText>
            </w:r>
            <w:r w:rsidR="00927ADE">
              <w:rPr>
                <w:noProof/>
                <w:webHidden/>
              </w:rPr>
            </w:r>
            <w:r w:rsidR="00927ADE">
              <w:rPr>
                <w:noProof/>
                <w:webHidden/>
              </w:rPr>
              <w:fldChar w:fldCharType="separate"/>
            </w:r>
            <w:r w:rsidR="00927ADE">
              <w:rPr>
                <w:noProof/>
                <w:webHidden/>
              </w:rPr>
              <w:t>19</w:t>
            </w:r>
            <w:r w:rsidR="00927ADE">
              <w:rPr>
                <w:noProof/>
                <w:webHidden/>
              </w:rPr>
              <w:fldChar w:fldCharType="end"/>
            </w:r>
          </w:hyperlink>
        </w:p>
        <w:p w14:paraId="0FF94672" w14:textId="01B7B47A" w:rsidR="00927ADE" w:rsidRDefault="005B3FDC">
          <w:pPr>
            <w:pStyle w:val="TOC1"/>
            <w:tabs>
              <w:tab w:val="right" w:leader="dot" w:pos="9016"/>
            </w:tabs>
            <w:rPr>
              <w:rFonts w:eastAsiaTheme="minorEastAsia"/>
              <w:noProof/>
              <w:lang w:eastAsia="en-AU"/>
            </w:rPr>
          </w:pPr>
          <w:hyperlink w:anchor="_Toc122523005" w:history="1">
            <w:r w:rsidR="00927ADE" w:rsidRPr="00314D14">
              <w:rPr>
                <w:rStyle w:val="Hyperlink"/>
                <w:noProof/>
              </w:rPr>
              <w:t>Part 5. Human-induced regeneration (HIR), avoided deforestation, landfill gas and carbon capture and storage (CCS), methods.</w:t>
            </w:r>
            <w:r w:rsidR="00927ADE">
              <w:rPr>
                <w:noProof/>
                <w:webHidden/>
              </w:rPr>
              <w:tab/>
            </w:r>
            <w:r w:rsidR="00927ADE">
              <w:rPr>
                <w:noProof/>
                <w:webHidden/>
              </w:rPr>
              <w:fldChar w:fldCharType="begin"/>
            </w:r>
            <w:r w:rsidR="00927ADE">
              <w:rPr>
                <w:noProof/>
                <w:webHidden/>
              </w:rPr>
              <w:instrText xml:space="preserve"> PAGEREF _Toc122523005 \h </w:instrText>
            </w:r>
            <w:r w:rsidR="00927ADE">
              <w:rPr>
                <w:noProof/>
                <w:webHidden/>
              </w:rPr>
            </w:r>
            <w:r w:rsidR="00927ADE">
              <w:rPr>
                <w:noProof/>
                <w:webHidden/>
              </w:rPr>
              <w:fldChar w:fldCharType="separate"/>
            </w:r>
            <w:r w:rsidR="00927ADE">
              <w:rPr>
                <w:noProof/>
                <w:webHidden/>
              </w:rPr>
              <w:t>21</w:t>
            </w:r>
            <w:r w:rsidR="00927ADE">
              <w:rPr>
                <w:noProof/>
                <w:webHidden/>
              </w:rPr>
              <w:fldChar w:fldCharType="end"/>
            </w:r>
          </w:hyperlink>
        </w:p>
        <w:p w14:paraId="69104054" w14:textId="7F93645D" w:rsidR="00927ADE" w:rsidRDefault="005B3FDC">
          <w:pPr>
            <w:pStyle w:val="TOC2"/>
            <w:tabs>
              <w:tab w:val="right" w:leader="dot" w:pos="9016"/>
            </w:tabs>
            <w:rPr>
              <w:rFonts w:eastAsiaTheme="minorEastAsia"/>
              <w:noProof/>
              <w:lang w:eastAsia="en-AU"/>
            </w:rPr>
          </w:pPr>
          <w:hyperlink w:anchor="_Toc122523006" w:history="1">
            <w:r w:rsidR="00927ADE" w:rsidRPr="00314D14">
              <w:rPr>
                <w:rStyle w:val="Hyperlink"/>
                <w:noProof/>
              </w:rPr>
              <w:t>Enhancing the implementation of the human-induced regeneration (HIR) method</w:t>
            </w:r>
            <w:r w:rsidR="00927ADE">
              <w:rPr>
                <w:noProof/>
                <w:webHidden/>
              </w:rPr>
              <w:tab/>
            </w:r>
            <w:r w:rsidR="00927ADE">
              <w:rPr>
                <w:noProof/>
                <w:webHidden/>
              </w:rPr>
              <w:fldChar w:fldCharType="begin"/>
            </w:r>
            <w:r w:rsidR="00927ADE">
              <w:rPr>
                <w:noProof/>
                <w:webHidden/>
              </w:rPr>
              <w:instrText xml:space="preserve"> PAGEREF _Toc122523006 \h </w:instrText>
            </w:r>
            <w:r w:rsidR="00927ADE">
              <w:rPr>
                <w:noProof/>
                <w:webHidden/>
              </w:rPr>
            </w:r>
            <w:r w:rsidR="00927ADE">
              <w:rPr>
                <w:noProof/>
                <w:webHidden/>
              </w:rPr>
              <w:fldChar w:fldCharType="separate"/>
            </w:r>
            <w:r w:rsidR="00927ADE">
              <w:rPr>
                <w:noProof/>
                <w:webHidden/>
              </w:rPr>
              <w:t>21</w:t>
            </w:r>
            <w:r w:rsidR="00927ADE">
              <w:rPr>
                <w:noProof/>
                <w:webHidden/>
              </w:rPr>
              <w:fldChar w:fldCharType="end"/>
            </w:r>
          </w:hyperlink>
        </w:p>
        <w:p w14:paraId="2F80CA35" w14:textId="547E3EE5" w:rsidR="00927ADE" w:rsidRDefault="005B3FDC">
          <w:pPr>
            <w:pStyle w:val="TOC2"/>
            <w:tabs>
              <w:tab w:val="right" w:leader="dot" w:pos="9016"/>
            </w:tabs>
            <w:rPr>
              <w:rFonts w:eastAsiaTheme="minorEastAsia"/>
              <w:noProof/>
              <w:lang w:eastAsia="en-AU"/>
            </w:rPr>
          </w:pPr>
          <w:hyperlink w:anchor="_Toc122523007" w:history="1">
            <w:r w:rsidR="00927ADE" w:rsidRPr="00314D14">
              <w:rPr>
                <w:rStyle w:val="Hyperlink"/>
                <w:noProof/>
              </w:rPr>
              <w:t>The Avoided Deforestation method</w:t>
            </w:r>
            <w:r w:rsidR="00927ADE">
              <w:rPr>
                <w:noProof/>
                <w:webHidden/>
              </w:rPr>
              <w:tab/>
            </w:r>
            <w:r w:rsidR="00927ADE">
              <w:rPr>
                <w:noProof/>
                <w:webHidden/>
              </w:rPr>
              <w:fldChar w:fldCharType="begin"/>
            </w:r>
            <w:r w:rsidR="00927ADE">
              <w:rPr>
                <w:noProof/>
                <w:webHidden/>
              </w:rPr>
              <w:instrText xml:space="preserve"> PAGEREF _Toc122523007 \h </w:instrText>
            </w:r>
            <w:r w:rsidR="00927ADE">
              <w:rPr>
                <w:noProof/>
                <w:webHidden/>
              </w:rPr>
            </w:r>
            <w:r w:rsidR="00927ADE">
              <w:rPr>
                <w:noProof/>
                <w:webHidden/>
              </w:rPr>
              <w:fldChar w:fldCharType="separate"/>
            </w:r>
            <w:r w:rsidR="00927ADE">
              <w:rPr>
                <w:noProof/>
                <w:webHidden/>
              </w:rPr>
              <w:t>24</w:t>
            </w:r>
            <w:r w:rsidR="00927ADE">
              <w:rPr>
                <w:noProof/>
                <w:webHidden/>
              </w:rPr>
              <w:fldChar w:fldCharType="end"/>
            </w:r>
          </w:hyperlink>
        </w:p>
        <w:p w14:paraId="7ADA181C" w14:textId="0A3FB262" w:rsidR="00927ADE" w:rsidRDefault="005B3FDC">
          <w:pPr>
            <w:pStyle w:val="TOC2"/>
            <w:tabs>
              <w:tab w:val="right" w:leader="dot" w:pos="9016"/>
            </w:tabs>
            <w:rPr>
              <w:rFonts w:eastAsiaTheme="minorEastAsia"/>
              <w:noProof/>
              <w:lang w:eastAsia="en-AU"/>
            </w:rPr>
          </w:pPr>
          <w:hyperlink w:anchor="_Toc122523008" w:history="1">
            <w:r w:rsidR="00927ADE" w:rsidRPr="00314D14">
              <w:rPr>
                <w:rStyle w:val="Hyperlink"/>
                <w:noProof/>
              </w:rPr>
              <w:t>Landfill gas methods</w:t>
            </w:r>
            <w:r w:rsidR="00927ADE">
              <w:rPr>
                <w:noProof/>
                <w:webHidden/>
              </w:rPr>
              <w:tab/>
            </w:r>
            <w:r w:rsidR="00927ADE">
              <w:rPr>
                <w:noProof/>
                <w:webHidden/>
              </w:rPr>
              <w:fldChar w:fldCharType="begin"/>
            </w:r>
            <w:r w:rsidR="00927ADE">
              <w:rPr>
                <w:noProof/>
                <w:webHidden/>
              </w:rPr>
              <w:instrText xml:space="preserve"> PAGEREF _Toc122523008 \h </w:instrText>
            </w:r>
            <w:r w:rsidR="00927ADE">
              <w:rPr>
                <w:noProof/>
                <w:webHidden/>
              </w:rPr>
            </w:r>
            <w:r w:rsidR="00927ADE">
              <w:rPr>
                <w:noProof/>
                <w:webHidden/>
              </w:rPr>
              <w:fldChar w:fldCharType="separate"/>
            </w:r>
            <w:r w:rsidR="00927ADE">
              <w:rPr>
                <w:noProof/>
                <w:webHidden/>
              </w:rPr>
              <w:t>25</w:t>
            </w:r>
            <w:r w:rsidR="00927ADE">
              <w:rPr>
                <w:noProof/>
                <w:webHidden/>
              </w:rPr>
              <w:fldChar w:fldCharType="end"/>
            </w:r>
          </w:hyperlink>
        </w:p>
        <w:p w14:paraId="1BDBE79B" w14:textId="48AB0F40" w:rsidR="00927ADE" w:rsidRDefault="005B3FDC">
          <w:pPr>
            <w:pStyle w:val="TOC2"/>
            <w:tabs>
              <w:tab w:val="right" w:leader="dot" w:pos="9016"/>
            </w:tabs>
            <w:rPr>
              <w:rFonts w:eastAsiaTheme="minorEastAsia"/>
              <w:noProof/>
              <w:lang w:eastAsia="en-AU"/>
            </w:rPr>
          </w:pPr>
          <w:hyperlink w:anchor="_Toc122523009" w:history="1">
            <w:r w:rsidR="00927ADE" w:rsidRPr="00314D14">
              <w:rPr>
                <w:rStyle w:val="Hyperlink"/>
                <w:noProof/>
              </w:rPr>
              <w:t>Carbon Capture and Storage (CCS) method</w:t>
            </w:r>
            <w:r w:rsidR="00927ADE">
              <w:rPr>
                <w:noProof/>
                <w:webHidden/>
              </w:rPr>
              <w:tab/>
            </w:r>
            <w:r w:rsidR="00927ADE">
              <w:rPr>
                <w:noProof/>
                <w:webHidden/>
              </w:rPr>
              <w:fldChar w:fldCharType="begin"/>
            </w:r>
            <w:r w:rsidR="00927ADE">
              <w:rPr>
                <w:noProof/>
                <w:webHidden/>
              </w:rPr>
              <w:instrText xml:space="preserve"> PAGEREF _Toc122523009 \h </w:instrText>
            </w:r>
            <w:r w:rsidR="00927ADE">
              <w:rPr>
                <w:noProof/>
                <w:webHidden/>
              </w:rPr>
            </w:r>
            <w:r w:rsidR="00927ADE">
              <w:rPr>
                <w:noProof/>
                <w:webHidden/>
              </w:rPr>
              <w:fldChar w:fldCharType="separate"/>
            </w:r>
            <w:r w:rsidR="00927ADE">
              <w:rPr>
                <w:noProof/>
                <w:webHidden/>
              </w:rPr>
              <w:t>26</w:t>
            </w:r>
            <w:r w:rsidR="00927ADE">
              <w:rPr>
                <w:noProof/>
                <w:webHidden/>
              </w:rPr>
              <w:fldChar w:fldCharType="end"/>
            </w:r>
          </w:hyperlink>
        </w:p>
        <w:p w14:paraId="5E50DB7B" w14:textId="6574E62F" w:rsidR="00927ADE" w:rsidRDefault="005B3FDC">
          <w:pPr>
            <w:pStyle w:val="TOC1"/>
            <w:tabs>
              <w:tab w:val="right" w:leader="dot" w:pos="9016"/>
            </w:tabs>
            <w:rPr>
              <w:rFonts w:eastAsiaTheme="minorEastAsia"/>
              <w:noProof/>
              <w:lang w:eastAsia="en-AU"/>
            </w:rPr>
          </w:pPr>
          <w:hyperlink w:anchor="_Toc122523010" w:history="1">
            <w:r w:rsidR="00927ADE" w:rsidRPr="00314D14">
              <w:rPr>
                <w:rStyle w:val="Hyperlink"/>
                <w:noProof/>
              </w:rPr>
              <w:t>Part 6. Broader impacts of carbon offsets and removals activities</w:t>
            </w:r>
            <w:r w:rsidR="00927ADE">
              <w:rPr>
                <w:noProof/>
                <w:webHidden/>
              </w:rPr>
              <w:tab/>
            </w:r>
            <w:r w:rsidR="00927ADE">
              <w:rPr>
                <w:noProof/>
                <w:webHidden/>
              </w:rPr>
              <w:fldChar w:fldCharType="begin"/>
            </w:r>
            <w:r w:rsidR="00927ADE">
              <w:rPr>
                <w:noProof/>
                <w:webHidden/>
              </w:rPr>
              <w:instrText xml:space="preserve"> PAGEREF _Toc122523010 \h </w:instrText>
            </w:r>
            <w:r w:rsidR="00927ADE">
              <w:rPr>
                <w:noProof/>
                <w:webHidden/>
              </w:rPr>
            </w:r>
            <w:r w:rsidR="00927ADE">
              <w:rPr>
                <w:noProof/>
                <w:webHidden/>
              </w:rPr>
              <w:fldChar w:fldCharType="separate"/>
            </w:r>
            <w:r w:rsidR="00927ADE">
              <w:rPr>
                <w:noProof/>
                <w:webHidden/>
              </w:rPr>
              <w:t>27</w:t>
            </w:r>
            <w:r w:rsidR="00927ADE">
              <w:rPr>
                <w:noProof/>
                <w:webHidden/>
              </w:rPr>
              <w:fldChar w:fldCharType="end"/>
            </w:r>
          </w:hyperlink>
        </w:p>
        <w:p w14:paraId="5F00E409" w14:textId="50AF9468" w:rsidR="00927ADE" w:rsidRDefault="005B3FDC">
          <w:pPr>
            <w:pStyle w:val="TOC1"/>
            <w:tabs>
              <w:tab w:val="right" w:leader="dot" w:pos="9016"/>
            </w:tabs>
            <w:rPr>
              <w:rFonts w:eastAsiaTheme="minorEastAsia"/>
              <w:noProof/>
              <w:lang w:eastAsia="en-AU"/>
            </w:rPr>
          </w:pPr>
          <w:hyperlink w:anchor="_Toc122523011" w:history="1">
            <w:r w:rsidR="00927ADE" w:rsidRPr="00314D14">
              <w:rPr>
                <w:rStyle w:val="Hyperlink"/>
                <w:noProof/>
              </w:rPr>
              <w:t>Part 7. The Climate Active initiative</w:t>
            </w:r>
            <w:r w:rsidR="00927ADE">
              <w:rPr>
                <w:noProof/>
                <w:webHidden/>
              </w:rPr>
              <w:tab/>
            </w:r>
            <w:r w:rsidR="00927ADE">
              <w:rPr>
                <w:noProof/>
                <w:webHidden/>
              </w:rPr>
              <w:fldChar w:fldCharType="begin"/>
            </w:r>
            <w:r w:rsidR="00927ADE">
              <w:rPr>
                <w:noProof/>
                <w:webHidden/>
              </w:rPr>
              <w:instrText xml:space="preserve"> PAGEREF _Toc122523011 \h </w:instrText>
            </w:r>
            <w:r w:rsidR="00927ADE">
              <w:rPr>
                <w:noProof/>
                <w:webHidden/>
              </w:rPr>
            </w:r>
            <w:r w:rsidR="00927ADE">
              <w:rPr>
                <w:noProof/>
                <w:webHidden/>
              </w:rPr>
              <w:fldChar w:fldCharType="separate"/>
            </w:r>
            <w:r w:rsidR="00927ADE">
              <w:rPr>
                <w:noProof/>
                <w:webHidden/>
              </w:rPr>
              <w:t>33</w:t>
            </w:r>
            <w:r w:rsidR="00927ADE">
              <w:rPr>
                <w:noProof/>
                <w:webHidden/>
              </w:rPr>
              <w:fldChar w:fldCharType="end"/>
            </w:r>
          </w:hyperlink>
        </w:p>
        <w:p w14:paraId="40390BC1" w14:textId="7ADD32DE" w:rsidR="00927ADE" w:rsidRDefault="005B3FDC">
          <w:pPr>
            <w:pStyle w:val="TOC1"/>
            <w:tabs>
              <w:tab w:val="right" w:leader="dot" w:pos="9016"/>
            </w:tabs>
            <w:rPr>
              <w:rFonts w:eastAsiaTheme="minorEastAsia"/>
              <w:noProof/>
              <w:lang w:eastAsia="en-AU"/>
            </w:rPr>
          </w:pPr>
          <w:hyperlink w:anchor="_Toc122523012" w:history="1">
            <w:r w:rsidR="00927ADE" w:rsidRPr="00314D14">
              <w:rPr>
                <w:rStyle w:val="Hyperlink"/>
                <w:noProof/>
              </w:rPr>
              <w:t>Appendix A</w:t>
            </w:r>
            <w:r w:rsidR="00927ADE">
              <w:rPr>
                <w:noProof/>
                <w:webHidden/>
              </w:rPr>
              <w:tab/>
            </w:r>
            <w:r w:rsidR="00927ADE">
              <w:rPr>
                <w:noProof/>
                <w:webHidden/>
              </w:rPr>
              <w:fldChar w:fldCharType="begin"/>
            </w:r>
            <w:r w:rsidR="00927ADE">
              <w:rPr>
                <w:noProof/>
                <w:webHidden/>
              </w:rPr>
              <w:instrText xml:space="preserve"> PAGEREF _Toc122523012 \h </w:instrText>
            </w:r>
            <w:r w:rsidR="00927ADE">
              <w:rPr>
                <w:noProof/>
                <w:webHidden/>
              </w:rPr>
            </w:r>
            <w:r w:rsidR="00927ADE">
              <w:rPr>
                <w:noProof/>
                <w:webHidden/>
              </w:rPr>
              <w:fldChar w:fldCharType="separate"/>
            </w:r>
            <w:r w:rsidR="00927ADE">
              <w:rPr>
                <w:noProof/>
                <w:webHidden/>
              </w:rPr>
              <w:t>34</w:t>
            </w:r>
            <w:r w:rsidR="00927ADE">
              <w:rPr>
                <w:noProof/>
                <w:webHidden/>
              </w:rPr>
              <w:fldChar w:fldCharType="end"/>
            </w:r>
          </w:hyperlink>
        </w:p>
        <w:p w14:paraId="6784C6D3" w14:textId="12F56DBB" w:rsidR="00927ADE" w:rsidRDefault="005B3FDC">
          <w:pPr>
            <w:pStyle w:val="TOC1"/>
            <w:tabs>
              <w:tab w:val="right" w:leader="dot" w:pos="9016"/>
            </w:tabs>
            <w:rPr>
              <w:rFonts w:eastAsiaTheme="minorEastAsia"/>
              <w:noProof/>
              <w:lang w:eastAsia="en-AU"/>
            </w:rPr>
          </w:pPr>
          <w:hyperlink w:anchor="_Toc122523013" w:history="1">
            <w:r w:rsidR="00927ADE" w:rsidRPr="00314D14">
              <w:rPr>
                <w:rStyle w:val="Hyperlink"/>
                <w:bCs/>
                <w:noProof/>
              </w:rPr>
              <w:t>Terms of reference - Independent Review of Australian Carbon Credit Units</w:t>
            </w:r>
            <w:r w:rsidR="00927ADE">
              <w:rPr>
                <w:noProof/>
                <w:webHidden/>
              </w:rPr>
              <w:tab/>
            </w:r>
            <w:r w:rsidR="00927ADE">
              <w:rPr>
                <w:noProof/>
                <w:webHidden/>
              </w:rPr>
              <w:fldChar w:fldCharType="begin"/>
            </w:r>
            <w:r w:rsidR="00927ADE">
              <w:rPr>
                <w:noProof/>
                <w:webHidden/>
              </w:rPr>
              <w:instrText xml:space="preserve"> PAGEREF _Toc122523013 \h </w:instrText>
            </w:r>
            <w:r w:rsidR="00927ADE">
              <w:rPr>
                <w:noProof/>
                <w:webHidden/>
              </w:rPr>
            </w:r>
            <w:r w:rsidR="00927ADE">
              <w:rPr>
                <w:noProof/>
                <w:webHidden/>
              </w:rPr>
              <w:fldChar w:fldCharType="separate"/>
            </w:r>
            <w:r w:rsidR="00927ADE">
              <w:rPr>
                <w:noProof/>
                <w:webHidden/>
              </w:rPr>
              <w:t>34</w:t>
            </w:r>
            <w:r w:rsidR="00927ADE">
              <w:rPr>
                <w:noProof/>
                <w:webHidden/>
              </w:rPr>
              <w:fldChar w:fldCharType="end"/>
            </w:r>
          </w:hyperlink>
        </w:p>
        <w:p w14:paraId="6BCC7314" w14:textId="6C7F54CE" w:rsidR="00927ADE" w:rsidRDefault="005B3FDC">
          <w:pPr>
            <w:pStyle w:val="TOC1"/>
            <w:tabs>
              <w:tab w:val="right" w:leader="dot" w:pos="9016"/>
            </w:tabs>
            <w:rPr>
              <w:rFonts w:eastAsiaTheme="minorEastAsia"/>
              <w:noProof/>
              <w:lang w:eastAsia="en-AU"/>
            </w:rPr>
          </w:pPr>
          <w:hyperlink w:anchor="_Toc122523014" w:history="1">
            <w:r w:rsidR="00927ADE" w:rsidRPr="00314D14">
              <w:rPr>
                <w:rStyle w:val="Hyperlink"/>
                <w:noProof/>
              </w:rPr>
              <w:t>Appendix B</w:t>
            </w:r>
            <w:r w:rsidR="00927ADE">
              <w:rPr>
                <w:noProof/>
                <w:webHidden/>
              </w:rPr>
              <w:tab/>
            </w:r>
            <w:r w:rsidR="00927ADE">
              <w:rPr>
                <w:noProof/>
                <w:webHidden/>
              </w:rPr>
              <w:fldChar w:fldCharType="begin"/>
            </w:r>
            <w:r w:rsidR="00927ADE">
              <w:rPr>
                <w:noProof/>
                <w:webHidden/>
              </w:rPr>
              <w:instrText xml:space="preserve"> PAGEREF _Toc122523014 \h </w:instrText>
            </w:r>
            <w:r w:rsidR="00927ADE">
              <w:rPr>
                <w:noProof/>
                <w:webHidden/>
              </w:rPr>
            </w:r>
            <w:r w:rsidR="00927ADE">
              <w:rPr>
                <w:noProof/>
                <w:webHidden/>
              </w:rPr>
              <w:fldChar w:fldCharType="separate"/>
            </w:r>
            <w:r w:rsidR="00927ADE">
              <w:rPr>
                <w:noProof/>
                <w:webHidden/>
              </w:rPr>
              <w:t>36</w:t>
            </w:r>
            <w:r w:rsidR="00927ADE">
              <w:rPr>
                <w:noProof/>
                <w:webHidden/>
              </w:rPr>
              <w:fldChar w:fldCharType="end"/>
            </w:r>
          </w:hyperlink>
        </w:p>
        <w:p w14:paraId="1D67ABB9" w14:textId="6BE553AD" w:rsidR="00927ADE" w:rsidRDefault="005B3FDC">
          <w:pPr>
            <w:pStyle w:val="TOC2"/>
            <w:tabs>
              <w:tab w:val="right" w:leader="dot" w:pos="9016"/>
            </w:tabs>
            <w:rPr>
              <w:rFonts w:eastAsiaTheme="minorEastAsia"/>
              <w:noProof/>
              <w:lang w:eastAsia="en-AU"/>
            </w:rPr>
          </w:pPr>
          <w:hyperlink w:anchor="_Toc122523015" w:history="1">
            <w:r w:rsidR="00927ADE" w:rsidRPr="00314D14">
              <w:rPr>
                <w:rStyle w:val="Hyperlink"/>
                <w:noProof/>
              </w:rPr>
              <w:t>Panel Consultation Summary</w:t>
            </w:r>
            <w:r w:rsidR="00927ADE">
              <w:rPr>
                <w:noProof/>
                <w:webHidden/>
              </w:rPr>
              <w:tab/>
            </w:r>
            <w:r w:rsidR="00927ADE">
              <w:rPr>
                <w:noProof/>
                <w:webHidden/>
              </w:rPr>
              <w:fldChar w:fldCharType="begin"/>
            </w:r>
            <w:r w:rsidR="00927ADE">
              <w:rPr>
                <w:noProof/>
                <w:webHidden/>
              </w:rPr>
              <w:instrText xml:space="preserve"> PAGEREF _Toc122523015 \h </w:instrText>
            </w:r>
            <w:r w:rsidR="00927ADE">
              <w:rPr>
                <w:noProof/>
                <w:webHidden/>
              </w:rPr>
            </w:r>
            <w:r w:rsidR="00927ADE">
              <w:rPr>
                <w:noProof/>
                <w:webHidden/>
              </w:rPr>
              <w:fldChar w:fldCharType="separate"/>
            </w:r>
            <w:r w:rsidR="00927ADE">
              <w:rPr>
                <w:noProof/>
                <w:webHidden/>
              </w:rPr>
              <w:t>36</w:t>
            </w:r>
            <w:r w:rsidR="00927ADE">
              <w:rPr>
                <w:noProof/>
                <w:webHidden/>
              </w:rPr>
              <w:fldChar w:fldCharType="end"/>
            </w:r>
          </w:hyperlink>
        </w:p>
        <w:p w14:paraId="2D338996" w14:textId="57C802F7" w:rsidR="00927ADE" w:rsidRDefault="005B3FDC">
          <w:pPr>
            <w:pStyle w:val="TOC1"/>
            <w:tabs>
              <w:tab w:val="right" w:leader="dot" w:pos="9016"/>
            </w:tabs>
            <w:rPr>
              <w:rFonts w:eastAsiaTheme="minorEastAsia"/>
              <w:noProof/>
              <w:lang w:eastAsia="en-AU"/>
            </w:rPr>
          </w:pPr>
          <w:hyperlink w:anchor="_Toc122523016" w:history="1">
            <w:r w:rsidR="00927ADE" w:rsidRPr="00314D14">
              <w:rPr>
                <w:rStyle w:val="Hyperlink"/>
                <w:noProof/>
              </w:rPr>
              <w:t>Appendix C</w:t>
            </w:r>
            <w:r w:rsidR="00927ADE">
              <w:rPr>
                <w:noProof/>
                <w:webHidden/>
              </w:rPr>
              <w:tab/>
            </w:r>
            <w:r w:rsidR="00927ADE">
              <w:rPr>
                <w:noProof/>
                <w:webHidden/>
              </w:rPr>
              <w:fldChar w:fldCharType="begin"/>
            </w:r>
            <w:r w:rsidR="00927ADE">
              <w:rPr>
                <w:noProof/>
                <w:webHidden/>
              </w:rPr>
              <w:instrText xml:space="preserve"> PAGEREF _Toc122523016 \h </w:instrText>
            </w:r>
            <w:r w:rsidR="00927ADE">
              <w:rPr>
                <w:noProof/>
                <w:webHidden/>
              </w:rPr>
            </w:r>
            <w:r w:rsidR="00927ADE">
              <w:rPr>
                <w:noProof/>
                <w:webHidden/>
              </w:rPr>
              <w:fldChar w:fldCharType="separate"/>
            </w:r>
            <w:r w:rsidR="00927ADE">
              <w:rPr>
                <w:noProof/>
                <w:webHidden/>
              </w:rPr>
              <w:t>37</w:t>
            </w:r>
            <w:r w:rsidR="00927ADE">
              <w:rPr>
                <w:noProof/>
                <w:webHidden/>
              </w:rPr>
              <w:fldChar w:fldCharType="end"/>
            </w:r>
          </w:hyperlink>
        </w:p>
        <w:p w14:paraId="2D320DDE" w14:textId="2F26A5F5" w:rsidR="00927ADE" w:rsidRDefault="005B3FDC">
          <w:pPr>
            <w:pStyle w:val="TOC2"/>
            <w:tabs>
              <w:tab w:val="right" w:leader="dot" w:pos="9016"/>
            </w:tabs>
            <w:rPr>
              <w:rFonts w:eastAsiaTheme="minorEastAsia"/>
              <w:noProof/>
              <w:lang w:eastAsia="en-AU"/>
            </w:rPr>
          </w:pPr>
          <w:hyperlink w:anchor="_Toc122523017" w:history="1">
            <w:r w:rsidR="00927ADE" w:rsidRPr="00314D14">
              <w:rPr>
                <w:rStyle w:val="Hyperlink"/>
                <w:noProof/>
              </w:rPr>
              <w:t>Abbreviations</w:t>
            </w:r>
            <w:r w:rsidR="00927ADE">
              <w:rPr>
                <w:noProof/>
                <w:webHidden/>
              </w:rPr>
              <w:tab/>
            </w:r>
            <w:r w:rsidR="00927ADE">
              <w:rPr>
                <w:noProof/>
                <w:webHidden/>
              </w:rPr>
              <w:fldChar w:fldCharType="begin"/>
            </w:r>
            <w:r w:rsidR="00927ADE">
              <w:rPr>
                <w:noProof/>
                <w:webHidden/>
              </w:rPr>
              <w:instrText xml:space="preserve"> PAGEREF _Toc122523017 \h </w:instrText>
            </w:r>
            <w:r w:rsidR="00927ADE">
              <w:rPr>
                <w:noProof/>
                <w:webHidden/>
              </w:rPr>
            </w:r>
            <w:r w:rsidR="00927ADE">
              <w:rPr>
                <w:noProof/>
                <w:webHidden/>
              </w:rPr>
              <w:fldChar w:fldCharType="separate"/>
            </w:r>
            <w:r w:rsidR="00927ADE">
              <w:rPr>
                <w:noProof/>
                <w:webHidden/>
              </w:rPr>
              <w:t>37</w:t>
            </w:r>
            <w:r w:rsidR="00927ADE">
              <w:rPr>
                <w:noProof/>
                <w:webHidden/>
              </w:rPr>
              <w:fldChar w:fldCharType="end"/>
            </w:r>
          </w:hyperlink>
        </w:p>
        <w:p w14:paraId="082A6DCA" w14:textId="0582A26A" w:rsidR="008227E1" w:rsidRDefault="008227E1" w:rsidP="008227E1">
          <w:pPr>
            <w:pStyle w:val="Heading1"/>
            <w:rPr>
              <w:b w:val="0"/>
              <w:bCs/>
              <w:noProof/>
            </w:rPr>
          </w:pPr>
          <w:r>
            <w:rPr>
              <w:rFonts w:asciiTheme="minorHAnsi" w:hAnsiTheme="minorHAnsi"/>
              <w:b w:val="0"/>
              <w:bCs/>
              <w:noProof/>
            </w:rPr>
            <w:fldChar w:fldCharType="end"/>
          </w:r>
        </w:p>
      </w:sdtContent>
    </w:sdt>
    <w:p w14:paraId="5B306504" w14:textId="27F96AF1" w:rsidR="00114900" w:rsidRPr="00207FD7" w:rsidRDefault="00114900" w:rsidP="00114900">
      <w:pPr>
        <w:pStyle w:val="TOCHeading"/>
        <w:tabs>
          <w:tab w:val="left" w:pos="3733"/>
        </w:tabs>
        <w:spacing w:before="0"/>
        <w:rPr>
          <w:rFonts w:ascii="Calibri" w:hAnsi="Calibri"/>
          <w:b/>
          <w:color w:val="006266"/>
          <w:sz w:val="25"/>
          <w:lang w:val="en-AU"/>
        </w:rPr>
      </w:pPr>
      <w:r w:rsidRPr="00207FD7">
        <w:rPr>
          <w:rFonts w:ascii="Calibri" w:hAnsi="Calibri"/>
          <w:b/>
          <w:color w:val="006266"/>
          <w:sz w:val="25"/>
          <w:lang w:val="en-AU"/>
        </w:rPr>
        <w:t xml:space="preserve">Table of </w:t>
      </w:r>
      <w:r>
        <w:rPr>
          <w:rFonts w:ascii="Calibri" w:hAnsi="Calibri"/>
          <w:b/>
          <w:color w:val="006266"/>
          <w:sz w:val="25"/>
          <w:lang w:val="en-AU"/>
        </w:rPr>
        <w:t>Figures</w:t>
      </w:r>
    </w:p>
    <w:p w14:paraId="1B934B20" w14:textId="7CB5DB2B" w:rsidR="00AC41DA" w:rsidRDefault="001E5BB7">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22359103" w:history="1">
        <w:r w:rsidR="00AC41DA" w:rsidRPr="002A5518">
          <w:rPr>
            <w:rStyle w:val="Hyperlink"/>
            <w:noProof/>
          </w:rPr>
          <w:t>Figure 1. Proponent-led process for method development and modification</w:t>
        </w:r>
        <w:r w:rsidR="00AC41DA">
          <w:rPr>
            <w:noProof/>
            <w:webHidden/>
          </w:rPr>
          <w:tab/>
        </w:r>
        <w:r w:rsidR="00AC41DA">
          <w:rPr>
            <w:noProof/>
            <w:webHidden/>
          </w:rPr>
          <w:fldChar w:fldCharType="begin"/>
        </w:r>
        <w:r w:rsidR="00AC41DA">
          <w:rPr>
            <w:noProof/>
            <w:webHidden/>
          </w:rPr>
          <w:instrText xml:space="preserve"> PAGEREF _Toc122359103 \h </w:instrText>
        </w:r>
        <w:r w:rsidR="00AC41DA">
          <w:rPr>
            <w:noProof/>
            <w:webHidden/>
          </w:rPr>
        </w:r>
        <w:r w:rsidR="00AC41DA">
          <w:rPr>
            <w:noProof/>
            <w:webHidden/>
          </w:rPr>
          <w:fldChar w:fldCharType="separate"/>
        </w:r>
        <w:r w:rsidR="00AC41DA">
          <w:rPr>
            <w:noProof/>
            <w:webHidden/>
          </w:rPr>
          <w:t>14</w:t>
        </w:r>
        <w:r w:rsidR="00AC41DA">
          <w:rPr>
            <w:noProof/>
            <w:webHidden/>
          </w:rPr>
          <w:fldChar w:fldCharType="end"/>
        </w:r>
      </w:hyperlink>
    </w:p>
    <w:p w14:paraId="69C9AD6B" w14:textId="3D23E78F" w:rsidR="008227E1" w:rsidRDefault="001E5BB7">
      <w:pPr>
        <w:spacing w:before="0" w:after="160" w:line="259" w:lineRule="auto"/>
        <w:rPr>
          <w:rFonts w:eastAsiaTheme="majorEastAsia" w:cstheme="majorBidi"/>
          <w:b/>
          <w:color w:val="006266"/>
          <w:sz w:val="25"/>
          <w:szCs w:val="32"/>
        </w:rPr>
      </w:pPr>
      <w:r>
        <w:fldChar w:fldCharType="end"/>
      </w:r>
      <w:r w:rsidR="008227E1">
        <w:br w:type="page"/>
      </w:r>
    </w:p>
    <w:p w14:paraId="48E43125" w14:textId="77777777" w:rsidR="00E077F4" w:rsidRDefault="00E077F4" w:rsidP="0094047C">
      <w:pPr>
        <w:pStyle w:val="Heading1"/>
        <w:sectPr w:rsidR="00E077F4" w:rsidSect="000C3549">
          <w:headerReference w:type="even" r:id="rId22"/>
          <w:headerReference w:type="default" r:id="rId23"/>
          <w:headerReference w:type="first" r:id="rId24"/>
          <w:footerReference w:type="first" r:id="rId25"/>
          <w:pgSz w:w="11906" w:h="16838"/>
          <w:pgMar w:top="1440" w:right="1440" w:bottom="1440" w:left="1440" w:header="737" w:footer="708" w:gutter="0"/>
          <w:pgNumType w:fmt="lowerRoman"/>
          <w:cols w:space="708"/>
          <w:titlePg/>
          <w:docGrid w:linePitch="360"/>
        </w:sectPr>
      </w:pPr>
      <w:bookmarkStart w:id="14" w:name="_Toc122339742"/>
      <w:bookmarkStart w:id="15" w:name="_Toc122348028"/>
    </w:p>
    <w:p w14:paraId="2D030824" w14:textId="5AD2F339" w:rsidR="0094047C" w:rsidRPr="0094047C" w:rsidRDefault="0094047C" w:rsidP="0094047C">
      <w:pPr>
        <w:pStyle w:val="Heading1"/>
      </w:pPr>
      <w:bookmarkStart w:id="16" w:name="_Toc122359794"/>
      <w:bookmarkStart w:id="17" w:name="_Toc122360775"/>
      <w:bookmarkStart w:id="18" w:name="_Toc122522994"/>
      <w:r w:rsidRPr="0094047C">
        <w:lastRenderedPageBreak/>
        <w:t>Introduction</w:t>
      </w:r>
      <w:bookmarkEnd w:id="12"/>
      <w:bookmarkEnd w:id="14"/>
      <w:bookmarkEnd w:id="15"/>
      <w:bookmarkEnd w:id="16"/>
      <w:bookmarkEnd w:id="17"/>
      <w:bookmarkEnd w:id="18"/>
      <w:r w:rsidRPr="0094047C">
        <w:t xml:space="preserve"> </w:t>
      </w:r>
    </w:p>
    <w:p w14:paraId="685C1AA0" w14:textId="77777777" w:rsidR="0094047C" w:rsidRPr="00D77D46"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sidRPr="00D77D46">
        <w:rPr>
          <w:rFonts w:ascii="Calibri" w:hAnsi="Calibri" w:cs="Calibri"/>
          <w:sz w:val="22"/>
          <w:szCs w:val="22"/>
          <w:lang w:eastAsia="en-US"/>
        </w:rPr>
        <w:t xml:space="preserve">The Australian Carbon Credit Unit Scheme (ACCU) is established under the </w:t>
      </w:r>
      <w:r w:rsidRPr="00D77D46">
        <w:rPr>
          <w:rFonts w:ascii="Calibri" w:hAnsi="Calibri" w:cs="Calibri"/>
          <w:i/>
          <w:iCs/>
          <w:sz w:val="22"/>
          <w:szCs w:val="22"/>
          <w:lang w:eastAsia="en-US"/>
        </w:rPr>
        <w:t>Carbon Credits (Carbon Farming Initiative) Act 2011</w:t>
      </w:r>
      <w:r w:rsidRPr="00D77D46">
        <w:rPr>
          <w:rFonts w:ascii="Calibri" w:hAnsi="Calibri" w:cs="Calibri"/>
          <w:sz w:val="22"/>
          <w:szCs w:val="22"/>
          <w:lang w:eastAsia="en-US"/>
        </w:rPr>
        <w:t xml:space="preserve"> (CFI Act) and the Carbon Credits (Carbon Farming Initiative) Rule 2015 (CFI Rule).</w:t>
      </w:r>
    </w:p>
    <w:p w14:paraId="30766C41" w14:textId="77777777" w:rsidR="0094047C" w:rsidRPr="00D77D46"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sidRPr="00D77D46">
        <w:rPr>
          <w:rFonts w:ascii="Calibri" w:hAnsi="Calibri" w:cs="Calibri"/>
          <w:sz w:val="22"/>
          <w:szCs w:val="22"/>
          <w:lang w:eastAsia="en-US"/>
        </w:rPr>
        <w:t>The scheme is governed and administered by</w:t>
      </w:r>
      <w:r>
        <w:rPr>
          <w:rFonts w:ascii="Calibri" w:hAnsi="Calibri" w:cs="Calibri"/>
          <w:sz w:val="22"/>
          <w:szCs w:val="22"/>
          <w:lang w:eastAsia="en-US"/>
        </w:rPr>
        <w:t xml:space="preserve">: </w:t>
      </w:r>
      <w:r w:rsidRPr="00D77D46">
        <w:rPr>
          <w:rFonts w:ascii="Calibri" w:hAnsi="Calibri" w:cs="Calibri"/>
          <w:sz w:val="22"/>
          <w:szCs w:val="22"/>
          <w:lang w:eastAsia="en-US"/>
        </w:rPr>
        <w:t>the Clean Energy Regulator (CER), the Emissions Reduction Assurance Committee (ERAC)</w:t>
      </w:r>
      <w:r>
        <w:rPr>
          <w:rFonts w:ascii="Calibri" w:hAnsi="Calibri" w:cs="Calibri"/>
          <w:sz w:val="22"/>
          <w:szCs w:val="22"/>
          <w:lang w:eastAsia="en-US"/>
        </w:rPr>
        <w:t>, the Department of Climate Change, Energy, the Environment and Water (the Department), and</w:t>
      </w:r>
      <w:r w:rsidRPr="00D77D46">
        <w:rPr>
          <w:rFonts w:ascii="Calibri" w:hAnsi="Calibri" w:cs="Calibri"/>
          <w:sz w:val="22"/>
          <w:szCs w:val="22"/>
          <w:lang w:eastAsia="en-US"/>
        </w:rPr>
        <w:t xml:space="preserve"> the Minister for Climate Change and Energy. </w:t>
      </w:r>
    </w:p>
    <w:p w14:paraId="4A23C451" w14:textId="544305D7" w:rsidR="0094047C" w:rsidRPr="00D77D46"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sidRPr="00D77D46">
        <w:rPr>
          <w:rFonts w:ascii="Calibri" w:hAnsi="Calibri" w:cs="Calibri"/>
          <w:sz w:val="22"/>
          <w:szCs w:val="22"/>
          <w:lang w:eastAsia="en-US"/>
        </w:rPr>
        <w:t>As highlighted by earlier reviews of the scheme</w:t>
      </w:r>
      <w:r w:rsidR="00C86A68">
        <w:rPr>
          <w:rStyle w:val="FootnoteReference"/>
          <w:rFonts w:ascii="Calibri" w:hAnsi="Calibri" w:cs="Calibri"/>
          <w:sz w:val="22"/>
          <w:szCs w:val="22"/>
          <w:lang w:eastAsia="en-US"/>
        </w:rPr>
        <w:footnoteReference w:id="6"/>
      </w:r>
      <w:r w:rsidR="00C86A68" w:rsidRPr="00C86A68">
        <w:rPr>
          <w:rFonts w:ascii="Calibri" w:hAnsi="Calibri" w:cs="Calibri"/>
          <w:sz w:val="22"/>
          <w:szCs w:val="22"/>
          <w:vertAlign w:val="superscript"/>
          <w:lang w:eastAsia="en-US"/>
        </w:rPr>
        <w:t>,</w:t>
      </w:r>
      <w:r w:rsidR="00C86A68">
        <w:rPr>
          <w:rStyle w:val="FootnoteReference"/>
          <w:rFonts w:ascii="Calibri" w:hAnsi="Calibri" w:cs="Calibri"/>
          <w:sz w:val="22"/>
          <w:szCs w:val="22"/>
          <w:lang w:eastAsia="en-US"/>
        </w:rPr>
        <w:footnoteReference w:id="7"/>
      </w:r>
      <w:r w:rsidRPr="00D77D46">
        <w:rPr>
          <w:rFonts w:ascii="Calibri" w:hAnsi="Calibri" w:cs="Calibri"/>
          <w:sz w:val="22"/>
          <w:szCs w:val="22"/>
          <w:lang w:eastAsia="en-US"/>
        </w:rPr>
        <w:t xml:space="preserve">, integrity of emissions abatement underpins the value of ACCUs, and the responsible expenditure of public funds. </w:t>
      </w:r>
    </w:p>
    <w:p w14:paraId="592F34EF" w14:textId="0D0196B4" w:rsidR="0094047C" w:rsidRPr="00D77D46"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sidRPr="00D77D46">
        <w:rPr>
          <w:rFonts w:ascii="Calibri" w:hAnsi="Calibri" w:cs="Calibri"/>
          <w:sz w:val="22"/>
          <w:szCs w:val="22"/>
          <w:lang w:eastAsia="en-US"/>
        </w:rPr>
        <w:t xml:space="preserve">The ACCU scheme is complex with many discrete but inter-related administrative and regulatory functions for the crediting and purchasing of ACCUs. </w:t>
      </w:r>
      <w:r w:rsidR="006E2369">
        <w:rPr>
          <w:rFonts w:ascii="Calibri" w:hAnsi="Calibri" w:cs="Calibri"/>
          <w:sz w:val="22"/>
          <w:szCs w:val="22"/>
          <w:lang w:eastAsia="en-US"/>
        </w:rPr>
        <w:t>It is important to recognise that different considerations apply at the scheme, method and project levels.</w:t>
      </w:r>
    </w:p>
    <w:p w14:paraId="6477B3E8" w14:textId="700105EF" w:rsidR="0094047C" w:rsidRDefault="0094047C" w:rsidP="004507DD">
      <w:pPr>
        <w:pStyle w:val="NormalWeb"/>
        <w:shd w:val="clear" w:color="auto" w:fill="FFFFFF"/>
        <w:spacing w:before="80" w:beforeAutospacing="0" w:after="80" w:afterAutospacing="0"/>
        <w:rPr>
          <w:rFonts w:ascii="Calibri" w:hAnsi="Calibri" w:cs="Calibri"/>
          <w:sz w:val="22"/>
          <w:szCs w:val="22"/>
          <w:lang w:eastAsia="en-US"/>
        </w:rPr>
      </w:pPr>
      <w:r>
        <w:rPr>
          <w:rFonts w:ascii="Calibri" w:hAnsi="Calibri" w:cs="Calibri"/>
          <w:sz w:val="22"/>
          <w:szCs w:val="22"/>
          <w:lang w:eastAsia="en-US"/>
        </w:rPr>
        <w:t xml:space="preserve">In July 2022, the government appointed an independent panel to review the integrity </w:t>
      </w:r>
      <w:r w:rsidR="00976625">
        <w:rPr>
          <w:rFonts w:ascii="Calibri" w:hAnsi="Calibri" w:cs="Calibri"/>
          <w:sz w:val="22"/>
          <w:szCs w:val="22"/>
          <w:lang w:eastAsia="en-US"/>
        </w:rPr>
        <w:t>of</w:t>
      </w:r>
      <w:r>
        <w:rPr>
          <w:rFonts w:ascii="Calibri" w:hAnsi="Calibri" w:cs="Calibri"/>
          <w:sz w:val="22"/>
          <w:szCs w:val="22"/>
          <w:lang w:eastAsia="en-US"/>
        </w:rPr>
        <w:t xml:space="preserve"> ACCUs under Australia’s carbon crediting framework, within 6 months</w:t>
      </w:r>
      <w:r w:rsidR="006E5AFD">
        <w:rPr>
          <w:rFonts w:ascii="Calibri" w:hAnsi="Calibri" w:cs="Calibri"/>
          <w:sz w:val="22"/>
          <w:szCs w:val="22"/>
          <w:lang w:eastAsia="en-US"/>
        </w:rPr>
        <w:t>.</w:t>
      </w:r>
    </w:p>
    <w:p w14:paraId="5F3DABDD" w14:textId="0A500CCF" w:rsidR="0094047C" w:rsidRDefault="0094047C" w:rsidP="004507DD">
      <w:pPr>
        <w:pStyle w:val="NormalWeb"/>
        <w:shd w:val="clear" w:color="auto" w:fill="FFFFFF"/>
        <w:spacing w:before="80" w:beforeAutospacing="0" w:after="80" w:afterAutospacing="0"/>
        <w:rPr>
          <w:rFonts w:ascii="Calibri" w:hAnsi="Calibri" w:cs="Calibri"/>
          <w:sz w:val="22"/>
          <w:szCs w:val="22"/>
          <w:lang w:eastAsia="en-US"/>
        </w:rPr>
      </w:pPr>
      <w:r>
        <w:rPr>
          <w:rFonts w:ascii="Calibri" w:hAnsi="Calibri" w:cs="Calibri"/>
          <w:sz w:val="22"/>
          <w:szCs w:val="22"/>
          <w:lang w:eastAsia="en-US"/>
        </w:rPr>
        <w:t xml:space="preserve">The independent panel members </w:t>
      </w:r>
      <w:r w:rsidR="00720AC1">
        <w:rPr>
          <w:rFonts w:ascii="Calibri" w:hAnsi="Calibri" w:cs="Calibri"/>
          <w:sz w:val="22"/>
          <w:szCs w:val="22"/>
          <w:lang w:eastAsia="en-US"/>
        </w:rPr>
        <w:t>are</w:t>
      </w:r>
      <w:r>
        <w:rPr>
          <w:rFonts w:ascii="Calibri" w:hAnsi="Calibri" w:cs="Calibri"/>
          <w:sz w:val="22"/>
          <w:szCs w:val="22"/>
          <w:lang w:eastAsia="en-US"/>
        </w:rPr>
        <w:t xml:space="preserve"> Professor Ian Chubb AC FAA FTSE (Chair), the Hon Dr Annabelle Bennett AC SC FAA</w:t>
      </w:r>
      <w:r w:rsidR="002F20A0">
        <w:rPr>
          <w:rFonts w:ascii="Calibri" w:hAnsi="Calibri" w:cs="Calibri"/>
          <w:sz w:val="22"/>
          <w:szCs w:val="22"/>
          <w:lang w:eastAsia="en-US"/>
        </w:rPr>
        <w:t xml:space="preserve"> FAAL</w:t>
      </w:r>
      <w:r>
        <w:rPr>
          <w:rFonts w:ascii="Calibri" w:hAnsi="Calibri" w:cs="Calibri"/>
          <w:sz w:val="22"/>
          <w:szCs w:val="22"/>
          <w:lang w:eastAsia="en-US"/>
        </w:rPr>
        <w:t>, Ms Ariadne Gorring and Dr Steve Hatfield-Dodds (the Panel).</w:t>
      </w:r>
    </w:p>
    <w:p w14:paraId="5BF7334C" w14:textId="053AB808" w:rsidR="0094047C" w:rsidRDefault="0094047C" w:rsidP="004507DD">
      <w:pPr>
        <w:pStyle w:val="NormalWeb"/>
        <w:shd w:val="clear" w:color="auto" w:fill="FFFFFF"/>
        <w:spacing w:before="80" w:beforeAutospacing="0" w:after="80" w:afterAutospacing="0"/>
        <w:rPr>
          <w:rFonts w:ascii="Calibri" w:hAnsi="Calibri" w:cs="Calibri"/>
          <w:sz w:val="22"/>
          <w:szCs w:val="22"/>
          <w:lang w:eastAsia="en-US"/>
        </w:rPr>
      </w:pPr>
      <w:r>
        <w:rPr>
          <w:rFonts w:ascii="Calibri" w:hAnsi="Calibri" w:cs="Calibri"/>
          <w:sz w:val="22"/>
          <w:szCs w:val="22"/>
          <w:lang w:eastAsia="en-US"/>
        </w:rPr>
        <w:t xml:space="preserve">The purpose of the Review </w:t>
      </w:r>
      <w:r w:rsidR="00720AC1">
        <w:rPr>
          <w:rFonts w:ascii="Calibri" w:hAnsi="Calibri" w:cs="Calibri"/>
          <w:sz w:val="22"/>
          <w:szCs w:val="22"/>
          <w:lang w:eastAsia="en-US"/>
        </w:rPr>
        <w:t>is</w:t>
      </w:r>
      <w:r>
        <w:rPr>
          <w:rFonts w:ascii="Calibri" w:hAnsi="Calibri" w:cs="Calibri"/>
          <w:sz w:val="22"/>
          <w:szCs w:val="22"/>
          <w:lang w:eastAsia="en-US"/>
        </w:rPr>
        <w:t xml:space="preserve"> to advise on ways to strengthen the integrity of Australia’s carbon crediting framework in contributing to Australia’s emissions reduction targets, and to ensure </w:t>
      </w:r>
      <w:r w:rsidR="00976625">
        <w:rPr>
          <w:rFonts w:ascii="Calibri" w:hAnsi="Calibri" w:cs="Calibri"/>
          <w:sz w:val="22"/>
          <w:szCs w:val="22"/>
          <w:lang w:eastAsia="en-US"/>
        </w:rPr>
        <w:t xml:space="preserve">that </w:t>
      </w:r>
      <w:r>
        <w:rPr>
          <w:rFonts w:ascii="Calibri" w:hAnsi="Calibri" w:cs="Calibri"/>
          <w:sz w:val="22"/>
          <w:szCs w:val="22"/>
          <w:lang w:eastAsia="en-US"/>
        </w:rPr>
        <w:t>the scheme maintains a strong and credible reputation supported by participants, purchasers and the broader community. The Terms of Reference are at</w:t>
      </w:r>
      <w:r w:rsidR="00534C15">
        <w:rPr>
          <w:rFonts w:ascii="Calibri" w:hAnsi="Calibri" w:cs="Calibri"/>
          <w:sz w:val="22"/>
          <w:szCs w:val="22"/>
          <w:lang w:eastAsia="en-US"/>
        </w:rPr>
        <w:t xml:space="preserve"> </w:t>
      </w:r>
      <w:r w:rsidR="00534C15" w:rsidRPr="00534C15">
        <w:rPr>
          <w:rFonts w:asciiTheme="minorHAnsi" w:hAnsiTheme="minorHAnsi" w:cstheme="minorHAnsi"/>
          <w:b/>
          <w:bCs/>
          <w:sz w:val="22"/>
          <w:szCs w:val="22"/>
          <w:lang w:eastAsia="en-US"/>
        </w:rPr>
        <w:fldChar w:fldCharType="begin"/>
      </w:r>
      <w:r w:rsidR="00534C15" w:rsidRPr="00534C15">
        <w:rPr>
          <w:rFonts w:asciiTheme="minorHAnsi" w:hAnsiTheme="minorHAnsi" w:cstheme="minorHAnsi"/>
          <w:b/>
          <w:bCs/>
          <w:sz w:val="22"/>
          <w:szCs w:val="22"/>
          <w:lang w:eastAsia="en-US"/>
        </w:rPr>
        <w:instrText xml:space="preserve"> REF _Ref122358871 \h  \* MERGEFORMAT </w:instrText>
      </w:r>
      <w:r w:rsidR="00534C15" w:rsidRPr="00534C15">
        <w:rPr>
          <w:rFonts w:asciiTheme="minorHAnsi" w:hAnsiTheme="minorHAnsi" w:cstheme="minorHAnsi"/>
          <w:b/>
          <w:bCs/>
          <w:sz w:val="22"/>
          <w:szCs w:val="22"/>
          <w:lang w:eastAsia="en-US"/>
        </w:rPr>
      </w:r>
      <w:r w:rsidR="00534C15" w:rsidRPr="00534C15">
        <w:rPr>
          <w:rFonts w:asciiTheme="minorHAnsi" w:hAnsiTheme="minorHAnsi" w:cstheme="minorHAnsi"/>
          <w:b/>
          <w:bCs/>
          <w:sz w:val="22"/>
          <w:szCs w:val="22"/>
          <w:lang w:eastAsia="en-US"/>
        </w:rPr>
        <w:fldChar w:fldCharType="separate"/>
      </w:r>
      <w:r w:rsidR="00534C15" w:rsidRPr="00534C15">
        <w:rPr>
          <w:rFonts w:asciiTheme="minorHAnsi" w:hAnsiTheme="minorHAnsi" w:cstheme="minorHAnsi"/>
          <w:b/>
          <w:bCs/>
          <w:sz w:val="22"/>
          <w:szCs w:val="22"/>
        </w:rPr>
        <w:t>Appendix A</w:t>
      </w:r>
      <w:r w:rsidR="00534C15" w:rsidRPr="00534C15">
        <w:rPr>
          <w:rFonts w:asciiTheme="minorHAnsi" w:hAnsiTheme="minorHAnsi" w:cstheme="minorHAnsi"/>
          <w:b/>
          <w:bCs/>
          <w:sz w:val="22"/>
          <w:szCs w:val="22"/>
          <w:lang w:eastAsia="en-US"/>
        </w:rPr>
        <w:fldChar w:fldCharType="end"/>
      </w:r>
      <w:r w:rsidR="00534C15">
        <w:rPr>
          <w:rFonts w:ascii="Calibri" w:hAnsi="Calibri" w:cs="Calibri"/>
          <w:sz w:val="22"/>
          <w:szCs w:val="22"/>
          <w:lang w:eastAsia="en-US"/>
        </w:rPr>
        <w:t>.</w:t>
      </w:r>
    </w:p>
    <w:p w14:paraId="3577C7AC" w14:textId="77777777" w:rsidR="0094047C" w:rsidRDefault="0094047C" w:rsidP="004507DD">
      <w:pPr>
        <w:pStyle w:val="NormalWeb"/>
        <w:shd w:val="clear" w:color="auto" w:fill="FFFFFF"/>
        <w:spacing w:before="80" w:beforeAutospacing="0" w:after="80" w:afterAutospacing="0"/>
        <w:rPr>
          <w:rFonts w:ascii="Calibri" w:hAnsi="Calibri" w:cs="Calibri"/>
          <w:sz w:val="22"/>
          <w:szCs w:val="22"/>
          <w:lang w:eastAsia="en-US"/>
        </w:rPr>
      </w:pPr>
      <w:r>
        <w:rPr>
          <w:rFonts w:ascii="Calibri" w:hAnsi="Calibri" w:cs="Calibri"/>
          <w:sz w:val="22"/>
          <w:szCs w:val="22"/>
          <w:lang w:eastAsia="en-US"/>
        </w:rPr>
        <w:t xml:space="preserve">The Panel examined governance arrangements, scheme settings and legislative requirements, as well as the integrity of four key methods for generating ACCUs - the human induced regeneration, avoided deforestation, landfill gas, and carbon capture and storage methods. The Panel considered the broader impacts of carbon projects, including for agriculture, biodiversity, participation of First Nations people, and regional communities. </w:t>
      </w:r>
    </w:p>
    <w:p w14:paraId="4F33DBE3" w14:textId="77777777" w:rsidR="0094047C"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Pr>
          <w:rFonts w:ascii="Calibri" w:hAnsi="Calibri" w:cs="Calibri"/>
          <w:sz w:val="22"/>
          <w:szCs w:val="22"/>
          <w:lang w:eastAsia="en-US"/>
        </w:rPr>
        <w:t>The Panel examined the requirements for use of ACCUs under Climate Active, which is an Australian Government certification program encouraging Australian businesses to achieve carbon neutrality.</w:t>
      </w:r>
    </w:p>
    <w:p w14:paraId="13877B78" w14:textId="32BBEE16" w:rsidR="0094047C"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Pr>
          <w:rFonts w:ascii="Calibri" w:hAnsi="Calibri" w:cs="Calibri"/>
          <w:sz w:val="22"/>
          <w:szCs w:val="22"/>
          <w:lang w:eastAsia="en-US"/>
        </w:rPr>
        <w:t>The Panel consulted widely during the review, inviting submissions and meeting with key stakeholders and participants in the ACCU scheme including academics and experts, First Nations groups, project proponents, carbon service providers, industry groups, business, the community, and Commonwealth and state government agencies. More information about the Panel’s consultation process is at</w:t>
      </w:r>
      <w:r w:rsidR="00207FD7">
        <w:rPr>
          <w:rFonts w:asciiTheme="minorHAnsi" w:hAnsiTheme="minorHAnsi" w:cstheme="minorHAnsi"/>
          <w:b/>
          <w:sz w:val="22"/>
          <w:szCs w:val="22"/>
          <w:lang w:eastAsia="en-US"/>
        </w:rPr>
        <w:t xml:space="preserve"> </w:t>
      </w:r>
      <w:r w:rsidR="00207FD7" w:rsidRPr="00207FD7">
        <w:rPr>
          <w:rFonts w:asciiTheme="minorHAnsi" w:hAnsiTheme="minorHAnsi" w:cstheme="minorHAnsi"/>
          <w:b/>
          <w:sz w:val="22"/>
          <w:szCs w:val="22"/>
          <w:lang w:eastAsia="en-US"/>
        </w:rPr>
        <w:fldChar w:fldCharType="begin" w:fldLock="1"/>
      </w:r>
      <w:r w:rsidR="00207FD7" w:rsidRPr="00207FD7">
        <w:rPr>
          <w:rFonts w:asciiTheme="minorHAnsi" w:hAnsiTheme="minorHAnsi" w:cstheme="minorHAnsi"/>
          <w:b/>
          <w:sz w:val="22"/>
          <w:szCs w:val="22"/>
          <w:lang w:eastAsia="en-US"/>
        </w:rPr>
        <w:instrText xml:space="preserve"> REF _Ref122277977 \h  \* MERGEFORMAT </w:instrText>
      </w:r>
      <w:r w:rsidR="00207FD7" w:rsidRPr="00207FD7">
        <w:rPr>
          <w:rFonts w:asciiTheme="minorHAnsi" w:hAnsiTheme="minorHAnsi" w:cstheme="minorHAnsi"/>
          <w:b/>
          <w:sz w:val="22"/>
          <w:szCs w:val="22"/>
          <w:lang w:eastAsia="en-US"/>
        </w:rPr>
      </w:r>
      <w:r w:rsidR="00207FD7" w:rsidRPr="00207FD7">
        <w:rPr>
          <w:rFonts w:asciiTheme="minorHAnsi" w:hAnsiTheme="minorHAnsi" w:cstheme="minorHAnsi"/>
          <w:b/>
          <w:sz w:val="22"/>
          <w:szCs w:val="22"/>
          <w:lang w:eastAsia="en-US"/>
        </w:rPr>
        <w:fldChar w:fldCharType="separate"/>
      </w:r>
      <w:r w:rsidR="00207FD7" w:rsidRPr="00207FD7">
        <w:rPr>
          <w:rFonts w:asciiTheme="minorHAnsi" w:hAnsiTheme="minorHAnsi" w:cstheme="minorHAnsi"/>
          <w:b/>
          <w:sz w:val="22"/>
          <w:szCs w:val="22"/>
        </w:rPr>
        <w:t>Appendix B</w:t>
      </w:r>
      <w:r w:rsidR="00207FD7" w:rsidRPr="00207FD7">
        <w:rPr>
          <w:rFonts w:asciiTheme="minorHAnsi" w:hAnsiTheme="minorHAnsi" w:cstheme="minorHAnsi"/>
          <w:b/>
          <w:sz w:val="22"/>
          <w:szCs w:val="22"/>
          <w:lang w:eastAsia="en-US"/>
        </w:rPr>
        <w:fldChar w:fldCharType="end"/>
      </w:r>
      <w:r w:rsidR="00207FD7">
        <w:rPr>
          <w:rFonts w:asciiTheme="minorHAnsi" w:hAnsiTheme="minorHAnsi" w:cstheme="minorHAnsi"/>
          <w:sz w:val="22"/>
          <w:szCs w:val="22"/>
          <w:lang w:eastAsia="en-US"/>
        </w:rPr>
        <w:t>.</w:t>
      </w:r>
    </w:p>
    <w:p w14:paraId="4F986291" w14:textId="10C9EC62" w:rsidR="0094047C"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Pr>
          <w:rFonts w:ascii="Calibri" w:hAnsi="Calibri" w:cs="Calibri"/>
          <w:sz w:val="22"/>
          <w:szCs w:val="22"/>
          <w:lang w:eastAsia="en-US"/>
        </w:rPr>
        <w:t>The Panel spent time in the field visiting projects earning ACCUs through the landfill gas</w:t>
      </w:r>
      <w:r w:rsidR="00865099">
        <w:rPr>
          <w:rFonts w:ascii="Calibri" w:hAnsi="Calibri" w:cs="Calibri"/>
          <w:sz w:val="22"/>
          <w:szCs w:val="22"/>
          <w:lang w:eastAsia="en-US"/>
        </w:rPr>
        <w:t xml:space="preserve"> (generation)</w:t>
      </w:r>
      <w:r>
        <w:rPr>
          <w:rFonts w:ascii="Calibri" w:hAnsi="Calibri" w:cs="Calibri"/>
          <w:sz w:val="22"/>
          <w:szCs w:val="22"/>
          <w:lang w:eastAsia="en-US"/>
        </w:rPr>
        <w:t xml:space="preserve">, human induced regeneration and avoided deforestation methods. </w:t>
      </w:r>
    </w:p>
    <w:p w14:paraId="240A2274" w14:textId="4C706E07" w:rsidR="0094047C" w:rsidRDefault="00D63BD5" w:rsidP="0094047C">
      <w:pPr>
        <w:pStyle w:val="NormalWeb"/>
        <w:shd w:val="clear" w:color="auto" w:fill="FFFFFF"/>
        <w:spacing w:before="120" w:beforeAutospacing="0" w:after="120" w:afterAutospacing="0"/>
        <w:rPr>
          <w:rFonts w:ascii="Calibri" w:hAnsi="Calibri" w:cs="Calibri"/>
          <w:sz w:val="22"/>
          <w:szCs w:val="22"/>
          <w:lang w:eastAsia="en-US"/>
        </w:rPr>
      </w:pPr>
      <w:r>
        <w:rPr>
          <w:rFonts w:ascii="Calibri" w:hAnsi="Calibri" w:cs="Calibri"/>
          <w:sz w:val="22"/>
          <w:szCs w:val="22"/>
          <w:lang w:eastAsia="en-US"/>
        </w:rPr>
        <w:t>Reflecting the importance of the scheme to the community and to participants, t</w:t>
      </w:r>
      <w:r w:rsidRPr="00D63BD5">
        <w:rPr>
          <w:rFonts w:ascii="Calibri" w:hAnsi="Calibri" w:cs="Calibri"/>
          <w:sz w:val="22"/>
          <w:szCs w:val="22"/>
          <w:lang w:eastAsia="en-US"/>
        </w:rPr>
        <w:t>here was strong engagement with the review, includ</w:t>
      </w:r>
      <w:r>
        <w:rPr>
          <w:rFonts w:ascii="Calibri" w:hAnsi="Calibri" w:cs="Calibri"/>
          <w:sz w:val="22"/>
          <w:szCs w:val="22"/>
          <w:lang w:eastAsia="en-US"/>
        </w:rPr>
        <w:t>ing over 200 public submissions in response to a public discussion paper.</w:t>
      </w:r>
      <w:r w:rsidR="0094047C">
        <w:rPr>
          <w:rFonts w:ascii="Calibri" w:hAnsi="Calibri" w:cs="Calibri"/>
          <w:sz w:val="22"/>
          <w:szCs w:val="22"/>
          <w:lang w:eastAsia="en-US"/>
        </w:rPr>
        <w:t xml:space="preserve"> </w:t>
      </w:r>
    </w:p>
    <w:p w14:paraId="33D88473" w14:textId="77777777" w:rsidR="0094047C" w:rsidRPr="00D77D46" w:rsidRDefault="0094047C" w:rsidP="0094047C">
      <w:pPr>
        <w:pStyle w:val="NormalWeb"/>
        <w:shd w:val="clear" w:color="auto" w:fill="FFFFFF"/>
        <w:spacing w:before="120" w:beforeAutospacing="0" w:after="120" w:afterAutospacing="0"/>
        <w:rPr>
          <w:rFonts w:asciiTheme="minorHAnsi" w:hAnsiTheme="minorHAnsi" w:cstheme="minorHAnsi"/>
          <w:sz w:val="22"/>
          <w:szCs w:val="22"/>
          <w:lang w:eastAsia="en-US"/>
        </w:rPr>
      </w:pPr>
      <w:r w:rsidRPr="00D77D46">
        <w:rPr>
          <w:rFonts w:asciiTheme="minorHAnsi" w:hAnsiTheme="minorHAnsi" w:cstheme="minorHAnsi"/>
          <w:sz w:val="22"/>
          <w:szCs w:val="22"/>
          <w:lang w:eastAsia="en-US"/>
        </w:rPr>
        <w:t xml:space="preserve">To inform its consideration, the Panel sought independent analysis </w:t>
      </w:r>
      <w:r>
        <w:rPr>
          <w:rFonts w:asciiTheme="minorHAnsi" w:hAnsiTheme="minorHAnsi" w:cstheme="minorHAnsi"/>
          <w:sz w:val="22"/>
          <w:szCs w:val="22"/>
          <w:lang w:eastAsia="en-US"/>
        </w:rPr>
        <w:t xml:space="preserve">of the methods </w:t>
      </w:r>
      <w:r w:rsidRPr="00D77D46">
        <w:rPr>
          <w:rFonts w:asciiTheme="minorHAnsi" w:hAnsiTheme="minorHAnsi" w:cstheme="minorHAnsi"/>
          <w:sz w:val="22"/>
          <w:szCs w:val="22"/>
          <w:lang w:eastAsia="en-US"/>
        </w:rPr>
        <w:t>and advice from the </w:t>
      </w:r>
      <w:hyperlink r:id="rId26" w:history="1">
        <w:r w:rsidRPr="00D77D46">
          <w:rPr>
            <w:rFonts w:asciiTheme="minorHAnsi" w:hAnsiTheme="minorHAnsi" w:cstheme="minorHAnsi"/>
            <w:sz w:val="22"/>
            <w:szCs w:val="22"/>
          </w:rPr>
          <w:t xml:space="preserve">Australian Academy of Science (AAS). </w:t>
        </w:r>
      </w:hyperlink>
      <w:r w:rsidRPr="00D77D46">
        <w:rPr>
          <w:rFonts w:asciiTheme="minorHAnsi" w:hAnsiTheme="minorHAnsi" w:cstheme="minorHAnsi"/>
          <w:sz w:val="22"/>
          <w:szCs w:val="22"/>
          <w:lang w:eastAsia="en-US"/>
        </w:rPr>
        <w:t> </w:t>
      </w:r>
    </w:p>
    <w:p w14:paraId="145DEE1F" w14:textId="77777777" w:rsidR="0094047C" w:rsidRDefault="0094047C" w:rsidP="0094047C">
      <w:pPr>
        <w:pStyle w:val="NormalWeb"/>
        <w:shd w:val="clear" w:color="auto" w:fill="FFFFFF"/>
        <w:spacing w:before="120" w:beforeAutospacing="0" w:after="120" w:afterAutospacing="0"/>
        <w:rPr>
          <w:rFonts w:ascii="Calibri" w:hAnsi="Calibri" w:cs="Calibri"/>
          <w:sz w:val="22"/>
          <w:szCs w:val="22"/>
          <w:lang w:eastAsia="en-US"/>
        </w:rPr>
      </w:pPr>
      <w:r>
        <w:rPr>
          <w:rFonts w:ascii="Calibri" w:hAnsi="Calibri" w:cs="Calibri"/>
          <w:sz w:val="22"/>
          <w:szCs w:val="22"/>
          <w:lang w:eastAsia="en-US"/>
        </w:rPr>
        <w:t xml:space="preserve">Public submissions and the AAS report are available at the </w:t>
      </w:r>
      <w:hyperlink r:id="rId27" w:history="1">
        <w:r w:rsidRPr="00D77D46">
          <w:rPr>
            <w:rStyle w:val="Hyperlink"/>
            <w:rFonts w:ascii="Calibri" w:hAnsi="Calibri" w:cs="Calibri"/>
            <w:sz w:val="22"/>
            <w:szCs w:val="22"/>
            <w:lang w:eastAsia="en-US"/>
          </w:rPr>
          <w:t>ACCU Review website</w:t>
        </w:r>
      </w:hyperlink>
      <w:r>
        <w:rPr>
          <w:rFonts w:ascii="Calibri" w:hAnsi="Calibri" w:cs="Calibri"/>
          <w:sz w:val="22"/>
          <w:szCs w:val="22"/>
          <w:lang w:eastAsia="en-US"/>
        </w:rPr>
        <w:t xml:space="preserve">. </w:t>
      </w:r>
    </w:p>
    <w:p w14:paraId="119B1282" w14:textId="2B5EA6A6" w:rsidR="001B5026" w:rsidRDefault="006A403E" w:rsidP="006A403E">
      <w:pPr>
        <w:pStyle w:val="Heading1"/>
      </w:pPr>
      <w:bookmarkStart w:id="19" w:name="_Toc122339743"/>
      <w:bookmarkStart w:id="20" w:name="_Toc122348029"/>
      <w:bookmarkStart w:id="21" w:name="_Toc122359795"/>
      <w:bookmarkStart w:id="22" w:name="_Toc122360776"/>
      <w:bookmarkStart w:id="23" w:name="_Toc122522995"/>
      <w:r w:rsidRPr="001F1827">
        <w:lastRenderedPageBreak/>
        <w:t xml:space="preserve">Part 1. </w:t>
      </w:r>
      <w:r w:rsidR="001B5026" w:rsidRPr="002F20A0">
        <w:t xml:space="preserve">Panel </w:t>
      </w:r>
      <w:r>
        <w:t>Overview</w:t>
      </w:r>
      <w:bookmarkEnd w:id="19"/>
      <w:bookmarkEnd w:id="20"/>
      <w:bookmarkEnd w:id="21"/>
      <w:bookmarkEnd w:id="22"/>
      <w:bookmarkEnd w:id="23"/>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094AEE" w14:paraId="00C15AA7" w14:textId="77777777" w:rsidTr="004507DD">
        <w:trPr>
          <w:trHeight w:val="2266"/>
        </w:trPr>
        <w:tc>
          <w:tcPr>
            <w:tcW w:w="9072" w:type="dxa"/>
            <w:tcBorders>
              <w:top w:val="thinThickLargeGap" w:sz="8" w:space="0" w:color="617E89" w:themeColor="accent1"/>
              <w:left w:val="nil"/>
              <w:bottom w:val="single" w:sz="4" w:space="0" w:color="617E89" w:themeColor="accent1"/>
              <w:right w:val="nil"/>
            </w:tcBorders>
          </w:tcPr>
          <w:p w14:paraId="30F893A2" w14:textId="77777777" w:rsidR="00094AEE" w:rsidRDefault="00094AEE" w:rsidP="004507DD">
            <w:pPr>
              <w:pStyle w:val="Heading4"/>
              <w:outlineLvl w:val="3"/>
            </w:pPr>
            <w:r>
              <w:t>Terms of Reference</w:t>
            </w:r>
          </w:p>
          <w:p w14:paraId="7BF85427" w14:textId="4BDDB398" w:rsidR="00094AEE" w:rsidRPr="00094AEE" w:rsidRDefault="00094AEE" w:rsidP="00094AEE">
            <w:pPr>
              <w:spacing w:before="80" w:after="80" w:line="257" w:lineRule="auto"/>
              <w:rPr>
                <w:b/>
                <w:bCs/>
              </w:rPr>
            </w:pPr>
            <w:r>
              <w:t>This review is to ensure that ACCUs and the carbon crediting framework maintain a strong and credible reputation supported by participants, purchasers and the broader community. To achieve this, the independent, expert panel will provide advice to the Minister for Climate Change and Energy about the framework for ACCU generation and trade to ensure its integrity, consistency with agricultural and other objectives, and contribution to environmental, economic and other benefits like biodiversity.</w:t>
            </w:r>
          </w:p>
        </w:tc>
      </w:tr>
    </w:tbl>
    <w:p w14:paraId="36720175" w14:textId="77777777" w:rsidR="00094AEE" w:rsidRPr="00094AEE" w:rsidRDefault="00094AEE" w:rsidP="00094AEE">
      <w:pPr>
        <w:spacing w:before="0" w:after="0"/>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A97CF6" w14:paraId="731BAC66"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6D7400DF" w14:textId="77777777" w:rsidR="00A97CF6" w:rsidRDefault="00A97CF6" w:rsidP="004507DD">
            <w:pPr>
              <w:pStyle w:val="KeyFindings"/>
              <w:rPr>
                <w:rStyle w:val="IntenseEmphasis"/>
                <w:b w:val="0"/>
                <w:bCs/>
              </w:rPr>
            </w:pPr>
            <w:r w:rsidRPr="00C372CA">
              <w:rPr>
                <w:rStyle w:val="IntenseEmphasis"/>
              </w:rPr>
              <w:t xml:space="preserve">Key findings </w:t>
            </w:r>
          </w:p>
          <w:p w14:paraId="16526C91" w14:textId="0299269D" w:rsidR="00A97CF6" w:rsidRPr="002B0221" w:rsidRDefault="00A97CF6" w:rsidP="004507DD">
            <w:pPr>
              <w:pStyle w:val="StyleNormalBody"/>
              <w:rPr>
                <w:rStyle w:val="Emphasis"/>
                <w:b w:val="0"/>
                <w:bCs w:val="0"/>
                <w:i w:val="0"/>
                <w:iCs w:val="0"/>
              </w:rPr>
            </w:pPr>
            <w:r w:rsidRPr="00A97CF6">
              <w:rPr>
                <w:b w:val="0"/>
                <w:bCs w:val="0"/>
                <w:lang w:val="en-AU"/>
              </w:rPr>
              <w:t>The Panel concludes that the ACCU scheme arrangements are essentially sound, incorporating mechanisms for regular review and improvement, and recommends a number of changes to clarify governance, improve transparency, facilitate positive project outcomes and co-benefits, and enhance confidence in the integrity and effectiveness of the scheme.</w:t>
            </w:r>
          </w:p>
        </w:tc>
      </w:tr>
    </w:tbl>
    <w:p w14:paraId="2B717DC8" w14:textId="21190798" w:rsidR="00803278" w:rsidRDefault="00803278" w:rsidP="00803278">
      <w:pPr>
        <w:shd w:val="clear" w:color="auto" w:fill="FFFFFF"/>
        <w:rPr>
          <w:rFonts w:cs="Calibri"/>
        </w:rPr>
      </w:pPr>
      <w:r>
        <w:rPr>
          <w:rFonts w:cs="Calibri"/>
        </w:rPr>
        <w:t>In recent times, the integrity of the scheme has been called into question – it has been argued that the level of abatement has been overstated, that ACCUs are therefore not what they are meant to be, so the policy is not effective.</w:t>
      </w:r>
    </w:p>
    <w:p w14:paraId="3BF33833" w14:textId="77777777" w:rsidR="00803278" w:rsidRDefault="00803278" w:rsidP="00803278">
      <w:pPr>
        <w:shd w:val="clear" w:color="auto" w:fill="FFFFFF"/>
        <w:rPr>
          <w:rFonts w:cs="Calibri"/>
        </w:rPr>
      </w:pPr>
      <w:r>
        <w:rPr>
          <w:rFonts w:cs="Calibri"/>
        </w:rPr>
        <w:t xml:space="preserve">The Panel does not share this view. </w:t>
      </w:r>
    </w:p>
    <w:p w14:paraId="7CBFCE7F" w14:textId="77777777" w:rsidR="00803278" w:rsidRDefault="00803278" w:rsidP="00803278">
      <w:pPr>
        <w:shd w:val="clear" w:color="auto" w:fill="FFFFFF"/>
        <w:rPr>
          <w:rFonts w:cs="Calibri"/>
        </w:rPr>
      </w:pPr>
      <w:r>
        <w:rPr>
          <w:rFonts w:cs="Calibri"/>
        </w:rPr>
        <w:t xml:space="preserve">Notwithstanding the criticisms advanced, the Panel concludes that the ACCU scheme was fundamentally well designed when introduced. Nevertheless, after 11 years of operation, the scheme can be improved – applying knowledge gained through implementation and practical experience to enable continuous improvement. </w:t>
      </w:r>
    </w:p>
    <w:p w14:paraId="6944B8B8" w14:textId="2387A2D4" w:rsidR="002F20A0" w:rsidRPr="006A403E" w:rsidRDefault="008E7B99" w:rsidP="006A403E">
      <w:pPr>
        <w:shd w:val="clear" w:color="auto" w:fill="FFFFFF"/>
        <w:rPr>
          <w:color w:val="000000" w:themeColor="text1"/>
        </w:rPr>
      </w:pPr>
      <w:r>
        <w:rPr>
          <w:color w:val="000000" w:themeColor="text1"/>
        </w:rPr>
        <w:t xml:space="preserve">The Panel’s recommendations should be implemented as soon as </w:t>
      </w:r>
      <w:r w:rsidR="00BB716D">
        <w:rPr>
          <w:color w:val="000000" w:themeColor="text1"/>
        </w:rPr>
        <w:t>practicable</w:t>
      </w:r>
      <w:r>
        <w:rPr>
          <w:color w:val="000000" w:themeColor="text1"/>
        </w:rPr>
        <w:t>.</w:t>
      </w:r>
      <w:r w:rsidR="002F20A0">
        <w:br w:type="page"/>
      </w:r>
    </w:p>
    <w:p w14:paraId="40D04070" w14:textId="2D18AB50" w:rsidR="001F1827" w:rsidRPr="001F1827" w:rsidRDefault="001F1827" w:rsidP="001F1827">
      <w:pPr>
        <w:pStyle w:val="Heading1"/>
      </w:pPr>
      <w:bookmarkStart w:id="24" w:name="_Toc121818579"/>
      <w:bookmarkStart w:id="25" w:name="_Toc121817693"/>
      <w:bookmarkStart w:id="26" w:name="_Toc122339744"/>
      <w:bookmarkStart w:id="27" w:name="_Toc122348030"/>
      <w:bookmarkStart w:id="28" w:name="_Toc122359796"/>
      <w:bookmarkStart w:id="29" w:name="_Toc122360777"/>
      <w:bookmarkStart w:id="30" w:name="_Toc122522996"/>
      <w:r w:rsidRPr="001F1827">
        <w:lastRenderedPageBreak/>
        <w:t xml:space="preserve">Part </w:t>
      </w:r>
      <w:r w:rsidR="00D71BBD">
        <w:t>2</w:t>
      </w:r>
      <w:r w:rsidRPr="001F1827">
        <w:t>. Scheme governance</w:t>
      </w:r>
      <w:bookmarkEnd w:id="24"/>
      <w:bookmarkEnd w:id="25"/>
      <w:bookmarkEnd w:id="26"/>
      <w:bookmarkEnd w:id="27"/>
      <w:bookmarkEnd w:id="28"/>
      <w:bookmarkEnd w:id="29"/>
      <w:bookmarkEnd w:id="30"/>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6A1167" w14:paraId="1BDD2A37" w14:textId="77777777" w:rsidTr="000F1D67">
        <w:trPr>
          <w:trHeight w:val="2266"/>
        </w:trPr>
        <w:tc>
          <w:tcPr>
            <w:tcW w:w="9072" w:type="dxa"/>
            <w:tcBorders>
              <w:top w:val="thinThickLargeGap" w:sz="8" w:space="0" w:color="617E89" w:themeColor="accent1"/>
              <w:left w:val="nil"/>
              <w:bottom w:val="single" w:sz="4" w:space="0" w:color="617E89" w:themeColor="accent1"/>
              <w:right w:val="nil"/>
            </w:tcBorders>
          </w:tcPr>
          <w:p w14:paraId="1044E05B" w14:textId="03884DE8" w:rsidR="001F1827" w:rsidRDefault="001F1827" w:rsidP="000F1D67">
            <w:pPr>
              <w:pStyle w:val="Heading4"/>
              <w:outlineLvl w:val="3"/>
            </w:pPr>
            <w:r>
              <w:t>Terms of Reference</w:t>
            </w:r>
          </w:p>
          <w:p w14:paraId="3D5FCA77" w14:textId="77777777" w:rsidR="001F1827" w:rsidRDefault="001F1827" w:rsidP="003F67EC">
            <w:pPr>
              <w:spacing w:before="80"/>
            </w:pPr>
            <w:r w:rsidRPr="000F1D67">
              <w:rPr>
                <w:rStyle w:val="StyleListNumber1Char"/>
              </w:rPr>
              <w:t>1</w:t>
            </w:r>
            <w:r>
              <w:t xml:space="preserve">(a) </w:t>
            </w:r>
            <w:r w:rsidRPr="00E53037">
              <w:t>Whether scheme governance is appropriate, including:</w:t>
            </w:r>
          </w:p>
          <w:p w14:paraId="1EE7150B" w14:textId="77777777" w:rsidR="001F1827" w:rsidRDefault="001F1827" w:rsidP="00F54A24">
            <w:pPr>
              <w:pStyle w:val="ListParagraph"/>
              <w:numPr>
                <w:ilvl w:val="0"/>
                <w:numId w:val="5"/>
              </w:numPr>
              <w:spacing w:before="80" w:after="0"/>
            </w:pPr>
            <w:r>
              <w:t>Whether the scheme’s governance structure is fit for purpose including the allocation and operation of roles and responsibilities between and within relevant agencies, including management of conflicts of interest</w:t>
            </w:r>
          </w:p>
          <w:p w14:paraId="221F0A5C" w14:textId="406BD2F1" w:rsidR="001F1827" w:rsidRDefault="001F1827" w:rsidP="00F54A24">
            <w:pPr>
              <w:pStyle w:val="ListParagraph"/>
              <w:numPr>
                <w:ilvl w:val="0"/>
                <w:numId w:val="5"/>
              </w:numPr>
              <w:spacing w:before="80" w:after="80" w:line="257" w:lineRule="auto"/>
              <w:ind w:left="714" w:hanging="357"/>
              <w:contextualSpacing w:val="0"/>
              <w:rPr>
                <w:b/>
                <w:bCs/>
              </w:rPr>
            </w:pPr>
            <w:r>
              <w:t>Whether the scheme’s settings and legislative requirements are appropriate to ensure good governance and confidence in scheme integrity</w:t>
            </w:r>
          </w:p>
        </w:tc>
      </w:tr>
    </w:tbl>
    <w:p w14:paraId="5337D4B6" w14:textId="3DE6BB72" w:rsidR="001F1827" w:rsidRPr="00442BE9" w:rsidRDefault="001F1827" w:rsidP="001F1827">
      <w:pPr>
        <w:spacing w:line="257" w:lineRule="auto"/>
        <w:rPr>
          <w:rFonts w:cs="Calibri"/>
          <w:bCs/>
          <w:sz w:val="2"/>
          <w:szCs w:val="2"/>
        </w:rPr>
      </w:pPr>
    </w:p>
    <w:tbl>
      <w:tblPr>
        <w:tblStyle w:val="TableGridLight"/>
        <w:tblW w:w="9014" w:type="dxa"/>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4"/>
      </w:tblGrid>
      <w:tr w:rsidR="000F1D67" w14:paraId="53C4D9D4" w14:textId="77777777" w:rsidTr="003A03D5">
        <w:tc>
          <w:tcPr>
            <w:tcW w:w="9014"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77109F86" w14:textId="3D88FB60" w:rsidR="000F1D67" w:rsidRPr="00870C56" w:rsidRDefault="000F1D67" w:rsidP="000F1D67">
            <w:pPr>
              <w:pStyle w:val="Heading4"/>
              <w:outlineLvl w:val="3"/>
            </w:pPr>
            <w:bookmarkStart w:id="31" w:name="_Ref122278790"/>
            <w:bookmarkStart w:id="32" w:name="_Hlk121825254"/>
            <w:r w:rsidRPr="000F1D67">
              <w:rPr>
                <w:rStyle w:val="Emphasis"/>
                <w:i w:val="0"/>
              </w:rPr>
              <w:t>Recommendation 1. The respective roles of scheme assure</w:t>
            </w:r>
            <w:r w:rsidR="002519BF">
              <w:rPr>
                <w:rStyle w:val="Emphasis"/>
                <w:i w:val="0"/>
              </w:rPr>
              <w:t>r</w:t>
            </w:r>
            <w:r w:rsidRPr="000F1D67">
              <w:rPr>
                <w:rStyle w:val="Emphasis"/>
                <w:i w:val="0"/>
              </w:rPr>
              <w:t xml:space="preserve">, scheme </w:t>
            </w:r>
            <w:r w:rsidR="002519BF" w:rsidRPr="000F1D67">
              <w:rPr>
                <w:rStyle w:val="Emphasis"/>
                <w:i w:val="0"/>
              </w:rPr>
              <w:t>regulat</w:t>
            </w:r>
            <w:r w:rsidR="002519BF">
              <w:rPr>
                <w:rStyle w:val="Emphasis"/>
                <w:i w:val="0"/>
              </w:rPr>
              <w:t>or</w:t>
            </w:r>
            <w:r w:rsidRPr="000F1D67">
              <w:rPr>
                <w:rStyle w:val="Emphasis"/>
                <w:i w:val="0"/>
              </w:rPr>
              <w:t xml:space="preserve"> and related policy development </w:t>
            </w:r>
            <w:r w:rsidR="00CB3F9A">
              <w:rPr>
                <w:rStyle w:val="Emphasis"/>
                <w:i w:val="0"/>
              </w:rPr>
              <w:t xml:space="preserve">should </w:t>
            </w:r>
            <w:r w:rsidRPr="000F1D67">
              <w:rPr>
                <w:rStyle w:val="Emphasis"/>
                <w:i w:val="0"/>
              </w:rPr>
              <w:t>be clear, undertaken by visibly separate bodies, and each function resourced sufficiently to play its role effectively in administering the scheme and supporting well-functioning carbon offset markets.</w:t>
            </w:r>
            <w:bookmarkEnd w:id="31"/>
            <w:r w:rsidRPr="000F1D67">
              <w:rPr>
                <w:rStyle w:val="Emphasis"/>
                <w:i w:val="0"/>
              </w:rPr>
              <w:t xml:space="preserve"> </w:t>
            </w:r>
          </w:p>
        </w:tc>
      </w:tr>
      <w:bookmarkEnd w:id="32"/>
    </w:tbl>
    <w:p w14:paraId="3E7947DE" w14:textId="6FA87F20" w:rsidR="000F1D67" w:rsidRPr="00442BE9" w:rsidRDefault="000F1D67" w:rsidP="001F1827">
      <w:pPr>
        <w:spacing w:line="257" w:lineRule="auto"/>
        <w:rPr>
          <w:rFonts w:cs="Calibri"/>
          <w:bCs/>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2B0221" w14:paraId="1778CAA2"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7C634724" w14:textId="77777777" w:rsidR="002B0221" w:rsidRDefault="002B0221" w:rsidP="004507DD">
            <w:pPr>
              <w:pStyle w:val="KeyFindings"/>
              <w:rPr>
                <w:rStyle w:val="IntenseEmphasis"/>
                <w:b w:val="0"/>
                <w:bCs/>
              </w:rPr>
            </w:pPr>
            <w:r w:rsidRPr="00C372CA">
              <w:rPr>
                <w:rStyle w:val="IntenseEmphasis"/>
              </w:rPr>
              <w:t xml:space="preserve">Key findings </w:t>
            </w:r>
          </w:p>
          <w:p w14:paraId="07AD1E87" w14:textId="47E9B50B" w:rsidR="002B0221" w:rsidRPr="002B0221" w:rsidRDefault="002B0221" w:rsidP="004507DD">
            <w:pPr>
              <w:pStyle w:val="StyleNormalBody"/>
              <w:rPr>
                <w:rStyle w:val="Emphasis"/>
                <w:b w:val="0"/>
                <w:bCs w:val="0"/>
                <w:i w:val="0"/>
                <w:iCs w:val="0"/>
              </w:rPr>
            </w:pPr>
            <w:r w:rsidRPr="002B0221">
              <w:rPr>
                <w:b w:val="0"/>
                <w:bCs w:val="0"/>
              </w:rPr>
              <w:t>Current arrangements include all the functions necessary for good governance of the scheme; however, separation of these would enhance confidence and transparency.</w:t>
            </w:r>
          </w:p>
        </w:tc>
      </w:tr>
    </w:tbl>
    <w:p w14:paraId="7CEECE9E" w14:textId="24476610" w:rsidR="001F1827" w:rsidRDefault="001F1827" w:rsidP="00D25E21">
      <w:pPr>
        <w:spacing w:before="240" w:line="257" w:lineRule="auto"/>
      </w:pPr>
      <w:r w:rsidRPr="00B46EED">
        <w:t>The Emissions Reduction Assurance Committee (ERAC)</w:t>
      </w:r>
      <w:r w:rsidRPr="00E22E24">
        <w:t xml:space="preserve"> is an independent statutory committee established under the </w:t>
      </w:r>
      <w:r>
        <w:t>CFI</w:t>
      </w:r>
      <w:r w:rsidRPr="007B2B7D">
        <w:t xml:space="preserve"> Act</w:t>
      </w:r>
      <w:r>
        <w:t>.</w:t>
      </w:r>
      <w:r w:rsidRPr="00E22E24">
        <w:t xml:space="preserve"> The ERAC Secretariat provides support </w:t>
      </w:r>
      <w:r>
        <w:t>for</w:t>
      </w:r>
      <w:r w:rsidRPr="00E22E24">
        <w:t xml:space="preserve"> </w:t>
      </w:r>
      <w:r>
        <w:t>the</w:t>
      </w:r>
      <w:r w:rsidRPr="00E22E24">
        <w:t xml:space="preserve"> perform</w:t>
      </w:r>
      <w:r>
        <w:t>ance of</w:t>
      </w:r>
      <w:r w:rsidRPr="00E22E24">
        <w:t xml:space="preserve"> </w:t>
      </w:r>
      <w:r>
        <w:t>the ERAC’s</w:t>
      </w:r>
      <w:r w:rsidRPr="00E22E24">
        <w:t xml:space="preserve"> functions</w:t>
      </w:r>
      <w:r>
        <w:t xml:space="preserve">. </w:t>
      </w:r>
    </w:p>
    <w:p w14:paraId="707976B6" w14:textId="77777777" w:rsidR="001F1827" w:rsidRDefault="001F1827" w:rsidP="001F1827">
      <w:pPr>
        <w:spacing w:line="257" w:lineRule="auto"/>
      </w:pPr>
      <w:r>
        <w:t>The ERAC – the method assurer – is key to public confidence that the CFI Act is effective, yet its importance is blurred by administrative and resourcing arrangements that undermine its capacity (real and perceived) to play its critical role.</w:t>
      </w:r>
    </w:p>
    <w:p w14:paraId="75FF4D89" w14:textId="77777777" w:rsidR="001F1827" w:rsidRDefault="001F1827" w:rsidP="001F1827">
      <w:pPr>
        <w:spacing w:line="257" w:lineRule="auto"/>
      </w:pPr>
      <w:r>
        <w:t>In late 2020, the ERAC and its Secretariat were moved from DISER to the CER following the King Review</w:t>
      </w:r>
      <w:r w:rsidRPr="007B2B7D">
        <w:rPr>
          <w:vertAlign w:val="superscript"/>
        </w:rPr>
        <w:footnoteReference w:id="8"/>
      </w:r>
      <w:r>
        <w:t>.</w:t>
      </w:r>
    </w:p>
    <w:p w14:paraId="5E4E8491" w14:textId="77777777" w:rsidR="001F1827" w:rsidRDefault="001F1827" w:rsidP="001F1827">
      <w:pPr>
        <w:spacing w:line="257" w:lineRule="auto"/>
      </w:pPr>
      <w:r>
        <w:t xml:space="preserve">This shift is amongst the reasons why the role and capacity of the ERAC has been questioned – the lack of a clear distinction between the ‘method assurer’ and the ‘method administrator/regulator.’ </w:t>
      </w:r>
    </w:p>
    <w:p w14:paraId="4A92390D" w14:textId="77777777" w:rsidR="00C77217" w:rsidRPr="009C20C9" w:rsidRDefault="00C77217" w:rsidP="00C77217">
      <w:pPr>
        <w:spacing w:line="257" w:lineRule="auto"/>
      </w:pPr>
      <w:r>
        <w:t xml:space="preserve">In other words, the ERAC is not widely seen to be what it is expected to be - an </w:t>
      </w:r>
      <w:r w:rsidRPr="000B504A">
        <w:t xml:space="preserve">independent expert committee, </w:t>
      </w:r>
      <w:r>
        <w:t>with the responsibility (and the capacity) to</w:t>
      </w:r>
      <w:r w:rsidRPr="000B504A">
        <w:t xml:space="preserve"> ensure that methods are rigorous and lead to real</w:t>
      </w:r>
      <w:r>
        <w:t xml:space="preserve"> and verifiable GHG </w:t>
      </w:r>
      <w:r w:rsidRPr="000B504A">
        <w:t>abatement.</w:t>
      </w:r>
    </w:p>
    <w:p w14:paraId="59B3BB67" w14:textId="77777777" w:rsidR="003066F9" w:rsidRDefault="001F1827" w:rsidP="001F1827">
      <w:pPr>
        <w:spacing w:line="257" w:lineRule="auto"/>
      </w:pPr>
      <w:r>
        <w:t>Combined with the widely acknowledged lack of adequate transparency at stages of the scheme administration, there is (at least) a perception of a conflict of interest, which undermines confidence in the scheme.</w:t>
      </w:r>
      <w:r w:rsidR="003066F9">
        <w:t xml:space="preserve"> </w:t>
      </w:r>
    </w:p>
    <w:p w14:paraId="7B3D5FA1" w14:textId="649DDBA5" w:rsidR="00970B70" w:rsidRDefault="00970B70" w:rsidP="001F1827">
      <w:pPr>
        <w:spacing w:line="257" w:lineRule="auto"/>
      </w:pPr>
    </w:p>
    <w:p w14:paraId="0848BC17" w14:textId="5969F1A0" w:rsidR="001F1827" w:rsidRPr="00B312A6" w:rsidRDefault="001F1827" w:rsidP="00B312A6">
      <w:pPr>
        <w:pStyle w:val="Heading2"/>
      </w:pPr>
      <w:bookmarkStart w:id="33" w:name="_Toc121818580"/>
      <w:bookmarkStart w:id="34" w:name="_Toc121817694"/>
      <w:bookmarkStart w:id="35" w:name="_Toc122339745"/>
      <w:bookmarkStart w:id="36" w:name="_Toc122348031"/>
      <w:bookmarkStart w:id="37" w:name="_Toc122359797"/>
      <w:bookmarkStart w:id="38" w:name="_Toc122360778"/>
      <w:bookmarkStart w:id="39" w:name="_Toc122522997"/>
      <w:r w:rsidRPr="00B312A6">
        <w:lastRenderedPageBreak/>
        <w:t>Re-establishing the Emission Reduction Assurance Committee (ERAC) as the Carbon Abatement Integrity Committee (CAIC)</w:t>
      </w:r>
      <w:bookmarkEnd w:id="33"/>
      <w:bookmarkEnd w:id="34"/>
      <w:bookmarkEnd w:id="35"/>
      <w:bookmarkEnd w:id="36"/>
      <w:bookmarkEnd w:id="37"/>
      <w:bookmarkEnd w:id="38"/>
      <w:bookmarkEnd w:id="39"/>
    </w:p>
    <w:p w14:paraId="00421C16" w14:textId="033C3297" w:rsidR="000F1D67" w:rsidRPr="00B312A6" w:rsidRDefault="000F1D67" w:rsidP="000F1D67">
      <w:pPr>
        <w:rPr>
          <w:sz w:val="2"/>
          <w:szCs w:val="2"/>
        </w:rPr>
      </w:pPr>
    </w:p>
    <w:tbl>
      <w:tblPr>
        <w:tblStyle w:val="TableGridLight"/>
        <w:tblW w:w="9014" w:type="dxa"/>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4"/>
      </w:tblGrid>
      <w:tr w:rsidR="00B312A6" w14:paraId="2CCF996A" w14:textId="77777777" w:rsidTr="003A03D5">
        <w:tc>
          <w:tcPr>
            <w:tcW w:w="9014"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05068259" w14:textId="74CD9757" w:rsidR="00B312A6" w:rsidRPr="00B312A6" w:rsidRDefault="00B312A6" w:rsidP="00B312A6">
            <w:pPr>
              <w:pStyle w:val="Heading4"/>
              <w:outlineLvl w:val="3"/>
              <w:rPr>
                <w:rStyle w:val="Emphasis"/>
                <w:rFonts w:ascii="Calibri" w:hAnsi="Calibri"/>
                <w:i w:val="0"/>
                <w:iCs/>
              </w:rPr>
            </w:pPr>
            <w:r w:rsidRPr="00B312A6">
              <w:rPr>
                <w:rStyle w:val="Emphasis"/>
                <w:rFonts w:ascii="Calibri" w:hAnsi="Calibri"/>
                <w:i w:val="0"/>
                <w:iCs/>
              </w:rPr>
              <w:t xml:space="preserve">Recommendation 2. The ERAC be re-established as the Carbon Abatement Integrity Committee (the CAIC) </w:t>
            </w:r>
            <w:r w:rsidR="002D5120" w:rsidRPr="002D5120">
              <w:rPr>
                <w:rStyle w:val="Emphasis"/>
                <w:rFonts w:ascii="Calibri" w:hAnsi="Calibri"/>
                <w:i w:val="0"/>
                <w:iCs/>
              </w:rPr>
              <w:t>as soon as practicable</w:t>
            </w:r>
            <w:r w:rsidR="002D5120">
              <w:rPr>
                <w:rStyle w:val="Emphasis"/>
                <w:rFonts w:ascii="Calibri" w:hAnsi="Calibri"/>
                <w:iCs/>
              </w:rPr>
              <w:t xml:space="preserve"> </w:t>
            </w:r>
            <w:r w:rsidRPr="00B312A6">
              <w:rPr>
                <w:rStyle w:val="Emphasis"/>
                <w:rFonts w:ascii="Calibri" w:hAnsi="Calibri"/>
                <w:i w:val="0"/>
                <w:iCs/>
              </w:rPr>
              <w:t>with adjusted terms</w:t>
            </w:r>
            <w:r w:rsidR="003066F9">
              <w:rPr>
                <w:rStyle w:val="Emphasis"/>
                <w:rFonts w:ascii="Calibri" w:hAnsi="Calibri"/>
                <w:i w:val="0"/>
                <w:iCs/>
              </w:rPr>
              <w:t xml:space="preserve"> of reference</w:t>
            </w:r>
            <w:r w:rsidRPr="00B312A6">
              <w:rPr>
                <w:rStyle w:val="Emphasis"/>
                <w:rFonts w:ascii="Calibri" w:hAnsi="Calibri"/>
                <w:i w:val="0"/>
                <w:iCs/>
              </w:rPr>
              <w:t xml:space="preserve">, membership and functions, and that it be well-resourced and supported by an independent </w:t>
            </w:r>
            <w:r w:rsidR="003066F9">
              <w:rPr>
                <w:rStyle w:val="Emphasis"/>
                <w:rFonts w:ascii="Calibri" w:hAnsi="Calibri"/>
                <w:i w:val="0"/>
                <w:iCs/>
              </w:rPr>
              <w:t>s</w:t>
            </w:r>
            <w:r w:rsidRPr="00B312A6">
              <w:rPr>
                <w:rStyle w:val="Emphasis"/>
                <w:rFonts w:ascii="Calibri" w:hAnsi="Calibri"/>
                <w:i w:val="0"/>
                <w:iCs/>
              </w:rPr>
              <w:t>ecretariat:</w:t>
            </w:r>
          </w:p>
          <w:p w14:paraId="667B00D5" w14:textId="69F4A01E" w:rsidR="00B312A6" w:rsidRPr="00B312A6" w:rsidRDefault="00B312A6" w:rsidP="00872D80">
            <w:pPr>
              <w:pStyle w:val="Style1"/>
              <w:numPr>
                <w:ilvl w:val="0"/>
                <w:numId w:val="40"/>
              </w:numPr>
              <w:rPr>
                <w:rStyle w:val="Emphasis"/>
                <w:rFonts w:ascii="Calibri" w:hAnsi="Calibri"/>
                <w:i w:val="0"/>
                <w:iCs/>
              </w:rPr>
            </w:pPr>
            <w:r w:rsidRPr="00B312A6">
              <w:rPr>
                <w:rStyle w:val="Emphasis"/>
                <w:rFonts w:ascii="Calibri" w:hAnsi="Calibri"/>
                <w:i w:val="0"/>
                <w:iCs/>
              </w:rPr>
              <w:t>The CAIC should have a membership of a full-time Chair and at least 4 part-time members with a range of skills, expertise and experience</w:t>
            </w:r>
            <w:r w:rsidR="00622D3D">
              <w:rPr>
                <w:rStyle w:val="Emphasis"/>
                <w:rFonts w:ascii="Calibri" w:hAnsi="Calibri"/>
                <w:i w:val="0"/>
                <w:iCs/>
              </w:rPr>
              <w:t>.</w:t>
            </w:r>
            <w:r w:rsidRPr="00B312A6">
              <w:rPr>
                <w:rStyle w:val="Emphasis"/>
                <w:rFonts w:ascii="Calibri" w:hAnsi="Calibri"/>
                <w:i w:val="0"/>
                <w:iCs/>
              </w:rPr>
              <w:t xml:space="preserve"> </w:t>
            </w:r>
          </w:p>
          <w:p w14:paraId="3A755FB1" w14:textId="329D2F75" w:rsidR="00B312A6" w:rsidRPr="00B312A6" w:rsidRDefault="00B312A6" w:rsidP="00872D80">
            <w:pPr>
              <w:pStyle w:val="Style1"/>
              <w:numPr>
                <w:ilvl w:val="0"/>
                <w:numId w:val="40"/>
              </w:numPr>
              <w:rPr>
                <w:rStyle w:val="Emphasis"/>
                <w:rFonts w:ascii="Calibri" w:hAnsi="Calibri"/>
                <w:i w:val="0"/>
                <w:iCs/>
              </w:rPr>
            </w:pPr>
            <w:r w:rsidRPr="00B312A6">
              <w:rPr>
                <w:rStyle w:val="Emphasis"/>
                <w:rFonts w:ascii="Calibri" w:hAnsi="Calibri"/>
                <w:i w:val="0"/>
                <w:iCs/>
              </w:rPr>
              <w:t>A skills matrix must be used to inform appointments</w:t>
            </w:r>
            <w:r w:rsidR="00622D3D">
              <w:rPr>
                <w:rStyle w:val="Emphasis"/>
                <w:rFonts w:ascii="Calibri" w:hAnsi="Calibri"/>
                <w:i w:val="0"/>
                <w:iCs/>
              </w:rPr>
              <w:t>.</w:t>
            </w:r>
          </w:p>
          <w:p w14:paraId="0A6B3E8F" w14:textId="548C3883" w:rsidR="001173AC" w:rsidRDefault="00B312A6" w:rsidP="00872D80">
            <w:pPr>
              <w:pStyle w:val="Style1"/>
              <w:numPr>
                <w:ilvl w:val="0"/>
                <w:numId w:val="40"/>
              </w:numPr>
              <w:rPr>
                <w:rStyle w:val="Emphasis"/>
                <w:rFonts w:ascii="Calibri" w:hAnsi="Calibri"/>
                <w:i w:val="0"/>
                <w:iCs/>
              </w:rPr>
            </w:pPr>
            <w:r w:rsidRPr="001173AC">
              <w:rPr>
                <w:rStyle w:val="Emphasis"/>
                <w:rFonts w:ascii="Calibri" w:hAnsi="Calibri"/>
                <w:i w:val="0"/>
                <w:iCs/>
              </w:rPr>
              <w:t>At least one of the members of the CAIC should be a First Nations Australian with relevant expertise</w:t>
            </w:r>
            <w:r w:rsidR="00622D3D">
              <w:rPr>
                <w:rStyle w:val="Emphasis"/>
                <w:rFonts w:ascii="Calibri" w:hAnsi="Calibri"/>
                <w:i w:val="0"/>
                <w:iCs/>
              </w:rPr>
              <w:t>.</w:t>
            </w:r>
          </w:p>
          <w:p w14:paraId="7C80E8C2" w14:textId="77777777" w:rsidR="00B312A6" w:rsidRPr="00B312A6" w:rsidRDefault="00B312A6" w:rsidP="00872D80">
            <w:pPr>
              <w:pStyle w:val="Style1"/>
              <w:numPr>
                <w:ilvl w:val="0"/>
                <w:numId w:val="40"/>
              </w:numPr>
              <w:rPr>
                <w:rStyle w:val="Emphasis"/>
                <w:rFonts w:ascii="Calibri" w:hAnsi="Calibri"/>
                <w:i w:val="0"/>
                <w:iCs/>
              </w:rPr>
            </w:pPr>
            <w:r w:rsidRPr="00B312A6">
              <w:rPr>
                <w:rStyle w:val="Emphasis"/>
                <w:rFonts w:ascii="Calibri" w:hAnsi="Calibri"/>
                <w:i w:val="0"/>
                <w:iCs/>
              </w:rPr>
              <w:t>Resources should be allocated to cover the costs of the CAIC doing its job independently, effectively and efficiently.</w:t>
            </w:r>
          </w:p>
          <w:p w14:paraId="7921CEF4" w14:textId="6949AA13" w:rsidR="00B312A6" w:rsidRPr="00B312A6" w:rsidRDefault="00B312A6" w:rsidP="00872D80">
            <w:pPr>
              <w:pStyle w:val="Style1"/>
              <w:numPr>
                <w:ilvl w:val="0"/>
                <w:numId w:val="40"/>
              </w:numPr>
              <w:rPr>
                <w:rStyle w:val="Emphasis"/>
                <w:rFonts w:ascii="Calibri" w:hAnsi="Calibri"/>
                <w:i w:val="0"/>
                <w:iCs/>
              </w:rPr>
            </w:pPr>
            <w:r w:rsidRPr="00B312A6">
              <w:rPr>
                <w:rStyle w:val="Emphasis"/>
                <w:rFonts w:ascii="Calibri" w:hAnsi="Calibri"/>
                <w:i w:val="0"/>
                <w:iCs/>
              </w:rPr>
              <w:t>Remuneration should reflect the members’ high level of expertise, their time, and the responsibility and accountability of their role</w:t>
            </w:r>
            <w:r w:rsidR="00622D3D">
              <w:rPr>
                <w:rStyle w:val="Emphasis"/>
                <w:rFonts w:ascii="Calibri" w:hAnsi="Calibri"/>
                <w:i w:val="0"/>
                <w:iCs/>
              </w:rPr>
              <w:t>.</w:t>
            </w:r>
          </w:p>
          <w:p w14:paraId="2D90F339" w14:textId="210D6FC3" w:rsidR="00B312A6" w:rsidRPr="00870C56" w:rsidRDefault="00B312A6" w:rsidP="00872D80">
            <w:pPr>
              <w:pStyle w:val="Style1"/>
              <w:numPr>
                <w:ilvl w:val="0"/>
                <w:numId w:val="40"/>
              </w:numPr>
            </w:pPr>
            <w:r w:rsidRPr="00B312A6">
              <w:rPr>
                <w:rStyle w:val="Emphasis"/>
                <w:rFonts w:ascii="Calibri" w:hAnsi="Calibri"/>
                <w:i w:val="0"/>
                <w:iCs/>
              </w:rPr>
              <w:t>The CAIC Secretariat should be independent and resourced to support the functions of the CAIC.</w:t>
            </w:r>
          </w:p>
        </w:tc>
      </w:tr>
    </w:tbl>
    <w:p w14:paraId="71129072" w14:textId="0532FBBC" w:rsidR="007971DE" w:rsidRDefault="007971DE" w:rsidP="007971DE">
      <w:pPr>
        <w:pStyle w:val="StyleNormalBody"/>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6667FC" w14:paraId="72F52184"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5A774902" w14:textId="77777777" w:rsidR="006667FC" w:rsidRDefault="006667FC" w:rsidP="004507DD">
            <w:pPr>
              <w:pStyle w:val="KeyFindings"/>
              <w:rPr>
                <w:rStyle w:val="IntenseEmphasis"/>
                <w:b w:val="0"/>
                <w:bCs/>
              </w:rPr>
            </w:pPr>
            <w:r w:rsidRPr="00C372CA">
              <w:rPr>
                <w:rStyle w:val="IntenseEmphasis"/>
              </w:rPr>
              <w:t xml:space="preserve">Key findings </w:t>
            </w:r>
          </w:p>
          <w:p w14:paraId="2D38B143" w14:textId="33018D06" w:rsidR="006667FC" w:rsidRPr="002B0221" w:rsidRDefault="006667FC" w:rsidP="004507DD">
            <w:pPr>
              <w:pStyle w:val="StyleNormalBody"/>
              <w:rPr>
                <w:rStyle w:val="Emphasis"/>
                <w:b w:val="0"/>
                <w:bCs w:val="0"/>
                <w:i w:val="0"/>
                <w:iCs w:val="0"/>
              </w:rPr>
            </w:pPr>
            <w:r w:rsidRPr="006667FC">
              <w:rPr>
                <w:b w:val="0"/>
                <w:bCs w:val="0"/>
                <w:lang w:val="en-AU"/>
              </w:rPr>
              <w:t>There is a need for a new body, differently constituted and supported, with the major responsibility of assuring method integrity.</w:t>
            </w:r>
          </w:p>
        </w:tc>
      </w:tr>
    </w:tbl>
    <w:p w14:paraId="5ED88849" w14:textId="3D5B427D" w:rsidR="001F1827" w:rsidRPr="00B312A6" w:rsidRDefault="001F1827" w:rsidP="00B312A6">
      <w:pPr>
        <w:pStyle w:val="Heading3"/>
      </w:pPr>
      <w:r w:rsidRPr="00B312A6">
        <w:t xml:space="preserve">Timing of establishment of </w:t>
      </w:r>
      <w:r w:rsidR="00A67518">
        <w:t xml:space="preserve">the </w:t>
      </w:r>
      <w:r w:rsidRPr="00B312A6">
        <w:t>CAIC</w:t>
      </w:r>
    </w:p>
    <w:p w14:paraId="33F14A1D" w14:textId="42449FFC" w:rsidR="001F1827" w:rsidRPr="00B46EED" w:rsidRDefault="001F1827" w:rsidP="001F1827">
      <w:pPr>
        <w:spacing w:line="257" w:lineRule="auto"/>
      </w:pPr>
      <w:r w:rsidRPr="00B46EED">
        <w:t xml:space="preserve">It is predictable that there will be pressure to develop new methods or to modify existing ones, particularly because the HIR method is due to end in 2023 and the revised </w:t>
      </w:r>
      <w:r w:rsidR="00D17C67">
        <w:t>s</w:t>
      </w:r>
      <w:r w:rsidRPr="00B46EED">
        <w:t xml:space="preserve">afeguard mechanism is </w:t>
      </w:r>
      <w:r w:rsidR="00B91F8E">
        <w:t xml:space="preserve">expected </w:t>
      </w:r>
      <w:r w:rsidRPr="00B46EED">
        <w:t xml:space="preserve">to be introduced from 1 July 2023.  </w:t>
      </w:r>
    </w:p>
    <w:p w14:paraId="4AB4FC19" w14:textId="0B7ED6A4" w:rsidR="001F1827" w:rsidRDefault="001F1827" w:rsidP="001F1827">
      <w:pPr>
        <w:spacing w:line="257" w:lineRule="auto"/>
      </w:pPr>
      <w:r w:rsidRPr="00AA7588">
        <w:t xml:space="preserve">To restore trust and confidence in the </w:t>
      </w:r>
      <w:r>
        <w:t>ACCU scheme</w:t>
      </w:r>
      <w:r w:rsidRPr="00AA7588">
        <w:t xml:space="preserve">, the </w:t>
      </w:r>
      <w:r w:rsidRPr="00244B99">
        <w:t xml:space="preserve">Panel </w:t>
      </w:r>
      <w:r w:rsidR="00BE466C">
        <w:t>propose</w:t>
      </w:r>
      <w:r w:rsidR="00C77217">
        <w:t>s</w:t>
      </w:r>
      <w:r w:rsidRPr="00AA7588">
        <w:t xml:space="preserve"> </w:t>
      </w:r>
      <w:r>
        <w:t xml:space="preserve">that </w:t>
      </w:r>
      <w:r w:rsidR="00BA2165">
        <w:t>the CAIC is established</w:t>
      </w:r>
      <w:r>
        <w:t xml:space="preserve"> with high priority </w:t>
      </w:r>
      <w:r w:rsidRPr="00AA7588">
        <w:t xml:space="preserve">to operate with clear and recognisable independence, accountability, and with enhanced resourcing – </w:t>
      </w:r>
      <w:r>
        <w:t>completed</w:t>
      </w:r>
      <w:r w:rsidRPr="00AA7588">
        <w:t xml:space="preserve"> as a matter of urge</w:t>
      </w:r>
      <w:r>
        <w:t>ncy</w:t>
      </w:r>
      <w:r w:rsidRPr="00AA7588">
        <w:t>.</w:t>
      </w:r>
      <w:r>
        <w:t xml:space="preserve"> </w:t>
      </w:r>
    </w:p>
    <w:p w14:paraId="1C382273" w14:textId="533AE44A" w:rsidR="001F1827" w:rsidRDefault="001F1827" w:rsidP="001F1827">
      <w:pPr>
        <w:spacing w:line="257" w:lineRule="auto"/>
      </w:pPr>
      <w:r w:rsidRPr="00B46EED">
        <w:t xml:space="preserve">It will be important that the CAIC develop its staff and processes, and that they be the cornerstone of future integrity assessments. </w:t>
      </w:r>
    </w:p>
    <w:p w14:paraId="4BBB9832" w14:textId="77777777" w:rsidR="002F09A0" w:rsidRPr="00B46EED" w:rsidRDefault="002F09A0" w:rsidP="002F09A0">
      <w:pPr>
        <w:pStyle w:val="StyleNormalBody"/>
        <w:rPr>
          <w:noProof/>
        </w:rPr>
      </w:pPr>
      <w:r w:rsidRPr="00B46EED">
        <w:rPr>
          <w:noProof/>
        </w:rPr>
        <w:t xml:space="preserve">Given the significance of both assuring integrity and the importance of the scheme in supporting Australia’s progress to reduced emissions, the government should consider whether the CAIC should be elevated from a statutory advisory committee under the CFI Act to become a statutory authority within the relevant Minister’s portfolio. </w:t>
      </w:r>
    </w:p>
    <w:p w14:paraId="76CA964B" w14:textId="257E75A2" w:rsidR="002F09A0" w:rsidRPr="00B46EED" w:rsidRDefault="002F09A0" w:rsidP="002F09A0">
      <w:pPr>
        <w:pStyle w:val="StyleNormalBody"/>
        <w:rPr>
          <w:noProof/>
        </w:rPr>
      </w:pPr>
      <w:r w:rsidRPr="00B46EED">
        <w:rPr>
          <w:noProof/>
        </w:rPr>
        <w:t xml:space="preserve">After 6 months of operation of the CAIC, the CCA should assess whether </w:t>
      </w:r>
      <w:r>
        <w:rPr>
          <w:noProof/>
        </w:rPr>
        <w:t xml:space="preserve">the </w:t>
      </w:r>
      <w:r w:rsidRPr="00B46EED">
        <w:rPr>
          <w:noProof/>
        </w:rPr>
        <w:t xml:space="preserve">CAIC is able to perform all its functions effectively as a statutory committee, or whether it needs the additional heft of being constituted as an independent statutory authority. </w:t>
      </w:r>
    </w:p>
    <w:p w14:paraId="6C3D9E31" w14:textId="579FC57F" w:rsidR="001F1827" w:rsidRPr="0002178F" w:rsidRDefault="001F1827" w:rsidP="0002178F">
      <w:pPr>
        <w:pStyle w:val="Heading3"/>
      </w:pPr>
      <w:r w:rsidRPr="0002178F">
        <w:lastRenderedPageBreak/>
        <w:t xml:space="preserve">Membership of </w:t>
      </w:r>
      <w:r w:rsidR="00A67518">
        <w:t xml:space="preserve">the </w:t>
      </w:r>
      <w:r w:rsidRPr="0002178F">
        <w:t xml:space="preserve">CAIC </w:t>
      </w:r>
    </w:p>
    <w:p w14:paraId="3B7E6452" w14:textId="0119F0D2" w:rsidR="001F1827" w:rsidRPr="007B671A" w:rsidRDefault="001F1827" w:rsidP="001F1827">
      <w:pPr>
        <w:spacing w:after="0"/>
        <w:rPr>
          <w:rFonts w:eastAsia="Calibri" w:cs="Times New Roman"/>
        </w:rPr>
      </w:pPr>
      <w:r w:rsidRPr="007B671A">
        <w:rPr>
          <w:rFonts w:eastAsia="Calibri" w:cs="Times New Roman"/>
        </w:rPr>
        <w:t xml:space="preserve">The CAIC </w:t>
      </w:r>
      <w:r w:rsidR="004B4FC7">
        <w:rPr>
          <w:rFonts w:eastAsia="Calibri" w:cs="Times New Roman"/>
        </w:rPr>
        <w:t>will</w:t>
      </w:r>
      <w:r w:rsidR="00A53A74">
        <w:rPr>
          <w:rFonts w:eastAsia="Calibri" w:cs="Times New Roman"/>
        </w:rPr>
        <w:t xml:space="preserve"> have</w:t>
      </w:r>
      <w:r w:rsidRPr="007B671A">
        <w:rPr>
          <w:rFonts w:eastAsia="Calibri" w:cs="Times New Roman"/>
        </w:rPr>
        <w:t xml:space="preserve"> the primary role of analysing and assessing the integrity of proposed or varied methods, as well as undertaking periodic method and crediting-period extension reviews</w:t>
      </w:r>
      <w:r w:rsidR="006548B0">
        <w:rPr>
          <w:rFonts w:eastAsia="Calibri" w:cs="Times New Roman"/>
        </w:rPr>
        <w:t>.</w:t>
      </w:r>
    </w:p>
    <w:p w14:paraId="7ADB8244" w14:textId="77777777" w:rsidR="001F1827" w:rsidRPr="007B671A" w:rsidRDefault="001F1827" w:rsidP="001F1827">
      <w:pPr>
        <w:spacing w:after="0"/>
        <w:rPr>
          <w:rFonts w:eastAsia="Calibri" w:cs="Times New Roman"/>
        </w:rPr>
      </w:pPr>
      <w:r w:rsidRPr="007B671A">
        <w:rPr>
          <w:rFonts w:eastAsia="Calibri" w:cs="Times New Roman"/>
        </w:rPr>
        <w:t xml:space="preserve">This is neither a trivial exercise nor a trivial role. </w:t>
      </w:r>
    </w:p>
    <w:p w14:paraId="52215ACC" w14:textId="6D3EF48C" w:rsidR="001F1827" w:rsidRPr="007B671A" w:rsidRDefault="001F1827" w:rsidP="001F1827">
      <w:pPr>
        <w:spacing w:after="0"/>
        <w:rPr>
          <w:rFonts w:eastAsia="Calibri" w:cs="Times New Roman"/>
        </w:rPr>
      </w:pPr>
      <w:r w:rsidRPr="007B671A">
        <w:rPr>
          <w:rFonts w:eastAsia="Calibri" w:cs="Times New Roman"/>
        </w:rPr>
        <w:t>Selection of members</w:t>
      </w:r>
      <w:r w:rsidR="00C77217">
        <w:rPr>
          <w:rFonts w:eastAsia="Calibri" w:cs="Times New Roman"/>
        </w:rPr>
        <w:t>, both full-time and part-time,</w:t>
      </w:r>
      <w:r w:rsidRPr="007B671A">
        <w:rPr>
          <w:rFonts w:eastAsia="Calibri" w:cs="Times New Roman"/>
        </w:rPr>
        <w:t xml:space="preserve"> should be merit-based and transparent, consistent with the Australian Government Merit and Transparency Policy</w:t>
      </w:r>
      <w:r w:rsidRPr="005429D7">
        <w:rPr>
          <w:rFonts w:eastAsia="Calibri" w:cs="Times New Roman"/>
          <w:vertAlign w:val="superscript"/>
        </w:rPr>
        <w:footnoteReference w:id="9"/>
      </w:r>
      <w:r w:rsidRPr="007B671A">
        <w:rPr>
          <w:rFonts w:eastAsia="Calibri" w:cs="Times New Roman"/>
        </w:rPr>
        <w:t xml:space="preserve"> as well as recent reports recommending improvements to transparency in government</w:t>
      </w:r>
      <w:r w:rsidR="006548B0" w:rsidRPr="007B671A">
        <w:rPr>
          <w:rFonts w:eastAsia="Calibri" w:cs="Times New Roman"/>
        </w:rPr>
        <w:t>.</w:t>
      </w:r>
      <w:r w:rsidRPr="007B671A">
        <w:rPr>
          <w:rFonts w:eastAsia="Calibri" w:cs="Times New Roman"/>
          <w:vertAlign w:val="superscript"/>
        </w:rPr>
        <w:footnoteReference w:id="10"/>
      </w:r>
      <w:r w:rsidRPr="007B671A">
        <w:rPr>
          <w:rFonts w:eastAsia="Calibri" w:cs="Times New Roman"/>
          <w:vertAlign w:val="superscript"/>
        </w:rPr>
        <w:t xml:space="preserve"> </w:t>
      </w:r>
      <w:r w:rsidRPr="007B671A">
        <w:rPr>
          <w:rFonts w:eastAsia="Calibri" w:cs="Times New Roman"/>
          <w:vertAlign w:val="superscript"/>
        </w:rPr>
        <w:footnoteReference w:id="11"/>
      </w:r>
      <w:r w:rsidRPr="007B671A">
        <w:rPr>
          <w:rFonts w:eastAsia="Calibri" w:cs="Times New Roman"/>
        </w:rPr>
        <w:t xml:space="preserve">  </w:t>
      </w:r>
    </w:p>
    <w:p w14:paraId="64A513C2" w14:textId="7CA4F5B1" w:rsidR="001F1827" w:rsidRPr="007B671A" w:rsidRDefault="001F1827" w:rsidP="001F1827">
      <w:pPr>
        <w:spacing w:after="0"/>
        <w:rPr>
          <w:rFonts w:eastAsia="Calibri" w:cs="Times New Roman"/>
        </w:rPr>
      </w:pPr>
      <w:r w:rsidRPr="007B671A">
        <w:rPr>
          <w:rFonts w:eastAsia="Calibri" w:cs="Times New Roman"/>
        </w:rPr>
        <w:t>It is important that the skill set of members</w:t>
      </w:r>
      <w:r w:rsidR="006F59DC">
        <w:rPr>
          <w:rFonts w:eastAsia="Calibri" w:cs="Times New Roman"/>
        </w:rPr>
        <w:t>, together, is</w:t>
      </w:r>
      <w:r w:rsidRPr="007B671A">
        <w:rPr>
          <w:rFonts w:eastAsia="Calibri" w:cs="Times New Roman"/>
        </w:rPr>
        <w:t xml:space="preserve"> broad enough to meet the range of methods likely to be proposed. A skills matrix should be developed by the Department and used as the basis for selecting members</w:t>
      </w:r>
      <w:r w:rsidR="00C77217">
        <w:rPr>
          <w:rFonts w:eastAsia="Calibri" w:cs="Times New Roman"/>
        </w:rPr>
        <w:t xml:space="preserve"> of CAIC</w:t>
      </w:r>
      <w:r w:rsidRPr="007B671A">
        <w:rPr>
          <w:rFonts w:eastAsia="Calibri" w:cs="Times New Roman"/>
        </w:rPr>
        <w:t xml:space="preserve">. </w:t>
      </w:r>
    </w:p>
    <w:p w14:paraId="447A3689" w14:textId="77777777" w:rsidR="001F1827" w:rsidRPr="007B671A" w:rsidRDefault="001F1827" w:rsidP="001F1827">
      <w:pPr>
        <w:spacing w:after="0"/>
        <w:rPr>
          <w:rFonts w:eastAsia="Calibri" w:cs="Times New Roman"/>
        </w:rPr>
      </w:pPr>
      <w:r w:rsidRPr="007B671A">
        <w:rPr>
          <w:rFonts w:eastAsia="Calibri" w:cs="Times New Roman"/>
        </w:rPr>
        <w:t>The CAIC will need to establish a relationship with the Department – not least to receive advice on the consistency of proposed method approaches with broader government policy and programs, including advising on any adverse social, environmental, and economic impacts.</w:t>
      </w:r>
    </w:p>
    <w:p w14:paraId="1F8B0DC6" w14:textId="062C6FB8" w:rsidR="001F1827" w:rsidRDefault="001F1827" w:rsidP="001F1827">
      <w:pPr>
        <w:spacing w:after="0"/>
        <w:rPr>
          <w:rFonts w:eastAsia="Calibri" w:cs="Times New Roman"/>
        </w:rPr>
      </w:pPr>
      <w:r w:rsidRPr="007B671A">
        <w:rPr>
          <w:rFonts w:eastAsia="Calibri" w:cs="Times New Roman"/>
        </w:rPr>
        <w:t>The CAIC should include a Departmental observer.</w:t>
      </w:r>
    </w:p>
    <w:p w14:paraId="349C1CE7" w14:textId="5FA3702D" w:rsidR="001F1827" w:rsidRPr="0002178F" w:rsidRDefault="001F1827" w:rsidP="0002178F">
      <w:pPr>
        <w:pStyle w:val="Heading3"/>
      </w:pPr>
      <w:r w:rsidRPr="0002178F">
        <w:t>First Nations Australian membership</w:t>
      </w:r>
    </w:p>
    <w:p w14:paraId="640D97B1" w14:textId="77777777" w:rsidR="001F1827" w:rsidRPr="007B671A" w:rsidRDefault="001F1827" w:rsidP="0002178F">
      <w:pPr>
        <w:pStyle w:val="StyleNormalBody"/>
      </w:pPr>
      <w:r w:rsidRPr="007B671A">
        <w:t xml:space="preserve">Projects under the CFI Act represent the efforts of land holders, First Nations Australians, conservationists and civil society to cultivate and sustain healthy country in the face of unremitting global warming. </w:t>
      </w:r>
    </w:p>
    <w:p w14:paraId="78814FF7" w14:textId="77777777" w:rsidR="001F1827" w:rsidRPr="007B671A" w:rsidRDefault="001F1827" w:rsidP="0002178F">
      <w:pPr>
        <w:pStyle w:val="StyleNormalBody"/>
      </w:pPr>
      <w:r w:rsidRPr="007B671A">
        <w:t xml:space="preserve">The important role of First Nations Australian communities in the scheme, and their extensive knowledge of rural and remote regions of Australia warrants recognition and appointments to where policies are developed and actions advanced. </w:t>
      </w:r>
    </w:p>
    <w:p w14:paraId="70488DBE" w14:textId="77777777" w:rsidR="001F1827" w:rsidRPr="005429D7" w:rsidRDefault="001F1827" w:rsidP="0002178F">
      <w:pPr>
        <w:pStyle w:val="Heading3"/>
      </w:pPr>
      <w:r w:rsidRPr="005429D7">
        <w:t>Remuneration of members</w:t>
      </w:r>
    </w:p>
    <w:p w14:paraId="2A729BAD" w14:textId="556E22AE" w:rsidR="001F1827" w:rsidRPr="007B671A" w:rsidRDefault="001F1827" w:rsidP="0002178F">
      <w:pPr>
        <w:pStyle w:val="StyleNormalBody"/>
      </w:pPr>
      <w:r w:rsidRPr="007B671A">
        <w:t xml:space="preserve">Special remuneration arrangements may </w:t>
      </w:r>
      <w:r w:rsidR="00C77217">
        <w:t xml:space="preserve">need to </w:t>
      </w:r>
      <w:r w:rsidRPr="007B671A">
        <w:t>be made to secure experts whose skills and knowledge are rare, and whose time is scarce.</w:t>
      </w:r>
    </w:p>
    <w:p w14:paraId="09CAF3D3" w14:textId="5868BDE3" w:rsidR="001F1827" w:rsidRDefault="001F1827" w:rsidP="0002178F">
      <w:pPr>
        <w:pStyle w:val="Heading3"/>
      </w:pPr>
      <w:r w:rsidRPr="00B46EED">
        <w:t xml:space="preserve">Resourcing of </w:t>
      </w:r>
      <w:r w:rsidR="0002178F">
        <w:t xml:space="preserve">the </w:t>
      </w:r>
      <w:r w:rsidRPr="00B46EED">
        <w:t xml:space="preserve">CAIC </w:t>
      </w:r>
    </w:p>
    <w:p w14:paraId="2EDE909A" w14:textId="08D835FB" w:rsidR="001F1827" w:rsidRPr="007B671A" w:rsidRDefault="001F1827" w:rsidP="001F1827">
      <w:pPr>
        <w:spacing w:after="0"/>
        <w:rPr>
          <w:rFonts w:eastAsia="Calibri" w:cs="Times New Roman"/>
        </w:rPr>
      </w:pPr>
      <w:r w:rsidRPr="007B671A">
        <w:rPr>
          <w:rFonts w:eastAsia="Calibri" w:cs="Times New Roman"/>
        </w:rPr>
        <w:t xml:space="preserve">Parsimonious resourcing should not impede the work of </w:t>
      </w:r>
      <w:r>
        <w:rPr>
          <w:rFonts w:eastAsia="Calibri" w:cs="Times New Roman"/>
        </w:rPr>
        <w:t xml:space="preserve">the </w:t>
      </w:r>
      <w:r w:rsidRPr="007B671A">
        <w:rPr>
          <w:rFonts w:eastAsia="Calibri" w:cs="Times New Roman"/>
        </w:rPr>
        <w:t xml:space="preserve">CAIC. Its operating budget must be sufficient to support its role in the validation process as well as its monitoring of existing methods and proposed variations. </w:t>
      </w:r>
    </w:p>
    <w:p w14:paraId="2B5E274F" w14:textId="1A974CCB" w:rsidR="001F1827" w:rsidRPr="007B671A" w:rsidRDefault="001F1827" w:rsidP="001F1827">
      <w:pPr>
        <w:spacing w:after="0"/>
        <w:rPr>
          <w:rFonts w:eastAsia="Calibri" w:cs="Times New Roman"/>
        </w:rPr>
      </w:pPr>
      <w:r w:rsidRPr="007B671A">
        <w:rPr>
          <w:rFonts w:eastAsia="Calibri" w:cs="Times New Roman"/>
        </w:rPr>
        <w:t xml:space="preserve">The Panel heard that the workload stretched members of </w:t>
      </w:r>
      <w:r>
        <w:rPr>
          <w:rFonts w:eastAsia="Calibri" w:cs="Times New Roman"/>
        </w:rPr>
        <w:t xml:space="preserve">the </w:t>
      </w:r>
      <w:r w:rsidRPr="007B671A">
        <w:rPr>
          <w:rFonts w:eastAsia="Calibri" w:cs="Times New Roman"/>
        </w:rPr>
        <w:t xml:space="preserve">ERAC beyond reason. Effective operation was made more demanding because of </w:t>
      </w:r>
      <w:r>
        <w:rPr>
          <w:rFonts w:eastAsia="Calibri" w:cs="Times New Roman"/>
        </w:rPr>
        <w:t xml:space="preserve">the </w:t>
      </w:r>
      <w:r w:rsidRPr="007B671A">
        <w:rPr>
          <w:rFonts w:eastAsia="Calibri" w:cs="Times New Roman"/>
        </w:rPr>
        <w:t xml:space="preserve">ERAC’s dependence on the CER or the Department for information – not always delivered in a timely way. </w:t>
      </w:r>
      <w:r w:rsidR="00C77217">
        <w:rPr>
          <w:rFonts w:eastAsia="Calibri" w:cs="Times New Roman"/>
        </w:rPr>
        <w:t>This unreasonable condition should not be transferred to the CAIC.</w:t>
      </w:r>
    </w:p>
    <w:p w14:paraId="5616C07D" w14:textId="77777777" w:rsidR="001F1827" w:rsidRPr="007B671A" w:rsidRDefault="001F1827" w:rsidP="001F1827">
      <w:pPr>
        <w:spacing w:after="0"/>
        <w:rPr>
          <w:rFonts w:eastAsia="Calibri" w:cs="Times New Roman"/>
        </w:rPr>
      </w:pPr>
      <w:r w:rsidRPr="007B671A">
        <w:rPr>
          <w:rFonts w:eastAsia="Calibri" w:cs="Times New Roman"/>
        </w:rPr>
        <w:t xml:space="preserve">The CAIC should have unfettered access to all relevant information to support its assessment and assurance roles. </w:t>
      </w:r>
    </w:p>
    <w:p w14:paraId="41E35D7E" w14:textId="23C1AF37" w:rsidR="001F1827" w:rsidRDefault="001F1827" w:rsidP="001F1827">
      <w:pPr>
        <w:spacing w:after="0"/>
        <w:rPr>
          <w:rFonts w:eastAsia="Calibri" w:cs="Times New Roman"/>
        </w:rPr>
      </w:pPr>
      <w:r w:rsidRPr="007B671A">
        <w:rPr>
          <w:rFonts w:eastAsia="Calibri" w:cs="Times New Roman"/>
        </w:rPr>
        <w:t xml:space="preserve">Resources must be provided to cover the costs of </w:t>
      </w:r>
      <w:r>
        <w:rPr>
          <w:rFonts w:eastAsia="Calibri" w:cs="Times New Roman"/>
        </w:rPr>
        <w:t>the</w:t>
      </w:r>
      <w:r w:rsidRPr="007B671A">
        <w:rPr>
          <w:rFonts w:eastAsia="Calibri" w:cs="Times New Roman"/>
        </w:rPr>
        <w:t xml:space="preserve"> CAIC’s establishment and function and allow for supplementary expertise as required from time-to-time.  </w:t>
      </w:r>
    </w:p>
    <w:p w14:paraId="4A867BB2" w14:textId="413955DB" w:rsidR="001F1827" w:rsidRDefault="0002178F" w:rsidP="0002178F">
      <w:pPr>
        <w:pStyle w:val="Heading3"/>
      </w:pPr>
      <w:r>
        <w:lastRenderedPageBreak/>
        <w:t xml:space="preserve">The </w:t>
      </w:r>
      <w:r w:rsidR="001F1827" w:rsidRPr="008633F4">
        <w:t xml:space="preserve">CAIC Secretariat </w:t>
      </w:r>
    </w:p>
    <w:p w14:paraId="68C25C27" w14:textId="0ABF7A89" w:rsidR="001F1827" w:rsidRDefault="001F1827" w:rsidP="00801C8F">
      <w:pPr>
        <w:spacing w:after="240"/>
        <w:rPr>
          <w:rFonts w:eastAsia="Calibri" w:cs="Times New Roman"/>
        </w:rPr>
      </w:pPr>
      <w:r w:rsidRPr="007B671A">
        <w:rPr>
          <w:rFonts w:eastAsia="Calibri" w:cs="Times New Roman"/>
        </w:rPr>
        <w:t>The CAIC Secretariat should have a suite of diverse skills and experience including policy, analysis, data management</w:t>
      </w:r>
      <w:r w:rsidR="00C929A3">
        <w:rPr>
          <w:rFonts w:eastAsia="Calibri" w:cs="Times New Roman"/>
        </w:rPr>
        <w:t>,</w:t>
      </w:r>
      <w:r w:rsidRPr="007B671A">
        <w:rPr>
          <w:rFonts w:eastAsia="Calibri" w:cs="Times New Roman"/>
        </w:rPr>
        <w:t xml:space="preserve"> t</w:t>
      </w:r>
      <w:r>
        <w:rPr>
          <w:rFonts w:eastAsia="Calibri" w:cs="Times New Roman"/>
        </w:rPr>
        <w:t>echnical and scientific skills.</w:t>
      </w:r>
    </w:p>
    <w:p w14:paraId="7E8F1CD7" w14:textId="1891252C" w:rsidR="000429A4" w:rsidRPr="00801C8F" w:rsidRDefault="000429A4" w:rsidP="00801C8F">
      <w:pPr>
        <w:spacing w:after="240"/>
        <w:rPr>
          <w:rFonts w:eastAsia="Calibri" w:cs="Times New Roman"/>
        </w:rPr>
      </w:pPr>
      <w:r>
        <w:rPr>
          <w:rFonts w:eastAsia="Calibri" w:cs="Times New Roman"/>
        </w:rPr>
        <w:t xml:space="preserve">The CAIC Secretariat should </w:t>
      </w:r>
      <w:r w:rsidR="00C77217">
        <w:rPr>
          <w:rFonts w:eastAsia="Calibri" w:cs="Times New Roman"/>
        </w:rPr>
        <w:t>be hosted by</w:t>
      </w:r>
      <w:r>
        <w:rPr>
          <w:rFonts w:eastAsia="Calibri" w:cs="Times New Roman"/>
        </w:rPr>
        <w:t xml:space="preserve"> the Department </w:t>
      </w:r>
      <w:r w:rsidR="00C77217">
        <w:rPr>
          <w:rFonts w:eastAsia="Calibri" w:cs="Times New Roman"/>
        </w:rPr>
        <w:t xml:space="preserve">but </w:t>
      </w:r>
      <w:r>
        <w:rPr>
          <w:rFonts w:eastAsia="Calibri" w:cs="Times New Roman"/>
        </w:rPr>
        <w:t xml:space="preserve">report directly to the Chair of the CAIC to maintain its independence. </w:t>
      </w:r>
    </w:p>
    <w:p w14:paraId="3A125B21" w14:textId="5F320470" w:rsidR="00801C8F" w:rsidRDefault="001F1827" w:rsidP="00FB77C2">
      <w:pPr>
        <w:pStyle w:val="Heading2"/>
      </w:pPr>
      <w:bookmarkStart w:id="40" w:name="_Toc122339746"/>
      <w:bookmarkStart w:id="41" w:name="_Toc122348032"/>
      <w:bookmarkStart w:id="42" w:name="_Toc122359798"/>
      <w:bookmarkStart w:id="43" w:name="_Toc122360779"/>
      <w:bookmarkStart w:id="44" w:name="_Toc122522998"/>
      <w:bookmarkStart w:id="45" w:name="_Toc121818581"/>
      <w:bookmarkStart w:id="46" w:name="_Toc121817695"/>
      <w:r w:rsidRPr="00801C8F">
        <w:t>Clean Energy Regulator</w:t>
      </w:r>
      <w:bookmarkEnd w:id="40"/>
      <w:bookmarkEnd w:id="41"/>
      <w:bookmarkEnd w:id="42"/>
      <w:bookmarkEnd w:id="43"/>
      <w:bookmarkEnd w:id="44"/>
      <w:r w:rsidRPr="00801C8F">
        <w:t xml:space="preserve"> </w:t>
      </w:r>
      <w:bookmarkEnd w:id="45"/>
      <w:bookmarkEnd w:id="46"/>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801C8F" w14:paraId="53CB3F75"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1662EA67" w14:textId="18EFDD08" w:rsidR="00801C8F" w:rsidRDefault="00801C8F" w:rsidP="00801C8F">
            <w:pPr>
              <w:pStyle w:val="Heading4"/>
              <w:outlineLvl w:val="3"/>
            </w:pPr>
            <w:r w:rsidRPr="002F181B">
              <w:t>Recommendation 3</w:t>
            </w:r>
            <w:r w:rsidR="00D11649">
              <w:t>.</w:t>
            </w:r>
            <w:r w:rsidRPr="002F181B">
              <w:t xml:space="preserve"> The CER </w:t>
            </w:r>
            <w:r>
              <w:t>be responsible for project monitoring, compliance and enforcement, and providing transparent project and scheme information:</w:t>
            </w:r>
          </w:p>
          <w:p w14:paraId="03FB9F9F" w14:textId="747B8221" w:rsidR="00A02C4B" w:rsidRDefault="00A02C4B" w:rsidP="00872D80">
            <w:pPr>
              <w:pStyle w:val="List3"/>
              <w:numPr>
                <w:ilvl w:val="0"/>
                <w:numId w:val="41"/>
              </w:numPr>
            </w:pPr>
            <w:r w:rsidRPr="002F181B">
              <w:t xml:space="preserve">The remit of the CER should explicitly include monitoring and </w:t>
            </w:r>
            <w:r w:rsidR="004B4FC7">
              <w:t xml:space="preserve">the </w:t>
            </w:r>
            <w:r w:rsidRPr="002F181B">
              <w:t>publishing o</w:t>
            </w:r>
            <w:r w:rsidR="004B4FC7">
              <w:t xml:space="preserve">f information </w:t>
            </w:r>
            <w:r w:rsidRPr="002F181B">
              <w:t xml:space="preserve">on </w:t>
            </w:r>
            <w:r w:rsidR="0020658F">
              <w:t xml:space="preserve">the </w:t>
            </w:r>
            <w:r w:rsidR="00E12DCA">
              <w:t xml:space="preserve">impact of the scheme in the protection of </w:t>
            </w:r>
            <w:r w:rsidR="0020658F">
              <w:t xml:space="preserve">Australia’s </w:t>
            </w:r>
            <w:r w:rsidR="00E12DCA">
              <w:t xml:space="preserve">natural </w:t>
            </w:r>
            <w:r w:rsidR="0020658F">
              <w:t>environment</w:t>
            </w:r>
            <w:r w:rsidRPr="002F181B">
              <w:t xml:space="preserve"> and </w:t>
            </w:r>
            <w:r w:rsidR="00E12DCA">
              <w:t xml:space="preserve">improved </w:t>
            </w:r>
            <w:r w:rsidR="0020658F">
              <w:t>resilience</w:t>
            </w:r>
            <w:r w:rsidR="00E12DCA">
              <w:t xml:space="preserve"> to the effects of climate change</w:t>
            </w:r>
            <w:r w:rsidRPr="002F181B">
              <w:t xml:space="preserve"> in </w:t>
            </w:r>
            <w:r>
              <w:t>accordance</w:t>
            </w:r>
            <w:r w:rsidRPr="002F181B">
              <w:t xml:space="preserve"> with the</w:t>
            </w:r>
            <w:r>
              <w:t xml:space="preserve"> objects of the</w:t>
            </w:r>
            <w:r w:rsidRPr="002F181B">
              <w:t xml:space="preserve"> CFI Ac</w:t>
            </w:r>
            <w:r>
              <w:t>t</w:t>
            </w:r>
            <w:r w:rsidR="00A57541">
              <w:t xml:space="preserve"> (section 3)</w:t>
            </w:r>
            <w:r>
              <w:t xml:space="preserve">. </w:t>
            </w:r>
          </w:p>
          <w:p w14:paraId="78519B87" w14:textId="3439BE23" w:rsidR="00A02C4B" w:rsidRDefault="00A02C4B" w:rsidP="00872D80">
            <w:pPr>
              <w:pStyle w:val="List3"/>
              <w:numPr>
                <w:ilvl w:val="0"/>
                <w:numId w:val="41"/>
              </w:numPr>
            </w:pPr>
            <w:r>
              <w:t>The CER should:</w:t>
            </w:r>
          </w:p>
          <w:p w14:paraId="604845CE" w14:textId="77777777" w:rsidR="00B2403A" w:rsidRDefault="00A02C4B" w:rsidP="00872D80">
            <w:pPr>
              <w:pStyle w:val="List31"/>
              <w:numPr>
                <w:ilvl w:val="0"/>
                <w:numId w:val="42"/>
              </w:numPr>
            </w:pPr>
            <w:r>
              <w:t>Continue to be responsible for education about the scheme and information concerning the carbon market;</w:t>
            </w:r>
          </w:p>
          <w:p w14:paraId="2DFAC983" w14:textId="01B78B9E" w:rsidR="00B2403A" w:rsidRDefault="00B2403A" w:rsidP="00872D80">
            <w:pPr>
              <w:pStyle w:val="List31"/>
              <w:numPr>
                <w:ilvl w:val="0"/>
                <w:numId w:val="42"/>
              </w:numPr>
              <w:ind w:left="1621" w:hanging="907"/>
            </w:pPr>
            <w:r>
              <w:t xml:space="preserve">Reduce </w:t>
            </w:r>
            <w:r w:rsidRPr="002F181B">
              <w:t xml:space="preserve">complexity by simplifying scheme documents and </w:t>
            </w:r>
            <w:r>
              <w:t>improving</w:t>
            </w:r>
            <w:r w:rsidRPr="002F181B">
              <w:t xml:space="preserve"> the accessibility of scheme information</w:t>
            </w:r>
            <w:r w:rsidR="006A3B12">
              <w:t>; and</w:t>
            </w:r>
          </w:p>
          <w:p w14:paraId="7E7C41B6" w14:textId="00ED779D" w:rsidR="0054346D" w:rsidRDefault="00B2403A" w:rsidP="00872D80">
            <w:pPr>
              <w:pStyle w:val="List31"/>
              <w:numPr>
                <w:ilvl w:val="0"/>
                <w:numId w:val="42"/>
              </w:numPr>
              <w:ind w:left="1621" w:hanging="907"/>
            </w:pPr>
            <w:r>
              <w:t xml:space="preserve">Create </w:t>
            </w:r>
            <w:r w:rsidRPr="00B2403A">
              <w:t>a public registry of precedents and rulings</w:t>
            </w:r>
            <w:r w:rsidR="006A3B12">
              <w:t>.</w:t>
            </w:r>
          </w:p>
          <w:p w14:paraId="1ADE0DFC" w14:textId="134BC2FB" w:rsidR="00801C8F" w:rsidRPr="00870C56" w:rsidRDefault="00A02C4B" w:rsidP="00872D80">
            <w:pPr>
              <w:pStyle w:val="List3"/>
              <w:numPr>
                <w:ilvl w:val="0"/>
                <w:numId w:val="41"/>
              </w:numPr>
            </w:pPr>
            <w:r>
              <w:t>R</w:t>
            </w:r>
            <w:r w:rsidRPr="002F181B">
              <w:t xml:space="preserve">esponsibility for </w:t>
            </w:r>
            <w:r w:rsidRPr="00244B99">
              <w:t>Australian Government</w:t>
            </w:r>
            <w:r w:rsidRPr="002F181B">
              <w:t xml:space="preserve"> purchasing of </w:t>
            </w:r>
            <w:r w:rsidR="0013367E">
              <w:t>ACCUs</w:t>
            </w:r>
            <w:r w:rsidRPr="002F181B">
              <w:t xml:space="preserve"> should be moved out of the CER</w:t>
            </w:r>
            <w:r>
              <w:t xml:space="preserve"> </w:t>
            </w:r>
            <w:r w:rsidR="00865099">
              <w:t xml:space="preserve">and into another </w:t>
            </w:r>
            <w:r w:rsidR="00865099" w:rsidRPr="00244B99">
              <w:t>Australian Government body</w:t>
            </w:r>
            <w:r w:rsidR="00865099">
              <w:t xml:space="preserve"> </w:t>
            </w:r>
            <w:r>
              <w:t>t</w:t>
            </w:r>
            <w:r w:rsidRPr="002F181B">
              <w:t>o avoid actual or perceived conflicts of interest.</w:t>
            </w:r>
          </w:p>
        </w:tc>
      </w:tr>
    </w:tbl>
    <w:p w14:paraId="6606EC77" w14:textId="77777777" w:rsidR="006F0CE0" w:rsidRPr="006F0CE0" w:rsidRDefault="006F0CE0" w:rsidP="006F0CE0">
      <w:pPr>
        <w:pStyle w:val="StyleNormalBody"/>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6F0CE0" w14:paraId="76867D50"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022F0237" w14:textId="77777777" w:rsidR="006F0CE0" w:rsidRDefault="006F0CE0" w:rsidP="004507DD">
            <w:pPr>
              <w:pStyle w:val="KeyFindings"/>
              <w:rPr>
                <w:rStyle w:val="IntenseEmphasis"/>
                <w:b w:val="0"/>
                <w:bCs/>
              </w:rPr>
            </w:pPr>
            <w:r w:rsidRPr="00C372CA">
              <w:rPr>
                <w:rStyle w:val="IntenseEmphasis"/>
              </w:rPr>
              <w:t xml:space="preserve">Key findings </w:t>
            </w:r>
          </w:p>
          <w:p w14:paraId="58144C47" w14:textId="77777777" w:rsidR="006F0CE0" w:rsidRPr="006F0CE0" w:rsidRDefault="006F0CE0" w:rsidP="006F0CE0">
            <w:pPr>
              <w:pStyle w:val="StyleNormalBody"/>
              <w:rPr>
                <w:b w:val="0"/>
                <w:bCs w:val="0"/>
                <w:lang w:val="en-AU"/>
              </w:rPr>
            </w:pPr>
            <w:r w:rsidRPr="006F0CE0">
              <w:rPr>
                <w:b w:val="0"/>
                <w:bCs w:val="0"/>
                <w:lang w:val="en-AU"/>
              </w:rPr>
              <w:t xml:space="preserve">The multiple roles of the CER, in developing methods, regulating projects and issuing ACCUs, and administering government purchase of ACCUs, results in potential conflicts of interest and risks reduced confidence in scheme arrangements and governance.  </w:t>
            </w:r>
          </w:p>
          <w:p w14:paraId="6074A90F" w14:textId="1DBF2C37" w:rsidR="006F0CE0" w:rsidRPr="00730649" w:rsidRDefault="006F0CE0" w:rsidP="006F0CE0">
            <w:pPr>
              <w:pStyle w:val="StyleNormalBody"/>
              <w:rPr>
                <w:rStyle w:val="Emphasis"/>
                <w:b w:val="0"/>
                <w:bCs w:val="0"/>
                <w:i w:val="0"/>
                <w:iCs w:val="0"/>
              </w:rPr>
            </w:pPr>
            <w:r w:rsidRPr="006F0CE0">
              <w:rPr>
                <w:b w:val="0"/>
                <w:bCs w:val="0"/>
                <w:lang w:val="en-AU"/>
              </w:rPr>
              <w:t>Responsibility for monitoring all consequences of the CFI Act should remain with the CER.</w:t>
            </w:r>
          </w:p>
        </w:tc>
      </w:tr>
    </w:tbl>
    <w:p w14:paraId="3F6A148B" w14:textId="793920CD" w:rsidR="001F1827" w:rsidRPr="00BB2426" w:rsidRDefault="001F1827" w:rsidP="00BB2426">
      <w:pPr>
        <w:pStyle w:val="Heading3"/>
      </w:pPr>
      <w:r w:rsidRPr="00BB2426">
        <w:t>Purpose of the CER</w:t>
      </w:r>
    </w:p>
    <w:p w14:paraId="63A2F6E7" w14:textId="77777777" w:rsidR="001F1827" w:rsidRPr="007B671A" w:rsidRDefault="001F1827" w:rsidP="001F1827">
      <w:pPr>
        <w:spacing w:after="0"/>
        <w:rPr>
          <w:rFonts w:eastAsia="Calibri" w:cs="Times New Roman"/>
        </w:rPr>
      </w:pPr>
      <w:r w:rsidRPr="007B671A">
        <w:rPr>
          <w:rFonts w:eastAsia="Calibri" w:cs="Times New Roman"/>
        </w:rPr>
        <w:t xml:space="preserve">The Clean Energy Regulator, established on 2 April 2012 by the </w:t>
      </w:r>
      <w:hyperlink r:id="rId28" w:history="1">
        <w:r w:rsidRPr="005429D7">
          <w:rPr>
            <w:rFonts w:eastAsia="Calibri" w:cs="Times New Roman"/>
            <w:i/>
          </w:rPr>
          <w:t>Clean Energy Regulator Act 2011</w:t>
        </w:r>
      </w:hyperlink>
      <w:r w:rsidRPr="007B671A">
        <w:rPr>
          <w:rFonts w:eastAsia="Calibri" w:cs="Times New Roman"/>
        </w:rPr>
        <w:t xml:space="preserve"> (the CER Act), is a non-corporate Australian Government entity and statutory authority responsible for administering legislation that reduces greenhouse gas emissions and increases the use of renewable energy. </w:t>
      </w:r>
    </w:p>
    <w:p w14:paraId="7DE6F706" w14:textId="48891F5E" w:rsidR="001F1827" w:rsidRPr="007B671A" w:rsidRDefault="001F1827" w:rsidP="001F1827">
      <w:pPr>
        <w:spacing w:after="0"/>
        <w:rPr>
          <w:rFonts w:eastAsia="Calibri" w:cs="Times New Roman"/>
        </w:rPr>
      </w:pPr>
      <w:r w:rsidRPr="007B671A">
        <w:rPr>
          <w:rFonts w:eastAsia="Calibri" w:cs="Times New Roman"/>
        </w:rPr>
        <w:t xml:space="preserve">The Panel notes that the </w:t>
      </w:r>
      <w:r w:rsidR="00C77217">
        <w:rPr>
          <w:rFonts w:eastAsia="Calibri" w:cs="Times New Roman"/>
        </w:rPr>
        <w:t xml:space="preserve">described </w:t>
      </w:r>
      <w:r w:rsidRPr="007B671A">
        <w:rPr>
          <w:rFonts w:eastAsia="Calibri" w:cs="Times New Roman"/>
        </w:rPr>
        <w:t xml:space="preserve">purpose of the CER is to ‘…accelerate carbon abatement for Australia’. </w:t>
      </w:r>
      <w:r>
        <w:rPr>
          <w:rFonts w:eastAsia="Calibri" w:cs="Times New Roman"/>
        </w:rPr>
        <w:t>The CER’s role</w:t>
      </w:r>
      <w:r w:rsidRPr="007B671A">
        <w:rPr>
          <w:rFonts w:eastAsia="Calibri" w:cs="Times New Roman"/>
        </w:rPr>
        <w:t xml:space="preserve"> </w:t>
      </w:r>
      <w:r>
        <w:rPr>
          <w:rFonts w:eastAsia="Calibri" w:cs="Times New Roman"/>
        </w:rPr>
        <w:t>is central to achieving</w:t>
      </w:r>
      <w:r w:rsidRPr="007B671A">
        <w:rPr>
          <w:rFonts w:eastAsia="Calibri" w:cs="Times New Roman"/>
        </w:rPr>
        <w:t xml:space="preserve"> the Australian </w:t>
      </w:r>
      <w:r>
        <w:rPr>
          <w:rFonts w:eastAsia="Calibri" w:cs="Times New Roman"/>
        </w:rPr>
        <w:t>Government’s</w:t>
      </w:r>
      <w:r w:rsidRPr="007B671A">
        <w:rPr>
          <w:rFonts w:eastAsia="Calibri" w:cs="Times New Roman"/>
        </w:rPr>
        <w:t xml:space="preserve"> legislated 43% </w:t>
      </w:r>
      <w:r>
        <w:rPr>
          <w:rFonts w:eastAsia="Calibri" w:cs="Times New Roman"/>
        </w:rPr>
        <w:t xml:space="preserve">emissions </w:t>
      </w:r>
      <w:r w:rsidRPr="007B671A">
        <w:rPr>
          <w:rFonts w:eastAsia="Calibri" w:cs="Times New Roman"/>
        </w:rPr>
        <w:t>reduction target floor by 2030 and ‘net zero’ emissions by 2050.</w:t>
      </w:r>
    </w:p>
    <w:p w14:paraId="23C043CD" w14:textId="77777777" w:rsidR="001F1827" w:rsidRPr="007B671A" w:rsidRDefault="001F1827" w:rsidP="001F1827">
      <w:pPr>
        <w:spacing w:after="0"/>
        <w:rPr>
          <w:rFonts w:eastAsia="Calibri" w:cs="Times New Roman"/>
        </w:rPr>
      </w:pPr>
      <w:r w:rsidRPr="007B671A">
        <w:rPr>
          <w:rFonts w:eastAsia="Calibri" w:cs="Times New Roman"/>
        </w:rPr>
        <w:t xml:space="preserve">The CER acts in a complex arena and its primary role in the ACCU scheme has been blurred by responsibilities added to its brief. </w:t>
      </w:r>
    </w:p>
    <w:p w14:paraId="26F7786A" w14:textId="7C98E2B0" w:rsidR="00BD57E9" w:rsidRDefault="00BD57E9" w:rsidP="00BD57E9">
      <w:pPr>
        <w:spacing w:after="0"/>
        <w:rPr>
          <w:rFonts w:eastAsia="Calibri" w:cs="Times New Roman"/>
        </w:rPr>
      </w:pPr>
      <w:r w:rsidRPr="007B671A">
        <w:rPr>
          <w:rFonts w:eastAsia="Calibri" w:cs="Times New Roman"/>
        </w:rPr>
        <w:lastRenderedPageBreak/>
        <w:t>In the Panel’s view, whatever positives may have been intended, a serious downside has been the perception that the CER has too many roles and could be, or is, or is just thought to be, conflicted because of that range of responsibilities</w:t>
      </w:r>
      <w:r>
        <w:rPr>
          <w:rFonts w:eastAsia="Calibri" w:cs="Times New Roman"/>
        </w:rPr>
        <w:t>. It presently</w:t>
      </w:r>
      <w:r w:rsidRPr="007B671A">
        <w:rPr>
          <w:rFonts w:eastAsia="Calibri" w:cs="Times New Roman"/>
        </w:rPr>
        <w:t xml:space="preserve"> co-designs </w:t>
      </w:r>
      <w:r>
        <w:rPr>
          <w:rFonts w:eastAsia="Calibri" w:cs="Times New Roman"/>
        </w:rPr>
        <w:t xml:space="preserve">ACCU </w:t>
      </w:r>
      <w:r w:rsidRPr="007B671A">
        <w:rPr>
          <w:rFonts w:eastAsia="Calibri" w:cs="Times New Roman"/>
        </w:rPr>
        <w:t>methods, registers and regulates projects, supports the ERAC and procures ACCUs</w:t>
      </w:r>
      <w:r>
        <w:rPr>
          <w:rFonts w:eastAsia="Calibri" w:cs="Times New Roman"/>
        </w:rPr>
        <w:t>.</w:t>
      </w:r>
    </w:p>
    <w:p w14:paraId="7ED34A9A" w14:textId="1BE8A716" w:rsidR="00BD57E9" w:rsidRPr="007B671A" w:rsidRDefault="00BD57E9" w:rsidP="00BD57E9">
      <w:pPr>
        <w:spacing w:after="0"/>
        <w:rPr>
          <w:rFonts w:eastAsia="Calibri" w:cs="Times New Roman"/>
        </w:rPr>
      </w:pPr>
      <w:r>
        <w:rPr>
          <w:rFonts w:eastAsia="Calibri" w:cs="Times New Roman"/>
        </w:rPr>
        <w:t xml:space="preserve">This brief should be simplified and </w:t>
      </w:r>
      <w:r w:rsidR="00AC1891">
        <w:rPr>
          <w:rFonts w:eastAsia="Calibri" w:cs="Times New Roman"/>
        </w:rPr>
        <w:t>the role of the CER</w:t>
      </w:r>
      <w:r>
        <w:rPr>
          <w:rFonts w:eastAsia="Calibri" w:cs="Times New Roman"/>
        </w:rPr>
        <w:t xml:space="preserve"> clarified:</w:t>
      </w:r>
    </w:p>
    <w:p w14:paraId="2983F1CB" w14:textId="49857727" w:rsidR="00BD57E9" w:rsidRPr="005762A5" w:rsidRDefault="00BD57E9" w:rsidP="00612D33">
      <w:pPr>
        <w:pStyle w:val="ListParagraph"/>
        <w:numPr>
          <w:ilvl w:val="0"/>
          <w:numId w:val="23"/>
        </w:numPr>
      </w:pPr>
      <w:r w:rsidRPr="005762A5">
        <w:rPr>
          <w:rFonts w:eastAsia="Calibri" w:cs="Times New Roman"/>
        </w:rPr>
        <w:t>The ERAC Secretariat should be re-established under the CAIC (</w:t>
      </w:r>
      <w:r w:rsidR="008D62AD" w:rsidRPr="008D62AD">
        <w:rPr>
          <w:rFonts w:eastAsia="Calibri" w:cs="Times New Roman"/>
          <w:b/>
          <w:bCs/>
        </w:rPr>
        <w:t xml:space="preserve">Recommendation </w:t>
      </w:r>
      <w:r w:rsidR="008D62AD">
        <w:rPr>
          <w:rFonts w:eastAsia="Calibri" w:cs="Times New Roman"/>
          <w:b/>
          <w:bCs/>
        </w:rPr>
        <w:t>1</w:t>
      </w:r>
      <w:r w:rsidR="00AB3327" w:rsidRPr="00AB3327">
        <w:rPr>
          <w:rFonts w:eastAsia="Calibri" w:cs="Times New Roman"/>
          <w:b/>
          <w:bCs/>
        </w:rPr>
        <w:fldChar w:fldCharType="begin" w:fldLock="1"/>
      </w:r>
      <w:r w:rsidR="00AB3327" w:rsidRPr="00AB3327">
        <w:rPr>
          <w:rFonts w:eastAsia="Calibri" w:cs="Times New Roman"/>
          <w:b/>
        </w:rPr>
        <w:instrText xml:space="preserve"> REF _Ref122278790 \h </w:instrText>
      </w:r>
      <w:r w:rsidR="00AB3327" w:rsidRPr="00AB3327">
        <w:rPr>
          <w:rFonts w:eastAsia="Calibri" w:cs="Times New Roman"/>
          <w:b/>
          <w:bCs/>
        </w:rPr>
        <w:instrText xml:space="preserve"> \* MERGEFORMAT </w:instrText>
      </w:r>
      <w:r w:rsidR="00AB3327" w:rsidRPr="00AB3327">
        <w:rPr>
          <w:rFonts w:eastAsia="Calibri" w:cs="Times New Roman"/>
          <w:b/>
          <w:bCs/>
        </w:rPr>
      </w:r>
      <w:r w:rsidR="00AB3327" w:rsidRPr="00AB3327">
        <w:rPr>
          <w:rFonts w:eastAsia="Calibri" w:cs="Times New Roman"/>
          <w:b/>
          <w:bCs/>
        </w:rPr>
        <w:fldChar w:fldCharType="end"/>
      </w:r>
      <w:r w:rsidRPr="005762A5">
        <w:rPr>
          <w:rFonts w:eastAsia="Calibri" w:cs="Times New Roman"/>
        </w:rPr>
        <w:t xml:space="preserve">); </w:t>
      </w:r>
    </w:p>
    <w:p w14:paraId="2BBBE497" w14:textId="76EBB6D5" w:rsidR="00BD57E9" w:rsidRPr="005762A5" w:rsidRDefault="005762A5" w:rsidP="00612D33">
      <w:pPr>
        <w:pStyle w:val="ListParagraph"/>
        <w:numPr>
          <w:ilvl w:val="0"/>
          <w:numId w:val="23"/>
        </w:numPr>
      </w:pPr>
      <w:r>
        <w:rPr>
          <w:rFonts w:eastAsia="Calibri" w:cs="Times New Roman"/>
        </w:rPr>
        <w:t>M</w:t>
      </w:r>
      <w:r w:rsidRPr="005762A5">
        <w:rPr>
          <w:rFonts w:eastAsia="Calibri" w:cs="Times New Roman"/>
        </w:rPr>
        <w:t xml:space="preserve">ethod </w:t>
      </w:r>
      <w:r w:rsidR="00BD57E9" w:rsidRPr="005762A5">
        <w:rPr>
          <w:rFonts w:eastAsia="Calibri" w:cs="Times New Roman"/>
        </w:rPr>
        <w:t>development should be led by proponents, with support from the Department (</w:t>
      </w:r>
      <w:r w:rsidR="00BD57E9" w:rsidRPr="005762A5">
        <w:rPr>
          <w:rFonts w:eastAsia="Calibri" w:cs="Times New Roman"/>
          <w:b/>
        </w:rPr>
        <w:t>Recommendation 5</w:t>
      </w:r>
      <w:r w:rsidR="00BD57E9" w:rsidRPr="005762A5">
        <w:rPr>
          <w:rFonts w:eastAsia="Calibri" w:cs="Times New Roman"/>
        </w:rPr>
        <w:t xml:space="preserve">); and </w:t>
      </w:r>
    </w:p>
    <w:p w14:paraId="0AE1FCD2" w14:textId="51062AA2" w:rsidR="00BD57E9" w:rsidRPr="007A660E" w:rsidRDefault="005762A5" w:rsidP="00612D33">
      <w:pPr>
        <w:pStyle w:val="ListParagraph"/>
        <w:numPr>
          <w:ilvl w:val="0"/>
          <w:numId w:val="23"/>
        </w:numPr>
      </w:pPr>
      <w:r>
        <w:rPr>
          <w:rFonts w:eastAsia="Calibri" w:cs="Times New Roman"/>
        </w:rPr>
        <w:t>T</w:t>
      </w:r>
      <w:r w:rsidR="00BD57E9">
        <w:t xml:space="preserve">he purchasing of ACCUs by the Australian Government should become the responsibility of another Australian Government entity. </w:t>
      </w:r>
    </w:p>
    <w:p w14:paraId="72F1B7EC" w14:textId="77777777" w:rsidR="000B1723" w:rsidRDefault="000B1723" w:rsidP="000B1723">
      <w:pPr>
        <w:pStyle w:val="StyleNormalBody"/>
      </w:pPr>
      <w:r w:rsidRPr="00304F7E">
        <w:t>The Panel notes that the CER is described as a risk-based, economic regulator with administrative responsibilities for the CFI Act, among others</w:t>
      </w:r>
      <w:r>
        <w:rPr>
          <w:rStyle w:val="FootnoteReference"/>
        </w:rPr>
        <w:footnoteReference w:id="12"/>
      </w:r>
      <w:r w:rsidRPr="00304F7E">
        <w:t xml:space="preserve">.  </w:t>
      </w:r>
    </w:p>
    <w:p w14:paraId="12F95A66" w14:textId="253D3065" w:rsidR="007B5B1A" w:rsidRPr="00827471" w:rsidRDefault="000B1723" w:rsidP="00827471">
      <w:pPr>
        <w:pStyle w:val="StyleNormalBody"/>
        <w:rPr>
          <w:lang w:val="en-AU"/>
        </w:rPr>
      </w:pPr>
      <w:r w:rsidRPr="00304F7E">
        <w:t>The Panel considers</w:t>
      </w:r>
      <w:r w:rsidR="00540BBF">
        <w:t xml:space="preserve"> that</w:t>
      </w:r>
      <w:r w:rsidRPr="00304F7E">
        <w:t xml:space="preserve"> this narrowly defined scope is inconsistent with the CFI Act, and should </w:t>
      </w:r>
      <w:r w:rsidR="00540BBF">
        <w:t xml:space="preserve">also </w:t>
      </w:r>
      <w:r w:rsidRPr="00304F7E">
        <w:t>reflect the third object of the Act</w:t>
      </w:r>
      <w:r>
        <w:rPr>
          <w:rStyle w:val="FootnoteReference"/>
        </w:rPr>
        <w:footnoteReference w:id="13"/>
      </w:r>
      <w:r w:rsidR="007B5B1A" w:rsidRPr="00BD57E9">
        <w:rPr>
          <w:lang w:val="en-AU"/>
        </w:rPr>
        <w:t>:</w:t>
      </w:r>
      <w:r w:rsidR="00827471">
        <w:rPr>
          <w:lang w:val="en-AU"/>
        </w:rPr>
        <w:t xml:space="preserve"> </w:t>
      </w:r>
      <w:r w:rsidR="007B5B1A" w:rsidRPr="00BD57E9">
        <w:rPr>
          <w:lang w:val="en-AU"/>
        </w:rPr>
        <w:t xml:space="preserve"> </w:t>
      </w:r>
      <w:r w:rsidR="007B5B1A" w:rsidRPr="00DA64C3">
        <w:t>‘…to increase carbon abatement in a manner that (a) is consistent with the protection of Australia’s natural environment; and (b) improves resilience to the effects of climate change’</w:t>
      </w:r>
      <w:r w:rsidR="007B5B1A">
        <w:t>.</w:t>
      </w:r>
    </w:p>
    <w:p w14:paraId="4FDAF1D6" w14:textId="77777777" w:rsidR="001F1827" w:rsidRPr="006E05B8" w:rsidRDefault="001F1827" w:rsidP="006E05B8">
      <w:pPr>
        <w:pStyle w:val="Heading3"/>
      </w:pPr>
      <w:r w:rsidRPr="006E05B8">
        <w:t>Reducing scheme complexity and maximising accessibility</w:t>
      </w:r>
    </w:p>
    <w:p w14:paraId="1D7C7DC1" w14:textId="77777777" w:rsidR="001F1827" w:rsidRPr="00B46EED" w:rsidRDefault="001F1827" w:rsidP="00304F7E">
      <w:pPr>
        <w:pStyle w:val="StyleNormalBody"/>
        <w:rPr>
          <w:noProof/>
        </w:rPr>
      </w:pPr>
      <w:r w:rsidRPr="00B46EED">
        <w:rPr>
          <w:noProof/>
        </w:rPr>
        <w:t>The volume and complexity of the information about the ACCU scheme obscures its intent and complicates the processes underpinning its operation. This introduces a high barrier to entry and fosters inequality of information.</w:t>
      </w:r>
    </w:p>
    <w:p w14:paraId="4BF114E0" w14:textId="77777777" w:rsidR="001F1827" w:rsidRPr="00D41501" w:rsidRDefault="001F1827" w:rsidP="00304F7E">
      <w:pPr>
        <w:pStyle w:val="StyleNormalBody"/>
        <w:rPr>
          <w:noProof/>
        </w:rPr>
      </w:pPr>
      <w:r w:rsidRPr="00B46EED">
        <w:rPr>
          <w:noProof/>
        </w:rPr>
        <w:t xml:space="preserve">Efforts to improve the translation and dissemination of information in a manner both linguistically and culturally appropriate for the audience should be prioritised. </w:t>
      </w:r>
    </w:p>
    <w:p w14:paraId="2B3B1359" w14:textId="699DD506" w:rsidR="001F1827" w:rsidRPr="00116E95" w:rsidRDefault="00C90858" w:rsidP="00116E95">
      <w:pPr>
        <w:pStyle w:val="Heading3"/>
      </w:pPr>
      <w:r>
        <w:t>Public disclosure of rulings of</w:t>
      </w:r>
      <w:r w:rsidR="001F1827" w:rsidRPr="00116E95">
        <w:t xml:space="preserve"> the CER</w:t>
      </w:r>
    </w:p>
    <w:p w14:paraId="1461F887" w14:textId="597F23D4" w:rsidR="001F1827" w:rsidRPr="00304F7E" w:rsidRDefault="001F1827" w:rsidP="00304F7E">
      <w:pPr>
        <w:pStyle w:val="StyleNormalBody"/>
      </w:pPr>
      <w:r w:rsidRPr="00304F7E">
        <w:t xml:space="preserve">The CER should establish procedures and requirements for the public disclosure of precedents and rulings related to the administration of the ACCU scheme in a public registry, </w:t>
      </w:r>
      <w:r w:rsidR="008D428B">
        <w:t>informed by</w:t>
      </w:r>
      <w:r w:rsidRPr="00304F7E">
        <w:t xml:space="preserve"> the ATO’s system of public rulings. </w:t>
      </w:r>
    </w:p>
    <w:p w14:paraId="0D88198E" w14:textId="103D7652" w:rsidR="001F1827" w:rsidRPr="00304F7E" w:rsidRDefault="001F1827" w:rsidP="00304F7E">
      <w:pPr>
        <w:pStyle w:val="StyleNormalBody"/>
      </w:pPr>
      <w:r w:rsidRPr="00304F7E">
        <w:t xml:space="preserve">This should include the rationale </w:t>
      </w:r>
      <w:r w:rsidR="00C20957">
        <w:t>for</w:t>
      </w:r>
      <w:r w:rsidR="00AC1891">
        <w:t>,</w:t>
      </w:r>
      <w:r w:rsidR="00C20957">
        <w:t xml:space="preserve"> </w:t>
      </w:r>
      <w:r w:rsidRPr="00304F7E">
        <w:t>and any relevant information relating to</w:t>
      </w:r>
      <w:r w:rsidR="00C46B51">
        <w:t>,</w:t>
      </w:r>
      <w:r w:rsidRPr="00304F7E">
        <w:t xml:space="preserve"> decisions regarding scheme administration and interpretations of clauses within scheme documentation, subject to reasonable confidentiality constraints.</w:t>
      </w:r>
    </w:p>
    <w:p w14:paraId="39490D24" w14:textId="5C296034" w:rsidR="001F1827" w:rsidRDefault="001F1827" w:rsidP="00304F7E">
      <w:pPr>
        <w:pStyle w:val="StyleNormalBody"/>
      </w:pPr>
      <w:r w:rsidRPr="00304F7E">
        <w:t>This system of public rulings will allow for the efficient dissemination of information and facilitates a common interpretation and understanding of rulings relevant to the numerous parties in the ACCU scheme.</w:t>
      </w:r>
    </w:p>
    <w:p w14:paraId="4289EC87" w14:textId="043B3D5E" w:rsidR="001F1827" w:rsidRDefault="001F1827" w:rsidP="00304F7E">
      <w:pPr>
        <w:pStyle w:val="Heading3"/>
      </w:pPr>
      <w:r w:rsidRPr="00045FCD">
        <w:t xml:space="preserve">Other elements of </w:t>
      </w:r>
      <w:r w:rsidR="0049439F">
        <w:t>the institutional framework</w:t>
      </w:r>
    </w:p>
    <w:p w14:paraId="4043D7B3" w14:textId="597FBA0E" w:rsidR="001F1827" w:rsidRPr="007712B4" w:rsidRDefault="001F1827" w:rsidP="00304F7E">
      <w:pPr>
        <w:pStyle w:val="StyleNormalBody"/>
      </w:pPr>
      <w:r w:rsidRPr="007712B4">
        <w:t xml:space="preserve">The Department of Climate Change, Energy, the Environment and Water will continue to administer the legislation for the ACCU scheme. The Department will have a role in advising proponents on the development of </w:t>
      </w:r>
      <w:r w:rsidR="005762A5" w:rsidRPr="007712B4">
        <w:t>methods and</w:t>
      </w:r>
      <w:r w:rsidRPr="007712B4">
        <w:t xml:space="preserve"> may be a proponent on behalf of the Minister.</w:t>
      </w:r>
    </w:p>
    <w:p w14:paraId="05B6D402" w14:textId="1A824824" w:rsidR="001F1827" w:rsidRPr="007712B4" w:rsidRDefault="001F1827" w:rsidP="00304F7E">
      <w:pPr>
        <w:pStyle w:val="StyleNormalBody"/>
      </w:pPr>
      <w:r w:rsidRPr="007712B4">
        <w:t>The CCA will continue to conduct periodic reviews of the scheme, as required under the CFI Act. The CCA should assess whether the CAIC needs to be a statutory committee or authority, as well as advise the CAIC on various matters as requested.</w:t>
      </w:r>
    </w:p>
    <w:p w14:paraId="2AE0B934" w14:textId="44B91B0E" w:rsidR="00C46DD2" w:rsidRPr="007712B4" w:rsidRDefault="00BF0180" w:rsidP="00304F7E">
      <w:pPr>
        <w:pStyle w:val="StyleNormalBody"/>
      </w:pPr>
      <w:r w:rsidRPr="007712B4">
        <w:lastRenderedPageBreak/>
        <w:t xml:space="preserve">There is a routine process for project assurance and review by scheme auditors. </w:t>
      </w:r>
      <w:r w:rsidR="001F1827" w:rsidRPr="007712B4">
        <w:t xml:space="preserve">Auditors will continue to play a critical part in assessing projects and providing confidence in overall scheme integrity. </w:t>
      </w:r>
    </w:p>
    <w:p w14:paraId="16D62EB2" w14:textId="68EB94C2" w:rsidR="00B83ED1" w:rsidRPr="007712B4" w:rsidRDefault="00B83ED1" w:rsidP="00304F7E">
      <w:pPr>
        <w:pStyle w:val="StyleNormalBody"/>
      </w:pPr>
      <w:r w:rsidRPr="007712B4">
        <w:t>The experience</w:t>
      </w:r>
      <w:r w:rsidR="00C90858">
        <w:t>s</w:t>
      </w:r>
      <w:r w:rsidRPr="007712B4">
        <w:t xml:space="preserve"> and perspective of auditors</w:t>
      </w:r>
      <w:r w:rsidR="001F1827" w:rsidRPr="007712B4">
        <w:t xml:space="preserve"> should be sought to provide input and insight </w:t>
      </w:r>
      <w:r w:rsidR="003A1AFB" w:rsidRPr="007712B4">
        <w:t xml:space="preserve">into continuous improvement of </w:t>
      </w:r>
      <w:r w:rsidR="001304D0">
        <w:t>methods, project regulation and</w:t>
      </w:r>
      <w:r w:rsidR="001F1827" w:rsidRPr="007712B4">
        <w:t xml:space="preserve"> </w:t>
      </w:r>
      <w:r w:rsidR="003A1AFB" w:rsidRPr="007712B4">
        <w:t>scheme</w:t>
      </w:r>
      <w:r w:rsidR="001304D0">
        <w:t xml:space="preserve"> administration</w:t>
      </w:r>
      <w:r w:rsidR="001F1827" w:rsidRPr="007712B4">
        <w:t xml:space="preserve">. </w:t>
      </w:r>
    </w:p>
    <w:p w14:paraId="51F00C5E" w14:textId="1593C8AE" w:rsidR="001F1827" w:rsidRPr="007712B4" w:rsidRDefault="001F1827" w:rsidP="00304F7E">
      <w:pPr>
        <w:pStyle w:val="StyleNormalBody"/>
      </w:pPr>
      <w:r w:rsidRPr="007712B4">
        <w:t xml:space="preserve">The Panel notes </w:t>
      </w:r>
      <w:r w:rsidR="009F71B4">
        <w:t xml:space="preserve">that </w:t>
      </w:r>
      <w:r w:rsidRPr="007712B4">
        <w:t>there is no formal body or certification that recognises an environmental auditor</w:t>
      </w:r>
      <w:r w:rsidR="009F71B4">
        <w:t xml:space="preserve"> for </w:t>
      </w:r>
      <w:r w:rsidR="007C7775">
        <w:t xml:space="preserve">the </w:t>
      </w:r>
      <w:r w:rsidR="009F71B4">
        <w:t xml:space="preserve">purpose of the scheme. </w:t>
      </w:r>
    </w:p>
    <w:p w14:paraId="2281A40B" w14:textId="1185BF77" w:rsidR="004510A5" w:rsidRDefault="001F1827" w:rsidP="00827471">
      <w:pPr>
        <w:pStyle w:val="Heading2"/>
        <w:spacing w:before="240"/>
      </w:pPr>
      <w:bookmarkStart w:id="47" w:name="_Toc121818582"/>
      <w:bookmarkStart w:id="48" w:name="_Toc121817696"/>
      <w:bookmarkStart w:id="49" w:name="_Toc122339747"/>
      <w:bookmarkStart w:id="50" w:name="_Toc122348033"/>
      <w:bookmarkStart w:id="51" w:name="_Toc122359799"/>
      <w:bookmarkStart w:id="52" w:name="_Toc122360780"/>
      <w:bookmarkStart w:id="53" w:name="_Toc122522999"/>
      <w:r w:rsidRPr="00063D8C">
        <w:t>Disclosure provisions and transparency</w:t>
      </w:r>
      <w:bookmarkEnd w:id="47"/>
      <w:bookmarkEnd w:id="48"/>
      <w:bookmarkEnd w:id="49"/>
      <w:bookmarkEnd w:id="50"/>
      <w:bookmarkEnd w:id="51"/>
      <w:bookmarkEnd w:id="52"/>
      <w:bookmarkEnd w:id="53"/>
      <w:r w:rsidRPr="00063D8C">
        <w:t xml:space="preserve"> </w:t>
      </w:r>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6A1167" w14:paraId="06CDC1B9" w14:textId="77777777" w:rsidTr="004510A5">
        <w:trPr>
          <w:trHeight w:val="1353"/>
        </w:trPr>
        <w:tc>
          <w:tcPr>
            <w:tcW w:w="9072" w:type="dxa"/>
            <w:tcBorders>
              <w:top w:val="thinThickLargeGap" w:sz="8" w:space="0" w:color="617E89" w:themeColor="accent1"/>
              <w:left w:val="nil"/>
              <w:bottom w:val="single" w:sz="4" w:space="0" w:color="617E89" w:themeColor="accent1"/>
              <w:right w:val="nil"/>
            </w:tcBorders>
          </w:tcPr>
          <w:p w14:paraId="69F467FC" w14:textId="77777777" w:rsidR="004510A5" w:rsidRDefault="004510A5" w:rsidP="004510A5">
            <w:pPr>
              <w:spacing w:before="80"/>
              <w:rPr>
                <w:b/>
                <w:bCs/>
              </w:rPr>
            </w:pPr>
            <w:r>
              <w:rPr>
                <w:b/>
                <w:bCs/>
              </w:rPr>
              <w:t>Terms of Reference</w:t>
            </w:r>
          </w:p>
          <w:p w14:paraId="604611E6" w14:textId="77777777" w:rsidR="004510A5" w:rsidRDefault="004510A5" w:rsidP="004510A5">
            <w:pPr>
              <w:spacing w:before="80"/>
            </w:pPr>
            <w:r>
              <w:t xml:space="preserve">1(a) </w:t>
            </w:r>
            <w:r w:rsidRPr="00E53037">
              <w:t>Whether scheme governance is appropriate, including:</w:t>
            </w:r>
          </w:p>
          <w:p w14:paraId="7B299F36" w14:textId="5B3A2677" w:rsidR="004510A5" w:rsidRPr="00313C72" w:rsidRDefault="004510A5" w:rsidP="00F54A24">
            <w:pPr>
              <w:pStyle w:val="ListParagraph"/>
              <w:numPr>
                <w:ilvl w:val="0"/>
                <w:numId w:val="5"/>
              </w:numPr>
              <w:spacing w:before="80" w:after="80" w:line="257" w:lineRule="auto"/>
              <w:rPr>
                <w:b/>
                <w:bCs/>
              </w:rPr>
            </w:pPr>
            <w:r>
              <w:t>Whether the scheme has appropriate transparency including whether and how reporting and publication of data could be improved.</w:t>
            </w:r>
          </w:p>
        </w:tc>
      </w:tr>
    </w:tbl>
    <w:p w14:paraId="2D5F9DC7" w14:textId="77777777" w:rsidR="001F1827" w:rsidRPr="0083573C" w:rsidRDefault="001F1827" w:rsidP="001F1827">
      <w:pPr>
        <w:spacing w:line="257" w:lineRule="auto"/>
        <w:rPr>
          <w:sz w:val="2"/>
          <w:szCs w:val="2"/>
        </w:rPr>
      </w:pP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83573C" w14:paraId="23CA3EC4"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0990EECE" w14:textId="0E422356" w:rsidR="0083573C" w:rsidRDefault="00E41D0E" w:rsidP="003F67EC">
            <w:pPr>
              <w:pStyle w:val="Heading4"/>
              <w:outlineLvl w:val="3"/>
              <w:rPr>
                <w:rFonts w:cs="Calibri"/>
                <w:bCs/>
              </w:rPr>
            </w:pPr>
            <w:r w:rsidRPr="00E41D0E">
              <w:rPr>
                <w:rFonts w:cs="Calibri"/>
                <w:bCs/>
              </w:rPr>
              <w:t>Recommendation 4</w:t>
            </w:r>
            <w:r w:rsidR="00D11649">
              <w:rPr>
                <w:rFonts w:cs="Calibri"/>
                <w:bCs/>
              </w:rPr>
              <w:t>.</w:t>
            </w:r>
            <w:r w:rsidRPr="00E41D0E">
              <w:rPr>
                <w:rFonts w:cs="Calibri"/>
                <w:bCs/>
              </w:rPr>
              <w:t xml:space="preserve"> Provisions in the governing legislation should be amended to maximise transparency, data access and data sharing, while enabling protection of privacy and commercial-in-confidence information, to support greater public trust and confidence in scheme arrangements.</w:t>
            </w:r>
          </w:p>
          <w:p w14:paraId="3DBDFC18" w14:textId="2AD4BB6F" w:rsidR="007F0544" w:rsidRPr="007F0544" w:rsidRDefault="00A36D72" w:rsidP="00872D80">
            <w:pPr>
              <w:pStyle w:val="ListParagraph"/>
              <w:numPr>
                <w:ilvl w:val="0"/>
                <w:numId w:val="43"/>
              </w:numPr>
              <w:spacing w:after="0"/>
              <w:contextualSpacing w:val="0"/>
              <w:rPr>
                <w:rFonts w:eastAsia="Calibri" w:cs="Times New Roman"/>
                <w:bCs/>
              </w:rPr>
            </w:pPr>
            <w:r w:rsidRPr="007F0544">
              <w:rPr>
                <w:rFonts w:eastAsia="Calibri" w:cs="Times New Roman"/>
                <w:bCs/>
              </w:rPr>
              <w:t>The default should be that data be made public</w:t>
            </w:r>
            <w:r w:rsidR="00AC1891">
              <w:rPr>
                <w:rFonts w:eastAsia="Calibri" w:cs="Times New Roman"/>
                <w:bCs/>
              </w:rPr>
              <w:t>,</w:t>
            </w:r>
            <w:r w:rsidRPr="007F0544">
              <w:rPr>
                <w:rFonts w:eastAsia="Calibri" w:cs="Times New Roman"/>
                <w:bCs/>
              </w:rPr>
              <w:t xml:space="preserve"> including carbon estimation areas</w:t>
            </w:r>
            <w:r w:rsidR="007F0544" w:rsidRPr="007F0544">
              <w:rPr>
                <w:rFonts w:eastAsia="Calibri" w:cs="Times New Roman"/>
                <w:bCs/>
              </w:rPr>
              <w:t>.</w:t>
            </w:r>
          </w:p>
          <w:p w14:paraId="0D918C91" w14:textId="3C7CF498" w:rsidR="0083573C" w:rsidRPr="007F0544" w:rsidRDefault="00A36D72" w:rsidP="00872D80">
            <w:pPr>
              <w:pStyle w:val="ListParagraph"/>
              <w:numPr>
                <w:ilvl w:val="0"/>
                <w:numId w:val="43"/>
              </w:numPr>
              <w:spacing w:after="0"/>
              <w:ind w:left="714" w:hanging="357"/>
              <w:contextualSpacing w:val="0"/>
              <w:rPr>
                <w:rFonts w:eastAsia="Calibri" w:cs="Times New Roman"/>
              </w:rPr>
            </w:pPr>
            <w:r w:rsidRPr="007F0544">
              <w:rPr>
                <w:rFonts w:eastAsia="Calibri" w:cs="Times New Roman"/>
              </w:rPr>
              <w:t>The government should explore using a national platform to share information and data about the ACCU scheme, in the spirit of continuous improvement.</w:t>
            </w:r>
          </w:p>
        </w:tc>
      </w:tr>
    </w:tbl>
    <w:p w14:paraId="1E7EA934" w14:textId="77777777" w:rsidR="0083573C" w:rsidRPr="0083573C" w:rsidRDefault="0083573C" w:rsidP="001F1827">
      <w:pPr>
        <w:spacing w:line="257" w:lineRule="auto"/>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BC05A0" w14:paraId="679B3D51" w14:textId="77777777" w:rsidTr="004B12AA">
        <w:trPr>
          <w:cnfStyle w:val="100000000000" w:firstRow="1" w:lastRow="0" w:firstColumn="0" w:lastColumn="0" w:oddVBand="0" w:evenVBand="0" w:oddHBand="0"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1C949D39" w14:textId="77777777" w:rsidR="00BC05A0" w:rsidRDefault="00BC05A0" w:rsidP="004507DD">
            <w:pPr>
              <w:pStyle w:val="KeyFindings"/>
              <w:rPr>
                <w:rStyle w:val="IntenseEmphasis"/>
                <w:b w:val="0"/>
                <w:bCs/>
              </w:rPr>
            </w:pPr>
            <w:r w:rsidRPr="00C372CA">
              <w:rPr>
                <w:rStyle w:val="IntenseEmphasis"/>
              </w:rPr>
              <w:t xml:space="preserve">Key findings </w:t>
            </w:r>
          </w:p>
          <w:p w14:paraId="0C605952" w14:textId="77777777" w:rsidR="00BC05A0" w:rsidRPr="0083573C" w:rsidRDefault="00BC05A0" w:rsidP="004507DD">
            <w:pPr>
              <w:spacing w:line="257" w:lineRule="auto"/>
              <w:rPr>
                <w:b w:val="0"/>
                <w:bCs w:val="0"/>
              </w:rPr>
            </w:pPr>
            <w:r w:rsidRPr="0083573C">
              <w:rPr>
                <w:b w:val="0"/>
                <w:bCs w:val="0"/>
              </w:rPr>
              <w:t xml:space="preserve">Current restrictions on data sharing and disclosure in the scheme’s governing legislation go further than required to protect privacy and commercial-in-confidence information, and the blanket nature of these restrictions </w:t>
            </w:r>
            <w:r>
              <w:rPr>
                <w:b w:val="0"/>
                <w:bCs w:val="0"/>
              </w:rPr>
              <w:t>is</w:t>
            </w:r>
            <w:r w:rsidRPr="0083573C">
              <w:rPr>
                <w:b w:val="0"/>
                <w:bCs w:val="0"/>
              </w:rPr>
              <w:t xml:space="preserve"> undermining transparency, trust and confidence in the scheme.</w:t>
            </w:r>
          </w:p>
          <w:p w14:paraId="674F4872" w14:textId="77777777" w:rsidR="00BC05A0" w:rsidRPr="0002178F" w:rsidRDefault="00BC05A0" w:rsidP="004507DD">
            <w:pPr>
              <w:pStyle w:val="StyleNormalBody"/>
              <w:rPr>
                <w:rStyle w:val="Emphasis"/>
                <w:b w:val="0"/>
                <w:bCs w:val="0"/>
                <w:i w:val="0"/>
                <w:iCs w:val="0"/>
              </w:rPr>
            </w:pPr>
            <w:r w:rsidRPr="0083573C">
              <w:rPr>
                <w:b w:val="0"/>
                <w:bCs w:val="0"/>
              </w:rPr>
              <w:t>More transparent data and information sharing arrangements would enable communities and carbon market stakeholders to assess, understand and manage potential project impacts and opportunities more effectively.</w:t>
            </w:r>
          </w:p>
        </w:tc>
      </w:tr>
    </w:tbl>
    <w:p w14:paraId="0593DC3A" w14:textId="15D46E76" w:rsidR="001F1827" w:rsidRPr="00893481" w:rsidRDefault="001F1827" w:rsidP="0083573C">
      <w:pPr>
        <w:pStyle w:val="StyleNormalBody"/>
      </w:pPr>
      <w:r w:rsidRPr="00893481">
        <w:t xml:space="preserve">Transparent decision making, and open management of data and information are important for public trust in government. </w:t>
      </w:r>
    </w:p>
    <w:p w14:paraId="44AB6DB0" w14:textId="2556BF10" w:rsidR="0029213B" w:rsidRPr="00893481" w:rsidRDefault="0029213B" w:rsidP="0083573C">
      <w:pPr>
        <w:pStyle w:val="StyleNormalBody"/>
      </w:pPr>
      <w:r>
        <w:t xml:space="preserve">As stated in the EPBC Act Review: </w:t>
      </w:r>
    </w:p>
    <w:p w14:paraId="147449F5" w14:textId="6617ED10" w:rsidR="001F1827" w:rsidRPr="00996CB9" w:rsidRDefault="0083573C" w:rsidP="00996CB9">
      <w:pPr>
        <w:pStyle w:val="StyleNormalBody"/>
        <w:ind w:left="720"/>
        <w:rPr>
          <w:i/>
          <w:iCs/>
        </w:rPr>
      </w:pPr>
      <w:r w:rsidRPr="00996CB9">
        <w:rPr>
          <w:rStyle w:val="Quote2Char"/>
          <w:i w:val="0"/>
          <w:iCs w:val="0"/>
        </w:rPr>
        <w:t>‘</w:t>
      </w:r>
      <w:r w:rsidR="001F1827" w:rsidRPr="00996CB9">
        <w:rPr>
          <w:i/>
          <w:iCs/>
        </w:rPr>
        <w:t>Decision-makers, proponents and the community do not have access to the best available data, information and science. This results in suboptimal decision-making,</w:t>
      </w:r>
      <w:r w:rsidR="00996CB9" w:rsidRPr="00996CB9">
        <w:rPr>
          <w:i/>
          <w:iCs/>
        </w:rPr>
        <w:t xml:space="preserve"> i</w:t>
      </w:r>
      <w:r w:rsidR="001F1827" w:rsidRPr="00996CB9">
        <w:rPr>
          <w:i/>
          <w:iCs/>
        </w:rPr>
        <w:t>nefficiency, additional cost for business and poor transparency to the community</w:t>
      </w:r>
      <w:r w:rsidR="001F1827" w:rsidRPr="00996CB9">
        <w:rPr>
          <w:i/>
        </w:rPr>
        <w:t>.’</w:t>
      </w:r>
      <w:r w:rsidR="001F1827" w:rsidRPr="00996CB9">
        <w:rPr>
          <w:rStyle w:val="Quote2Char"/>
          <w:i w:val="0"/>
        </w:rPr>
        <w:t xml:space="preserve"> </w:t>
      </w:r>
      <w:r w:rsidR="001F1827" w:rsidRPr="00996CB9">
        <w:rPr>
          <w:rStyle w:val="FootnoteReference"/>
          <w:i/>
        </w:rPr>
        <w:footnoteReference w:id="14"/>
      </w:r>
    </w:p>
    <w:p w14:paraId="4C45E7E9" w14:textId="1A73B6F4" w:rsidR="001F1827" w:rsidRPr="007B671A" w:rsidRDefault="001F1827" w:rsidP="0083573C">
      <w:pPr>
        <w:pStyle w:val="StyleNormalBody"/>
        <w:rPr>
          <w:rFonts w:eastAsia="Calibri" w:cs="Times New Roman"/>
        </w:rPr>
      </w:pPr>
      <w:r w:rsidRPr="007B671A">
        <w:rPr>
          <w:rFonts w:eastAsia="Calibri" w:cs="Times New Roman"/>
        </w:rPr>
        <w:lastRenderedPageBreak/>
        <w:t>In the interest of continuous improvement alone, analysis and critique of any scheme</w:t>
      </w:r>
      <w:r w:rsidR="00834A69">
        <w:rPr>
          <w:rFonts w:eastAsia="Calibri" w:cs="Times New Roman"/>
        </w:rPr>
        <w:t>,</w:t>
      </w:r>
      <w:r w:rsidRPr="007B671A">
        <w:rPr>
          <w:rFonts w:eastAsia="Calibri" w:cs="Times New Roman"/>
        </w:rPr>
        <w:t xml:space="preserve"> including from third parties, should be a normal part of operations. </w:t>
      </w:r>
    </w:p>
    <w:p w14:paraId="30DEC06B" w14:textId="77777777" w:rsidR="001F1827" w:rsidRPr="007B671A" w:rsidRDefault="001F1827" w:rsidP="0083573C">
      <w:pPr>
        <w:pStyle w:val="StyleNormalBody"/>
        <w:rPr>
          <w:rFonts w:eastAsia="Calibri" w:cs="Times New Roman"/>
        </w:rPr>
      </w:pPr>
      <w:r w:rsidRPr="007B671A">
        <w:rPr>
          <w:rFonts w:eastAsia="Calibri" w:cs="Times New Roman"/>
        </w:rPr>
        <w:t xml:space="preserve">The default should be that data be made public. </w:t>
      </w:r>
    </w:p>
    <w:p w14:paraId="6C889C7D" w14:textId="2E477B76" w:rsidR="001F1827" w:rsidRPr="007B671A" w:rsidRDefault="001F1827" w:rsidP="0083573C">
      <w:pPr>
        <w:pStyle w:val="StyleNormalBody"/>
        <w:rPr>
          <w:rFonts w:eastAsia="Calibri" w:cs="Times New Roman"/>
        </w:rPr>
      </w:pPr>
      <w:r w:rsidRPr="007B671A">
        <w:rPr>
          <w:rFonts w:eastAsia="Calibri" w:cs="Times New Roman"/>
        </w:rPr>
        <w:t xml:space="preserve">The question of confidence in this scheme is sharpened because of </w:t>
      </w:r>
      <w:r w:rsidR="00AC1891">
        <w:rPr>
          <w:rFonts w:eastAsia="Calibri" w:cs="Times New Roman"/>
        </w:rPr>
        <w:t xml:space="preserve">existing </w:t>
      </w:r>
      <w:r w:rsidRPr="007B671A">
        <w:rPr>
          <w:rFonts w:eastAsia="Calibri" w:cs="Times New Roman"/>
        </w:rPr>
        <w:t>privacy provisions in the governing legislation. Third parties have not been able to access the same data as either the CER or ERAC. That is well illustrated by public</w:t>
      </w:r>
      <w:r w:rsidR="00834A69">
        <w:rPr>
          <w:rFonts w:eastAsia="Calibri" w:cs="Times New Roman"/>
        </w:rPr>
        <w:t>ly debated</w:t>
      </w:r>
      <w:r w:rsidRPr="007B671A">
        <w:rPr>
          <w:rFonts w:eastAsia="Calibri" w:cs="Times New Roman"/>
        </w:rPr>
        <w:t xml:space="preserve"> differences</w:t>
      </w:r>
      <w:r w:rsidR="00834A69">
        <w:rPr>
          <w:rFonts w:eastAsia="Calibri" w:cs="Times New Roman"/>
        </w:rPr>
        <w:t>.</w:t>
      </w:r>
    </w:p>
    <w:p w14:paraId="4FE85C86" w14:textId="77777777" w:rsidR="001F1827" w:rsidRPr="00893481" w:rsidRDefault="001F1827" w:rsidP="0083573C">
      <w:pPr>
        <w:pStyle w:val="StyleNormalBody"/>
      </w:pPr>
      <w:r w:rsidRPr="00893481">
        <w:t xml:space="preserve">The CER is bound by privacy and disclosure provisions of the </w:t>
      </w:r>
      <w:r w:rsidRPr="00831AA2">
        <w:rPr>
          <w:i/>
        </w:rPr>
        <w:t>Clean Energy Regulator Act 2011</w:t>
      </w:r>
      <w:r w:rsidRPr="00893481">
        <w:t xml:space="preserve"> (CER Act) with regard to information collected in the course of scheme administration, as well as the </w:t>
      </w:r>
      <w:r w:rsidRPr="00893481">
        <w:rPr>
          <w:i/>
          <w:iCs/>
        </w:rPr>
        <w:t>Privacy Act 1988</w:t>
      </w:r>
      <w:r w:rsidRPr="00893481">
        <w:t xml:space="preserve"> with regard to personal information.</w:t>
      </w:r>
    </w:p>
    <w:p w14:paraId="22BBFFE6" w14:textId="77777777" w:rsidR="00CE56DA" w:rsidRPr="00CE56DA" w:rsidRDefault="001F1827" w:rsidP="00CE56DA">
      <w:pPr>
        <w:pStyle w:val="Normalsmall"/>
        <w:spacing w:line="240" w:lineRule="auto"/>
        <w:rPr>
          <w:sz w:val="22"/>
        </w:rPr>
      </w:pPr>
      <w:r w:rsidRPr="00CE56DA">
        <w:rPr>
          <w:sz w:val="22"/>
        </w:rPr>
        <w:t xml:space="preserve">Under the CER Act (Part 3), all information collected (on or after 2 April 2012) by a person in their capacity as an official of the Regulator that relates to the affairs of a person is defined as ‘protected information’. </w:t>
      </w:r>
    </w:p>
    <w:p w14:paraId="463D7832" w14:textId="6D5A295F" w:rsidR="001F1827" w:rsidRPr="00CE56DA" w:rsidRDefault="001F1827" w:rsidP="00CE56DA">
      <w:pPr>
        <w:pStyle w:val="Normalsmall"/>
        <w:spacing w:line="240" w:lineRule="auto"/>
        <w:rPr>
          <w:sz w:val="22"/>
        </w:rPr>
      </w:pPr>
      <w:r w:rsidRPr="00CE56DA">
        <w:rPr>
          <w:sz w:val="22"/>
        </w:rPr>
        <w:t>Unlawfully disclosing or using protected i</w:t>
      </w:r>
      <w:r w:rsidR="00CE56DA" w:rsidRPr="00CE56DA">
        <w:rPr>
          <w:sz w:val="22"/>
        </w:rPr>
        <w:t xml:space="preserve">nformation is a serious offence. </w:t>
      </w:r>
      <w:r w:rsidR="00613DEA">
        <w:rPr>
          <w:sz w:val="22"/>
        </w:rPr>
        <w:t>The privacy</w:t>
      </w:r>
      <w:r>
        <w:rPr>
          <w:sz w:val="22"/>
        </w:rPr>
        <w:t xml:space="preserve"> </w:t>
      </w:r>
      <w:r w:rsidRPr="00CE56DA">
        <w:rPr>
          <w:rFonts w:eastAsia="Calibri" w:cs="Times New Roman"/>
          <w:sz w:val="22"/>
        </w:rPr>
        <w:t>provisions prevent the CER from publishing carbon estimation areas (CEAs) as they fall under the definition of protected information</w:t>
      </w:r>
      <w:r w:rsidRPr="00CE56DA">
        <w:rPr>
          <w:rFonts w:eastAsia="Calibri" w:cs="Times New Roman"/>
          <w:sz w:val="22"/>
          <w:vertAlign w:val="superscript"/>
        </w:rPr>
        <w:footnoteReference w:id="15"/>
      </w:r>
      <w:r w:rsidRPr="00CE56DA">
        <w:rPr>
          <w:rFonts w:eastAsia="Calibri" w:cs="Times New Roman"/>
          <w:sz w:val="22"/>
        </w:rPr>
        <w:t xml:space="preserve">. </w:t>
      </w:r>
    </w:p>
    <w:p w14:paraId="3F38F58C" w14:textId="77777777" w:rsidR="001F1827" w:rsidRPr="007B671A" w:rsidRDefault="001F1827" w:rsidP="001F1827">
      <w:pPr>
        <w:spacing w:after="0"/>
        <w:rPr>
          <w:rFonts w:eastAsia="Calibri" w:cs="Times New Roman"/>
        </w:rPr>
      </w:pPr>
      <w:r w:rsidRPr="007B671A">
        <w:rPr>
          <w:rFonts w:eastAsia="Calibri" w:cs="Times New Roman"/>
        </w:rPr>
        <w:t>This provision was intended to protect commercial-in-confidence information. Commercial-in-confidence restrictions may be necessary sometimes, but the CER should be empowered to determine when. A blanket provision arguably hinders rather than enhances the scheme.</w:t>
      </w:r>
    </w:p>
    <w:p w14:paraId="0730DE78" w14:textId="2EBD565B" w:rsidR="001F1827" w:rsidRPr="00190C4E" w:rsidRDefault="00777D0F" w:rsidP="001F1827">
      <w:pPr>
        <w:spacing w:after="0"/>
        <w:rPr>
          <w:lang w:val="en-GB" w:eastAsia="en-GB"/>
        </w:rPr>
      </w:pPr>
      <w:r>
        <w:rPr>
          <w:rFonts w:eastAsia="Calibri" w:cs="Times New Roman"/>
        </w:rPr>
        <w:t>The Panel notes that i</w:t>
      </w:r>
      <w:r w:rsidR="001F1827" w:rsidRPr="00190C4E">
        <w:rPr>
          <w:rFonts w:eastAsia="Calibri" w:cs="Times New Roman"/>
        </w:rPr>
        <w:t xml:space="preserve">n its </w:t>
      </w:r>
      <w:r w:rsidR="001F1827" w:rsidRPr="00190C4E">
        <w:rPr>
          <w:lang w:val="en-GB" w:eastAsia="en-GB"/>
        </w:rPr>
        <w:t>Nature Positive Plan</w:t>
      </w:r>
      <w:r w:rsidR="001F1827" w:rsidRPr="00190C4E">
        <w:rPr>
          <w:rStyle w:val="FootnoteReference"/>
          <w:lang w:val="en-GB" w:eastAsia="en-GB"/>
        </w:rPr>
        <w:footnoteReference w:id="16"/>
      </w:r>
      <w:r w:rsidR="001F1827" w:rsidRPr="00190C4E">
        <w:rPr>
          <w:lang w:val="en-GB" w:eastAsia="en-GB"/>
        </w:rPr>
        <w:t xml:space="preserve">, </w:t>
      </w:r>
      <w:r w:rsidR="001F1827" w:rsidRPr="00190C4E">
        <w:rPr>
          <w:rFonts w:eastAsia="Calibri" w:cs="Times New Roman"/>
        </w:rPr>
        <w:t xml:space="preserve">the Australian Government commits to establishing a </w:t>
      </w:r>
      <w:r w:rsidR="001F1827" w:rsidRPr="00190C4E">
        <w:rPr>
          <w:lang w:val="en-GB" w:eastAsia="en-GB"/>
        </w:rPr>
        <w:t xml:space="preserve">platform for environmental information held by different organisations and governments. </w:t>
      </w:r>
    </w:p>
    <w:p w14:paraId="5A1199D9" w14:textId="3D308325" w:rsidR="001018CB" w:rsidRPr="004B12AA" w:rsidRDefault="001F1827" w:rsidP="004B12AA">
      <w:pPr>
        <w:rPr>
          <w:rStyle w:val="Emphasis"/>
          <w:rFonts w:ascii="Calibri" w:hAnsi="Calibri" w:cs="Calibri"/>
          <w:bCs/>
          <w:i w:val="0"/>
          <w:iCs w:val="0"/>
        </w:rPr>
      </w:pPr>
      <w:r w:rsidRPr="00A75FB4">
        <w:rPr>
          <w:rFonts w:eastAsia="Calibri" w:cs="Times New Roman"/>
        </w:rPr>
        <w:t>The</w:t>
      </w:r>
      <w:r w:rsidR="00EF2E3F" w:rsidRPr="00A75FB4">
        <w:rPr>
          <w:rFonts w:eastAsia="Calibri" w:cs="Times New Roman"/>
        </w:rPr>
        <w:t xml:space="preserve"> </w:t>
      </w:r>
      <w:r w:rsidR="008D03B7" w:rsidRPr="00A75FB4">
        <w:rPr>
          <w:rFonts w:eastAsia="Calibri" w:cs="Times New Roman"/>
        </w:rPr>
        <w:t>g</w:t>
      </w:r>
      <w:r w:rsidRPr="00A75FB4">
        <w:rPr>
          <w:rFonts w:eastAsia="Calibri" w:cs="Times New Roman"/>
        </w:rPr>
        <w:t xml:space="preserve">overnment should explore using </w:t>
      </w:r>
      <w:r>
        <w:rPr>
          <w:rFonts w:eastAsia="Calibri" w:cs="Times New Roman"/>
        </w:rPr>
        <w:t xml:space="preserve">this </w:t>
      </w:r>
      <w:r w:rsidR="00A75FB4">
        <w:rPr>
          <w:rFonts w:eastAsia="Calibri" w:cs="Times New Roman"/>
          <w:bCs/>
        </w:rPr>
        <w:t xml:space="preserve">or a similar </w:t>
      </w:r>
      <w:r w:rsidRPr="00A75FB4">
        <w:rPr>
          <w:rFonts w:eastAsia="Calibri" w:cs="Times New Roman"/>
        </w:rPr>
        <w:t>platform to share information and data about the ACCU scheme held by different parties</w:t>
      </w:r>
      <w:r w:rsidR="00E0180F">
        <w:rPr>
          <w:rFonts w:eastAsia="Calibri" w:cs="Times New Roman"/>
        </w:rPr>
        <w:t>,</w:t>
      </w:r>
      <w:r w:rsidRPr="00A75FB4">
        <w:rPr>
          <w:rFonts w:eastAsia="Calibri" w:cs="Times New Roman"/>
        </w:rPr>
        <w:t xml:space="preserve"> including the CER, states and territories, and carbon service providers</w:t>
      </w:r>
      <w:r>
        <w:rPr>
          <w:rFonts w:eastAsia="Calibri" w:cs="Times New Roman"/>
        </w:rPr>
        <w:t>.</w:t>
      </w:r>
      <w:r w:rsidR="001018CB">
        <w:rPr>
          <w:rStyle w:val="Emphasis"/>
          <w:b/>
          <w:bCs/>
          <w:i w:val="0"/>
          <w:iCs w:val="0"/>
          <w:color w:val="1F497D"/>
          <w:sz w:val="25"/>
          <w:szCs w:val="25"/>
        </w:rPr>
        <w:br w:type="page"/>
      </w:r>
    </w:p>
    <w:p w14:paraId="54698F05" w14:textId="56F54C52" w:rsidR="0048557F" w:rsidRDefault="001018CB" w:rsidP="00875DF4">
      <w:pPr>
        <w:pStyle w:val="Heading1"/>
      </w:pPr>
      <w:bookmarkStart w:id="54" w:name="_Toc121818583"/>
      <w:bookmarkStart w:id="55" w:name="_Toc121817697"/>
      <w:bookmarkStart w:id="56" w:name="_Toc122339748"/>
      <w:bookmarkStart w:id="57" w:name="_Toc122348034"/>
      <w:bookmarkStart w:id="58" w:name="_Toc122359800"/>
      <w:bookmarkStart w:id="59" w:name="_Toc122360781"/>
      <w:bookmarkStart w:id="60" w:name="_Toc122523000"/>
      <w:r w:rsidRPr="00590ADD">
        <w:lastRenderedPageBreak/>
        <w:t xml:space="preserve">Part </w:t>
      </w:r>
      <w:r w:rsidR="00D71BBD">
        <w:t>3</w:t>
      </w:r>
      <w:r w:rsidRPr="00590ADD">
        <w:t>. Method development and review</w:t>
      </w:r>
      <w:bookmarkEnd w:id="54"/>
      <w:bookmarkEnd w:id="55"/>
      <w:bookmarkEnd w:id="56"/>
      <w:bookmarkEnd w:id="57"/>
      <w:bookmarkEnd w:id="58"/>
      <w:bookmarkEnd w:id="59"/>
      <w:bookmarkEnd w:id="60"/>
      <w:r w:rsidRPr="00590ADD">
        <w:t xml:space="preserve"> </w:t>
      </w:r>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6A1167" w14:paraId="11111D0C" w14:textId="77777777" w:rsidTr="003F67EC">
        <w:trPr>
          <w:trHeight w:val="1353"/>
        </w:trPr>
        <w:tc>
          <w:tcPr>
            <w:tcW w:w="9072" w:type="dxa"/>
            <w:tcBorders>
              <w:top w:val="thinThickLargeGap" w:sz="8" w:space="0" w:color="617E89" w:themeColor="accent1"/>
              <w:left w:val="nil"/>
              <w:bottom w:val="single" w:sz="4" w:space="0" w:color="617E89" w:themeColor="accent1"/>
              <w:right w:val="nil"/>
            </w:tcBorders>
          </w:tcPr>
          <w:p w14:paraId="5592D641" w14:textId="77777777" w:rsidR="0048557F" w:rsidRDefault="0048557F" w:rsidP="0048557F">
            <w:pPr>
              <w:spacing w:before="80"/>
              <w:rPr>
                <w:b/>
                <w:bCs/>
              </w:rPr>
            </w:pPr>
            <w:r>
              <w:rPr>
                <w:b/>
                <w:bCs/>
              </w:rPr>
              <w:t>Terms of Reference</w:t>
            </w:r>
          </w:p>
          <w:p w14:paraId="7D325D64" w14:textId="23EF7C1F" w:rsidR="0048557F" w:rsidRDefault="0048557F" w:rsidP="0048557F">
            <w:pPr>
              <w:spacing w:before="80"/>
            </w:pPr>
            <w:r>
              <w:t xml:space="preserve">1(b). Whether the methods by which ACCUs are generated meet the </w:t>
            </w:r>
            <w:r w:rsidR="006E2369">
              <w:t>O</w:t>
            </w:r>
            <w:r>
              <w:t xml:space="preserve">ffsets </w:t>
            </w:r>
            <w:r w:rsidR="006E2369">
              <w:t>I</w:t>
            </w:r>
            <w:r>
              <w:t xml:space="preserve">ntegrity </w:t>
            </w:r>
            <w:r w:rsidR="006E2369">
              <w:t>S</w:t>
            </w:r>
            <w:r>
              <w:t xml:space="preserve">tandards, including: </w:t>
            </w:r>
          </w:p>
          <w:p w14:paraId="2E9B2617" w14:textId="1035C71B" w:rsidR="0048557F" w:rsidRDefault="0048557F" w:rsidP="00612D33">
            <w:pPr>
              <w:pStyle w:val="ListParagraph"/>
              <w:numPr>
                <w:ilvl w:val="0"/>
                <w:numId w:val="26"/>
              </w:numPr>
              <w:spacing w:before="80" w:after="80" w:line="257" w:lineRule="auto"/>
              <w:contextualSpacing w:val="0"/>
              <w:rPr>
                <w:b/>
                <w:bCs/>
              </w:rPr>
            </w:pPr>
            <w:r w:rsidRPr="005D2E18">
              <w:t xml:space="preserve">Whether </w:t>
            </w:r>
            <w:r>
              <w:t>method development and review processes are appropriate and effective.</w:t>
            </w:r>
          </w:p>
        </w:tc>
      </w:tr>
    </w:tbl>
    <w:p w14:paraId="666A5DB0" w14:textId="207A3A51" w:rsidR="001018CB" w:rsidRPr="00C407A0" w:rsidRDefault="001018CB" w:rsidP="001018CB">
      <w:pPr>
        <w:spacing w:before="240" w:line="257" w:lineRule="auto"/>
        <w:rPr>
          <w:sz w:val="2"/>
          <w:szCs w:val="2"/>
        </w:rPr>
      </w:pP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C407A0" w14:paraId="702B5049"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66843E8B" w14:textId="6EB7C469" w:rsidR="00D27790" w:rsidRDefault="00D27790" w:rsidP="00D27790">
            <w:pPr>
              <w:spacing w:line="259" w:lineRule="auto"/>
              <w:rPr>
                <w:rFonts w:cs="Calibri"/>
                <w:bCs/>
              </w:rPr>
            </w:pPr>
            <w:r w:rsidRPr="006E3361">
              <w:rPr>
                <w:rStyle w:val="Heading4Char"/>
              </w:rPr>
              <w:t xml:space="preserve">Recommendation 5. </w:t>
            </w:r>
            <w:r w:rsidR="00867B10" w:rsidRPr="006E3361">
              <w:rPr>
                <w:rStyle w:val="Heading4Char"/>
              </w:rPr>
              <w:t>E</w:t>
            </w:r>
            <w:r w:rsidRPr="006E3361">
              <w:rPr>
                <w:rStyle w:val="Heading4Char"/>
              </w:rPr>
              <w:t>stablish a transparent proponent-led process for developing and modifying methods</w:t>
            </w:r>
            <w:r w:rsidR="00705546" w:rsidRPr="006E3361">
              <w:rPr>
                <w:rStyle w:val="Heading4Char"/>
              </w:rPr>
              <w:t xml:space="preserve"> as soon as practicable</w:t>
            </w:r>
            <w:r w:rsidRPr="006E3361">
              <w:rPr>
                <w:rStyle w:val="Heading4Char"/>
              </w:rPr>
              <w:t xml:space="preserve">, with the CAIC assuring the integrity of methods and the Department providing support for participants </w:t>
            </w:r>
            <w:r w:rsidR="00660203" w:rsidRPr="006E3361">
              <w:rPr>
                <w:rStyle w:val="Heading4Char"/>
              </w:rPr>
              <w:t>who</w:t>
            </w:r>
            <w:r w:rsidRPr="006E3361">
              <w:rPr>
                <w:rStyle w:val="Heading4Char"/>
              </w:rPr>
              <w:t xml:space="preserve"> otherwise may </w:t>
            </w:r>
            <w:r w:rsidR="00867B10" w:rsidRPr="006E3361">
              <w:rPr>
                <w:rStyle w:val="Heading4Char"/>
              </w:rPr>
              <w:t>not be able to participate</w:t>
            </w:r>
            <w:r w:rsidRPr="0009239E">
              <w:rPr>
                <w:rFonts w:cs="Calibri"/>
                <w:b/>
              </w:rPr>
              <w:t>:</w:t>
            </w:r>
          </w:p>
          <w:p w14:paraId="7A60372E" w14:textId="11392749" w:rsidR="00D27790" w:rsidRDefault="00D27790" w:rsidP="00D27790">
            <w:pPr>
              <w:pStyle w:val="List5"/>
            </w:pPr>
            <w:r w:rsidRPr="003A03D5">
              <w:rPr>
                <w:b/>
                <w:bCs w:val="0"/>
              </w:rPr>
              <w:t>5.1</w:t>
            </w:r>
            <w:r w:rsidRPr="003477F1">
              <w:tab/>
              <w:t>Repl</w:t>
            </w:r>
            <w:r>
              <w:t>a</w:t>
            </w:r>
            <w:r w:rsidRPr="003477F1">
              <w:t xml:space="preserve">ce </w:t>
            </w:r>
            <w:r>
              <w:t>current priority setting process with an open EOI process, with the CAIC involved in setting priorities for method endorsement and approval. The Minister may nominate priorities but is not required to do so</w:t>
            </w:r>
            <w:r w:rsidR="001173AC">
              <w:t>.</w:t>
            </w:r>
          </w:p>
          <w:p w14:paraId="3A617344" w14:textId="77777777" w:rsidR="00044C89" w:rsidRDefault="00D27790" w:rsidP="00872D80">
            <w:pPr>
              <w:pStyle w:val="List5"/>
              <w:numPr>
                <w:ilvl w:val="1"/>
                <w:numId w:val="44"/>
              </w:numPr>
            </w:pPr>
            <w:r w:rsidRPr="005D053A">
              <w:t>The Minister is not obliged to approve any method.</w:t>
            </w:r>
          </w:p>
          <w:p w14:paraId="3D6ECB5B" w14:textId="15D6AF4D" w:rsidR="00C2696B" w:rsidRDefault="00C2696B" w:rsidP="00872D80">
            <w:pPr>
              <w:pStyle w:val="List5"/>
              <w:numPr>
                <w:ilvl w:val="2"/>
                <w:numId w:val="44"/>
              </w:numPr>
            </w:pPr>
            <w:r w:rsidRPr="00C2696B">
              <w:rPr>
                <w:bCs w:val="0"/>
              </w:rPr>
              <w:t>The Minister</w:t>
            </w:r>
            <w:r>
              <w:rPr>
                <w:bCs w:val="0"/>
              </w:rPr>
              <w:t xml:space="preserve"> </w:t>
            </w:r>
            <w:r w:rsidR="001E3C35">
              <w:t>m</w:t>
            </w:r>
            <w:r w:rsidR="00D27790" w:rsidRPr="005D053A">
              <w:t xml:space="preserve">ay only </w:t>
            </w:r>
            <w:r w:rsidR="001E3C35">
              <w:t>make or vary methods which have been</w:t>
            </w:r>
            <w:r w:rsidR="00D27790" w:rsidRPr="005D053A">
              <w:t xml:space="preserve"> endorsed by the CAIC. </w:t>
            </w:r>
          </w:p>
          <w:p w14:paraId="0A9EDA3F" w14:textId="72E944C5" w:rsidR="00D27790" w:rsidRPr="005D053A" w:rsidRDefault="001F3D55" w:rsidP="00872D80">
            <w:pPr>
              <w:pStyle w:val="List5"/>
              <w:numPr>
                <w:ilvl w:val="2"/>
                <w:numId w:val="44"/>
              </w:numPr>
            </w:pPr>
            <w:r>
              <w:t xml:space="preserve">Before making </w:t>
            </w:r>
            <w:r w:rsidR="00C2696B">
              <w:t xml:space="preserve">or varying </w:t>
            </w:r>
            <w:r>
              <w:t xml:space="preserve">a method, the Minister must be satisfied that it complies with the </w:t>
            </w:r>
            <w:r w:rsidR="00CE1CDE">
              <w:t>O</w:t>
            </w:r>
            <w:r>
              <w:t xml:space="preserve">ffsets </w:t>
            </w:r>
            <w:r w:rsidR="00CE1CDE">
              <w:t>I</w:t>
            </w:r>
            <w:r>
              <w:t xml:space="preserve">ntegrity </w:t>
            </w:r>
            <w:r w:rsidR="00CE1CDE">
              <w:t>S</w:t>
            </w:r>
            <w:r>
              <w:t>tandards</w:t>
            </w:r>
            <w:r w:rsidR="00401F4D">
              <w:t xml:space="preserve"> (OIS)</w:t>
            </w:r>
            <w:r w:rsidR="00CE1CDE">
              <w:t xml:space="preserve"> and ACCU </w:t>
            </w:r>
            <w:r w:rsidR="00055B04">
              <w:t>Scheme P</w:t>
            </w:r>
            <w:r w:rsidR="00CE1CDE">
              <w:t>rinciples</w:t>
            </w:r>
            <w:r>
              <w:t>.</w:t>
            </w:r>
          </w:p>
          <w:p w14:paraId="071E763F" w14:textId="603D981F" w:rsidR="00C2696B" w:rsidRPr="00C86341" w:rsidRDefault="00C2696B" w:rsidP="00C2696B">
            <w:pPr>
              <w:pStyle w:val="List5"/>
            </w:pPr>
            <w:r w:rsidRPr="005D4910">
              <w:rPr>
                <w:b/>
              </w:rPr>
              <w:t>5.</w:t>
            </w:r>
            <w:r w:rsidR="00035EE9" w:rsidRPr="005D4910">
              <w:rPr>
                <w:b/>
              </w:rPr>
              <w:t>3</w:t>
            </w:r>
            <w:r w:rsidRPr="00C86341">
              <w:t xml:space="preserve"> </w:t>
            </w:r>
            <w:r w:rsidRPr="00C86341">
              <w:tab/>
              <w:t xml:space="preserve">The CAIC must </w:t>
            </w:r>
            <w:r w:rsidR="00C86341" w:rsidRPr="00C86341">
              <w:t>only</w:t>
            </w:r>
            <w:r w:rsidRPr="00C86341">
              <w:t xml:space="preserve"> endorse a method </w:t>
            </w:r>
            <w:r w:rsidR="00C86341" w:rsidRPr="00C86341">
              <w:t>if</w:t>
            </w:r>
            <w:r w:rsidRPr="00C86341">
              <w:t xml:space="preserve"> it is satisfied that</w:t>
            </w:r>
            <w:r>
              <w:t xml:space="preserve"> </w:t>
            </w:r>
            <w:r w:rsidR="00EF22C5">
              <w:t xml:space="preserve">it </w:t>
            </w:r>
            <w:r>
              <w:t>compl</w:t>
            </w:r>
            <w:r w:rsidR="00C86341">
              <w:t>ies</w:t>
            </w:r>
            <w:r>
              <w:t xml:space="preserve"> with the </w:t>
            </w:r>
            <w:r w:rsidR="00401F4D">
              <w:t xml:space="preserve">OIS. </w:t>
            </w:r>
            <w:r w:rsidRPr="00C86341">
              <w:t xml:space="preserve"> </w:t>
            </w:r>
          </w:p>
          <w:p w14:paraId="0B2758FD" w14:textId="1B3B6A13" w:rsidR="00D27790" w:rsidRDefault="00D27790" w:rsidP="00D27790">
            <w:pPr>
              <w:pStyle w:val="List5"/>
            </w:pPr>
            <w:r w:rsidRPr="003A03D5">
              <w:rPr>
                <w:b/>
                <w:bCs w:val="0"/>
              </w:rPr>
              <w:t>5.4</w:t>
            </w:r>
            <w:r>
              <w:t xml:space="preserve"> The Minister and the CAIC must publish reasons for recommendations and for decisions</w:t>
            </w:r>
            <w:r w:rsidR="00C86341">
              <w:t>.</w:t>
            </w:r>
          </w:p>
          <w:p w14:paraId="7F8D9AED" w14:textId="7780D6B4" w:rsidR="00D27790" w:rsidRDefault="00D27790" w:rsidP="00D27790">
            <w:pPr>
              <w:pStyle w:val="List5"/>
            </w:pPr>
            <w:r w:rsidRPr="003A03D5">
              <w:rPr>
                <w:b/>
                <w:bCs w:val="0"/>
              </w:rPr>
              <w:t>5.5</w:t>
            </w:r>
            <w:r w:rsidRPr="003A03D5">
              <w:rPr>
                <w:b/>
                <w:bCs w:val="0"/>
              </w:rPr>
              <w:tab/>
            </w:r>
            <w:r>
              <w:t xml:space="preserve">The Department should </w:t>
            </w:r>
            <w:r w:rsidRPr="002F181B">
              <w:t xml:space="preserve">support </w:t>
            </w:r>
            <w:r>
              <w:t>method development, including supporting community and NGO participation</w:t>
            </w:r>
            <w:r w:rsidRPr="002F181B">
              <w:t xml:space="preserve">. </w:t>
            </w:r>
            <w:r>
              <w:t xml:space="preserve">Support </w:t>
            </w:r>
            <w:r w:rsidRPr="002F181B">
              <w:t xml:space="preserve">could include allocation of staff resources, grants </w:t>
            </w:r>
            <w:r>
              <w:t>and other mechanisms</w:t>
            </w:r>
            <w:r w:rsidR="00C86341">
              <w:t>.</w:t>
            </w:r>
            <w:r>
              <w:t xml:space="preserve"> </w:t>
            </w:r>
          </w:p>
          <w:p w14:paraId="64AB668A" w14:textId="37E35057" w:rsidR="0064535B" w:rsidRDefault="00660203" w:rsidP="00612D33">
            <w:pPr>
              <w:pStyle w:val="List5"/>
              <w:numPr>
                <w:ilvl w:val="0"/>
                <w:numId w:val="20"/>
              </w:numPr>
            </w:pPr>
            <w:r>
              <w:t>The</w:t>
            </w:r>
            <w:r w:rsidR="00D27790">
              <w:t xml:space="preserve"> proposed process </w:t>
            </w:r>
            <w:r>
              <w:t xml:space="preserve">should apply </w:t>
            </w:r>
            <w:r w:rsidR="00D27790">
              <w:t>to methods currently in development.</w:t>
            </w:r>
          </w:p>
          <w:p w14:paraId="3027566D" w14:textId="0813129F" w:rsidR="00C407A0" w:rsidRPr="00D27790" w:rsidRDefault="00D9300B" w:rsidP="00612D33">
            <w:pPr>
              <w:pStyle w:val="List5"/>
              <w:numPr>
                <w:ilvl w:val="0"/>
                <w:numId w:val="20"/>
              </w:numPr>
            </w:pPr>
            <w:r w:rsidRPr="00D9300B">
              <w:t>Until the CAIC is established, the Department should develop a framework for proponents to follow when proposing and developing methods and modifications.</w:t>
            </w:r>
          </w:p>
        </w:tc>
      </w:tr>
    </w:tbl>
    <w:p w14:paraId="5DC1F332" w14:textId="1A98EBC9" w:rsidR="00F54CCC" w:rsidRDefault="00F54CCC" w:rsidP="00F54CCC">
      <w:pPr>
        <w:pStyle w:val="StyleNormalBody"/>
      </w:pPr>
      <w:bookmarkStart w:id="61" w:name="_Toc121818584"/>
      <w:bookmarkStart w:id="62" w:name="_Toc121817698"/>
      <w:bookmarkStart w:id="63" w:name="_Toc122339749"/>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F54CCC" w14:paraId="16B0165E"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712789C8" w14:textId="77777777" w:rsidR="00F54CCC" w:rsidRDefault="00F54CCC" w:rsidP="004507DD">
            <w:pPr>
              <w:pStyle w:val="KeyFindings"/>
              <w:rPr>
                <w:rStyle w:val="IntenseEmphasis"/>
                <w:b w:val="0"/>
                <w:bCs/>
              </w:rPr>
            </w:pPr>
            <w:r w:rsidRPr="00C372CA">
              <w:rPr>
                <w:rStyle w:val="IntenseEmphasis"/>
              </w:rPr>
              <w:lastRenderedPageBreak/>
              <w:t xml:space="preserve">Key findings </w:t>
            </w:r>
          </w:p>
          <w:p w14:paraId="178C1AD8" w14:textId="77777777" w:rsidR="00F54CCC" w:rsidRPr="00F54CCC" w:rsidRDefault="00F54CCC" w:rsidP="00F54CCC">
            <w:pPr>
              <w:pStyle w:val="StyleNormalBody"/>
              <w:rPr>
                <w:b w:val="0"/>
                <w:bCs w:val="0"/>
                <w:lang w:val="en-AU"/>
              </w:rPr>
            </w:pPr>
            <w:r w:rsidRPr="00F54CCC">
              <w:rPr>
                <w:b w:val="0"/>
                <w:bCs w:val="0"/>
                <w:lang w:val="en-AU"/>
              </w:rPr>
              <w:t>It is important to provide incentives for all emissions reduction options.</w:t>
            </w:r>
          </w:p>
          <w:p w14:paraId="7A428502" w14:textId="77777777" w:rsidR="009941E6" w:rsidRPr="00F54CCC" w:rsidRDefault="009941E6" w:rsidP="009941E6">
            <w:pPr>
              <w:pStyle w:val="StyleNormalBody"/>
              <w:rPr>
                <w:b w:val="0"/>
                <w:bCs w:val="0"/>
                <w:lang w:val="en-AU"/>
              </w:rPr>
            </w:pPr>
            <w:r w:rsidRPr="00F54CCC">
              <w:rPr>
                <w:b w:val="0"/>
                <w:bCs w:val="0"/>
                <w:lang w:val="en-AU"/>
              </w:rPr>
              <w:t xml:space="preserve">The current method development process impedes timely and effective emissions reductions. The focus of method development should shift towards a more modular proponent-led approach to facilitate fit-for-purpose development and implementation of methods for delivering high integrity emissions-reductions.  </w:t>
            </w:r>
          </w:p>
          <w:p w14:paraId="64F58FC4" w14:textId="77777777" w:rsidR="009941E6" w:rsidRPr="00F54CCC" w:rsidRDefault="009941E6" w:rsidP="009941E6">
            <w:pPr>
              <w:pStyle w:val="StyleNormalBody"/>
              <w:rPr>
                <w:b w:val="0"/>
                <w:bCs w:val="0"/>
                <w:lang w:val="en-AU"/>
              </w:rPr>
            </w:pPr>
            <w:r w:rsidRPr="00F54CCC">
              <w:rPr>
                <w:b w:val="0"/>
                <w:bCs w:val="0"/>
                <w:lang w:val="en-AU"/>
              </w:rPr>
              <w:t>The process for prioritising new methods for development has not been sufficiently transparent and accessible to all groups.</w:t>
            </w:r>
          </w:p>
          <w:p w14:paraId="74EE7BD0" w14:textId="07957B9E" w:rsidR="00F54CCC" w:rsidRPr="00F54CCC" w:rsidRDefault="00F54CCC" w:rsidP="00F54CCC">
            <w:pPr>
              <w:pStyle w:val="StyleNormalBody"/>
              <w:rPr>
                <w:b w:val="0"/>
                <w:bCs w:val="0"/>
                <w:lang w:val="en-AU"/>
              </w:rPr>
            </w:pPr>
            <w:r w:rsidRPr="00F54CCC">
              <w:rPr>
                <w:b w:val="0"/>
                <w:bCs w:val="0"/>
                <w:lang w:val="en-AU"/>
              </w:rPr>
              <w:t>A proponent-led method development model would promote innovation by giving proponents the flexibility to develop or adapt new approaches to carbon abatement</w:t>
            </w:r>
            <w:r w:rsidR="00597F69">
              <w:rPr>
                <w:b w:val="0"/>
                <w:bCs w:val="0"/>
                <w:lang w:val="en-AU"/>
              </w:rPr>
              <w:t>. This approach would also</w:t>
            </w:r>
            <w:r w:rsidRPr="00F54CCC">
              <w:rPr>
                <w:b w:val="0"/>
                <w:bCs w:val="0"/>
                <w:lang w:val="en-AU"/>
              </w:rPr>
              <w:t xml:space="preserve"> support the development of a portfolio of methods able to deliver emissions reductions at scale.</w:t>
            </w:r>
          </w:p>
          <w:p w14:paraId="7C10CA9D" w14:textId="77777777" w:rsidR="00F54CCC" w:rsidRPr="00F54CCC" w:rsidRDefault="00F54CCC" w:rsidP="00F54CCC">
            <w:pPr>
              <w:pStyle w:val="StyleNormalBody"/>
              <w:rPr>
                <w:b w:val="0"/>
                <w:bCs w:val="0"/>
                <w:lang w:val="en-AU"/>
              </w:rPr>
            </w:pPr>
            <w:r w:rsidRPr="00F54CCC">
              <w:rPr>
                <w:b w:val="0"/>
                <w:bCs w:val="0"/>
                <w:lang w:val="en-AU"/>
              </w:rPr>
              <w:t xml:space="preserve">Method development must continue to be supported by clear and compelling evidence that has been independently peer reviewed, preferably scientific results published in peer-reviewed literature.  </w:t>
            </w:r>
          </w:p>
          <w:p w14:paraId="14DDA92E" w14:textId="1D5F328D" w:rsidR="00F54CCC" w:rsidRPr="002B0221" w:rsidRDefault="00F54CCC" w:rsidP="00F54CCC">
            <w:pPr>
              <w:pStyle w:val="StyleNormalBody"/>
              <w:rPr>
                <w:rStyle w:val="Emphasis"/>
                <w:b w:val="0"/>
                <w:bCs w:val="0"/>
                <w:i w:val="0"/>
                <w:iCs w:val="0"/>
              </w:rPr>
            </w:pPr>
            <w:r w:rsidRPr="00F54CCC">
              <w:rPr>
                <w:b w:val="0"/>
                <w:bCs w:val="0"/>
                <w:lang w:val="en-AU"/>
              </w:rPr>
              <w:t>Proponent-led method development is consistent with commonly accepted international practice.</w:t>
            </w:r>
          </w:p>
        </w:tc>
      </w:tr>
    </w:tbl>
    <w:p w14:paraId="3A38683B" w14:textId="77777777" w:rsidR="001018CB" w:rsidRPr="00574312" w:rsidRDefault="001018CB" w:rsidP="00801949">
      <w:pPr>
        <w:pStyle w:val="Heading2"/>
      </w:pPr>
      <w:bookmarkStart w:id="64" w:name="_Toc122348035"/>
      <w:bookmarkStart w:id="65" w:name="_Toc122359801"/>
      <w:bookmarkStart w:id="66" w:name="_Toc122360782"/>
      <w:bookmarkStart w:id="67" w:name="_Toc122523001"/>
      <w:r w:rsidRPr="00574312">
        <w:t>Method development</w:t>
      </w:r>
      <w:bookmarkEnd w:id="61"/>
      <w:bookmarkEnd w:id="62"/>
      <w:bookmarkEnd w:id="63"/>
      <w:bookmarkEnd w:id="64"/>
      <w:bookmarkEnd w:id="65"/>
      <w:bookmarkEnd w:id="66"/>
      <w:bookmarkEnd w:id="67"/>
      <w:r w:rsidRPr="00574312">
        <w:t xml:space="preserve"> </w:t>
      </w:r>
    </w:p>
    <w:p w14:paraId="19EAA96E" w14:textId="7CF67DD5" w:rsidR="0000451B" w:rsidRPr="007B671A" w:rsidRDefault="00C90858" w:rsidP="00C90858">
      <w:pPr>
        <w:spacing w:after="0"/>
        <w:rPr>
          <w:rFonts w:eastAsia="Calibri" w:cs="Times New Roman"/>
        </w:rPr>
      </w:pPr>
      <w:r w:rsidRPr="007B671A">
        <w:rPr>
          <w:rFonts w:eastAsia="Calibri" w:cs="Times New Roman"/>
        </w:rPr>
        <w:t xml:space="preserve">The Panel considers that the current method development </w:t>
      </w:r>
      <w:r w:rsidRPr="00C46B51">
        <w:rPr>
          <w:rFonts w:eastAsia="Calibri" w:cs="Times New Roman"/>
        </w:rPr>
        <w:t>process</w:t>
      </w:r>
      <w:r w:rsidRPr="007B671A">
        <w:rPr>
          <w:rFonts w:eastAsia="Calibri" w:cs="Times New Roman"/>
        </w:rPr>
        <w:t xml:space="preserve"> is no longer fit-for-purpose.</w:t>
      </w:r>
    </w:p>
    <w:p w14:paraId="5F9D616E" w14:textId="55E4194E" w:rsidR="001018CB" w:rsidRPr="007B671A" w:rsidRDefault="001018CB" w:rsidP="001018CB">
      <w:pPr>
        <w:spacing w:after="0"/>
        <w:rPr>
          <w:rFonts w:eastAsia="Calibri" w:cs="Times New Roman"/>
        </w:rPr>
      </w:pPr>
      <w:r w:rsidRPr="007B671A">
        <w:rPr>
          <w:rFonts w:eastAsia="Calibri" w:cs="Times New Roman"/>
        </w:rPr>
        <w:t>Methods</w:t>
      </w:r>
      <w:r w:rsidR="000229A3">
        <w:rPr>
          <w:rFonts w:eastAsia="Calibri" w:cs="Times New Roman"/>
        </w:rPr>
        <w:t xml:space="preserve"> have been prioritised for development</w:t>
      </w:r>
      <w:r w:rsidRPr="007B671A">
        <w:rPr>
          <w:rFonts w:eastAsia="Calibri" w:cs="Times New Roman"/>
        </w:rPr>
        <w:t xml:space="preserve"> based on the potential for uptake, volume and cost-effectiveness of emissions reductions, speed to market, adverse impacts, and whether other government measures would be more efficient</w:t>
      </w:r>
      <w:r w:rsidRPr="00497E8E">
        <w:rPr>
          <w:rFonts w:eastAsia="Calibri" w:cs="Times New Roman"/>
          <w:vertAlign w:val="superscript"/>
        </w:rPr>
        <w:footnoteReference w:id="17"/>
      </w:r>
      <w:r w:rsidRPr="007B671A">
        <w:rPr>
          <w:rFonts w:eastAsia="Calibri" w:cs="Times New Roman"/>
        </w:rPr>
        <w:t>.</w:t>
      </w:r>
    </w:p>
    <w:p w14:paraId="33AFAF33" w14:textId="02D6A2AC" w:rsidR="001018CB" w:rsidRDefault="00BE2ED0" w:rsidP="001018CB">
      <w:pPr>
        <w:spacing w:after="0"/>
        <w:rPr>
          <w:rFonts w:eastAsia="Calibri" w:cs="Times New Roman"/>
        </w:rPr>
      </w:pPr>
      <w:r>
        <w:rPr>
          <w:rFonts w:eastAsia="Calibri" w:cs="Times New Roman"/>
        </w:rPr>
        <w:t>M</w:t>
      </w:r>
      <w:r w:rsidR="001018CB" w:rsidRPr="007B671A">
        <w:rPr>
          <w:rFonts w:eastAsia="Calibri" w:cs="Times New Roman"/>
        </w:rPr>
        <w:t xml:space="preserve">ethods are intended to be broadly applicable </w:t>
      </w:r>
      <w:r w:rsidR="00193B71">
        <w:rPr>
          <w:rFonts w:eastAsia="Calibri" w:cs="Times New Roman"/>
        </w:rPr>
        <w:t>in order</w:t>
      </w:r>
      <w:r w:rsidR="001018CB" w:rsidRPr="007B671A">
        <w:rPr>
          <w:rFonts w:eastAsia="Calibri" w:cs="Times New Roman"/>
        </w:rPr>
        <w:t xml:space="preserve"> to prioritise large-scale emissions reduction opportunities and activities suitable for aggregation. </w:t>
      </w:r>
    </w:p>
    <w:p w14:paraId="559C45AD" w14:textId="59C4262B" w:rsidR="00BA3FF6" w:rsidRPr="007B671A" w:rsidRDefault="00BA3FF6" w:rsidP="00BA3FF6">
      <w:pPr>
        <w:spacing w:after="0"/>
        <w:rPr>
          <w:rFonts w:eastAsia="Calibri" w:cs="Times New Roman"/>
        </w:rPr>
      </w:pPr>
      <w:r>
        <w:rPr>
          <w:rFonts w:eastAsia="Calibri" w:cs="Times New Roman"/>
        </w:rPr>
        <w:t>The scheme has a number of existing mechanisms for m</w:t>
      </w:r>
      <w:r w:rsidRPr="007B671A">
        <w:rPr>
          <w:rFonts w:eastAsia="Calibri" w:cs="Times New Roman"/>
        </w:rPr>
        <w:t>odifying the way that methods are implemented and administered</w:t>
      </w:r>
      <w:r>
        <w:rPr>
          <w:rFonts w:eastAsia="Calibri" w:cs="Times New Roman"/>
        </w:rPr>
        <w:t>. However, current arrangements frequently involve unnecessary administrative complexity.</w:t>
      </w:r>
      <w:r w:rsidRPr="007B671A">
        <w:rPr>
          <w:rFonts w:eastAsia="Calibri" w:cs="Times New Roman"/>
        </w:rPr>
        <w:t xml:space="preserve"> </w:t>
      </w:r>
    </w:p>
    <w:p w14:paraId="2F73E554" w14:textId="77777777" w:rsidR="00D06C4C" w:rsidRDefault="00A10F06" w:rsidP="001018CB">
      <w:pPr>
        <w:spacing w:after="0"/>
        <w:rPr>
          <w:rFonts w:eastAsia="Calibri" w:cs="Times New Roman"/>
        </w:rPr>
      </w:pPr>
      <w:r>
        <w:rPr>
          <w:rFonts w:eastAsia="Calibri" w:cs="Times New Roman"/>
        </w:rPr>
        <w:t xml:space="preserve">It is said that no two </w:t>
      </w:r>
      <w:r w:rsidR="00D06C4C">
        <w:rPr>
          <w:rFonts w:eastAsia="Calibri" w:cs="Times New Roman"/>
        </w:rPr>
        <w:t>landholdings</w:t>
      </w:r>
      <w:r>
        <w:rPr>
          <w:rFonts w:eastAsia="Calibri" w:cs="Times New Roman"/>
        </w:rPr>
        <w:t xml:space="preserve"> are the same in Australia. Given the extraordinary range of climate, weather, soil </w:t>
      </w:r>
      <w:r w:rsidR="00D06C4C">
        <w:rPr>
          <w:rFonts w:eastAsia="Calibri" w:cs="Times New Roman"/>
        </w:rPr>
        <w:t xml:space="preserve">and </w:t>
      </w:r>
      <w:r>
        <w:rPr>
          <w:rFonts w:eastAsia="Calibri" w:cs="Times New Roman"/>
        </w:rPr>
        <w:t xml:space="preserve">temperature in the country, it would be sensible to </w:t>
      </w:r>
      <w:r w:rsidR="00D06C4C">
        <w:rPr>
          <w:rFonts w:eastAsia="Calibri" w:cs="Times New Roman"/>
        </w:rPr>
        <w:t>add</w:t>
      </w:r>
      <w:r>
        <w:rPr>
          <w:rFonts w:eastAsia="Calibri" w:cs="Times New Roman"/>
        </w:rPr>
        <w:t xml:space="preserve"> capacity </w:t>
      </w:r>
      <w:r w:rsidR="00D06C4C">
        <w:rPr>
          <w:rFonts w:eastAsia="Calibri" w:cs="Times New Roman"/>
        </w:rPr>
        <w:t xml:space="preserve">to account </w:t>
      </w:r>
      <w:r>
        <w:rPr>
          <w:rFonts w:eastAsia="Calibri" w:cs="Times New Roman"/>
        </w:rPr>
        <w:t xml:space="preserve">for local variables </w:t>
      </w:r>
      <w:r w:rsidR="00D06C4C">
        <w:rPr>
          <w:rFonts w:eastAsia="Calibri" w:cs="Times New Roman"/>
        </w:rPr>
        <w:t>and priorities.</w:t>
      </w:r>
    </w:p>
    <w:p w14:paraId="7F2B650A" w14:textId="10D1DA76" w:rsidR="00A10F06" w:rsidRDefault="00D06C4C" w:rsidP="001018CB">
      <w:pPr>
        <w:spacing w:after="0"/>
        <w:rPr>
          <w:rFonts w:eastAsia="Calibri" w:cs="Times New Roman"/>
        </w:rPr>
      </w:pPr>
      <w:r>
        <w:rPr>
          <w:rFonts w:eastAsia="Calibri" w:cs="Times New Roman"/>
        </w:rPr>
        <w:t xml:space="preserve">To streamline method development and </w:t>
      </w:r>
      <w:r w:rsidR="00582C84">
        <w:rPr>
          <w:rFonts w:eastAsia="Calibri" w:cs="Times New Roman"/>
        </w:rPr>
        <w:t xml:space="preserve">encourage greater uptake of </w:t>
      </w:r>
      <w:r w:rsidRPr="007B671A">
        <w:rPr>
          <w:rFonts w:eastAsia="Calibri" w:cs="Times New Roman"/>
        </w:rPr>
        <w:t>bespoke method activities</w:t>
      </w:r>
      <w:r>
        <w:rPr>
          <w:rFonts w:eastAsia="Calibri" w:cs="Times New Roman"/>
        </w:rPr>
        <w:t>, the Panel considers that t</w:t>
      </w:r>
      <w:r w:rsidR="00A10F06" w:rsidRPr="007B671A">
        <w:rPr>
          <w:rFonts w:eastAsia="Calibri" w:cs="Times New Roman"/>
        </w:rPr>
        <w:t xml:space="preserve">he focus of method development should shift towards a more modular approach. </w:t>
      </w:r>
    </w:p>
    <w:p w14:paraId="2844D3BE" w14:textId="34B35630" w:rsidR="0000451B" w:rsidRPr="007B671A" w:rsidRDefault="0000451B" w:rsidP="0000451B">
      <w:pPr>
        <w:spacing w:after="0"/>
        <w:rPr>
          <w:rFonts w:eastAsia="Calibri" w:cs="Times New Roman"/>
        </w:rPr>
      </w:pPr>
      <w:r w:rsidRPr="007B671A">
        <w:rPr>
          <w:rFonts w:eastAsia="Calibri" w:cs="Times New Roman"/>
        </w:rPr>
        <w:t xml:space="preserve">ACCU methods </w:t>
      </w:r>
      <w:r>
        <w:rPr>
          <w:rFonts w:eastAsia="Calibri" w:cs="Times New Roman"/>
        </w:rPr>
        <w:t>will remain</w:t>
      </w:r>
      <w:r w:rsidRPr="007B671A">
        <w:rPr>
          <w:rFonts w:eastAsia="Calibri" w:cs="Times New Roman"/>
        </w:rPr>
        <w:t xml:space="preserve"> legislative instruments that stipulate eligible activities and rules for running an eligible offsets project</w:t>
      </w:r>
      <w:r>
        <w:rPr>
          <w:rFonts w:eastAsia="Calibri" w:cs="Times New Roman"/>
        </w:rPr>
        <w:t xml:space="preserve">; and will still </w:t>
      </w:r>
      <w:r w:rsidRPr="007B671A">
        <w:rPr>
          <w:rFonts w:eastAsia="Calibri" w:cs="Times New Roman"/>
        </w:rPr>
        <w:t>complement the principles underpinning the design of the scheme: genuine emissions reductions and streamlined administration</w:t>
      </w:r>
      <w:r w:rsidRPr="00190C4E">
        <w:rPr>
          <w:rFonts w:eastAsia="Calibri" w:cs="Times New Roman"/>
          <w:vertAlign w:val="superscript"/>
        </w:rPr>
        <w:footnoteReference w:id="18"/>
      </w:r>
      <w:r w:rsidRPr="007B671A">
        <w:rPr>
          <w:rFonts w:eastAsia="Calibri" w:cs="Times New Roman"/>
        </w:rPr>
        <w:t xml:space="preserve">. </w:t>
      </w:r>
    </w:p>
    <w:p w14:paraId="61A57F8B" w14:textId="77777777" w:rsidR="001018CB" w:rsidRPr="00F52E2D" w:rsidRDefault="001018CB" w:rsidP="00F52E2D">
      <w:pPr>
        <w:pStyle w:val="Heading3"/>
      </w:pPr>
      <w:r w:rsidRPr="00F52E2D">
        <w:lastRenderedPageBreak/>
        <w:t>Proponent-led method development</w:t>
      </w:r>
    </w:p>
    <w:p w14:paraId="0A9EE91F" w14:textId="4E6EBBAD" w:rsidR="00214102" w:rsidRDefault="001018CB" w:rsidP="005C7FFC">
      <w:pPr>
        <w:spacing w:after="0"/>
        <w:rPr>
          <w:rFonts w:eastAsia="Calibri" w:cs="Times New Roman"/>
        </w:rPr>
      </w:pPr>
      <w:r>
        <w:rPr>
          <w:rFonts w:eastAsia="Calibri" w:cs="Times New Roman"/>
        </w:rPr>
        <w:t xml:space="preserve">Rather than annual priorities determined by the Minister, the scheme should </w:t>
      </w:r>
      <w:r w:rsidR="006E1BA2">
        <w:rPr>
          <w:rFonts w:eastAsia="Calibri" w:cs="Times New Roman"/>
        </w:rPr>
        <w:t>enable</w:t>
      </w:r>
      <w:r>
        <w:rPr>
          <w:rFonts w:eastAsia="Calibri" w:cs="Times New Roman"/>
        </w:rPr>
        <w:t xml:space="preserve"> proponents to propose new methods or modifications as needed for their particular purpose. </w:t>
      </w:r>
    </w:p>
    <w:p w14:paraId="540129C6" w14:textId="77777777" w:rsidR="006E1BA2" w:rsidRDefault="006E1BA2" w:rsidP="006E1BA2">
      <w:pPr>
        <w:spacing w:after="0"/>
        <w:rPr>
          <w:rFonts w:eastAsia="Calibri" w:cs="Times New Roman"/>
        </w:rPr>
      </w:pPr>
      <w:r w:rsidRPr="007114D1">
        <w:rPr>
          <w:rFonts w:eastAsia="Calibri" w:cs="Times New Roman"/>
        </w:rPr>
        <w:t xml:space="preserve">This </w:t>
      </w:r>
      <w:r>
        <w:rPr>
          <w:rFonts w:eastAsia="Calibri" w:cs="Times New Roman"/>
        </w:rPr>
        <w:t xml:space="preserve">approach gives </w:t>
      </w:r>
      <w:r w:rsidRPr="00D9300B">
        <w:rPr>
          <w:rFonts w:eastAsia="Calibri" w:cs="Times New Roman"/>
        </w:rPr>
        <w:t xml:space="preserve">proponents the flexibility to develop or adapt new </w:t>
      </w:r>
      <w:r>
        <w:rPr>
          <w:rFonts w:eastAsia="Calibri" w:cs="Times New Roman"/>
        </w:rPr>
        <w:t>approaches to carbon abatement that better fit local conditions and circumstances, including social and environmental conditions and priorities.</w:t>
      </w:r>
    </w:p>
    <w:p w14:paraId="1CCAD2E8" w14:textId="29E2BC38" w:rsidR="005C7FFC" w:rsidRDefault="005C7FFC" w:rsidP="005C7FFC">
      <w:pPr>
        <w:spacing w:after="0"/>
        <w:rPr>
          <w:rFonts w:eastAsia="Calibri" w:cs="Times New Roman"/>
        </w:rPr>
      </w:pPr>
      <w:r>
        <w:t>Proponent-led method development</w:t>
      </w:r>
      <w:r>
        <w:rPr>
          <w:rFonts w:eastAsia="Calibri" w:cs="Times New Roman"/>
        </w:rPr>
        <w:t xml:space="preserve"> should be accompanied by a transparent, </w:t>
      </w:r>
      <w:r w:rsidRPr="00D9300B">
        <w:rPr>
          <w:rFonts w:eastAsia="Calibri" w:cs="Times New Roman"/>
        </w:rPr>
        <w:t xml:space="preserve">multi-step review process that </w:t>
      </w:r>
      <w:r>
        <w:rPr>
          <w:rFonts w:eastAsia="Calibri" w:cs="Times New Roman"/>
        </w:rPr>
        <w:t>support</w:t>
      </w:r>
      <w:r w:rsidR="00EE2CB1">
        <w:rPr>
          <w:rFonts w:eastAsia="Calibri" w:cs="Times New Roman"/>
        </w:rPr>
        <w:t>s</w:t>
      </w:r>
      <w:r>
        <w:rPr>
          <w:rFonts w:eastAsia="Calibri" w:cs="Times New Roman"/>
        </w:rPr>
        <w:t xml:space="preserve"> the CAIC in ensuring</w:t>
      </w:r>
      <w:r w:rsidRPr="00D9300B">
        <w:rPr>
          <w:rFonts w:eastAsia="Calibri" w:cs="Times New Roman"/>
        </w:rPr>
        <w:t xml:space="preserve"> integrity of the</w:t>
      </w:r>
      <w:r>
        <w:rPr>
          <w:rFonts w:eastAsia="Calibri" w:cs="Times New Roman"/>
        </w:rPr>
        <w:t xml:space="preserve"> methods</w:t>
      </w:r>
      <w:r w:rsidRPr="00D9300B">
        <w:rPr>
          <w:rFonts w:eastAsia="Calibri" w:cs="Times New Roman"/>
        </w:rPr>
        <w:t xml:space="preserve"> and the scheme</w:t>
      </w:r>
      <w:r>
        <w:rPr>
          <w:rFonts w:eastAsia="Calibri" w:cs="Times New Roman"/>
        </w:rPr>
        <w:t xml:space="preserve"> (</w:t>
      </w:r>
      <w:r w:rsidRPr="00EA5E4E">
        <w:rPr>
          <w:rFonts w:eastAsia="Calibri" w:cs="Times New Roman"/>
          <w:b/>
        </w:rPr>
        <w:t>Recommendation 6</w:t>
      </w:r>
      <w:r>
        <w:rPr>
          <w:rFonts w:eastAsia="Calibri" w:cs="Times New Roman"/>
        </w:rPr>
        <w:t>)</w:t>
      </w:r>
      <w:r w:rsidRPr="00D9300B">
        <w:rPr>
          <w:rFonts w:eastAsia="Calibri" w:cs="Times New Roman"/>
        </w:rPr>
        <w:t>.</w:t>
      </w:r>
      <w:r w:rsidR="00C573BE">
        <w:rPr>
          <w:rFonts w:eastAsia="Calibri" w:cs="Times New Roman"/>
        </w:rPr>
        <w:t xml:space="preserve"> </w:t>
      </w:r>
    </w:p>
    <w:p w14:paraId="20B20E36" w14:textId="10D2DD7F" w:rsidR="00EE2CB1" w:rsidRDefault="00EE2CB1" w:rsidP="005C7FFC">
      <w:pPr>
        <w:spacing w:after="0"/>
        <w:rPr>
          <w:rFonts w:eastAsia="Calibri" w:cs="Times New Roman"/>
        </w:rPr>
      </w:pPr>
      <w:r w:rsidRPr="00EE2CB1">
        <w:rPr>
          <w:rFonts w:eastAsia="Calibri" w:cs="Times New Roman"/>
        </w:rPr>
        <w:t xml:space="preserve">This process will be most effective if there are clear guidelines for </w:t>
      </w:r>
      <w:r>
        <w:rPr>
          <w:rFonts w:eastAsia="Calibri" w:cs="Times New Roman"/>
        </w:rPr>
        <w:t xml:space="preserve">expressions of interest, method and module development proposals and transition arrangements for existing projects. </w:t>
      </w:r>
    </w:p>
    <w:p w14:paraId="0E65FE10" w14:textId="36E8A2F6" w:rsidR="00214102" w:rsidRPr="00882661" w:rsidRDefault="005C7FFC" w:rsidP="005C7FFC">
      <w:pPr>
        <w:rPr>
          <w:rFonts w:eastAsia="Calibri" w:cs="Times New Roman"/>
        </w:rPr>
      </w:pPr>
      <w:r>
        <w:rPr>
          <w:rFonts w:eastAsia="Calibri" w:cs="Times New Roman"/>
        </w:rPr>
        <w:t xml:space="preserve">A supporting ‘template’ </w:t>
      </w:r>
      <w:r w:rsidR="008F68FB">
        <w:rPr>
          <w:rFonts w:eastAsia="Calibri" w:cs="Times New Roman"/>
        </w:rPr>
        <w:t>for</w:t>
      </w:r>
      <w:r>
        <w:rPr>
          <w:rFonts w:eastAsia="Calibri" w:cs="Times New Roman"/>
        </w:rPr>
        <w:t xml:space="preserve"> method development should</w:t>
      </w:r>
      <w:r w:rsidRPr="00AE4393">
        <w:rPr>
          <w:rFonts w:eastAsia="Calibri" w:cs="Times New Roman"/>
        </w:rPr>
        <w:t xml:space="preserve"> include co-design requirements; expectations for scientific evidence to be peer</w:t>
      </w:r>
      <w:r>
        <w:rPr>
          <w:rFonts w:eastAsia="Calibri" w:cs="Times New Roman"/>
        </w:rPr>
        <w:t>-</w:t>
      </w:r>
      <w:r w:rsidRPr="00AE4393">
        <w:rPr>
          <w:rFonts w:eastAsia="Calibri" w:cs="Times New Roman"/>
        </w:rPr>
        <w:t>reviewed</w:t>
      </w:r>
      <w:r>
        <w:rPr>
          <w:rStyle w:val="FootnoteReference"/>
          <w:rFonts w:eastAsia="Calibri" w:cs="Times New Roman"/>
        </w:rPr>
        <w:footnoteReference w:id="19"/>
      </w:r>
      <w:r w:rsidRPr="00AE4393">
        <w:rPr>
          <w:rFonts w:eastAsia="Calibri" w:cs="Times New Roman"/>
        </w:rPr>
        <w:t>, opportunities for broader engagement of civil society, and transparency of information and process.</w:t>
      </w:r>
    </w:p>
    <w:p w14:paraId="1864265C" w14:textId="0224D1DB" w:rsidR="00425B00" w:rsidRDefault="00425B00" w:rsidP="00425B00">
      <w:pPr>
        <w:pStyle w:val="StyleNormalBody"/>
      </w:pPr>
      <w:r w:rsidRPr="00425B00">
        <w:rPr>
          <w:rFonts w:ascii="Calibri" w:eastAsia="Calibri" w:hAnsi="Calibri" w:cs="Times New Roman"/>
          <w:lang w:val="en-AU" w:eastAsia="en-US"/>
        </w:rPr>
        <w:t>Proponents should continue the practice of developing simple method guides to help interested parties understand what is involved in conducting a project from start-to-end: project planning,</w:t>
      </w:r>
      <w:r w:rsidRPr="0045729F">
        <w:t xml:space="preserve"> </w:t>
      </w:r>
      <w:r>
        <w:t>registration</w:t>
      </w:r>
      <w:r w:rsidRPr="0045729F">
        <w:t xml:space="preserve">, </w:t>
      </w:r>
      <w:r>
        <w:t xml:space="preserve">implementation, reporting, and earning ACCUs. </w:t>
      </w:r>
    </w:p>
    <w:p w14:paraId="55204C65" w14:textId="77777777" w:rsidR="00425B00" w:rsidRPr="004739C3" w:rsidRDefault="00425B00" w:rsidP="00425B00">
      <w:pPr>
        <w:pStyle w:val="StyleNormalBody"/>
      </w:pPr>
      <w:r w:rsidRPr="0045729F">
        <w:t>The guides are complementary to the CFI Act, the CFI Rule, the methods (legislative instruments) and their explanatory statements.</w:t>
      </w:r>
    </w:p>
    <w:p w14:paraId="668F85CA" w14:textId="35927357" w:rsidR="00C31AB6" w:rsidRPr="00F52E2D" w:rsidRDefault="00C31AB6" w:rsidP="00C63502">
      <w:pPr>
        <w:pStyle w:val="Heading3"/>
      </w:pPr>
      <w:r w:rsidRPr="00F52E2D">
        <w:t xml:space="preserve">Method modules </w:t>
      </w:r>
    </w:p>
    <w:p w14:paraId="2A677E40" w14:textId="77777777" w:rsidR="00D06C4C" w:rsidRPr="007B671A" w:rsidRDefault="00D06C4C" w:rsidP="00D06C4C">
      <w:pPr>
        <w:spacing w:after="0"/>
        <w:rPr>
          <w:rFonts w:eastAsia="Calibri" w:cs="Times New Roman"/>
        </w:rPr>
      </w:pPr>
      <w:r>
        <w:rPr>
          <w:rFonts w:eastAsia="Calibri" w:cs="Times New Roman"/>
        </w:rPr>
        <w:t>In the Panel’s view,</w:t>
      </w:r>
      <w:r w:rsidRPr="007B671A">
        <w:rPr>
          <w:rFonts w:eastAsia="Calibri" w:cs="Times New Roman"/>
        </w:rPr>
        <w:t xml:space="preserve"> ACCU methods should be </w:t>
      </w:r>
      <w:r>
        <w:rPr>
          <w:rFonts w:eastAsia="Calibri" w:cs="Times New Roman"/>
        </w:rPr>
        <w:t xml:space="preserve">able to be </w:t>
      </w:r>
      <w:r w:rsidRPr="007B671A">
        <w:rPr>
          <w:rFonts w:eastAsia="Calibri" w:cs="Times New Roman"/>
        </w:rPr>
        <w:t>supplemented by specific</w:t>
      </w:r>
      <w:r>
        <w:rPr>
          <w:rFonts w:eastAsia="Calibri" w:cs="Times New Roman"/>
        </w:rPr>
        <w:t xml:space="preserve"> </w:t>
      </w:r>
      <w:r w:rsidRPr="007B671A">
        <w:rPr>
          <w:rFonts w:eastAsia="Calibri" w:cs="Times New Roman"/>
        </w:rPr>
        <w:t>modifications</w:t>
      </w:r>
      <w:r>
        <w:rPr>
          <w:rFonts w:eastAsia="Calibri" w:cs="Times New Roman"/>
        </w:rPr>
        <w:t xml:space="preserve"> </w:t>
      </w:r>
      <w:r w:rsidRPr="007B671A">
        <w:rPr>
          <w:rFonts w:eastAsia="Calibri" w:cs="Times New Roman"/>
        </w:rPr>
        <w:t>(</w:t>
      </w:r>
      <w:r>
        <w:rPr>
          <w:rFonts w:eastAsia="Calibri" w:cs="Times New Roman"/>
        </w:rPr>
        <w:t>modules</w:t>
      </w:r>
      <w:r w:rsidRPr="007B671A">
        <w:rPr>
          <w:rFonts w:eastAsia="Calibri" w:cs="Times New Roman"/>
        </w:rPr>
        <w:t>), developed by proponents, for a particular way of implementing one or more</w:t>
      </w:r>
      <w:r>
        <w:rPr>
          <w:rFonts w:eastAsia="Calibri" w:cs="Times New Roman"/>
        </w:rPr>
        <w:t xml:space="preserve"> existing</w:t>
      </w:r>
      <w:r w:rsidRPr="007B671A">
        <w:rPr>
          <w:rFonts w:eastAsia="Calibri" w:cs="Times New Roman"/>
        </w:rPr>
        <w:t xml:space="preserve"> eligible </w:t>
      </w:r>
      <w:r>
        <w:rPr>
          <w:rFonts w:eastAsia="Calibri" w:cs="Times New Roman"/>
        </w:rPr>
        <w:t xml:space="preserve">offsets </w:t>
      </w:r>
      <w:r w:rsidRPr="007B671A">
        <w:rPr>
          <w:rFonts w:eastAsia="Calibri" w:cs="Times New Roman"/>
        </w:rPr>
        <w:t xml:space="preserve">activities, which may vary according to region, scale and/or circumstances. </w:t>
      </w:r>
    </w:p>
    <w:p w14:paraId="01EB0AAC" w14:textId="7D5E4A90" w:rsidR="00C31AB6" w:rsidRDefault="00D06C4C" w:rsidP="00D06C4C">
      <w:pPr>
        <w:spacing w:after="0"/>
        <w:rPr>
          <w:rFonts w:eastAsia="Calibri" w:cs="Times New Roman"/>
        </w:rPr>
      </w:pPr>
      <w:r w:rsidRPr="007B671A">
        <w:rPr>
          <w:rFonts w:eastAsia="Calibri" w:cs="Times New Roman"/>
        </w:rPr>
        <w:t>New and varied modules would go through the same triage pathway</w:t>
      </w:r>
      <w:r w:rsidR="005E141B">
        <w:rPr>
          <w:rFonts w:eastAsia="Calibri" w:cs="Times New Roman"/>
        </w:rPr>
        <w:t xml:space="preserve"> and </w:t>
      </w:r>
      <w:r w:rsidR="005E141B" w:rsidRPr="005E141B">
        <w:rPr>
          <w:rFonts w:eastAsia="Calibri" w:cs="Times New Roman"/>
        </w:rPr>
        <w:t>meet the same integrity principle and criteria</w:t>
      </w:r>
      <w:r w:rsidRPr="007B671A">
        <w:rPr>
          <w:rFonts w:eastAsia="Calibri" w:cs="Times New Roman"/>
        </w:rPr>
        <w:t xml:space="preserve"> as new and varied methods</w:t>
      </w:r>
      <w:r w:rsidR="005E141B">
        <w:rPr>
          <w:rFonts w:eastAsia="Calibri" w:cs="Times New Roman"/>
        </w:rPr>
        <w:t>,</w:t>
      </w:r>
      <w:r w:rsidRPr="007B671A">
        <w:rPr>
          <w:rFonts w:eastAsia="Calibri" w:cs="Times New Roman"/>
        </w:rPr>
        <w:t xml:space="preserve"> </w:t>
      </w:r>
      <w:r w:rsidR="005E141B">
        <w:rPr>
          <w:rFonts w:eastAsia="Calibri" w:cs="Times New Roman"/>
        </w:rPr>
        <w:t>but</w:t>
      </w:r>
      <w:r w:rsidRPr="007B671A">
        <w:rPr>
          <w:rFonts w:eastAsia="Calibri" w:cs="Times New Roman"/>
        </w:rPr>
        <w:t xml:space="preserve"> be reviewed and approved by</w:t>
      </w:r>
      <w:r>
        <w:rPr>
          <w:rFonts w:eastAsia="Calibri" w:cs="Times New Roman"/>
        </w:rPr>
        <w:t xml:space="preserve"> the</w:t>
      </w:r>
      <w:r w:rsidRPr="007B671A">
        <w:rPr>
          <w:rFonts w:eastAsia="Calibri" w:cs="Times New Roman"/>
        </w:rPr>
        <w:t xml:space="preserve"> CAIC (see </w:t>
      </w:r>
      <w:r w:rsidR="00FC2E32" w:rsidRPr="00AB3327">
        <w:rPr>
          <w:rFonts w:eastAsia="Calibri" w:cs="Times New Roman"/>
          <w:b/>
        </w:rPr>
        <w:fldChar w:fldCharType="begin" w:fldLock="1"/>
      </w:r>
      <w:r w:rsidR="00FC2E32" w:rsidRPr="00AB3327">
        <w:rPr>
          <w:rFonts w:eastAsia="Calibri" w:cs="Times New Roman"/>
          <w:b/>
        </w:rPr>
        <w:instrText xml:space="preserve"> REF _Ref122279962 \h </w:instrText>
      </w:r>
      <w:r w:rsidR="00AB3327">
        <w:rPr>
          <w:rFonts w:eastAsia="Calibri" w:cs="Times New Roman"/>
          <w:b/>
        </w:rPr>
        <w:instrText xml:space="preserve"> \* MERGEFORMAT </w:instrText>
      </w:r>
      <w:r w:rsidR="00FC2E32" w:rsidRPr="00AB3327">
        <w:rPr>
          <w:rFonts w:eastAsia="Calibri" w:cs="Times New Roman"/>
          <w:b/>
        </w:rPr>
      </w:r>
      <w:r w:rsidR="00FC2E32" w:rsidRPr="00AB3327">
        <w:rPr>
          <w:rFonts w:eastAsia="Calibri" w:cs="Times New Roman"/>
          <w:b/>
        </w:rPr>
        <w:fldChar w:fldCharType="separate"/>
      </w:r>
      <w:r w:rsidR="003E21DE" w:rsidRPr="003E21DE">
        <w:rPr>
          <w:b/>
        </w:rPr>
        <w:t>Figure 1</w:t>
      </w:r>
      <w:r w:rsidR="003E21DE">
        <w:t>: Proponent-led process for method development and modification</w:t>
      </w:r>
      <w:r w:rsidR="00FC2E32" w:rsidRPr="00AB3327">
        <w:rPr>
          <w:rFonts w:eastAsia="Calibri" w:cs="Times New Roman"/>
          <w:b/>
        </w:rPr>
        <w:fldChar w:fldCharType="end"/>
      </w:r>
      <w:r w:rsidRPr="007B671A">
        <w:rPr>
          <w:rFonts w:eastAsia="Calibri" w:cs="Times New Roman"/>
        </w:rPr>
        <w:t xml:space="preserve">). </w:t>
      </w:r>
      <w:r>
        <w:rPr>
          <w:rFonts w:eastAsia="Calibri" w:cs="Times New Roman"/>
        </w:rPr>
        <w:t xml:space="preserve"> </w:t>
      </w:r>
    </w:p>
    <w:p w14:paraId="13BFC285" w14:textId="69049486" w:rsidR="00672BB9" w:rsidRDefault="005E141B" w:rsidP="00D06C4C">
      <w:pPr>
        <w:spacing w:after="0"/>
        <w:rPr>
          <w:rFonts w:eastAsia="Calibri" w:cs="Times New Roman"/>
        </w:rPr>
      </w:pPr>
      <w:r w:rsidRPr="005E141B">
        <w:rPr>
          <w:rFonts w:eastAsia="Calibri" w:cs="Times New Roman"/>
        </w:rPr>
        <w:t>This would facilitate,</w:t>
      </w:r>
      <w:r>
        <w:rPr>
          <w:rFonts w:eastAsia="Calibri" w:cs="Times New Roman"/>
        </w:rPr>
        <w:t xml:space="preserve"> </w:t>
      </w:r>
      <w:r w:rsidRPr="005E141B">
        <w:rPr>
          <w:rFonts w:eastAsia="Calibri" w:cs="Times New Roman"/>
        </w:rPr>
        <w:t xml:space="preserve">for example, more </w:t>
      </w:r>
      <w:r w:rsidR="00FA533E">
        <w:rPr>
          <w:rFonts w:eastAsia="Calibri" w:cs="Times New Roman"/>
        </w:rPr>
        <w:t>streamlined</w:t>
      </w:r>
      <w:r w:rsidRPr="005E141B">
        <w:rPr>
          <w:rFonts w:eastAsia="Calibri" w:cs="Times New Roman"/>
        </w:rPr>
        <w:t xml:space="preserve"> and transparent application of appropriate methods for calculating vegetation-based carbon sequestration across different environmental circumstances</w:t>
      </w:r>
      <w:r w:rsidR="00FA533E">
        <w:rPr>
          <w:rFonts w:eastAsia="Calibri" w:cs="Times New Roman"/>
        </w:rPr>
        <w:t>.</w:t>
      </w:r>
      <w:r w:rsidRPr="005E141B">
        <w:rPr>
          <w:rFonts w:eastAsia="Calibri" w:cs="Times New Roman"/>
        </w:rPr>
        <w:t xml:space="preserve"> </w:t>
      </w:r>
      <w:r w:rsidR="00FA533E">
        <w:rPr>
          <w:rFonts w:eastAsia="Calibri" w:cs="Times New Roman"/>
        </w:rPr>
        <w:t>It should apply to</w:t>
      </w:r>
      <w:r w:rsidRPr="005E141B">
        <w:rPr>
          <w:rFonts w:eastAsia="Calibri" w:cs="Times New Roman"/>
        </w:rPr>
        <w:t xml:space="preserve"> the integrated farm management (IFM) method</w:t>
      </w:r>
      <w:r w:rsidR="00FC2E32">
        <w:rPr>
          <w:rStyle w:val="FootnoteReference"/>
          <w:rFonts w:eastAsia="Calibri" w:cs="Times New Roman"/>
        </w:rPr>
        <w:footnoteReference w:id="20"/>
      </w:r>
      <w:r w:rsidRPr="005E141B">
        <w:rPr>
          <w:rFonts w:eastAsia="Calibri" w:cs="Times New Roman"/>
        </w:rPr>
        <w:t>, currently under development, which aims to facilitate multiple eligible offsets activities in the same project area, and support fit-for-purpose measurement approaches.</w:t>
      </w:r>
    </w:p>
    <w:p w14:paraId="168CB4A6" w14:textId="224B8791" w:rsidR="001018CB" w:rsidRDefault="001018CB" w:rsidP="00F52E2D">
      <w:pPr>
        <w:pStyle w:val="Heading3"/>
      </w:pPr>
      <w:r w:rsidRPr="00497E8E">
        <w:t>Method reviews</w:t>
      </w:r>
    </w:p>
    <w:p w14:paraId="727B2DB3" w14:textId="7855A111" w:rsidR="007265D4" w:rsidRDefault="00C90858" w:rsidP="00C90858">
      <w:pPr>
        <w:spacing w:after="0"/>
        <w:rPr>
          <w:rFonts w:eastAsia="Calibri" w:cs="Times New Roman"/>
        </w:rPr>
      </w:pPr>
      <w:r>
        <w:rPr>
          <w:rFonts w:eastAsia="Calibri" w:cs="Times New Roman"/>
        </w:rPr>
        <w:t xml:space="preserve">In addition to the periodic reviews prescribed by the CFI Act, </w:t>
      </w:r>
      <w:r w:rsidR="00582C84">
        <w:rPr>
          <w:rFonts w:eastAsia="Calibri" w:cs="Times New Roman"/>
        </w:rPr>
        <w:t>a</w:t>
      </w:r>
      <w:r w:rsidRPr="00AA17B1">
        <w:rPr>
          <w:rFonts w:eastAsia="Calibri" w:cs="Times New Roman"/>
        </w:rPr>
        <w:t xml:space="preserve"> </w:t>
      </w:r>
      <w:r>
        <w:rPr>
          <w:rFonts w:eastAsia="Calibri" w:cs="Times New Roman"/>
        </w:rPr>
        <w:t xml:space="preserve">method </w:t>
      </w:r>
      <w:r w:rsidRPr="00AA17B1">
        <w:rPr>
          <w:rFonts w:eastAsia="Calibri" w:cs="Times New Roman"/>
        </w:rPr>
        <w:t>review can be requested by the public</w:t>
      </w:r>
      <w:r>
        <w:rPr>
          <w:rStyle w:val="FootnoteReference"/>
          <w:rFonts w:eastAsia="Calibri" w:cs="Times New Roman"/>
        </w:rPr>
        <w:footnoteReference w:id="21"/>
      </w:r>
      <w:r>
        <w:rPr>
          <w:rFonts w:eastAsia="Calibri" w:cs="Times New Roman"/>
        </w:rPr>
        <w:t xml:space="preserve">, or by the Minister. </w:t>
      </w:r>
    </w:p>
    <w:p w14:paraId="0E6CEEEE" w14:textId="03731D84" w:rsidR="00A648F1" w:rsidRDefault="00181365" w:rsidP="001018CB">
      <w:pPr>
        <w:spacing w:line="257" w:lineRule="auto"/>
        <w:rPr>
          <w:rFonts w:eastAsia="Calibri" w:cs="Times New Roman"/>
          <w:b/>
          <w:bCs/>
        </w:rPr>
      </w:pPr>
      <w:r>
        <w:rPr>
          <w:rFonts w:eastAsia="Calibri" w:cs="Times New Roman"/>
          <w:b/>
          <w:bCs/>
        </w:rPr>
        <w:t xml:space="preserve">The </w:t>
      </w:r>
      <w:r w:rsidR="00C77217" w:rsidRPr="003372FB">
        <w:rPr>
          <w:rFonts w:eastAsia="Calibri" w:cs="Times New Roman"/>
          <w:b/>
          <w:bCs/>
        </w:rPr>
        <w:t>CAIC</w:t>
      </w:r>
    </w:p>
    <w:p w14:paraId="2EFB0019" w14:textId="6900F13F" w:rsidR="001018CB" w:rsidRPr="00A648F1" w:rsidRDefault="007265D4" w:rsidP="001018CB">
      <w:pPr>
        <w:spacing w:line="257" w:lineRule="auto"/>
        <w:rPr>
          <w:rFonts w:eastAsia="Calibri" w:cs="Times New Roman"/>
          <w:b/>
          <w:bCs/>
        </w:rPr>
      </w:pPr>
      <w:r>
        <w:rPr>
          <w:rFonts w:eastAsia="Calibri" w:cs="Times New Roman"/>
          <w:bCs/>
        </w:rPr>
        <w:t>A</w:t>
      </w:r>
      <w:r w:rsidRPr="00306632">
        <w:rPr>
          <w:rFonts w:eastAsia="Calibri" w:cs="Times New Roman"/>
          <w:bCs/>
        </w:rPr>
        <w:t xml:space="preserve"> </w:t>
      </w:r>
      <w:r w:rsidR="001018CB" w:rsidRPr="00306632">
        <w:rPr>
          <w:rFonts w:eastAsia="Calibri" w:cs="Times New Roman"/>
          <w:bCs/>
        </w:rPr>
        <w:t xml:space="preserve">legislated function of </w:t>
      </w:r>
      <w:r w:rsidR="001018CB" w:rsidRPr="00F766D5">
        <w:rPr>
          <w:rFonts w:eastAsia="Calibri" w:cs="Times New Roman"/>
        </w:rPr>
        <w:t>the</w:t>
      </w:r>
      <w:r w:rsidR="001018CB">
        <w:rPr>
          <w:rFonts w:eastAsia="Calibri" w:cs="Times New Roman"/>
          <w:bCs/>
        </w:rPr>
        <w:t xml:space="preserve"> </w:t>
      </w:r>
      <w:r w:rsidR="001018CB" w:rsidRPr="00306632">
        <w:rPr>
          <w:rFonts w:eastAsia="Calibri" w:cs="Times New Roman"/>
          <w:bCs/>
        </w:rPr>
        <w:t>ERAC is to undertake periodic reviews</w:t>
      </w:r>
      <w:r w:rsidR="001018CB" w:rsidRPr="00AA17B1">
        <w:rPr>
          <w:rFonts w:eastAsia="Calibri" w:cs="Times New Roman"/>
        </w:rPr>
        <w:t xml:space="preserve"> of ACCU methods (</w:t>
      </w:r>
      <w:r w:rsidR="00A90C6B">
        <w:rPr>
          <w:rFonts w:eastAsia="Calibri" w:cs="Times New Roman"/>
        </w:rPr>
        <w:t>ss</w:t>
      </w:r>
      <w:r w:rsidR="001018CB" w:rsidRPr="00AA17B1">
        <w:rPr>
          <w:rFonts w:eastAsia="Calibri" w:cs="Times New Roman"/>
        </w:rPr>
        <w:t>255</w:t>
      </w:r>
      <w:r w:rsidR="001018CB" w:rsidRPr="00AA17B1" w:rsidDel="007265D4">
        <w:rPr>
          <w:rFonts w:eastAsia="Calibri" w:cs="Times New Roman"/>
        </w:rPr>
        <w:t>(e)</w:t>
      </w:r>
      <w:r w:rsidR="001018CB" w:rsidRPr="00AA17B1">
        <w:rPr>
          <w:rFonts w:eastAsia="Calibri" w:cs="Times New Roman"/>
        </w:rPr>
        <w:t xml:space="preserve"> of the CFI Act). </w:t>
      </w:r>
      <w:r w:rsidR="00A67518">
        <w:rPr>
          <w:rFonts w:eastAsia="Calibri" w:cs="Times New Roman"/>
        </w:rPr>
        <w:t xml:space="preserve">The </w:t>
      </w:r>
      <w:r w:rsidR="001018CB" w:rsidRPr="00AA17B1">
        <w:rPr>
          <w:rFonts w:eastAsia="Calibri" w:cs="Times New Roman"/>
        </w:rPr>
        <w:t xml:space="preserve">ERAC is also required to undertake crediting period extension reviews to assess </w:t>
      </w:r>
      <w:r w:rsidR="001018CB" w:rsidRPr="00AA17B1">
        <w:rPr>
          <w:rFonts w:eastAsia="Calibri" w:cs="Times New Roman"/>
        </w:rPr>
        <w:lastRenderedPageBreak/>
        <w:t>whether a method should be varied to extend the period for which projects under the method can receive ACCUs (</w:t>
      </w:r>
      <w:r w:rsidR="001018CB" w:rsidRPr="00872A22">
        <w:rPr>
          <w:rFonts w:eastAsia="Calibri" w:cs="Times New Roman"/>
        </w:rPr>
        <w:t>s</w:t>
      </w:r>
      <w:r w:rsidR="00A90C6B" w:rsidRPr="00872A22">
        <w:rPr>
          <w:rFonts w:eastAsia="Calibri" w:cs="Times New Roman"/>
        </w:rPr>
        <w:t>s</w:t>
      </w:r>
      <w:r w:rsidR="001018CB" w:rsidRPr="00872A22">
        <w:rPr>
          <w:rFonts w:eastAsia="Calibri" w:cs="Times New Roman"/>
        </w:rPr>
        <w:t>25</w:t>
      </w:r>
      <w:r w:rsidR="001018CB" w:rsidRPr="00AA17B1">
        <w:rPr>
          <w:rFonts w:eastAsia="Calibri" w:cs="Times New Roman"/>
        </w:rPr>
        <w:t xml:space="preserve">5(ha) of the CFI Act).  </w:t>
      </w:r>
    </w:p>
    <w:p w14:paraId="6E3F96F8" w14:textId="0C2EA137" w:rsidR="001018CB" w:rsidRDefault="001018CB" w:rsidP="001018CB">
      <w:pPr>
        <w:spacing w:after="0"/>
        <w:rPr>
          <w:rFonts w:eastAsia="Calibri" w:cs="Times New Roman"/>
        </w:rPr>
      </w:pPr>
      <w:r>
        <w:rPr>
          <w:rFonts w:eastAsia="Calibri" w:cs="Times New Roman"/>
        </w:rPr>
        <w:t xml:space="preserve">These </w:t>
      </w:r>
      <w:r w:rsidRPr="00AA17B1">
        <w:rPr>
          <w:rFonts w:eastAsia="Calibri" w:cs="Times New Roman"/>
        </w:rPr>
        <w:t xml:space="preserve">reviews are an important tool to ensure </w:t>
      </w:r>
      <w:r w:rsidR="007265D4">
        <w:rPr>
          <w:rFonts w:eastAsia="Calibri" w:cs="Times New Roman"/>
        </w:rPr>
        <w:t xml:space="preserve">that even </w:t>
      </w:r>
      <w:r>
        <w:rPr>
          <w:rFonts w:eastAsia="Calibri" w:cs="Times New Roman"/>
        </w:rPr>
        <w:t>under changed circumstanc</w:t>
      </w:r>
      <w:r w:rsidR="007265D4">
        <w:rPr>
          <w:rFonts w:eastAsia="Calibri" w:cs="Times New Roman"/>
        </w:rPr>
        <w:t>e</w:t>
      </w:r>
      <w:r>
        <w:rPr>
          <w:rFonts w:eastAsia="Calibri" w:cs="Times New Roman"/>
        </w:rPr>
        <w:t>s</w:t>
      </w:r>
      <w:r w:rsidR="007265D4">
        <w:rPr>
          <w:rFonts w:eastAsia="Calibri" w:cs="Times New Roman"/>
        </w:rPr>
        <w:t>,</w:t>
      </w:r>
      <w:r w:rsidDel="007265D4">
        <w:rPr>
          <w:rFonts w:eastAsia="Calibri" w:cs="Times New Roman"/>
        </w:rPr>
        <w:t xml:space="preserve"> </w:t>
      </w:r>
      <w:r>
        <w:rPr>
          <w:rFonts w:eastAsia="Calibri" w:cs="Times New Roman"/>
        </w:rPr>
        <w:t>such as</w:t>
      </w:r>
      <w:r w:rsidRPr="00AE4393">
        <w:rPr>
          <w:rFonts w:eastAsia="Calibri" w:cs="Times New Roman"/>
        </w:rPr>
        <w:t xml:space="preserve"> </w:t>
      </w:r>
      <w:r>
        <w:rPr>
          <w:rFonts w:eastAsia="Calibri" w:cs="Times New Roman"/>
        </w:rPr>
        <w:t>rapidly developing science, technology and public policy</w:t>
      </w:r>
      <w:r w:rsidR="007265D4">
        <w:rPr>
          <w:rFonts w:eastAsia="Calibri" w:cs="Times New Roman"/>
        </w:rPr>
        <w:t xml:space="preserve"> </w:t>
      </w:r>
      <w:r w:rsidR="007265D4" w:rsidRPr="00AA17B1">
        <w:rPr>
          <w:rFonts w:eastAsia="Calibri" w:cs="Times New Roman"/>
        </w:rPr>
        <w:t>ACCU methods</w:t>
      </w:r>
      <w:r w:rsidR="007265D4">
        <w:rPr>
          <w:rFonts w:eastAsia="Calibri" w:cs="Times New Roman"/>
        </w:rPr>
        <w:t xml:space="preserve"> retain in</w:t>
      </w:r>
      <w:r w:rsidR="00801949">
        <w:rPr>
          <w:rFonts w:eastAsia="Calibri" w:cs="Times New Roman"/>
        </w:rPr>
        <w:t>t</w:t>
      </w:r>
      <w:r w:rsidR="007265D4">
        <w:rPr>
          <w:rFonts w:eastAsia="Calibri" w:cs="Times New Roman"/>
        </w:rPr>
        <w:t>egrity</w:t>
      </w:r>
      <w:r>
        <w:rPr>
          <w:rFonts w:eastAsia="Calibri" w:cs="Times New Roman"/>
        </w:rPr>
        <w:t>.</w:t>
      </w:r>
      <w:r w:rsidRPr="00AA17B1">
        <w:rPr>
          <w:rFonts w:eastAsia="Calibri" w:cs="Times New Roman"/>
        </w:rPr>
        <w:t xml:space="preserve"> </w:t>
      </w:r>
    </w:p>
    <w:p w14:paraId="656965C3" w14:textId="77777777" w:rsidR="00713666" w:rsidRPr="00713666" w:rsidRDefault="00713666" w:rsidP="00713666">
      <w:pPr>
        <w:spacing w:after="0"/>
        <w:rPr>
          <w:rFonts w:eastAsia="Calibri" w:cs="Times New Roman"/>
        </w:rPr>
      </w:pPr>
      <w:r w:rsidRPr="00713666">
        <w:rPr>
          <w:rFonts w:eastAsia="Calibri" w:cs="Times New Roman"/>
        </w:rPr>
        <w:t xml:space="preserve">The CAIC should be responsible for systematically reviewing methods used in projects. The CAIC should publish its risk assessment framework that will set its priorities for review. </w:t>
      </w:r>
    </w:p>
    <w:p w14:paraId="73EB7DF7" w14:textId="1771E074" w:rsidR="00713666" w:rsidRDefault="00713666" w:rsidP="00713666">
      <w:pPr>
        <w:spacing w:after="0"/>
        <w:rPr>
          <w:rFonts w:eastAsia="Calibri" w:cs="Times New Roman"/>
        </w:rPr>
      </w:pPr>
      <w:r w:rsidRPr="00713666">
        <w:rPr>
          <w:rFonts w:eastAsia="Calibri" w:cs="Times New Roman"/>
        </w:rPr>
        <w:t>All new or varied methods should explicitly state the timing of the first review of that method, the outcomes of which would inform the CAIC decisions on the timetable for subsequent reviews.</w:t>
      </w:r>
    </w:p>
    <w:p w14:paraId="51B26627" w14:textId="28EF7586" w:rsidR="003372FB" w:rsidRPr="003372FB" w:rsidRDefault="00181365" w:rsidP="001018CB">
      <w:pPr>
        <w:spacing w:after="0"/>
        <w:rPr>
          <w:rFonts w:eastAsia="Calibri" w:cs="Times New Roman"/>
          <w:b/>
        </w:rPr>
      </w:pPr>
      <w:r>
        <w:rPr>
          <w:rFonts w:eastAsia="Calibri" w:cs="Times New Roman"/>
          <w:b/>
        </w:rPr>
        <w:t xml:space="preserve">The </w:t>
      </w:r>
      <w:r w:rsidR="003372FB" w:rsidRPr="003372FB">
        <w:rPr>
          <w:rFonts w:eastAsia="Calibri" w:cs="Times New Roman"/>
          <w:b/>
        </w:rPr>
        <w:t>CER</w:t>
      </w:r>
    </w:p>
    <w:p w14:paraId="3FF13BC7" w14:textId="34A23450" w:rsidR="001018CB" w:rsidRDefault="001018CB" w:rsidP="001018CB">
      <w:pPr>
        <w:spacing w:after="0"/>
        <w:rPr>
          <w:rFonts w:eastAsia="Calibri" w:cs="Times New Roman"/>
          <w:bCs/>
          <w:i/>
          <w:iCs/>
        </w:rPr>
      </w:pPr>
      <w:r>
        <w:rPr>
          <w:rFonts w:eastAsia="Calibri" w:cs="Times New Roman"/>
          <w:bCs/>
        </w:rPr>
        <w:t>T</w:t>
      </w:r>
      <w:r w:rsidRPr="00306632">
        <w:rPr>
          <w:rFonts w:eastAsia="Calibri" w:cs="Times New Roman"/>
          <w:bCs/>
        </w:rPr>
        <w:t xml:space="preserve">he CER will monitor the application of approved methods and </w:t>
      </w:r>
      <w:r w:rsidR="007265D4">
        <w:rPr>
          <w:rFonts w:eastAsia="Calibri" w:cs="Times New Roman"/>
          <w:bCs/>
        </w:rPr>
        <w:t xml:space="preserve">their </w:t>
      </w:r>
      <w:r w:rsidRPr="00306632">
        <w:rPr>
          <w:rFonts w:eastAsia="Calibri" w:cs="Times New Roman"/>
          <w:bCs/>
        </w:rPr>
        <w:t xml:space="preserve">compliance </w:t>
      </w:r>
      <w:r>
        <w:rPr>
          <w:rFonts w:eastAsia="Calibri" w:cs="Times New Roman"/>
          <w:bCs/>
        </w:rPr>
        <w:t xml:space="preserve">with the </w:t>
      </w:r>
      <w:r w:rsidR="00E33C98">
        <w:rPr>
          <w:rFonts w:eastAsia="Calibri" w:cs="Times New Roman"/>
          <w:bCs/>
        </w:rPr>
        <w:t>OIS</w:t>
      </w:r>
      <w:r w:rsidRPr="00306632">
        <w:rPr>
          <w:rFonts w:eastAsia="Calibri" w:cs="Times New Roman"/>
          <w:bCs/>
          <w:i/>
          <w:iCs/>
        </w:rPr>
        <w:t>.</w:t>
      </w:r>
    </w:p>
    <w:p w14:paraId="339E9275" w14:textId="7217804D" w:rsidR="00F61B46" w:rsidRDefault="007265D4" w:rsidP="001018CB">
      <w:pPr>
        <w:spacing w:after="0"/>
        <w:rPr>
          <w:rFonts w:eastAsia="Calibri" w:cs="Times New Roman"/>
          <w:bCs/>
        </w:rPr>
      </w:pPr>
      <w:r>
        <w:rPr>
          <w:rFonts w:eastAsia="Calibri" w:cs="Times New Roman"/>
          <w:bCs/>
        </w:rPr>
        <w:t>Continuous improvement of the program requires t</w:t>
      </w:r>
      <w:r w:rsidR="001018CB" w:rsidRPr="00113BF9">
        <w:rPr>
          <w:rFonts w:eastAsia="Calibri" w:cs="Times New Roman"/>
          <w:bCs/>
        </w:rPr>
        <w:t>he CER</w:t>
      </w:r>
      <w:r w:rsidR="001018CB" w:rsidRPr="00113BF9" w:rsidDel="007265D4">
        <w:rPr>
          <w:rFonts w:eastAsia="Calibri" w:cs="Times New Roman"/>
          <w:bCs/>
        </w:rPr>
        <w:t xml:space="preserve"> </w:t>
      </w:r>
      <w:r>
        <w:rPr>
          <w:rFonts w:eastAsia="Calibri" w:cs="Times New Roman"/>
          <w:bCs/>
        </w:rPr>
        <w:t>to</w:t>
      </w:r>
      <w:r w:rsidRPr="00113BF9">
        <w:rPr>
          <w:rFonts w:eastAsia="Calibri" w:cs="Times New Roman"/>
          <w:bCs/>
        </w:rPr>
        <w:t xml:space="preserve"> </w:t>
      </w:r>
      <w:r w:rsidR="001018CB">
        <w:rPr>
          <w:rFonts w:eastAsia="Calibri" w:cs="Times New Roman"/>
          <w:bCs/>
        </w:rPr>
        <w:t xml:space="preserve">provide advice </w:t>
      </w:r>
      <w:r w:rsidR="001018CB" w:rsidRPr="00113BF9">
        <w:rPr>
          <w:rFonts w:eastAsia="Calibri" w:cs="Times New Roman"/>
          <w:bCs/>
        </w:rPr>
        <w:t xml:space="preserve">to </w:t>
      </w:r>
      <w:r w:rsidR="001018CB">
        <w:rPr>
          <w:rFonts w:eastAsia="Calibri" w:cs="Times New Roman"/>
          <w:bCs/>
        </w:rPr>
        <w:t xml:space="preserve">the </w:t>
      </w:r>
      <w:r w:rsidR="001018CB" w:rsidRPr="00113BF9">
        <w:rPr>
          <w:rFonts w:eastAsia="Calibri" w:cs="Times New Roman"/>
          <w:bCs/>
        </w:rPr>
        <w:t xml:space="preserve">CAIC </w:t>
      </w:r>
      <w:r w:rsidR="001018CB">
        <w:rPr>
          <w:rFonts w:eastAsia="Calibri" w:cs="Times New Roman"/>
          <w:bCs/>
        </w:rPr>
        <w:t xml:space="preserve">on </w:t>
      </w:r>
      <w:r w:rsidR="001018CB" w:rsidRPr="00113BF9">
        <w:rPr>
          <w:rFonts w:eastAsia="Calibri" w:cs="Times New Roman"/>
          <w:bCs/>
        </w:rPr>
        <w:t xml:space="preserve">potential </w:t>
      </w:r>
      <w:r w:rsidR="001018CB">
        <w:rPr>
          <w:rFonts w:eastAsia="Calibri" w:cs="Times New Roman"/>
          <w:bCs/>
        </w:rPr>
        <w:t>issues or concern</w:t>
      </w:r>
      <w:r w:rsidR="008F68FB">
        <w:rPr>
          <w:rFonts w:eastAsia="Calibri" w:cs="Times New Roman"/>
          <w:bCs/>
        </w:rPr>
        <w:t>s</w:t>
      </w:r>
      <w:r w:rsidR="001018CB">
        <w:rPr>
          <w:rFonts w:eastAsia="Calibri" w:cs="Times New Roman"/>
          <w:bCs/>
        </w:rPr>
        <w:t xml:space="preserve"> or </w:t>
      </w:r>
      <w:r w:rsidR="001018CB" w:rsidRPr="00113BF9">
        <w:rPr>
          <w:rFonts w:eastAsia="Calibri" w:cs="Times New Roman"/>
          <w:bCs/>
        </w:rPr>
        <w:t>improvements to methods that arise from its monitoring program.</w:t>
      </w:r>
      <w:r w:rsidR="00221AF1">
        <w:rPr>
          <w:rFonts w:eastAsia="Calibri" w:cs="Times New Roman"/>
          <w:bCs/>
        </w:rPr>
        <w:t xml:space="preserve"> </w:t>
      </w:r>
    </w:p>
    <w:p w14:paraId="1ECC1326" w14:textId="77777777" w:rsidR="001018CB" w:rsidRDefault="001018CB" w:rsidP="009266E0">
      <w:pPr>
        <w:pStyle w:val="Heading3"/>
      </w:pPr>
      <w:r w:rsidRPr="009266E0">
        <w:t xml:space="preserve">Public consultation </w:t>
      </w:r>
    </w:p>
    <w:p w14:paraId="160766A8" w14:textId="0AA1EC5B" w:rsidR="001018CB" w:rsidRDefault="001018CB" w:rsidP="00EF7EE2">
      <w:pPr>
        <w:pStyle w:val="StyleNormalBody"/>
      </w:pPr>
      <w:r>
        <w:t>Public consultation processes and other elements</w:t>
      </w:r>
      <w:r w:rsidRPr="00AA17B1">
        <w:t xml:space="preserve"> of the </w:t>
      </w:r>
      <w:r>
        <w:t xml:space="preserve">scheme </w:t>
      </w:r>
      <w:r w:rsidR="007265D4">
        <w:t xml:space="preserve">should </w:t>
      </w:r>
      <w:r>
        <w:t xml:space="preserve">be improved </w:t>
      </w:r>
      <w:r w:rsidRPr="00AA17B1">
        <w:t xml:space="preserve">to </w:t>
      </w:r>
      <w:r>
        <w:t>respond to</w:t>
      </w:r>
      <w:r w:rsidRPr="00AA17B1">
        <w:t xml:space="preserve"> the geographic, technological and cultural challenges that many scheme participants face. </w:t>
      </w:r>
    </w:p>
    <w:p w14:paraId="34FA0A4E" w14:textId="77777777" w:rsidR="001018CB" w:rsidRDefault="001018CB" w:rsidP="00EF7EE2">
      <w:pPr>
        <w:pStyle w:val="StyleNormalBody"/>
      </w:pPr>
      <w:r>
        <w:t>E</w:t>
      </w:r>
      <w:r w:rsidRPr="00AA17B1">
        <w:t xml:space="preserve">arly and active engagement with interested and affected parties </w:t>
      </w:r>
      <w:r>
        <w:t>is needed for</w:t>
      </w:r>
      <w:r w:rsidRPr="00AA17B1">
        <w:t xml:space="preserve"> input or validation throughout the method development process.</w:t>
      </w:r>
      <w:r>
        <w:t xml:space="preserve"> </w:t>
      </w:r>
      <w:r w:rsidRPr="00AA17B1">
        <w:t xml:space="preserve">Bespoke approaches may be required to ensure that First Nations voices are heard. </w:t>
      </w:r>
    </w:p>
    <w:p w14:paraId="776A32EA" w14:textId="4492115A" w:rsidR="001018CB" w:rsidRDefault="001018CB" w:rsidP="00EF7EE2">
      <w:pPr>
        <w:pStyle w:val="StyleNormalBody"/>
      </w:pPr>
      <w:r>
        <w:t>There is a need for</w:t>
      </w:r>
      <w:r w:rsidRPr="00AA17B1" w:rsidDel="007265D4">
        <w:t xml:space="preserve"> </w:t>
      </w:r>
      <w:r w:rsidR="007265D4">
        <w:t>suitable</w:t>
      </w:r>
      <w:r w:rsidR="007265D4" w:rsidRPr="00AA17B1">
        <w:t xml:space="preserve"> </w:t>
      </w:r>
      <w:r w:rsidRPr="00AA17B1">
        <w:t>timeframes for consultation processes and active engage</w:t>
      </w:r>
      <w:r>
        <w:t>ment</w:t>
      </w:r>
      <w:r w:rsidRPr="00AA17B1">
        <w:t xml:space="preserve"> with stakeholders particularly in regional and remote areas where access to telecommunications and community facilities is limited. </w:t>
      </w:r>
    </w:p>
    <w:p w14:paraId="417B3F5E" w14:textId="4A143F3E" w:rsidR="00AD4230" w:rsidRDefault="00AD4230" w:rsidP="00EF7EE2">
      <w:pPr>
        <w:pStyle w:val="StyleNormalBody"/>
        <w:rPr>
          <w:noProof/>
          <w:lang w:eastAsia="en-AU"/>
        </w:rPr>
      </w:pPr>
      <w:r w:rsidRPr="00AD4230">
        <w:rPr>
          <w:noProof/>
          <w:lang w:eastAsia="en-AU"/>
        </w:rPr>
        <w:t xml:space="preserve">The CAIC should be empowered to set the minimum consultation period on a case-by-case basis for new and modified methods </w:t>
      </w:r>
      <w:r w:rsidR="007265D4">
        <w:rPr>
          <w:noProof/>
          <w:lang w:eastAsia="en-AU"/>
        </w:rPr>
        <w:t>with the aim to</w:t>
      </w:r>
      <w:r w:rsidR="007265D4" w:rsidRPr="00AD4230">
        <w:rPr>
          <w:noProof/>
          <w:lang w:eastAsia="en-AU"/>
        </w:rPr>
        <w:t xml:space="preserve"> </w:t>
      </w:r>
      <w:r w:rsidRPr="00AD4230">
        <w:rPr>
          <w:noProof/>
          <w:lang w:eastAsia="en-AU"/>
        </w:rPr>
        <w:t>enable maximum transparency and equitable engagemen</w:t>
      </w:r>
      <w:r w:rsidR="0048690F">
        <w:rPr>
          <w:noProof/>
          <w:lang w:eastAsia="en-AU"/>
        </w:rPr>
        <w:t>t</w:t>
      </w:r>
      <w:r w:rsidRPr="00AD4230">
        <w:rPr>
          <w:noProof/>
          <w:lang w:eastAsia="en-AU"/>
        </w:rPr>
        <w:t xml:space="preserve"> and participation.</w:t>
      </w:r>
    </w:p>
    <w:p w14:paraId="2323BE5A" w14:textId="77777777" w:rsidR="0000451B" w:rsidDel="00C90858" w:rsidRDefault="0000451B" w:rsidP="0000451B">
      <w:pPr>
        <w:spacing w:after="0"/>
        <w:rPr>
          <w:rFonts w:eastAsia="Calibri" w:cs="Times New Roman"/>
        </w:rPr>
      </w:pPr>
      <w:r>
        <w:rPr>
          <w:rFonts w:eastAsia="Calibri" w:cs="Times New Roman"/>
        </w:rPr>
        <w:t xml:space="preserve">The strengths of the existing co-design system should be retained in a proponent-led method development model with a broadened scope that enables individuals and groups to participate. </w:t>
      </w:r>
    </w:p>
    <w:p w14:paraId="743EB945" w14:textId="4A9C9209" w:rsidR="001018CB" w:rsidRPr="004739C3" w:rsidRDefault="00123EE5" w:rsidP="00DD2855">
      <w:pPr>
        <w:pStyle w:val="Heading3"/>
      </w:pPr>
      <w:r>
        <w:t>The Department’s role</w:t>
      </w:r>
    </w:p>
    <w:p w14:paraId="25568B12" w14:textId="291DBCFE" w:rsidR="001018CB" w:rsidRPr="00AA5BF5" w:rsidRDefault="001018CB" w:rsidP="001018CB">
      <w:pPr>
        <w:spacing w:after="0"/>
        <w:rPr>
          <w:rFonts w:eastAsia="Calibri" w:cs="Times New Roman"/>
        </w:rPr>
      </w:pPr>
      <w:r w:rsidRPr="00AA5BF5">
        <w:rPr>
          <w:rFonts w:eastAsia="Calibri" w:cs="Times New Roman"/>
        </w:rPr>
        <w:t xml:space="preserve">The Department will continue to administer the legislation for the ACCU scheme. </w:t>
      </w:r>
      <w:r w:rsidR="004A4883">
        <w:rPr>
          <w:rFonts w:eastAsia="Calibri" w:cs="Times New Roman"/>
        </w:rPr>
        <w:t>The Department should:</w:t>
      </w:r>
      <w:r w:rsidRPr="00AA5BF5">
        <w:rPr>
          <w:rFonts w:eastAsia="Calibri" w:cs="Times New Roman"/>
        </w:rPr>
        <w:t xml:space="preserve"> </w:t>
      </w:r>
    </w:p>
    <w:p w14:paraId="71E6065E" w14:textId="1EFD15DE" w:rsidR="00C63502" w:rsidRPr="00C63502" w:rsidRDefault="00C63502" w:rsidP="00612D33">
      <w:pPr>
        <w:pStyle w:val="ListParagraph"/>
        <w:numPr>
          <w:ilvl w:val="0"/>
          <w:numId w:val="22"/>
        </w:numPr>
        <w:ind w:left="714" w:hanging="357"/>
        <w:contextualSpacing w:val="0"/>
        <w:rPr>
          <w:rFonts w:eastAsia="Calibri" w:cs="Times New Roman"/>
        </w:rPr>
      </w:pPr>
      <w:r w:rsidRPr="00AA5BF5">
        <w:rPr>
          <w:rFonts w:eastAsia="Calibri" w:cs="Times New Roman"/>
        </w:rPr>
        <w:t xml:space="preserve">continue to </w:t>
      </w:r>
      <w:r>
        <w:rPr>
          <w:rFonts w:eastAsia="Calibri" w:cs="Times New Roman"/>
        </w:rPr>
        <w:t>advise and support</w:t>
      </w:r>
      <w:r w:rsidRPr="00AA5BF5">
        <w:rPr>
          <w:rFonts w:eastAsia="Calibri" w:cs="Times New Roman"/>
        </w:rPr>
        <w:t xml:space="preserve"> the Minister in relation to</w:t>
      </w:r>
      <w:r>
        <w:rPr>
          <w:rFonts w:eastAsia="Calibri" w:cs="Times New Roman"/>
        </w:rPr>
        <w:t xml:space="preserve"> the scheme, including</w:t>
      </w:r>
      <w:r w:rsidRPr="00AA5BF5">
        <w:rPr>
          <w:rFonts w:eastAsia="Calibri" w:cs="Times New Roman"/>
        </w:rPr>
        <w:t xml:space="preserve"> </w:t>
      </w:r>
      <w:r>
        <w:rPr>
          <w:rFonts w:eastAsia="Calibri" w:cs="Times New Roman"/>
        </w:rPr>
        <w:t xml:space="preserve">the </w:t>
      </w:r>
      <w:r w:rsidRPr="00AA5BF5">
        <w:rPr>
          <w:rFonts w:eastAsia="Calibri" w:cs="Times New Roman"/>
        </w:rPr>
        <w:t xml:space="preserve">making, varying, suspending, or revoking a method, and </w:t>
      </w:r>
      <w:r>
        <w:rPr>
          <w:rFonts w:eastAsia="Calibri" w:cs="Times New Roman"/>
        </w:rPr>
        <w:t>publishing</w:t>
      </w:r>
      <w:r w:rsidRPr="00AA5BF5">
        <w:rPr>
          <w:rFonts w:eastAsia="Calibri" w:cs="Times New Roman"/>
        </w:rPr>
        <w:t xml:space="preserve"> </w:t>
      </w:r>
      <w:r>
        <w:rPr>
          <w:rFonts w:eastAsia="Calibri" w:cs="Times New Roman"/>
        </w:rPr>
        <w:t>relevant</w:t>
      </w:r>
      <w:r w:rsidRPr="00AA5BF5">
        <w:rPr>
          <w:rFonts w:eastAsia="Calibri" w:cs="Times New Roman"/>
        </w:rPr>
        <w:t xml:space="preserve"> information</w:t>
      </w:r>
      <w:r w:rsidR="00123EE5">
        <w:rPr>
          <w:rFonts w:eastAsia="Calibri" w:cs="Times New Roman"/>
        </w:rPr>
        <w:t>;</w:t>
      </w:r>
    </w:p>
    <w:p w14:paraId="77F53043" w14:textId="2999A675" w:rsidR="00A06A55" w:rsidRDefault="00A06A55" w:rsidP="00612D33">
      <w:pPr>
        <w:pStyle w:val="ListParagraph"/>
        <w:numPr>
          <w:ilvl w:val="0"/>
          <w:numId w:val="22"/>
        </w:numPr>
        <w:ind w:left="714" w:hanging="357"/>
        <w:contextualSpacing w:val="0"/>
        <w:rPr>
          <w:rFonts w:eastAsia="Calibri" w:cs="Times New Roman"/>
        </w:rPr>
      </w:pPr>
      <w:r>
        <w:rPr>
          <w:rFonts w:eastAsia="Calibri" w:cs="Times New Roman"/>
        </w:rPr>
        <w:t xml:space="preserve">provide </w:t>
      </w:r>
      <w:r w:rsidR="008C2BF7" w:rsidRPr="008C2BF7">
        <w:rPr>
          <w:rFonts w:eastAsia="Calibri" w:cs="Times New Roman"/>
        </w:rPr>
        <w:t>resources and support (including through capacity building) for individuals and community groups to participate effectively and equitably in the scheme, including as method proponents</w:t>
      </w:r>
      <w:r w:rsidR="00123EE5">
        <w:rPr>
          <w:rFonts w:eastAsia="Calibri" w:cs="Times New Roman"/>
        </w:rPr>
        <w:t>;</w:t>
      </w:r>
    </w:p>
    <w:p w14:paraId="40D44798" w14:textId="686E4DD5" w:rsidR="001018CB" w:rsidRPr="00AA5BF5" w:rsidRDefault="001018CB" w:rsidP="00612D33">
      <w:pPr>
        <w:pStyle w:val="ListParagraph"/>
        <w:numPr>
          <w:ilvl w:val="0"/>
          <w:numId w:val="22"/>
        </w:numPr>
        <w:ind w:left="714" w:hanging="357"/>
        <w:contextualSpacing w:val="0"/>
        <w:rPr>
          <w:rFonts w:eastAsia="Calibri" w:cs="Times New Roman"/>
        </w:rPr>
      </w:pPr>
      <w:r w:rsidRPr="00AA5BF5">
        <w:rPr>
          <w:rFonts w:eastAsia="Calibri" w:cs="Times New Roman"/>
        </w:rPr>
        <w:t>provide technical, policy and administrative support to proponents during the method development process</w:t>
      </w:r>
      <w:r w:rsidR="00123EE5">
        <w:rPr>
          <w:rFonts w:eastAsia="Calibri" w:cs="Times New Roman"/>
        </w:rPr>
        <w:t>; and</w:t>
      </w:r>
    </w:p>
    <w:p w14:paraId="5E09EEBB" w14:textId="741504CE" w:rsidR="00C419D6" w:rsidRPr="00C63502" w:rsidRDefault="001018CB" w:rsidP="00612D33">
      <w:pPr>
        <w:pStyle w:val="ListParagraph"/>
        <w:numPr>
          <w:ilvl w:val="0"/>
          <w:numId w:val="22"/>
        </w:numPr>
        <w:ind w:left="714" w:hanging="357"/>
        <w:contextualSpacing w:val="0"/>
        <w:rPr>
          <w:rFonts w:eastAsia="Calibri" w:cs="Times New Roman"/>
        </w:rPr>
        <w:sectPr w:rsidR="00C419D6" w:rsidRPr="00C63502" w:rsidSect="00521F8E">
          <w:headerReference w:type="even" r:id="rId29"/>
          <w:headerReference w:type="default" r:id="rId30"/>
          <w:headerReference w:type="first" r:id="rId31"/>
          <w:footerReference w:type="first" r:id="rId32"/>
          <w:pgSz w:w="11906" w:h="16838"/>
          <w:pgMar w:top="1440" w:right="1440" w:bottom="1440" w:left="1440" w:header="737" w:footer="567" w:gutter="0"/>
          <w:pgBorders w:offsetFrom="page">
            <w:top w:val="single" w:sz="2" w:space="24" w:color="D5D5D5" w:themeColor="background2"/>
            <w:left w:val="single" w:sz="2" w:space="24" w:color="D5D5D5" w:themeColor="background2"/>
            <w:bottom w:val="single" w:sz="2" w:space="24" w:color="D5D5D5" w:themeColor="background2"/>
            <w:right w:val="single" w:sz="2" w:space="24" w:color="D5D5D5" w:themeColor="background2"/>
          </w:pgBorders>
          <w:pgNumType w:start="1"/>
          <w:cols w:space="708"/>
          <w:titlePg/>
          <w:docGrid w:linePitch="360"/>
        </w:sectPr>
      </w:pPr>
      <w:r w:rsidRPr="00AA5BF5">
        <w:rPr>
          <w:rFonts w:eastAsia="Calibri" w:cs="Times New Roman"/>
        </w:rPr>
        <w:t>provide legislative drafting support</w:t>
      </w:r>
      <w:r w:rsidR="00A06A55">
        <w:rPr>
          <w:rFonts w:eastAsia="Calibri" w:cs="Times New Roman"/>
        </w:rPr>
        <w:t xml:space="preserve"> and legal advice</w:t>
      </w:r>
      <w:r w:rsidRPr="00AA5BF5">
        <w:rPr>
          <w:rFonts w:eastAsia="Calibri" w:cs="Times New Roman"/>
        </w:rPr>
        <w:t>, noting that methods are legislative instrument</w:t>
      </w:r>
      <w:bookmarkStart w:id="68" w:name="_Toc121818587"/>
      <w:bookmarkStart w:id="69" w:name="_Toc121817701"/>
      <w:r w:rsidR="00C63502">
        <w:rPr>
          <w:rFonts w:eastAsia="Calibri" w:cs="Times New Roman"/>
        </w:rPr>
        <w:t>s</w:t>
      </w:r>
      <w:r w:rsidR="00123EE5">
        <w:rPr>
          <w:rFonts w:eastAsia="Calibri" w:cs="Times New Roman"/>
        </w:rPr>
        <w:t>.</w:t>
      </w:r>
    </w:p>
    <w:p w14:paraId="1039986B" w14:textId="77777777" w:rsidR="00D43632" w:rsidRDefault="00D43632" w:rsidP="0002562F">
      <w:pPr>
        <w:keepNext/>
      </w:pPr>
    </w:p>
    <w:p w14:paraId="637112B8" w14:textId="77777777" w:rsidR="0002562F" w:rsidRDefault="0002562F" w:rsidP="0002562F">
      <w:pPr>
        <w:pStyle w:val="Caption"/>
        <w:keepNext/>
      </w:pPr>
    </w:p>
    <w:p w14:paraId="445B3A01" w14:textId="77777777" w:rsidR="0002562F" w:rsidRPr="0002562F" w:rsidRDefault="0002562F" w:rsidP="0002562F"/>
    <w:p w14:paraId="03E80260" w14:textId="77777777" w:rsidR="0002562F" w:rsidRDefault="0002562F" w:rsidP="0002562F">
      <w:pPr>
        <w:pStyle w:val="Caption"/>
        <w:keepNext/>
      </w:pPr>
    </w:p>
    <w:p w14:paraId="0C990B6E" w14:textId="6DF59B6C" w:rsidR="0002562F" w:rsidRDefault="0002562F" w:rsidP="0002562F">
      <w:pPr>
        <w:pStyle w:val="Caption"/>
        <w:keepNext/>
        <w:rPr>
          <w:sz w:val="20"/>
        </w:rPr>
      </w:pPr>
      <w:bookmarkStart w:id="70" w:name="_Ref122359946"/>
      <w:bookmarkStart w:id="71" w:name="_Toc122359103"/>
      <w:r w:rsidRPr="0002562F">
        <w:rPr>
          <w:sz w:val="20"/>
        </w:rPr>
        <w:t xml:space="preserve">Figure </w:t>
      </w:r>
      <w:r w:rsidRPr="0002562F">
        <w:rPr>
          <w:sz w:val="20"/>
        </w:rPr>
        <w:fldChar w:fldCharType="begin"/>
      </w:r>
      <w:r w:rsidRPr="0002562F">
        <w:rPr>
          <w:sz w:val="20"/>
        </w:rPr>
        <w:instrText xml:space="preserve"> SEQ Figure \* ARABIC </w:instrText>
      </w:r>
      <w:r w:rsidRPr="0002562F">
        <w:rPr>
          <w:sz w:val="20"/>
        </w:rPr>
        <w:fldChar w:fldCharType="separate"/>
      </w:r>
      <w:r w:rsidRPr="0002562F">
        <w:rPr>
          <w:noProof/>
          <w:sz w:val="20"/>
        </w:rPr>
        <w:t>1</w:t>
      </w:r>
      <w:r w:rsidRPr="0002562F">
        <w:rPr>
          <w:sz w:val="20"/>
        </w:rPr>
        <w:fldChar w:fldCharType="end"/>
      </w:r>
      <w:bookmarkEnd w:id="70"/>
      <w:r w:rsidRPr="0002562F">
        <w:rPr>
          <w:sz w:val="20"/>
        </w:rPr>
        <w:t>. Proponent-led process for method development and modification</w:t>
      </w:r>
      <w:bookmarkEnd w:id="71"/>
    </w:p>
    <w:p w14:paraId="025879DF" w14:textId="77777777" w:rsidR="00E82692" w:rsidRPr="00E82692" w:rsidRDefault="00E82692" w:rsidP="00E82692"/>
    <w:p w14:paraId="627E893D" w14:textId="77777777" w:rsidR="00E9088B" w:rsidRPr="00E9088B" w:rsidRDefault="00E9088B" w:rsidP="00E9088B"/>
    <w:p w14:paraId="5AFE85AB" w14:textId="0138071F" w:rsidR="0002562F" w:rsidRDefault="003A6956" w:rsidP="0002562F">
      <w:pPr>
        <w:keepNext/>
      </w:pPr>
      <w:r>
        <w:rPr>
          <w:noProof/>
          <w:lang w:eastAsia="en-AU"/>
        </w:rPr>
        <w:drawing>
          <wp:inline distT="0" distB="0" distL="0" distR="0" wp14:anchorId="0B6E7A02" wp14:editId="7423170B">
            <wp:extent cx="97726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2650" cy="2828925"/>
                    </a:xfrm>
                    <a:prstGeom prst="rect">
                      <a:avLst/>
                    </a:prstGeom>
                    <a:noFill/>
                    <a:ln>
                      <a:noFill/>
                    </a:ln>
                  </pic:spPr>
                </pic:pic>
              </a:graphicData>
            </a:graphic>
          </wp:inline>
        </w:drawing>
      </w:r>
    </w:p>
    <w:p w14:paraId="15125B56" w14:textId="243013B7" w:rsidR="00C419D6" w:rsidRPr="00C419D6" w:rsidRDefault="00C419D6" w:rsidP="0002562F">
      <w:pPr>
        <w:pStyle w:val="Caption"/>
        <w:sectPr w:rsidR="00C419D6" w:rsidRPr="00C419D6" w:rsidSect="007E1919">
          <w:pgSz w:w="16838" w:h="11906" w:orient="landscape"/>
          <w:pgMar w:top="720" w:right="720" w:bottom="720" w:left="720" w:header="737" w:footer="708" w:gutter="0"/>
          <w:cols w:space="708"/>
          <w:titlePg/>
          <w:docGrid w:linePitch="360"/>
        </w:sectPr>
      </w:pPr>
    </w:p>
    <w:p w14:paraId="70857BA0" w14:textId="77777777" w:rsidR="001018CB" w:rsidRPr="003776B7" w:rsidRDefault="001018CB" w:rsidP="008B5D03">
      <w:pPr>
        <w:pStyle w:val="Heading3"/>
      </w:pPr>
      <w:r w:rsidRPr="003776B7">
        <w:lastRenderedPageBreak/>
        <w:t>Expression of interest (EOI)</w:t>
      </w:r>
      <w:bookmarkEnd w:id="68"/>
      <w:bookmarkEnd w:id="69"/>
    </w:p>
    <w:p w14:paraId="4BE492EC" w14:textId="17F73A0F" w:rsidR="001018CB" w:rsidRPr="00AA5BF5" w:rsidRDefault="001018CB" w:rsidP="001018CB">
      <w:pPr>
        <w:spacing w:after="0"/>
        <w:rPr>
          <w:rFonts w:eastAsia="Calibri" w:cs="Times New Roman"/>
        </w:rPr>
      </w:pPr>
      <w:r w:rsidRPr="00AA5BF5">
        <w:rPr>
          <w:rFonts w:eastAsia="Calibri" w:cs="Times New Roman"/>
        </w:rPr>
        <w:t xml:space="preserve">Proponents will submit an Expression of Interest (EOI) </w:t>
      </w:r>
      <w:r w:rsidR="00CE1CDE">
        <w:rPr>
          <w:rFonts w:eastAsia="Calibri" w:cs="Times New Roman"/>
        </w:rPr>
        <w:t>for</w:t>
      </w:r>
      <w:r w:rsidRPr="00AA5BF5">
        <w:rPr>
          <w:rFonts w:eastAsia="Calibri" w:cs="Times New Roman"/>
        </w:rPr>
        <w:t xml:space="preserve"> a new method, a modification of an existing method</w:t>
      </w:r>
      <w:r w:rsidR="00CB6F4E">
        <w:rPr>
          <w:rFonts w:eastAsia="Calibri" w:cs="Times New Roman"/>
        </w:rPr>
        <w:t xml:space="preserve"> (method module)</w:t>
      </w:r>
      <w:r w:rsidRPr="00AA5BF5">
        <w:rPr>
          <w:rFonts w:eastAsia="Calibri" w:cs="Times New Roman"/>
        </w:rPr>
        <w:t>, or a new project</w:t>
      </w:r>
      <w:r>
        <w:rPr>
          <w:rFonts w:eastAsia="Calibri" w:cs="Times New Roman"/>
        </w:rPr>
        <w:t xml:space="preserve"> registration application</w:t>
      </w:r>
      <w:r w:rsidRPr="00AA5BF5">
        <w:rPr>
          <w:rFonts w:eastAsia="Calibri" w:cs="Times New Roman"/>
        </w:rPr>
        <w:t xml:space="preserve"> to </w:t>
      </w:r>
      <w:r>
        <w:rPr>
          <w:rFonts w:eastAsia="Calibri" w:cs="Times New Roman"/>
        </w:rPr>
        <w:t xml:space="preserve">the </w:t>
      </w:r>
      <w:r w:rsidRPr="00AA5BF5">
        <w:rPr>
          <w:rFonts w:eastAsia="Calibri" w:cs="Times New Roman"/>
        </w:rPr>
        <w:t xml:space="preserve">CAIC. </w:t>
      </w:r>
    </w:p>
    <w:p w14:paraId="5F365838" w14:textId="71ADC607" w:rsidR="00E4097F" w:rsidRPr="00E4097F" w:rsidRDefault="001018CB" w:rsidP="00E4097F">
      <w:pPr>
        <w:spacing w:after="0"/>
        <w:rPr>
          <w:rFonts w:eastAsia="Calibri" w:cs="Times New Roman"/>
        </w:rPr>
      </w:pPr>
      <w:r w:rsidRPr="00AA5BF5">
        <w:rPr>
          <w:rFonts w:eastAsia="Calibri" w:cs="Times New Roman"/>
        </w:rPr>
        <w:t xml:space="preserve">Each EOI will include </w:t>
      </w:r>
      <w:r w:rsidR="00E4097F">
        <w:rPr>
          <w:rFonts w:eastAsia="Calibri" w:cs="Times New Roman"/>
        </w:rPr>
        <w:t xml:space="preserve">an outline of how the proposal meets the Offsets Integrity Standards (OIS) as well as a </w:t>
      </w:r>
      <w:r w:rsidR="00E4097F" w:rsidRPr="00E4097F">
        <w:rPr>
          <w:rFonts w:eastAsia="Calibri" w:cs="Times New Roman"/>
        </w:rPr>
        <w:t>declar</w:t>
      </w:r>
      <w:r w:rsidR="00E4097F">
        <w:rPr>
          <w:rFonts w:eastAsia="Calibri" w:cs="Times New Roman"/>
        </w:rPr>
        <w:t>ation</w:t>
      </w:r>
      <w:r w:rsidR="00E4097F" w:rsidRPr="00E4097F">
        <w:rPr>
          <w:rFonts w:eastAsia="Calibri" w:cs="Times New Roman"/>
        </w:rPr>
        <w:t xml:space="preserve"> that </w:t>
      </w:r>
      <w:r w:rsidR="00E4097F">
        <w:rPr>
          <w:rFonts w:eastAsia="Calibri" w:cs="Times New Roman"/>
        </w:rPr>
        <w:t>the proposal</w:t>
      </w:r>
      <w:r w:rsidR="00E4097F" w:rsidRPr="00E4097F">
        <w:rPr>
          <w:rFonts w:eastAsia="Calibri" w:cs="Times New Roman"/>
        </w:rPr>
        <w:t xml:space="preserve"> meet</w:t>
      </w:r>
      <w:r w:rsidR="00E4097F">
        <w:rPr>
          <w:rFonts w:eastAsia="Calibri" w:cs="Times New Roman"/>
        </w:rPr>
        <w:t>s</w:t>
      </w:r>
      <w:r w:rsidR="00E4097F" w:rsidRPr="00E4097F">
        <w:rPr>
          <w:rFonts w:eastAsia="Calibri" w:cs="Times New Roman"/>
        </w:rPr>
        <w:t xml:space="preserve"> and will continue to meet the </w:t>
      </w:r>
      <w:r w:rsidR="00E4097F">
        <w:rPr>
          <w:rFonts w:eastAsia="Calibri" w:cs="Times New Roman"/>
        </w:rPr>
        <w:t>broader</w:t>
      </w:r>
      <w:r w:rsidR="00E4097F" w:rsidRPr="00E4097F">
        <w:rPr>
          <w:rFonts w:eastAsia="Calibri" w:cs="Times New Roman"/>
        </w:rPr>
        <w:t xml:space="preserve"> ACCU </w:t>
      </w:r>
      <w:r w:rsidR="00055B04">
        <w:rPr>
          <w:rFonts w:eastAsia="Calibri" w:cs="Times New Roman"/>
        </w:rPr>
        <w:t>S</w:t>
      </w:r>
      <w:r w:rsidR="00E4097F" w:rsidRPr="00E4097F">
        <w:rPr>
          <w:rFonts w:eastAsia="Calibri" w:cs="Times New Roman"/>
        </w:rPr>
        <w:t xml:space="preserve">cheme </w:t>
      </w:r>
      <w:r w:rsidR="00055B04">
        <w:rPr>
          <w:rFonts w:eastAsia="Calibri" w:cs="Times New Roman"/>
        </w:rPr>
        <w:t>P</w:t>
      </w:r>
      <w:r w:rsidR="00E4097F" w:rsidRPr="00E4097F">
        <w:rPr>
          <w:rFonts w:eastAsia="Calibri" w:cs="Times New Roman"/>
        </w:rPr>
        <w:t>rinciple</w:t>
      </w:r>
      <w:r w:rsidR="00E4097F">
        <w:rPr>
          <w:rFonts w:eastAsia="Calibri" w:cs="Times New Roman"/>
        </w:rPr>
        <w:t>s</w:t>
      </w:r>
      <w:r w:rsidR="0085156A">
        <w:rPr>
          <w:rFonts w:eastAsia="Calibri" w:cs="Times New Roman"/>
        </w:rPr>
        <w:t xml:space="preserve"> and participation eligibility requirements </w:t>
      </w:r>
      <w:r w:rsidR="00E4097F">
        <w:rPr>
          <w:rFonts w:eastAsia="Calibri" w:cs="Times New Roman"/>
        </w:rPr>
        <w:t>(</w:t>
      </w:r>
      <w:r w:rsidR="00E4097F" w:rsidRPr="00404F77">
        <w:rPr>
          <w:rFonts w:eastAsia="Calibri" w:cs="Times New Roman"/>
          <w:b/>
          <w:bCs/>
        </w:rPr>
        <w:t>Recommendation 6</w:t>
      </w:r>
      <w:r w:rsidR="00E4097F" w:rsidRPr="00E4097F">
        <w:rPr>
          <w:rFonts w:eastAsia="Calibri" w:cs="Times New Roman"/>
        </w:rPr>
        <w:t>).</w:t>
      </w:r>
    </w:p>
    <w:p w14:paraId="1C087D9E" w14:textId="42740578" w:rsidR="001018CB" w:rsidRPr="00AC3308" w:rsidRDefault="001018CB" w:rsidP="001018CB">
      <w:pPr>
        <w:spacing w:after="0"/>
        <w:rPr>
          <w:rFonts w:eastAsia="Calibri" w:cs="Times New Roman"/>
        </w:rPr>
      </w:pPr>
      <w:r w:rsidRPr="00AC3308">
        <w:rPr>
          <w:rFonts w:eastAsia="Calibri" w:cs="Times New Roman"/>
        </w:rPr>
        <w:t>The Minister may propose methods</w:t>
      </w:r>
      <w:r w:rsidR="006916A6" w:rsidRPr="00AC3308">
        <w:rPr>
          <w:rFonts w:eastAsia="Calibri" w:cs="Times New Roman"/>
        </w:rPr>
        <w:t xml:space="preserve"> or modules</w:t>
      </w:r>
      <w:r w:rsidRPr="00AC3308">
        <w:rPr>
          <w:rFonts w:eastAsia="Calibri" w:cs="Times New Roman"/>
        </w:rPr>
        <w:t xml:space="preserve"> that go through the triage process but should not be obliged to set annual priorities or targets. </w:t>
      </w:r>
    </w:p>
    <w:p w14:paraId="0CC7CD06" w14:textId="30B0EC0A" w:rsidR="001018CB" w:rsidRPr="008B5D03" w:rsidRDefault="001018CB" w:rsidP="008B5D03">
      <w:pPr>
        <w:pStyle w:val="Heading3"/>
      </w:pPr>
      <w:r w:rsidRPr="008B5D03">
        <w:t>Triage</w:t>
      </w:r>
    </w:p>
    <w:p w14:paraId="03D9DF12" w14:textId="4B353C15" w:rsidR="00E26E3A" w:rsidRPr="00CE26B2" w:rsidRDefault="00E26E3A" w:rsidP="00E26E3A">
      <w:pPr>
        <w:pStyle w:val="Bullets"/>
        <w:numPr>
          <w:ilvl w:val="0"/>
          <w:numId w:val="0"/>
        </w:numPr>
        <w:rPr>
          <w:highlight w:val="yellow"/>
        </w:rPr>
      </w:pPr>
      <w:r>
        <w:t>The triage is in place to</w:t>
      </w:r>
      <w:r w:rsidRPr="00BC6756">
        <w:t xml:space="preserve"> support efficiency in</w:t>
      </w:r>
      <w:r w:rsidR="00BC6756">
        <w:t xml:space="preserve"> t</w:t>
      </w:r>
      <w:r w:rsidR="001018CB">
        <w:t xml:space="preserve">he </w:t>
      </w:r>
      <w:r w:rsidR="00EC456A">
        <w:t>development and approval of eligible offsets activities</w:t>
      </w:r>
      <w:r w:rsidR="001626AF">
        <w:t xml:space="preserve"> by </w:t>
      </w:r>
      <w:r w:rsidRPr="00BC6756">
        <w:t xml:space="preserve">coordinating, preventing duplication, </w:t>
      </w:r>
      <w:r w:rsidR="001626AF" w:rsidRPr="001626AF">
        <w:t>and</w:t>
      </w:r>
      <w:r w:rsidRPr="00BC6756">
        <w:t xml:space="preserve"> promoting best practice and innovation.</w:t>
      </w:r>
    </w:p>
    <w:p w14:paraId="7469CD27" w14:textId="39C629F5" w:rsidR="001018CB" w:rsidRDefault="005D2F68" w:rsidP="008E21FA">
      <w:r>
        <w:t>When the</w:t>
      </w:r>
      <w:r w:rsidR="001018CB">
        <w:t xml:space="preserve"> </w:t>
      </w:r>
      <w:r w:rsidR="001018CB" w:rsidRPr="004C17C8">
        <w:t>CAIC</w:t>
      </w:r>
      <w:r w:rsidR="001018CB" w:rsidRPr="00AB4480">
        <w:rPr>
          <w:b/>
          <w:bCs/>
        </w:rPr>
        <w:t xml:space="preserve"> </w:t>
      </w:r>
      <w:r w:rsidRPr="005D2F68">
        <w:t>has</w:t>
      </w:r>
      <w:r>
        <w:rPr>
          <w:b/>
          <w:bCs/>
        </w:rPr>
        <w:t xml:space="preserve"> </w:t>
      </w:r>
      <w:r w:rsidR="001018CB" w:rsidRPr="008A454B">
        <w:t>assess</w:t>
      </w:r>
      <w:r w:rsidR="001018CB">
        <w:t>e</w:t>
      </w:r>
      <w:r>
        <w:t>d</w:t>
      </w:r>
      <w:r w:rsidR="001018CB" w:rsidRPr="008A454B">
        <w:t xml:space="preserve"> </w:t>
      </w:r>
      <w:r w:rsidR="00E26E3A">
        <w:t>an</w:t>
      </w:r>
      <w:r w:rsidR="001018CB" w:rsidRPr="008A454B">
        <w:t xml:space="preserve"> EOI</w:t>
      </w:r>
      <w:r w:rsidR="001018CB">
        <w:t xml:space="preserve"> </w:t>
      </w:r>
      <w:r>
        <w:t xml:space="preserve">it must </w:t>
      </w:r>
      <w:r w:rsidR="008E21FA">
        <w:t xml:space="preserve">publish reasons for its </w:t>
      </w:r>
      <w:r>
        <w:t>decision:</w:t>
      </w:r>
    </w:p>
    <w:p w14:paraId="19F0557E" w14:textId="12A8B9F6" w:rsidR="001018CB" w:rsidRDefault="001018CB" w:rsidP="00901787">
      <w:pPr>
        <w:pStyle w:val="Bullets"/>
      </w:pPr>
      <w:r>
        <w:t>If the EOI is eligible</w:t>
      </w:r>
      <w:r w:rsidR="008E21FA">
        <w:t xml:space="preserve"> to proceed</w:t>
      </w:r>
      <w:r>
        <w:t xml:space="preserve">, the proponent takes responsibility for </w:t>
      </w:r>
      <w:r w:rsidR="00E26E3A">
        <w:t xml:space="preserve">developing </w:t>
      </w:r>
      <w:r w:rsidR="005D2F68">
        <w:t xml:space="preserve">a new or varied </w:t>
      </w:r>
      <w:r>
        <w:t>method or module.</w:t>
      </w:r>
    </w:p>
    <w:p w14:paraId="340C9439" w14:textId="7DDF7359" w:rsidR="001018CB" w:rsidRDefault="005D2F68" w:rsidP="00901787">
      <w:pPr>
        <w:pStyle w:val="Bullets"/>
      </w:pPr>
      <w:r>
        <w:t xml:space="preserve">If the EOI is covered </w:t>
      </w:r>
      <w:r w:rsidR="007953EB">
        <w:t>by</w:t>
      </w:r>
      <w:r>
        <w:t xml:space="preserve"> an existing method</w:t>
      </w:r>
      <w:r w:rsidR="00955150">
        <w:t xml:space="preserve"> or module</w:t>
      </w:r>
      <w:r>
        <w:t xml:space="preserve">, it is </w:t>
      </w:r>
      <w:r w:rsidR="001018CB">
        <w:t>triaged to the CER</w:t>
      </w:r>
      <w:r w:rsidR="00E845DE">
        <w:t xml:space="preserve"> for project assessment for registration</w:t>
      </w:r>
      <w:r>
        <w:t>.</w:t>
      </w:r>
      <w:r w:rsidR="001018CB">
        <w:t xml:space="preserve"> </w:t>
      </w:r>
    </w:p>
    <w:p w14:paraId="619F1331" w14:textId="4F59A4B0" w:rsidR="001018CB" w:rsidRPr="003372FB" w:rsidRDefault="001018CB" w:rsidP="00901787">
      <w:pPr>
        <w:pStyle w:val="Bullets"/>
      </w:pPr>
      <w:r w:rsidRPr="003372FB">
        <w:t xml:space="preserve">The CAIC must assess </w:t>
      </w:r>
      <w:r w:rsidR="004F6F13" w:rsidRPr="003372FB">
        <w:t>an EOI</w:t>
      </w:r>
      <w:r w:rsidRPr="003372FB">
        <w:t xml:space="preserve"> </w:t>
      </w:r>
      <w:r w:rsidR="000B5AFB" w:rsidRPr="003372FB">
        <w:t>and triage</w:t>
      </w:r>
      <w:r w:rsidR="004F6F13" w:rsidRPr="003372FB">
        <w:t xml:space="preserve"> it</w:t>
      </w:r>
      <w:r w:rsidR="000B5AFB" w:rsidRPr="003372FB">
        <w:t xml:space="preserve"> </w:t>
      </w:r>
      <w:r w:rsidRPr="003372FB">
        <w:t xml:space="preserve">within </w:t>
      </w:r>
      <w:r w:rsidR="00FA00FE" w:rsidRPr="003372FB">
        <w:t>a prescribed timeframe</w:t>
      </w:r>
      <w:r w:rsidRPr="003372FB">
        <w:t xml:space="preserve">. </w:t>
      </w:r>
    </w:p>
    <w:p w14:paraId="2EB01964" w14:textId="317D5368" w:rsidR="001018CB" w:rsidRPr="0092799D" w:rsidRDefault="001018CB" w:rsidP="0092799D">
      <w:pPr>
        <w:pStyle w:val="Heading3"/>
      </w:pPr>
      <w:r w:rsidRPr="0092799D">
        <w:t xml:space="preserve">Method and module approval </w:t>
      </w:r>
    </w:p>
    <w:p w14:paraId="657C51F0" w14:textId="5169FEC1" w:rsidR="00722F1D" w:rsidRDefault="00E26E3A" w:rsidP="001018CB">
      <w:pPr>
        <w:spacing w:after="0"/>
      </w:pPr>
      <w:r>
        <w:t>Following the development</w:t>
      </w:r>
      <w:r w:rsidR="001018CB" w:rsidRPr="00AA5BF5">
        <w:rPr>
          <w:rFonts w:eastAsia="Calibri" w:cs="Times New Roman"/>
        </w:rPr>
        <w:t xml:space="preserve"> of a </w:t>
      </w:r>
      <w:r w:rsidR="00057487">
        <w:t>draft</w:t>
      </w:r>
      <w:r>
        <w:t xml:space="preserve"> </w:t>
      </w:r>
      <w:r w:rsidR="001018CB" w:rsidRPr="00AA5BF5">
        <w:rPr>
          <w:rFonts w:eastAsia="Calibri" w:cs="Times New Roman"/>
        </w:rPr>
        <w:t xml:space="preserve">method or </w:t>
      </w:r>
      <w:r>
        <w:t>module, t</w:t>
      </w:r>
      <w:r w:rsidR="00BC6756">
        <w:t xml:space="preserve">he CAIC </w:t>
      </w:r>
      <w:r w:rsidR="00456896">
        <w:t>will</w:t>
      </w:r>
      <w:r w:rsidR="00BC6756">
        <w:t xml:space="preserve"> review the </w:t>
      </w:r>
      <w:r w:rsidR="00057487">
        <w:t>draft</w:t>
      </w:r>
      <w:r w:rsidR="00BC6756">
        <w:t xml:space="preserve"> </w:t>
      </w:r>
      <w:r w:rsidR="00722F1D">
        <w:t>against the scheme criteria</w:t>
      </w:r>
      <w:r w:rsidR="003F320F">
        <w:t xml:space="preserve"> and feasibility. </w:t>
      </w:r>
    </w:p>
    <w:p w14:paraId="1101A76B" w14:textId="293C8A26" w:rsidR="00722F1D" w:rsidRDefault="00722F1D" w:rsidP="001018CB">
      <w:pPr>
        <w:spacing w:after="0"/>
      </w:pPr>
      <w:r>
        <w:t>Following review, the CAIC:</w:t>
      </w:r>
    </w:p>
    <w:p w14:paraId="7B177F0B" w14:textId="7BA7510A" w:rsidR="00722F1D" w:rsidRDefault="00722F1D" w:rsidP="00722F1D">
      <w:pPr>
        <w:pStyle w:val="Bullets"/>
      </w:pPr>
      <w:r>
        <w:t>endorses and recommends the method for approval;</w:t>
      </w:r>
      <w:r w:rsidR="00E845DE">
        <w:t xml:space="preserve"> or</w:t>
      </w:r>
    </w:p>
    <w:p w14:paraId="15BFE088" w14:textId="3727C2B1" w:rsidR="00722F1D" w:rsidRDefault="00722F1D" w:rsidP="00722F1D">
      <w:pPr>
        <w:pStyle w:val="Bullets"/>
      </w:pPr>
      <w:r>
        <w:t>approves the module (as a modification to an existing method);</w:t>
      </w:r>
      <w:r w:rsidR="00E845DE">
        <w:t xml:space="preserve"> or</w:t>
      </w:r>
    </w:p>
    <w:p w14:paraId="206AB4AC" w14:textId="5DABF743" w:rsidR="00722F1D" w:rsidRDefault="00722F1D" w:rsidP="00722F1D">
      <w:pPr>
        <w:pStyle w:val="Bullets"/>
      </w:pPr>
      <w:r>
        <w:t>rejects the method or module with advice for improvement;</w:t>
      </w:r>
      <w:r w:rsidR="008C2BF7">
        <w:t xml:space="preserve"> or</w:t>
      </w:r>
    </w:p>
    <w:p w14:paraId="3A3E6B60" w14:textId="2437F834" w:rsidR="00722F1D" w:rsidRDefault="00722F1D" w:rsidP="00722F1D">
      <w:pPr>
        <w:pStyle w:val="Bullets"/>
      </w:pPr>
      <w:r>
        <w:t>rejects the method or module</w:t>
      </w:r>
      <w:r w:rsidR="008C2BF7">
        <w:t xml:space="preserve">. </w:t>
      </w:r>
    </w:p>
    <w:p w14:paraId="0DA710C6" w14:textId="56E5C15B" w:rsidR="00722F1D" w:rsidRDefault="00722F1D" w:rsidP="00722F1D">
      <w:pPr>
        <w:pStyle w:val="Bullets"/>
        <w:numPr>
          <w:ilvl w:val="0"/>
          <w:numId w:val="0"/>
        </w:numPr>
      </w:pPr>
      <w:r>
        <w:t xml:space="preserve">The CAIC will provide and publish reasons for its decisions. </w:t>
      </w:r>
    </w:p>
    <w:p w14:paraId="38D45A8A" w14:textId="2C0BD511" w:rsidR="003F320F" w:rsidRDefault="003F320F" w:rsidP="00221AF1">
      <w:pPr>
        <w:spacing w:after="0"/>
      </w:pPr>
      <w:r>
        <w:t xml:space="preserve">The CAIC should consult with other bodies </w:t>
      </w:r>
      <w:r w:rsidR="0035473D">
        <w:t>(</w:t>
      </w:r>
      <w:r w:rsidR="0003332A">
        <w:t>including auditors</w:t>
      </w:r>
      <w:r w:rsidR="0035473D">
        <w:t xml:space="preserve">) </w:t>
      </w:r>
      <w:r>
        <w:t xml:space="preserve">to support continuous improvement of the scheme. </w:t>
      </w:r>
    </w:p>
    <w:p w14:paraId="5A76B8AA" w14:textId="238A2C92" w:rsidR="00057487" w:rsidRDefault="00345F08" w:rsidP="00345F08">
      <w:r>
        <w:t xml:space="preserve">Importantly, the qualities of </w:t>
      </w:r>
      <w:r w:rsidR="00057487">
        <w:t>the draft methods and modules</w:t>
      </w:r>
      <w:r>
        <w:t xml:space="preserve"> </w:t>
      </w:r>
      <w:r w:rsidR="00410100">
        <w:t>must</w:t>
      </w:r>
      <w:r w:rsidR="003F320F">
        <w:t xml:space="preserve"> be</w:t>
      </w:r>
      <w:r>
        <w:t xml:space="preserve"> tested </w:t>
      </w:r>
      <w:r w:rsidR="003F320F">
        <w:t>through public consultation to assess whether the method:</w:t>
      </w:r>
    </w:p>
    <w:p w14:paraId="48ED58EF" w14:textId="21A37B7C" w:rsidR="00E26E3A" w:rsidRPr="003977E5" w:rsidRDefault="003F320F" w:rsidP="00E26E3A">
      <w:pPr>
        <w:pStyle w:val="Bullets"/>
      </w:pPr>
      <w:r>
        <w:t xml:space="preserve">is </w:t>
      </w:r>
      <w:r w:rsidR="00E26E3A" w:rsidRPr="003977E5">
        <w:t>fit</w:t>
      </w:r>
      <w:r w:rsidR="00E26E3A">
        <w:t>-</w:t>
      </w:r>
      <w:r w:rsidR="00E26E3A" w:rsidRPr="003977E5">
        <w:t>for</w:t>
      </w:r>
      <w:r w:rsidR="00E26E3A">
        <w:t>-</w:t>
      </w:r>
      <w:r w:rsidR="00E26E3A" w:rsidRPr="003977E5">
        <w:t>purpose</w:t>
      </w:r>
      <w:r w:rsidR="00E26E3A">
        <w:t>;</w:t>
      </w:r>
    </w:p>
    <w:p w14:paraId="547991BB" w14:textId="1FFB28CC" w:rsidR="00E26E3A" w:rsidRPr="003977E5" w:rsidRDefault="00E26E3A" w:rsidP="00E26E3A">
      <w:pPr>
        <w:pStyle w:val="Bullets"/>
      </w:pPr>
      <w:r w:rsidRPr="003977E5">
        <w:t>meet</w:t>
      </w:r>
      <w:r w:rsidR="003F320F">
        <w:t>s</w:t>
      </w:r>
      <w:r w:rsidRPr="003977E5">
        <w:t xml:space="preserve"> the </w:t>
      </w:r>
      <w:r>
        <w:t xml:space="preserve">OIS as well as broader </w:t>
      </w:r>
      <w:r w:rsidR="00905307">
        <w:t>sc</w:t>
      </w:r>
      <w:r>
        <w:t xml:space="preserve">heme </w:t>
      </w:r>
      <w:r w:rsidR="00905307">
        <w:t>P</w:t>
      </w:r>
      <w:r>
        <w:t>rinciples</w:t>
      </w:r>
      <w:r w:rsidR="00905307">
        <w:t xml:space="preserve"> (</w:t>
      </w:r>
      <w:r w:rsidR="00905307" w:rsidRPr="00ED0904">
        <w:rPr>
          <w:b/>
          <w:bCs/>
        </w:rPr>
        <w:t>Recommendation 6</w:t>
      </w:r>
      <w:r w:rsidR="00905307">
        <w:t>)</w:t>
      </w:r>
      <w:r>
        <w:t xml:space="preserve"> and provisions; and</w:t>
      </w:r>
    </w:p>
    <w:p w14:paraId="56D882A8" w14:textId="76C275C4" w:rsidR="00E26E3A" w:rsidRPr="00673110" w:rsidRDefault="003F320F" w:rsidP="00E26E3A">
      <w:pPr>
        <w:pStyle w:val="Bullets"/>
      </w:pPr>
      <w:r>
        <w:t xml:space="preserve">is </w:t>
      </w:r>
      <w:r w:rsidR="00E26E3A" w:rsidRPr="003977E5">
        <w:t>likely to cause adverse social, environmental or economic impacts</w:t>
      </w:r>
      <w:r w:rsidR="00E26E3A">
        <w:t xml:space="preserve">. </w:t>
      </w:r>
    </w:p>
    <w:p w14:paraId="670A0FC7" w14:textId="4996163C" w:rsidR="00C047D9" w:rsidRDefault="00C047D9" w:rsidP="00C047D9">
      <w:pPr>
        <w:spacing w:after="0"/>
      </w:pPr>
      <w:r>
        <w:t>In making a draft method or module, the onus is on the proponent to provide robust evidence that the draft meets the</w:t>
      </w:r>
      <w:r w:rsidR="00522996">
        <w:t xml:space="preserve"> scheme</w:t>
      </w:r>
      <w:r>
        <w:t xml:space="preserve"> criteria. </w:t>
      </w:r>
    </w:p>
    <w:p w14:paraId="03FE9108" w14:textId="25A0AC90" w:rsidR="001018CB" w:rsidRPr="003C624C" w:rsidRDefault="00057487" w:rsidP="003C624C">
      <w:pPr>
        <w:spacing w:after="0"/>
        <w:rPr>
          <w:rFonts w:eastAsia="Calibri" w:cs="Times New Roman"/>
        </w:rPr>
      </w:pPr>
      <w:r w:rsidRPr="00E91E4C">
        <w:rPr>
          <w:rFonts w:eastAsia="Calibri" w:cs="Times New Roman"/>
        </w:rPr>
        <w:t xml:space="preserve">Methods will continue to be determinations made by the Minister as legislative instruments. The Minister may only approve a method when the CAIC has endorsed that the method </w:t>
      </w:r>
      <w:r w:rsidR="004F6F13">
        <w:rPr>
          <w:rFonts w:eastAsia="Calibri" w:cs="Times New Roman"/>
        </w:rPr>
        <w:t>complies with</w:t>
      </w:r>
      <w:r w:rsidRPr="00E91E4C">
        <w:rPr>
          <w:rFonts w:eastAsia="Calibri" w:cs="Times New Roman"/>
        </w:rPr>
        <w:t xml:space="preserve"> the </w:t>
      </w:r>
      <w:r>
        <w:rPr>
          <w:rFonts w:eastAsia="Calibri" w:cs="Times New Roman"/>
        </w:rPr>
        <w:t xml:space="preserve">OIS and other scheme requirements. </w:t>
      </w:r>
      <w:r w:rsidR="001018CB">
        <w:rPr>
          <w:b/>
          <w:bCs/>
          <w:color w:val="1F497D"/>
          <w:sz w:val="25"/>
          <w:szCs w:val="25"/>
        </w:rPr>
        <w:br w:type="page"/>
      </w:r>
    </w:p>
    <w:p w14:paraId="580E8ECF" w14:textId="44B9D7CE" w:rsidR="00030A53" w:rsidRDefault="00030A53" w:rsidP="00030A53">
      <w:pPr>
        <w:pStyle w:val="Heading1"/>
      </w:pPr>
      <w:bookmarkStart w:id="72" w:name="_Toc121818588"/>
      <w:bookmarkStart w:id="73" w:name="_Toc121817702"/>
      <w:bookmarkStart w:id="74" w:name="_Toc122339750"/>
      <w:bookmarkStart w:id="75" w:name="_Toc122348036"/>
      <w:bookmarkStart w:id="76" w:name="_Toc122359802"/>
      <w:bookmarkStart w:id="77" w:name="_Toc122360783"/>
      <w:bookmarkStart w:id="78" w:name="_Toc122523002"/>
      <w:r w:rsidRPr="003776B7">
        <w:lastRenderedPageBreak/>
        <w:t xml:space="preserve">Part </w:t>
      </w:r>
      <w:r w:rsidR="00D71BBD">
        <w:t>4</w:t>
      </w:r>
      <w:r w:rsidRPr="003776B7">
        <w:t xml:space="preserve">. </w:t>
      </w:r>
      <w:bookmarkEnd w:id="72"/>
      <w:bookmarkEnd w:id="73"/>
      <w:r>
        <w:t>Offsets Integrity Standards</w:t>
      </w:r>
      <w:bookmarkEnd w:id="74"/>
      <w:bookmarkEnd w:id="75"/>
      <w:bookmarkEnd w:id="76"/>
      <w:bookmarkEnd w:id="77"/>
      <w:bookmarkEnd w:id="78"/>
      <w:r>
        <w:t xml:space="preserve"> </w:t>
      </w:r>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6A1167" w14:paraId="08AF5D9F" w14:textId="77777777" w:rsidTr="003F67EC">
        <w:trPr>
          <w:trHeight w:val="1353"/>
        </w:trPr>
        <w:tc>
          <w:tcPr>
            <w:tcW w:w="9072" w:type="dxa"/>
            <w:tcBorders>
              <w:top w:val="thinThickLargeGap" w:sz="8" w:space="0" w:color="617E89" w:themeColor="accent1"/>
              <w:left w:val="nil"/>
              <w:bottom w:val="single" w:sz="4" w:space="0" w:color="617E89" w:themeColor="accent1"/>
              <w:right w:val="nil"/>
            </w:tcBorders>
          </w:tcPr>
          <w:p w14:paraId="685B6B11" w14:textId="77777777" w:rsidR="00030A53" w:rsidRDefault="00030A53" w:rsidP="00E01555">
            <w:pPr>
              <w:spacing w:before="80"/>
              <w:rPr>
                <w:b/>
                <w:bCs/>
              </w:rPr>
            </w:pPr>
            <w:r>
              <w:rPr>
                <w:b/>
                <w:bCs/>
              </w:rPr>
              <w:t>Terms of Reference</w:t>
            </w:r>
          </w:p>
          <w:p w14:paraId="544ABEAB" w14:textId="77777777" w:rsidR="00030A53" w:rsidRDefault="00030A53" w:rsidP="00E01555">
            <w:pPr>
              <w:spacing w:before="80"/>
            </w:pPr>
            <w:r w:rsidRPr="000F1D67">
              <w:rPr>
                <w:rStyle w:val="StyleListNumber1Char"/>
              </w:rPr>
              <w:t>1</w:t>
            </w:r>
            <w:r>
              <w:t xml:space="preserve">(a) </w:t>
            </w:r>
            <w:r w:rsidRPr="00E53037">
              <w:t>Whether scheme governance is appropriate, including:</w:t>
            </w:r>
          </w:p>
          <w:p w14:paraId="22D620BB" w14:textId="0A002AC9" w:rsidR="00030A53" w:rsidRDefault="00030A53" w:rsidP="00612D33">
            <w:pPr>
              <w:pStyle w:val="ListParagraph"/>
              <w:numPr>
                <w:ilvl w:val="0"/>
                <w:numId w:val="27"/>
              </w:numPr>
              <w:spacing w:before="80"/>
            </w:pPr>
            <w:r>
              <w:t>Whether the scheme’s settings and legislative requirements are appropriate to ensure good governance and confidence in scheme integrity.</w:t>
            </w:r>
          </w:p>
          <w:p w14:paraId="42BB816A" w14:textId="03CAC939" w:rsidR="00030A53" w:rsidRDefault="00030A53" w:rsidP="00E01555">
            <w:pPr>
              <w:spacing w:before="80"/>
            </w:pPr>
            <w:r>
              <w:t xml:space="preserve">1(b). Whether the methods by which ACCUs are generated meet the </w:t>
            </w:r>
            <w:r w:rsidR="006E2369">
              <w:t>O</w:t>
            </w:r>
            <w:r>
              <w:t xml:space="preserve">ffsets </w:t>
            </w:r>
            <w:r w:rsidR="006E2369">
              <w:t>I</w:t>
            </w:r>
            <w:r>
              <w:t xml:space="preserve">ntegrity </w:t>
            </w:r>
            <w:r w:rsidR="006E2369">
              <w:t>S</w:t>
            </w:r>
            <w:r>
              <w:t xml:space="preserve">tandards, including: </w:t>
            </w:r>
          </w:p>
          <w:p w14:paraId="7E3314BC" w14:textId="139A55BA" w:rsidR="00030A53" w:rsidRPr="00A447E9" w:rsidRDefault="00030A53" w:rsidP="00612D33">
            <w:pPr>
              <w:pStyle w:val="ListParagraph"/>
              <w:numPr>
                <w:ilvl w:val="0"/>
                <w:numId w:val="28"/>
              </w:numPr>
              <w:spacing w:before="80"/>
            </w:pPr>
            <w:r w:rsidRPr="00881B7C">
              <w:t>Whether</w:t>
            </w:r>
            <w:r w:rsidRPr="005D2E18">
              <w:t xml:space="preserve"> </w:t>
            </w:r>
            <w:r>
              <w:t>method development and review processes are appropriate and effective.</w:t>
            </w:r>
          </w:p>
        </w:tc>
      </w:tr>
    </w:tbl>
    <w:p w14:paraId="4DEE050F" w14:textId="3F44E498" w:rsidR="00030A53" w:rsidRPr="0009239E" w:rsidRDefault="00030A53" w:rsidP="00030A53">
      <w:pPr>
        <w:rPr>
          <w:sz w:val="2"/>
          <w:szCs w:val="2"/>
        </w:rPr>
      </w:pP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030A53" w14:paraId="52FF121B" w14:textId="77777777" w:rsidTr="00DB66ED">
        <w:trPr>
          <w:trHeight w:val="905"/>
        </w:trPr>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412C13C4" w14:textId="64279C78" w:rsidR="00030A53" w:rsidRPr="00DB66ED" w:rsidRDefault="00030A53" w:rsidP="006E3361">
            <w:pPr>
              <w:pStyle w:val="Heading4"/>
              <w:outlineLvl w:val="3"/>
              <w:rPr>
                <w:rFonts w:cs="Calibri"/>
                <w:b w:val="0"/>
              </w:rPr>
            </w:pPr>
            <w:r w:rsidRPr="00F97A8C">
              <w:t xml:space="preserve">Recommendation 6. </w:t>
            </w:r>
            <w:r w:rsidRPr="00B77EB7">
              <w:rPr>
                <w:rFonts w:cs="Calibri"/>
              </w:rPr>
              <w:t>T</w:t>
            </w:r>
            <w:r w:rsidRPr="00B77EB7">
              <w:t>he O</w:t>
            </w:r>
            <w:r w:rsidR="005252F4" w:rsidRPr="00B77EB7">
              <w:t xml:space="preserve">ffsets </w:t>
            </w:r>
            <w:r w:rsidRPr="00B77EB7">
              <w:t>I</w:t>
            </w:r>
            <w:r w:rsidR="005252F4" w:rsidRPr="00B77EB7">
              <w:t xml:space="preserve">ntegrity </w:t>
            </w:r>
            <w:r w:rsidRPr="00B77EB7">
              <w:t>S</w:t>
            </w:r>
            <w:r w:rsidR="005252F4" w:rsidRPr="00B77EB7">
              <w:t>tandards</w:t>
            </w:r>
            <w:r w:rsidRPr="00B77EB7">
              <w:t xml:space="preserve"> should be clearly defined and supplemented with </w:t>
            </w:r>
            <w:r w:rsidRPr="00B77EB7">
              <w:rPr>
                <w:rFonts w:cs="Calibri"/>
              </w:rPr>
              <w:t xml:space="preserve">ACCU </w:t>
            </w:r>
            <w:r w:rsidR="00271083" w:rsidRPr="00B77EB7">
              <w:rPr>
                <w:rFonts w:cs="Calibri"/>
              </w:rPr>
              <w:t>Scheme Principles</w:t>
            </w:r>
            <w:r w:rsidRPr="00B77EB7">
              <w:rPr>
                <w:rFonts w:cs="Calibri"/>
              </w:rPr>
              <w:t xml:space="preserve"> to support their consistent application in method development and project implementation and administration.</w:t>
            </w:r>
            <w:r w:rsidRPr="003E36E4">
              <w:rPr>
                <w:rFonts w:cs="Calibri"/>
              </w:rPr>
              <w:t xml:space="preserve"> </w:t>
            </w:r>
          </w:p>
        </w:tc>
      </w:tr>
      <w:tr w:rsidR="00662D89" w14:paraId="5E933C0A" w14:textId="77777777" w:rsidTr="00D212A5">
        <w:tblPrEx>
          <w:shd w:val="clear" w:color="auto" w:fill="auto"/>
          <w:tblCellMar>
            <w:top w:w="0" w:type="dxa"/>
            <w:left w:w="108" w:type="dxa"/>
            <w:bottom w:w="0" w:type="dxa"/>
            <w:right w:w="108" w:type="dxa"/>
          </w:tblCellMar>
        </w:tblPrEx>
        <w:tc>
          <w:tcPr>
            <w:tcW w:w="9016" w:type="dxa"/>
            <w:tcBorders>
              <w:bottom w:val="single" w:sz="8" w:space="0" w:color="006266" w:themeColor="text2"/>
            </w:tcBorders>
          </w:tcPr>
          <w:p w14:paraId="6A6CC44E" w14:textId="77777777" w:rsidR="00662D89" w:rsidRPr="007C79FE" w:rsidRDefault="00662D89" w:rsidP="008A3A32">
            <w:pPr>
              <w:pStyle w:val="KeyFindings"/>
              <w:spacing w:before="160"/>
              <w:rPr>
                <w:rStyle w:val="IntenseEmphasis"/>
                <w:b/>
                <w:bCs w:val="0"/>
              </w:rPr>
            </w:pPr>
            <w:r w:rsidRPr="007C79FE">
              <w:rPr>
                <w:rStyle w:val="IntenseEmphasis"/>
                <w:b/>
                <w:bCs w:val="0"/>
              </w:rPr>
              <w:t xml:space="preserve">Key findings </w:t>
            </w:r>
          </w:p>
          <w:p w14:paraId="69B3D9F9" w14:textId="77777777" w:rsidR="00662D89" w:rsidRPr="008C7F04" w:rsidRDefault="00662D89" w:rsidP="004507DD">
            <w:pPr>
              <w:pStyle w:val="StyleNormalBody"/>
              <w:rPr>
                <w:b/>
                <w:bCs/>
                <w:lang w:val="en-AU"/>
              </w:rPr>
            </w:pPr>
            <w:r w:rsidRPr="008C7F04">
              <w:rPr>
                <w:lang w:val="en-AU"/>
              </w:rPr>
              <w:t xml:space="preserve">Interpreting the OIS is inherently complex. </w:t>
            </w:r>
            <w:r>
              <w:rPr>
                <w:lang w:val="en-AU"/>
              </w:rPr>
              <w:t xml:space="preserve">Different judgements lead to different expectations. </w:t>
            </w:r>
          </w:p>
          <w:p w14:paraId="33BE060A" w14:textId="77777777" w:rsidR="00662D89" w:rsidRDefault="00662D89" w:rsidP="004507DD">
            <w:pPr>
              <w:pStyle w:val="StyleNormalBody"/>
              <w:rPr>
                <w:lang w:val="en-AU"/>
              </w:rPr>
            </w:pPr>
            <w:r w:rsidRPr="00C06FE0">
              <w:rPr>
                <w:lang w:val="en-AU"/>
              </w:rPr>
              <w:t xml:space="preserve">The current </w:t>
            </w:r>
            <w:r>
              <w:rPr>
                <w:lang w:val="en-AU"/>
              </w:rPr>
              <w:t>OIS, in conjunction with key ACCU scheme provisions,</w:t>
            </w:r>
            <w:r w:rsidRPr="00C06FE0">
              <w:rPr>
                <w:lang w:val="en-AU"/>
              </w:rPr>
              <w:t xml:space="preserve"> are consistent with good governance, well regarded by stakeholders and experts, and support confidence in the integrity of </w:t>
            </w:r>
            <w:r>
              <w:rPr>
                <w:lang w:val="en-AU"/>
              </w:rPr>
              <w:t>A</w:t>
            </w:r>
            <w:r>
              <w:t>CCUs</w:t>
            </w:r>
            <w:r w:rsidRPr="00C06FE0">
              <w:rPr>
                <w:lang w:val="en-AU"/>
              </w:rPr>
              <w:t xml:space="preserve"> and </w:t>
            </w:r>
            <w:r>
              <w:rPr>
                <w:lang w:val="en-AU"/>
              </w:rPr>
              <w:t>t</w:t>
            </w:r>
            <w:r>
              <w:t xml:space="preserve">he </w:t>
            </w:r>
            <w:r w:rsidRPr="00C06FE0">
              <w:rPr>
                <w:lang w:val="en-AU"/>
              </w:rPr>
              <w:t xml:space="preserve">scheme. </w:t>
            </w:r>
          </w:p>
          <w:p w14:paraId="1BFA8CA5" w14:textId="77777777" w:rsidR="00662D89" w:rsidRDefault="00662D89" w:rsidP="004507DD">
            <w:pPr>
              <w:spacing w:before="160"/>
              <w:rPr>
                <w:bCs/>
              </w:rPr>
            </w:pPr>
            <w:r w:rsidRPr="00BA7017">
              <w:t xml:space="preserve">Confidence in the application and administration of the OIS is best maintained through a </w:t>
            </w:r>
            <w:r>
              <w:t>robust</w:t>
            </w:r>
            <w:r w:rsidRPr="00BA7017">
              <w:t xml:space="preserve"> </w:t>
            </w:r>
            <w:r w:rsidRPr="00535710">
              <w:t>and transparent institutional</w:t>
            </w:r>
            <w:r w:rsidRPr="00BA7017">
              <w:t xml:space="preserve"> framework. </w:t>
            </w:r>
          </w:p>
          <w:p w14:paraId="75F255B4" w14:textId="77777777" w:rsidR="00662D89" w:rsidRDefault="00662D89" w:rsidP="004507DD">
            <w:pPr>
              <w:spacing w:before="160"/>
              <w:rPr>
                <w:rFonts w:cs="Calibri"/>
                <w:bCs/>
              </w:rPr>
            </w:pPr>
            <w:r w:rsidRPr="00535710">
              <w:t xml:space="preserve">Plain English definitions of the OIS supplemented with </w:t>
            </w:r>
            <w:r>
              <w:t xml:space="preserve">a suite of </w:t>
            </w:r>
            <w:r w:rsidRPr="00535710">
              <w:rPr>
                <w:rFonts w:cs="Calibri"/>
              </w:rPr>
              <w:t>clearly defined principles would support best-practice method development and project implementation, regulation and assurance.</w:t>
            </w:r>
          </w:p>
          <w:p w14:paraId="6CCECA55" w14:textId="77777777" w:rsidR="00662D89" w:rsidRPr="009E2D10" w:rsidRDefault="00662D89" w:rsidP="004507DD">
            <w:pPr>
              <w:spacing w:before="160"/>
              <w:rPr>
                <w:b/>
                <w:bCs/>
              </w:rPr>
            </w:pPr>
            <w:r w:rsidRPr="009E2D10">
              <w:t>Articulating clear and consistent interpretative material, with appropriate standing for enforcemen</w:t>
            </w:r>
            <w:r>
              <w:t xml:space="preserve">t </w:t>
            </w:r>
            <w:r w:rsidRPr="009E2D10">
              <w:t>would reduce ambiguity over how the OIS are or should be administered. </w:t>
            </w:r>
          </w:p>
          <w:p w14:paraId="5435071A" w14:textId="77777777" w:rsidR="00662D89" w:rsidRDefault="00662D89" w:rsidP="004507DD">
            <w:pPr>
              <w:pStyle w:val="StyleNormalBody"/>
              <w:rPr>
                <w:b/>
              </w:rPr>
            </w:pPr>
            <w:r w:rsidRPr="00F27810">
              <w:t>International experience and initiatives, such as the Integrity Council for the Voluntary Carbon Market’s Core Carbon Principles</w:t>
            </w:r>
            <w:r>
              <w:rPr>
                <w:rStyle w:val="FootnoteReference"/>
              </w:rPr>
              <w:footnoteReference w:id="22"/>
            </w:r>
            <w:r w:rsidRPr="00F27810">
              <w:t>, are consolidating views on best practice scheme principles</w:t>
            </w:r>
            <w:r>
              <w:t xml:space="preserve"> and should be taken into account. </w:t>
            </w:r>
          </w:p>
          <w:p w14:paraId="115E63C3" w14:textId="77777777" w:rsidR="00662D89" w:rsidRPr="00271083" w:rsidRDefault="00662D89" w:rsidP="004507DD">
            <w:pPr>
              <w:pStyle w:val="StyleNormalBody"/>
              <w:rPr>
                <w:b/>
              </w:rPr>
            </w:pPr>
            <w:r w:rsidRPr="00271083">
              <w:t xml:space="preserve">The </w:t>
            </w:r>
            <w:r>
              <w:t>P</w:t>
            </w:r>
            <w:r w:rsidRPr="00271083">
              <w:t xml:space="preserve">anel </w:t>
            </w:r>
            <w:r>
              <w:t>endorses</w:t>
            </w:r>
            <w:r w:rsidRPr="00271083">
              <w:t xml:space="preserve"> the definitions adopted by the CCA for scheme </w:t>
            </w:r>
            <w:r>
              <w:t xml:space="preserve">criteria, standards and </w:t>
            </w:r>
            <w:r w:rsidRPr="00271083">
              <w:t>principles</w:t>
            </w:r>
            <w:r>
              <w:t xml:space="preserve"> – principles are </w:t>
            </w:r>
            <w:r w:rsidRPr="00A751AE">
              <w:rPr>
                <w:lang w:val="en-AU"/>
              </w:rPr>
              <w:t xml:space="preserve">the combination of criteria and the standards which </w:t>
            </w:r>
            <w:r>
              <w:rPr>
                <w:lang w:val="en-AU"/>
              </w:rPr>
              <w:t>should be met</w:t>
            </w:r>
            <w:r>
              <w:rPr>
                <w:rStyle w:val="FootnoteReference"/>
                <w:lang w:val="en-AU"/>
              </w:rPr>
              <w:footnoteReference w:id="23"/>
            </w:r>
            <w:r>
              <w:rPr>
                <w:lang w:val="en-AU"/>
              </w:rPr>
              <w:t>.</w:t>
            </w:r>
          </w:p>
          <w:p w14:paraId="6D25F838" w14:textId="77777777" w:rsidR="00662D89" w:rsidRDefault="00662D89" w:rsidP="004507DD">
            <w:pPr>
              <w:pStyle w:val="StyleNormalBody"/>
            </w:pPr>
            <w:r>
              <w:rPr>
                <w:rStyle w:val="Emphasis"/>
                <w:i w:val="0"/>
                <w:iCs w:val="0"/>
              </w:rPr>
              <w:t>At the project-level t</w:t>
            </w:r>
            <w:r w:rsidRPr="008C7F04">
              <w:rPr>
                <w:rStyle w:val="Emphasis"/>
                <w:i w:val="0"/>
                <w:iCs w:val="0"/>
              </w:rPr>
              <w:t xml:space="preserve">he </w:t>
            </w:r>
            <w:r w:rsidRPr="008C7F04">
              <w:t>regulatory additionality requirement and the government program requirement are appropriate</w:t>
            </w:r>
            <w:r>
              <w:t>,</w:t>
            </w:r>
            <w:r w:rsidRPr="008C7F04">
              <w:t xml:space="preserve"> but the newness requirement should be refocussed to place emphasis on ‘new’ abatement that will be credited following a project’s commencement date.</w:t>
            </w:r>
          </w:p>
          <w:p w14:paraId="64B06804" w14:textId="77777777" w:rsidR="00662D89" w:rsidRPr="00D66C1A" w:rsidRDefault="00662D89" w:rsidP="004507DD">
            <w:pPr>
              <w:pStyle w:val="StyleNormalBody"/>
              <w:rPr>
                <w:rStyle w:val="Emphasis"/>
                <w:b/>
                <w:bCs/>
                <w:i w:val="0"/>
                <w:iCs w:val="0"/>
              </w:rPr>
            </w:pPr>
            <w:r>
              <w:rPr>
                <w:rStyle w:val="Emphasis"/>
                <w:i w:val="0"/>
                <w:iCs w:val="0"/>
              </w:rPr>
              <w:t xml:space="preserve">At the method-level, additionality tests should be applied on the basis of evidence and observable common practice, and not require statements of intent or financial viability by project proponent. </w:t>
            </w:r>
          </w:p>
        </w:tc>
      </w:tr>
    </w:tbl>
    <w:p w14:paraId="1E666FBA" w14:textId="36BAE71E" w:rsidR="00030A53" w:rsidRPr="007B32CC" w:rsidRDefault="00030A53" w:rsidP="00030A53">
      <w:pPr>
        <w:pStyle w:val="StyleNormalBody"/>
        <w:rPr>
          <w:sz w:val="2"/>
          <w:szCs w:val="2"/>
        </w:rPr>
      </w:pPr>
      <w:bookmarkStart w:id="79" w:name="_Toc121818589"/>
      <w:bookmarkStart w:id="80" w:name="_Toc121817703"/>
    </w:p>
    <w:p w14:paraId="2C650101" w14:textId="0C2DEDF5" w:rsidR="00030A53" w:rsidRDefault="00030A53" w:rsidP="00030A53">
      <w:pPr>
        <w:pStyle w:val="Heading2"/>
        <w:tabs>
          <w:tab w:val="left" w:pos="6910"/>
        </w:tabs>
      </w:pPr>
      <w:bookmarkStart w:id="81" w:name="_Toc122339751"/>
      <w:bookmarkStart w:id="82" w:name="_Toc122348037"/>
      <w:bookmarkStart w:id="83" w:name="_Toc122359803"/>
      <w:bookmarkStart w:id="84" w:name="_Toc122360784"/>
      <w:bookmarkStart w:id="85" w:name="_Toc122523003"/>
      <w:r>
        <w:lastRenderedPageBreak/>
        <w:t xml:space="preserve">Method criteria: </w:t>
      </w:r>
      <w:r w:rsidRPr="00112B81">
        <w:t xml:space="preserve">Offsets </w:t>
      </w:r>
      <w:r>
        <w:t>I</w:t>
      </w:r>
      <w:r w:rsidRPr="00112B81">
        <w:t xml:space="preserve">ntegrity </w:t>
      </w:r>
      <w:r>
        <w:t>S</w:t>
      </w:r>
      <w:r w:rsidRPr="00112B81">
        <w:t>tandards</w:t>
      </w:r>
      <w:bookmarkEnd w:id="79"/>
      <w:bookmarkEnd w:id="80"/>
      <w:r>
        <w:t xml:space="preserve"> (OIS)</w:t>
      </w:r>
      <w:bookmarkEnd w:id="81"/>
      <w:bookmarkEnd w:id="82"/>
      <w:bookmarkEnd w:id="83"/>
      <w:bookmarkEnd w:id="84"/>
      <w:bookmarkEnd w:id="85"/>
    </w:p>
    <w:p w14:paraId="39E4599B" w14:textId="77777777" w:rsidR="00030A53" w:rsidRPr="008B20FB" w:rsidRDefault="00030A53" w:rsidP="00030A53">
      <w:pPr>
        <w:spacing w:after="200"/>
        <w:rPr>
          <w:bCs/>
        </w:rPr>
      </w:pPr>
      <w:r>
        <w:rPr>
          <w:bCs/>
        </w:rPr>
        <w:t>T</w:t>
      </w:r>
      <w:r w:rsidRPr="00372B5C">
        <w:rPr>
          <w:bCs/>
        </w:rPr>
        <w:t xml:space="preserve">he </w:t>
      </w:r>
      <w:r>
        <w:rPr>
          <w:bCs/>
        </w:rPr>
        <w:t>O</w:t>
      </w:r>
      <w:r w:rsidRPr="00372B5C">
        <w:rPr>
          <w:bCs/>
        </w:rPr>
        <w:t xml:space="preserve">ffsets </w:t>
      </w:r>
      <w:r>
        <w:rPr>
          <w:bCs/>
        </w:rPr>
        <w:t>I</w:t>
      </w:r>
      <w:r w:rsidRPr="00372B5C">
        <w:rPr>
          <w:bCs/>
        </w:rPr>
        <w:t xml:space="preserve">ntegrity </w:t>
      </w:r>
      <w:r>
        <w:rPr>
          <w:bCs/>
        </w:rPr>
        <w:t>S</w:t>
      </w:r>
      <w:r w:rsidRPr="00372B5C">
        <w:rPr>
          <w:bCs/>
        </w:rPr>
        <w:t>tandard</w:t>
      </w:r>
      <w:r>
        <w:rPr>
          <w:bCs/>
        </w:rPr>
        <w:t>s (OIS)</w:t>
      </w:r>
      <w:r w:rsidRPr="00372B5C">
        <w:rPr>
          <w:bCs/>
        </w:rPr>
        <w:t xml:space="preserve"> are legislated</w:t>
      </w:r>
      <w:r w:rsidRPr="00372B5C">
        <w:rPr>
          <w:bCs/>
          <w:vertAlign w:val="superscript"/>
        </w:rPr>
        <w:footnoteReference w:id="24"/>
      </w:r>
      <w:r w:rsidRPr="00372B5C">
        <w:rPr>
          <w:bCs/>
          <w:vertAlign w:val="superscript"/>
        </w:rPr>
        <w:t xml:space="preserve"> </w:t>
      </w:r>
      <w:r>
        <w:rPr>
          <w:bCs/>
        </w:rPr>
        <w:t>and</w:t>
      </w:r>
      <w:r w:rsidRPr="00372B5C">
        <w:rPr>
          <w:bCs/>
        </w:rPr>
        <w:t xml:space="preserve"> underpin the integrity of ACCUs</w:t>
      </w:r>
      <w:r>
        <w:rPr>
          <w:bCs/>
        </w:rPr>
        <w:t xml:space="preserve">. The OIS are pursued in the scheme’s method development approval process and supported by </w:t>
      </w:r>
      <w:r w:rsidRPr="00606A14">
        <w:rPr>
          <w:bCs/>
        </w:rPr>
        <w:t xml:space="preserve">the </w:t>
      </w:r>
      <w:r>
        <w:rPr>
          <w:bCs/>
        </w:rPr>
        <w:t>broader ACCU framework.</w:t>
      </w:r>
    </w:p>
    <w:p w14:paraId="695F4014" w14:textId="3B551372" w:rsidR="00030A53" w:rsidRPr="00AE33D1" w:rsidRDefault="00030A53" w:rsidP="00612D33">
      <w:pPr>
        <w:pStyle w:val="StyleListNumber1"/>
        <w:numPr>
          <w:ilvl w:val="0"/>
          <w:numId w:val="14"/>
        </w:numPr>
      </w:pPr>
      <w:r w:rsidRPr="00AE33D1">
        <w:rPr>
          <w:b/>
          <w:bCs/>
        </w:rPr>
        <w:t>Additionality:</w:t>
      </w:r>
      <w:r w:rsidRPr="00AE33D1">
        <w:t xml:space="preserve"> </w:t>
      </w:r>
      <w:r>
        <w:t xml:space="preserve">eligible offsets </w:t>
      </w:r>
      <w:r w:rsidRPr="00AE33D1">
        <w:t>projects must result in carbon abatement that is unlikely to occur in the ordinary course of events</w:t>
      </w:r>
      <w:r w:rsidR="005B2054">
        <w:t xml:space="preserve">. </w:t>
      </w:r>
    </w:p>
    <w:p w14:paraId="062A3BCD" w14:textId="5316C8C3" w:rsidR="00030A53" w:rsidRPr="00AE33D1" w:rsidRDefault="00030A53" w:rsidP="00612D33">
      <w:pPr>
        <w:pStyle w:val="StyleListNumber1"/>
        <w:numPr>
          <w:ilvl w:val="0"/>
          <w:numId w:val="14"/>
        </w:numPr>
      </w:pPr>
      <w:r w:rsidRPr="00AE33D1">
        <w:rPr>
          <w:b/>
          <w:bCs/>
        </w:rPr>
        <w:t>Measurable and verifiable:</w:t>
      </w:r>
      <w:r w:rsidRPr="00AE33D1">
        <w:t xml:space="preserve"> removals, reductions or emissions that need to be ascertained under a method must be capable of being measured and verified</w:t>
      </w:r>
      <w:r w:rsidR="005B2054">
        <w:t xml:space="preserve">. </w:t>
      </w:r>
    </w:p>
    <w:p w14:paraId="1D44D69B" w14:textId="00446444" w:rsidR="00030A53" w:rsidRPr="00AE33D1" w:rsidRDefault="00030A53" w:rsidP="00612D33">
      <w:pPr>
        <w:pStyle w:val="StyleListNumber1"/>
        <w:numPr>
          <w:ilvl w:val="0"/>
          <w:numId w:val="14"/>
        </w:numPr>
      </w:pPr>
      <w:r w:rsidRPr="00AE33D1">
        <w:rPr>
          <w:b/>
          <w:bCs/>
        </w:rPr>
        <w:t>Eligible carbon abatement:</w:t>
      </w:r>
      <w:r w:rsidRPr="00AE33D1">
        <w:t xml:space="preserve"> the carbon abatement must be able to be used to meet Australia’s climate change targets under the Paris Agreement</w:t>
      </w:r>
      <w:r w:rsidR="005B2054">
        <w:t>.</w:t>
      </w:r>
    </w:p>
    <w:p w14:paraId="74E9B572" w14:textId="24FFEE33" w:rsidR="00030A53" w:rsidRPr="00AE33D1" w:rsidRDefault="00030A53" w:rsidP="00612D33">
      <w:pPr>
        <w:pStyle w:val="StyleListNumber1"/>
        <w:numPr>
          <w:ilvl w:val="0"/>
          <w:numId w:val="14"/>
        </w:numPr>
      </w:pPr>
      <w:r w:rsidRPr="00AE33D1">
        <w:rPr>
          <w:b/>
          <w:bCs/>
        </w:rPr>
        <w:t>Evidence-based:</w:t>
      </w:r>
      <w:r w:rsidRPr="00AE33D1">
        <w:t xml:space="preserve"> methods must be supported by clear and convincing evidence</w:t>
      </w:r>
      <w:r w:rsidR="005B2054">
        <w:t>.</w:t>
      </w:r>
    </w:p>
    <w:p w14:paraId="44E2DF02" w14:textId="7183C596" w:rsidR="00030A53" w:rsidRPr="00AE33D1" w:rsidRDefault="00030A53" w:rsidP="00612D33">
      <w:pPr>
        <w:pStyle w:val="StyleListNumber1"/>
        <w:numPr>
          <w:ilvl w:val="0"/>
          <w:numId w:val="14"/>
        </w:numPr>
      </w:pPr>
      <w:r w:rsidRPr="00AE33D1">
        <w:rPr>
          <w:b/>
          <w:bCs/>
        </w:rPr>
        <w:t>Project emissions:</w:t>
      </w:r>
      <w:r w:rsidRPr="00AE33D1">
        <w:t xml:space="preserve"> any material emissions that are a direct consequence of carrying out the project should be deducted from the project’s net abatement</w:t>
      </w:r>
      <w:r w:rsidR="005B2054">
        <w:t xml:space="preserve">. </w:t>
      </w:r>
    </w:p>
    <w:p w14:paraId="4E922EA9" w14:textId="3710671D" w:rsidR="00030A53" w:rsidRPr="00AE33D1" w:rsidRDefault="00030A53" w:rsidP="00612D33">
      <w:pPr>
        <w:pStyle w:val="StyleListNumber1"/>
        <w:numPr>
          <w:ilvl w:val="0"/>
          <w:numId w:val="14"/>
        </w:numPr>
        <w:spacing w:after="200"/>
        <w:ind w:left="714" w:hanging="357"/>
      </w:pPr>
      <w:r w:rsidRPr="00AE33D1">
        <w:rPr>
          <w:b/>
          <w:bCs/>
        </w:rPr>
        <w:t>Conservative:</w:t>
      </w:r>
      <w:r w:rsidRPr="00AE33D1">
        <w:t xml:space="preserve"> </w:t>
      </w:r>
      <w:bookmarkStart w:id="86" w:name="_Hlk121511858"/>
      <w:r w:rsidRPr="00AE33D1">
        <w:t>any estimate, projection or assumption that is required should be conservative.</w:t>
      </w:r>
      <w:bookmarkEnd w:id="86"/>
    </w:p>
    <w:p w14:paraId="7562B9E9" w14:textId="1E2CCF8A" w:rsidR="00030A53" w:rsidRDefault="00030A53" w:rsidP="00C81C69">
      <w:pPr>
        <w:rPr>
          <w:bCs/>
        </w:rPr>
      </w:pPr>
      <w:r>
        <w:rPr>
          <w:bCs/>
        </w:rPr>
        <w:t>The Panel heard that the OIS</w:t>
      </w:r>
      <w:r w:rsidRPr="00FC4421">
        <w:rPr>
          <w:bCs/>
        </w:rPr>
        <w:t>, in conjunction with other key scheme requirements (such as the permanence provisions), are broadly</w:t>
      </w:r>
      <w:r>
        <w:rPr>
          <w:bCs/>
        </w:rPr>
        <w:t xml:space="preserve"> </w:t>
      </w:r>
      <w:r w:rsidRPr="00FC4421">
        <w:rPr>
          <w:bCs/>
        </w:rPr>
        <w:t>fit</w:t>
      </w:r>
      <w:r>
        <w:rPr>
          <w:bCs/>
        </w:rPr>
        <w:t>-</w:t>
      </w:r>
      <w:r w:rsidRPr="00FC4421">
        <w:rPr>
          <w:bCs/>
        </w:rPr>
        <w:t>for</w:t>
      </w:r>
      <w:r>
        <w:rPr>
          <w:bCs/>
        </w:rPr>
        <w:t>-</w:t>
      </w:r>
      <w:r w:rsidRPr="00FC4421">
        <w:rPr>
          <w:bCs/>
        </w:rPr>
        <w:t>purpos</w:t>
      </w:r>
      <w:r>
        <w:rPr>
          <w:bCs/>
        </w:rPr>
        <w:t>e. T</w:t>
      </w:r>
      <w:r w:rsidRPr="00FC4421">
        <w:rPr>
          <w:bCs/>
        </w:rPr>
        <w:t xml:space="preserve">he core standards </w:t>
      </w:r>
      <w:r>
        <w:rPr>
          <w:bCs/>
        </w:rPr>
        <w:t>align with good governance. L</w:t>
      </w:r>
      <w:r w:rsidRPr="00FC4421">
        <w:rPr>
          <w:bCs/>
        </w:rPr>
        <w:t>earnings about the application of the OIS have led to incremental improvements over time</w:t>
      </w:r>
      <w:r>
        <w:rPr>
          <w:bCs/>
        </w:rPr>
        <w:t xml:space="preserve"> and </w:t>
      </w:r>
      <w:r w:rsidRPr="00FC4421">
        <w:rPr>
          <w:bCs/>
        </w:rPr>
        <w:t>there is scope for this to continue</w:t>
      </w:r>
      <w:r>
        <w:rPr>
          <w:bCs/>
        </w:rPr>
        <w:t xml:space="preserve">. </w:t>
      </w:r>
    </w:p>
    <w:p w14:paraId="26F62BD5" w14:textId="77777777" w:rsidR="00030A53" w:rsidRPr="00022277" w:rsidRDefault="00030A53" w:rsidP="00030A53">
      <w:pPr>
        <w:pStyle w:val="StyleNormalBody"/>
      </w:pPr>
      <w:r>
        <w:t>The integrity of the scheme would be strengthened by reinstating two (2) requirements that were previously included in the OIS</w:t>
      </w:r>
      <w:r>
        <w:rPr>
          <w:rStyle w:val="FootnoteReference"/>
        </w:rPr>
        <w:footnoteReference w:id="25"/>
      </w:r>
      <w:r>
        <w:t xml:space="preserve">: </w:t>
      </w:r>
    </w:p>
    <w:p w14:paraId="4CFC6052" w14:textId="70B8EF09" w:rsidR="00030A53" w:rsidRDefault="00030A53" w:rsidP="00905711">
      <w:pPr>
        <w:pStyle w:val="Bullets"/>
        <w:spacing w:before="80"/>
      </w:pPr>
      <w:r w:rsidRPr="00014AE4">
        <w:t>sequestration offsets projects should provide for adjustments to take account of significant cyclical variations (i.e.</w:t>
      </w:r>
      <w:r w:rsidR="00B45E39">
        <w:t>,</w:t>
      </w:r>
      <w:r w:rsidRPr="00014AE4">
        <w:t xml:space="preserve"> due to climate variability); and </w:t>
      </w:r>
    </w:p>
    <w:p w14:paraId="72ECC7E5" w14:textId="0A50EDE9" w:rsidR="0001044B" w:rsidRPr="00014AE4" w:rsidRDefault="0001044B" w:rsidP="0001044B">
      <w:pPr>
        <w:pStyle w:val="Bullets"/>
      </w:pPr>
      <w:r w:rsidRPr="0001044B">
        <w:t xml:space="preserve">emissions from any source or sources as a consequence of carrying out the project </w:t>
      </w:r>
      <w:r w:rsidR="00D456C5">
        <w:t xml:space="preserve">are </w:t>
      </w:r>
      <w:r w:rsidRPr="0001044B">
        <w:t xml:space="preserve">to be deducted from the net carbon abatement equivalence amount. </w:t>
      </w:r>
    </w:p>
    <w:p w14:paraId="15771288" w14:textId="77777777" w:rsidR="00030A53" w:rsidRDefault="00030A53" w:rsidP="00030A53">
      <w:pPr>
        <w:pStyle w:val="StyleNormalBody"/>
      </w:pPr>
      <w:r>
        <w:t>The Panel also considers that as methods must be supported by clear and convincing evidence, this evidence should be peer-reviewed where practical. T</w:t>
      </w:r>
      <w:r w:rsidRPr="00D62138">
        <w:t>he CAIC should have discretion to use evidence from other sources as it sees fit</w:t>
      </w:r>
      <w:r>
        <w:t xml:space="preserve"> </w:t>
      </w:r>
      <w:r w:rsidRPr="00D87F1D">
        <w:t>(</w:t>
      </w:r>
      <w:r w:rsidRPr="00D87F1D">
        <w:rPr>
          <w:b/>
          <w:bCs/>
        </w:rPr>
        <w:t>Recommendation 5 – Key findings</w:t>
      </w:r>
      <w:r w:rsidRPr="00D87F1D">
        <w:t xml:space="preserve">). </w:t>
      </w:r>
    </w:p>
    <w:p w14:paraId="140EA627" w14:textId="77777777" w:rsidR="00030A53" w:rsidRPr="0033726C" w:rsidRDefault="00030A53" w:rsidP="00030A53">
      <w:pPr>
        <w:pStyle w:val="StyleNormalBody"/>
        <w:rPr>
          <w:strike/>
        </w:rPr>
      </w:pPr>
      <w:r>
        <w:t xml:space="preserve">The Panel notes that the scheme has provisions in its administrative and regulatory framework, such as permanence requirements, to address variations to carbon stores and the risk of reversals. The appropriateness of these provisions should be monitored, reviewed, adjusted and reported on as the scheme evolves, in accordance with recommendations made by the </w:t>
      </w:r>
      <w:r w:rsidRPr="00591BAC">
        <w:t xml:space="preserve">CCA </w:t>
      </w:r>
      <w:r>
        <w:t xml:space="preserve">in their </w:t>
      </w:r>
      <w:r w:rsidRPr="00591BAC">
        <w:t>2020</w:t>
      </w:r>
      <w:r>
        <w:rPr>
          <w:rStyle w:val="FootnoteReference"/>
        </w:rPr>
        <w:footnoteReference w:id="26"/>
      </w:r>
      <w:r w:rsidRPr="00591BAC">
        <w:t xml:space="preserve"> and 2017</w:t>
      </w:r>
      <w:r>
        <w:rPr>
          <w:rStyle w:val="FootnoteReference"/>
        </w:rPr>
        <w:footnoteReference w:id="27"/>
      </w:r>
      <w:r>
        <w:t xml:space="preserve"> reviews of the scheme</w:t>
      </w:r>
      <w:r w:rsidRPr="00EB1014">
        <w:t>. Assessments should include the entire project area, not just CEAs, which would also help evaluate and improve transparency over direct and indirect leakage</w:t>
      </w:r>
      <w:r>
        <w:t>.</w:t>
      </w:r>
    </w:p>
    <w:p w14:paraId="5AD60801" w14:textId="40A850AB" w:rsidR="00030A53" w:rsidRPr="00A0161E" w:rsidRDefault="00030A53" w:rsidP="00030A53">
      <w:pPr>
        <w:pStyle w:val="Heading3"/>
      </w:pPr>
      <w:r w:rsidRPr="00A0161E">
        <w:t xml:space="preserve">Interpreting the </w:t>
      </w:r>
      <w:r>
        <w:t>OIS</w:t>
      </w:r>
    </w:p>
    <w:p w14:paraId="1DE845B7" w14:textId="77777777" w:rsidR="00030A53" w:rsidRDefault="00030A53" w:rsidP="00030A53">
      <w:pPr>
        <w:spacing w:line="257" w:lineRule="auto"/>
      </w:pPr>
      <w:r>
        <w:t>The Panel considers that generating</w:t>
      </w:r>
      <w:r w:rsidRPr="0022353A">
        <w:t xml:space="preserve"> and verifying high integrity </w:t>
      </w:r>
      <w:r>
        <w:t>ACCUs</w:t>
      </w:r>
      <w:r w:rsidRPr="0022353A">
        <w:t xml:space="preserve"> is inherently complex</w:t>
      </w:r>
      <w:r>
        <w:t>. This complexity must be proportionately reflected in</w:t>
      </w:r>
      <w:r w:rsidRPr="0022353A">
        <w:t xml:space="preserve"> </w:t>
      </w:r>
      <w:r>
        <w:t xml:space="preserve">the administration of eligible offsets projects. </w:t>
      </w:r>
    </w:p>
    <w:p w14:paraId="4F595F3D" w14:textId="13DF1BCF" w:rsidR="00B71B84" w:rsidRDefault="00030A53" w:rsidP="00030A53">
      <w:pPr>
        <w:spacing w:line="257" w:lineRule="auto"/>
      </w:pPr>
      <w:r>
        <w:t>Different</w:t>
      </w:r>
      <w:r>
        <w:rPr>
          <w:bCs/>
        </w:rPr>
        <w:t xml:space="preserve"> OIS may be applicable at different scales (method-level and/or project-level).</w:t>
      </w:r>
    </w:p>
    <w:p w14:paraId="62628DFF" w14:textId="35CE888D" w:rsidR="00030A53" w:rsidRDefault="00030A53" w:rsidP="00030A53">
      <w:pPr>
        <w:spacing w:line="257" w:lineRule="auto"/>
      </w:pPr>
      <w:r>
        <w:lastRenderedPageBreak/>
        <w:t>One of the challenges to the perception of integrity is that d</w:t>
      </w:r>
      <w:r w:rsidRPr="00D02CB1">
        <w:t>ifferent interpretations</w:t>
      </w:r>
      <w:r>
        <w:t xml:space="preserve"> of the OIS</w:t>
      </w:r>
      <w:r w:rsidRPr="00D02CB1">
        <w:t xml:space="preserve"> </w:t>
      </w:r>
      <w:r w:rsidR="009E2D10">
        <w:t>can lead</w:t>
      </w:r>
      <w:r w:rsidRPr="00D02CB1">
        <w:t xml:space="preserve"> to different expectations</w:t>
      </w:r>
      <w:r w:rsidR="006166FE">
        <w:t>. The OIS</w:t>
      </w:r>
      <w:r>
        <w:t xml:space="preserve"> can be </w:t>
      </w:r>
      <w:r w:rsidR="006166FE">
        <w:t>confused</w:t>
      </w:r>
      <w:r>
        <w:t xml:space="preserve"> with other regulatory provisions that are administered at the scheme-level. </w:t>
      </w:r>
    </w:p>
    <w:p w14:paraId="79EE5E27" w14:textId="5A7124BC" w:rsidR="00030A53" w:rsidRDefault="00030A53" w:rsidP="00030A53">
      <w:r>
        <w:t xml:space="preserve">When interpreting and applying the OIS at the method-level, there is an inherent degree </w:t>
      </w:r>
      <w:r w:rsidR="00C46B51">
        <w:t>of</w:t>
      </w:r>
      <w:r>
        <w:t xml:space="preserve"> judgement required. </w:t>
      </w:r>
      <w:r w:rsidRPr="000C04D4">
        <w:t xml:space="preserve">In exercising judgement, the ERAC has always been required to adopt the interpretation that would best achieve the objects of the CFI Act. </w:t>
      </w:r>
      <w:r w:rsidR="00727A84">
        <w:t>The CAIC should continue this approach.</w:t>
      </w:r>
    </w:p>
    <w:p w14:paraId="4AD796E9" w14:textId="1353B1A8" w:rsidR="009E2D10" w:rsidRDefault="009E2D10" w:rsidP="009E2D10">
      <w:r>
        <w:t xml:space="preserve">To address this issue, international best practice has evolved to provide additional </w:t>
      </w:r>
      <w:r w:rsidR="008628C8">
        <w:t>and nested</w:t>
      </w:r>
      <w:r>
        <w:t xml:space="preserve"> interpretative material that provides more detailed guidance on how high-level principles should be translated and applied to specific methods, projects, and assurance processes. Where appropriate, such interpretive material can be made part of the binding rules for creating and assuring project outcomes.  </w:t>
      </w:r>
    </w:p>
    <w:p w14:paraId="4BC552F8" w14:textId="77777777" w:rsidR="009E2D10" w:rsidRDefault="009E2D10" w:rsidP="009E2D10">
      <w:r>
        <w:t xml:space="preserve">Codifying this interpretive material would help interpretation of requirements and would be expected to enhance consistency across different methods and contexts. </w:t>
      </w:r>
    </w:p>
    <w:p w14:paraId="489EFB4C" w14:textId="77777777" w:rsidR="00030A53" w:rsidRDefault="00030A53" w:rsidP="00030A53">
      <w:pPr>
        <w:pStyle w:val="StyleNormalBody"/>
        <w:spacing w:after="120"/>
        <w:rPr>
          <w:bCs/>
        </w:rPr>
      </w:pPr>
      <w:r w:rsidRPr="008F462D">
        <w:rPr>
          <w:bCs/>
        </w:rPr>
        <w:t xml:space="preserve">The Panel </w:t>
      </w:r>
      <w:r>
        <w:rPr>
          <w:bCs/>
        </w:rPr>
        <w:t>notes</w:t>
      </w:r>
      <w:r w:rsidRPr="008F462D">
        <w:rPr>
          <w:bCs/>
        </w:rPr>
        <w:t xml:space="preserve"> that in assessing ‘additionality’</w:t>
      </w:r>
      <w:r>
        <w:rPr>
          <w:bCs/>
        </w:rPr>
        <w:t xml:space="preserve"> at the method-level</w:t>
      </w:r>
      <w:r w:rsidRPr="008F462D">
        <w:rPr>
          <w:bCs/>
        </w:rPr>
        <w:t xml:space="preserve">, </w:t>
      </w:r>
      <w:r>
        <w:rPr>
          <w:bCs/>
        </w:rPr>
        <w:t xml:space="preserve">the </w:t>
      </w:r>
      <w:r w:rsidRPr="008F462D">
        <w:rPr>
          <w:bCs/>
        </w:rPr>
        <w:t>ERAC consider</w:t>
      </w:r>
      <w:r>
        <w:rPr>
          <w:bCs/>
        </w:rPr>
        <w:t>s</w:t>
      </w:r>
      <w:r w:rsidRPr="008F462D">
        <w:rPr>
          <w:bCs/>
        </w:rPr>
        <w:t xml:space="preserve"> whether a method activity is common practice in a sector or industry</w:t>
      </w:r>
      <w:r>
        <w:rPr>
          <w:bCs/>
        </w:rPr>
        <w:t>. This relies</w:t>
      </w:r>
      <w:r w:rsidRPr="008F462D">
        <w:rPr>
          <w:bCs/>
        </w:rPr>
        <w:t xml:space="preserve"> on counterfactuals </w:t>
      </w:r>
      <w:r>
        <w:rPr>
          <w:bCs/>
        </w:rPr>
        <w:t xml:space="preserve">(judgements about what would have happened in the absence of the method); </w:t>
      </w:r>
      <w:r w:rsidRPr="008F462D">
        <w:rPr>
          <w:bCs/>
        </w:rPr>
        <w:t>and/or financial additionality tests</w:t>
      </w:r>
      <w:r>
        <w:rPr>
          <w:bCs/>
        </w:rPr>
        <w:t xml:space="preserve">. </w:t>
      </w:r>
    </w:p>
    <w:p w14:paraId="161B79A3" w14:textId="77777777" w:rsidR="00030A53" w:rsidRDefault="00030A53" w:rsidP="00030A53">
      <w:pPr>
        <w:pStyle w:val="StyleNormalBody"/>
        <w:spacing w:after="120"/>
        <w:rPr>
          <w:bCs/>
        </w:rPr>
      </w:pPr>
      <w:r>
        <w:rPr>
          <w:bCs/>
        </w:rPr>
        <w:t xml:space="preserve">Relying </w:t>
      </w:r>
      <w:r w:rsidRPr="00A04E74">
        <w:rPr>
          <w:bCs/>
        </w:rPr>
        <w:t>upon counterfactuals is inherently subjective and leaves the scheme open to criticisms by those with different interpretation and judgement</w:t>
      </w:r>
      <w:r>
        <w:rPr>
          <w:bCs/>
        </w:rPr>
        <w:t xml:space="preserve"> – not right, not wrong, just different</w:t>
      </w:r>
      <w:r w:rsidRPr="00A04E74">
        <w:rPr>
          <w:bCs/>
        </w:rPr>
        <w:t xml:space="preserve">. </w:t>
      </w:r>
    </w:p>
    <w:p w14:paraId="371632B0" w14:textId="5FE9F8C5" w:rsidR="00030A53" w:rsidRDefault="00030A53" w:rsidP="00030A53">
      <w:pPr>
        <w:pStyle w:val="StyleNormalBody"/>
        <w:spacing w:after="120"/>
        <w:rPr>
          <w:bCs/>
        </w:rPr>
      </w:pPr>
      <w:r>
        <w:rPr>
          <w:bCs/>
        </w:rPr>
        <w:t>Similarly, financial additionality tests are inherently opaque, relying on</w:t>
      </w:r>
      <w:r w:rsidRPr="00A04E74">
        <w:rPr>
          <w:bCs/>
        </w:rPr>
        <w:t xml:space="preserve"> financial data </w:t>
      </w:r>
      <w:r>
        <w:rPr>
          <w:bCs/>
        </w:rPr>
        <w:t xml:space="preserve">that </w:t>
      </w:r>
      <w:r w:rsidRPr="00A04E74">
        <w:rPr>
          <w:bCs/>
        </w:rPr>
        <w:t>cannot be released for commercial-in-confidence reasons</w:t>
      </w:r>
      <w:r>
        <w:rPr>
          <w:bCs/>
        </w:rPr>
        <w:t>.</w:t>
      </w:r>
    </w:p>
    <w:p w14:paraId="69A366EC" w14:textId="77777777" w:rsidR="00030A53" w:rsidRPr="008F462D" w:rsidRDefault="00030A53" w:rsidP="00030A53">
      <w:pPr>
        <w:pStyle w:val="StyleNormalBody"/>
      </w:pPr>
      <w:r>
        <w:t>T</w:t>
      </w:r>
      <w:r w:rsidRPr="008F462D">
        <w:t xml:space="preserve">he </w:t>
      </w:r>
      <w:r>
        <w:t>CER applies a</w:t>
      </w:r>
      <w:r w:rsidRPr="008F462D">
        <w:t>dditionality test</w:t>
      </w:r>
      <w:r>
        <w:t>s at the project-level</w:t>
      </w:r>
      <w:r>
        <w:rPr>
          <w:rStyle w:val="FootnoteReference"/>
        </w:rPr>
        <w:footnoteReference w:id="28"/>
      </w:r>
      <w:r>
        <w:t>:</w:t>
      </w:r>
    </w:p>
    <w:p w14:paraId="3CB05589" w14:textId="21F485B9" w:rsidR="00030A53" w:rsidRPr="008F462D" w:rsidRDefault="00030A53" w:rsidP="00612D33">
      <w:pPr>
        <w:pStyle w:val="Bullets"/>
        <w:numPr>
          <w:ilvl w:val="0"/>
          <w:numId w:val="12"/>
        </w:numPr>
      </w:pPr>
      <w:r w:rsidRPr="006166FE">
        <w:rPr>
          <w:b/>
        </w:rPr>
        <w:t xml:space="preserve">Newness requirement: </w:t>
      </w:r>
      <w:r w:rsidRPr="006166FE">
        <w:t xml:space="preserve">the project must not have begun to be implemented prior to registration. </w:t>
      </w:r>
    </w:p>
    <w:p w14:paraId="53CE2E87" w14:textId="77777777" w:rsidR="00030A53" w:rsidRPr="008F462D" w:rsidRDefault="00030A53" w:rsidP="00612D33">
      <w:pPr>
        <w:pStyle w:val="Bullets"/>
        <w:numPr>
          <w:ilvl w:val="0"/>
          <w:numId w:val="12"/>
        </w:numPr>
      </w:pPr>
      <w:r w:rsidRPr="008F462D">
        <w:rPr>
          <w:b/>
          <w:bCs/>
        </w:rPr>
        <w:t>Regulatory additionality</w:t>
      </w:r>
      <w:r w:rsidRPr="008F462D">
        <w:t xml:space="preserve"> </w:t>
      </w:r>
      <w:r w:rsidRPr="008F462D">
        <w:rPr>
          <w:b/>
          <w:bCs/>
        </w:rPr>
        <w:t>requirement:</w:t>
      </w:r>
      <w:r w:rsidRPr="008F462D">
        <w:t xml:space="preserve"> The project must not receive ACCUs if the project activity is already required by law. </w:t>
      </w:r>
    </w:p>
    <w:p w14:paraId="27DBCF01" w14:textId="161D8260" w:rsidR="00030A53" w:rsidRDefault="00030A53" w:rsidP="00612D33">
      <w:pPr>
        <w:pStyle w:val="Bullets"/>
        <w:numPr>
          <w:ilvl w:val="0"/>
          <w:numId w:val="12"/>
        </w:numPr>
      </w:pPr>
      <w:r w:rsidRPr="008F462D">
        <w:rPr>
          <w:b/>
          <w:bCs/>
        </w:rPr>
        <w:t>Australian Government program requirement</w:t>
      </w:r>
      <w:r w:rsidRPr="008F462D">
        <w:t xml:space="preserve">: The project must be unlikely to be carried out under another Australian Government, state or territory government program or scheme in the absence of ERF registration. </w:t>
      </w:r>
    </w:p>
    <w:p w14:paraId="051F5214" w14:textId="096F09CA" w:rsidR="00A22D96" w:rsidRPr="00A22D96" w:rsidRDefault="00A22D96" w:rsidP="00A22D96">
      <w:pPr>
        <w:pStyle w:val="Bullets"/>
        <w:numPr>
          <w:ilvl w:val="0"/>
          <w:numId w:val="0"/>
        </w:numPr>
      </w:pPr>
      <w:r w:rsidRPr="00A22D96">
        <w:rPr>
          <w:rStyle w:val="Emphasis"/>
          <w:i w:val="0"/>
          <w:iCs w:val="0"/>
        </w:rPr>
        <w:t xml:space="preserve">The Panel concludes that the </w:t>
      </w:r>
      <w:r w:rsidRPr="00A22D96">
        <w:t>regulatory additionality requirement and the government program requirement are appropriate</w:t>
      </w:r>
      <w:r w:rsidR="001463D6">
        <w:t>,</w:t>
      </w:r>
      <w:r w:rsidRPr="00A22D96">
        <w:t xml:space="preserve"> but the newness requirement should be refocussed to place emphasis on ‘new’ abatement that will be credited following a project’s commencement date.</w:t>
      </w:r>
    </w:p>
    <w:p w14:paraId="36A12AA9" w14:textId="223353D1" w:rsidR="00030A53" w:rsidRPr="00A0161E" w:rsidRDefault="006166FE" w:rsidP="00030A53">
      <w:pPr>
        <w:pStyle w:val="Heading3"/>
      </w:pPr>
      <w:r>
        <w:t>Developing ACCU Scheme P</w:t>
      </w:r>
      <w:r w:rsidR="00030A53">
        <w:t xml:space="preserve">rinciples </w:t>
      </w:r>
      <w:r w:rsidR="00030A53" w:rsidRPr="00A0161E">
        <w:t xml:space="preserve"> </w:t>
      </w:r>
    </w:p>
    <w:p w14:paraId="5FEE724E" w14:textId="6A6A0642" w:rsidR="00030A53" w:rsidRDefault="00030A53" w:rsidP="00030A53">
      <w:pPr>
        <w:spacing w:line="257" w:lineRule="auto"/>
      </w:pPr>
      <w:r>
        <w:t xml:space="preserve">In </w:t>
      </w:r>
      <w:r w:rsidR="003A72E4">
        <w:t>its</w:t>
      </w:r>
      <w:r>
        <w:t xml:space="preserve"> Review of International Offsets 2022</w:t>
      </w:r>
      <w:r>
        <w:rPr>
          <w:rStyle w:val="FootnoteReference"/>
        </w:rPr>
        <w:footnoteReference w:id="29"/>
      </w:r>
      <w:r>
        <w:t xml:space="preserve">, the Climate Change Authority (CCA) </w:t>
      </w:r>
      <w:r w:rsidRPr="00143BCA">
        <w:t>found that the terms ‘criteria’, ‘standards’ and ‘principles’ are often used interchangeably</w:t>
      </w:r>
      <w:r>
        <w:t xml:space="preserve"> in relation to carbon offsets. The CCA adopted the following definitions in their Review:</w:t>
      </w:r>
    </w:p>
    <w:p w14:paraId="4A50D9ED" w14:textId="7111DCA0" w:rsidR="00030A53" w:rsidRPr="00DB71EC" w:rsidRDefault="008628C8" w:rsidP="00030A53">
      <w:pPr>
        <w:pStyle w:val="Bullets"/>
        <w:rPr>
          <w:i/>
          <w:iCs/>
        </w:rPr>
      </w:pPr>
      <w:r>
        <w:rPr>
          <w:b/>
          <w:bCs/>
        </w:rPr>
        <w:t>‘</w:t>
      </w:r>
      <w:r w:rsidR="00030A53" w:rsidRPr="0095076B">
        <w:rPr>
          <w:b/>
          <w:bCs/>
        </w:rPr>
        <w:t>Criteria:</w:t>
      </w:r>
      <w:r w:rsidR="00030A53">
        <w:rPr>
          <w:i/>
          <w:iCs/>
        </w:rPr>
        <w:t xml:space="preserve"> </w:t>
      </w:r>
      <w:r w:rsidR="00030A53" w:rsidRPr="00DB71EC">
        <w:t>quality-related attributes of an offset scheme, project and/or unit</w:t>
      </w:r>
      <w:r w:rsidR="00030A53">
        <w:rPr>
          <w:i/>
          <w:iCs/>
        </w:rPr>
        <w:t>.</w:t>
      </w:r>
    </w:p>
    <w:p w14:paraId="1AC53CD4" w14:textId="77777777" w:rsidR="00030A53" w:rsidRDefault="00030A53" w:rsidP="00030A53">
      <w:pPr>
        <w:pStyle w:val="Bullets"/>
      </w:pPr>
      <w:r w:rsidRPr="0095076B">
        <w:rPr>
          <w:b/>
          <w:bCs/>
        </w:rPr>
        <w:t>Standards:</w:t>
      </w:r>
      <w:r>
        <w:t xml:space="preserve"> </w:t>
      </w:r>
      <w:r w:rsidRPr="00DB71EC">
        <w:t>ways and extent to which criteria can be met.</w:t>
      </w:r>
    </w:p>
    <w:p w14:paraId="1BBB61CA" w14:textId="30316622" w:rsidR="00030A53" w:rsidRDefault="00030A53" w:rsidP="00030A53">
      <w:pPr>
        <w:pStyle w:val="Bullets"/>
      </w:pPr>
      <w:r w:rsidRPr="0095076B">
        <w:rPr>
          <w:b/>
          <w:bCs/>
        </w:rPr>
        <w:t>Principles:</w:t>
      </w:r>
      <w:r>
        <w:t xml:space="preserve"> </w:t>
      </w:r>
      <w:r w:rsidRPr="00DB71EC">
        <w:t>the combination of criteria and the standards to which they should be met</w:t>
      </w:r>
      <w:r w:rsidR="00D127E1">
        <w:t>’ (p.</w:t>
      </w:r>
      <w:r w:rsidR="00716F58">
        <w:t> </w:t>
      </w:r>
      <w:r w:rsidR="00D127E1">
        <w:t>45)</w:t>
      </w:r>
      <w:r w:rsidRPr="00DB71EC">
        <w:t>.</w:t>
      </w:r>
    </w:p>
    <w:p w14:paraId="1600C0D1" w14:textId="33BABB4E" w:rsidR="00030A53" w:rsidRDefault="00030A53" w:rsidP="00030A53">
      <w:pPr>
        <w:spacing w:line="257" w:lineRule="auto"/>
      </w:pPr>
      <w:r>
        <w:lastRenderedPageBreak/>
        <w:t xml:space="preserve">Clearly defining the OIS; and developing additional clearly defined ACCU </w:t>
      </w:r>
      <w:r w:rsidR="00055B04">
        <w:t>Scheme P</w:t>
      </w:r>
      <w:r>
        <w:t>rinciples will:</w:t>
      </w:r>
    </w:p>
    <w:p w14:paraId="35F1CDB7" w14:textId="54EA54F5" w:rsidR="00030A53" w:rsidRDefault="00030A53" w:rsidP="00612D33">
      <w:pPr>
        <w:pStyle w:val="ListParagraph"/>
        <w:numPr>
          <w:ilvl w:val="0"/>
          <w:numId w:val="25"/>
        </w:numPr>
        <w:spacing w:line="257" w:lineRule="auto"/>
      </w:pPr>
      <w:r>
        <w:t>provide strong, consistent guidance to method and/or module development in the proponent-led framework</w:t>
      </w:r>
      <w:r w:rsidRPr="00FE79EA">
        <w:rPr>
          <w:b/>
        </w:rPr>
        <w:t xml:space="preserve"> </w:t>
      </w:r>
      <w:r w:rsidRPr="00FE79EA">
        <w:t>(</w:t>
      </w:r>
      <w:r w:rsidR="005D1CA8" w:rsidRPr="005D1CA8">
        <w:rPr>
          <w:b/>
        </w:rPr>
        <w:fldChar w:fldCharType="begin"/>
      </w:r>
      <w:r w:rsidR="005D1CA8" w:rsidRPr="005D1CA8">
        <w:rPr>
          <w:b/>
        </w:rPr>
        <w:instrText xml:space="preserve"> REF _Ref122359946 \h  \* MERGEFORMAT </w:instrText>
      </w:r>
      <w:r w:rsidR="005D1CA8" w:rsidRPr="005D1CA8">
        <w:rPr>
          <w:b/>
        </w:rPr>
      </w:r>
      <w:r w:rsidR="005D1CA8" w:rsidRPr="005D1CA8">
        <w:rPr>
          <w:b/>
        </w:rPr>
        <w:fldChar w:fldCharType="separate"/>
      </w:r>
      <w:r w:rsidR="005D1CA8" w:rsidRPr="005D1CA8">
        <w:rPr>
          <w:b/>
        </w:rPr>
        <w:t xml:space="preserve">Figure </w:t>
      </w:r>
      <w:r w:rsidR="005D1CA8" w:rsidRPr="005D1CA8">
        <w:rPr>
          <w:b/>
          <w:noProof/>
        </w:rPr>
        <w:t>1</w:t>
      </w:r>
      <w:r w:rsidR="005D1CA8" w:rsidRPr="005D1CA8">
        <w:rPr>
          <w:b/>
        </w:rPr>
        <w:fldChar w:fldCharType="end"/>
      </w:r>
      <w:r w:rsidRPr="005D1CA8">
        <w:rPr>
          <w:b/>
        </w:rPr>
        <w:t>)</w:t>
      </w:r>
      <w:r>
        <w:t xml:space="preserve">; and </w:t>
      </w:r>
    </w:p>
    <w:p w14:paraId="186DB5C0" w14:textId="77777777" w:rsidR="00030A53" w:rsidRDefault="00030A53" w:rsidP="00612D33">
      <w:pPr>
        <w:pStyle w:val="ListParagraph"/>
        <w:numPr>
          <w:ilvl w:val="0"/>
          <w:numId w:val="25"/>
        </w:numPr>
        <w:spacing w:line="257" w:lineRule="auto"/>
      </w:pPr>
      <w:r>
        <w:t>support integrity and transparency of abatement in ACCU project implementation.</w:t>
      </w:r>
    </w:p>
    <w:p w14:paraId="43E246F7" w14:textId="77777777" w:rsidR="00030A53" w:rsidRDefault="00030A53" w:rsidP="00030A53">
      <w:pPr>
        <w:spacing w:line="257" w:lineRule="auto"/>
      </w:pPr>
      <w:r>
        <w:t>Definitions of the OIS and supporting principles should be incorporated in the governing framework.</w:t>
      </w:r>
    </w:p>
    <w:p w14:paraId="5AC93EC1" w14:textId="77777777" w:rsidR="00030A53" w:rsidRDefault="00030A53" w:rsidP="00030A53">
      <w:pPr>
        <w:spacing w:line="257" w:lineRule="auto"/>
      </w:pPr>
      <w:r w:rsidRPr="00143BCA">
        <w:t xml:space="preserve">The Panel notes that the CCA Review of International Offsets (2022) </w:t>
      </w:r>
      <w:r w:rsidRPr="00DB17BD">
        <w:t xml:space="preserve">provides comprehensive </w:t>
      </w:r>
      <w:r>
        <w:t xml:space="preserve">advice on </w:t>
      </w:r>
      <w:r w:rsidRPr="00DB17BD">
        <w:t>criteria</w:t>
      </w:r>
      <w:r>
        <w:t xml:space="preserve"> fundamental to the integrity of carbon offsets. </w:t>
      </w:r>
    </w:p>
    <w:p w14:paraId="4D90F134" w14:textId="30EF7F50" w:rsidR="00030A53" w:rsidRPr="00A22D96" w:rsidRDefault="00030A53" w:rsidP="00030A53">
      <w:pPr>
        <w:spacing w:line="257" w:lineRule="auto"/>
      </w:pPr>
      <w:r>
        <w:t>Drawing on the CCA Review and i</w:t>
      </w:r>
      <w:r w:rsidRPr="00C6200B">
        <w:t>nternational experience and initiatives</w:t>
      </w:r>
      <w:r>
        <w:t xml:space="preserve">, most offsets criteria are integral to ensuring the integrity of offsets whereas, other principles, such as </w:t>
      </w:r>
      <w:r w:rsidRPr="00A970EC">
        <w:rPr>
          <w:i/>
          <w:iCs/>
        </w:rPr>
        <w:t>transparency</w:t>
      </w:r>
      <w:r>
        <w:t xml:space="preserve">, bolster confidence in the integrity of offsets. </w:t>
      </w:r>
    </w:p>
    <w:p w14:paraId="4C8232EE" w14:textId="77777777" w:rsidR="00030A53" w:rsidRDefault="00030A53" w:rsidP="00030A53">
      <w:pPr>
        <w:pStyle w:val="StyleNormalBody"/>
      </w:pPr>
      <w:r>
        <w:t>When principles are adopted</w:t>
      </w:r>
      <w:r w:rsidRPr="00464353">
        <w:t xml:space="preserve">, it should be clear what criteria </w:t>
      </w:r>
      <w:r>
        <w:t>are</w:t>
      </w:r>
      <w:r w:rsidRPr="00464353">
        <w:t xml:space="preserve"> required</w:t>
      </w:r>
      <w:r>
        <w:t xml:space="preserve"> and </w:t>
      </w:r>
      <w:r w:rsidRPr="00464353">
        <w:t xml:space="preserve">applied at the scheme-level as well as the standards that projects are expected to meet to satisfy those criteria. </w:t>
      </w:r>
    </w:p>
    <w:p w14:paraId="2DA53548" w14:textId="0FC7E3F3" w:rsidR="00030A53" w:rsidRPr="009F2654" w:rsidRDefault="00030A53" w:rsidP="00030A53">
      <w:pPr>
        <w:pStyle w:val="StyleNormalBody"/>
      </w:pPr>
      <w:r>
        <w:t>P</w:t>
      </w:r>
      <w:r w:rsidRPr="00464353">
        <w:t>rinciple</w:t>
      </w:r>
      <w:r>
        <w:t>s</w:t>
      </w:r>
      <w:r w:rsidRPr="00464353">
        <w:t xml:space="preserve"> should be monitored against evolving international frameworks to ensure they continue to align with or exceed best-practice</w:t>
      </w:r>
      <w:r>
        <w:t xml:space="preserve">. </w:t>
      </w:r>
    </w:p>
    <w:p w14:paraId="5D2C55CC" w14:textId="64190765" w:rsidR="00030A53" w:rsidRPr="0086383A" w:rsidRDefault="00030A53" w:rsidP="00030A53">
      <w:r w:rsidRPr="0086383A">
        <w:t xml:space="preserve">When submitting an EOI under the new method development and modification process, proponents are required to outline how their method concept proposal meets the OIS and </w:t>
      </w:r>
      <w:r w:rsidR="00055B04">
        <w:t>ACCU S</w:t>
      </w:r>
      <w:r w:rsidRPr="0086383A">
        <w:t xml:space="preserve">cheme </w:t>
      </w:r>
      <w:r w:rsidR="00055B04">
        <w:t>P</w:t>
      </w:r>
      <w:r w:rsidRPr="0086383A">
        <w:t>rinciples, which will be assessed by CAIC (</w:t>
      </w:r>
      <w:r w:rsidRPr="0086383A">
        <w:rPr>
          <w:b/>
          <w:bCs/>
        </w:rPr>
        <w:t>Recommendation 5</w:t>
      </w:r>
      <w:r w:rsidRPr="0086383A">
        <w:t xml:space="preserve">). </w:t>
      </w:r>
    </w:p>
    <w:p w14:paraId="7B5EC4DD" w14:textId="592DA357" w:rsidR="00030A53" w:rsidRPr="0086383A" w:rsidRDefault="00030A53" w:rsidP="00030A53">
      <w:r w:rsidRPr="0086383A">
        <w:t xml:space="preserve">Proponents should be required to declare that they meet and will continue to meet the scheme criteria and project standards stipulated under each ACCU scheme principle. </w:t>
      </w:r>
    </w:p>
    <w:p w14:paraId="5FB22B1E" w14:textId="3E6544EB" w:rsidR="000D4656" w:rsidRPr="000D4656" w:rsidRDefault="002B33E9" w:rsidP="00E85618">
      <w:pPr>
        <w:pStyle w:val="Heading2"/>
        <w:spacing w:before="240"/>
      </w:pPr>
      <w:bookmarkStart w:id="87" w:name="_Toc122348038"/>
      <w:bookmarkStart w:id="88" w:name="_Toc122359804"/>
      <w:bookmarkStart w:id="89" w:name="_Toc122360785"/>
      <w:bookmarkStart w:id="90" w:name="_Toc122523004"/>
      <w:r>
        <w:t>Scheme level integrity</w:t>
      </w:r>
      <w:bookmarkEnd w:id="87"/>
      <w:bookmarkEnd w:id="88"/>
      <w:bookmarkEnd w:id="89"/>
      <w:bookmarkEnd w:id="90"/>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3177D2" w14:paraId="390564BE" w14:textId="77777777" w:rsidTr="003F67EC">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2721068F" w14:textId="4F8E4D7E" w:rsidR="003177D2" w:rsidRPr="0009239E" w:rsidRDefault="003177D2" w:rsidP="006E3361">
            <w:pPr>
              <w:pStyle w:val="Heading4"/>
              <w:outlineLvl w:val="3"/>
              <w:rPr>
                <w:rFonts w:cs="Calibri"/>
                <w:b w:val="0"/>
                <w:bCs/>
              </w:rPr>
            </w:pPr>
            <w:r w:rsidRPr="001D297F">
              <w:t xml:space="preserve">Recommendation 7. </w:t>
            </w:r>
            <w:r w:rsidR="00FC55B1" w:rsidRPr="00B77EB7">
              <w:rPr>
                <w:rFonts w:cs="Calibri"/>
              </w:rPr>
              <w:t xml:space="preserve">The </w:t>
            </w:r>
            <w:r w:rsidRPr="00B77EB7">
              <w:rPr>
                <w:rFonts w:cs="Calibri"/>
              </w:rPr>
              <w:t xml:space="preserve">CCA should provide advice to the Minister on the merits of a mechanism at the scheme level </w:t>
            </w:r>
            <w:r w:rsidR="00CD3C3F" w:rsidRPr="00B77EB7">
              <w:rPr>
                <w:rFonts w:cs="Calibri"/>
              </w:rPr>
              <w:t>to provide</w:t>
            </w:r>
            <w:r w:rsidR="00F370FB" w:rsidRPr="00B77EB7">
              <w:rPr>
                <w:rFonts w:cs="Calibri"/>
              </w:rPr>
              <w:t xml:space="preserve"> further </w:t>
            </w:r>
            <w:r w:rsidR="00D822E4" w:rsidRPr="00B77EB7">
              <w:rPr>
                <w:rFonts w:cs="Calibri"/>
              </w:rPr>
              <w:t>assurance of additionality</w:t>
            </w:r>
            <w:r w:rsidRPr="00B77EB7">
              <w:rPr>
                <w:rFonts w:cs="Calibri"/>
              </w:rPr>
              <w:t xml:space="preserve"> and </w:t>
            </w:r>
            <w:r w:rsidR="00D822E4" w:rsidRPr="00B77EB7">
              <w:rPr>
                <w:rFonts w:cs="Calibri"/>
              </w:rPr>
              <w:t>conservativeness</w:t>
            </w:r>
            <w:r w:rsidR="00CD3C3F" w:rsidRPr="00B77EB7">
              <w:rPr>
                <w:rFonts w:cs="Calibri"/>
              </w:rPr>
              <w:t xml:space="preserve"> in a transparent manner</w:t>
            </w:r>
            <w:r w:rsidRPr="00B77EB7">
              <w:rPr>
                <w:rFonts w:cs="Calibri"/>
              </w:rPr>
              <w:t>.</w:t>
            </w:r>
          </w:p>
        </w:tc>
      </w:tr>
      <w:tr w:rsidR="00514A60" w14:paraId="24170689" w14:textId="77777777" w:rsidTr="00514A60">
        <w:tblPrEx>
          <w:shd w:val="clear" w:color="auto" w:fill="auto"/>
          <w:tblCellMar>
            <w:top w:w="0" w:type="dxa"/>
            <w:left w:w="108" w:type="dxa"/>
            <w:bottom w:w="0" w:type="dxa"/>
            <w:right w:w="108" w:type="dxa"/>
          </w:tblCellMar>
        </w:tblPrEx>
        <w:tc>
          <w:tcPr>
            <w:tcW w:w="9016" w:type="dxa"/>
            <w:tcBorders>
              <w:bottom w:val="single" w:sz="8" w:space="0" w:color="006266" w:themeColor="text2"/>
            </w:tcBorders>
          </w:tcPr>
          <w:p w14:paraId="7E94524C" w14:textId="77777777" w:rsidR="00514A60" w:rsidRPr="00514A60" w:rsidRDefault="00514A60" w:rsidP="00C81C69">
            <w:pPr>
              <w:pStyle w:val="KeyFindings"/>
              <w:rPr>
                <w:rStyle w:val="IntenseEmphasis"/>
                <w:b/>
                <w:bCs w:val="0"/>
              </w:rPr>
            </w:pPr>
            <w:r w:rsidRPr="00514A60">
              <w:rPr>
                <w:rStyle w:val="IntenseEmphasis"/>
                <w:b/>
                <w:bCs w:val="0"/>
              </w:rPr>
              <w:t>Key findings</w:t>
            </w:r>
          </w:p>
          <w:p w14:paraId="1B2636F5" w14:textId="1A123CAF" w:rsidR="00514A60" w:rsidRPr="00131EB2" w:rsidRDefault="00514A60" w:rsidP="004507DD">
            <w:pPr>
              <w:pStyle w:val="StyleNormalBody"/>
              <w:spacing w:after="80"/>
              <w:rPr>
                <w:rStyle w:val="Emphasis"/>
                <w:b/>
                <w:bCs/>
                <w:i w:val="0"/>
                <w:iCs w:val="0"/>
              </w:rPr>
            </w:pPr>
            <w:r w:rsidRPr="00131EB2">
              <w:t>Implementing a scheme-level buffer – the mandatory cancellation of a percentage of ACCUs generated under the scheme</w:t>
            </w:r>
            <w:r>
              <w:t xml:space="preserve"> – </w:t>
            </w:r>
            <w:r w:rsidRPr="00131EB2">
              <w:t xml:space="preserve">would ensure </w:t>
            </w:r>
            <w:r>
              <w:t xml:space="preserve">that </w:t>
            </w:r>
            <w:r w:rsidRPr="00131EB2">
              <w:t xml:space="preserve">abatement credited was </w:t>
            </w:r>
            <w:r>
              <w:t>appropriately</w:t>
            </w:r>
            <w:r w:rsidRPr="00131EB2">
              <w:t xml:space="preserve"> conservative across the scheme portfolio</w:t>
            </w:r>
            <w:r>
              <w:t xml:space="preserve">. </w:t>
            </w:r>
            <w:r w:rsidRPr="00131EB2">
              <w:t xml:space="preserve">However, this warrants </w:t>
            </w:r>
            <w:r>
              <w:t>further consideration because, for example,</w:t>
            </w:r>
            <w:r w:rsidRPr="00131EB2">
              <w:t xml:space="preserve"> it </w:t>
            </w:r>
            <w:r>
              <w:t xml:space="preserve">may </w:t>
            </w:r>
            <w:r w:rsidRPr="00131EB2">
              <w:t>risk upward pressure on the ACCU price</w:t>
            </w:r>
            <w:r w:rsidR="00FF0224">
              <w:t>,</w:t>
            </w:r>
            <w:r>
              <w:t xml:space="preserve"> with implications for the </w:t>
            </w:r>
            <w:r w:rsidRPr="00131EB2">
              <w:t xml:space="preserve">cost-effectiveness of abatement. </w:t>
            </w:r>
          </w:p>
        </w:tc>
      </w:tr>
    </w:tbl>
    <w:p w14:paraId="67D4A9B3" w14:textId="0009E2A0" w:rsidR="00DB5AF3" w:rsidRPr="00DB5AF3" w:rsidRDefault="00DB5AF3" w:rsidP="003177D2">
      <w:pPr>
        <w:rPr>
          <w:bCs/>
        </w:rPr>
      </w:pPr>
      <w:r>
        <w:rPr>
          <w:bCs/>
        </w:rPr>
        <w:t xml:space="preserve">An ACCU is representative of 1 tonne of carbon dioxide equivalent (tCO2-e). </w:t>
      </w:r>
      <w:r w:rsidR="00523CD7">
        <w:rPr>
          <w:bCs/>
        </w:rPr>
        <w:t xml:space="preserve">The </w:t>
      </w:r>
      <w:r w:rsidR="003177D2" w:rsidRPr="003177D2">
        <w:rPr>
          <w:bCs/>
        </w:rPr>
        <w:t xml:space="preserve">integrity of </w:t>
      </w:r>
      <w:r w:rsidR="00523CD7">
        <w:rPr>
          <w:bCs/>
        </w:rPr>
        <w:t xml:space="preserve">ACCUs is assured through a suite of scheme-level, method-level and project-level mechanisms to </w:t>
      </w:r>
      <w:r w:rsidR="003177D2" w:rsidRPr="003177D2">
        <w:rPr>
          <w:bCs/>
        </w:rPr>
        <w:t xml:space="preserve">ensure </w:t>
      </w:r>
      <w:r w:rsidR="00FB030F">
        <w:rPr>
          <w:bCs/>
        </w:rPr>
        <w:t xml:space="preserve">that </w:t>
      </w:r>
      <w:r w:rsidR="003177D2" w:rsidRPr="003177D2">
        <w:rPr>
          <w:bCs/>
        </w:rPr>
        <w:t>emissions reductions and removals are</w:t>
      </w:r>
      <w:r w:rsidR="00523CD7">
        <w:rPr>
          <w:bCs/>
        </w:rPr>
        <w:t xml:space="preserve"> verified,</w:t>
      </w:r>
      <w:r w:rsidR="003177D2" w:rsidRPr="003177D2">
        <w:rPr>
          <w:bCs/>
        </w:rPr>
        <w:t xml:space="preserve"> additional and conservative</w:t>
      </w:r>
      <w:r w:rsidR="00523CD7">
        <w:rPr>
          <w:bCs/>
        </w:rPr>
        <w:t xml:space="preserve"> and </w:t>
      </w:r>
      <w:r w:rsidR="00523CD7" w:rsidRPr="003177D2">
        <w:rPr>
          <w:bCs/>
        </w:rPr>
        <w:t>to manage the risk of over-crediting</w:t>
      </w:r>
      <w:r w:rsidR="00523CD7">
        <w:rPr>
          <w:bCs/>
        </w:rPr>
        <w:t>.</w:t>
      </w:r>
    </w:p>
    <w:p w14:paraId="0E2E3BCA" w14:textId="15556DF7" w:rsidR="00E47310" w:rsidRDefault="009E2236" w:rsidP="00861272">
      <w:pPr>
        <w:rPr>
          <w:bCs/>
        </w:rPr>
      </w:pPr>
      <w:r>
        <w:rPr>
          <w:bCs/>
        </w:rPr>
        <w:t>In any offsets scheme, assuring</w:t>
      </w:r>
      <w:r w:rsidR="004E29C7" w:rsidRPr="004E29C7">
        <w:rPr>
          <w:bCs/>
        </w:rPr>
        <w:t xml:space="preserve"> high integrity credits is inherently complex</w:t>
      </w:r>
      <w:r>
        <w:rPr>
          <w:bCs/>
        </w:rPr>
        <w:t xml:space="preserve">. </w:t>
      </w:r>
      <w:r w:rsidR="00FB030F">
        <w:rPr>
          <w:bCs/>
        </w:rPr>
        <w:t>F</w:t>
      </w:r>
      <w:r w:rsidR="00FB030F" w:rsidRPr="006A6461">
        <w:rPr>
          <w:bCs/>
        </w:rPr>
        <w:t xml:space="preserve">or a small number of </w:t>
      </w:r>
      <w:r w:rsidR="00FB030F">
        <w:rPr>
          <w:bCs/>
        </w:rPr>
        <w:t xml:space="preserve">indiscriminate </w:t>
      </w:r>
      <w:r w:rsidR="00FB030F" w:rsidRPr="006A6461">
        <w:rPr>
          <w:bCs/>
        </w:rPr>
        <w:t>projects</w:t>
      </w:r>
      <w:r w:rsidR="00FB030F">
        <w:rPr>
          <w:bCs/>
        </w:rPr>
        <w:t xml:space="preserve"> across the scheme and n</w:t>
      </w:r>
      <w:r w:rsidR="00FB030F" w:rsidRPr="006A6461">
        <w:rPr>
          <w:bCs/>
        </w:rPr>
        <w:t>otwithstanding</w:t>
      </w:r>
      <w:r w:rsidRPr="006A6461">
        <w:rPr>
          <w:bCs/>
        </w:rPr>
        <w:t xml:space="preserve"> best efforts</w:t>
      </w:r>
      <w:r>
        <w:rPr>
          <w:bCs/>
        </w:rPr>
        <w:t>, scheme design and judgement, t</w:t>
      </w:r>
      <w:r w:rsidRPr="006A6461">
        <w:rPr>
          <w:bCs/>
        </w:rPr>
        <w:t xml:space="preserve">here remains </w:t>
      </w:r>
      <w:r>
        <w:rPr>
          <w:bCs/>
        </w:rPr>
        <w:t xml:space="preserve">the </w:t>
      </w:r>
      <w:r w:rsidR="00FB030F">
        <w:rPr>
          <w:bCs/>
        </w:rPr>
        <w:t xml:space="preserve">real </w:t>
      </w:r>
      <w:r>
        <w:rPr>
          <w:bCs/>
        </w:rPr>
        <w:t xml:space="preserve">risk of leakage and </w:t>
      </w:r>
      <w:r w:rsidR="00FB030F">
        <w:rPr>
          <w:bCs/>
        </w:rPr>
        <w:t>the possib</w:t>
      </w:r>
      <w:r w:rsidR="00C46B51">
        <w:rPr>
          <w:bCs/>
        </w:rPr>
        <w:t>ility</w:t>
      </w:r>
      <w:r w:rsidRPr="006A6461">
        <w:rPr>
          <w:bCs/>
        </w:rPr>
        <w:t xml:space="preserve"> that the scheme may allow over-crediting of abatement relative to the intent of the </w:t>
      </w:r>
      <w:r w:rsidR="00DB5AF3">
        <w:rPr>
          <w:bCs/>
        </w:rPr>
        <w:t>OIS</w:t>
      </w:r>
      <w:r w:rsidRPr="006A6461">
        <w:rPr>
          <w:bCs/>
        </w:rPr>
        <w:t>.</w:t>
      </w:r>
      <w:r w:rsidR="00176383">
        <w:rPr>
          <w:bCs/>
        </w:rPr>
        <w:t xml:space="preserve"> </w:t>
      </w:r>
    </w:p>
    <w:p w14:paraId="0E7D1574" w14:textId="79B307D1" w:rsidR="00DB5AF3" w:rsidRPr="00E47310" w:rsidRDefault="00FB030F" w:rsidP="00861272">
      <w:pPr>
        <w:rPr>
          <w:bCs/>
        </w:rPr>
      </w:pPr>
      <w:r w:rsidRPr="00CD3C3F">
        <w:t>I</w:t>
      </w:r>
      <w:r w:rsidR="006A6461" w:rsidRPr="00CD3C3F">
        <w:t xml:space="preserve">nternational </w:t>
      </w:r>
      <w:r w:rsidR="00CD3C3F" w:rsidRPr="00CD3C3F">
        <w:t>bodies</w:t>
      </w:r>
      <w:r w:rsidR="006E2369" w:rsidRPr="00CD3C3F">
        <w:t xml:space="preserve"> are</w:t>
      </w:r>
      <w:r w:rsidR="006A6461" w:rsidRPr="00CD3C3F">
        <w:t xml:space="preserve"> exploring or advocating </w:t>
      </w:r>
      <w:r w:rsidR="00DB5AF3" w:rsidRPr="00CD3C3F">
        <w:t xml:space="preserve">for </w:t>
      </w:r>
      <w:r w:rsidR="006A6461" w:rsidRPr="00CD3C3F">
        <w:t>supplementing method</w:t>
      </w:r>
      <w:r w:rsidR="006A6461" w:rsidRPr="006A6461">
        <w:t xml:space="preserve">-level and project-level risk management with </w:t>
      </w:r>
      <w:r w:rsidR="006A6461">
        <w:t>scheme</w:t>
      </w:r>
      <w:r w:rsidR="006A6461" w:rsidRPr="006A6461">
        <w:t>-level risk management</w:t>
      </w:r>
      <w:r w:rsidR="00DB5AF3">
        <w:rPr>
          <w:rStyle w:val="FootnoteReference"/>
          <w:bCs/>
        </w:rPr>
        <w:footnoteReference w:id="30"/>
      </w:r>
      <w:r w:rsidR="006A6461" w:rsidRPr="006A6461">
        <w:t xml:space="preserve">. </w:t>
      </w:r>
    </w:p>
    <w:p w14:paraId="57BC938F" w14:textId="3CD4426A" w:rsidR="008B3A1D" w:rsidRPr="0030232A" w:rsidRDefault="00F370FB" w:rsidP="0030232A">
      <w:pPr>
        <w:pStyle w:val="ListBullet2"/>
        <w:numPr>
          <w:ilvl w:val="0"/>
          <w:numId w:val="0"/>
        </w:numPr>
      </w:pPr>
      <w:r>
        <w:lastRenderedPageBreak/>
        <w:t xml:space="preserve">The implications of implementing such a buffer for ACCU prices and the average cost of supply are ambiguous because (for example) it may enhance investor confidence and reduce investment risk premia applied to supply projects. </w:t>
      </w:r>
      <w:bookmarkStart w:id="91" w:name="_Toc121818593"/>
      <w:bookmarkStart w:id="92" w:name="_Toc121817707"/>
      <w:r w:rsidR="008B3A1D">
        <w:br w:type="page"/>
      </w:r>
    </w:p>
    <w:p w14:paraId="79559A85" w14:textId="56BD1A14" w:rsidR="001018CB" w:rsidRDefault="001018CB" w:rsidP="001018CB">
      <w:pPr>
        <w:pStyle w:val="Heading1"/>
      </w:pPr>
      <w:bookmarkStart w:id="93" w:name="_Toc122339752"/>
      <w:bookmarkStart w:id="94" w:name="_Toc122348039"/>
      <w:bookmarkStart w:id="95" w:name="_Toc122359805"/>
      <w:bookmarkStart w:id="96" w:name="_Toc122360786"/>
      <w:bookmarkStart w:id="97" w:name="_Toc122523005"/>
      <w:r>
        <w:lastRenderedPageBreak/>
        <w:t xml:space="preserve">Part </w:t>
      </w:r>
      <w:r w:rsidR="00D71BBD">
        <w:t>5</w:t>
      </w:r>
      <w:r>
        <w:t xml:space="preserve">. Human-induced regeneration (HIR), avoided deforestation, landfill gas </w:t>
      </w:r>
      <w:r w:rsidR="00C14BB3">
        <w:t>and</w:t>
      </w:r>
      <w:r>
        <w:t xml:space="preserve"> </w:t>
      </w:r>
      <w:r w:rsidR="00C14BB3">
        <w:t xml:space="preserve">carbon capture and storage (CCS), </w:t>
      </w:r>
      <w:r>
        <w:t>methods.</w:t>
      </w:r>
      <w:bookmarkEnd w:id="91"/>
      <w:bookmarkEnd w:id="92"/>
      <w:bookmarkEnd w:id="93"/>
      <w:bookmarkEnd w:id="94"/>
      <w:bookmarkEnd w:id="95"/>
      <w:bookmarkEnd w:id="96"/>
      <w:bookmarkEnd w:id="97"/>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BA2B6D" w14:paraId="678220F5" w14:textId="77777777" w:rsidTr="003F67EC">
        <w:trPr>
          <w:trHeight w:val="1353"/>
        </w:trPr>
        <w:tc>
          <w:tcPr>
            <w:tcW w:w="9072" w:type="dxa"/>
            <w:tcBorders>
              <w:top w:val="thinThickLargeGap" w:sz="8" w:space="0" w:color="617E89" w:themeColor="accent1"/>
              <w:left w:val="nil"/>
              <w:bottom w:val="single" w:sz="4" w:space="0" w:color="617E89" w:themeColor="accent1"/>
              <w:right w:val="nil"/>
            </w:tcBorders>
          </w:tcPr>
          <w:p w14:paraId="29DA494E" w14:textId="77777777" w:rsidR="00F23CB9" w:rsidRDefault="00F23CB9" w:rsidP="00485F6D">
            <w:pPr>
              <w:pStyle w:val="Heading4"/>
              <w:outlineLvl w:val="3"/>
            </w:pPr>
            <w:r>
              <w:t>Terms of Reference</w:t>
            </w:r>
          </w:p>
          <w:p w14:paraId="34AEA3DA" w14:textId="2E298ECC" w:rsidR="0060030B" w:rsidRDefault="00F23CB9" w:rsidP="006C1577">
            <w:pPr>
              <w:spacing w:before="80"/>
            </w:pPr>
            <w:r>
              <w:t xml:space="preserve">1(b). Whether the methods by which ACCUs are generated meet the </w:t>
            </w:r>
            <w:r w:rsidR="006E2369">
              <w:t>O</w:t>
            </w:r>
            <w:r>
              <w:t xml:space="preserve">ffsets </w:t>
            </w:r>
            <w:r w:rsidR="006E2369">
              <w:t>I</w:t>
            </w:r>
            <w:r>
              <w:t xml:space="preserve">ntegrity </w:t>
            </w:r>
            <w:r w:rsidR="006E2369">
              <w:t>S</w:t>
            </w:r>
            <w:r>
              <w:t xml:space="preserve">tandards, including: </w:t>
            </w:r>
          </w:p>
          <w:p w14:paraId="338DF1CD" w14:textId="6B6321D4" w:rsidR="00F23CB9" w:rsidRPr="006C1577" w:rsidRDefault="0060030B" w:rsidP="006C1577">
            <w:pPr>
              <w:spacing w:before="80"/>
            </w:pPr>
            <w:r>
              <w:t xml:space="preserve">i. </w:t>
            </w:r>
            <w:r w:rsidR="00F23CB9">
              <w:t>Consideration of recent claims raised about the human-induced regeneration, carbon capture and storage, avoided deforestation, and landfill waste gas methods.</w:t>
            </w:r>
          </w:p>
        </w:tc>
      </w:tr>
    </w:tbl>
    <w:p w14:paraId="4D81CE0C" w14:textId="2FBF18B3" w:rsidR="00494199" w:rsidRPr="00A04E74" w:rsidRDefault="00487AE0" w:rsidP="00A04E74">
      <w:pPr>
        <w:pStyle w:val="StyleNormalBody"/>
        <w:spacing w:after="120"/>
        <w:rPr>
          <w:bCs/>
        </w:rPr>
      </w:pPr>
      <w:r w:rsidRPr="00A04E74">
        <w:rPr>
          <w:bCs/>
        </w:rPr>
        <w:t>The science that underpins the</w:t>
      </w:r>
      <w:r w:rsidR="00C94B5B" w:rsidRPr="00A04E74">
        <w:rPr>
          <w:bCs/>
        </w:rPr>
        <w:t>se</w:t>
      </w:r>
      <w:r w:rsidRPr="00A04E74">
        <w:rPr>
          <w:bCs/>
        </w:rPr>
        <w:t xml:space="preserve"> methods is well</w:t>
      </w:r>
      <w:r w:rsidR="003372FB">
        <w:rPr>
          <w:bCs/>
        </w:rPr>
        <w:t xml:space="preserve"> </w:t>
      </w:r>
      <w:r w:rsidRPr="00A04E74">
        <w:rPr>
          <w:bCs/>
        </w:rPr>
        <w:t xml:space="preserve">understood. However, the implementation, monitoring and enforcement of the methods is </w:t>
      </w:r>
      <w:r w:rsidR="00F94552" w:rsidRPr="00A04E74">
        <w:rPr>
          <w:bCs/>
        </w:rPr>
        <w:t xml:space="preserve">unavoidably </w:t>
      </w:r>
      <w:r w:rsidRPr="00A04E74">
        <w:rPr>
          <w:bCs/>
        </w:rPr>
        <w:t xml:space="preserve">complex. </w:t>
      </w:r>
      <w:r w:rsidR="008D29D4" w:rsidRPr="00A04E74">
        <w:rPr>
          <w:bCs/>
        </w:rPr>
        <w:t>A robust approach to all</w:t>
      </w:r>
      <w:r w:rsidRPr="00A04E74">
        <w:rPr>
          <w:bCs/>
        </w:rPr>
        <w:t xml:space="preserve"> these elements </w:t>
      </w:r>
      <w:r w:rsidR="008D29D4" w:rsidRPr="00A04E74">
        <w:rPr>
          <w:bCs/>
        </w:rPr>
        <w:t>is</w:t>
      </w:r>
      <w:r w:rsidRPr="00A04E74">
        <w:rPr>
          <w:bCs/>
        </w:rPr>
        <w:t xml:space="preserve"> needed to underpin integrity of abatement.</w:t>
      </w:r>
      <w:r w:rsidR="001463D6">
        <w:rPr>
          <w:bCs/>
        </w:rPr>
        <w:t xml:space="preserve"> </w:t>
      </w:r>
      <w:r w:rsidR="001018CB" w:rsidRPr="00A04E74">
        <w:rPr>
          <w:bCs/>
        </w:rPr>
        <w:t xml:space="preserve"> </w:t>
      </w:r>
    </w:p>
    <w:p w14:paraId="6FAF4A2A" w14:textId="303C6CDF" w:rsidR="00B77A08" w:rsidRDefault="00BF5955" w:rsidP="002477AB">
      <w:pPr>
        <w:pStyle w:val="Heading2"/>
        <w:spacing w:after="240"/>
      </w:pPr>
      <w:bookmarkStart w:id="98" w:name="_Toc121818594"/>
      <w:bookmarkStart w:id="99" w:name="_Toc121817708"/>
      <w:bookmarkStart w:id="100" w:name="_Toc122339753"/>
      <w:bookmarkStart w:id="101" w:name="_Toc122348040"/>
      <w:bookmarkStart w:id="102" w:name="_Toc122359806"/>
      <w:bookmarkStart w:id="103" w:name="_Toc122360787"/>
      <w:bookmarkStart w:id="104" w:name="_Toc122523006"/>
      <w:r>
        <w:t>Enhancing the implementation of the h</w:t>
      </w:r>
      <w:r w:rsidR="001018CB" w:rsidRPr="00F23CB9">
        <w:t>uman-induced regeneration (HIR) method</w:t>
      </w:r>
      <w:bookmarkEnd w:id="98"/>
      <w:bookmarkEnd w:id="99"/>
      <w:bookmarkEnd w:id="100"/>
      <w:bookmarkEnd w:id="101"/>
      <w:bookmarkEnd w:id="102"/>
      <w:bookmarkEnd w:id="103"/>
      <w:bookmarkEnd w:id="104"/>
      <w:r w:rsidR="001018CB" w:rsidRPr="00F23CB9">
        <w:t xml:space="preserve"> </w:t>
      </w: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B77A08" w14:paraId="0BE56F62"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078335C5" w14:textId="19EB8DB5" w:rsidR="0058126C" w:rsidRDefault="0058126C" w:rsidP="006E3361">
            <w:pPr>
              <w:pStyle w:val="Heading4"/>
              <w:outlineLvl w:val="3"/>
              <w:rPr>
                <w:b w:val="0"/>
              </w:rPr>
            </w:pPr>
            <w:r w:rsidRPr="00182586">
              <w:t xml:space="preserve">Recommendation 8. </w:t>
            </w:r>
            <w:r w:rsidR="0060030B" w:rsidRPr="00B77EB7">
              <w:t>P</w:t>
            </w:r>
            <w:r w:rsidRPr="00B77EB7">
              <w:t xml:space="preserve">roject administration for </w:t>
            </w:r>
            <w:r w:rsidR="00BB4D81" w:rsidRPr="00B77EB7">
              <w:t>the h</w:t>
            </w:r>
            <w:r w:rsidRPr="00B77EB7">
              <w:t>uman</w:t>
            </w:r>
            <w:r w:rsidR="00BB4D81" w:rsidRPr="00B77EB7">
              <w:t>-i</w:t>
            </w:r>
            <w:r w:rsidRPr="00B77EB7">
              <w:t xml:space="preserve">nduced </w:t>
            </w:r>
            <w:r w:rsidR="00BB4D81" w:rsidRPr="00B77EB7">
              <w:t>r</w:t>
            </w:r>
            <w:r w:rsidRPr="00B77EB7">
              <w:t>egeneration</w:t>
            </w:r>
            <w:r w:rsidR="00BB4D81" w:rsidRPr="00B77EB7">
              <w:t xml:space="preserve"> (HIR)</w:t>
            </w:r>
            <w:r w:rsidRPr="00B77EB7">
              <w:t xml:space="preserve"> </w:t>
            </w:r>
            <w:r w:rsidR="00BB4D81" w:rsidRPr="00B77EB7">
              <w:t xml:space="preserve">method </w:t>
            </w:r>
            <w:r w:rsidRPr="00B77EB7">
              <w:t xml:space="preserve">should ensure </w:t>
            </w:r>
            <w:r w:rsidR="00C46B51" w:rsidRPr="00B77EB7">
              <w:t>that</w:t>
            </w:r>
            <w:r w:rsidRPr="00B77EB7">
              <w:t xml:space="preserve"> all</w:t>
            </w:r>
            <w:r w:rsidR="00BB4D81" w:rsidRPr="00B77EB7">
              <w:t xml:space="preserve"> HIR</w:t>
            </w:r>
            <w:r w:rsidRPr="00B77EB7">
              <w:t xml:space="preserve"> projects conform to </w:t>
            </w:r>
            <w:r w:rsidR="00BB4D81" w:rsidRPr="00B77EB7">
              <w:t xml:space="preserve">its </w:t>
            </w:r>
            <w:r w:rsidRPr="00B77EB7">
              <w:t>current intent</w:t>
            </w:r>
            <w:r w:rsidR="005A7A3E" w:rsidRPr="00B77EB7">
              <w:t>:</w:t>
            </w:r>
            <w:r w:rsidRPr="00B77EB7">
              <w:t xml:space="preserve"> that it is reasonable to expect that the project area will become native forest, attain forest cover, and permanently store carbon as a direct result of project management actions.</w:t>
            </w:r>
            <w:r w:rsidRPr="00182586">
              <w:rPr>
                <w:b w:val="0"/>
              </w:rPr>
              <w:t xml:space="preserve">  </w:t>
            </w:r>
          </w:p>
          <w:p w14:paraId="3E9D7574" w14:textId="70362407" w:rsidR="009922A5" w:rsidRDefault="00F1384F" w:rsidP="0057725F">
            <w:pPr>
              <w:pStyle w:val="Bullets"/>
              <w:numPr>
                <w:ilvl w:val="0"/>
                <w:numId w:val="0"/>
              </w:numPr>
              <w:ind w:left="714"/>
            </w:pPr>
            <w:r w:rsidRPr="00F1384F">
              <w:rPr>
                <w:rStyle w:val="List5Char"/>
                <w:b/>
                <w:bCs w:val="0"/>
              </w:rPr>
              <w:t>8.1</w:t>
            </w:r>
            <w:r>
              <w:t xml:space="preserve"> </w:t>
            </w:r>
            <w:r w:rsidR="00F65B5A">
              <w:t>The method sho</w:t>
            </w:r>
            <w:r w:rsidR="009922A5">
              <w:t xml:space="preserve">uld be interpreted as requiring: </w:t>
            </w:r>
          </w:p>
          <w:p w14:paraId="063D8875" w14:textId="44294DCE" w:rsidR="009922A5" w:rsidRPr="00557B1D" w:rsidRDefault="009922A5" w:rsidP="0057725F">
            <w:pPr>
              <w:pStyle w:val="Bullets"/>
              <w:ind w:left="1431"/>
            </w:pPr>
            <w:r w:rsidRPr="00557B1D">
              <w:t>evidence of a causal relationship between the nominated eligible HIR activity or activities and the dominant suppression mechanism(s) that occurred through the entirety of the baseline period</w:t>
            </w:r>
            <w:r w:rsidR="00166FA8" w:rsidRPr="00557B1D">
              <w:t>;</w:t>
            </w:r>
          </w:p>
          <w:p w14:paraId="319046B2" w14:textId="731829C5" w:rsidR="0058126C" w:rsidRPr="00557B1D" w:rsidRDefault="009E3534" w:rsidP="0057725F">
            <w:pPr>
              <w:pStyle w:val="Bullets"/>
              <w:ind w:left="1431"/>
            </w:pPr>
            <w:r w:rsidRPr="00557B1D">
              <w:t>d</w:t>
            </w:r>
            <w:r w:rsidR="0058126C" w:rsidRPr="00557B1D">
              <w:t>emonstrat</w:t>
            </w:r>
            <w:r w:rsidR="009922A5" w:rsidRPr="00557B1D">
              <w:t>ion</w:t>
            </w:r>
            <w:r w:rsidR="0058126C" w:rsidRPr="00557B1D">
              <w:t xml:space="preserve"> that these suppressors are directly addressed by the HIR activity or activities throughout the life of the project</w:t>
            </w:r>
            <w:r w:rsidR="00564D75" w:rsidRPr="00557B1D">
              <w:t>; and</w:t>
            </w:r>
          </w:p>
          <w:p w14:paraId="2843B815" w14:textId="73CC2DE7" w:rsidR="006C1703" w:rsidRPr="000350AB" w:rsidRDefault="006C1703" w:rsidP="0057725F">
            <w:pPr>
              <w:pStyle w:val="Bullets"/>
              <w:ind w:left="1431"/>
              <w:rPr>
                <w:rFonts w:ascii="Calibri" w:hAnsi="Calibri"/>
              </w:rPr>
            </w:pPr>
            <w:r w:rsidRPr="00557B1D">
              <w:t>d</w:t>
            </w:r>
            <w:r w:rsidR="009922A5" w:rsidRPr="00557B1D">
              <w:t>emonstration</w:t>
            </w:r>
            <w:r w:rsidRPr="00557B1D">
              <w:t xml:space="preserve"> that </w:t>
            </w:r>
            <w:r w:rsidR="00562F1A" w:rsidRPr="00557B1D">
              <w:t xml:space="preserve">the application of </w:t>
            </w:r>
            <w:r w:rsidRPr="00557B1D">
              <w:t xml:space="preserve">FullCAM </w:t>
            </w:r>
            <w:r w:rsidR="00533EE7" w:rsidRPr="00557B1D">
              <w:t>is</w:t>
            </w:r>
            <w:r w:rsidRPr="00557B1D">
              <w:t xml:space="preserve"> consistent with the guidelines</w:t>
            </w:r>
            <w:r w:rsidR="001A3016">
              <w:rPr>
                <w:rStyle w:val="FootnoteReference"/>
              </w:rPr>
              <w:footnoteReference w:id="31"/>
            </w:r>
            <w:r w:rsidR="00562F1A">
              <w:t>.</w:t>
            </w:r>
          </w:p>
          <w:p w14:paraId="210EA673" w14:textId="6DF540CA" w:rsidR="00F65B5A" w:rsidRPr="006C1703" w:rsidRDefault="000131D3" w:rsidP="0057725F">
            <w:pPr>
              <w:pStyle w:val="Bullets"/>
              <w:numPr>
                <w:ilvl w:val="0"/>
                <w:numId w:val="0"/>
              </w:numPr>
              <w:ind w:left="714"/>
              <w:rPr>
                <w:rFonts w:ascii="Calibri" w:hAnsi="Calibri"/>
                <w:bCs/>
              </w:rPr>
            </w:pPr>
            <w:r w:rsidRPr="000131D3">
              <w:rPr>
                <w:rFonts w:ascii="Calibri" w:hAnsi="Calibri"/>
                <w:b/>
                <w:bCs/>
              </w:rPr>
              <w:t>8.2</w:t>
            </w:r>
            <w:r>
              <w:rPr>
                <w:rFonts w:ascii="Calibri" w:hAnsi="Calibri"/>
                <w:bCs/>
              </w:rPr>
              <w:t xml:space="preserve"> </w:t>
            </w:r>
            <w:r w:rsidR="00321F46">
              <w:rPr>
                <w:rFonts w:ascii="Calibri" w:hAnsi="Calibri"/>
                <w:bCs/>
              </w:rPr>
              <w:t>Each</w:t>
            </w:r>
            <w:r w:rsidR="009922A5">
              <w:rPr>
                <w:rFonts w:ascii="Calibri" w:hAnsi="Calibri"/>
                <w:bCs/>
              </w:rPr>
              <w:t xml:space="preserve"> project must meet these criteria before future ACCUs may be issued. </w:t>
            </w:r>
          </w:p>
          <w:p w14:paraId="35795CAF" w14:textId="056758A6" w:rsidR="00E83699" w:rsidRPr="0058126C" w:rsidRDefault="00F1384F" w:rsidP="0057725F">
            <w:pPr>
              <w:pStyle w:val="Bullets"/>
              <w:numPr>
                <w:ilvl w:val="0"/>
                <w:numId w:val="0"/>
              </w:numPr>
              <w:ind w:left="714"/>
              <w:rPr>
                <w:rFonts w:ascii="Calibri" w:hAnsi="Calibri"/>
                <w:bCs/>
              </w:rPr>
            </w:pPr>
            <w:r w:rsidRPr="00F1384F">
              <w:rPr>
                <w:rFonts w:ascii="Calibri" w:hAnsi="Calibri"/>
                <w:b/>
              </w:rPr>
              <w:t>8.</w:t>
            </w:r>
            <w:r w:rsidR="000131D3">
              <w:rPr>
                <w:rFonts w:ascii="Calibri" w:hAnsi="Calibri"/>
                <w:b/>
              </w:rPr>
              <w:t>3</w:t>
            </w:r>
            <w:r>
              <w:rPr>
                <w:rFonts w:ascii="Calibri" w:hAnsi="Calibri"/>
                <w:bCs/>
              </w:rPr>
              <w:t xml:space="preserve"> </w:t>
            </w:r>
            <w:r w:rsidR="0058126C" w:rsidRPr="006032BB">
              <w:rPr>
                <w:rFonts w:ascii="Calibri" w:hAnsi="Calibri"/>
                <w:bCs/>
              </w:rPr>
              <w:t xml:space="preserve">The CER should </w:t>
            </w:r>
            <w:r w:rsidR="0058126C" w:rsidRPr="0058126C">
              <w:rPr>
                <w:rFonts w:ascii="Calibri" w:hAnsi="Calibri"/>
                <w:bCs/>
              </w:rPr>
              <w:t xml:space="preserve">include </w:t>
            </w:r>
            <w:r w:rsidR="0058126C" w:rsidRPr="006032BB">
              <w:rPr>
                <w:rFonts w:ascii="Calibri" w:hAnsi="Calibri"/>
                <w:bCs/>
              </w:rPr>
              <w:t xml:space="preserve">nominated suppression mechanism(s) and eligible HIR activities for new and existing projects on the project register, as soon as feasible, </w:t>
            </w:r>
            <w:r w:rsidR="0058126C" w:rsidRPr="0058126C">
              <w:rPr>
                <w:rFonts w:ascii="Calibri" w:hAnsi="Calibri"/>
                <w:bCs/>
              </w:rPr>
              <w:t>and routinely publish</w:t>
            </w:r>
            <w:r w:rsidR="0058126C" w:rsidRPr="006032BB">
              <w:rPr>
                <w:rFonts w:ascii="Calibri" w:hAnsi="Calibri"/>
                <w:bCs/>
              </w:rPr>
              <w:t xml:space="preserve"> project assessment data and results.</w:t>
            </w:r>
            <w:r w:rsidR="006C39FD">
              <w:rPr>
                <w:rFonts w:ascii="Calibri" w:hAnsi="Calibri"/>
                <w:bCs/>
              </w:rPr>
              <w:t xml:space="preserve"> </w:t>
            </w:r>
          </w:p>
        </w:tc>
      </w:tr>
    </w:tbl>
    <w:p w14:paraId="730B272D" w14:textId="77777777" w:rsidR="00E153CE" w:rsidRPr="00E153CE" w:rsidRDefault="00E153CE" w:rsidP="006F7A13">
      <w:pPr>
        <w:pStyle w:val="StyleNormalBody"/>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E153CE" w14:paraId="692DC93A" w14:textId="77777777" w:rsidTr="009F5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44905A86" w14:textId="77777777" w:rsidR="00E153CE" w:rsidRDefault="00E153CE" w:rsidP="00213DDF">
            <w:pPr>
              <w:pStyle w:val="KeyFindings"/>
              <w:spacing w:before="80"/>
              <w:rPr>
                <w:rStyle w:val="IntenseEmphasis"/>
                <w:b w:val="0"/>
                <w:bCs/>
              </w:rPr>
            </w:pPr>
            <w:bookmarkStart w:id="105" w:name="_Hlk122359593"/>
            <w:r w:rsidRPr="00C372CA">
              <w:rPr>
                <w:rStyle w:val="IntenseEmphasis"/>
              </w:rPr>
              <w:lastRenderedPageBreak/>
              <w:t xml:space="preserve">Key findings </w:t>
            </w:r>
          </w:p>
          <w:p w14:paraId="5FC001CE" w14:textId="1B73B4AF" w:rsidR="00875C32" w:rsidRPr="00D15E0B" w:rsidRDefault="00875C32" w:rsidP="00875C32">
            <w:pPr>
              <w:pStyle w:val="StyleNormalBody"/>
              <w:rPr>
                <w:b w:val="0"/>
                <w:bCs w:val="0"/>
              </w:rPr>
            </w:pPr>
            <w:r w:rsidRPr="00D15E0B">
              <w:rPr>
                <w:b w:val="0"/>
              </w:rPr>
              <w:t xml:space="preserve">The HIR method is sound - it meets the </w:t>
            </w:r>
            <w:r w:rsidR="00401F4D">
              <w:rPr>
                <w:b w:val="0"/>
              </w:rPr>
              <w:t>OIS</w:t>
            </w:r>
            <w:r w:rsidRPr="00D15E0B">
              <w:rPr>
                <w:b w:val="0"/>
              </w:rPr>
              <w:t xml:space="preserve"> and is administered by a robust regulatory framework. Notwithstanding</w:t>
            </w:r>
            <w:r>
              <w:rPr>
                <w:b w:val="0"/>
              </w:rPr>
              <w:t xml:space="preserve"> </w:t>
            </w:r>
            <w:r w:rsidRPr="00447746">
              <w:rPr>
                <w:b w:val="0"/>
              </w:rPr>
              <w:t>this</w:t>
            </w:r>
            <w:r w:rsidRPr="00D15E0B">
              <w:rPr>
                <w:b w:val="0"/>
              </w:rPr>
              <w:t>, there is always room for improvement</w:t>
            </w:r>
            <w:r>
              <w:rPr>
                <w:b w:val="0"/>
                <w:bCs w:val="0"/>
              </w:rPr>
              <w:t xml:space="preserve">. </w:t>
            </w:r>
          </w:p>
          <w:p w14:paraId="641223AF" w14:textId="404C08F7" w:rsidR="00875C32" w:rsidRPr="00D15E0B" w:rsidRDefault="00875C32" w:rsidP="00875C32">
            <w:pPr>
              <w:pStyle w:val="StyleNormalBody"/>
              <w:rPr>
                <w:b w:val="0"/>
                <w:bCs w:val="0"/>
              </w:rPr>
            </w:pPr>
            <w:r w:rsidRPr="00D15E0B">
              <w:rPr>
                <w:b w:val="0"/>
              </w:rPr>
              <w:t xml:space="preserve">HIR projects are subject to additional </w:t>
            </w:r>
            <w:r w:rsidRPr="00447746">
              <w:rPr>
                <w:b w:val="0"/>
              </w:rPr>
              <w:t>requirements, including</w:t>
            </w:r>
            <w:r>
              <w:rPr>
                <w:b w:val="0"/>
              </w:rPr>
              <w:t xml:space="preserve"> </w:t>
            </w:r>
            <w:r w:rsidRPr="00D15E0B">
              <w:rPr>
                <w:b w:val="0"/>
              </w:rPr>
              <w:t>5-yearly regeneration and forest attainment gateway checks. It would be beneficial for the CER to publish</w:t>
            </w:r>
            <w:r>
              <w:rPr>
                <w:b w:val="0"/>
                <w:bCs w:val="0"/>
              </w:rPr>
              <w:t xml:space="preserve"> outcomes of project </w:t>
            </w:r>
            <w:r w:rsidRPr="00D15E0B">
              <w:rPr>
                <w:b w:val="0"/>
              </w:rPr>
              <w:t>assessments</w:t>
            </w:r>
            <w:r w:rsidR="00074DAD">
              <w:rPr>
                <w:b w:val="0"/>
              </w:rPr>
              <w:t xml:space="preserve">, </w:t>
            </w:r>
            <w:r w:rsidR="00074DAD" w:rsidRPr="00074DAD">
              <w:rPr>
                <w:b w:val="0"/>
                <w:color w:val="000000" w:themeColor="text1"/>
              </w:rPr>
              <w:t>consistent with relevant privacy and confidentiality provisions.</w:t>
            </w:r>
          </w:p>
          <w:p w14:paraId="26EFE756" w14:textId="77777777" w:rsidR="00875C32" w:rsidRPr="00875C32" w:rsidRDefault="00875C32" w:rsidP="00875C32">
            <w:pPr>
              <w:pStyle w:val="StyleNormalBody"/>
              <w:rPr>
                <w:b w:val="0"/>
                <w:bCs w:val="0"/>
              </w:rPr>
            </w:pPr>
            <w:r w:rsidRPr="00875C32">
              <w:rPr>
                <w:rStyle w:val="Emphasis"/>
                <w:b w:val="0"/>
                <w:i w:val="0"/>
                <w:iCs w:val="0"/>
              </w:rPr>
              <w:t xml:space="preserve">While the Panel did not review individual projects, it understands that should </w:t>
            </w:r>
            <w:r w:rsidRPr="00875C32">
              <w:rPr>
                <w:b w:val="0"/>
              </w:rPr>
              <w:t xml:space="preserve">any project under any method be found to be noncompliant, the CER would use existing provisions to address project noncompliance on a case-by-case basis. </w:t>
            </w:r>
          </w:p>
          <w:p w14:paraId="3F2DA756" w14:textId="77777777" w:rsidR="000A782D" w:rsidDel="000A782D" w:rsidRDefault="00875C32" w:rsidP="00875C32">
            <w:pPr>
              <w:pStyle w:val="StyleNormalBody"/>
              <w:rPr>
                <w:rFonts w:cstheme="minorHAnsi"/>
                <w:color w:val="242424"/>
                <w:shd w:val="clear" w:color="auto" w:fill="FFFFFF"/>
              </w:rPr>
            </w:pPr>
            <w:r w:rsidRPr="00884C06">
              <w:rPr>
                <w:b w:val="0"/>
                <w:color w:val="000000" w:themeColor="text1"/>
              </w:rPr>
              <w:t xml:space="preserve">The Panel does not accept that a correlation between rainfall and vegetation growth undermines the method. Rainfall is necessary but not sufficient to ensure permanent storage of carbon. </w:t>
            </w:r>
            <w:r w:rsidR="000A782D">
              <w:rPr>
                <w:rFonts w:cstheme="minorHAnsi"/>
                <w:b w:val="0"/>
                <w:color w:val="242424"/>
                <w:shd w:val="clear" w:color="auto" w:fill="FFFFFF"/>
              </w:rPr>
              <w:t>For this reason, the method requires that</w:t>
            </w:r>
            <w:r w:rsidR="000A782D" w:rsidRPr="000A782D">
              <w:rPr>
                <w:rFonts w:cstheme="minorHAnsi"/>
                <w:b w:val="0"/>
                <w:color w:val="242424"/>
                <w:shd w:val="clear" w:color="auto" w:fill="FFFFFF"/>
              </w:rPr>
              <w:t xml:space="preserve"> projects include HIR activities that address the reasons why forest cover has not been maintained or restored in the past (referred to as the dominant suppressor or suppressors</w:t>
            </w:r>
            <w:r w:rsidR="000A782D">
              <w:rPr>
                <w:rFonts w:cstheme="minorHAnsi"/>
                <w:b w:val="0"/>
                <w:color w:val="242424"/>
                <w:shd w:val="clear" w:color="auto" w:fill="FFFFFF"/>
              </w:rPr>
              <w:t xml:space="preserve"> in the method</w:t>
            </w:r>
            <w:r w:rsidR="000A782D" w:rsidRPr="000A782D">
              <w:rPr>
                <w:rFonts w:cstheme="minorHAnsi"/>
                <w:b w:val="0"/>
                <w:color w:val="242424"/>
                <w:shd w:val="clear" w:color="auto" w:fill="FFFFFF"/>
              </w:rPr>
              <w:t>)</w:t>
            </w:r>
            <w:r w:rsidR="000A782D">
              <w:rPr>
                <w:rFonts w:cstheme="minorHAnsi"/>
                <w:b w:val="0"/>
                <w:color w:val="242424"/>
                <w:shd w:val="clear" w:color="auto" w:fill="FFFFFF"/>
              </w:rPr>
              <w:t>.</w:t>
            </w:r>
          </w:p>
          <w:p w14:paraId="70EDADB4" w14:textId="544A3DB2" w:rsidR="00E83699" w:rsidRPr="00875C32" w:rsidRDefault="00875C32" w:rsidP="00213DDF">
            <w:pPr>
              <w:spacing w:after="80"/>
              <w:rPr>
                <w:rStyle w:val="Emphasis"/>
                <w:rFonts w:ascii="Calibri" w:hAnsi="Calibri"/>
                <w:bCs w:val="0"/>
                <w:i w:val="0"/>
                <w:iCs w:val="0"/>
                <w:color w:val="000000" w:themeColor="text1"/>
                <w:lang w:val="en-GB"/>
              </w:rPr>
            </w:pPr>
            <w:r w:rsidRPr="00884C06">
              <w:rPr>
                <w:b w:val="0"/>
                <w:color w:val="000000" w:themeColor="text1"/>
                <w:lang w:val="en-GB"/>
              </w:rPr>
              <w:t>Less restrictive data arrangements would have allowed the substance of many of the concerns raised about HIR projects to be transparently assessed and dealt with, rather than lingering (</w:t>
            </w:r>
            <w:r w:rsidRPr="00875C32">
              <w:rPr>
                <w:bCs w:val="0"/>
                <w:color w:val="000000" w:themeColor="text1"/>
                <w:lang w:val="en-GB"/>
              </w:rPr>
              <w:t>Recommendation 4</w:t>
            </w:r>
            <w:r w:rsidRPr="00884C06">
              <w:rPr>
                <w:b w:val="0"/>
                <w:color w:val="000000" w:themeColor="text1"/>
                <w:lang w:val="en-GB"/>
              </w:rPr>
              <w:t>).</w:t>
            </w:r>
          </w:p>
        </w:tc>
      </w:tr>
    </w:tbl>
    <w:bookmarkEnd w:id="105"/>
    <w:p w14:paraId="31B961AF" w14:textId="3E542FBA" w:rsidR="001018CB" w:rsidRDefault="0030232A" w:rsidP="00A64F7A">
      <w:pPr>
        <w:pStyle w:val="StyleNormalBody"/>
        <w:spacing w:before="240"/>
      </w:pPr>
      <w:r>
        <w:t>T</w:t>
      </w:r>
      <w:r w:rsidR="001018CB">
        <w:t xml:space="preserve">he </w:t>
      </w:r>
      <w:r w:rsidR="001018CB" w:rsidRPr="006F7A13">
        <w:rPr>
          <w:i/>
          <w:iCs/>
        </w:rPr>
        <w:t>Carbon Credits (Carbon Farming Initiative) (Human-Induced Regeneration of a Permanent Even-Aged Native Forest—1.1) Methodology Determination 2013</w:t>
      </w:r>
      <w:r w:rsidR="001018CB">
        <w:t xml:space="preserve"> (HIR method) stipulates that:</w:t>
      </w:r>
    </w:p>
    <w:p w14:paraId="2FE54C25" w14:textId="0816E487" w:rsidR="001018CB" w:rsidRDefault="001018CB" w:rsidP="006F7A13">
      <w:pPr>
        <w:pStyle w:val="StyleNormalBody"/>
        <w:rPr>
          <w:rFonts w:eastAsia="Times New Roman" w:cstheme="minorHAnsi"/>
          <w:color w:val="000000"/>
          <w:lang w:eastAsia="en-AU"/>
        </w:rPr>
      </w:pPr>
      <w:r>
        <w:rPr>
          <w:color w:val="000000"/>
          <w:shd w:val="clear" w:color="auto" w:fill="FFFFFF"/>
        </w:rPr>
        <w:t xml:space="preserve">HIR projects must, in an area of </w:t>
      </w:r>
      <w:r w:rsidRPr="004A24E8">
        <w:rPr>
          <w:color w:val="000000"/>
          <w:shd w:val="clear" w:color="auto" w:fill="FFFFFF"/>
        </w:rPr>
        <w:t>eligible land,</w:t>
      </w:r>
      <w:r>
        <w:rPr>
          <w:color w:val="000000"/>
          <w:shd w:val="clear" w:color="auto" w:fill="FFFFFF"/>
        </w:rPr>
        <w:t xml:space="preserve"> undertake one or more HIR activities in a way that can reasonably be expected to result in </w:t>
      </w:r>
      <w:r>
        <w:t xml:space="preserve">(a) </w:t>
      </w:r>
      <w:r w:rsidRPr="00E049EB">
        <w:rPr>
          <w:color w:val="000000"/>
          <w:shd w:val="clear" w:color="auto" w:fill="FFFFFF"/>
        </w:rPr>
        <w:t>the area becoming native forest, and attaining forest cover</w:t>
      </w:r>
      <w:r>
        <w:rPr>
          <w:rStyle w:val="FootnoteReference"/>
        </w:rPr>
        <w:footnoteReference w:id="32"/>
      </w:r>
      <w:r w:rsidRPr="00E049EB">
        <w:rPr>
          <w:color w:val="000000"/>
          <w:shd w:val="clear" w:color="auto" w:fill="FFFFFF"/>
        </w:rPr>
        <w:t xml:space="preserve"> through regeneration, an</w:t>
      </w:r>
      <w:r>
        <w:rPr>
          <w:color w:val="000000"/>
          <w:shd w:val="clear" w:color="auto" w:fill="FFFFFF"/>
        </w:rPr>
        <w:t xml:space="preserve">d (b) </w:t>
      </w:r>
      <w:r w:rsidRPr="00E049EB">
        <w:rPr>
          <w:color w:val="000000"/>
          <w:shd w:val="clear" w:color="auto" w:fill="FFFFFF"/>
        </w:rPr>
        <w:t xml:space="preserve">eligible carbon abatement </w:t>
      </w:r>
      <w:r w:rsidRPr="00E049EB">
        <w:rPr>
          <w:rFonts w:eastAsia="Times New Roman" w:cstheme="minorHAnsi"/>
          <w:color w:val="000000"/>
          <w:lang w:eastAsia="en-AU"/>
        </w:rPr>
        <w:t xml:space="preserve">(subsection 7(1), subsection 12(1)). </w:t>
      </w:r>
    </w:p>
    <w:p w14:paraId="7149B2DB" w14:textId="3C08767A" w:rsidR="0030232A" w:rsidRPr="00E049EB" w:rsidRDefault="0030232A" w:rsidP="006F7A13">
      <w:pPr>
        <w:pStyle w:val="StyleNormalBody"/>
      </w:pPr>
      <w:r>
        <w:rPr>
          <w:rFonts w:eastAsia="Times New Roman" w:cstheme="minorHAnsi"/>
          <w:color w:val="000000"/>
          <w:lang w:eastAsia="en-AU"/>
        </w:rPr>
        <w:t xml:space="preserve">In practice this requires evidence that an area has in the past sustained native forest, as defined, but that this forest cover has been lost, and that regeneration has been prevented for a period (referred to as the baseline) by one or more defined HIR activities. The ability of an area to regenerate – such as through rainfall following a drought – is thus not the primary focus. Instead, the focus is on establishing the activity or activities (referred to as suppressors) that prevent this regrowth attaining forest cover and providing permanent carbon sequestration. </w:t>
      </w:r>
    </w:p>
    <w:p w14:paraId="0AA6EB8E" w14:textId="77777777" w:rsidR="001018CB" w:rsidRPr="00CD7E8E" w:rsidRDefault="001018CB" w:rsidP="007244AC">
      <w:pPr>
        <w:pStyle w:val="StyleNormalBody"/>
        <w:spacing w:before="80" w:after="120"/>
      </w:pPr>
      <w:r w:rsidRPr="00CD7E8E">
        <w:t xml:space="preserve">Each of the following is an </w:t>
      </w:r>
      <w:r w:rsidRPr="00E335D2">
        <w:t>HIR activity:</w:t>
      </w:r>
      <w:r w:rsidRPr="00CD7E8E">
        <w:t xml:space="preserve"> </w:t>
      </w:r>
    </w:p>
    <w:p w14:paraId="40A75E55" w14:textId="77777777" w:rsidR="001018CB" w:rsidRPr="00CD7E8E" w:rsidRDefault="001018CB" w:rsidP="00612D33">
      <w:pPr>
        <w:pStyle w:val="ListParagraph"/>
        <w:numPr>
          <w:ilvl w:val="0"/>
          <w:numId w:val="7"/>
        </w:numPr>
        <w:shd w:val="clear" w:color="auto" w:fill="FFFFFF"/>
        <w:spacing w:before="80" w:after="0"/>
        <w:contextualSpacing w:val="0"/>
        <w:rPr>
          <w:rFonts w:eastAsia="Times New Roman" w:cstheme="minorHAnsi"/>
          <w:color w:val="000000"/>
          <w:lang w:eastAsia="en-AU"/>
        </w:rPr>
      </w:pPr>
      <w:r w:rsidRPr="00CD7E8E">
        <w:rPr>
          <w:rFonts w:eastAsia="Times New Roman" w:cstheme="minorHAnsi"/>
          <w:color w:val="000000"/>
          <w:lang w:eastAsia="en-AU"/>
        </w:rPr>
        <w:t>the exclusion of livestock and the taking of reasonable steps to keep livestock excluded;</w:t>
      </w:r>
    </w:p>
    <w:p w14:paraId="6FDAC21C" w14:textId="77777777" w:rsidR="001018CB" w:rsidRPr="00DA06B0" w:rsidRDefault="001018CB" w:rsidP="00612D33">
      <w:pPr>
        <w:pStyle w:val="ListParagraph"/>
        <w:numPr>
          <w:ilvl w:val="0"/>
          <w:numId w:val="7"/>
        </w:numPr>
        <w:shd w:val="clear" w:color="auto" w:fill="FFFFFF"/>
        <w:spacing w:before="40" w:after="0"/>
        <w:ind w:left="714" w:hanging="357"/>
        <w:contextualSpacing w:val="0"/>
        <w:rPr>
          <w:rFonts w:eastAsia="Times New Roman" w:cstheme="minorHAnsi"/>
          <w:color w:val="000000"/>
          <w:lang w:eastAsia="en-AU"/>
        </w:rPr>
      </w:pPr>
      <w:r w:rsidRPr="00DA06B0">
        <w:rPr>
          <w:rFonts w:eastAsia="Times New Roman" w:cstheme="minorHAnsi"/>
          <w:color w:val="000000"/>
          <w:lang w:eastAsia="en-AU"/>
        </w:rPr>
        <w:t>the management of the timing, and the extent, of grazing;</w:t>
      </w:r>
    </w:p>
    <w:p w14:paraId="3655A734" w14:textId="77777777" w:rsidR="001018CB" w:rsidRPr="00DA06B0" w:rsidRDefault="001018CB" w:rsidP="00612D33">
      <w:pPr>
        <w:pStyle w:val="ListParagraph"/>
        <w:numPr>
          <w:ilvl w:val="0"/>
          <w:numId w:val="7"/>
        </w:numPr>
        <w:shd w:val="clear" w:color="auto" w:fill="FFFFFF"/>
        <w:spacing w:before="40" w:after="0"/>
        <w:ind w:left="714" w:hanging="357"/>
        <w:contextualSpacing w:val="0"/>
        <w:rPr>
          <w:rFonts w:eastAsia="Times New Roman" w:cstheme="minorHAnsi"/>
          <w:color w:val="000000"/>
          <w:lang w:eastAsia="en-AU"/>
        </w:rPr>
      </w:pPr>
      <w:r w:rsidRPr="00DA06B0">
        <w:rPr>
          <w:rFonts w:eastAsia="Times New Roman" w:cstheme="minorHAnsi"/>
          <w:color w:val="000000"/>
          <w:lang w:eastAsia="en-AU"/>
        </w:rPr>
        <w:t>the management, in a humane manner, of feral animals;</w:t>
      </w:r>
    </w:p>
    <w:p w14:paraId="0EFC59A0" w14:textId="77777777" w:rsidR="001018CB" w:rsidRPr="00DA06B0" w:rsidRDefault="001018CB" w:rsidP="00612D33">
      <w:pPr>
        <w:pStyle w:val="ListParagraph"/>
        <w:numPr>
          <w:ilvl w:val="0"/>
          <w:numId w:val="7"/>
        </w:numPr>
        <w:shd w:val="clear" w:color="auto" w:fill="FFFFFF"/>
        <w:spacing w:before="40" w:after="0"/>
        <w:ind w:left="714" w:hanging="357"/>
        <w:contextualSpacing w:val="0"/>
        <w:rPr>
          <w:rFonts w:eastAsia="Times New Roman" w:cstheme="minorHAnsi"/>
          <w:color w:val="000000"/>
          <w:lang w:eastAsia="en-AU"/>
        </w:rPr>
      </w:pPr>
      <w:r w:rsidRPr="00DA06B0">
        <w:rPr>
          <w:rFonts w:eastAsia="Times New Roman" w:cstheme="minorHAnsi"/>
          <w:color w:val="000000"/>
          <w:lang w:eastAsia="en-AU"/>
        </w:rPr>
        <w:t>the management of plants that are not native to the project area;</w:t>
      </w:r>
    </w:p>
    <w:p w14:paraId="0206F98A" w14:textId="77777777" w:rsidR="001018CB" w:rsidRDefault="001018CB" w:rsidP="00612D33">
      <w:pPr>
        <w:pStyle w:val="ListParagraph"/>
        <w:numPr>
          <w:ilvl w:val="0"/>
          <w:numId w:val="7"/>
        </w:numPr>
        <w:shd w:val="clear" w:color="auto" w:fill="FFFFFF"/>
        <w:spacing w:before="40" w:after="0"/>
        <w:ind w:left="714" w:hanging="357"/>
        <w:contextualSpacing w:val="0"/>
        <w:rPr>
          <w:rFonts w:eastAsia="Times New Roman" w:cstheme="minorHAnsi"/>
          <w:color w:val="000000"/>
          <w:lang w:eastAsia="en-AU"/>
        </w:rPr>
      </w:pPr>
      <w:r w:rsidRPr="00DA06B0">
        <w:rPr>
          <w:rFonts w:eastAsia="Times New Roman" w:cstheme="minorHAnsi"/>
          <w:color w:val="000000"/>
          <w:lang w:eastAsia="en-AU"/>
        </w:rPr>
        <w:t>the implementation of a decision to permanently cease the mechanical or chemical destruction, or suppression, of regrowth</w:t>
      </w:r>
      <w:r>
        <w:rPr>
          <w:rStyle w:val="FootnoteReference"/>
          <w:rFonts w:eastAsia="Times New Roman" w:cstheme="minorHAnsi"/>
          <w:color w:val="000000"/>
          <w:lang w:eastAsia="en-AU"/>
        </w:rPr>
        <w:footnoteReference w:id="33"/>
      </w:r>
      <w:r>
        <w:rPr>
          <w:rFonts w:eastAsia="Times New Roman" w:cstheme="minorHAnsi"/>
          <w:color w:val="000000"/>
          <w:lang w:eastAsia="en-AU"/>
        </w:rPr>
        <w:t xml:space="preserve"> (subsection 7(2)). </w:t>
      </w:r>
    </w:p>
    <w:p w14:paraId="6DDF3D04" w14:textId="592C51B2" w:rsidR="001018CB" w:rsidRPr="00CD7E8E" w:rsidRDefault="001018CB" w:rsidP="00E23283">
      <w:pPr>
        <w:pStyle w:val="StyleNormalBody"/>
        <w:spacing w:after="120"/>
      </w:pPr>
      <w:r w:rsidRPr="00D64310">
        <w:t xml:space="preserve">Section 4 of the method outlines the general rule for </w:t>
      </w:r>
      <w:r w:rsidRPr="00DB0151">
        <w:t>determining eligible land</w:t>
      </w:r>
      <w:r w:rsidRPr="00CB7459">
        <w:rPr>
          <w:vertAlign w:val="superscript"/>
        </w:rPr>
        <w:t xml:space="preserve"> </w:t>
      </w:r>
      <w:r w:rsidRPr="00CD7E8E">
        <w:t xml:space="preserve">is that: </w:t>
      </w:r>
    </w:p>
    <w:p w14:paraId="2834C714" w14:textId="77777777" w:rsidR="001018CB" w:rsidRDefault="001018CB" w:rsidP="00612D33">
      <w:pPr>
        <w:pStyle w:val="ListParagraph"/>
        <w:numPr>
          <w:ilvl w:val="0"/>
          <w:numId w:val="8"/>
        </w:numPr>
        <w:shd w:val="clear" w:color="auto" w:fill="FFFFFF"/>
        <w:spacing w:before="80" w:after="0"/>
        <w:rPr>
          <w:rFonts w:eastAsia="Times New Roman" w:cstheme="minorHAnsi"/>
          <w:color w:val="000000"/>
          <w:lang w:eastAsia="en-AU"/>
        </w:rPr>
      </w:pPr>
      <w:r>
        <w:rPr>
          <w:rFonts w:eastAsia="Times New Roman" w:cstheme="minorHAnsi"/>
          <w:color w:val="000000"/>
          <w:lang w:eastAsia="en-AU"/>
        </w:rPr>
        <w:t xml:space="preserve">it did not have forest cover at any time during the </w:t>
      </w:r>
      <w:r w:rsidRPr="004A24E8">
        <w:rPr>
          <w:rFonts w:eastAsia="Times New Roman" w:cstheme="minorHAnsi"/>
          <w:color w:val="000000"/>
          <w:lang w:eastAsia="en-AU"/>
        </w:rPr>
        <w:t>baseline period</w:t>
      </w:r>
      <w:r>
        <w:rPr>
          <w:rFonts w:eastAsia="Times New Roman" w:cstheme="minorHAnsi"/>
          <w:color w:val="000000"/>
          <w:lang w:eastAsia="en-AU"/>
        </w:rPr>
        <w:t xml:space="preserve"> </w:t>
      </w:r>
      <w:r w:rsidRPr="00CD7E8E">
        <w:rPr>
          <w:rFonts w:eastAsia="Times New Roman" w:cstheme="minorHAnsi"/>
          <w:i/>
          <w:iCs/>
          <w:color w:val="000000"/>
          <w:lang w:eastAsia="en-AU"/>
        </w:rPr>
        <w:t xml:space="preserve">(10 years prior to registration); </w:t>
      </w:r>
      <w:r>
        <w:rPr>
          <w:rFonts w:eastAsia="Times New Roman" w:cstheme="minorHAnsi"/>
          <w:color w:val="000000"/>
          <w:lang w:eastAsia="en-AU"/>
        </w:rPr>
        <w:t xml:space="preserve">and </w:t>
      </w:r>
    </w:p>
    <w:p w14:paraId="0BC6113A" w14:textId="438C2771" w:rsidR="001018CB" w:rsidRPr="004A24E8" w:rsidRDefault="001018CB" w:rsidP="00612D33">
      <w:pPr>
        <w:pStyle w:val="ListParagraph"/>
        <w:numPr>
          <w:ilvl w:val="0"/>
          <w:numId w:val="8"/>
        </w:numPr>
        <w:shd w:val="clear" w:color="auto" w:fill="FFFFFF"/>
        <w:spacing w:before="80" w:after="0"/>
        <w:ind w:left="714" w:hanging="357"/>
        <w:contextualSpacing w:val="0"/>
        <w:rPr>
          <w:rFonts w:eastAsia="Times New Roman" w:cstheme="minorHAnsi"/>
          <w:color w:val="000000"/>
          <w:lang w:eastAsia="en-AU"/>
        </w:rPr>
      </w:pPr>
      <w:r w:rsidRPr="004A24E8">
        <w:rPr>
          <w:rFonts w:eastAsia="Times New Roman" w:cstheme="minorHAnsi"/>
          <w:color w:val="000000"/>
          <w:lang w:eastAsia="en-AU"/>
        </w:rPr>
        <w:t>during the baseline period, it was used or managed in such a way that one or more of the following suppression mechanisms contributed to su</w:t>
      </w:r>
      <w:r w:rsidR="00830E4E" w:rsidRPr="004A24E8">
        <w:rPr>
          <w:rFonts w:eastAsia="Times New Roman" w:cstheme="minorHAnsi"/>
          <w:color w:val="000000"/>
          <w:lang w:eastAsia="en-AU"/>
        </w:rPr>
        <w:t>p</w:t>
      </w:r>
      <w:r w:rsidRPr="004A24E8">
        <w:rPr>
          <w:rFonts w:eastAsia="Times New Roman" w:cstheme="minorHAnsi"/>
          <w:color w:val="000000"/>
          <w:lang w:eastAsia="en-AU"/>
        </w:rPr>
        <w:t xml:space="preserve">pressing the development of forest cover: </w:t>
      </w:r>
    </w:p>
    <w:p w14:paraId="488F9212" w14:textId="77777777" w:rsidR="001018CB" w:rsidRPr="007D5507" w:rsidRDefault="001018CB" w:rsidP="00612D33">
      <w:pPr>
        <w:pStyle w:val="paragraphsub-sub"/>
        <w:numPr>
          <w:ilvl w:val="0"/>
          <w:numId w:val="9"/>
        </w:numPr>
        <w:shd w:val="clear" w:color="auto" w:fill="FFFFFF"/>
        <w:spacing w:before="80" w:beforeAutospacing="0" w:after="0" w:afterAutospacing="0"/>
        <w:ind w:left="1434" w:hanging="357"/>
        <w:rPr>
          <w:rFonts w:asciiTheme="minorHAnsi" w:hAnsiTheme="minorHAnsi" w:cstheme="minorHAnsi"/>
          <w:color w:val="000000"/>
          <w:sz w:val="22"/>
          <w:szCs w:val="22"/>
        </w:rPr>
      </w:pPr>
      <w:r w:rsidRPr="007D5507">
        <w:rPr>
          <w:rFonts w:asciiTheme="minorHAnsi" w:hAnsiTheme="minorHAnsi" w:cstheme="minorHAnsi"/>
          <w:color w:val="000000"/>
          <w:sz w:val="22"/>
          <w:szCs w:val="22"/>
        </w:rPr>
        <w:lastRenderedPageBreak/>
        <w:t>livestock;</w:t>
      </w:r>
    </w:p>
    <w:p w14:paraId="46E398A0" w14:textId="77777777" w:rsidR="001018CB" w:rsidRPr="007D5507" w:rsidRDefault="001018CB" w:rsidP="00612D33">
      <w:pPr>
        <w:pStyle w:val="paragraphsub-sub"/>
        <w:numPr>
          <w:ilvl w:val="0"/>
          <w:numId w:val="9"/>
        </w:numPr>
        <w:shd w:val="clear" w:color="auto" w:fill="FFFFFF"/>
        <w:spacing w:before="40" w:beforeAutospacing="0" w:after="0" w:afterAutospacing="0"/>
        <w:rPr>
          <w:rFonts w:asciiTheme="minorHAnsi" w:hAnsiTheme="minorHAnsi" w:cstheme="minorHAnsi"/>
          <w:color w:val="000000"/>
          <w:sz w:val="22"/>
          <w:szCs w:val="22"/>
        </w:rPr>
      </w:pPr>
      <w:r w:rsidRPr="007D5507">
        <w:rPr>
          <w:rFonts w:asciiTheme="minorHAnsi" w:hAnsiTheme="minorHAnsi" w:cstheme="minorHAnsi"/>
          <w:color w:val="000000"/>
          <w:sz w:val="22"/>
          <w:szCs w:val="22"/>
        </w:rPr>
        <w:t>feral animals;</w:t>
      </w:r>
    </w:p>
    <w:p w14:paraId="24631508" w14:textId="77777777" w:rsidR="001018CB" w:rsidRPr="007D5507" w:rsidRDefault="001018CB" w:rsidP="00612D33">
      <w:pPr>
        <w:pStyle w:val="paragraphsub-sub"/>
        <w:numPr>
          <w:ilvl w:val="0"/>
          <w:numId w:val="9"/>
        </w:numPr>
        <w:shd w:val="clear" w:color="auto" w:fill="FFFFFF"/>
        <w:spacing w:before="40" w:beforeAutospacing="0" w:after="0" w:afterAutospacing="0"/>
        <w:rPr>
          <w:rFonts w:asciiTheme="minorHAnsi" w:hAnsiTheme="minorHAnsi" w:cstheme="minorHAnsi"/>
          <w:color w:val="000000"/>
          <w:sz w:val="22"/>
          <w:szCs w:val="22"/>
        </w:rPr>
      </w:pPr>
      <w:r w:rsidRPr="007D5507">
        <w:rPr>
          <w:rFonts w:asciiTheme="minorHAnsi" w:hAnsiTheme="minorHAnsi" w:cstheme="minorHAnsi"/>
          <w:color w:val="000000"/>
          <w:sz w:val="22"/>
          <w:szCs w:val="22"/>
        </w:rPr>
        <w:t>plants not native to the area;</w:t>
      </w:r>
    </w:p>
    <w:p w14:paraId="082AA4C2" w14:textId="77777777" w:rsidR="001018CB" w:rsidRDefault="001018CB" w:rsidP="00612D33">
      <w:pPr>
        <w:pStyle w:val="paragraphsub-sub"/>
        <w:numPr>
          <w:ilvl w:val="0"/>
          <w:numId w:val="9"/>
        </w:numPr>
        <w:shd w:val="clear" w:color="auto" w:fill="FFFFFF"/>
        <w:spacing w:before="40" w:beforeAutospacing="0" w:after="0" w:afterAutospacing="0"/>
        <w:rPr>
          <w:rFonts w:asciiTheme="minorHAnsi" w:hAnsiTheme="minorHAnsi" w:cstheme="minorHAnsi"/>
          <w:color w:val="000000"/>
          <w:sz w:val="22"/>
          <w:szCs w:val="22"/>
        </w:rPr>
      </w:pPr>
      <w:r w:rsidRPr="007D5507">
        <w:rPr>
          <w:rFonts w:asciiTheme="minorHAnsi" w:hAnsiTheme="minorHAnsi" w:cstheme="minorHAnsi"/>
          <w:color w:val="000000"/>
          <w:sz w:val="22"/>
          <w:szCs w:val="22"/>
        </w:rPr>
        <w:t>mechanical or chemical destruction, or suppression, of regrowth</w:t>
      </w:r>
      <w:r>
        <w:rPr>
          <w:rFonts w:asciiTheme="minorHAnsi" w:hAnsiTheme="minorHAnsi" w:cstheme="minorHAnsi"/>
          <w:color w:val="000000"/>
          <w:sz w:val="22"/>
          <w:szCs w:val="22"/>
        </w:rPr>
        <w:t xml:space="preserve">; and </w:t>
      </w:r>
    </w:p>
    <w:p w14:paraId="66FF5993" w14:textId="77777777" w:rsidR="001018CB" w:rsidRPr="007D5507" w:rsidRDefault="001018CB" w:rsidP="00612D33">
      <w:pPr>
        <w:pStyle w:val="paragraphsub-sub"/>
        <w:numPr>
          <w:ilvl w:val="0"/>
          <w:numId w:val="8"/>
        </w:numPr>
        <w:shd w:val="clear" w:color="auto" w:fill="FFFFFF"/>
        <w:spacing w:before="80" w:beforeAutospacing="0" w:after="0" w:afterAutospacing="0"/>
        <w:ind w:left="714" w:hanging="357"/>
        <w:rPr>
          <w:rFonts w:asciiTheme="minorHAnsi" w:hAnsiTheme="minorHAnsi" w:cstheme="minorHAnsi"/>
          <w:color w:val="000000"/>
          <w:sz w:val="22"/>
          <w:szCs w:val="22"/>
        </w:rPr>
      </w:pPr>
      <w:r w:rsidRPr="00FD1573">
        <w:rPr>
          <w:rFonts w:asciiTheme="minorHAnsi" w:hAnsiTheme="minorHAnsi" w:cstheme="minorHAnsi"/>
          <w:color w:val="000000"/>
          <w:sz w:val="22"/>
          <w:szCs w:val="22"/>
        </w:rPr>
        <w:t>as at the end of the baseline period, it was reasonable to expect that it would be necessary to undertake one or more HIR activities on the land in order for it to attain forest cover</w:t>
      </w:r>
      <w:r>
        <w:rPr>
          <w:rStyle w:val="FootnoteReference"/>
          <w:rFonts w:cstheme="minorHAnsi"/>
          <w:color w:val="000000"/>
          <w:szCs w:val="22"/>
        </w:rPr>
        <w:footnoteReference w:id="34"/>
      </w:r>
      <w:r w:rsidRPr="00FD1573">
        <w:rPr>
          <w:rFonts w:asciiTheme="minorHAnsi" w:hAnsiTheme="minorHAnsi" w:cstheme="minorHAnsi"/>
          <w:color w:val="000000"/>
          <w:sz w:val="22"/>
          <w:szCs w:val="22"/>
        </w:rPr>
        <w:t>.</w:t>
      </w:r>
    </w:p>
    <w:p w14:paraId="48AC6FA4" w14:textId="77777777" w:rsidR="001018CB" w:rsidRPr="006A2FAB" w:rsidRDefault="001018CB" w:rsidP="00E23283">
      <w:pPr>
        <w:pStyle w:val="Heading3"/>
        <w:spacing w:before="240"/>
      </w:pPr>
      <w:r w:rsidRPr="006A2FAB">
        <w:t xml:space="preserve">Suppression mechanisms and HIR activities </w:t>
      </w:r>
    </w:p>
    <w:p w14:paraId="11FC8C58" w14:textId="77777777" w:rsidR="00821178" w:rsidRPr="00CD7E8E" w:rsidRDefault="00821178" w:rsidP="00821178">
      <w:pPr>
        <w:pStyle w:val="StyleNormalBody"/>
      </w:pPr>
      <w:r w:rsidRPr="00CD7E8E">
        <w:t xml:space="preserve">The Panel </w:t>
      </w:r>
      <w:r>
        <w:t>was advised</w:t>
      </w:r>
      <w:r w:rsidRPr="00CD7E8E">
        <w:t xml:space="preserve"> that:</w:t>
      </w:r>
    </w:p>
    <w:p w14:paraId="20A0BA20" w14:textId="77777777" w:rsidR="00821178" w:rsidRDefault="00821178" w:rsidP="00821178">
      <w:pPr>
        <w:pStyle w:val="Bullets"/>
        <w:rPr>
          <w:lang w:eastAsia="en-AU"/>
        </w:rPr>
      </w:pPr>
      <w:r>
        <w:rPr>
          <w:lang w:eastAsia="en-AU"/>
        </w:rPr>
        <w:t xml:space="preserve">It is unclear, in practice, whether the suppression mechanism(s) is required to have been the dominant suppression mechanism(s); and </w:t>
      </w:r>
    </w:p>
    <w:p w14:paraId="51113344" w14:textId="77777777" w:rsidR="00821178" w:rsidRPr="00C464BF" w:rsidRDefault="00821178" w:rsidP="00821178">
      <w:pPr>
        <w:pStyle w:val="Bullets"/>
        <w:rPr>
          <w:lang w:eastAsia="en-AU"/>
        </w:rPr>
      </w:pPr>
      <w:r>
        <w:rPr>
          <w:lang w:eastAsia="en-AU"/>
        </w:rPr>
        <w:t>The method</w:t>
      </w:r>
      <w:r w:rsidRPr="007D5507">
        <w:rPr>
          <w:lang w:eastAsia="en-AU"/>
        </w:rPr>
        <w:t xml:space="preserve"> does</w:t>
      </w:r>
      <w:r>
        <w:rPr>
          <w:lang w:eastAsia="en-AU"/>
        </w:rPr>
        <w:t xml:space="preserve"> not</w:t>
      </w:r>
      <w:r w:rsidRPr="007D5507">
        <w:rPr>
          <w:lang w:eastAsia="en-AU"/>
        </w:rPr>
        <w:t xml:space="preserve"> explicitly </w:t>
      </w:r>
      <w:r>
        <w:rPr>
          <w:lang w:eastAsia="en-AU"/>
        </w:rPr>
        <w:t xml:space="preserve">require </w:t>
      </w:r>
      <w:r w:rsidRPr="007D5507">
        <w:rPr>
          <w:lang w:eastAsia="en-AU"/>
        </w:rPr>
        <w:t xml:space="preserve">that there should be a </w:t>
      </w:r>
      <w:r w:rsidRPr="007D5507">
        <w:rPr>
          <w:i/>
          <w:iCs/>
          <w:lang w:eastAsia="en-AU"/>
        </w:rPr>
        <w:t>causal</w:t>
      </w:r>
      <w:r w:rsidRPr="007D5507">
        <w:rPr>
          <w:lang w:eastAsia="en-AU"/>
        </w:rPr>
        <w:t xml:space="preserve"> relationship between the suppression mechanism and the HIR activity.</w:t>
      </w:r>
      <w:r>
        <w:rPr>
          <w:lang w:eastAsia="en-AU"/>
        </w:rPr>
        <w:t xml:space="preserve"> </w:t>
      </w:r>
    </w:p>
    <w:p w14:paraId="7D842386" w14:textId="034E186A" w:rsidR="000131D3" w:rsidRDefault="000131D3" w:rsidP="006A2FAB">
      <w:pPr>
        <w:pStyle w:val="StyleNormalBody"/>
        <w:rPr>
          <w:rFonts w:eastAsia="Times New Roman" w:cstheme="minorHAnsi"/>
          <w:color w:val="000000"/>
          <w:lang w:eastAsia="en-AU"/>
        </w:rPr>
      </w:pPr>
      <w:r>
        <w:rPr>
          <w:rFonts w:eastAsia="Times New Roman" w:cstheme="minorHAnsi"/>
          <w:color w:val="000000"/>
          <w:lang w:eastAsia="en-AU"/>
        </w:rPr>
        <w:t>Careful</w:t>
      </w:r>
      <w:r w:rsidR="00821178">
        <w:rPr>
          <w:rFonts w:eastAsia="Times New Roman" w:cstheme="minorHAnsi"/>
          <w:color w:val="000000"/>
          <w:lang w:eastAsia="en-AU"/>
        </w:rPr>
        <w:t xml:space="preserve"> consideration should continue to be given to the evidence that is used to </w:t>
      </w:r>
      <w:r w:rsidR="00991511">
        <w:rPr>
          <w:rFonts w:eastAsia="Times New Roman" w:cstheme="minorHAnsi"/>
          <w:color w:val="000000"/>
          <w:lang w:eastAsia="en-AU"/>
        </w:rPr>
        <w:t>demonstrate the eligibility of</w:t>
      </w:r>
      <w:r w:rsidR="00821178">
        <w:rPr>
          <w:rFonts w:eastAsia="Times New Roman" w:cstheme="minorHAnsi"/>
          <w:color w:val="000000"/>
          <w:lang w:eastAsia="en-AU"/>
        </w:rPr>
        <w:t xml:space="preserve"> an HIR activity, and how this is monitored and</w:t>
      </w:r>
      <w:r w:rsidR="00A64F7A">
        <w:rPr>
          <w:rFonts w:eastAsia="Times New Roman" w:cstheme="minorHAnsi"/>
          <w:color w:val="000000"/>
          <w:lang w:eastAsia="en-AU"/>
        </w:rPr>
        <w:t>/or</w:t>
      </w:r>
      <w:r w:rsidR="00821178">
        <w:rPr>
          <w:rFonts w:eastAsia="Times New Roman" w:cstheme="minorHAnsi"/>
          <w:color w:val="000000"/>
          <w:lang w:eastAsia="en-AU"/>
        </w:rPr>
        <w:t xml:space="preserve"> updated throughout the life of the project. I</w:t>
      </w:r>
      <w:r w:rsidR="001018CB">
        <w:rPr>
          <w:rFonts w:eastAsia="Times New Roman" w:cstheme="minorHAnsi"/>
          <w:color w:val="000000"/>
          <w:lang w:eastAsia="en-AU"/>
        </w:rPr>
        <w:t xml:space="preserve">n practice, </w:t>
      </w:r>
      <w:r w:rsidR="00821178">
        <w:rPr>
          <w:rFonts w:eastAsia="Times New Roman" w:cstheme="minorHAnsi"/>
          <w:color w:val="000000"/>
          <w:lang w:eastAsia="en-AU"/>
        </w:rPr>
        <w:t xml:space="preserve">the evidence required </w:t>
      </w:r>
      <w:r w:rsidR="001018CB">
        <w:rPr>
          <w:rFonts w:eastAsia="Times New Roman" w:cstheme="minorHAnsi"/>
          <w:color w:val="000000"/>
          <w:lang w:eastAsia="en-AU"/>
        </w:rPr>
        <w:t xml:space="preserve">may </w:t>
      </w:r>
      <w:r w:rsidR="00821178">
        <w:rPr>
          <w:rFonts w:eastAsia="Times New Roman" w:cstheme="minorHAnsi"/>
          <w:color w:val="000000"/>
          <w:lang w:eastAsia="en-AU"/>
        </w:rPr>
        <w:t xml:space="preserve">vary in </w:t>
      </w:r>
      <w:r w:rsidR="001018CB">
        <w:rPr>
          <w:rFonts w:eastAsia="Times New Roman" w:cstheme="minorHAnsi"/>
          <w:color w:val="000000"/>
          <w:lang w:eastAsia="en-AU"/>
        </w:rPr>
        <w:t>different contexts</w:t>
      </w:r>
      <w:r w:rsidR="00991511">
        <w:rPr>
          <w:rFonts w:eastAsia="Times New Roman" w:cstheme="minorHAnsi"/>
          <w:color w:val="000000"/>
          <w:lang w:eastAsia="en-AU"/>
        </w:rPr>
        <w:t xml:space="preserve"> in order to substantiate the claim</w:t>
      </w:r>
      <w:r w:rsidR="00821178">
        <w:rPr>
          <w:rFonts w:eastAsia="Times New Roman" w:cstheme="minorHAnsi"/>
          <w:color w:val="000000"/>
          <w:lang w:eastAsia="en-AU"/>
        </w:rPr>
        <w:t>.</w:t>
      </w:r>
    </w:p>
    <w:p w14:paraId="5852CF52" w14:textId="1F561151" w:rsidR="00A64F7A" w:rsidRPr="00E153CE" w:rsidRDefault="00821178" w:rsidP="006A2FAB">
      <w:pPr>
        <w:pStyle w:val="StyleNormalBody"/>
        <w:rPr>
          <w:rFonts w:eastAsia="Times New Roman" w:cstheme="minorHAnsi"/>
          <w:color w:val="000000"/>
          <w:sz w:val="2"/>
          <w:szCs w:val="2"/>
          <w:lang w:eastAsia="en-AU"/>
        </w:rPr>
      </w:pPr>
      <w:r>
        <w:rPr>
          <w:rFonts w:eastAsia="Times New Roman" w:cstheme="minorHAnsi"/>
          <w:color w:val="000000"/>
          <w:lang w:eastAsia="en-AU"/>
        </w:rPr>
        <w:t xml:space="preserve">The lessons and insights gained from reviewing the four specific methods have influenced several other recommendations, including allowing specific ‘modules’ within methods under </w:t>
      </w:r>
      <w:r w:rsidRPr="00AD1F62">
        <w:rPr>
          <w:rFonts w:eastAsia="Times New Roman" w:cstheme="minorHAnsi"/>
          <w:b/>
          <w:bCs/>
          <w:color w:val="000000"/>
          <w:lang w:eastAsia="en-AU"/>
        </w:rPr>
        <w:t>Recommendation 5</w:t>
      </w:r>
      <w:r>
        <w:rPr>
          <w:rFonts w:eastAsia="Times New Roman" w:cstheme="minorHAnsi"/>
          <w:color w:val="000000"/>
          <w:lang w:eastAsia="en-AU"/>
        </w:rPr>
        <w:t xml:space="preserve"> and providing more structured and enforceable interpretive material under </w:t>
      </w:r>
      <w:r w:rsidRPr="00D960F5">
        <w:rPr>
          <w:rFonts w:eastAsia="Times New Roman" w:cstheme="minorHAnsi"/>
          <w:b/>
          <w:bCs/>
          <w:color w:val="000000"/>
          <w:lang w:eastAsia="en-AU"/>
        </w:rPr>
        <w:t>Recommendation 6</w:t>
      </w:r>
      <w:r>
        <w:rPr>
          <w:rFonts w:eastAsia="Times New Roman" w:cstheme="minorHAnsi"/>
          <w:color w:val="000000"/>
          <w:lang w:eastAsia="en-AU"/>
        </w:rPr>
        <w:t>.</w:t>
      </w:r>
    </w:p>
    <w:p w14:paraId="2B94A264" w14:textId="1363D454" w:rsidR="001018CB" w:rsidRDefault="00E23283" w:rsidP="001018CB">
      <w:pPr>
        <w:shd w:val="clear" w:color="auto" w:fill="FFFFFF"/>
        <w:spacing w:before="160" w:after="0"/>
        <w:rPr>
          <w:rFonts w:eastAsia="Times New Roman" w:cstheme="minorHAnsi"/>
          <w:color w:val="000000"/>
          <w:lang w:eastAsia="en-AU"/>
        </w:rPr>
      </w:pPr>
      <w:r>
        <w:rPr>
          <w:rFonts w:eastAsia="Times New Roman" w:cstheme="minorHAnsi"/>
          <w:color w:val="000000"/>
          <w:lang w:eastAsia="en-AU"/>
        </w:rPr>
        <w:t>I</w:t>
      </w:r>
      <w:r w:rsidR="001018CB" w:rsidRPr="00AB6FF3">
        <w:rPr>
          <w:rFonts w:eastAsia="Times New Roman" w:cstheme="minorHAnsi"/>
          <w:color w:val="000000"/>
          <w:lang w:eastAsia="en-AU"/>
        </w:rPr>
        <w:t xml:space="preserve">n addition to the limiting disclosure provisions in the governing legislation, the Panel observes a limitation of the </w:t>
      </w:r>
      <w:r w:rsidR="00715D20">
        <w:rPr>
          <w:rFonts w:eastAsia="Times New Roman" w:cstheme="minorHAnsi"/>
          <w:color w:val="000000"/>
          <w:lang w:eastAsia="en-AU"/>
        </w:rPr>
        <w:t xml:space="preserve">HIR </w:t>
      </w:r>
      <w:r w:rsidR="001018CB" w:rsidRPr="00AB6FF3">
        <w:rPr>
          <w:rFonts w:eastAsia="Times New Roman" w:cstheme="minorHAnsi"/>
          <w:color w:val="000000"/>
          <w:lang w:eastAsia="en-AU"/>
        </w:rPr>
        <w:t>method administration is that the suppression mechanisms and HIR activities are not required to be published on the project register</w:t>
      </w:r>
      <w:r w:rsidR="001018CB">
        <w:rPr>
          <w:rStyle w:val="FootnoteReference"/>
          <w:rFonts w:eastAsia="Times New Roman" w:cstheme="minorHAnsi"/>
          <w:color w:val="000000"/>
          <w:lang w:eastAsia="en-AU"/>
        </w:rPr>
        <w:footnoteReference w:id="35"/>
      </w:r>
      <w:r w:rsidR="001018CB" w:rsidRPr="00AB6FF3">
        <w:rPr>
          <w:rFonts w:eastAsia="Times New Roman" w:cstheme="minorHAnsi"/>
          <w:color w:val="000000"/>
          <w:lang w:eastAsia="en-AU"/>
        </w:rPr>
        <w:t>.</w:t>
      </w:r>
      <w:r w:rsidR="001018CB">
        <w:rPr>
          <w:rFonts w:eastAsia="Times New Roman" w:cstheme="minorHAnsi"/>
          <w:color w:val="000000"/>
          <w:lang w:eastAsia="en-AU"/>
        </w:rPr>
        <w:t xml:space="preserve"> </w:t>
      </w:r>
    </w:p>
    <w:p w14:paraId="33AC422F" w14:textId="49DB3EF5" w:rsidR="00577246" w:rsidRPr="00577246" w:rsidRDefault="001018CB" w:rsidP="00577246">
      <w:pPr>
        <w:shd w:val="clear" w:color="auto" w:fill="FFFFFF"/>
        <w:spacing w:before="160" w:after="0"/>
        <w:rPr>
          <w:rFonts w:eastAsia="Times New Roman" w:cstheme="minorHAnsi"/>
          <w:color w:val="000000"/>
          <w:lang w:eastAsia="en-AU"/>
        </w:rPr>
      </w:pPr>
      <w:r>
        <w:rPr>
          <w:rFonts w:eastAsia="Times New Roman" w:cstheme="minorHAnsi"/>
          <w:color w:val="000000"/>
          <w:lang w:eastAsia="en-AU"/>
        </w:rPr>
        <w:t>Publishing this information would increase transparency on how HIR projects are being implemented and mitigate perceptions of non-compliance.</w:t>
      </w:r>
      <w:bookmarkStart w:id="106" w:name="_Hlk121759224"/>
    </w:p>
    <w:p w14:paraId="58F34982" w14:textId="094766D8" w:rsidR="00F23CB9" w:rsidRPr="00F43BC1" w:rsidRDefault="00F23CB9" w:rsidP="00557B1D">
      <w:pPr>
        <w:pStyle w:val="Heading3"/>
        <w:rPr>
          <w:rFonts w:eastAsia="Times New Roman" w:cstheme="minorHAnsi"/>
          <w:color w:val="000000"/>
          <w:lang w:eastAsia="en-AU"/>
        </w:rPr>
      </w:pPr>
      <w:r w:rsidRPr="00F23CB9">
        <w:t>Accounting for carbon sequestration in the Human Induced Regeneration method</w:t>
      </w: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0131D3" w14:paraId="50311260" w14:textId="77777777" w:rsidTr="00F43BC1">
        <w:trPr>
          <w:cnfStyle w:val="100000000000" w:firstRow="1" w:lastRow="0" w:firstColumn="0" w:lastColumn="0" w:oddVBand="0" w:evenVBand="0" w:oddHBand="0" w:evenHBand="0" w:firstRowFirstColumn="0" w:firstRowLastColumn="0" w:lastRowFirstColumn="0" w:lastRowLastColumn="0"/>
          <w:trHeight w:val="2534"/>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036B6935" w14:textId="77777777" w:rsidR="000131D3" w:rsidRDefault="000131D3" w:rsidP="00F43BC1">
            <w:pPr>
              <w:pStyle w:val="KeyFindings"/>
              <w:spacing w:before="80"/>
              <w:rPr>
                <w:rStyle w:val="IntenseEmphasis"/>
                <w:b w:val="0"/>
                <w:bCs/>
              </w:rPr>
            </w:pPr>
            <w:r w:rsidRPr="00C372CA">
              <w:rPr>
                <w:rStyle w:val="IntenseEmphasis"/>
              </w:rPr>
              <w:t xml:space="preserve">Key findings </w:t>
            </w:r>
          </w:p>
          <w:p w14:paraId="4AAFB772" w14:textId="77777777" w:rsidR="000131D3" w:rsidRPr="007901A7" w:rsidRDefault="000131D3" w:rsidP="000131D3">
            <w:pPr>
              <w:pStyle w:val="StyleNormalBody"/>
              <w:rPr>
                <w:b w:val="0"/>
                <w:bCs w:val="0"/>
              </w:rPr>
            </w:pPr>
            <w:r w:rsidRPr="007901A7">
              <w:rPr>
                <w:b w:val="0"/>
                <w:bCs w:val="0"/>
              </w:rPr>
              <w:t xml:space="preserve">The current model-based estimation of carbon sequestration using FullCAM is a suitable basis for estimating aggregate carbon storage in native vegetation, when applied appropriately at the project level. </w:t>
            </w:r>
          </w:p>
          <w:p w14:paraId="521D7C29" w14:textId="77777777" w:rsidR="000131D3" w:rsidRPr="00E153CE" w:rsidRDefault="000131D3" w:rsidP="00F43BC1">
            <w:pPr>
              <w:pStyle w:val="StyleNormalBody"/>
              <w:spacing w:after="80"/>
              <w:rPr>
                <w:rStyle w:val="Emphasis"/>
                <w:b w:val="0"/>
                <w:bCs w:val="0"/>
                <w:i w:val="0"/>
                <w:iCs w:val="0"/>
              </w:rPr>
            </w:pPr>
            <w:r w:rsidRPr="007901A7">
              <w:rPr>
                <w:b w:val="0"/>
                <w:bCs w:val="0"/>
              </w:rPr>
              <w:t xml:space="preserve">Some stakeholders consider that there would be benefits in allowing HIR and other land-based sequestration projects to opt for direct measurement of carbon storage, with appropriate evidence and assurance, rather than relying on modelled estimates. This </w:t>
            </w:r>
            <w:r>
              <w:rPr>
                <w:b w:val="0"/>
                <w:bCs w:val="0"/>
              </w:rPr>
              <w:t>could</w:t>
            </w:r>
            <w:r w:rsidRPr="007901A7">
              <w:rPr>
                <w:b w:val="0"/>
                <w:bCs w:val="0"/>
              </w:rPr>
              <w:t xml:space="preserve"> be </w:t>
            </w:r>
            <w:r>
              <w:rPr>
                <w:b w:val="0"/>
                <w:bCs w:val="0"/>
              </w:rPr>
              <w:t>explored</w:t>
            </w:r>
            <w:r w:rsidRPr="007901A7">
              <w:rPr>
                <w:b w:val="0"/>
                <w:bCs w:val="0"/>
              </w:rPr>
              <w:t xml:space="preserve"> by the proposed proponent-led method development process.</w:t>
            </w:r>
          </w:p>
        </w:tc>
      </w:tr>
    </w:tbl>
    <w:p w14:paraId="0857DF8A" w14:textId="2A0DD9EE" w:rsidR="00C22289" w:rsidRDefault="00F23CB9" w:rsidP="00F23CB9">
      <w:pPr>
        <w:spacing w:before="240"/>
      </w:pPr>
      <w:r>
        <w:t xml:space="preserve">The current HIR method mandates the use </w:t>
      </w:r>
      <w:r w:rsidR="006B2720">
        <w:t xml:space="preserve">of </w:t>
      </w:r>
      <w:r>
        <w:t>Full</w:t>
      </w:r>
      <w:r w:rsidR="000F4E7D">
        <w:t xml:space="preserve"> </w:t>
      </w:r>
      <w:r>
        <w:t>C</w:t>
      </w:r>
      <w:r w:rsidR="000F4E7D">
        <w:t xml:space="preserve">arbon </w:t>
      </w:r>
      <w:r>
        <w:t>A</w:t>
      </w:r>
      <w:r w:rsidR="000F4E7D">
        <w:t xml:space="preserve">ccounting </w:t>
      </w:r>
      <w:r>
        <w:t>M</w:t>
      </w:r>
      <w:r w:rsidR="000F4E7D">
        <w:t>odel (</w:t>
      </w:r>
      <w:r>
        <w:t>FullCAM</w:t>
      </w:r>
      <w:r w:rsidR="000F4E7D">
        <w:t>)</w:t>
      </w:r>
      <w:r w:rsidR="00B16ABB">
        <w:t xml:space="preserve"> and provides a user guide for project management and assurance. </w:t>
      </w:r>
    </w:p>
    <w:p w14:paraId="72AA7C21" w14:textId="11E8BBB4" w:rsidR="006B2720" w:rsidRDefault="00F23CB9" w:rsidP="00F23CB9">
      <w:pPr>
        <w:spacing w:before="240"/>
      </w:pPr>
      <w:r>
        <w:lastRenderedPageBreak/>
        <w:t>FullCAM was originally developed to assess Australia’s greenhouse gas emissions from the land sector</w:t>
      </w:r>
      <w:r w:rsidR="008800A9">
        <w:t>. It</w:t>
      </w:r>
      <w:r>
        <w:t xml:space="preserve"> is used in </w:t>
      </w:r>
      <w:hyperlink r:id="rId34" w:history="1">
        <w:r>
          <w:rPr>
            <w:rStyle w:val="Hyperlink"/>
          </w:rPr>
          <w:t>Australia’s National Greenhouse Gas Accounts</w:t>
        </w:r>
      </w:hyperlink>
      <w:r>
        <w:t xml:space="preserve"> and to produce the annual aggregate land sector emissions for Australia’s National Inventory Reports. </w:t>
      </w:r>
    </w:p>
    <w:p w14:paraId="2E276669" w14:textId="1168E2EB" w:rsidR="00F23CB9" w:rsidRDefault="00F23CB9" w:rsidP="00F23CB9">
      <w:pPr>
        <w:spacing w:before="240"/>
      </w:pPr>
      <w:r w:rsidRPr="006B2720">
        <w:t>The tool has been internationally reviewed and accepted as part of Australia’s international emissions accounting framework, consistent with expectations and Australia’s commitments under the Paris agreement and previous UNFCCC commitments.</w:t>
      </w:r>
      <w:r>
        <w:t xml:space="preserve"> </w:t>
      </w:r>
    </w:p>
    <w:p w14:paraId="4B63AF3F" w14:textId="12BDD49A" w:rsidR="00665711" w:rsidRPr="00665711" w:rsidRDefault="00F23CB9" w:rsidP="00F23CB9">
      <w:pPr>
        <w:spacing w:before="240"/>
      </w:pPr>
      <w:r>
        <w:t xml:space="preserve">FullCAM has been developed, tested, and reviewed though long-term research collaborations, field programs and rapid geospatial advancements. </w:t>
      </w:r>
      <w:r w:rsidR="006B2720">
        <w:t>It</w:t>
      </w:r>
      <w:r>
        <w:t xml:space="preserve"> is periodically updated</w:t>
      </w:r>
      <w:r w:rsidR="004A768B">
        <w:t>.</w:t>
      </w:r>
      <w:r w:rsidR="00FA1FE0">
        <w:rPr>
          <w:rStyle w:val="FootnoteReference"/>
        </w:rPr>
        <w:footnoteReference w:id="36"/>
      </w:r>
    </w:p>
    <w:p w14:paraId="343DB7FD" w14:textId="53C9E989" w:rsidR="001018CB" w:rsidRPr="00A852C6" w:rsidRDefault="000131D3" w:rsidP="00A852C6">
      <w:pPr>
        <w:pStyle w:val="Heading2"/>
        <w:rPr>
          <w:b/>
          <w:bCs/>
          <w:color w:val="1F497D"/>
          <w:szCs w:val="25"/>
        </w:rPr>
      </w:pPr>
      <w:bookmarkStart w:id="107" w:name="_Toc122339754"/>
      <w:bookmarkStart w:id="108" w:name="_Toc122348041"/>
      <w:bookmarkStart w:id="109" w:name="_Toc122359807"/>
      <w:bookmarkStart w:id="110" w:name="_Toc122360788"/>
      <w:bookmarkStart w:id="111" w:name="_Toc122523007"/>
      <w:bookmarkEnd w:id="106"/>
      <w:r>
        <w:t>The A</w:t>
      </w:r>
      <w:r w:rsidR="001018CB">
        <w:t xml:space="preserve">voided </w:t>
      </w:r>
      <w:r>
        <w:t>D</w:t>
      </w:r>
      <w:r w:rsidR="001018CB">
        <w:t>eforestation</w:t>
      </w:r>
      <w:r w:rsidR="004A0D31">
        <w:t xml:space="preserve"> method</w:t>
      </w:r>
      <w:bookmarkEnd w:id="107"/>
      <w:bookmarkEnd w:id="108"/>
      <w:bookmarkEnd w:id="109"/>
      <w:bookmarkEnd w:id="110"/>
      <w:bookmarkEnd w:id="111"/>
      <w:r w:rsidR="004A0D31">
        <w:t xml:space="preserve"> </w:t>
      </w:r>
    </w:p>
    <w:p w14:paraId="5D92D526" w14:textId="2F4968F9" w:rsidR="001018CB" w:rsidRPr="00A078A1" w:rsidRDefault="001018CB" w:rsidP="001018CB">
      <w:pPr>
        <w:rPr>
          <w:sz w:val="2"/>
          <w:szCs w:val="2"/>
        </w:rPr>
      </w:pP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A078A1" w14:paraId="1BC7667A" w14:textId="77777777" w:rsidTr="008B16BE">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3F2223E2" w14:textId="06996F32" w:rsidR="00A078A1" w:rsidRPr="00A078A1" w:rsidRDefault="00A078A1" w:rsidP="006E3361">
            <w:pPr>
              <w:pStyle w:val="Heading4"/>
              <w:outlineLvl w:val="3"/>
              <w:rPr>
                <w:rFonts w:cs="Calibri"/>
                <w:bCs/>
              </w:rPr>
            </w:pPr>
            <w:r w:rsidRPr="006E3361">
              <w:rPr>
                <w:rStyle w:val="Heading4Char"/>
                <w:b/>
              </w:rPr>
              <w:t xml:space="preserve">Recommendation </w:t>
            </w:r>
            <w:r w:rsidR="00B91179" w:rsidRPr="006E3361">
              <w:rPr>
                <w:rStyle w:val="Heading4Char"/>
                <w:b/>
              </w:rPr>
              <w:t>9</w:t>
            </w:r>
            <w:r w:rsidRPr="006E3361">
              <w:rPr>
                <w:rStyle w:val="Heading4Char"/>
                <w:b/>
              </w:rPr>
              <w:t>.</w:t>
            </w:r>
            <w:r w:rsidRPr="00B77EB7">
              <w:t xml:space="preserve"> </w:t>
            </w:r>
            <w:r w:rsidRPr="00B77EB7">
              <w:rPr>
                <w:rFonts w:cs="Calibri"/>
              </w:rPr>
              <w:t>No new project registrations be allowed under the current avoided deforestation method.</w:t>
            </w:r>
            <w:r>
              <w:rPr>
                <w:rFonts w:cs="Calibri"/>
                <w:bCs/>
              </w:rPr>
              <w:t xml:space="preserve"> </w:t>
            </w:r>
            <w:r w:rsidR="00AE24F6" w:rsidRPr="00B77EB7">
              <w:rPr>
                <w:rFonts w:cs="Calibri"/>
              </w:rPr>
              <w:t>Consideration should be given to developing new methods that i</w:t>
            </w:r>
            <w:r w:rsidR="008F3D5C" w:rsidRPr="00B77EB7">
              <w:rPr>
                <w:rFonts w:cs="Calibri"/>
              </w:rPr>
              <w:t xml:space="preserve">ncentivise the maintenance of native vegetation that has the potential to become a forest, as well as </w:t>
            </w:r>
            <w:r w:rsidR="00AE24F6" w:rsidRPr="00B77EB7">
              <w:rPr>
                <w:rFonts w:cs="Calibri"/>
              </w:rPr>
              <w:t>maintaining</w:t>
            </w:r>
            <w:r w:rsidR="008F3D5C" w:rsidRPr="00B77EB7">
              <w:rPr>
                <w:rFonts w:cs="Calibri"/>
              </w:rPr>
              <w:t xml:space="preserve"> existing forests </w:t>
            </w:r>
            <w:r w:rsidR="00AE24F6" w:rsidRPr="00B77EB7">
              <w:rPr>
                <w:rFonts w:cs="Calibri"/>
              </w:rPr>
              <w:t>at risk of</w:t>
            </w:r>
            <w:r w:rsidR="008F3D5C" w:rsidRPr="00B77EB7">
              <w:rPr>
                <w:rFonts w:cs="Calibri"/>
              </w:rPr>
              <w:t xml:space="preserve"> land-use conversion.</w:t>
            </w:r>
            <w:r>
              <w:rPr>
                <w:rFonts w:cs="Calibri"/>
                <w:bCs/>
              </w:rPr>
              <w:t xml:space="preserve"> </w:t>
            </w:r>
          </w:p>
        </w:tc>
      </w:tr>
    </w:tbl>
    <w:p w14:paraId="092C8B06" w14:textId="77777777" w:rsidR="00632CDC" w:rsidRPr="00632CDC" w:rsidRDefault="00632CDC" w:rsidP="001018CB">
      <w:pPr>
        <w:shd w:val="clear" w:color="auto" w:fill="FFFFFF"/>
        <w:spacing w:before="160" w:after="0"/>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0131D3" w14:paraId="0FC6B92D" w14:textId="77777777" w:rsidTr="00013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5AC52A5E" w14:textId="77777777" w:rsidR="000131D3" w:rsidRDefault="000131D3" w:rsidP="000131D3">
            <w:pPr>
              <w:pStyle w:val="KeyFindings"/>
              <w:rPr>
                <w:rStyle w:val="IntenseEmphasis"/>
                <w:b w:val="0"/>
                <w:bCs/>
              </w:rPr>
            </w:pPr>
            <w:r w:rsidRPr="00C372CA">
              <w:rPr>
                <w:rStyle w:val="IntenseEmphasis"/>
              </w:rPr>
              <w:t xml:space="preserve">Key findings </w:t>
            </w:r>
          </w:p>
          <w:p w14:paraId="58F74DEF" w14:textId="77777777" w:rsidR="000131D3" w:rsidRPr="00632CDC" w:rsidRDefault="000131D3" w:rsidP="000131D3">
            <w:pPr>
              <w:pStyle w:val="StyleNormalBody"/>
              <w:rPr>
                <w:b w:val="0"/>
                <w:bCs w:val="0"/>
              </w:rPr>
            </w:pPr>
            <w:r w:rsidRPr="00632CDC">
              <w:rPr>
                <w:b w:val="0"/>
                <w:bCs w:val="0"/>
              </w:rPr>
              <w:t xml:space="preserve">Land clearing has accounted for a significant share of national emissions. </w:t>
            </w:r>
          </w:p>
          <w:p w14:paraId="2275B858" w14:textId="77777777" w:rsidR="000131D3" w:rsidRPr="00632CDC" w:rsidRDefault="000131D3" w:rsidP="000131D3">
            <w:pPr>
              <w:pStyle w:val="StyleNormalBody"/>
              <w:rPr>
                <w:b w:val="0"/>
                <w:bCs w:val="0"/>
              </w:rPr>
            </w:pPr>
            <w:r w:rsidRPr="00632CDC">
              <w:rPr>
                <w:b w:val="0"/>
                <w:bCs w:val="0"/>
              </w:rPr>
              <w:t xml:space="preserve">The avoided deforestation method is </w:t>
            </w:r>
            <w:r>
              <w:rPr>
                <w:b w:val="0"/>
                <w:bCs w:val="0"/>
              </w:rPr>
              <w:t>a means</w:t>
            </w:r>
            <w:r w:rsidRPr="00632CDC">
              <w:rPr>
                <w:b w:val="0"/>
                <w:bCs w:val="0"/>
              </w:rPr>
              <w:t xml:space="preserve"> to avoid these emissions.</w:t>
            </w:r>
          </w:p>
          <w:p w14:paraId="192DDEBD" w14:textId="77777777" w:rsidR="000131D3" w:rsidRPr="000A59E3" w:rsidRDefault="000131D3" w:rsidP="000131D3">
            <w:pPr>
              <w:pStyle w:val="StyleNormalBody"/>
              <w:rPr>
                <w:rStyle w:val="Emphasis"/>
                <w:b w:val="0"/>
                <w:bCs w:val="0"/>
                <w:i w:val="0"/>
                <w:iCs w:val="0"/>
              </w:rPr>
            </w:pPr>
            <w:r w:rsidRPr="000A59E3">
              <w:rPr>
                <w:rStyle w:val="Emphasis"/>
                <w:b w:val="0"/>
                <w:bCs w:val="0"/>
                <w:i w:val="0"/>
                <w:iCs w:val="0"/>
              </w:rPr>
              <w:t>The length of time that has elapsed since the issue of any remaining unused land clearing permits imply that it would be hard to establish intent to clear</w:t>
            </w:r>
            <w:r>
              <w:rPr>
                <w:rStyle w:val="Emphasis"/>
                <w:b w:val="0"/>
                <w:bCs w:val="0"/>
                <w:i w:val="0"/>
                <w:iCs w:val="0"/>
              </w:rPr>
              <w:t xml:space="preserve"> </w:t>
            </w:r>
            <w:r w:rsidRPr="000A59E3">
              <w:rPr>
                <w:rStyle w:val="Emphasis"/>
                <w:b w:val="0"/>
                <w:bCs w:val="0"/>
                <w:i w:val="0"/>
                <w:iCs w:val="0"/>
              </w:rPr>
              <w:t>land, raising questions about the additionality of an</w:t>
            </w:r>
            <w:r>
              <w:rPr>
                <w:rStyle w:val="Emphasis"/>
                <w:b w:val="0"/>
                <w:bCs w:val="0"/>
                <w:i w:val="0"/>
                <w:iCs w:val="0"/>
              </w:rPr>
              <w:t>y</w:t>
            </w:r>
            <w:r w:rsidRPr="000A59E3">
              <w:rPr>
                <w:rStyle w:val="Emphasis"/>
                <w:b w:val="0"/>
                <w:bCs w:val="0"/>
                <w:i w:val="0"/>
                <w:iCs w:val="0"/>
              </w:rPr>
              <w:t xml:space="preserve"> new projects that might be registered under the current method.  </w:t>
            </w:r>
          </w:p>
        </w:tc>
      </w:tr>
    </w:tbl>
    <w:p w14:paraId="73D9E8B6" w14:textId="72D5C565" w:rsidR="001018CB" w:rsidRDefault="001018CB" w:rsidP="00BA2B6D">
      <w:pPr>
        <w:pStyle w:val="StyleNormalBody"/>
        <w:spacing w:after="200"/>
      </w:pPr>
      <w:r>
        <w:t xml:space="preserve">The </w:t>
      </w:r>
      <w:r w:rsidR="00F21C69" w:rsidRPr="005F1014">
        <w:rPr>
          <w:i/>
        </w:rPr>
        <w:t>Carbon Credits (Carbon Farming Initiative – Avoided Deforestation 1.1) Methodology Determination 2015</w:t>
      </w:r>
      <w:r w:rsidR="00F21C69">
        <w:t xml:space="preserve"> (the </w:t>
      </w:r>
      <w:r>
        <w:t>avoided deforestation method</w:t>
      </w:r>
      <w:r w:rsidR="00F21C69">
        <w:t>)</w:t>
      </w:r>
      <w:r>
        <w:t xml:space="preserve"> </w:t>
      </w:r>
      <w:r w:rsidR="00F21C69">
        <w:t xml:space="preserve">is </w:t>
      </w:r>
      <w:r w:rsidR="00F21C69" w:rsidRPr="00BD1094">
        <w:t>due to sunset on 1 April 2025</w:t>
      </w:r>
      <w:r w:rsidR="00F21C69">
        <w:t xml:space="preserve">. </w:t>
      </w:r>
    </w:p>
    <w:p w14:paraId="2E32CB62" w14:textId="13E93397" w:rsidR="000A59E3" w:rsidRDefault="00F21C69" w:rsidP="00BD1094">
      <w:pPr>
        <w:pStyle w:val="StyleNormalBody"/>
      </w:pPr>
      <w:r>
        <w:t>When the method sunsets, no new projects will be able to register.</w:t>
      </w:r>
    </w:p>
    <w:p w14:paraId="60D9D8FB" w14:textId="7A0CDA5C" w:rsidR="001018CB" w:rsidRDefault="000A59E3" w:rsidP="00BD1094">
      <w:pPr>
        <w:pStyle w:val="StyleNormalBody"/>
      </w:pPr>
      <w:r>
        <w:t xml:space="preserve">To be eligible to register an avoided deforestation project, a proponent must have an </w:t>
      </w:r>
      <w:r w:rsidR="001018CB" w:rsidRPr="00BD1094">
        <w:t>existing clearing consent</w:t>
      </w:r>
      <w:r>
        <w:rPr>
          <w:rStyle w:val="FootnoteReference"/>
        </w:rPr>
        <w:footnoteReference w:id="37"/>
      </w:r>
      <w:r w:rsidR="001018CB" w:rsidRPr="00BD1094">
        <w:t>, which is used a</w:t>
      </w:r>
      <w:r w:rsidR="00D302C1">
        <w:t>s</w:t>
      </w:r>
      <w:r w:rsidR="003372FB">
        <w:t xml:space="preserve"> a</w:t>
      </w:r>
      <w:r w:rsidR="001018CB" w:rsidRPr="00BD1094">
        <w:t xml:space="preserve"> proxy for additionality</w:t>
      </w:r>
      <w:r>
        <w:t>: the landholder is legally able to</w:t>
      </w:r>
      <w:r w:rsidRPr="00BD1094">
        <w:t xml:space="preserve"> convert</w:t>
      </w:r>
      <w:r>
        <w:t xml:space="preserve"> the land</w:t>
      </w:r>
      <w:r w:rsidRPr="00BD1094">
        <w:t xml:space="preserve"> from native forest to </w:t>
      </w:r>
      <w:r w:rsidR="00024EB8" w:rsidRPr="00024EB8">
        <w:t>cropland or grassland</w:t>
      </w:r>
      <w:r w:rsidRPr="00BD1094">
        <w:t>.</w:t>
      </w:r>
    </w:p>
    <w:p w14:paraId="59363193" w14:textId="26AA5912" w:rsidR="00632CDC" w:rsidRPr="00632CDC" w:rsidRDefault="000A59E3" w:rsidP="000131D3">
      <w:pPr>
        <w:pStyle w:val="StyleNormalBody"/>
        <w:rPr>
          <w:sz w:val="2"/>
          <w:szCs w:val="2"/>
        </w:rPr>
      </w:pPr>
      <w:r w:rsidRPr="00632CDC">
        <w:t xml:space="preserve">Due to uncertainties about the volume of existing </w:t>
      </w:r>
      <w:r>
        <w:t xml:space="preserve">eligible </w:t>
      </w:r>
      <w:r w:rsidRPr="00632CDC">
        <w:t>land clearing permits, it is unclear if any additional projects could be registered.</w:t>
      </w:r>
    </w:p>
    <w:p w14:paraId="40AD2FBC" w14:textId="3054861B" w:rsidR="00632CDC" w:rsidRDefault="000131D3" w:rsidP="00ED06C3">
      <w:pPr>
        <w:pStyle w:val="Heading2"/>
      </w:pPr>
      <w:bookmarkStart w:id="112" w:name="_Toc122339755"/>
      <w:bookmarkStart w:id="113" w:name="_Toc122348042"/>
      <w:bookmarkStart w:id="114" w:name="_Toc122359808"/>
      <w:bookmarkStart w:id="115" w:name="_Toc122360789"/>
      <w:bookmarkStart w:id="116" w:name="_Toc122523008"/>
      <w:r>
        <w:lastRenderedPageBreak/>
        <w:t>L</w:t>
      </w:r>
      <w:r w:rsidR="00632CDC">
        <w:t xml:space="preserve">andfill </w:t>
      </w:r>
      <w:r w:rsidR="00ED06C3">
        <w:t>g</w:t>
      </w:r>
      <w:r w:rsidR="00632CDC">
        <w:t>as</w:t>
      </w:r>
      <w:r w:rsidR="00ED06C3">
        <w:t xml:space="preserve"> </w:t>
      </w:r>
      <w:bookmarkEnd w:id="112"/>
      <w:bookmarkEnd w:id="113"/>
      <w:r>
        <w:t>methods</w:t>
      </w:r>
      <w:bookmarkEnd w:id="114"/>
      <w:bookmarkEnd w:id="115"/>
      <w:bookmarkEnd w:id="116"/>
      <w:r w:rsidR="008B72C7">
        <w:t xml:space="preserve"> </w:t>
      </w:r>
      <w:r w:rsidR="00ED06C3">
        <w:t xml:space="preserve"> </w:t>
      </w: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632CDC" w14:paraId="64EB8338"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397380DE" w14:textId="7DCCC735" w:rsidR="00870D7C" w:rsidRPr="00B77EB7" w:rsidRDefault="00632CDC" w:rsidP="006E3361">
            <w:pPr>
              <w:pStyle w:val="Heading4"/>
              <w:outlineLvl w:val="3"/>
            </w:pPr>
            <w:r w:rsidRPr="006E3361">
              <w:t>Reco</w:t>
            </w:r>
            <w:r w:rsidRPr="00B77EB7">
              <w:t xml:space="preserve">mmendation </w:t>
            </w:r>
            <w:r w:rsidR="00B91179" w:rsidRPr="00B77EB7">
              <w:t>10</w:t>
            </w:r>
            <w:r w:rsidRPr="00B77EB7">
              <w:t xml:space="preserve">. </w:t>
            </w:r>
            <w:r w:rsidR="00D90EE2" w:rsidRPr="00B77EB7">
              <w:t>L</w:t>
            </w:r>
            <w:r w:rsidR="00870D7C" w:rsidRPr="00B77EB7">
              <w:t xml:space="preserve">andfill gas </w:t>
            </w:r>
            <w:r w:rsidR="000131D3" w:rsidRPr="00B77EB7">
              <w:t>methods</w:t>
            </w:r>
            <w:r w:rsidR="00870D7C" w:rsidRPr="00B77EB7">
              <w:t xml:space="preserve"> and </w:t>
            </w:r>
            <w:r w:rsidR="00D90EE2" w:rsidRPr="00B77EB7">
              <w:t xml:space="preserve">crediting period extensions </w:t>
            </w:r>
            <w:r w:rsidR="00870D7C" w:rsidRPr="00B77EB7">
              <w:t xml:space="preserve">should incorporate upward sloping baselines. </w:t>
            </w:r>
          </w:p>
          <w:p w14:paraId="4C1BEBB0" w14:textId="580B80FF" w:rsidR="000131D3" w:rsidRDefault="00B91179" w:rsidP="003372FB">
            <w:pPr>
              <w:ind w:left="720"/>
              <w:rPr>
                <w:rFonts w:eastAsiaTheme="majorEastAsia" w:cstheme="majorBidi"/>
                <w:b/>
                <w:iCs/>
              </w:rPr>
            </w:pPr>
            <w:r>
              <w:rPr>
                <w:rFonts w:eastAsiaTheme="majorEastAsia" w:cstheme="majorBidi"/>
                <w:b/>
                <w:iCs/>
              </w:rPr>
              <w:t>10</w:t>
            </w:r>
            <w:r w:rsidR="00632CDC" w:rsidRPr="00632CDC">
              <w:rPr>
                <w:rFonts w:eastAsiaTheme="majorEastAsia" w:cstheme="majorBidi"/>
                <w:b/>
                <w:iCs/>
              </w:rPr>
              <w:t xml:space="preserve">.1 </w:t>
            </w:r>
            <w:r w:rsidR="003372FB" w:rsidRPr="00870D7C">
              <w:rPr>
                <w:rFonts w:eastAsiaTheme="majorEastAsia" w:cstheme="majorBidi"/>
                <w:bCs/>
                <w:iCs/>
              </w:rPr>
              <w:t>The baseline of</w:t>
            </w:r>
            <w:r w:rsidR="003372FB">
              <w:rPr>
                <w:rFonts w:eastAsiaTheme="majorEastAsia" w:cstheme="majorBidi"/>
                <w:b/>
                <w:iCs/>
              </w:rPr>
              <w:t xml:space="preserve"> </w:t>
            </w:r>
            <w:r w:rsidR="003372FB">
              <w:rPr>
                <w:rFonts w:eastAsiaTheme="majorEastAsia" w:cstheme="majorBidi"/>
                <w:bCs/>
                <w:iCs/>
              </w:rPr>
              <w:t>n</w:t>
            </w:r>
            <w:r w:rsidR="00632CDC" w:rsidRPr="00632CDC">
              <w:rPr>
                <w:rFonts w:eastAsiaTheme="majorEastAsia" w:cstheme="majorBidi"/>
                <w:bCs/>
                <w:iCs/>
              </w:rPr>
              <w:t xml:space="preserve">ew landfill gas projects and </w:t>
            </w:r>
            <w:r w:rsidR="004E53EB">
              <w:rPr>
                <w:rFonts w:eastAsiaTheme="majorEastAsia" w:cstheme="majorBidi"/>
                <w:bCs/>
                <w:iCs/>
              </w:rPr>
              <w:t xml:space="preserve">crediting period </w:t>
            </w:r>
            <w:r w:rsidR="00632CDC" w:rsidRPr="00632CDC">
              <w:rPr>
                <w:rFonts w:eastAsiaTheme="majorEastAsia" w:cstheme="majorBidi"/>
                <w:bCs/>
                <w:iCs/>
              </w:rPr>
              <w:t xml:space="preserve">extensions of existing projects should be </w:t>
            </w:r>
            <w:r w:rsidR="003372FB">
              <w:rPr>
                <w:rFonts w:eastAsiaTheme="majorEastAsia" w:cstheme="majorBidi"/>
                <w:bCs/>
                <w:iCs/>
              </w:rPr>
              <w:t>adjusted during the lifespan of the project</w:t>
            </w:r>
            <w:r w:rsidR="00632CDC" w:rsidRPr="00632CDC">
              <w:rPr>
                <w:rFonts w:eastAsiaTheme="majorEastAsia" w:cstheme="majorBidi"/>
                <w:bCs/>
                <w:iCs/>
              </w:rPr>
              <w:t>.</w:t>
            </w:r>
            <w:r w:rsidR="00632CDC" w:rsidRPr="00632CDC">
              <w:rPr>
                <w:rFonts w:eastAsiaTheme="majorEastAsia" w:cstheme="majorBidi"/>
                <w:b/>
                <w:iCs/>
              </w:rPr>
              <w:t xml:space="preserve"> </w:t>
            </w:r>
          </w:p>
          <w:p w14:paraId="46812EC1" w14:textId="0471B493" w:rsidR="00632CDC" w:rsidRPr="000131D3" w:rsidRDefault="000131D3" w:rsidP="003372FB">
            <w:pPr>
              <w:ind w:left="720"/>
              <w:rPr>
                <w:rFonts w:eastAsiaTheme="majorEastAsia" w:cstheme="majorBidi"/>
              </w:rPr>
            </w:pPr>
            <w:r w:rsidRPr="000131D3">
              <w:rPr>
                <w:rFonts w:eastAsiaTheme="majorEastAsia" w:cstheme="majorBidi"/>
                <w:b/>
                <w:iCs/>
              </w:rPr>
              <w:t>10.2</w:t>
            </w:r>
            <w:r>
              <w:rPr>
                <w:rFonts w:eastAsiaTheme="majorEastAsia" w:cstheme="majorBidi"/>
                <w:iCs/>
              </w:rPr>
              <w:t xml:space="preserve"> </w:t>
            </w:r>
            <w:r w:rsidR="00D85397" w:rsidRPr="00D85397">
              <w:rPr>
                <w:rFonts w:eastAsiaTheme="majorEastAsia" w:cstheme="majorBidi"/>
                <w:iCs/>
              </w:rPr>
              <w:t xml:space="preserve">Arrangements should be made </w:t>
            </w:r>
            <w:r>
              <w:rPr>
                <w:rFonts w:eastAsiaTheme="majorEastAsia" w:cstheme="majorBidi"/>
                <w:iCs/>
              </w:rPr>
              <w:t>for the early review and voluntary adjustment to the baseline</w:t>
            </w:r>
            <w:r w:rsidR="00D85397" w:rsidRPr="00D85397">
              <w:rPr>
                <w:rFonts w:eastAsiaTheme="majorEastAsia" w:cstheme="majorBidi"/>
                <w:iCs/>
              </w:rPr>
              <w:t xml:space="preserve"> of existing projects.</w:t>
            </w:r>
          </w:p>
        </w:tc>
      </w:tr>
    </w:tbl>
    <w:p w14:paraId="5A52E507" w14:textId="77777777" w:rsidR="00BE12B1" w:rsidRPr="00BE12B1" w:rsidRDefault="00BE12B1" w:rsidP="001018CB">
      <w:pPr>
        <w:spacing w:line="259" w:lineRule="auto"/>
        <w:rPr>
          <w:b/>
          <w:bCs/>
          <w:color w:val="1F497D"/>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CF4D1B" w14:paraId="2EA1C78E" w14:textId="77777777" w:rsidTr="009F5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2B5085A6" w14:textId="77777777" w:rsidR="00CF4D1B" w:rsidRDefault="00CF4D1B" w:rsidP="003F67EC">
            <w:pPr>
              <w:pStyle w:val="KeyFindings"/>
              <w:rPr>
                <w:rStyle w:val="IntenseEmphasis"/>
                <w:b w:val="0"/>
                <w:bCs/>
              </w:rPr>
            </w:pPr>
            <w:r w:rsidRPr="00C372CA">
              <w:rPr>
                <w:rStyle w:val="IntenseEmphasis"/>
              </w:rPr>
              <w:t xml:space="preserve">Key findings </w:t>
            </w:r>
          </w:p>
          <w:p w14:paraId="1DFDA84B" w14:textId="1BE1E2C5" w:rsidR="00CF4D1B" w:rsidRPr="00CF4D1B" w:rsidRDefault="00CF4D1B" w:rsidP="00CF4D1B">
            <w:pPr>
              <w:pStyle w:val="StyleNormalBody"/>
              <w:rPr>
                <w:b w:val="0"/>
                <w:bCs w:val="0"/>
              </w:rPr>
            </w:pPr>
            <w:r w:rsidRPr="00CF4D1B">
              <w:rPr>
                <w:b w:val="0"/>
                <w:bCs w:val="0"/>
              </w:rPr>
              <w:t>Landfill gas is a nationally significant source of methane emissions.</w:t>
            </w:r>
            <w:r w:rsidR="003372FB">
              <w:rPr>
                <w:b w:val="0"/>
                <w:bCs w:val="0"/>
              </w:rPr>
              <w:t xml:space="preserve"> Its collection and use or flaring is a successful mitigation strategy.</w:t>
            </w:r>
          </w:p>
          <w:p w14:paraId="272DFE91" w14:textId="6B19C097" w:rsidR="00CF4D1B" w:rsidRDefault="003372FB" w:rsidP="00CF4D1B">
            <w:pPr>
              <w:pStyle w:val="StyleNormalBody"/>
              <w:rPr>
                <w:b w:val="0"/>
                <w:bCs w:val="0"/>
              </w:rPr>
            </w:pPr>
            <w:r w:rsidRPr="00CF4D1B">
              <w:rPr>
                <w:b w:val="0"/>
                <w:bCs w:val="0"/>
              </w:rPr>
              <w:t xml:space="preserve">It has become common practice to extend the crediting period for landfill gas projects without adjustment of the baseline. Given that expectations and regulatory standards are likely to increase over time, any extensions of </w:t>
            </w:r>
            <w:r w:rsidR="00E52A88">
              <w:rPr>
                <w:b w:val="0"/>
                <w:bCs w:val="0"/>
              </w:rPr>
              <w:t xml:space="preserve">the </w:t>
            </w:r>
            <w:r w:rsidRPr="00CF4D1B">
              <w:rPr>
                <w:b w:val="0"/>
                <w:bCs w:val="0"/>
              </w:rPr>
              <w:t>project crediting period should only occur with appropriate review and adjustments to baselines.</w:t>
            </w:r>
          </w:p>
          <w:p w14:paraId="0D9F8BA6" w14:textId="79362732" w:rsidR="00EB669D" w:rsidRPr="00EB669D" w:rsidRDefault="00EB669D" w:rsidP="00CF4D1B">
            <w:pPr>
              <w:pStyle w:val="StyleNormalBody"/>
              <w:rPr>
                <w:b w:val="0"/>
                <w:bCs w:val="0"/>
              </w:rPr>
            </w:pPr>
            <w:r w:rsidRPr="00EB669D">
              <w:rPr>
                <w:b w:val="0"/>
                <w:bCs w:val="0"/>
              </w:rPr>
              <w:t xml:space="preserve">Industry </w:t>
            </w:r>
            <w:r w:rsidRPr="009C3BCB">
              <w:rPr>
                <w:b w:val="0"/>
              </w:rPr>
              <w:t>expres</w:t>
            </w:r>
            <w:r>
              <w:rPr>
                <w:b w:val="0"/>
              </w:rPr>
              <w:t xml:space="preserve">sed strong support for adjusting </w:t>
            </w:r>
            <w:r w:rsidRPr="00EB669D">
              <w:rPr>
                <w:b w:val="0"/>
                <w:bCs w:val="0"/>
              </w:rPr>
              <w:t>baselines through a transparent and predic</w:t>
            </w:r>
            <w:r>
              <w:rPr>
                <w:b w:val="0"/>
                <w:bCs w:val="0"/>
              </w:rPr>
              <w:t>t</w:t>
            </w:r>
            <w:r w:rsidRPr="00EB669D">
              <w:rPr>
                <w:b w:val="0"/>
                <w:bCs w:val="0"/>
              </w:rPr>
              <w:t xml:space="preserve">able approach. </w:t>
            </w:r>
          </w:p>
          <w:p w14:paraId="3FD5F75F" w14:textId="0AC0483A" w:rsidR="00CF4D1B" w:rsidRDefault="006E5810" w:rsidP="00CF4D1B">
            <w:pPr>
              <w:pStyle w:val="StyleNormalBody"/>
              <w:rPr>
                <w:bCs w:val="0"/>
              </w:rPr>
            </w:pPr>
            <w:r w:rsidRPr="006E5810">
              <w:rPr>
                <w:b w:val="0"/>
              </w:rPr>
              <w:t xml:space="preserve">Without ACCUs, some landfill gas projects may not be financially viable. </w:t>
            </w:r>
          </w:p>
          <w:p w14:paraId="0A9FC6FE" w14:textId="3C5D8E37" w:rsidR="00A53D0B" w:rsidRPr="00A53D0B" w:rsidRDefault="006E5810" w:rsidP="00CF4D1B">
            <w:pPr>
              <w:pStyle w:val="StyleNormalBody"/>
              <w:rPr>
                <w:rStyle w:val="Emphasis"/>
                <w:b w:val="0"/>
                <w:i w:val="0"/>
                <w:iCs w:val="0"/>
              </w:rPr>
            </w:pPr>
            <w:r w:rsidRPr="006E5810" w:rsidDel="003372FB">
              <w:rPr>
                <w:b w:val="0"/>
              </w:rPr>
              <w:t>Long-term investment certainty is needed as infrastructure is required across decades.</w:t>
            </w:r>
          </w:p>
        </w:tc>
      </w:tr>
    </w:tbl>
    <w:p w14:paraId="650BB691" w14:textId="20B631F7" w:rsidR="0075328D" w:rsidRDefault="0075328D" w:rsidP="00243063">
      <w:pPr>
        <w:pStyle w:val="StyleNormalBody"/>
        <w:spacing w:before="200"/>
      </w:pPr>
      <w:r w:rsidRPr="003A60BD">
        <w:rPr>
          <w:rFonts w:cstheme="minorHAnsi"/>
        </w:rPr>
        <w:t xml:space="preserve">The </w:t>
      </w:r>
      <w:r w:rsidRPr="003A60BD">
        <w:rPr>
          <w:rFonts w:cstheme="minorHAnsi"/>
          <w:i/>
          <w:iCs/>
        </w:rPr>
        <w:t>Carbon Credits (Carbon Farming Initiative – Landfill Gas) Methodology Determination 2015</w:t>
      </w:r>
      <w:r w:rsidRPr="003A60BD">
        <w:rPr>
          <w:rFonts w:cstheme="minorHAnsi"/>
          <w:i/>
          <w:iCs/>
          <w:u w:val="single"/>
        </w:rPr>
        <w:t xml:space="preserve"> </w:t>
      </w:r>
      <w:r w:rsidRPr="003A60BD">
        <w:rPr>
          <w:rFonts w:cstheme="minorHAnsi"/>
        </w:rPr>
        <w:t xml:space="preserve">(the landfill gas method) and the </w:t>
      </w:r>
      <w:r w:rsidRPr="003A60BD">
        <w:rPr>
          <w:rFonts w:cstheme="minorHAnsi"/>
          <w:i/>
          <w:iCs/>
        </w:rPr>
        <w:t xml:space="preserve">Carbon Credits (Carbon Farming Initiative—Electricity Generation from Landfill Gas) Methodology Determination 2021 </w:t>
      </w:r>
      <w:r w:rsidRPr="003A60BD">
        <w:rPr>
          <w:rFonts w:cstheme="minorHAnsi"/>
        </w:rPr>
        <w:t xml:space="preserve">(the landfill gas generation method) are emissions avoidance methods. </w:t>
      </w:r>
    </w:p>
    <w:p w14:paraId="04D123A6" w14:textId="4D0ED498" w:rsidR="00A80E05" w:rsidRDefault="00665DF0" w:rsidP="003372FB">
      <w:r>
        <w:t>The science underpinning the landfill gas methods is well</w:t>
      </w:r>
      <w:r w:rsidR="003372FB">
        <w:t xml:space="preserve"> </w:t>
      </w:r>
      <w:r>
        <w:t>understood</w:t>
      </w:r>
      <w:r w:rsidR="003372FB">
        <w:t>;</w:t>
      </w:r>
      <w:r>
        <w:t xml:space="preserve"> </w:t>
      </w:r>
      <w:r w:rsidR="003372FB">
        <w:t>w</w:t>
      </w:r>
      <w:r w:rsidR="004F29D0">
        <w:t>aste decomposing</w:t>
      </w:r>
      <w:r w:rsidR="00A80E05">
        <w:t xml:space="preserve"> in landfill crea</w:t>
      </w:r>
      <w:r w:rsidR="004F29D0">
        <w:t>t</w:t>
      </w:r>
      <w:r w:rsidR="00A80E05">
        <w:t xml:space="preserve">es biogases, including methane, which is a potent greenhouse gas. </w:t>
      </w:r>
      <w:r w:rsidR="00D642C7">
        <w:t xml:space="preserve">Landfills </w:t>
      </w:r>
      <w:r w:rsidR="00D642C7" w:rsidRPr="00D642C7">
        <w:t>typically produce gas for several decades after ceasing to receive waste</w:t>
      </w:r>
      <w:r w:rsidR="00D642C7">
        <w:t>.</w:t>
      </w:r>
    </w:p>
    <w:p w14:paraId="7F4ADFAF" w14:textId="4E45777C" w:rsidR="0075328D" w:rsidRDefault="0075328D" w:rsidP="0075328D">
      <w:r w:rsidRPr="0075328D">
        <w:t xml:space="preserve">The landfill gas (generation) method provides an incentive to install a new landfill gas collection system or </w:t>
      </w:r>
      <w:r w:rsidR="00E52A88">
        <w:t>to</w:t>
      </w:r>
      <w:r w:rsidRPr="0075328D">
        <w:t xml:space="preserve"> upgrade an existing system with the intention to generate electricity from combusting landfill gas, either exclusively or in conjunction with flaring. The </w:t>
      </w:r>
      <w:r>
        <w:t>m</w:t>
      </w:r>
      <w:r w:rsidRPr="0075328D">
        <w:t>ethod also provides an incentive for the production of biomethane from landfill gas</w:t>
      </w:r>
      <w:r w:rsidR="00A80E05">
        <w:t>, for use as a natural gas substitute</w:t>
      </w:r>
      <w:r w:rsidRPr="0075328D">
        <w:t>.</w:t>
      </w:r>
    </w:p>
    <w:p w14:paraId="53D715C6" w14:textId="77777777" w:rsidR="00F84BA4" w:rsidRPr="009F328F" w:rsidRDefault="00F84BA4" w:rsidP="00F84BA4">
      <w:pPr>
        <w:pStyle w:val="Heading3"/>
      </w:pPr>
      <w:r w:rsidRPr="009F328F">
        <w:t xml:space="preserve">Landfill gas baselines </w:t>
      </w:r>
    </w:p>
    <w:p w14:paraId="7D6B3EE4" w14:textId="3D906724" w:rsidR="00F84BA4" w:rsidRDefault="00F84BA4" w:rsidP="00F84BA4">
      <w:r>
        <w:t xml:space="preserve">Landfill gas baselines </w:t>
      </w:r>
      <w:r w:rsidR="002C6F54">
        <w:t>account for</w:t>
      </w:r>
      <w:r>
        <w:t xml:space="preserve"> the proportion of methane destruction that is required by existing legislation, with methane destruction above the baseline being deemed additional and eligible for ACCUs. The default baseline is 30%, with the baseline being higher to match the requirements of any specific jurisdiction if necessary. This means that if a project has a 30% baseline, 70% of the methane destroyed is deemed additional.</w:t>
      </w:r>
    </w:p>
    <w:p w14:paraId="3943439D" w14:textId="52461D3A" w:rsidR="00812031" w:rsidDel="002E4DC8" w:rsidRDefault="00F84BA4" w:rsidP="002B7E25">
      <w:r>
        <w:rPr>
          <w:iCs/>
        </w:rPr>
        <w:t>However, s</w:t>
      </w:r>
      <w:r w:rsidRPr="004F29D0">
        <w:rPr>
          <w:iCs/>
        </w:rPr>
        <w:t xml:space="preserve">ome </w:t>
      </w:r>
      <w:r>
        <w:rPr>
          <w:iCs/>
        </w:rPr>
        <w:t>landfill gas projects</w:t>
      </w:r>
      <w:r w:rsidRPr="004F29D0">
        <w:rPr>
          <w:iCs/>
        </w:rPr>
        <w:t xml:space="preserve"> </w:t>
      </w:r>
      <w:r>
        <w:rPr>
          <w:iCs/>
        </w:rPr>
        <w:t xml:space="preserve">which transitioned to the ACCU scheme from </w:t>
      </w:r>
      <w:r w:rsidRPr="004F29D0">
        <w:rPr>
          <w:iCs/>
        </w:rPr>
        <w:t xml:space="preserve">previous government schemes </w:t>
      </w:r>
      <w:r>
        <w:rPr>
          <w:iCs/>
        </w:rPr>
        <w:t>have a baseline under 30%. The Panel heard that for these p</w:t>
      </w:r>
      <w:r w:rsidRPr="000E5012">
        <w:rPr>
          <w:iCs/>
        </w:rPr>
        <w:t xml:space="preserve">rojects, </w:t>
      </w:r>
      <w:r>
        <w:rPr>
          <w:iCs/>
        </w:rPr>
        <w:t>the</w:t>
      </w:r>
      <w:r w:rsidRPr="000E5012">
        <w:rPr>
          <w:iCs/>
        </w:rPr>
        <w:t xml:space="preserve"> concessional baselines d</w:t>
      </w:r>
      <w:r>
        <w:rPr>
          <w:iCs/>
        </w:rPr>
        <w:t xml:space="preserve">o not appropriately reflect </w:t>
      </w:r>
      <w:r w:rsidRPr="000E5012">
        <w:rPr>
          <w:iCs/>
        </w:rPr>
        <w:t xml:space="preserve">state and territory regulatory requirements, </w:t>
      </w:r>
      <w:r>
        <w:rPr>
          <w:iCs/>
        </w:rPr>
        <w:t>or create a</w:t>
      </w:r>
      <w:r w:rsidRPr="000E5012">
        <w:rPr>
          <w:iCs/>
        </w:rPr>
        <w:t xml:space="preserve"> financial incentive for project operators to go beyond the regulatory minimum</w:t>
      </w:r>
      <w:r w:rsidR="004B4FC7">
        <w:rPr>
          <w:iCs/>
        </w:rPr>
        <w:t>, and also to innovate</w:t>
      </w:r>
      <w:r w:rsidRPr="004F29D0">
        <w:rPr>
          <w:iCs/>
        </w:rPr>
        <w:t>.</w:t>
      </w:r>
      <w:bookmarkStart w:id="117" w:name="_Toc121818597"/>
      <w:bookmarkStart w:id="118" w:name="_Toc121817711"/>
    </w:p>
    <w:p w14:paraId="1DDCD509" w14:textId="0685A70C" w:rsidR="001018CB" w:rsidRDefault="001018CB" w:rsidP="00532D68">
      <w:pPr>
        <w:pStyle w:val="Heading2"/>
      </w:pPr>
      <w:bookmarkStart w:id="119" w:name="_Toc122339756"/>
      <w:bookmarkStart w:id="120" w:name="_Toc122348043"/>
      <w:bookmarkStart w:id="121" w:name="_Toc122359809"/>
      <w:bookmarkStart w:id="122" w:name="_Toc122360790"/>
      <w:bookmarkStart w:id="123" w:name="_Toc122523009"/>
      <w:r>
        <w:lastRenderedPageBreak/>
        <w:t>Carbon Capture and Storage</w:t>
      </w:r>
      <w:bookmarkEnd w:id="117"/>
      <w:bookmarkEnd w:id="118"/>
      <w:r>
        <w:t xml:space="preserve"> </w:t>
      </w:r>
      <w:r w:rsidR="00ED06C3">
        <w:t>(CCS) method</w:t>
      </w:r>
      <w:bookmarkEnd w:id="119"/>
      <w:bookmarkEnd w:id="120"/>
      <w:bookmarkEnd w:id="121"/>
      <w:bookmarkEnd w:id="122"/>
      <w:bookmarkEnd w:id="123"/>
      <w:r w:rsidR="00ED06C3">
        <w:t xml:space="preserve"> </w:t>
      </w: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9C3BCB" w14:paraId="69044A62" w14:textId="77777777" w:rsidTr="009C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324A3E7F" w14:textId="77777777" w:rsidR="009C3BCB" w:rsidRDefault="009C3BCB" w:rsidP="009C3BCB">
            <w:pPr>
              <w:pStyle w:val="KeyFindings"/>
              <w:rPr>
                <w:rStyle w:val="IntenseEmphasis"/>
                <w:b w:val="0"/>
                <w:bCs/>
              </w:rPr>
            </w:pPr>
            <w:r w:rsidRPr="00C372CA">
              <w:rPr>
                <w:rStyle w:val="IntenseEmphasis"/>
              </w:rPr>
              <w:t xml:space="preserve">Key findings </w:t>
            </w:r>
          </w:p>
          <w:p w14:paraId="3BB9FBF9" w14:textId="021C62E8" w:rsidR="009C3BCB" w:rsidRPr="009C3BCB" w:rsidRDefault="009C3BCB" w:rsidP="009C3BCB">
            <w:pPr>
              <w:pStyle w:val="StyleNormalBody"/>
              <w:rPr>
                <w:rStyle w:val="Emphasis"/>
                <w:i w:val="0"/>
                <w:iCs w:val="0"/>
              </w:rPr>
            </w:pPr>
            <w:r>
              <w:rPr>
                <w:b w:val="0"/>
                <w:bCs w:val="0"/>
              </w:rPr>
              <w:t>While t</w:t>
            </w:r>
            <w:r w:rsidRPr="00532D68">
              <w:rPr>
                <w:b w:val="0"/>
                <w:bCs w:val="0"/>
              </w:rPr>
              <w:t>here has been relatively limited deployment of carbon capture and storage (CCS)</w:t>
            </w:r>
            <w:r>
              <w:rPr>
                <w:b w:val="0"/>
                <w:bCs w:val="0"/>
              </w:rPr>
              <w:t xml:space="preserve"> nationally or globally, it is</w:t>
            </w:r>
            <w:r w:rsidRPr="00532D68">
              <w:rPr>
                <w:b w:val="0"/>
                <w:bCs w:val="0"/>
              </w:rPr>
              <w:t xml:space="preserve"> considered to have an important potential contribution to limiting the pace and extent of climate change.</w:t>
            </w:r>
          </w:p>
        </w:tc>
      </w:tr>
    </w:tbl>
    <w:p w14:paraId="11FCD6BB" w14:textId="5B75C438" w:rsidR="001018CB" w:rsidRDefault="001018CB" w:rsidP="00243063">
      <w:pPr>
        <w:pStyle w:val="StyleNormalBody"/>
        <w:spacing w:before="200"/>
      </w:pPr>
      <w:r>
        <w:t xml:space="preserve">The </w:t>
      </w:r>
      <w:r w:rsidRPr="00ED06C3">
        <w:rPr>
          <w:i/>
          <w:iCs/>
        </w:rPr>
        <w:t>Carbon Credits (Carbon Farming Initiative – Carbon Capture and Storage) Methodology Determination 2021</w:t>
      </w:r>
      <w:r w:rsidR="00ED06C3">
        <w:t xml:space="preserve"> (the CCS method)</w:t>
      </w:r>
      <w:r>
        <w:t xml:space="preserve"> is an emissions avoidance activity. </w:t>
      </w:r>
    </w:p>
    <w:p w14:paraId="2BC67BE8" w14:textId="0BE367F5" w:rsidR="001018CB" w:rsidRDefault="001018CB" w:rsidP="00ED06C3">
      <w:pPr>
        <w:pStyle w:val="StyleNormalBody"/>
      </w:pPr>
      <w:r>
        <w:t>The method incentivises the capture of greenhouse gases that would have otherwise been released into the atmosphere, which are then injected into the underground geology for storage</w:t>
      </w:r>
      <w:r w:rsidR="003372FB">
        <w:t xml:space="preserve"> on a millennial timescale</w:t>
      </w:r>
      <w:r>
        <w:t>.</w:t>
      </w:r>
    </w:p>
    <w:p w14:paraId="37A8A4C2" w14:textId="1338E501" w:rsidR="001018CB" w:rsidRDefault="001018CB" w:rsidP="00ED06C3">
      <w:pPr>
        <w:pStyle w:val="StyleNormalBody"/>
      </w:pPr>
      <w:r>
        <w:t xml:space="preserve">The Panel heard that CCS is not </w:t>
      </w:r>
      <w:r w:rsidR="003372FB">
        <w:t>economic.</w:t>
      </w:r>
      <w:r w:rsidR="003372FB" w:rsidDel="003372FB">
        <w:t xml:space="preserve"> </w:t>
      </w:r>
    </w:p>
    <w:p w14:paraId="5BC564E4" w14:textId="1D1D71F9" w:rsidR="001018CB" w:rsidRDefault="001018CB" w:rsidP="00ED06C3">
      <w:pPr>
        <w:pStyle w:val="StyleNormalBody"/>
      </w:pPr>
      <w:r>
        <w:t xml:space="preserve">The Panel was advised the activity is </w:t>
      </w:r>
      <w:r w:rsidR="003A6A3C">
        <w:t xml:space="preserve">most </w:t>
      </w:r>
      <w:r>
        <w:t xml:space="preserve">likely to be undertaken at facilities that </w:t>
      </w:r>
      <w:r w:rsidR="004E49F9">
        <w:t xml:space="preserve">are </w:t>
      </w:r>
      <w:r w:rsidR="00076262">
        <w:t>regulated</w:t>
      </w:r>
      <w:r>
        <w:t xml:space="preserve"> under the safeguard mechanism.</w:t>
      </w:r>
    </w:p>
    <w:p w14:paraId="2349943D" w14:textId="322BC4DD" w:rsidR="001018CB" w:rsidRPr="009C3BCB" w:rsidRDefault="001018CB" w:rsidP="009C3BCB">
      <w:pPr>
        <w:pStyle w:val="StyleNormalBody"/>
      </w:pPr>
      <w:r>
        <w:t xml:space="preserve">The </w:t>
      </w:r>
      <w:r w:rsidR="003A6A3C">
        <w:t>recommended</w:t>
      </w:r>
      <w:r>
        <w:t xml:space="preserve"> </w:t>
      </w:r>
      <w:r w:rsidR="00185093">
        <w:t>proponent-led</w:t>
      </w:r>
      <w:r>
        <w:t xml:space="preserve"> </w:t>
      </w:r>
      <w:r w:rsidR="003A6A3C">
        <w:t xml:space="preserve">method development </w:t>
      </w:r>
      <w:r w:rsidR="00B225C4">
        <w:t>model</w:t>
      </w:r>
      <w:r>
        <w:t xml:space="preserve"> </w:t>
      </w:r>
      <w:r w:rsidR="00B225C4">
        <w:t>would allow related potential methods</w:t>
      </w:r>
      <w:r w:rsidR="008B72C7">
        <w:t xml:space="preserve"> for long-term storage</w:t>
      </w:r>
      <w:r w:rsidR="00B225C4">
        <w:t xml:space="preserve">, such as, biochar, to be considered. </w:t>
      </w:r>
      <w:r>
        <w:rPr>
          <w:b/>
          <w:bCs/>
          <w:color w:val="1F497D"/>
          <w:sz w:val="25"/>
          <w:szCs w:val="25"/>
        </w:rPr>
        <w:br w:type="page"/>
      </w:r>
    </w:p>
    <w:p w14:paraId="58C8A7A0" w14:textId="7C9BECD0" w:rsidR="001018CB" w:rsidRDefault="001018CB" w:rsidP="003F3B34">
      <w:pPr>
        <w:pStyle w:val="Heading1"/>
      </w:pPr>
      <w:bookmarkStart w:id="124" w:name="_Toc121818599"/>
      <w:bookmarkStart w:id="125" w:name="_Toc121817713"/>
      <w:bookmarkStart w:id="126" w:name="_Toc122339757"/>
      <w:bookmarkStart w:id="127" w:name="_Toc122348044"/>
      <w:bookmarkStart w:id="128" w:name="_Toc122359810"/>
      <w:bookmarkStart w:id="129" w:name="_Toc122360791"/>
      <w:bookmarkStart w:id="130" w:name="_Toc122523010"/>
      <w:r w:rsidRPr="003F3B34">
        <w:lastRenderedPageBreak/>
        <w:t xml:space="preserve">Part </w:t>
      </w:r>
      <w:r w:rsidR="00D71BBD">
        <w:t>6</w:t>
      </w:r>
      <w:r w:rsidRPr="003F3B34">
        <w:t>. Broader impacts of carbon offsets and removals activities</w:t>
      </w:r>
      <w:bookmarkEnd w:id="124"/>
      <w:bookmarkEnd w:id="125"/>
      <w:bookmarkEnd w:id="126"/>
      <w:bookmarkEnd w:id="127"/>
      <w:bookmarkEnd w:id="128"/>
      <w:bookmarkEnd w:id="129"/>
      <w:bookmarkEnd w:id="130"/>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D96BBF" w14:paraId="1A7DF655" w14:textId="77777777" w:rsidTr="003F67EC">
        <w:trPr>
          <w:trHeight w:val="1353"/>
        </w:trPr>
        <w:tc>
          <w:tcPr>
            <w:tcW w:w="9072" w:type="dxa"/>
            <w:tcBorders>
              <w:top w:val="thinThickLargeGap" w:sz="8" w:space="0" w:color="617E89" w:themeColor="accent1"/>
              <w:left w:val="nil"/>
              <w:bottom w:val="single" w:sz="4" w:space="0" w:color="617E89" w:themeColor="accent1"/>
              <w:right w:val="nil"/>
            </w:tcBorders>
          </w:tcPr>
          <w:p w14:paraId="07F26BD9" w14:textId="77777777" w:rsidR="003F3B34" w:rsidRDefault="003F3B34" w:rsidP="00485F6D">
            <w:pPr>
              <w:pStyle w:val="Heading4"/>
              <w:outlineLvl w:val="3"/>
            </w:pPr>
            <w:r>
              <w:t>Terms of Reference</w:t>
            </w:r>
          </w:p>
          <w:p w14:paraId="29BDD61B" w14:textId="77777777" w:rsidR="003F3B34" w:rsidRDefault="003F3B34" w:rsidP="00612D33">
            <w:pPr>
              <w:pStyle w:val="ListParagraph"/>
              <w:numPr>
                <w:ilvl w:val="0"/>
                <w:numId w:val="10"/>
              </w:numPr>
              <w:spacing w:before="80" w:after="0"/>
            </w:pPr>
            <w:r w:rsidRPr="0025257B">
              <w:t>The broader impacts of activities incentivised under Australia’s carbon crediting framework including:</w:t>
            </w:r>
          </w:p>
          <w:p w14:paraId="72CB8AD8" w14:textId="265BB2E7" w:rsidR="003F3B34" w:rsidRDefault="003F3B34" w:rsidP="00612D33">
            <w:pPr>
              <w:pStyle w:val="ListParagraph"/>
              <w:numPr>
                <w:ilvl w:val="1"/>
                <w:numId w:val="10"/>
              </w:numPr>
              <w:spacing w:before="80" w:after="0"/>
            </w:pPr>
            <w:r w:rsidRPr="0025257B">
              <w:t>whether the current processes and requirements are appropriate to manage negative social, economic and environmental impacts, including on agricultural productivity and regional communities</w:t>
            </w:r>
            <w:r>
              <w:t>;</w:t>
            </w:r>
            <w:r w:rsidRPr="0025257B">
              <w:t> </w:t>
            </w:r>
          </w:p>
          <w:p w14:paraId="29D33317" w14:textId="26EB0E94" w:rsidR="003F3B34" w:rsidRDefault="003F3B34" w:rsidP="00612D33">
            <w:pPr>
              <w:pStyle w:val="ListParagraph"/>
              <w:numPr>
                <w:ilvl w:val="1"/>
                <w:numId w:val="10"/>
              </w:numPr>
              <w:spacing w:before="80" w:after="0"/>
            </w:pPr>
            <w:r w:rsidRPr="0025257B">
              <w:t>the extent to which carbon projects are currently supporting positive environmental, social and economic outcomes including for biodiversity and the participation of First Nations people</w:t>
            </w:r>
            <w:r>
              <w:t>;</w:t>
            </w:r>
          </w:p>
          <w:p w14:paraId="3A2E3A43" w14:textId="229B0242" w:rsidR="003F3B34" w:rsidRPr="003F3B34" w:rsidRDefault="003F3B34" w:rsidP="00612D33">
            <w:pPr>
              <w:pStyle w:val="ListParagraph"/>
              <w:numPr>
                <w:ilvl w:val="1"/>
                <w:numId w:val="10"/>
              </w:numPr>
              <w:spacing w:before="80" w:after="0"/>
            </w:pPr>
            <w:r w:rsidRPr="0025257B">
              <w:t>opportunities to maximise non-carbon benefits of projects</w:t>
            </w:r>
            <w:r>
              <w:t>.</w:t>
            </w:r>
          </w:p>
        </w:tc>
      </w:tr>
    </w:tbl>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3B7132" w14:paraId="279D56C9" w14:textId="77777777" w:rsidTr="003B7132">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226E147C" w14:textId="0FFEF44F" w:rsidR="003B7132" w:rsidRPr="001369E6" w:rsidRDefault="003B7132" w:rsidP="003B7132">
            <w:pPr>
              <w:pStyle w:val="KeyFindings"/>
              <w:rPr>
                <w:rStyle w:val="IntenseEmphasis"/>
              </w:rPr>
            </w:pPr>
            <w:r w:rsidRPr="001369E6">
              <w:rPr>
                <w:rStyle w:val="IntenseEmphasis"/>
              </w:rPr>
              <w:t xml:space="preserve">Key findings </w:t>
            </w:r>
          </w:p>
          <w:p w14:paraId="333C33D6" w14:textId="77777777" w:rsidR="003B7132" w:rsidRPr="001369E6" w:rsidRDefault="003B7132" w:rsidP="003B7132">
            <w:pPr>
              <w:pStyle w:val="Heading5"/>
              <w:outlineLvl w:val="4"/>
              <w:rPr>
                <w:rStyle w:val="Emphasis"/>
                <w:rFonts w:cstheme="minorHAnsi"/>
                <w:b w:val="0"/>
                <w:i w:val="0"/>
                <w:color w:val="auto"/>
              </w:rPr>
            </w:pPr>
            <w:r w:rsidRPr="001369E6">
              <w:rPr>
                <w:rFonts w:asciiTheme="minorHAnsi" w:hAnsiTheme="minorHAnsi" w:cstheme="minorHAnsi"/>
                <w:b w:val="0"/>
                <w:color w:val="auto"/>
              </w:rPr>
              <w:t>Potential adverse impacts from projects can be mitigated through regulation and oversight</w:t>
            </w:r>
            <w:r>
              <w:rPr>
                <w:rFonts w:asciiTheme="minorHAnsi" w:hAnsiTheme="minorHAnsi" w:cstheme="minorHAnsi"/>
                <w:b w:val="0"/>
                <w:color w:val="auto"/>
              </w:rPr>
              <w:t xml:space="preserve"> mechanisms</w:t>
            </w:r>
            <w:r w:rsidRPr="001369E6">
              <w:rPr>
                <w:rFonts w:asciiTheme="minorHAnsi" w:hAnsiTheme="minorHAnsi" w:cstheme="minorHAnsi"/>
                <w:b w:val="0"/>
                <w:color w:val="auto"/>
              </w:rPr>
              <w:t xml:space="preserve">, in conjunction with </w:t>
            </w:r>
            <w:r>
              <w:rPr>
                <w:rFonts w:asciiTheme="minorHAnsi" w:hAnsiTheme="minorHAnsi" w:cstheme="minorHAnsi"/>
                <w:b w:val="0"/>
                <w:color w:val="auto"/>
              </w:rPr>
              <w:t>the new governance and method development arrangements recommended by the Panel,</w:t>
            </w:r>
            <w:r w:rsidRPr="001369E6">
              <w:rPr>
                <w:rFonts w:asciiTheme="minorHAnsi" w:hAnsiTheme="minorHAnsi" w:cstheme="minorHAnsi"/>
                <w:b w:val="0"/>
                <w:color w:val="auto"/>
              </w:rPr>
              <w:t xml:space="preserve"> and supported by </w:t>
            </w:r>
            <w:r>
              <w:rPr>
                <w:rFonts w:asciiTheme="minorHAnsi" w:hAnsiTheme="minorHAnsi" w:cstheme="minorHAnsi"/>
                <w:b w:val="0"/>
                <w:color w:val="auto"/>
              </w:rPr>
              <w:t>initiatives to increase trust, capability and coordination across the carbon farming supply chain.</w:t>
            </w:r>
          </w:p>
        </w:tc>
      </w:tr>
    </w:tbl>
    <w:p w14:paraId="60B85279" w14:textId="6BAE695E" w:rsidR="001018CB" w:rsidRPr="00485F6D" w:rsidRDefault="00A05EA2" w:rsidP="00485F6D">
      <w:pPr>
        <w:pStyle w:val="Heading3"/>
      </w:pPr>
      <w:r>
        <w:t>R</w:t>
      </w:r>
      <w:r w:rsidR="00FD1977">
        <w:t>isk of adverse impacts</w:t>
      </w: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9C3BCB" w14:paraId="5980E27A" w14:textId="77777777" w:rsidTr="009C3BCB">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5C72AB08" w14:textId="77777777" w:rsidR="009C3BCB" w:rsidRPr="001369E6" w:rsidRDefault="009C3BCB" w:rsidP="009C3BCB">
            <w:pPr>
              <w:pStyle w:val="KeyFindings"/>
              <w:rPr>
                <w:rStyle w:val="IntenseEmphasis"/>
              </w:rPr>
            </w:pPr>
            <w:r w:rsidRPr="001369E6">
              <w:rPr>
                <w:rStyle w:val="IntenseEmphasis"/>
              </w:rPr>
              <w:t xml:space="preserve">Key findings </w:t>
            </w:r>
          </w:p>
          <w:p w14:paraId="70344F2C" w14:textId="77777777" w:rsidR="009C3BCB" w:rsidRPr="009C3BCB" w:rsidRDefault="009C3BCB" w:rsidP="0057725F">
            <w:pPr>
              <w:pStyle w:val="Heading5"/>
              <w:spacing w:before="120"/>
              <w:outlineLvl w:val="4"/>
              <w:rPr>
                <w:rFonts w:asciiTheme="minorHAnsi" w:hAnsiTheme="minorHAnsi" w:cstheme="minorHAnsi"/>
                <w:b w:val="0"/>
                <w:color w:val="auto"/>
                <w:lang w:val="en-GB"/>
              </w:rPr>
            </w:pPr>
            <w:r w:rsidRPr="009C3BCB">
              <w:rPr>
                <w:rFonts w:asciiTheme="minorHAnsi" w:hAnsiTheme="minorHAnsi" w:cstheme="minorHAnsi"/>
                <w:b w:val="0"/>
                <w:color w:val="auto"/>
                <w:lang w:val="en-GB"/>
              </w:rPr>
              <w:t xml:space="preserve">Risks and potential adverse impacts of project activities in regional and remote Australia include: </w:t>
            </w:r>
          </w:p>
          <w:p w14:paraId="21CE2D38" w14:textId="77777777" w:rsidR="009C3BCB" w:rsidRPr="009C3BCB" w:rsidRDefault="009C3BCB" w:rsidP="00612D33">
            <w:pPr>
              <w:pStyle w:val="Heading5"/>
              <w:numPr>
                <w:ilvl w:val="0"/>
                <w:numId w:val="6"/>
              </w:numPr>
              <w:spacing w:before="120"/>
              <w:outlineLvl w:val="4"/>
              <w:rPr>
                <w:rFonts w:asciiTheme="minorHAnsi" w:hAnsiTheme="minorHAnsi" w:cstheme="minorHAnsi"/>
                <w:b w:val="0"/>
                <w:color w:val="auto"/>
              </w:rPr>
            </w:pPr>
            <w:r w:rsidRPr="009C3BCB">
              <w:rPr>
                <w:rFonts w:asciiTheme="minorHAnsi" w:hAnsiTheme="minorHAnsi" w:cstheme="minorHAnsi"/>
                <w:b w:val="0"/>
                <w:color w:val="auto"/>
              </w:rPr>
              <w:t>differing levels of community understanding of the scheme and ability to participate has led to differences in perception of scheme impacts and integrity;</w:t>
            </w:r>
          </w:p>
          <w:p w14:paraId="7DA975E9" w14:textId="77777777" w:rsidR="009C3BCB" w:rsidRPr="009C3BCB" w:rsidRDefault="009C3BCB" w:rsidP="00612D33">
            <w:pPr>
              <w:pStyle w:val="Heading5"/>
              <w:numPr>
                <w:ilvl w:val="0"/>
                <w:numId w:val="6"/>
              </w:numPr>
              <w:spacing w:before="120"/>
              <w:outlineLvl w:val="4"/>
              <w:rPr>
                <w:rFonts w:asciiTheme="minorHAnsi" w:hAnsiTheme="minorHAnsi" w:cstheme="minorHAnsi"/>
                <w:b w:val="0"/>
                <w:color w:val="auto"/>
              </w:rPr>
            </w:pPr>
            <w:r w:rsidRPr="009C3BCB">
              <w:rPr>
                <w:rFonts w:asciiTheme="minorHAnsi" w:hAnsiTheme="minorHAnsi" w:cstheme="minorHAnsi"/>
                <w:b w:val="0"/>
                <w:color w:val="auto"/>
              </w:rPr>
              <w:t>lack of regional co-ordination, planning and consistency between local, state and federal policies impede landholder participation in the scheme; and</w:t>
            </w:r>
          </w:p>
          <w:p w14:paraId="691D712A" w14:textId="77777777" w:rsidR="009C3BCB" w:rsidRPr="009C3BCB" w:rsidRDefault="009C3BCB" w:rsidP="00612D33">
            <w:pPr>
              <w:pStyle w:val="Heading5"/>
              <w:numPr>
                <w:ilvl w:val="0"/>
                <w:numId w:val="6"/>
              </w:numPr>
              <w:spacing w:before="120"/>
              <w:outlineLvl w:val="4"/>
              <w:rPr>
                <w:rFonts w:asciiTheme="minorHAnsi" w:hAnsiTheme="minorHAnsi" w:cstheme="minorHAnsi"/>
                <w:b w:val="0"/>
                <w:color w:val="auto"/>
              </w:rPr>
            </w:pPr>
            <w:r w:rsidRPr="009C3BCB">
              <w:rPr>
                <w:rFonts w:asciiTheme="minorHAnsi" w:hAnsiTheme="minorHAnsi" w:cstheme="minorHAnsi"/>
                <w:b w:val="0"/>
                <w:color w:val="auto"/>
              </w:rPr>
              <w:t xml:space="preserve">an absence of re-investment into regional communities </w:t>
            </w:r>
          </w:p>
          <w:p w14:paraId="298B4C79" w14:textId="77777777" w:rsidR="009C3BCB" w:rsidRPr="009C3BCB" w:rsidRDefault="009C3BCB" w:rsidP="0057725F">
            <w:pPr>
              <w:pStyle w:val="Heading5"/>
              <w:spacing w:before="120"/>
              <w:outlineLvl w:val="4"/>
              <w:rPr>
                <w:rFonts w:asciiTheme="minorHAnsi" w:hAnsiTheme="minorHAnsi" w:cstheme="minorHAnsi"/>
                <w:b w:val="0"/>
                <w:color w:val="auto"/>
                <w:lang w:val="en-GB"/>
              </w:rPr>
            </w:pPr>
            <w:r w:rsidRPr="009C3BCB">
              <w:rPr>
                <w:rFonts w:asciiTheme="minorHAnsi" w:hAnsiTheme="minorHAnsi" w:cstheme="minorHAnsi"/>
                <w:b w:val="0"/>
                <w:color w:val="auto"/>
                <w:lang w:val="en-GB"/>
              </w:rPr>
              <w:t>Risk and potential adverse impacts unique to First Nations Australians could arise from:</w:t>
            </w:r>
          </w:p>
          <w:p w14:paraId="60018D3B" w14:textId="77777777" w:rsidR="009C3BCB" w:rsidRPr="009C3BCB" w:rsidRDefault="009C3BCB" w:rsidP="00612D33">
            <w:pPr>
              <w:pStyle w:val="Heading5"/>
              <w:numPr>
                <w:ilvl w:val="0"/>
                <w:numId w:val="6"/>
              </w:numPr>
              <w:spacing w:before="120"/>
              <w:outlineLvl w:val="4"/>
              <w:rPr>
                <w:rFonts w:asciiTheme="minorHAnsi" w:hAnsiTheme="minorHAnsi" w:cstheme="minorHAnsi"/>
                <w:b w:val="0"/>
                <w:color w:val="auto"/>
              </w:rPr>
            </w:pPr>
            <w:r w:rsidRPr="009C3BCB">
              <w:rPr>
                <w:rFonts w:asciiTheme="minorHAnsi" w:hAnsiTheme="minorHAnsi" w:cstheme="minorHAnsi"/>
                <w:b w:val="0"/>
                <w:color w:val="auto"/>
              </w:rPr>
              <w:t>conditional registration of carbon projects and lack of Native Title Holder consent, at odds with the principles of free, prior and informed consent (FPIC);</w:t>
            </w:r>
          </w:p>
          <w:p w14:paraId="3693F104" w14:textId="77777777" w:rsidR="009C3BCB" w:rsidRPr="009C3BCB" w:rsidRDefault="009C3BCB" w:rsidP="00612D33">
            <w:pPr>
              <w:pStyle w:val="Heading5"/>
              <w:numPr>
                <w:ilvl w:val="0"/>
                <w:numId w:val="6"/>
              </w:numPr>
              <w:spacing w:before="120"/>
              <w:outlineLvl w:val="4"/>
              <w:rPr>
                <w:rFonts w:asciiTheme="minorHAnsi" w:hAnsiTheme="minorHAnsi" w:cstheme="minorHAnsi"/>
                <w:b w:val="0"/>
                <w:color w:val="auto"/>
              </w:rPr>
            </w:pPr>
            <w:r w:rsidRPr="009C3BCB">
              <w:rPr>
                <w:rFonts w:asciiTheme="minorHAnsi" w:hAnsiTheme="minorHAnsi" w:cstheme="minorHAnsi"/>
                <w:b w:val="0"/>
                <w:color w:val="auto"/>
              </w:rPr>
              <w:t>lack of oversight and capacity to ensure that consent processes are robust and adhere to best practice principles; and</w:t>
            </w:r>
          </w:p>
          <w:p w14:paraId="3618339D" w14:textId="4B1DDF1D" w:rsidR="009C3BCB" w:rsidRPr="001369E6" w:rsidRDefault="009C3BCB" w:rsidP="00612D33">
            <w:pPr>
              <w:pStyle w:val="Heading5"/>
              <w:numPr>
                <w:ilvl w:val="0"/>
                <w:numId w:val="6"/>
              </w:numPr>
              <w:spacing w:before="120"/>
              <w:outlineLvl w:val="4"/>
              <w:rPr>
                <w:rStyle w:val="Emphasis"/>
                <w:rFonts w:cstheme="minorHAnsi"/>
                <w:b w:val="0"/>
                <w:i w:val="0"/>
                <w:color w:val="auto"/>
              </w:rPr>
            </w:pPr>
            <w:r w:rsidRPr="009C3BCB">
              <w:rPr>
                <w:rFonts w:asciiTheme="minorHAnsi" w:hAnsiTheme="minorHAnsi" w:cstheme="minorHAnsi"/>
                <w:b w:val="0"/>
                <w:color w:val="auto"/>
              </w:rPr>
              <w:t>a lack of adequate representation and resourcing to ensure First Nations representation in scheme governance and participation.</w:t>
            </w:r>
          </w:p>
        </w:tc>
      </w:tr>
    </w:tbl>
    <w:p w14:paraId="5336FC1C" w14:textId="77777777" w:rsidR="007F3F1F" w:rsidRDefault="005921CF" w:rsidP="00243063">
      <w:pPr>
        <w:pStyle w:val="Bullets"/>
        <w:numPr>
          <w:ilvl w:val="0"/>
          <w:numId w:val="0"/>
        </w:numPr>
        <w:spacing w:before="200"/>
      </w:pPr>
      <w:r>
        <w:t>The Panel</w:t>
      </w:r>
      <w:r w:rsidR="0080201B">
        <w:t xml:space="preserve"> consider</w:t>
      </w:r>
      <w:r>
        <w:t>s</w:t>
      </w:r>
      <w:r w:rsidR="0080201B">
        <w:t xml:space="preserve"> that</w:t>
      </w:r>
      <w:r w:rsidR="00AC336B">
        <w:t xml:space="preserve"> c</w:t>
      </w:r>
      <w:r w:rsidR="00AC336B" w:rsidRPr="00712699">
        <w:t xml:space="preserve">ompliance with </w:t>
      </w:r>
      <w:r w:rsidR="00F44004">
        <w:t xml:space="preserve">scheme regulations and </w:t>
      </w:r>
      <w:r w:rsidR="00F44004" w:rsidRPr="00712699">
        <w:t>method</w:t>
      </w:r>
      <w:r w:rsidR="00F44004">
        <w:t xml:space="preserve"> requirements</w:t>
      </w:r>
      <w:r w:rsidR="00AC336B" w:rsidRPr="00712699">
        <w:t xml:space="preserve"> can prevent or mitigate</w:t>
      </w:r>
      <w:r w:rsidR="00AC336B">
        <w:t xml:space="preserve"> many of</w:t>
      </w:r>
      <w:r w:rsidR="00AC336B" w:rsidRPr="00712699">
        <w:t xml:space="preserve"> </w:t>
      </w:r>
      <w:r w:rsidR="00AC336B">
        <w:t xml:space="preserve">the </w:t>
      </w:r>
      <w:r w:rsidR="00AC336B" w:rsidRPr="00712699">
        <w:t>potential adverse impacts that may arise during the implementation of a project</w:t>
      </w:r>
      <w:r w:rsidR="00AC336B">
        <w:t xml:space="preserve">. </w:t>
      </w:r>
    </w:p>
    <w:p w14:paraId="7F729815" w14:textId="77777777" w:rsidR="00AC336B" w:rsidRDefault="0080201B" w:rsidP="00495F98">
      <w:pPr>
        <w:pStyle w:val="StyleNormalBody"/>
      </w:pPr>
      <w:r>
        <w:t xml:space="preserve">To support </w:t>
      </w:r>
      <w:r w:rsidR="004707AE">
        <w:t>the existing regulatory</w:t>
      </w:r>
      <w:r>
        <w:t xml:space="preserve"> safeguards, t</w:t>
      </w:r>
      <w:r w:rsidR="00495F98">
        <w:t xml:space="preserve">he Panel has </w:t>
      </w:r>
      <w:r w:rsidR="00495F98" w:rsidRPr="00ED06C3">
        <w:t xml:space="preserve">recommended additional assurances </w:t>
      </w:r>
      <w:r w:rsidR="00BA125C">
        <w:t>to</w:t>
      </w:r>
      <w:r w:rsidR="007F3F1F">
        <w:t xml:space="preserve"> </w:t>
      </w:r>
      <w:r w:rsidR="00495F98" w:rsidRPr="00ED06C3">
        <w:t>protect against potential adverse impacts</w:t>
      </w:r>
      <w:r w:rsidR="00495F98">
        <w:t xml:space="preserve"> of ACCU projects</w:t>
      </w:r>
      <w:r w:rsidR="00B31164">
        <w:t xml:space="preserve"> in the pr</w:t>
      </w:r>
      <w:r w:rsidR="00E127FF">
        <w:t>ece</w:t>
      </w:r>
      <w:r w:rsidR="00B31164">
        <w:t xml:space="preserve">ding sections of this report. </w:t>
      </w:r>
    </w:p>
    <w:p w14:paraId="6A415CA1" w14:textId="779671B9" w:rsidR="00AC336B" w:rsidRDefault="00B31164" w:rsidP="00495F98">
      <w:pPr>
        <w:pStyle w:val="StyleNormalBody"/>
      </w:pPr>
      <w:r>
        <w:t xml:space="preserve">This </w:t>
      </w:r>
      <w:r w:rsidR="00495F98">
        <w:t>includ</w:t>
      </w:r>
      <w:r>
        <w:t>es</w:t>
      </w:r>
      <w:r w:rsidR="00495F98">
        <w:t xml:space="preserve"> transparency</w:t>
      </w:r>
      <w:r w:rsidR="00AC336B">
        <w:t>, disclosure and stakeholder engagement</w:t>
      </w:r>
      <w:r w:rsidR="00495F98">
        <w:t xml:space="preserve"> provisions </w:t>
      </w:r>
      <w:r w:rsidR="00AC336B">
        <w:t>along with</w:t>
      </w:r>
      <w:r>
        <w:t xml:space="preserve"> new governance arrangements</w:t>
      </w:r>
      <w:r w:rsidR="00AC336B">
        <w:t>,</w:t>
      </w:r>
      <w:r>
        <w:t xml:space="preserve"> as well as </w:t>
      </w:r>
      <w:r w:rsidR="00AC336B">
        <w:t xml:space="preserve">consideration of new </w:t>
      </w:r>
      <w:r w:rsidR="00055B04">
        <w:t>ACCU S</w:t>
      </w:r>
      <w:r w:rsidR="00AC336B">
        <w:t xml:space="preserve">cheme </w:t>
      </w:r>
      <w:r w:rsidR="00055B04">
        <w:t>P</w:t>
      </w:r>
      <w:r w:rsidR="00AC336B">
        <w:t>rinciples t</w:t>
      </w:r>
      <w:r w:rsidR="004707AE">
        <w:t>hat would</w:t>
      </w:r>
      <w:r w:rsidR="00AC336B">
        <w:t xml:space="preserve"> support the </w:t>
      </w:r>
      <w:r w:rsidR="0080201B">
        <w:t xml:space="preserve">CAIC in </w:t>
      </w:r>
      <w:r w:rsidR="00AC336B">
        <w:t>avoid</w:t>
      </w:r>
      <w:r w:rsidR="0080201B">
        <w:t xml:space="preserve">ing </w:t>
      </w:r>
      <w:r w:rsidR="00AC336B">
        <w:t>adverse impacts</w:t>
      </w:r>
      <w:r w:rsidR="0080201B">
        <w:t xml:space="preserve"> of projects</w:t>
      </w:r>
      <w:r w:rsidR="00AC336B">
        <w:t>.</w:t>
      </w:r>
    </w:p>
    <w:p w14:paraId="11B289C5" w14:textId="3DB5CD09" w:rsidR="00495F98" w:rsidRDefault="00495F98" w:rsidP="00712699">
      <w:pPr>
        <w:pStyle w:val="StyleNormalBody"/>
      </w:pPr>
      <w:r>
        <w:lastRenderedPageBreak/>
        <w:t xml:space="preserve">These should be </w:t>
      </w:r>
      <w:r w:rsidR="004707AE">
        <w:t>further</w:t>
      </w:r>
      <w:r>
        <w:t xml:space="preserve"> supplemented by initiatives that facilitate access to and understanding of the scheme, protect the rights and </w:t>
      </w:r>
      <w:r w:rsidR="006B1058">
        <w:t>interests</w:t>
      </w:r>
      <w:r>
        <w:t xml:space="preserve"> of First Nations Australians and which build trust </w:t>
      </w:r>
      <w:r w:rsidR="0027516E">
        <w:t>and consistency</w:t>
      </w:r>
      <w:r>
        <w:t xml:space="preserve"> </w:t>
      </w:r>
      <w:r w:rsidR="00B31164">
        <w:t>across</w:t>
      </w:r>
      <w:r>
        <w:t xml:space="preserve"> the carbon farming supply chain.</w:t>
      </w:r>
    </w:p>
    <w:p w14:paraId="7DC675AC" w14:textId="77777777" w:rsidR="00DF1948" w:rsidRPr="004C0C32" w:rsidRDefault="00DF1948" w:rsidP="00DF1948">
      <w:pPr>
        <w:pStyle w:val="Heading3"/>
      </w:pPr>
      <w:bookmarkStart w:id="131" w:name="_Toc121818602"/>
      <w:bookmarkStart w:id="132" w:name="_Toc121817716"/>
      <w:r w:rsidRPr="004C0C32">
        <w:t>Free, Prior and Informed Consent</w:t>
      </w:r>
      <w:bookmarkEnd w:id="131"/>
      <w:bookmarkEnd w:id="132"/>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DF1948" w14:paraId="4D4C57D4" w14:textId="77777777" w:rsidTr="004507DD">
        <w:trPr>
          <w:trHeight w:val="1684"/>
        </w:trPr>
        <w:tc>
          <w:tcPr>
            <w:tcW w:w="9016" w:type="dxa"/>
            <w:shd w:val="clear" w:color="auto" w:fill="BECBD1" w:themeFill="accent1" w:themeFillTint="66"/>
          </w:tcPr>
          <w:p w14:paraId="419D4284" w14:textId="0493F678" w:rsidR="00DF1948" w:rsidRPr="00B77EB7" w:rsidRDefault="00DF1948" w:rsidP="006E3361">
            <w:pPr>
              <w:pStyle w:val="Heading4"/>
              <w:outlineLvl w:val="3"/>
            </w:pPr>
            <w:r w:rsidRPr="00C33BD1">
              <w:t>Recommendation 1</w:t>
            </w:r>
            <w:r w:rsidRPr="00B77EB7">
              <w:t>1. The CFI Act should be amended to remove the option to conditionally register ACCU projects on Native Title lands (as defined in the CFI Act) prior to obtaining consent, in alignment with the principles of Free, Prior and Informed Consent (FPIC):</w:t>
            </w:r>
          </w:p>
          <w:p w14:paraId="2B99FB59" w14:textId="5B15C71A" w:rsidR="00DF1948" w:rsidRPr="00C33BD1" w:rsidRDefault="00DF1948" w:rsidP="004507DD">
            <w:pPr>
              <w:pStyle w:val="StyleNormalBody"/>
              <w:spacing w:after="0"/>
              <w:ind w:left="720"/>
            </w:pPr>
            <w:r>
              <w:rPr>
                <w:b/>
                <w:bCs/>
              </w:rPr>
              <w:t>11</w:t>
            </w:r>
            <w:r w:rsidRPr="00C33BD1">
              <w:rPr>
                <w:b/>
                <w:bCs/>
              </w:rPr>
              <w:t>.1</w:t>
            </w:r>
            <w:r>
              <w:t xml:space="preserve"> </w:t>
            </w:r>
            <w:r w:rsidRPr="00C33BD1">
              <w:t xml:space="preserve">The Australian Government should support </w:t>
            </w:r>
            <w:r>
              <w:t>Native Title Representative Bodies</w:t>
            </w:r>
            <w:r w:rsidRPr="00C33BD1">
              <w:t xml:space="preserve"> and other </w:t>
            </w:r>
            <w:r>
              <w:t xml:space="preserve">relevant </w:t>
            </w:r>
            <w:r w:rsidRPr="00C33BD1">
              <w:t>bodies to ensure consistent standards in the application of FPIC.</w:t>
            </w:r>
          </w:p>
        </w:tc>
      </w:tr>
    </w:tbl>
    <w:p w14:paraId="04D23956" w14:textId="77777777" w:rsidR="00DF1948" w:rsidRDefault="00DF1948" w:rsidP="00DF1948">
      <w:pPr>
        <w:pStyle w:val="StyleNormalBody"/>
        <w:spacing w:before="0" w:after="0"/>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DF1948" w14:paraId="07E64376"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0FEE3924" w14:textId="77777777" w:rsidR="00DF1948" w:rsidRDefault="00DF1948" w:rsidP="004507DD">
            <w:pPr>
              <w:pStyle w:val="KeyFindings"/>
              <w:rPr>
                <w:rStyle w:val="IntenseEmphasis"/>
                <w:b w:val="0"/>
                <w:bCs/>
              </w:rPr>
            </w:pPr>
            <w:r w:rsidRPr="00C372CA">
              <w:rPr>
                <w:rStyle w:val="IntenseEmphasis"/>
              </w:rPr>
              <w:t xml:space="preserve">Key findings </w:t>
            </w:r>
          </w:p>
          <w:p w14:paraId="4112C397" w14:textId="77777777" w:rsidR="00DF1948" w:rsidRPr="00E153CE" w:rsidRDefault="00DF1948" w:rsidP="004507DD">
            <w:pPr>
              <w:pStyle w:val="StyleNormalBody"/>
              <w:rPr>
                <w:rStyle w:val="Emphasis"/>
                <w:b w:val="0"/>
                <w:bCs w:val="0"/>
                <w:i w:val="0"/>
                <w:iCs w:val="0"/>
              </w:rPr>
            </w:pPr>
            <w:r w:rsidRPr="00187A45">
              <w:rPr>
                <w:b w:val="0"/>
                <w:bCs w:val="0"/>
                <w:lang w:val="en-AU"/>
              </w:rPr>
              <w:t>Adherence to the principles of FPIC are essential to achieving positive outcomes. Allowing conditional registration is inconsistent with FPIC.</w:t>
            </w:r>
          </w:p>
        </w:tc>
      </w:tr>
    </w:tbl>
    <w:p w14:paraId="29868468" w14:textId="77777777" w:rsidR="00DF1948" w:rsidRDefault="00DF1948" w:rsidP="00243063">
      <w:pPr>
        <w:pStyle w:val="StyleNormalBody"/>
        <w:spacing w:before="200"/>
      </w:pPr>
      <w:r>
        <w:t xml:space="preserve">The CFI Act provides for the requirement to obtain consent from parties with an eligible interest in the land on which a carbon abatement project is registered, including Native Title holders with a registered Native Title body corporate. </w:t>
      </w:r>
    </w:p>
    <w:p w14:paraId="28925D8E" w14:textId="77777777" w:rsidR="00DF1948" w:rsidRDefault="00DF1948" w:rsidP="00DF1948">
      <w:pPr>
        <w:pStyle w:val="StyleNormalBody"/>
      </w:pPr>
      <w:r>
        <w:t xml:space="preserve">The CFI Act presently allows for projects to be registered conditionally upon obtaining all eligible interest holder (EIH) consents, provided that the project proponent has the legal right to run the project. In practice, this means that a project may be established for up to 5 years before it is required to provide evidence to the CER that EIH consent has been obtained to undertake that project. </w:t>
      </w:r>
    </w:p>
    <w:p w14:paraId="121BC6E9" w14:textId="77777777" w:rsidR="00DF1948" w:rsidRDefault="00DF1948" w:rsidP="00DF1948">
      <w:pPr>
        <w:pStyle w:val="StyleNormalBody"/>
      </w:pPr>
      <w:r>
        <w:t xml:space="preserve">In the Panel’s view, the practice of seeking consent following the conditional registration of a project pre-empts the outcome of negotiations and risks creating a disparity in the bargaining power of parties.  </w:t>
      </w:r>
    </w:p>
    <w:p w14:paraId="4EAAA692" w14:textId="77777777" w:rsidR="00DF1948" w:rsidRDefault="00DF1948" w:rsidP="00DF1948">
      <w:pPr>
        <w:pStyle w:val="StyleNormalBody"/>
      </w:pPr>
      <w:r>
        <w:t>In alignment with the principles of FPIC, project proponents must ensure Native Title holders’ consent is obtained prior to project registration application, when applicable.</w:t>
      </w:r>
    </w:p>
    <w:p w14:paraId="03C50549" w14:textId="77777777" w:rsidR="00DF1948" w:rsidRPr="004434C3" w:rsidRDefault="00DF1948" w:rsidP="00DF1948">
      <w:pPr>
        <w:pStyle w:val="StyleNormalBody"/>
        <w:rPr>
          <w:rFonts w:cstheme="minorHAnsi"/>
        </w:rPr>
      </w:pPr>
      <w:r w:rsidRPr="004434C3">
        <w:rPr>
          <w:rFonts w:cstheme="minorHAnsi"/>
        </w:rPr>
        <w:t xml:space="preserve">FPIC means that consent is: free from force, intimidation, manipulation, coercion or pressure; obtained prior to the project starting; and obtained after Indigenous people are fully informed about the costs, benefits, risks and any other implications of the project, and </w:t>
      </w:r>
      <w:r>
        <w:rPr>
          <w:rFonts w:cstheme="minorHAnsi"/>
        </w:rPr>
        <w:t>allowing</w:t>
      </w:r>
      <w:r w:rsidRPr="004434C3">
        <w:rPr>
          <w:rFonts w:cstheme="minorHAnsi"/>
        </w:rPr>
        <w:t xml:space="preserve"> the opportunity to seek independent advice.</w:t>
      </w:r>
    </w:p>
    <w:p w14:paraId="3868779E" w14:textId="77777777" w:rsidR="00DF1948" w:rsidRPr="004434C3" w:rsidRDefault="00DF1948" w:rsidP="00DF1948">
      <w:pPr>
        <w:pStyle w:val="StyleNormalBody"/>
        <w:rPr>
          <w:rFonts w:cstheme="minorHAnsi"/>
        </w:rPr>
      </w:pPr>
      <w:r w:rsidRPr="004434C3">
        <w:rPr>
          <w:rFonts w:cstheme="minorHAnsi"/>
        </w:rPr>
        <w:t xml:space="preserve">Proponents, in keeping with current industry best practice, should consider the need for, and the benefit of, consent from not only </w:t>
      </w:r>
      <w:r>
        <w:rPr>
          <w:rFonts w:cstheme="minorHAnsi"/>
        </w:rPr>
        <w:t>N</w:t>
      </w:r>
      <w:r w:rsidRPr="004434C3">
        <w:rPr>
          <w:rFonts w:cstheme="minorHAnsi"/>
        </w:rPr>
        <w:t xml:space="preserve">ative </w:t>
      </w:r>
      <w:r>
        <w:rPr>
          <w:rFonts w:cstheme="minorHAnsi"/>
        </w:rPr>
        <w:t>T</w:t>
      </w:r>
      <w:r w:rsidRPr="004434C3">
        <w:rPr>
          <w:rFonts w:cstheme="minorHAnsi"/>
        </w:rPr>
        <w:t xml:space="preserve">itle holders but </w:t>
      </w:r>
      <w:r>
        <w:rPr>
          <w:rFonts w:cstheme="minorHAnsi"/>
        </w:rPr>
        <w:t>also N</w:t>
      </w:r>
      <w:r w:rsidRPr="004434C3">
        <w:rPr>
          <w:rFonts w:cstheme="minorHAnsi"/>
        </w:rPr>
        <w:t xml:space="preserve">ative </w:t>
      </w:r>
      <w:r>
        <w:rPr>
          <w:rFonts w:cstheme="minorHAnsi"/>
        </w:rPr>
        <w:t>T</w:t>
      </w:r>
      <w:r w:rsidRPr="004434C3">
        <w:rPr>
          <w:rFonts w:cstheme="minorHAnsi"/>
        </w:rPr>
        <w:t xml:space="preserve">itle claimants. Active participation by those with knowledge of Country and its care will result in increased integrity </w:t>
      </w:r>
      <w:r>
        <w:rPr>
          <w:rFonts w:cstheme="minorHAnsi"/>
        </w:rPr>
        <w:t xml:space="preserve">of </w:t>
      </w:r>
      <w:r w:rsidRPr="004434C3">
        <w:rPr>
          <w:rFonts w:cstheme="minorHAnsi"/>
        </w:rPr>
        <w:t>and benefits to the project.</w:t>
      </w:r>
    </w:p>
    <w:p w14:paraId="1AC1C7C9" w14:textId="77777777" w:rsidR="00DF1948" w:rsidRDefault="00DF1948" w:rsidP="00DF1948">
      <w:pPr>
        <w:pStyle w:val="StyleNormalBody"/>
        <w:rPr>
          <w:rFonts w:cstheme="minorHAnsi"/>
        </w:rPr>
      </w:pPr>
      <w:r w:rsidRPr="00946228">
        <w:rPr>
          <w:rFonts w:cstheme="minorHAnsi"/>
        </w:rPr>
        <w:t xml:space="preserve">To simplify and ensure consistent standards in FPIC, Native Title </w:t>
      </w:r>
      <w:r>
        <w:rPr>
          <w:rFonts w:cstheme="minorHAnsi"/>
        </w:rPr>
        <w:t>R</w:t>
      </w:r>
      <w:r w:rsidRPr="00946228">
        <w:rPr>
          <w:rFonts w:cstheme="minorHAnsi"/>
        </w:rPr>
        <w:t xml:space="preserve">epresentative </w:t>
      </w:r>
      <w:r>
        <w:rPr>
          <w:rFonts w:cstheme="minorHAnsi"/>
        </w:rPr>
        <w:t>B</w:t>
      </w:r>
      <w:r w:rsidRPr="00946228">
        <w:rPr>
          <w:rFonts w:cstheme="minorHAnsi"/>
        </w:rPr>
        <w:t xml:space="preserve">odies </w:t>
      </w:r>
      <w:r>
        <w:rPr>
          <w:rFonts w:cstheme="minorHAnsi"/>
        </w:rPr>
        <w:t xml:space="preserve">and/or other relevant bodies </w:t>
      </w:r>
      <w:r w:rsidRPr="00946228">
        <w:rPr>
          <w:rFonts w:cstheme="minorHAnsi"/>
        </w:rPr>
        <w:t>should be resourced to support consent processes, engage with the CER, maintain a register of carbon projects relevant to each region and share best practice approaches to First Nations benefit sharing and governance models.</w:t>
      </w:r>
    </w:p>
    <w:p w14:paraId="4724051B" w14:textId="5139422C" w:rsidR="001018CB" w:rsidRPr="00697E0A" w:rsidRDefault="007F3F1F" w:rsidP="004C0C32">
      <w:pPr>
        <w:pStyle w:val="Heading3"/>
      </w:pPr>
      <w:r>
        <w:lastRenderedPageBreak/>
        <w:t>B</w:t>
      </w:r>
      <w:r w:rsidR="00495F98">
        <w:t xml:space="preserve">est practice </w:t>
      </w:r>
      <w:r w:rsidR="003314ED" w:rsidRPr="0022510E">
        <w:t>performance standards</w:t>
      </w: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8D4148" w14:paraId="22BDA469" w14:textId="77777777" w:rsidTr="008D4148">
        <w:trPr>
          <w:trHeight w:val="630"/>
        </w:trPr>
        <w:tc>
          <w:tcPr>
            <w:tcW w:w="9016" w:type="dxa"/>
            <w:shd w:val="clear" w:color="auto" w:fill="BECBD1" w:themeFill="accent1" w:themeFillTint="66"/>
          </w:tcPr>
          <w:p w14:paraId="47AF14CC" w14:textId="50411BA2" w:rsidR="008D4148" w:rsidRPr="00C33BD1" w:rsidRDefault="008D4148" w:rsidP="006E3361">
            <w:pPr>
              <w:pStyle w:val="Heading4"/>
              <w:outlineLvl w:val="3"/>
            </w:pPr>
            <w:r w:rsidRPr="00C33BD1">
              <w:t xml:space="preserve">Recommendation </w:t>
            </w:r>
            <w:r w:rsidRPr="00B77EB7">
              <w:t>1</w:t>
            </w:r>
            <w:r w:rsidR="00DF1948" w:rsidRPr="00B77EB7">
              <w:t>2</w:t>
            </w:r>
            <w:r w:rsidRPr="00C33BD1">
              <w:rPr>
                <w:b w:val="0"/>
              </w:rPr>
              <w:t xml:space="preserve">. </w:t>
            </w:r>
            <w:r w:rsidRPr="00B77EB7">
              <w:t>Carbon service providers and carbon market advisors, including agents, should be accredited and regulated.</w:t>
            </w:r>
          </w:p>
        </w:tc>
      </w:tr>
    </w:tbl>
    <w:p w14:paraId="0696B36E" w14:textId="2697E0A9" w:rsidR="004D4095" w:rsidRPr="004D4095" w:rsidRDefault="004D4095" w:rsidP="008D4148">
      <w:pPr>
        <w:spacing w:before="0" w:after="0"/>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3314ED" w14:paraId="15787D9E" w14:textId="77777777" w:rsidTr="00331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5B47E6A8" w14:textId="77777777" w:rsidR="003314ED" w:rsidRDefault="003314ED" w:rsidP="003314ED">
            <w:pPr>
              <w:pStyle w:val="KeyFindings"/>
              <w:rPr>
                <w:rStyle w:val="IntenseEmphasis"/>
                <w:b w:val="0"/>
                <w:bCs/>
              </w:rPr>
            </w:pPr>
            <w:r w:rsidRPr="00C372CA">
              <w:rPr>
                <w:rStyle w:val="IntenseEmphasis"/>
              </w:rPr>
              <w:t xml:space="preserve">Key findings </w:t>
            </w:r>
          </w:p>
          <w:p w14:paraId="7068B310" w14:textId="77777777" w:rsidR="003314ED" w:rsidRPr="00187A45" w:rsidRDefault="003314ED" w:rsidP="003314ED">
            <w:pPr>
              <w:pStyle w:val="StyleNormalBody"/>
              <w:rPr>
                <w:b w:val="0"/>
                <w:bCs w:val="0"/>
              </w:rPr>
            </w:pPr>
            <w:r w:rsidRPr="00187A45">
              <w:rPr>
                <w:b w:val="0"/>
                <w:bCs w:val="0"/>
              </w:rPr>
              <w:t>The Carbon Market Institute’s voluntary Carbon Industry Code of Conduct contributes to the integrity of the ACCU scheme.</w:t>
            </w:r>
          </w:p>
          <w:p w14:paraId="5413C4FA" w14:textId="289B6BC2" w:rsidR="003314ED" w:rsidRPr="004D4095" w:rsidRDefault="003314ED" w:rsidP="003314ED">
            <w:pPr>
              <w:pStyle w:val="StyleNormalBody"/>
              <w:rPr>
                <w:rStyle w:val="Emphasis"/>
                <w:b w:val="0"/>
                <w:i w:val="0"/>
              </w:rPr>
            </w:pPr>
            <w:r w:rsidRPr="00187A45">
              <w:rPr>
                <w:b w:val="0"/>
                <w:bCs w:val="0"/>
              </w:rPr>
              <w:t xml:space="preserve">Mandating performance standards for carbon service providers, including agents, would enhance market confidence and consumer protection. </w:t>
            </w:r>
          </w:p>
        </w:tc>
      </w:tr>
    </w:tbl>
    <w:p w14:paraId="61333428" w14:textId="74E7E5D9" w:rsidR="0022510E" w:rsidRDefault="0022510E" w:rsidP="00243063">
      <w:pPr>
        <w:pStyle w:val="StyleNormalBody"/>
        <w:spacing w:before="200"/>
      </w:pPr>
      <w:r w:rsidRPr="0022510E">
        <w:t>Mandating performance standards for carbon service providers, including agents,</w:t>
      </w:r>
      <w:r>
        <w:t xml:space="preserve"> would provide carbon project stakeholders with a level of assurance that projects are implemented with the highest possible standards.</w:t>
      </w:r>
    </w:p>
    <w:p w14:paraId="185E2815" w14:textId="77777777" w:rsidR="00937628" w:rsidRDefault="001018CB" w:rsidP="00CC680E">
      <w:pPr>
        <w:pStyle w:val="StyleNormalBody"/>
      </w:pPr>
      <w:r>
        <w:t>As an example, t</w:t>
      </w:r>
      <w:r w:rsidRPr="00697E0A">
        <w:t xml:space="preserve">he Carbon Market Institute has developed a voluntary Australian Carbon Industry Code of Conduct </w:t>
      </w:r>
      <w:r>
        <w:t xml:space="preserve">(the Code) </w:t>
      </w:r>
      <w:r w:rsidRPr="00697E0A">
        <w:t xml:space="preserve">that has 32 signatories covering 75% of ACCU scheme projects. </w:t>
      </w:r>
    </w:p>
    <w:p w14:paraId="3B877A55" w14:textId="53580D56" w:rsidR="001018CB" w:rsidRDefault="001018CB" w:rsidP="00CC680E">
      <w:pPr>
        <w:pStyle w:val="StyleNormalBody"/>
      </w:pPr>
      <w:r>
        <w:t xml:space="preserve">The Code requires signatories to conduct business in </w:t>
      </w:r>
      <w:r w:rsidR="00783609">
        <w:t>accordance</w:t>
      </w:r>
      <w:r>
        <w:t xml:space="preserve"> with </w:t>
      </w:r>
      <w:r>
        <w:rPr>
          <w:rFonts w:cs="Calibri"/>
          <w:color w:val="000000"/>
        </w:rPr>
        <w:t xml:space="preserve">industry best practice and </w:t>
      </w:r>
      <w:r w:rsidR="00783609">
        <w:rPr>
          <w:rFonts w:cs="Calibri"/>
          <w:color w:val="000000"/>
        </w:rPr>
        <w:t xml:space="preserve">to </w:t>
      </w:r>
      <w:r>
        <w:rPr>
          <w:rFonts w:cs="Calibri"/>
          <w:color w:val="000000"/>
        </w:rPr>
        <w:t>engage with clients and stakeholders in an ethical manner</w:t>
      </w:r>
      <w:r>
        <w:t>. It provides a ready benchmark for best practice and is already employed at the government level – b</w:t>
      </w:r>
      <w:r w:rsidRPr="00697E0A">
        <w:t>eing a signatory is mandatory for project developers seeking to access Queensland, Western Australian and Tasmanian Government support schemes.</w:t>
      </w:r>
    </w:p>
    <w:p w14:paraId="69710405" w14:textId="3E7F1836" w:rsidR="008B313E" w:rsidRDefault="008B72C7" w:rsidP="00CC680E">
      <w:pPr>
        <w:pStyle w:val="StyleNormalBody"/>
      </w:pPr>
      <w:r>
        <w:t xml:space="preserve">The Panel heard concerns that there should be education or stricter enforcement of existing regulation around the provision of financial advice in relation to carbon market activities. </w:t>
      </w:r>
    </w:p>
    <w:p w14:paraId="50755FCD" w14:textId="77777777" w:rsidR="00B77EB7" w:rsidRDefault="00B77EB7" w:rsidP="00604661">
      <w:pPr>
        <w:pStyle w:val="Heading3"/>
      </w:pPr>
      <w:bookmarkStart w:id="133" w:name="_Toc121818603"/>
      <w:bookmarkStart w:id="134" w:name="_Toc121817717"/>
      <w:r>
        <w:br w:type="page"/>
      </w:r>
    </w:p>
    <w:p w14:paraId="787840D7" w14:textId="77777777" w:rsidR="001018CB" w:rsidRDefault="001018CB" w:rsidP="00604661">
      <w:pPr>
        <w:pStyle w:val="Heading3"/>
        <w:rPr>
          <w:i w:val="0"/>
          <w:color w:val="1F497D"/>
        </w:rPr>
      </w:pPr>
      <w:r>
        <w:lastRenderedPageBreak/>
        <w:t>Co-benefits</w:t>
      </w:r>
      <w:bookmarkEnd w:id="133"/>
      <w:bookmarkEnd w:id="134"/>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67154E" w14:paraId="5434C94E"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61D8C61A" w14:textId="5200769F" w:rsidR="0067154E" w:rsidRPr="00632CDC" w:rsidRDefault="0067154E" w:rsidP="006E3361">
            <w:pPr>
              <w:pStyle w:val="Heading4"/>
              <w:outlineLvl w:val="3"/>
              <w:rPr>
                <w:b w:val="0"/>
                <w:iCs w:val="0"/>
              </w:rPr>
            </w:pPr>
            <w:r w:rsidRPr="00632CDC">
              <w:t xml:space="preserve">Recommendation </w:t>
            </w:r>
            <w:r w:rsidRPr="00B77EB7">
              <w:t>1</w:t>
            </w:r>
            <w:r w:rsidR="00B91179" w:rsidRPr="00B77EB7">
              <w:t>3</w:t>
            </w:r>
            <w:r w:rsidRPr="00632CDC">
              <w:rPr>
                <w:b w:val="0"/>
              </w:rPr>
              <w:t xml:space="preserve">. </w:t>
            </w:r>
            <w:r w:rsidRPr="00B77EB7">
              <w:t>The CER, in consultation with market participants and stakeholders, should develop procedures to support transparency of different project characteristics and types of co-benefits associated with ACCUs.</w:t>
            </w:r>
          </w:p>
        </w:tc>
      </w:tr>
    </w:tbl>
    <w:p w14:paraId="3C1287DA" w14:textId="77777777" w:rsidR="0067154E" w:rsidRPr="0067154E" w:rsidRDefault="0067154E" w:rsidP="0067154E">
      <w:pPr>
        <w:pStyle w:val="StyleNormalBody"/>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8A5365" w14:paraId="6DD490D4" w14:textId="77777777" w:rsidTr="008A5365">
        <w:trPr>
          <w:cnfStyle w:val="100000000000" w:firstRow="1" w:lastRow="0" w:firstColumn="0" w:lastColumn="0" w:oddVBand="0" w:evenVBand="0" w:oddHBand="0"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4350DE07" w14:textId="77777777" w:rsidR="008A5365" w:rsidRDefault="008A5365" w:rsidP="008A5365">
            <w:pPr>
              <w:pStyle w:val="KeyFindings"/>
              <w:rPr>
                <w:rStyle w:val="IntenseEmphasis"/>
                <w:b w:val="0"/>
                <w:bCs/>
              </w:rPr>
            </w:pPr>
            <w:r w:rsidRPr="00C372CA">
              <w:rPr>
                <w:rStyle w:val="IntenseEmphasis"/>
              </w:rPr>
              <w:t xml:space="preserve">Key findings </w:t>
            </w:r>
          </w:p>
          <w:p w14:paraId="72CA7440" w14:textId="77777777" w:rsidR="004C19CB" w:rsidRPr="004C0C32" w:rsidRDefault="004C19CB" w:rsidP="004C19CB">
            <w:pPr>
              <w:pStyle w:val="StyleNormalBody"/>
              <w:rPr>
                <w:b w:val="0"/>
                <w:bCs w:val="0"/>
              </w:rPr>
            </w:pPr>
            <w:r w:rsidRPr="004C0C32">
              <w:rPr>
                <w:b w:val="0"/>
                <w:bCs w:val="0"/>
              </w:rPr>
              <w:t>Co-benefits extend beyond reduced emissions and carbon removals. The</w:t>
            </w:r>
            <w:r>
              <w:rPr>
                <w:b w:val="0"/>
                <w:bCs w:val="0"/>
              </w:rPr>
              <w:t>y</w:t>
            </w:r>
            <w:r w:rsidRPr="004C0C32">
              <w:rPr>
                <w:b w:val="0"/>
                <w:bCs w:val="0"/>
              </w:rPr>
              <w:t xml:space="preserve"> include non-carbon benefits to proponents</w:t>
            </w:r>
            <w:r>
              <w:rPr>
                <w:b w:val="0"/>
                <w:bCs w:val="0"/>
              </w:rPr>
              <w:t>,</w:t>
            </w:r>
            <w:r w:rsidRPr="004C0C32">
              <w:rPr>
                <w:b w:val="0"/>
                <w:bCs w:val="0"/>
              </w:rPr>
              <w:t xml:space="preserve"> the broader community</w:t>
            </w:r>
            <w:r>
              <w:rPr>
                <w:b w:val="0"/>
                <w:bCs w:val="0"/>
              </w:rPr>
              <w:t>, and to the environment</w:t>
            </w:r>
            <w:r w:rsidRPr="004C0C32">
              <w:rPr>
                <w:b w:val="0"/>
                <w:bCs w:val="0"/>
              </w:rPr>
              <w:t>.</w:t>
            </w:r>
          </w:p>
          <w:p w14:paraId="5BDAACFD" w14:textId="77777777" w:rsidR="004C19CB" w:rsidRPr="004C19CB" w:rsidRDefault="004C19CB" w:rsidP="004C19CB">
            <w:pPr>
              <w:pStyle w:val="StyleNormalBody"/>
              <w:rPr>
                <w:b w:val="0"/>
                <w:bCs w:val="0"/>
              </w:rPr>
            </w:pPr>
            <w:r w:rsidRPr="004C19CB">
              <w:rPr>
                <w:b w:val="0"/>
                <w:bCs w:val="0"/>
              </w:rPr>
              <w:t>Scheme arrangements should facilitate but not require provision of co-benefits.</w:t>
            </w:r>
          </w:p>
          <w:p w14:paraId="6F2B5BEB" w14:textId="77777777" w:rsidR="004C19CB" w:rsidRPr="00CF6423" w:rsidRDefault="004C19CB" w:rsidP="004C19CB">
            <w:pPr>
              <w:pStyle w:val="StyleNormalBody"/>
              <w:rPr>
                <w:b w:val="0"/>
                <w:bCs w:val="0"/>
              </w:rPr>
            </w:pPr>
            <w:r w:rsidRPr="004C0C32">
              <w:rPr>
                <w:b w:val="0"/>
                <w:bCs w:val="0"/>
              </w:rPr>
              <w:t xml:space="preserve">Current arrangements for attributing project characteristics and co-benefits to ACCUs are </w:t>
            </w:r>
            <w:r>
              <w:rPr>
                <w:b w:val="0"/>
                <w:bCs w:val="0"/>
              </w:rPr>
              <w:t xml:space="preserve">not </w:t>
            </w:r>
            <w:r w:rsidRPr="004C0C32">
              <w:rPr>
                <w:b w:val="0"/>
                <w:bCs w:val="0"/>
              </w:rPr>
              <w:t xml:space="preserve">mature. This weakens incentives for market participants to supply, demand, and resource </w:t>
            </w:r>
            <w:r w:rsidRPr="00CF6423">
              <w:rPr>
                <w:b w:val="0"/>
                <w:bCs w:val="0"/>
              </w:rPr>
              <w:t xml:space="preserve">these value-adding outcomes. </w:t>
            </w:r>
          </w:p>
          <w:p w14:paraId="2598B13F" w14:textId="0DD5E2D7" w:rsidR="008A5365" w:rsidRPr="004C0C32" w:rsidRDefault="008A5365" w:rsidP="008A5365">
            <w:pPr>
              <w:pStyle w:val="StyleNormalBody"/>
              <w:rPr>
                <w:rStyle w:val="Emphasis"/>
                <w:i w:val="0"/>
                <w:iCs w:val="0"/>
                <w:lang w:val="en-AU"/>
              </w:rPr>
            </w:pPr>
            <w:r w:rsidRPr="00CF6423">
              <w:rPr>
                <w:b w:val="0"/>
                <w:bCs w:val="0"/>
              </w:rPr>
              <w:t xml:space="preserve">Where a co-benefit is claimed, the proponent should use an appropriate </w:t>
            </w:r>
            <w:r w:rsidR="006B1058">
              <w:rPr>
                <w:b w:val="0"/>
                <w:bCs w:val="0"/>
              </w:rPr>
              <w:t>method</w:t>
            </w:r>
            <w:r w:rsidRPr="00CF6423">
              <w:rPr>
                <w:b w:val="0"/>
                <w:bCs w:val="0"/>
              </w:rPr>
              <w:t xml:space="preserve">, verifying the </w:t>
            </w:r>
            <w:r w:rsidR="004C19CB">
              <w:rPr>
                <w:b w:val="0"/>
                <w:bCs w:val="0"/>
              </w:rPr>
              <w:t>claims made in relation to</w:t>
            </w:r>
            <w:r w:rsidRPr="00CF6423">
              <w:rPr>
                <w:b w:val="0"/>
                <w:bCs w:val="0"/>
              </w:rPr>
              <w:t xml:space="preserve"> the co-benefit, and provide evidence to the CER before </w:t>
            </w:r>
            <w:r w:rsidR="004C19CB">
              <w:rPr>
                <w:b w:val="0"/>
                <w:bCs w:val="0"/>
              </w:rPr>
              <w:t>the claim</w:t>
            </w:r>
            <w:r w:rsidRPr="00CF6423">
              <w:rPr>
                <w:b w:val="0"/>
                <w:bCs w:val="0"/>
              </w:rPr>
              <w:t xml:space="preserve"> can be published.</w:t>
            </w:r>
          </w:p>
        </w:tc>
      </w:tr>
    </w:tbl>
    <w:p w14:paraId="5AE66703" w14:textId="2DE7BA64" w:rsidR="008C4B86" w:rsidRPr="005B06C3" w:rsidRDefault="001018CB" w:rsidP="00C9360A">
      <w:pPr>
        <w:pStyle w:val="StyleNormalBody"/>
        <w:spacing w:before="200"/>
      </w:pPr>
      <w:r w:rsidRPr="005B06C3">
        <w:t xml:space="preserve">ACCUs, have specific attributes which are not fully </w:t>
      </w:r>
      <w:r w:rsidR="006B1058">
        <w:t>reflected</w:t>
      </w:r>
      <w:r w:rsidRPr="005B06C3">
        <w:t xml:space="preserve"> in current scheme regulations. Attributes that describe an ACCU’s characteristics provide supplementary information that enable purchasers to better understand the quality and impact of ACCU projects. </w:t>
      </w:r>
    </w:p>
    <w:p w14:paraId="540AD0F4" w14:textId="77777777" w:rsidR="001018CB" w:rsidRPr="005B06C3" w:rsidRDefault="001018CB" w:rsidP="005B06C3">
      <w:pPr>
        <w:pStyle w:val="StyleNormalBody"/>
      </w:pPr>
      <w:r w:rsidRPr="005B06C3">
        <w:t>Attributes include</w:t>
      </w:r>
      <w:r w:rsidR="003F67EC" w:rsidRPr="005B06C3">
        <w:t xml:space="preserve"> provenance, the type of mitigation activity and</w:t>
      </w:r>
      <w:r w:rsidRPr="005B06C3">
        <w:t xml:space="preserve"> potential co-benefits. </w:t>
      </w:r>
    </w:p>
    <w:p w14:paraId="3DFF0BF0" w14:textId="77777777" w:rsidR="001018CB" w:rsidRPr="005B06C3" w:rsidRDefault="001018CB" w:rsidP="005B06C3">
      <w:pPr>
        <w:pStyle w:val="StyleNormalBody"/>
      </w:pPr>
      <w:r w:rsidRPr="005B06C3">
        <w:t xml:space="preserve">Co-benefits provide additional value for ACCUs that measurably improve social, economic, cultural and environmental outcomes from the implementation of a project. The Panel heard that co-benefits resulting from the scheme </w:t>
      </w:r>
      <w:r w:rsidR="00FC4018">
        <w:t xml:space="preserve">have </w:t>
      </w:r>
      <w:r w:rsidR="00FC4018" w:rsidRPr="005B06C3">
        <w:t>include</w:t>
      </w:r>
      <w:r w:rsidR="00FC4018">
        <w:t>d (but are not limited to)</w:t>
      </w:r>
      <w:r w:rsidR="00FC4018" w:rsidRPr="005B06C3">
        <w:t>:</w:t>
      </w:r>
      <w:r w:rsidRPr="005B06C3">
        <w:t xml:space="preserve"> </w:t>
      </w:r>
    </w:p>
    <w:p w14:paraId="7C79D438" w14:textId="77777777" w:rsidR="00FC4018" w:rsidRDefault="00FC4018" w:rsidP="00612D33">
      <w:pPr>
        <w:pStyle w:val="ListParagraph"/>
        <w:numPr>
          <w:ilvl w:val="0"/>
          <w:numId w:val="13"/>
        </w:numPr>
        <w:spacing w:line="257" w:lineRule="auto"/>
        <w:ind w:left="714" w:hanging="357"/>
        <w:contextualSpacing w:val="0"/>
      </w:pPr>
      <w:r w:rsidRPr="0067154E">
        <w:rPr>
          <w:b/>
          <w:bCs/>
        </w:rPr>
        <w:t>Economic:</w:t>
      </w:r>
      <w:r>
        <w:t xml:space="preserve"> carbon revenue streams create a more robust and sustainable business model for rural and remote landholders.</w:t>
      </w:r>
      <w:r w:rsidRPr="00F14215">
        <w:t xml:space="preserve"> </w:t>
      </w:r>
      <w:r>
        <w:t>Enhanced cash flow enables landholders to invest and make improvements on their properties leading to improved environmental condition and increases in productivity.</w:t>
      </w:r>
    </w:p>
    <w:p w14:paraId="68CF66F8" w14:textId="77777777" w:rsidR="00FC4018" w:rsidRDefault="00FC4018" w:rsidP="00612D33">
      <w:pPr>
        <w:pStyle w:val="ListParagraph"/>
        <w:numPr>
          <w:ilvl w:val="0"/>
          <w:numId w:val="13"/>
        </w:numPr>
        <w:spacing w:line="257" w:lineRule="auto"/>
        <w:ind w:left="714" w:hanging="357"/>
        <w:contextualSpacing w:val="0"/>
      </w:pPr>
      <w:r w:rsidRPr="0067154E">
        <w:rPr>
          <w:b/>
          <w:bCs/>
        </w:rPr>
        <w:t>Social:</w:t>
      </w:r>
      <w:r>
        <w:t xml:space="preserve"> Financial viability (from diversification of revenue streams) encourages younger generations to return to rural and remote living and increases on country job opportunities. In some instances, community stakeholders mentioned increased local co-ordination and knowledge sharing between landholders on agricultural productivity and with First Nations on land management practices.</w:t>
      </w:r>
    </w:p>
    <w:p w14:paraId="77AE3765" w14:textId="77777777" w:rsidR="001018CB" w:rsidRDefault="001018CB" w:rsidP="00612D33">
      <w:pPr>
        <w:pStyle w:val="ListParagraph"/>
        <w:numPr>
          <w:ilvl w:val="0"/>
          <w:numId w:val="13"/>
        </w:numPr>
        <w:spacing w:line="257" w:lineRule="auto"/>
        <w:ind w:left="714" w:hanging="357"/>
        <w:contextualSpacing w:val="0"/>
      </w:pPr>
      <w:r w:rsidRPr="0067154E">
        <w:rPr>
          <w:b/>
          <w:bCs/>
        </w:rPr>
        <w:t>Environmental:</w:t>
      </w:r>
      <w:r>
        <w:t xml:space="preserve"> </w:t>
      </w:r>
      <w:r w:rsidR="00FC4018">
        <w:t>better</w:t>
      </w:r>
      <w:r>
        <w:t xml:space="preserve"> management of feral animals, </w:t>
      </w:r>
      <w:r w:rsidR="00FC4018">
        <w:t xml:space="preserve">rehabilitation and protection of key habitat leading to an </w:t>
      </w:r>
      <w:r>
        <w:t xml:space="preserve">increase in </w:t>
      </w:r>
      <w:r w:rsidR="00FC4018">
        <w:t xml:space="preserve">diversity and distribution of </w:t>
      </w:r>
      <w:r>
        <w:t>native species</w:t>
      </w:r>
      <w:r w:rsidR="00FC4018">
        <w:t>.</w:t>
      </w:r>
      <w:r>
        <w:t xml:space="preserve"> For savanna burning projects - reduced late season wildfire.</w:t>
      </w:r>
    </w:p>
    <w:p w14:paraId="71900ED5" w14:textId="0A4E18C0" w:rsidR="001018CB" w:rsidRPr="00915240" w:rsidRDefault="001018CB" w:rsidP="00612D33">
      <w:pPr>
        <w:pStyle w:val="ListParagraph"/>
        <w:numPr>
          <w:ilvl w:val="0"/>
          <w:numId w:val="13"/>
        </w:numPr>
        <w:spacing w:line="257" w:lineRule="auto"/>
        <w:ind w:left="714" w:hanging="357"/>
        <w:contextualSpacing w:val="0"/>
      </w:pPr>
      <w:r w:rsidRPr="0067154E">
        <w:rPr>
          <w:b/>
          <w:bCs/>
        </w:rPr>
        <w:t>Cultural:</w:t>
      </w:r>
      <w:r>
        <w:t xml:space="preserve"> intergenerational transfer of cultural knowledge; reconnection with Country; growing community recognition and interest in cultural land management practices; and increased autonomy to make decisions aligned with cultural responsibilities to care for </w:t>
      </w:r>
      <w:r w:rsidR="006B1058">
        <w:t>C</w:t>
      </w:r>
      <w:r>
        <w:t>ountry.</w:t>
      </w:r>
    </w:p>
    <w:p w14:paraId="3E95E602" w14:textId="77777777" w:rsidR="00E2033F" w:rsidRPr="005B06C3" w:rsidRDefault="00FC4018" w:rsidP="005B06C3">
      <w:pPr>
        <w:pStyle w:val="StyleNormalBody"/>
      </w:pPr>
      <w:r w:rsidRPr="005B06C3">
        <w:t>Increased integration of</w:t>
      </w:r>
      <w:r w:rsidR="00E2033F" w:rsidRPr="005B06C3">
        <w:t xml:space="preserve"> co-benefits, through transparent and verifiable attribution of co-benefits, will result in </w:t>
      </w:r>
      <w:r w:rsidR="005D0131" w:rsidRPr="005B06C3">
        <w:t xml:space="preserve">a </w:t>
      </w:r>
      <w:r w:rsidR="00E2033F" w:rsidRPr="005B06C3">
        <w:t>stronger, more mature, resilient and credible ACCU scheme.</w:t>
      </w:r>
    </w:p>
    <w:p w14:paraId="17A5B278" w14:textId="77777777" w:rsidR="00CF6423" w:rsidRPr="005B06C3" w:rsidRDefault="001018CB" w:rsidP="005B06C3">
      <w:pPr>
        <w:pStyle w:val="StyleNormalBody"/>
      </w:pPr>
      <w:r w:rsidRPr="005B06C3">
        <w:lastRenderedPageBreak/>
        <w:t xml:space="preserve">To facilitate these outcomes, clear, consistent and easily accessible information </w:t>
      </w:r>
      <w:r w:rsidR="00E2033F" w:rsidRPr="005B06C3">
        <w:t xml:space="preserve">on project characteristics </w:t>
      </w:r>
      <w:r w:rsidRPr="005B06C3">
        <w:t xml:space="preserve">is required. </w:t>
      </w:r>
      <w:r w:rsidR="00CF6423" w:rsidRPr="005B06C3">
        <w:t>Proponents who claim</w:t>
      </w:r>
      <w:r w:rsidRPr="005B06C3">
        <w:t xml:space="preserve"> a co-benefit should provide evidence and verification </w:t>
      </w:r>
      <w:r w:rsidR="00CF6423" w:rsidRPr="005B06C3">
        <w:t xml:space="preserve">of co-benefits </w:t>
      </w:r>
      <w:r w:rsidRPr="005B06C3">
        <w:t>to the CER</w:t>
      </w:r>
      <w:r w:rsidR="005A29EF" w:rsidRPr="005B06C3">
        <w:t xml:space="preserve"> </w:t>
      </w:r>
      <w:r w:rsidR="005009A3" w:rsidRPr="005B06C3">
        <w:t xml:space="preserve">before </w:t>
      </w:r>
      <w:r w:rsidR="00CF6423" w:rsidRPr="005B06C3">
        <w:t>they</w:t>
      </w:r>
      <w:r w:rsidR="005009A3" w:rsidRPr="005B06C3">
        <w:t xml:space="preserve"> can be published.</w:t>
      </w:r>
      <w:r w:rsidR="00CF6423" w:rsidRPr="005B06C3">
        <w:t xml:space="preserve"> </w:t>
      </w:r>
    </w:p>
    <w:p w14:paraId="3F0EE6B4" w14:textId="1BD12208" w:rsidR="001018CB" w:rsidRDefault="001018CB" w:rsidP="00BC4B8C">
      <w:pPr>
        <w:pStyle w:val="Heading3"/>
      </w:pPr>
      <w:bookmarkStart w:id="135" w:name="_Toc121818604"/>
      <w:bookmarkStart w:id="136" w:name="_Toc121817718"/>
      <w:r>
        <w:t>Capacity and capability building</w:t>
      </w:r>
      <w:bookmarkEnd w:id="135"/>
      <w:bookmarkEnd w:id="136"/>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1F1720" w14:paraId="014E0420"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560462C5" w14:textId="5BA2964D" w:rsidR="001F1720" w:rsidRPr="001F1720" w:rsidRDefault="001F1720" w:rsidP="006E3361">
            <w:pPr>
              <w:pStyle w:val="Heading4"/>
              <w:outlineLvl w:val="3"/>
              <w:rPr>
                <w:b w:val="0"/>
                <w:bCs/>
                <w:iCs w:val="0"/>
              </w:rPr>
            </w:pPr>
            <w:r w:rsidRPr="006E3361">
              <w:rPr>
                <w:rStyle w:val="Heading4Char"/>
                <w:b/>
              </w:rPr>
              <w:t>Recommendation 1</w:t>
            </w:r>
            <w:r w:rsidR="00B91179" w:rsidRPr="006E3361">
              <w:rPr>
                <w:rStyle w:val="Heading4Char"/>
                <w:b/>
              </w:rPr>
              <w:t>4</w:t>
            </w:r>
            <w:r w:rsidRPr="006E3361">
              <w:rPr>
                <w:rStyle w:val="Heading4Char"/>
                <w:b/>
              </w:rPr>
              <w:t>.</w:t>
            </w:r>
            <w:r w:rsidRPr="001F1720">
              <w:rPr>
                <w:b w:val="0"/>
              </w:rPr>
              <w:t xml:space="preserve"> </w:t>
            </w:r>
            <w:r w:rsidRPr="00B77EB7">
              <w:t>The Australian Government should continue to support the capacity and capability of rural and remote communities, including First Nations Australians, to participate in and benefit from the ACCU scheme.</w:t>
            </w:r>
          </w:p>
        </w:tc>
      </w:tr>
    </w:tbl>
    <w:p w14:paraId="1F5B36A4" w14:textId="59A09580" w:rsidR="008A5365" w:rsidRDefault="008A5365" w:rsidP="008A5365">
      <w:pPr>
        <w:spacing w:before="0" w:after="0"/>
        <w:rPr>
          <w:rFonts w:cstheme="minorHAnsi"/>
        </w:rPr>
      </w:pPr>
      <w:r>
        <w:rPr>
          <w:rFonts w:cstheme="minorHAnsi"/>
        </w:rPr>
        <w:t xml:space="preserve"> </w:t>
      </w: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8A5365" w14:paraId="1C4381C5" w14:textId="77777777" w:rsidTr="008A5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094BFD1C" w14:textId="64D635F6" w:rsidR="008A5365" w:rsidRDefault="008A5365" w:rsidP="008A5365">
            <w:pPr>
              <w:pStyle w:val="KeyFindings"/>
              <w:rPr>
                <w:rStyle w:val="IntenseEmphasis"/>
                <w:b w:val="0"/>
                <w:bCs/>
              </w:rPr>
            </w:pPr>
            <w:r w:rsidRPr="00C372CA">
              <w:rPr>
                <w:rStyle w:val="IntenseEmphasis"/>
              </w:rPr>
              <w:t xml:space="preserve">Key findings </w:t>
            </w:r>
          </w:p>
          <w:p w14:paraId="4339D23F" w14:textId="77777777" w:rsidR="008A5365" w:rsidRPr="009B18E4" w:rsidRDefault="008A5365" w:rsidP="008A5365">
            <w:pPr>
              <w:pStyle w:val="StyleNormalBody"/>
              <w:rPr>
                <w:rStyle w:val="Emphasis"/>
                <w:b w:val="0"/>
                <w:bCs w:val="0"/>
                <w:i w:val="0"/>
                <w:iCs w:val="0"/>
                <w:lang w:val="en-AU"/>
              </w:rPr>
            </w:pPr>
            <w:r w:rsidRPr="009B18E4">
              <w:rPr>
                <w:b w:val="0"/>
                <w:bCs w:val="0"/>
                <w:lang w:val="en-AU"/>
              </w:rPr>
              <w:t>Governments have an important role in education and capacity building to enable greater participation in and access to the benefits of carbon and environmental markets.</w:t>
            </w:r>
          </w:p>
        </w:tc>
      </w:tr>
    </w:tbl>
    <w:p w14:paraId="309F7B2F" w14:textId="2557C9A7" w:rsidR="001018CB" w:rsidRDefault="001018CB" w:rsidP="005B06C3">
      <w:pPr>
        <w:pStyle w:val="StyleNormalBody"/>
      </w:pPr>
      <w:r>
        <w:t xml:space="preserve">There is a need for capability and capacity building across all stakeholders </w:t>
      </w:r>
      <w:r w:rsidR="00EB4492">
        <w:t>with an interest</w:t>
      </w:r>
      <w:r>
        <w:t xml:space="preserve"> in the ACCU scheme. Improvements to</w:t>
      </w:r>
      <w:r w:rsidRPr="002A24FB">
        <w:t xml:space="preserve"> carbon literacy among farmers, </w:t>
      </w:r>
      <w:r>
        <w:t>First Nations</w:t>
      </w:r>
      <w:r w:rsidRPr="002A24FB">
        <w:t xml:space="preserve"> land</w:t>
      </w:r>
      <w:r>
        <w:t xml:space="preserve"> managers</w:t>
      </w:r>
      <w:r w:rsidR="008B313E">
        <w:t>,</w:t>
      </w:r>
      <w:r>
        <w:t xml:space="preserve"> conservationists </w:t>
      </w:r>
      <w:r w:rsidR="008B313E">
        <w:t xml:space="preserve">and other scheme participants </w:t>
      </w:r>
      <w:r>
        <w:t>will support</w:t>
      </w:r>
      <w:r w:rsidRPr="002A24FB">
        <w:t xml:space="preserve"> informed decision</w:t>
      </w:r>
      <w:r>
        <w:t xml:space="preserve"> making.</w:t>
      </w:r>
    </w:p>
    <w:p w14:paraId="71457D5B" w14:textId="77777777" w:rsidR="001018CB" w:rsidRDefault="001018CB" w:rsidP="005B06C3">
      <w:pPr>
        <w:pStyle w:val="StyleNormalBody"/>
      </w:pPr>
      <w:r>
        <w:t xml:space="preserve">Capacity and capability building programs should be appropriate for the target audience and developed in close collaboration with communities. A </w:t>
      </w:r>
      <w:r>
        <w:rPr>
          <w:iCs/>
        </w:rPr>
        <w:t xml:space="preserve">holistic approach that includes, but extends beyond, </w:t>
      </w:r>
      <w:r>
        <w:t>direct support to (potential) scheme</w:t>
      </w:r>
      <w:r w:rsidRPr="00C91207">
        <w:t xml:space="preserve"> </w:t>
      </w:r>
      <w:r>
        <w:t>participants</w:t>
      </w:r>
      <w:r w:rsidRPr="00C91207">
        <w:t xml:space="preserve"> and </w:t>
      </w:r>
      <w:r>
        <w:t>builds</w:t>
      </w:r>
      <w:r w:rsidRPr="00C91207">
        <w:t xml:space="preserve"> expertise and enterprise across the </w:t>
      </w:r>
      <w:r>
        <w:t xml:space="preserve">carbon farming </w:t>
      </w:r>
      <w:r w:rsidRPr="00C91207">
        <w:t>supply chain</w:t>
      </w:r>
      <w:r>
        <w:t xml:space="preserve"> should be prioritised.</w:t>
      </w:r>
    </w:p>
    <w:p w14:paraId="61AC6924" w14:textId="77777777" w:rsidR="00EB4492" w:rsidRDefault="00EB4492" w:rsidP="00EB4492">
      <w:pPr>
        <w:pStyle w:val="StyleNormalBody"/>
      </w:pPr>
      <w:r>
        <w:t>This is especially pertinent to First Nations Australians – resourcing of Native Title Representative Bodies to monitor and support Native Title consent coupled with investment into First Nation led initiatives and enterprise is required to increase participation and agency of First Nations Australians in the ACCU scheme.</w:t>
      </w:r>
    </w:p>
    <w:p w14:paraId="6874F095" w14:textId="25474FD9" w:rsidR="001018CB" w:rsidRDefault="001018CB" w:rsidP="005B06C3">
      <w:pPr>
        <w:pStyle w:val="StyleNormalBody"/>
      </w:pPr>
      <w:r>
        <w:t xml:space="preserve">The Panel notes that aspects of this work could be addressed through the Australian Government’s October 2022 announcement to provide </w:t>
      </w:r>
      <w:r w:rsidRPr="00EB7E4E">
        <w:t xml:space="preserve">$20.3 million over four years for a </w:t>
      </w:r>
      <w:r>
        <w:t xml:space="preserve">Carbon Farming Outreach Program. </w:t>
      </w:r>
    </w:p>
    <w:p w14:paraId="693E8202" w14:textId="77777777" w:rsidR="001018CB" w:rsidRPr="0028769E" w:rsidRDefault="001018CB" w:rsidP="00ED4102">
      <w:pPr>
        <w:pStyle w:val="Heading3"/>
        <w:rPr>
          <w:iCs/>
        </w:rPr>
      </w:pPr>
      <w:bookmarkStart w:id="137" w:name="_Toc121818605"/>
      <w:bookmarkStart w:id="138" w:name="_Toc121817719"/>
      <w:r>
        <w:rPr>
          <w:iCs/>
        </w:rPr>
        <w:t>Supporting regional Australia</w:t>
      </w:r>
      <w:bookmarkEnd w:id="137"/>
      <w:bookmarkEnd w:id="138"/>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8A5365" w14:paraId="4FA3EAF4" w14:textId="77777777" w:rsidTr="008A5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2D066D47" w14:textId="77777777" w:rsidR="008A5365" w:rsidRDefault="008A5365" w:rsidP="008A5365">
            <w:pPr>
              <w:pStyle w:val="KeyFindings"/>
              <w:rPr>
                <w:rStyle w:val="IntenseEmphasis"/>
                <w:b w:val="0"/>
                <w:bCs/>
              </w:rPr>
            </w:pPr>
            <w:r w:rsidRPr="00C372CA">
              <w:rPr>
                <w:rStyle w:val="IntenseEmphasis"/>
              </w:rPr>
              <w:t xml:space="preserve">Key findings </w:t>
            </w:r>
          </w:p>
          <w:p w14:paraId="6A9B0852" w14:textId="77777777" w:rsidR="008A5365" w:rsidRPr="00892D6C" w:rsidRDefault="008A5365" w:rsidP="008A5365">
            <w:pPr>
              <w:pStyle w:val="StyleNormalBody"/>
              <w:spacing w:after="120"/>
              <w:rPr>
                <w:b w:val="0"/>
                <w:bCs w:val="0"/>
              </w:rPr>
            </w:pPr>
            <w:r w:rsidRPr="00892D6C">
              <w:rPr>
                <w:b w:val="0"/>
                <w:bCs w:val="0"/>
              </w:rPr>
              <w:t xml:space="preserve">Carbon farming activities bring benefits to regional Australia through their implementation. </w:t>
            </w:r>
          </w:p>
          <w:p w14:paraId="589B0F39" w14:textId="21477DE1" w:rsidR="008A5365" w:rsidRPr="00892D6C" w:rsidRDefault="008A5365" w:rsidP="008A5365">
            <w:pPr>
              <w:pStyle w:val="StyleNormalBody"/>
              <w:rPr>
                <w:rStyle w:val="Emphasis"/>
                <w:b w:val="0"/>
                <w:bCs w:val="0"/>
                <w:i w:val="0"/>
                <w:iCs w:val="0"/>
              </w:rPr>
            </w:pPr>
            <w:r w:rsidRPr="00892D6C">
              <w:rPr>
                <w:b w:val="0"/>
                <w:bCs w:val="0"/>
              </w:rPr>
              <w:t xml:space="preserve">Consideration should be given to appropriate steps to enhance regional income and </w:t>
            </w:r>
            <w:r w:rsidR="007E017B">
              <w:rPr>
                <w:b w:val="0"/>
                <w:bCs w:val="0"/>
              </w:rPr>
              <w:t xml:space="preserve">business </w:t>
            </w:r>
            <w:r w:rsidRPr="00892D6C">
              <w:rPr>
                <w:b w:val="0"/>
                <w:bCs w:val="0"/>
              </w:rPr>
              <w:t>opportunities</w:t>
            </w:r>
            <w:r w:rsidR="00EF118A">
              <w:rPr>
                <w:b w:val="0"/>
                <w:bCs w:val="0"/>
              </w:rPr>
              <w:t xml:space="preserve"> associated with the scheme</w:t>
            </w:r>
            <w:r w:rsidRPr="00892D6C">
              <w:rPr>
                <w:b w:val="0"/>
                <w:bCs w:val="0"/>
              </w:rPr>
              <w:t>.</w:t>
            </w:r>
          </w:p>
        </w:tc>
      </w:tr>
    </w:tbl>
    <w:p w14:paraId="67F7CF30" w14:textId="7B8530D6" w:rsidR="008F0F53" w:rsidRDefault="008F0F53" w:rsidP="00524FFF">
      <w:pPr>
        <w:pStyle w:val="StyleNormalBody"/>
        <w:spacing w:before="200"/>
      </w:pPr>
      <w:r w:rsidRPr="004434C3">
        <w:t xml:space="preserve">There is an opportunity to foster rural and remote entrepreneurship in areas of project development, monitoring and verification. </w:t>
      </w:r>
    </w:p>
    <w:p w14:paraId="05B7191D" w14:textId="5AF8B5F9" w:rsidR="0060180B" w:rsidRDefault="00CE3AC1" w:rsidP="005B06C3">
      <w:pPr>
        <w:pStyle w:val="StyleNormalBody"/>
      </w:pPr>
      <w:r>
        <w:t xml:space="preserve">Support for </w:t>
      </w:r>
      <w:r w:rsidR="0060180B">
        <w:t>remote and rurally based individuals and enterprise</w:t>
      </w:r>
      <w:r>
        <w:t xml:space="preserve"> to participate in ancillary </w:t>
      </w:r>
      <w:r w:rsidR="0060180B">
        <w:t xml:space="preserve">carbon farming </w:t>
      </w:r>
      <w:r>
        <w:t xml:space="preserve">services, such as monitoring and verification, </w:t>
      </w:r>
      <w:r w:rsidR="0060180B">
        <w:t xml:space="preserve">would </w:t>
      </w:r>
      <w:r>
        <w:t xml:space="preserve">also facilitate regional development goals such as workforce participation, population retention and growth as well as community cohesion. </w:t>
      </w:r>
    </w:p>
    <w:p w14:paraId="24C49B58" w14:textId="552E5447" w:rsidR="008F0F53" w:rsidRDefault="008F0F53" w:rsidP="005B06C3">
      <w:pPr>
        <w:pStyle w:val="StyleNormalBody"/>
      </w:pPr>
      <w:r w:rsidRPr="00FC5A8F">
        <w:lastRenderedPageBreak/>
        <w:t>There would</w:t>
      </w:r>
      <w:r w:rsidR="0060180B">
        <w:t xml:space="preserve"> also</w:t>
      </w:r>
      <w:r w:rsidRPr="00FC5A8F">
        <w:t xml:space="preserve"> be benefit in supporting First Nations Australians to share their expertise and knowledge in cultural land management practices - for example, conducting cultural fire demonstrations and Healthy Country verification services.</w:t>
      </w:r>
    </w:p>
    <w:p w14:paraId="42901A7E" w14:textId="407CA9D4" w:rsidR="00B2481A" w:rsidRDefault="003314ED" w:rsidP="005B06C3">
      <w:pPr>
        <w:pStyle w:val="StyleNormalBody"/>
      </w:pPr>
      <w:r>
        <w:t>These, in turn, support scheme integrity.</w:t>
      </w:r>
    </w:p>
    <w:p w14:paraId="74623707" w14:textId="6F4BEBB5" w:rsidR="003A03D5" w:rsidRPr="003A03D5" w:rsidRDefault="005A491E" w:rsidP="003A03D5">
      <w:pPr>
        <w:pStyle w:val="Heading3"/>
      </w:pPr>
      <w:r>
        <w:t>Recognising and supporting First Nations Australian</w:t>
      </w:r>
      <w:r w:rsidR="00C52BFB">
        <w:t>s</w:t>
      </w:r>
      <w:r>
        <w:t xml:space="preserve"> participation and full contribution</w:t>
      </w: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4E4AAD" w14:paraId="5C59821C" w14:textId="77777777" w:rsidTr="003A03D5">
        <w:tc>
          <w:tcPr>
            <w:tcW w:w="9016" w:type="dxa"/>
            <w:tc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tcBorders>
            <w:shd w:val="clear" w:color="auto" w:fill="BECBD1" w:themeFill="accent1" w:themeFillTint="66"/>
          </w:tcPr>
          <w:p w14:paraId="41E3D46F" w14:textId="6453B469" w:rsidR="004E4AAD" w:rsidRPr="004E4AAD" w:rsidRDefault="004E4AAD" w:rsidP="006E3361">
            <w:pPr>
              <w:pStyle w:val="Heading4"/>
              <w:outlineLvl w:val="3"/>
              <w:rPr>
                <w:b w:val="0"/>
                <w:iCs w:val="0"/>
              </w:rPr>
            </w:pPr>
            <w:r w:rsidRPr="004E4AAD">
              <w:t>Recommendation 1</w:t>
            </w:r>
            <w:r w:rsidR="00B91179" w:rsidRPr="00B77EB7">
              <w:t>5</w:t>
            </w:r>
            <w:r w:rsidRPr="00B77EB7">
              <w:t>: Reforms relating to First Nations Australians’ participation in the ACCU scheme should align with the accepted recommendations of concurrent reviews and reforms.</w:t>
            </w:r>
          </w:p>
        </w:tc>
      </w:tr>
    </w:tbl>
    <w:p w14:paraId="2D5FF3D3" w14:textId="557EE263" w:rsidR="004E4AAD" w:rsidRPr="000D142F" w:rsidRDefault="004E4AAD" w:rsidP="004E4AAD">
      <w:pPr>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0D142F" w14:paraId="3B396176" w14:textId="77777777" w:rsidTr="009F5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43E28098" w14:textId="77777777" w:rsidR="000D142F" w:rsidRDefault="000D142F" w:rsidP="003F67EC">
            <w:pPr>
              <w:pStyle w:val="KeyFindings"/>
              <w:rPr>
                <w:rStyle w:val="IntenseEmphasis"/>
                <w:b w:val="0"/>
                <w:bCs/>
              </w:rPr>
            </w:pPr>
            <w:r w:rsidRPr="00C372CA">
              <w:rPr>
                <w:rStyle w:val="IntenseEmphasis"/>
              </w:rPr>
              <w:t xml:space="preserve">Key findings </w:t>
            </w:r>
          </w:p>
          <w:p w14:paraId="636C1DC2" w14:textId="0287A8D1" w:rsidR="000D142F" w:rsidRDefault="000D142F" w:rsidP="003F67EC">
            <w:pPr>
              <w:pStyle w:val="StyleNormalBody"/>
              <w:rPr>
                <w:lang w:val="en-AU"/>
              </w:rPr>
            </w:pPr>
            <w:r w:rsidRPr="000D142F">
              <w:rPr>
                <w:b w:val="0"/>
                <w:bCs w:val="0"/>
                <w:lang w:val="en-AU"/>
              </w:rPr>
              <w:t xml:space="preserve">The policy, legislative and governance arrangements in place to protect the rights and </w:t>
            </w:r>
            <w:r w:rsidR="006B1058">
              <w:rPr>
                <w:b w:val="0"/>
                <w:bCs w:val="0"/>
                <w:lang w:val="en-AU"/>
              </w:rPr>
              <w:t>interests</w:t>
            </w:r>
            <w:r w:rsidRPr="000D142F">
              <w:rPr>
                <w:b w:val="0"/>
                <w:bCs w:val="0"/>
                <w:lang w:val="en-AU"/>
              </w:rPr>
              <w:t xml:space="preserve"> of First Nations Australians are evolving rapidly. </w:t>
            </w:r>
          </w:p>
          <w:p w14:paraId="45BE93D0" w14:textId="069EAA55" w:rsidR="007E5B88" w:rsidRPr="005A491E" w:rsidRDefault="007E5B88" w:rsidP="003F67EC">
            <w:pPr>
              <w:pStyle w:val="StyleNormalBody"/>
              <w:rPr>
                <w:rStyle w:val="Emphasis"/>
                <w:i w:val="0"/>
              </w:rPr>
            </w:pPr>
            <w:r w:rsidRPr="007E5B88">
              <w:rPr>
                <w:b w:val="0"/>
                <w:bCs w:val="0"/>
              </w:rPr>
              <w:t>First Nations Australians have unique expertise in cultural land management practices and can make a distinctive contribution to carbon markets, community and environmental outcomes.</w:t>
            </w:r>
          </w:p>
        </w:tc>
      </w:tr>
    </w:tbl>
    <w:p w14:paraId="5FF54C34" w14:textId="77777777" w:rsidR="004E2DAA" w:rsidRPr="00423B2D" w:rsidRDefault="004E2DAA" w:rsidP="00524FFF">
      <w:pPr>
        <w:pStyle w:val="StyleNormalBody"/>
        <w:spacing w:before="200"/>
      </w:pPr>
      <w:r w:rsidRPr="00423B2D">
        <w:t xml:space="preserve">First Nations Australians hold deep knowledge and understanding of Healthy Country, informed by thousands of years of observation and stewardship of local ecosystems, and passed down through many generations. Australia can benefit greatly from integrating First Nations knowledge into the context of the ACCU scheme. </w:t>
      </w:r>
    </w:p>
    <w:p w14:paraId="60794B98" w14:textId="18039D29" w:rsidR="004E2DAA" w:rsidRDefault="004E2DAA" w:rsidP="00423B2D">
      <w:pPr>
        <w:pStyle w:val="StyleNormalBody"/>
      </w:pPr>
      <w:r>
        <w:t xml:space="preserve">A number of existing </w:t>
      </w:r>
      <w:r w:rsidR="00843273">
        <w:t>processes</w:t>
      </w:r>
      <w:r>
        <w:t xml:space="preserve">, including the </w:t>
      </w:r>
      <w:r w:rsidR="00843273">
        <w:t>Australian Government’s response to</w:t>
      </w:r>
      <w:r>
        <w:t xml:space="preserve"> the Samuel Independent Review of the EPBC Act</w:t>
      </w:r>
      <w:r>
        <w:rPr>
          <w:rStyle w:val="FootnoteReference"/>
        </w:rPr>
        <w:footnoteReference w:id="38"/>
      </w:r>
      <w:r>
        <w:t xml:space="preserve"> and the Final Report into the Destruction of Indigenous Heritage Sites at Juukan Gorge</w:t>
      </w:r>
      <w:r>
        <w:rPr>
          <w:rStyle w:val="FootnoteReference"/>
        </w:rPr>
        <w:footnoteReference w:id="39"/>
      </w:r>
      <w:r>
        <w:t xml:space="preserve">, make recommendations to enhance the rights and </w:t>
      </w:r>
      <w:r w:rsidR="006B1058">
        <w:t>interests</w:t>
      </w:r>
      <w:r>
        <w:t xml:space="preserve"> of First Nations Australians.</w:t>
      </w:r>
    </w:p>
    <w:p w14:paraId="2855E4DB" w14:textId="582A8706" w:rsidR="004E2DAA" w:rsidRDefault="004E2DAA" w:rsidP="00423B2D">
      <w:pPr>
        <w:pStyle w:val="StyleNormalBody"/>
      </w:pPr>
      <w:r>
        <w:t>The policy, legislative and governance arrangements relevant to the participation of First Nations Australians in the ACCU scheme</w:t>
      </w:r>
      <w:r w:rsidRPr="004A3EFC">
        <w:t xml:space="preserve"> </w:t>
      </w:r>
      <w:r>
        <w:t xml:space="preserve">should be consistent with the accepted recommendations of concurrent reviews and reforms. </w:t>
      </w:r>
      <w:r w:rsidR="0057725F">
        <w:t>This</w:t>
      </w:r>
      <w:r w:rsidR="00843273">
        <w:t xml:space="preserve"> include</w:t>
      </w:r>
      <w:r>
        <w:t xml:space="preserve"> the National Agreement on Closing the Gap</w:t>
      </w:r>
      <w:r w:rsidR="00843273">
        <w:t xml:space="preserve"> and</w:t>
      </w:r>
      <w:r>
        <w:t xml:space="preserve"> the Council of Australian Government</w:t>
      </w:r>
      <w:r w:rsidR="000E6DE8">
        <w:t>’</w:t>
      </w:r>
      <w:r>
        <w:t>s commitments in the Partnership Agreement for Closing the Gap.</w:t>
      </w:r>
    </w:p>
    <w:p w14:paraId="02DADD32" w14:textId="1A151A81" w:rsidR="005A491E" w:rsidRDefault="005A491E" w:rsidP="005A491E">
      <w:pPr>
        <w:pStyle w:val="Heading3"/>
      </w:pPr>
      <w:bookmarkStart w:id="139" w:name="_Toc121818606"/>
      <w:bookmarkStart w:id="140" w:name="_Toc121817720"/>
      <w:r>
        <w:t>Co-ordination and consistency</w:t>
      </w:r>
      <w:bookmarkEnd w:id="139"/>
      <w:bookmarkEnd w:id="140"/>
      <w:r w:rsidR="005713FF">
        <w:t xml:space="preserve"> across jurisdictions and processes</w:t>
      </w:r>
    </w:p>
    <w:p w14:paraId="55F35DD1" w14:textId="77777777" w:rsidR="00423B2D" w:rsidRPr="00423B2D" w:rsidRDefault="00423B2D" w:rsidP="004E2DAA">
      <w:pPr>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5A491E" w14:paraId="76003038"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single" w:sz="8" w:space="0" w:color="006266"/>
            </w:tcBorders>
            <w:vAlign w:val="center"/>
          </w:tcPr>
          <w:p w14:paraId="6F6B4C8D" w14:textId="77777777" w:rsidR="005A491E" w:rsidRDefault="005A491E" w:rsidP="004507DD">
            <w:pPr>
              <w:pStyle w:val="KeyFindings"/>
              <w:rPr>
                <w:rStyle w:val="IntenseEmphasis"/>
                <w:b w:val="0"/>
                <w:bCs/>
              </w:rPr>
            </w:pPr>
            <w:r w:rsidRPr="00C372CA">
              <w:rPr>
                <w:rStyle w:val="IntenseEmphasis"/>
              </w:rPr>
              <w:t xml:space="preserve">Key findings </w:t>
            </w:r>
          </w:p>
          <w:p w14:paraId="2FAC09C9" w14:textId="77777777" w:rsidR="005A491E" w:rsidRPr="007E5B88" w:rsidRDefault="005A491E" w:rsidP="004507DD">
            <w:pPr>
              <w:pStyle w:val="StyleNormalBody"/>
              <w:rPr>
                <w:rStyle w:val="Emphasis"/>
                <w:b w:val="0"/>
                <w:bCs w:val="0"/>
                <w:i w:val="0"/>
                <w:iCs w:val="0"/>
              </w:rPr>
            </w:pPr>
            <w:r w:rsidRPr="00423B2D">
              <w:rPr>
                <w:b w:val="0"/>
                <w:bCs w:val="0"/>
                <w:lang w:val="en-AU"/>
              </w:rPr>
              <w:t>Improving coordination and consistency between local, state and federal governments would support positive economic, social and environmental outcomes.</w:t>
            </w:r>
          </w:p>
        </w:tc>
      </w:tr>
    </w:tbl>
    <w:p w14:paraId="4A4AEE9C" w14:textId="383FC534" w:rsidR="001018CB" w:rsidRDefault="001018CB" w:rsidP="00423B2D">
      <w:pPr>
        <w:pStyle w:val="StyleNormalBody"/>
      </w:pPr>
      <w:r w:rsidRPr="00AE17F9">
        <w:t>Greater connectivity</w:t>
      </w:r>
      <w:r>
        <w:t xml:space="preserve"> and coordination</w:t>
      </w:r>
      <w:r w:rsidRPr="00AE17F9">
        <w:t xml:space="preserve"> between </w:t>
      </w:r>
      <w:r>
        <w:t>federal</w:t>
      </w:r>
      <w:r w:rsidRPr="00AE17F9">
        <w:t>, state and local governments would support integration of regional and state policies and progra</w:t>
      </w:r>
      <w:r>
        <w:t>ms and</w:t>
      </w:r>
      <w:r w:rsidRPr="00AE17F9">
        <w:t xml:space="preserve"> optimise economic, social and environmental (including biodiversity) </w:t>
      </w:r>
      <w:r>
        <w:t>outcomes.</w:t>
      </w:r>
    </w:p>
    <w:p w14:paraId="37B0C4F8" w14:textId="1B500885" w:rsidR="001018CB" w:rsidRPr="00AE17F9" w:rsidRDefault="001018CB" w:rsidP="00423B2D">
      <w:pPr>
        <w:pStyle w:val="StyleNormalBody"/>
      </w:pPr>
      <w:r>
        <w:t>Harmonising standards, regulations and laws across jurisdictions increases certainty and supports integrity within the scheme</w:t>
      </w:r>
      <w:r w:rsidR="008D3E16">
        <w:t xml:space="preserve"> –</w:t>
      </w:r>
      <w:r>
        <w:t xml:space="preserve"> </w:t>
      </w:r>
      <w:r w:rsidRPr="00AE17F9">
        <w:t>state and local governments</w:t>
      </w:r>
      <w:r>
        <w:t xml:space="preserve"> have local knowledge and expertise </w:t>
      </w:r>
      <w:r w:rsidRPr="00AE17F9">
        <w:t xml:space="preserve">to </w:t>
      </w:r>
      <w:r w:rsidRPr="00AE17F9">
        <w:lastRenderedPageBreak/>
        <w:t>guide, advise and coordinate</w:t>
      </w:r>
      <w:r>
        <w:t xml:space="preserve"> </w:t>
      </w:r>
      <w:r w:rsidRPr="00AE17F9">
        <w:t>ACCU projects</w:t>
      </w:r>
      <w:r w:rsidR="001B648E">
        <w:t>,</w:t>
      </w:r>
      <w:r>
        <w:t xml:space="preserve"> </w:t>
      </w:r>
      <w:r w:rsidR="001B648E">
        <w:t>in line</w:t>
      </w:r>
      <w:r w:rsidRPr="00AE17F9">
        <w:t xml:space="preserve"> with regional plans</w:t>
      </w:r>
      <w:r w:rsidR="001B648E">
        <w:t>,</w:t>
      </w:r>
      <w:r>
        <w:t xml:space="preserve"> </w:t>
      </w:r>
      <w:r w:rsidR="001B648E">
        <w:t>to</w:t>
      </w:r>
      <w:r>
        <w:t xml:space="preserve"> maximise beneficial outcomes</w:t>
      </w:r>
      <w:r w:rsidR="001B648E">
        <w:t xml:space="preserve"> from carbon abatement</w:t>
      </w:r>
      <w:r>
        <w:t>.</w:t>
      </w:r>
    </w:p>
    <w:p w14:paraId="0D81B449" w14:textId="71CD6D60" w:rsidR="00254756" w:rsidRDefault="00843273" w:rsidP="002C191C">
      <w:pPr>
        <w:pStyle w:val="StyleNormalBody"/>
      </w:pPr>
      <w:r>
        <w:t>There would</w:t>
      </w:r>
      <w:r w:rsidR="002632DA">
        <w:t xml:space="preserve"> be </w:t>
      </w:r>
      <w:r>
        <w:t>benefits from coordinating ac</w:t>
      </w:r>
      <w:r w:rsidR="005713FF">
        <w:t>tions arising from</w:t>
      </w:r>
      <w:r w:rsidR="002632DA">
        <w:t xml:space="preserve"> concurrent reviews, consultations and new initiatives the</w:t>
      </w:r>
      <w:r w:rsidR="002632DA" w:rsidRPr="00AE17F9">
        <w:t xml:space="preserve"> government is undertaking. </w:t>
      </w:r>
      <w:bookmarkStart w:id="141" w:name="_Toc121818607"/>
      <w:bookmarkStart w:id="142" w:name="_Toc121817721"/>
      <w:bookmarkStart w:id="143" w:name="_Toc122339758"/>
    </w:p>
    <w:p w14:paraId="70E9FE19" w14:textId="77777777" w:rsidR="005A6F4E" w:rsidRPr="005713FF" w:rsidRDefault="005A6F4E" w:rsidP="002C191C">
      <w:pPr>
        <w:pStyle w:val="StyleNormalBody"/>
      </w:pPr>
    </w:p>
    <w:p w14:paraId="5BB3C6E1" w14:textId="5EB2D427" w:rsidR="001018CB" w:rsidRDefault="001018CB" w:rsidP="001018CB">
      <w:pPr>
        <w:pStyle w:val="Heading1"/>
      </w:pPr>
      <w:bookmarkStart w:id="144" w:name="_Toc122348045"/>
      <w:bookmarkStart w:id="145" w:name="_Toc122359811"/>
      <w:bookmarkStart w:id="146" w:name="_Toc122360792"/>
      <w:bookmarkStart w:id="147" w:name="_Toc122523011"/>
      <w:r>
        <w:t xml:space="preserve">Part </w:t>
      </w:r>
      <w:r w:rsidR="00D71BBD">
        <w:t>7</w:t>
      </w:r>
      <w:r>
        <w:t>. The Climate Active initiative</w:t>
      </w:r>
      <w:bookmarkEnd w:id="141"/>
      <w:bookmarkEnd w:id="142"/>
      <w:bookmarkEnd w:id="143"/>
      <w:bookmarkEnd w:id="144"/>
      <w:bookmarkEnd w:id="145"/>
      <w:bookmarkEnd w:id="146"/>
      <w:bookmarkEnd w:id="147"/>
    </w:p>
    <w:tbl>
      <w:tblPr>
        <w:tblStyle w:val="TableGridLight"/>
        <w:tblW w:w="9072" w:type="dxa"/>
        <w:tblInd w:w="-5" w:type="dxa"/>
        <w:tblBorders>
          <w:left w:val="single" w:sz="4" w:space="0" w:color="BECBD1" w:themeColor="accent1" w:themeTint="66"/>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72"/>
      </w:tblGrid>
      <w:tr w:rsidR="00D96BBF" w14:paraId="0B51C920" w14:textId="77777777" w:rsidTr="003F67EC">
        <w:trPr>
          <w:trHeight w:val="1353"/>
        </w:trPr>
        <w:tc>
          <w:tcPr>
            <w:tcW w:w="9072" w:type="dxa"/>
            <w:tcBorders>
              <w:top w:val="thinThickLargeGap" w:sz="8" w:space="0" w:color="617E89" w:themeColor="accent1"/>
              <w:left w:val="nil"/>
              <w:bottom w:val="single" w:sz="4" w:space="0" w:color="617E89" w:themeColor="accent1"/>
              <w:right w:val="nil"/>
            </w:tcBorders>
          </w:tcPr>
          <w:p w14:paraId="11CF5A0D" w14:textId="77777777" w:rsidR="00B452AA" w:rsidRDefault="00B452AA" w:rsidP="003F67EC">
            <w:pPr>
              <w:pStyle w:val="Heading4"/>
              <w:outlineLvl w:val="3"/>
            </w:pPr>
            <w:r>
              <w:t>Terms of Reference</w:t>
            </w:r>
          </w:p>
          <w:p w14:paraId="613A136B" w14:textId="77777777" w:rsidR="00B452AA" w:rsidRDefault="00B452AA" w:rsidP="00612D33">
            <w:pPr>
              <w:pStyle w:val="ListParagraph"/>
              <w:numPr>
                <w:ilvl w:val="0"/>
                <w:numId w:val="30"/>
              </w:numPr>
              <w:spacing w:before="80" w:after="0"/>
            </w:pPr>
            <w:r w:rsidRPr="0025257B">
              <w:t>The broader impacts of activities incentivised under Australia’s carbon crediting framework including:</w:t>
            </w:r>
          </w:p>
          <w:p w14:paraId="530BEB61" w14:textId="79DB21CD" w:rsidR="00B452AA" w:rsidRPr="003F3B34" w:rsidRDefault="00B452AA" w:rsidP="00612D33">
            <w:pPr>
              <w:pStyle w:val="ListParagraph"/>
              <w:numPr>
                <w:ilvl w:val="0"/>
                <w:numId w:val="29"/>
              </w:numPr>
              <w:spacing w:before="80" w:after="0"/>
            </w:pPr>
            <w:r w:rsidRPr="00B452AA">
              <w:rPr>
                <w:bCs/>
              </w:rPr>
              <w:t>requirements for the use of ACCUs under Climate Active.</w:t>
            </w:r>
          </w:p>
        </w:tc>
      </w:tr>
    </w:tbl>
    <w:p w14:paraId="711D72F0" w14:textId="41B8A708" w:rsidR="00B452AA" w:rsidRPr="009A468B" w:rsidRDefault="00B452AA" w:rsidP="001018CB">
      <w:pPr>
        <w:rPr>
          <w:sz w:val="2"/>
          <w:szCs w:val="2"/>
        </w:rPr>
      </w:pPr>
    </w:p>
    <w:tbl>
      <w:tblPr>
        <w:tblStyle w:val="TableGridLight"/>
        <w:tblW w:w="0" w:type="auto"/>
        <w:shd w:val="clear" w:color="auto" w:fill="BECBD1" w:themeFill="accent1" w:themeFillTint="66"/>
        <w:tblCellMar>
          <w:top w:w="142" w:type="dxa"/>
          <w:left w:w="198" w:type="dxa"/>
          <w:bottom w:w="142" w:type="dxa"/>
          <w:right w:w="198" w:type="dxa"/>
        </w:tblCellMar>
        <w:tblLook w:val="04A0" w:firstRow="1" w:lastRow="0" w:firstColumn="1" w:lastColumn="0" w:noHBand="0" w:noVBand="1"/>
      </w:tblPr>
      <w:tblGrid>
        <w:gridCol w:w="9016"/>
      </w:tblGrid>
      <w:tr w:rsidR="009A468B" w14:paraId="1550C92B" w14:textId="77777777" w:rsidTr="00E22CFD">
        <w:tc>
          <w:tcPr>
            <w:tcW w:w="9016" w:type="dxa"/>
            <w:tc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tcBorders>
            <w:shd w:val="clear" w:color="auto" w:fill="BECBD1" w:themeFill="accent1" w:themeFillTint="66"/>
          </w:tcPr>
          <w:p w14:paraId="513FBD5F" w14:textId="591A50DE" w:rsidR="009A468B" w:rsidRPr="009A468B" w:rsidRDefault="009A468B" w:rsidP="006E3361">
            <w:pPr>
              <w:pStyle w:val="Heading4"/>
              <w:outlineLvl w:val="3"/>
              <w:rPr>
                <w:b w:val="0"/>
                <w:bCs/>
                <w:iCs w:val="0"/>
              </w:rPr>
            </w:pPr>
            <w:r w:rsidRPr="009A468B">
              <w:t>Recommendation 1</w:t>
            </w:r>
            <w:r w:rsidR="00B91179">
              <w:rPr>
                <w:bCs/>
              </w:rPr>
              <w:t>6</w:t>
            </w:r>
            <w:r w:rsidRPr="00B77EB7">
              <w:t xml:space="preserve">. The mandatory </w:t>
            </w:r>
            <w:r w:rsidR="00BC07E6" w:rsidRPr="00B77EB7">
              <w:t xml:space="preserve">requirement for Climate Active organisations to use a </w:t>
            </w:r>
            <w:r w:rsidRPr="00B77EB7">
              <w:t xml:space="preserve">minimum 20 per cent ACCU </w:t>
            </w:r>
            <w:r w:rsidR="00BC07E6" w:rsidRPr="00B77EB7">
              <w:t xml:space="preserve">to achieve their emissions offsets </w:t>
            </w:r>
            <w:r w:rsidRPr="00B77EB7">
              <w:t>should not come into effect.</w:t>
            </w:r>
          </w:p>
        </w:tc>
      </w:tr>
    </w:tbl>
    <w:p w14:paraId="56FA0933" w14:textId="77777777" w:rsidR="009A468B" w:rsidRPr="001F439B" w:rsidRDefault="009A468B" w:rsidP="001018CB">
      <w:pPr>
        <w:rPr>
          <w:sz w:val="2"/>
          <w:szCs w:val="2"/>
        </w:rPr>
      </w:pPr>
    </w:p>
    <w:tbl>
      <w:tblPr>
        <w:tblStyle w:val="GridTable1Light-Accent1"/>
        <w:tblW w:w="0" w:type="auto"/>
        <w:tblBorders>
          <w:bottom w:val="single" w:sz="12" w:space="0" w:color="9EB2BA" w:themeColor="accent1" w:themeTint="99"/>
          <w:insideH w:val="none" w:sz="0" w:space="0" w:color="auto"/>
          <w:insideV w:val="none" w:sz="0" w:space="0" w:color="auto"/>
        </w:tblBorders>
        <w:tblCellMar>
          <w:top w:w="142" w:type="dxa"/>
          <w:left w:w="198" w:type="dxa"/>
          <w:bottom w:w="142" w:type="dxa"/>
          <w:right w:w="198" w:type="dxa"/>
        </w:tblCellMar>
        <w:tblLook w:val="04A0" w:firstRow="1" w:lastRow="0" w:firstColumn="1" w:lastColumn="0" w:noHBand="0" w:noVBand="1"/>
      </w:tblPr>
      <w:tblGrid>
        <w:gridCol w:w="9016"/>
      </w:tblGrid>
      <w:tr w:rsidR="00C51995" w14:paraId="624D6A3B" w14:textId="77777777" w:rsidTr="00450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2" w:space="0" w:color="617E89" w:themeColor="accent1"/>
              <w:left w:val="single" w:sz="2" w:space="0" w:color="617E89" w:themeColor="accent1"/>
              <w:bottom w:val="single" w:sz="8" w:space="0" w:color="006266"/>
              <w:right w:val="single" w:sz="2" w:space="0" w:color="617E89" w:themeColor="accent1"/>
            </w:tcBorders>
            <w:vAlign w:val="center"/>
          </w:tcPr>
          <w:p w14:paraId="524D31A4" w14:textId="77777777" w:rsidR="00C51995" w:rsidRDefault="00C51995" w:rsidP="004507DD">
            <w:pPr>
              <w:pStyle w:val="KeyFindings"/>
              <w:rPr>
                <w:rStyle w:val="IntenseEmphasis"/>
                <w:b w:val="0"/>
                <w:bCs/>
              </w:rPr>
            </w:pPr>
            <w:r w:rsidRPr="00C372CA">
              <w:rPr>
                <w:rStyle w:val="IntenseEmphasis"/>
              </w:rPr>
              <w:t xml:space="preserve">Key findings </w:t>
            </w:r>
          </w:p>
          <w:p w14:paraId="7676473A" w14:textId="77777777" w:rsidR="00C51995" w:rsidRPr="004B423D" w:rsidRDefault="00C51995" w:rsidP="004507DD">
            <w:pPr>
              <w:pStyle w:val="StyleNormalBody"/>
              <w:rPr>
                <w:b w:val="0"/>
                <w:bCs w:val="0"/>
              </w:rPr>
            </w:pPr>
            <w:r w:rsidRPr="004B423D">
              <w:rPr>
                <w:b w:val="0"/>
                <w:bCs w:val="0"/>
              </w:rPr>
              <w:t>Organisations accredited through Climate Active</w:t>
            </w:r>
            <w:r>
              <w:rPr>
                <w:b w:val="0"/>
                <w:bCs w:val="0"/>
              </w:rPr>
              <w:t>’s voluntary carbon neutral certification program</w:t>
            </w:r>
            <w:r w:rsidRPr="004B423D">
              <w:rPr>
                <w:b w:val="0"/>
                <w:bCs w:val="0"/>
              </w:rPr>
              <w:t xml:space="preserve"> are able to use ACCUs to offset their emissions</w:t>
            </w:r>
            <w:r>
              <w:rPr>
                <w:b w:val="0"/>
                <w:bCs w:val="0"/>
              </w:rPr>
              <w:t xml:space="preserve">. </w:t>
            </w:r>
          </w:p>
          <w:p w14:paraId="3297766E" w14:textId="77777777" w:rsidR="00C51995" w:rsidRPr="004B423D" w:rsidRDefault="00C51995" w:rsidP="004507DD">
            <w:pPr>
              <w:pStyle w:val="StyleNormalBody"/>
              <w:rPr>
                <w:b w:val="0"/>
                <w:bCs w:val="0"/>
              </w:rPr>
            </w:pPr>
            <w:r w:rsidRPr="004B423D">
              <w:rPr>
                <w:b w:val="0"/>
                <w:bCs w:val="0"/>
              </w:rPr>
              <w:t xml:space="preserve">The introduction of a mandatory requirement to use ACCUs </w:t>
            </w:r>
            <w:r>
              <w:rPr>
                <w:b w:val="0"/>
                <w:bCs w:val="0"/>
              </w:rPr>
              <w:t xml:space="preserve">is </w:t>
            </w:r>
            <w:r w:rsidRPr="004B423D">
              <w:rPr>
                <w:b w:val="0"/>
                <w:bCs w:val="0"/>
              </w:rPr>
              <w:t xml:space="preserve">inconsistent with the </w:t>
            </w:r>
            <w:r>
              <w:rPr>
                <w:b w:val="0"/>
                <w:bCs w:val="0"/>
              </w:rPr>
              <w:t xml:space="preserve">flexibility that is </w:t>
            </w:r>
            <w:r w:rsidRPr="004B423D">
              <w:rPr>
                <w:b w:val="0"/>
                <w:bCs w:val="0"/>
              </w:rPr>
              <w:t xml:space="preserve">central </w:t>
            </w:r>
            <w:r>
              <w:rPr>
                <w:b w:val="0"/>
                <w:bCs w:val="0"/>
              </w:rPr>
              <w:t xml:space="preserve">to the </w:t>
            </w:r>
            <w:r w:rsidRPr="004B423D">
              <w:rPr>
                <w:b w:val="0"/>
                <w:bCs w:val="0"/>
              </w:rPr>
              <w:t xml:space="preserve">intent and purpose of the Climate Active program. </w:t>
            </w:r>
          </w:p>
          <w:p w14:paraId="77A72543" w14:textId="77777777" w:rsidR="00C51995" w:rsidRPr="007E5B88" w:rsidRDefault="00C51995" w:rsidP="004507DD">
            <w:pPr>
              <w:pStyle w:val="StyleNormalBody"/>
              <w:rPr>
                <w:rStyle w:val="Emphasis"/>
                <w:b w:val="0"/>
                <w:bCs w:val="0"/>
                <w:i w:val="0"/>
                <w:iCs w:val="0"/>
              </w:rPr>
            </w:pPr>
            <w:r w:rsidRPr="004B423D">
              <w:rPr>
                <w:rFonts w:ascii="Calibri" w:hAnsi="Calibri"/>
                <w:b w:val="0"/>
                <w:bCs w:val="0"/>
              </w:rPr>
              <w:t xml:space="preserve">It is likely that the mandatory requirement will be cost-prohibitive for some organisations, </w:t>
            </w:r>
            <w:r>
              <w:rPr>
                <w:rFonts w:ascii="Calibri" w:hAnsi="Calibri"/>
                <w:b w:val="0"/>
                <w:bCs w:val="0"/>
              </w:rPr>
              <w:t>which</w:t>
            </w:r>
            <w:r w:rsidRPr="004B423D">
              <w:rPr>
                <w:rFonts w:ascii="Calibri" w:hAnsi="Calibri"/>
                <w:b w:val="0"/>
                <w:bCs w:val="0"/>
              </w:rPr>
              <w:t xml:space="preserve"> will choose or be forced to leave the Climate Active scheme.</w:t>
            </w:r>
          </w:p>
        </w:tc>
      </w:tr>
    </w:tbl>
    <w:p w14:paraId="28785A6E" w14:textId="1BAC42BB" w:rsidR="001018CB" w:rsidRDefault="001018CB" w:rsidP="00C9360A">
      <w:pPr>
        <w:spacing w:before="200"/>
      </w:pPr>
      <w:r>
        <w:t xml:space="preserve">Climate Active is a voluntary Australian Government certification program for businesses that have credibly reached a state of carbon neutrality by measuring, reducing and offsetting their carbon emissions. Participants </w:t>
      </w:r>
      <w:r w:rsidR="00D946E6">
        <w:t>can</w:t>
      </w:r>
      <w:r>
        <w:t xml:space="preserve"> use offsets from a variety of source including ACCUs, and international units such as Certified Emissions Reductions (CERs), Verified Emissions Reductions (VERs) issued by the Gold Standard, and Verified Carbon Units (VCUs) issued by the Verified Carbon Standard.</w:t>
      </w:r>
    </w:p>
    <w:p w14:paraId="2C31F43F" w14:textId="780FB32D" w:rsidR="001018CB" w:rsidRDefault="001018CB" w:rsidP="001018CB">
      <w:r w:rsidRPr="00E25970">
        <w:t xml:space="preserve">Climate Active accreditation requirements have been changed to require a minimum 20 per cent use of ACCUs for offsetting emissions, which will come into effect </w:t>
      </w:r>
      <w:r>
        <w:t>from</w:t>
      </w:r>
      <w:r w:rsidRPr="00E25970">
        <w:t xml:space="preserve"> July 2023 or </w:t>
      </w:r>
      <w:r>
        <w:t xml:space="preserve">July </w:t>
      </w:r>
      <w:r w:rsidRPr="00E25970">
        <w:t xml:space="preserve">2024 depending on the size of the </w:t>
      </w:r>
      <w:r>
        <w:t>certification</w:t>
      </w:r>
      <w:r w:rsidRPr="00E25970">
        <w:t>.</w:t>
      </w:r>
    </w:p>
    <w:p w14:paraId="0D59C81A" w14:textId="77777777" w:rsidR="00AF583E" w:rsidRPr="00AF583E" w:rsidRDefault="00AF583E" w:rsidP="001018CB">
      <w:pPr>
        <w:rPr>
          <w:sz w:val="2"/>
          <w:szCs w:val="2"/>
        </w:rPr>
      </w:pPr>
    </w:p>
    <w:p w14:paraId="293DFB86" w14:textId="77777777" w:rsidR="001018CB" w:rsidRDefault="001018CB" w:rsidP="001018CB"/>
    <w:p w14:paraId="448D4091" w14:textId="77777777" w:rsidR="003A03D5" w:rsidRDefault="003A03D5">
      <w:pPr>
        <w:spacing w:before="0" w:after="160" w:line="259" w:lineRule="auto"/>
        <w:rPr>
          <w:rFonts w:eastAsiaTheme="majorEastAsia" w:cstheme="majorBidi"/>
          <w:b/>
          <w:color w:val="006266"/>
          <w:sz w:val="25"/>
          <w:szCs w:val="32"/>
        </w:rPr>
      </w:pPr>
      <w:bookmarkStart w:id="148" w:name="_Toc121818608"/>
      <w:bookmarkStart w:id="149" w:name="_Toc121817722"/>
      <w:r>
        <w:br w:type="page"/>
      </w:r>
    </w:p>
    <w:p w14:paraId="76FBD5DC" w14:textId="77777777" w:rsidR="00461A37" w:rsidRDefault="00461A37" w:rsidP="00376276">
      <w:pPr>
        <w:pStyle w:val="Heading1"/>
        <w:sectPr w:rsidR="00461A37" w:rsidSect="00521F8E">
          <w:headerReference w:type="even" r:id="rId35"/>
          <w:headerReference w:type="default" r:id="rId36"/>
          <w:headerReference w:type="first" r:id="rId37"/>
          <w:pgSz w:w="11906" w:h="16838" w:code="9"/>
          <w:pgMar w:top="1134" w:right="1440" w:bottom="1134" w:left="1440" w:header="680" w:footer="567" w:gutter="0"/>
          <w:pgBorders w:offsetFrom="page">
            <w:top w:val="single" w:sz="2" w:space="24" w:color="D5D5D5" w:themeColor="background2"/>
            <w:left w:val="single" w:sz="2" w:space="24" w:color="D5D5D5" w:themeColor="background2"/>
            <w:bottom w:val="single" w:sz="2" w:space="24" w:color="D5D5D5" w:themeColor="background2"/>
            <w:right w:val="single" w:sz="2" w:space="24" w:color="D5D5D5" w:themeColor="background2"/>
          </w:pgBorders>
          <w:cols w:space="708"/>
          <w:titlePg/>
          <w:docGrid w:linePitch="360"/>
        </w:sectPr>
      </w:pPr>
      <w:bookmarkStart w:id="150" w:name="_Ref122276698"/>
    </w:p>
    <w:p w14:paraId="40BADC21" w14:textId="0FDD40B7" w:rsidR="001018CB" w:rsidRPr="00EA6741" w:rsidRDefault="001018CB" w:rsidP="00EA6741">
      <w:pPr>
        <w:pStyle w:val="Heading1"/>
        <w:spacing w:before="120"/>
        <w:rPr>
          <w:sz w:val="23"/>
          <w:szCs w:val="23"/>
        </w:rPr>
      </w:pPr>
      <w:bookmarkStart w:id="151" w:name="_Toc122339760"/>
      <w:bookmarkStart w:id="152" w:name="_Toc122348047"/>
      <w:bookmarkStart w:id="153" w:name="_Ref122358871"/>
      <w:bookmarkStart w:id="154" w:name="_Toc122359813"/>
      <w:bookmarkStart w:id="155" w:name="_Toc122360793"/>
      <w:bookmarkStart w:id="156" w:name="_Toc122523012"/>
      <w:r w:rsidRPr="00EA6741">
        <w:rPr>
          <w:sz w:val="23"/>
          <w:szCs w:val="23"/>
        </w:rPr>
        <w:lastRenderedPageBreak/>
        <w:t xml:space="preserve">Appendix </w:t>
      </w:r>
      <w:bookmarkEnd w:id="148"/>
      <w:bookmarkEnd w:id="149"/>
      <w:r w:rsidR="009B7C64" w:rsidRPr="00EA6741">
        <w:rPr>
          <w:sz w:val="23"/>
          <w:szCs w:val="23"/>
        </w:rPr>
        <w:t>A</w:t>
      </w:r>
      <w:bookmarkEnd w:id="150"/>
      <w:bookmarkEnd w:id="151"/>
      <w:bookmarkEnd w:id="152"/>
      <w:bookmarkEnd w:id="153"/>
      <w:bookmarkEnd w:id="154"/>
      <w:bookmarkEnd w:id="155"/>
      <w:bookmarkEnd w:id="156"/>
    </w:p>
    <w:p w14:paraId="5B9BB37B" w14:textId="7E702D95" w:rsidR="001018CB" w:rsidRPr="00EA6741" w:rsidRDefault="001018CB" w:rsidP="00EA6741">
      <w:pPr>
        <w:pStyle w:val="Heading1"/>
        <w:spacing w:before="120"/>
        <w:rPr>
          <w:b w:val="0"/>
          <w:bCs/>
          <w:sz w:val="23"/>
          <w:szCs w:val="23"/>
        </w:rPr>
      </w:pPr>
      <w:bookmarkStart w:id="157" w:name="_Toc122339761"/>
      <w:bookmarkStart w:id="158" w:name="_Toc122348048"/>
      <w:bookmarkStart w:id="159" w:name="_Toc122359814"/>
      <w:bookmarkStart w:id="160" w:name="_Toc122360794"/>
      <w:bookmarkStart w:id="161" w:name="_Toc122523013"/>
      <w:r w:rsidRPr="00EA6741">
        <w:rPr>
          <w:b w:val="0"/>
          <w:bCs/>
          <w:sz w:val="23"/>
          <w:szCs w:val="23"/>
        </w:rPr>
        <w:t>Terms of reference</w:t>
      </w:r>
      <w:r w:rsidR="009B7C64" w:rsidRPr="00EA6741">
        <w:rPr>
          <w:b w:val="0"/>
          <w:bCs/>
          <w:sz w:val="23"/>
          <w:szCs w:val="23"/>
        </w:rPr>
        <w:t xml:space="preserve"> - </w:t>
      </w:r>
      <w:r w:rsidRPr="00EA6741">
        <w:rPr>
          <w:b w:val="0"/>
          <w:bCs/>
          <w:sz w:val="23"/>
          <w:szCs w:val="23"/>
        </w:rPr>
        <w:t>Independent Review of Australian Carbon Credit Units</w:t>
      </w:r>
      <w:bookmarkEnd w:id="157"/>
      <w:bookmarkEnd w:id="158"/>
      <w:bookmarkEnd w:id="159"/>
      <w:bookmarkEnd w:id="160"/>
      <w:bookmarkEnd w:id="161"/>
    </w:p>
    <w:p w14:paraId="7F41592F" w14:textId="2C189963" w:rsidR="001018CB" w:rsidRPr="00742DAB" w:rsidRDefault="001018CB" w:rsidP="00742DAB">
      <w:pPr>
        <w:pStyle w:val="StyleNormalBody"/>
      </w:pPr>
      <w:r w:rsidRPr="00742DAB">
        <w:t xml:space="preserve">The Government supports reductions in Australia’s greenhouse gas emissions by crediting Australian carbon credit units (ACCUs) issued under the </w:t>
      </w:r>
      <w:r w:rsidRPr="00742DAB">
        <w:rPr>
          <w:i/>
          <w:iCs/>
        </w:rPr>
        <w:t>Carbon Credits (Carbon Farming Initiative) Act 2011</w:t>
      </w:r>
      <w:r w:rsidRPr="00742DAB">
        <w:t xml:space="preserve">, and purchasing ACCUs through the Emissions Reduction Fund (ERF). These reductions help meet Australia’s emissions reductions targets. The Government will continue to invest in ACCUs to support voluntary action on emissions reduction. Maintaining the integrity of this carbon crediting system will also ensure a reliable supply of </w:t>
      </w:r>
      <w:r w:rsidR="00742DAB" w:rsidRPr="00742DAB">
        <w:t>high-quality</w:t>
      </w:r>
      <w:r w:rsidRPr="00742DAB">
        <w:t xml:space="preserve"> domestic offsets is available to support the reduction of Safeguard Mechanism baselines over time. </w:t>
      </w:r>
    </w:p>
    <w:p w14:paraId="090768AC" w14:textId="77777777" w:rsidR="001018CB" w:rsidRPr="00742DAB" w:rsidRDefault="001018CB" w:rsidP="00742DAB">
      <w:pPr>
        <w:pStyle w:val="StyleNormalBody"/>
      </w:pPr>
      <w:r w:rsidRPr="00742DAB">
        <w:t>In addition to helping meet Australia’s climate change goals, many carbon projects have benefits for agricultural productivity, Indigenous communities and the environment. Managed well, the framework for carbon crediting will continue to make a significant and enhanced contribution to the broader community, particularly in regional Australia where many of the projects take place. </w:t>
      </w:r>
    </w:p>
    <w:p w14:paraId="7C47470D" w14:textId="77777777" w:rsidR="001018CB" w:rsidRPr="00742DAB" w:rsidRDefault="001018CB" w:rsidP="00742DAB">
      <w:pPr>
        <w:pStyle w:val="StyleNormalBody"/>
      </w:pPr>
      <w:r w:rsidRPr="00742DAB">
        <w:t>The purpose of this review is to ensure that ACCUs and the carbon crediting framework maintain a strong and credible reputation supported by participants, purchasers and the broader community. To achieve this, the independent, expert panel will provide advice to the Minister for Climate Change and Energy about the framework for ACCU generation and trade to ensure its integrity, consistency with agricultural and other objectives, and contribution to environmental, economic and other benefits like biodiversity. </w:t>
      </w:r>
    </w:p>
    <w:p w14:paraId="557DC33E" w14:textId="77777777" w:rsidR="001018CB" w:rsidRPr="00CA2691" w:rsidRDefault="001018CB" w:rsidP="009B7C64">
      <w:pPr>
        <w:pStyle w:val="StyleNormalBody"/>
      </w:pPr>
      <w:r w:rsidRPr="00CA2691">
        <w:t>The independent panel will evaluate and advise on:</w:t>
      </w:r>
    </w:p>
    <w:p w14:paraId="363EE285" w14:textId="77777777" w:rsidR="009B7C64" w:rsidRDefault="001018CB" w:rsidP="00612D33">
      <w:pPr>
        <w:pStyle w:val="StyleListNumber1"/>
        <w:numPr>
          <w:ilvl w:val="0"/>
          <w:numId w:val="21"/>
        </w:numPr>
        <w:rPr>
          <w:lang w:eastAsia="en-AU"/>
        </w:rPr>
      </w:pPr>
      <w:r w:rsidRPr="00CA2691">
        <w:rPr>
          <w:lang w:eastAsia="en-AU"/>
        </w:rPr>
        <w:t xml:space="preserve">The integrity of ACCUs issued under the </w:t>
      </w:r>
      <w:r w:rsidRPr="009B7C64">
        <w:rPr>
          <w:i/>
          <w:lang w:eastAsia="en-AU"/>
        </w:rPr>
        <w:t>Carbon Credits (Carbon Farming Initiative) Act 2011</w:t>
      </w:r>
      <w:r w:rsidRPr="00CA2691">
        <w:rPr>
          <w:lang w:eastAsia="en-AU"/>
        </w:rPr>
        <w:t>, with specific reference to:</w:t>
      </w:r>
    </w:p>
    <w:p w14:paraId="544852E2" w14:textId="77777777" w:rsidR="009B7C64" w:rsidRPr="009B7C64" w:rsidRDefault="001018CB" w:rsidP="00612D33">
      <w:pPr>
        <w:pStyle w:val="StyleListNumber1"/>
        <w:numPr>
          <w:ilvl w:val="1"/>
          <w:numId w:val="21"/>
        </w:numPr>
        <w:spacing w:before="0" w:after="80"/>
        <w:ind w:left="1792" w:hanging="357"/>
        <w:rPr>
          <w:lang w:eastAsia="en-AU"/>
        </w:rPr>
      </w:pPr>
      <w:r w:rsidRPr="009B7C64">
        <w:rPr>
          <w:rFonts w:eastAsia="Times New Roman" w:cs="Calibri"/>
          <w:color w:val="000000"/>
          <w:lang w:eastAsia="en-AU"/>
        </w:rPr>
        <w:t>Whether scheme governance is appropriate, including: </w:t>
      </w:r>
    </w:p>
    <w:p w14:paraId="0342EB1D" w14:textId="77777777" w:rsidR="009B7C64" w:rsidRPr="009B7C64" w:rsidRDefault="001018CB" w:rsidP="00612D33">
      <w:pPr>
        <w:pStyle w:val="StyleListNumber1"/>
        <w:numPr>
          <w:ilvl w:val="2"/>
          <w:numId w:val="21"/>
        </w:numPr>
        <w:rPr>
          <w:lang w:eastAsia="en-AU"/>
        </w:rPr>
      </w:pPr>
      <w:r w:rsidRPr="009B7C64">
        <w:rPr>
          <w:rFonts w:eastAsia="Times New Roman" w:cs="Calibri"/>
          <w:color w:val="000000"/>
          <w:lang w:eastAsia="en-AU"/>
        </w:rPr>
        <w:t>whether the scheme’s governance structure is fit for purpose including the allocation and operation of roles and responsibilities between and within relevant agencies, including management of conflicts of interest</w:t>
      </w:r>
      <w:r w:rsidR="009B7C64">
        <w:rPr>
          <w:rFonts w:eastAsia="Times New Roman" w:cs="Calibri"/>
          <w:color w:val="000000"/>
          <w:lang w:eastAsia="en-AU"/>
        </w:rPr>
        <w:t>;</w:t>
      </w:r>
    </w:p>
    <w:p w14:paraId="372D0F27" w14:textId="77777777" w:rsidR="009B7C64" w:rsidRPr="009B7C64" w:rsidRDefault="001018CB" w:rsidP="00612D33">
      <w:pPr>
        <w:pStyle w:val="StyleListNumber1"/>
        <w:numPr>
          <w:ilvl w:val="2"/>
          <w:numId w:val="21"/>
        </w:numPr>
        <w:spacing w:before="0" w:after="80"/>
        <w:ind w:hanging="181"/>
        <w:rPr>
          <w:lang w:eastAsia="en-AU"/>
        </w:rPr>
      </w:pPr>
      <w:r w:rsidRPr="009B7C64">
        <w:rPr>
          <w:rFonts w:eastAsia="Times New Roman" w:cs="Calibri"/>
          <w:color w:val="000000"/>
          <w:lang w:eastAsia="en-AU"/>
        </w:rPr>
        <w:t>whether the scheme’s settings and legislative requirements are appropriate to ensure good governance and confidence in scheme integrity</w:t>
      </w:r>
      <w:r w:rsidR="009B7C64">
        <w:rPr>
          <w:rFonts w:eastAsia="Times New Roman" w:cs="Calibri"/>
          <w:color w:val="000000"/>
          <w:lang w:eastAsia="en-AU"/>
        </w:rPr>
        <w:t>;</w:t>
      </w:r>
    </w:p>
    <w:p w14:paraId="01DF9D25" w14:textId="77777777" w:rsidR="009B7C64" w:rsidRPr="009B7C64" w:rsidRDefault="001018CB" w:rsidP="00612D33">
      <w:pPr>
        <w:pStyle w:val="StyleListNumber1"/>
        <w:numPr>
          <w:ilvl w:val="2"/>
          <w:numId w:val="21"/>
        </w:numPr>
        <w:rPr>
          <w:lang w:eastAsia="en-AU"/>
        </w:rPr>
      </w:pPr>
      <w:r w:rsidRPr="009B7C64">
        <w:rPr>
          <w:rFonts w:eastAsia="Times New Roman" w:cs="Calibri"/>
          <w:color w:val="000000"/>
          <w:lang w:eastAsia="en-AU"/>
        </w:rPr>
        <w:t>whether the scheme has appropriate transparency including whether and how reporting and publication of data could be improved.</w:t>
      </w:r>
    </w:p>
    <w:p w14:paraId="7D324615" w14:textId="0250B329" w:rsidR="009B7C64" w:rsidRPr="009B7C64" w:rsidRDefault="001018CB" w:rsidP="00FF4E77">
      <w:pPr>
        <w:pStyle w:val="StyleListNumber1"/>
        <w:numPr>
          <w:ilvl w:val="1"/>
          <w:numId w:val="21"/>
        </w:numPr>
        <w:spacing w:before="80" w:after="80"/>
        <w:ind w:left="1792" w:hanging="357"/>
        <w:rPr>
          <w:lang w:eastAsia="en-AU"/>
        </w:rPr>
      </w:pPr>
      <w:r w:rsidRPr="009B7C64">
        <w:rPr>
          <w:rFonts w:eastAsia="Times New Roman" w:cs="Calibri"/>
          <w:color w:val="000000"/>
          <w:lang w:eastAsia="en-AU"/>
        </w:rPr>
        <w:t xml:space="preserve">Whether the methods by which ACCUs are generated meet the </w:t>
      </w:r>
      <w:r w:rsidR="006E2369">
        <w:rPr>
          <w:rFonts w:eastAsia="Times New Roman" w:cs="Calibri"/>
          <w:color w:val="000000"/>
          <w:lang w:eastAsia="en-AU"/>
        </w:rPr>
        <w:t>O</w:t>
      </w:r>
      <w:r w:rsidRPr="009B7C64">
        <w:rPr>
          <w:rFonts w:eastAsia="Times New Roman" w:cs="Calibri"/>
          <w:color w:val="000000"/>
          <w:lang w:eastAsia="en-AU"/>
        </w:rPr>
        <w:t xml:space="preserve">ffsets </w:t>
      </w:r>
      <w:r w:rsidR="006E2369">
        <w:rPr>
          <w:rFonts w:eastAsia="Times New Roman" w:cs="Calibri"/>
          <w:color w:val="000000"/>
          <w:lang w:eastAsia="en-AU"/>
        </w:rPr>
        <w:t>I</w:t>
      </w:r>
      <w:r w:rsidRPr="009B7C64">
        <w:rPr>
          <w:rFonts w:eastAsia="Times New Roman" w:cs="Calibri"/>
          <w:color w:val="000000"/>
          <w:lang w:eastAsia="en-AU"/>
        </w:rPr>
        <w:t xml:space="preserve">ntegrity </w:t>
      </w:r>
      <w:r w:rsidR="006E2369">
        <w:rPr>
          <w:rFonts w:eastAsia="Times New Roman" w:cs="Calibri"/>
          <w:color w:val="000000"/>
          <w:lang w:eastAsia="en-AU"/>
        </w:rPr>
        <w:t>S</w:t>
      </w:r>
      <w:r w:rsidRPr="009B7C64">
        <w:rPr>
          <w:rFonts w:eastAsia="Times New Roman" w:cs="Calibri"/>
          <w:color w:val="000000"/>
          <w:lang w:eastAsia="en-AU"/>
        </w:rPr>
        <w:t>tandards, including:</w:t>
      </w:r>
    </w:p>
    <w:p w14:paraId="18710698" w14:textId="77777777" w:rsidR="009B7C64" w:rsidRPr="009B7C64" w:rsidRDefault="001018CB" w:rsidP="00612D33">
      <w:pPr>
        <w:pStyle w:val="StyleListNumber1"/>
        <w:numPr>
          <w:ilvl w:val="2"/>
          <w:numId w:val="21"/>
        </w:numPr>
        <w:rPr>
          <w:lang w:eastAsia="en-AU"/>
        </w:rPr>
      </w:pPr>
      <w:r w:rsidRPr="009B7C64">
        <w:rPr>
          <w:rFonts w:eastAsia="Times New Roman" w:cs="Calibri"/>
          <w:color w:val="000000"/>
          <w:lang w:eastAsia="en-AU"/>
        </w:rPr>
        <w:t>consideration of recent claims raised about the Human Induced Regeneration, Carbon Capture and Storage, Avoided Deforestation, and Landfill Waste Gas methods </w:t>
      </w:r>
    </w:p>
    <w:p w14:paraId="5F5517FC" w14:textId="77777777" w:rsidR="009B7C64" w:rsidRPr="009B7C64" w:rsidRDefault="001018CB" w:rsidP="00612D33">
      <w:pPr>
        <w:pStyle w:val="StyleListNumber1"/>
        <w:numPr>
          <w:ilvl w:val="2"/>
          <w:numId w:val="21"/>
        </w:numPr>
        <w:rPr>
          <w:lang w:eastAsia="en-AU"/>
        </w:rPr>
      </w:pPr>
      <w:r w:rsidRPr="009B7C64">
        <w:rPr>
          <w:rFonts w:eastAsia="Times New Roman" w:cs="Calibri"/>
          <w:color w:val="000000"/>
          <w:lang w:eastAsia="en-AU"/>
        </w:rPr>
        <w:t>whether method development and review processes are appropriate and effective.</w:t>
      </w:r>
    </w:p>
    <w:p w14:paraId="1330387F" w14:textId="77777777" w:rsidR="009B7C64" w:rsidRPr="009B7C64" w:rsidRDefault="001018CB" w:rsidP="00612D33">
      <w:pPr>
        <w:pStyle w:val="StyleListNumber1"/>
        <w:numPr>
          <w:ilvl w:val="1"/>
          <w:numId w:val="21"/>
        </w:numPr>
        <w:rPr>
          <w:lang w:eastAsia="en-AU"/>
        </w:rPr>
      </w:pPr>
      <w:r w:rsidRPr="009B7C64">
        <w:rPr>
          <w:rFonts w:eastAsia="Times New Roman" w:cs="Calibri"/>
          <w:color w:val="000000"/>
          <w:lang w:eastAsia="en-AU"/>
        </w:rPr>
        <w:t>Any other matters the panel considers relevant to the integrity of ACCUs.</w:t>
      </w:r>
    </w:p>
    <w:p w14:paraId="6F203448" w14:textId="77777777" w:rsidR="009B7C64" w:rsidRPr="009B7C64" w:rsidRDefault="001018CB" w:rsidP="00FF4E77">
      <w:pPr>
        <w:pStyle w:val="StyleListNumber1"/>
        <w:numPr>
          <w:ilvl w:val="0"/>
          <w:numId w:val="21"/>
        </w:numPr>
        <w:spacing w:before="80" w:after="80"/>
        <w:ind w:left="714" w:hanging="357"/>
        <w:rPr>
          <w:lang w:eastAsia="en-AU"/>
        </w:rPr>
      </w:pPr>
      <w:r w:rsidRPr="009B7C64">
        <w:rPr>
          <w:rFonts w:eastAsia="Times New Roman" w:cs="Calibri"/>
          <w:color w:val="000000"/>
          <w:lang w:eastAsia="en-AU"/>
        </w:rPr>
        <w:t>The broader impacts of activities incentivised under Australia’s carbon crediting framework including:</w:t>
      </w:r>
    </w:p>
    <w:p w14:paraId="3F3FCE47" w14:textId="08EBD767" w:rsidR="009B7C64" w:rsidRPr="009B7C64" w:rsidRDefault="001018CB" w:rsidP="00612D33">
      <w:pPr>
        <w:pStyle w:val="StyleListNumber1"/>
        <w:numPr>
          <w:ilvl w:val="1"/>
          <w:numId w:val="21"/>
        </w:numPr>
        <w:rPr>
          <w:lang w:eastAsia="en-AU"/>
        </w:rPr>
      </w:pPr>
      <w:r w:rsidRPr="009B7C64">
        <w:rPr>
          <w:rFonts w:eastAsia="Times New Roman" w:cs="Calibri"/>
          <w:color w:val="000000"/>
          <w:lang w:eastAsia="en-AU"/>
        </w:rPr>
        <w:t>whether the current processes and requirements are appropriate to manage negative social, economic and environmental impacts, including on agricultural productivity and regional communities</w:t>
      </w:r>
      <w:r w:rsidR="009B7C64">
        <w:rPr>
          <w:rFonts w:eastAsia="Times New Roman" w:cs="Calibri"/>
          <w:color w:val="000000"/>
          <w:lang w:eastAsia="en-AU"/>
        </w:rPr>
        <w:t>;</w:t>
      </w:r>
      <w:r w:rsidRPr="009B7C64">
        <w:rPr>
          <w:rFonts w:eastAsia="Times New Roman" w:cs="Calibri"/>
          <w:color w:val="000000"/>
          <w:lang w:eastAsia="en-AU"/>
        </w:rPr>
        <w:t> </w:t>
      </w:r>
    </w:p>
    <w:p w14:paraId="0CBD97CA" w14:textId="5AB3434A" w:rsidR="009B7C64" w:rsidRPr="009B7C64" w:rsidRDefault="001018CB" w:rsidP="00612D33">
      <w:pPr>
        <w:pStyle w:val="StyleListNumber1"/>
        <w:numPr>
          <w:ilvl w:val="1"/>
          <w:numId w:val="21"/>
        </w:numPr>
        <w:rPr>
          <w:lang w:eastAsia="en-AU"/>
        </w:rPr>
      </w:pPr>
      <w:r w:rsidRPr="009B7C64">
        <w:rPr>
          <w:rFonts w:eastAsia="Times New Roman" w:cs="Calibri"/>
          <w:color w:val="000000"/>
          <w:lang w:eastAsia="en-AU"/>
        </w:rPr>
        <w:t>the extent to which carbon projects are currently supporting positive environmental, social and economic outcomes including for biodiversity and the participation of First Nations people</w:t>
      </w:r>
      <w:r w:rsidR="009B7C64">
        <w:rPr>
          <w:rFonts w:eastAsia="Times New Roman" w:cs="Calibri"/>
          <w:color w:val="000000"/>
          <w:lang w:eastAsia="en-AU"/>
        </w:rPr>
        <w:t>;</w:t>
      </w:r>
    </w:p>
    <w:p w14:paraId="754F93F3" w14:textId="2A29428E" w:rsidR="009B7C64" w:rsidRPr="009B7C64" w:rsidRDefault="001018CB" w:rsidP="00612D33">
      <w:pPr>
        <w:pStyle w:val="StyleListNumber1"/>
        <w:numPr>
          <w:ilvl w:val="1"/>
          <w:numId w:val="21"/>
        </w:numPr>
        <w:rPr>
          <w:lang w:eastAsia="en-AU"/>
        </w:rPr>
      </w:pPr>
      <w:r w:rsidRPr="009B7C64">
        <w:rPr>
          <w:rFonts w:eastAsia="Times New Roman" w:cs="Calibri"/>
          <w:color w:val="000000"/>
          <w:lang w:eastAsia="en-AU"/>
        </w:rPr>
        <w:t>opportunities to maximise non-carbon benefits of projects</w:t>
      </w:r>
      <w:r w:rsidR="009B7C64">
        <w:rPr>
          <w:rFonts w:eastAsia="Times New Roman" w:cs="Calibri"/>
          <w:color w:val="000000"/>
          <w:lang w:eastAsia="en-AU"/>
        </w:rPr>
        <w:t>;</w:t>
      </w:r>
    </w:p>
    <w:p w14:paraId="4790F4A1" w14:textId="49D11641" w:rsidR="001018CB" w:rsidRPr="009B7C64" w:rsidRDefault="001018CB" w:rsidP="00612D33">
      <w:pPr>
        <w:pStyle w:val="StyleListNumber1"/>
        <w:numPr>
          <w:ilvl w:val="1"/>
          <w:numId w:val="21"/>
        </w:numPr>
        <w:rPr>
          <w:lang w:eastAsia="en-AU"/>
        </w:rPr>
      </w:pPr>
      <w:r w:rsidRPr="009B7C64">
        <w:rPr>
          <w:rFonts w:eastAsia="Times New Roman" w:cs="Calibri"/>
          <w:color w:val="000000"/>
          <w:lang w:eastAsia="en-AU"/>
        </w:rPr>
        <w:t>requirements for the use of ACCUs under Climate Active.</w:t>
      </w:r>
    </w:p>
    <w:p w14:paraId="1F05A526" w14:textId="77777777" w:rsidR="001018CB" w:rsidRPr="00CA2691" w:rsidRDefault="001018CB" w:rsidP="009B7C64">
      <w:pPr>
        <w:pStyle w:val="StyleNormalBody"/>
      </w:pPr>
      <w:r w:rsidRPr="00CA2691">
        <w:lastRenderedPageBreak/>
        <w:t>The review will include public consultation seeking written submissions as well as meetings including with relevant academics and experts, First Nations groups, project proponents, aggregators, industry and consumer groups, business, the community, and relevant Commonwealth and State and Territory government agencies.</w:t>
      </w:r>
    </w:p>
    <w:p w14:paraId="20A5FF43" w14:textId="716C2634" w:rsidR="001018CB" w:rsidRPr="00CA2691" w:rsidRDefault="001018CB" w:rsidP="009B7C64">
      <w:pPr>
        <w:pStyle w:val="StyleNormalBody"/>
      </w:pPr>
      <w:r w:rsidRPr="00CA2691">
        <w:t>A final report with findings and recommendations to address any identified issues will be delivered within 6 months of commencement.</w:t>
      </w:r>
    </w:p>
    <w:p w14:paraId="4ED584E0" w14:textId="77777777" w:rsidR="001018CB" w:rsidRPr="005E5B7C" w:rsidRDefault="001018CB" w:rsidP="001018CB"/>
    <w:p w14:paraId="45872679" w14:textId="77777777" w:rsidR="004A273A" w:rsidRDefault="004440CC" w:rsidP="004A273A">
      <w:pPr>
        <w:pStyle w:val="Heading1"/>
        <w:rPr>
          <w:rStyle w:val="Emphasis"/>
          <w:b w:val="0"/>
          <w:i w:val="0"/>
          <w:color w:val="1F497D"/>
        </w:rPr>
        <w:sectPr w:rsidR="004A273A" w:rsidSect="00EA6741">
          <w:pgSz w:w="11906" w:h="16838"/>
          <w:pgMar w:top="567" w:right="680" w:bottom="567" w:left="680" w:header="737" w:footer="709" w:gutter="0"/>
          <w:cols w:space="708"/>
          <w:titlePg/>
          <w:docGrid w:linePitch="360"/>
        </w:sectPr>
      </w:pPr>
      <w:r>
        <w:rPr>
          <w:rStyle w:val="Emphasis"/>
          <w:b w:val="0"/>
          <w:i w:val="0"/>
          <w:color w:val="1F497D"/>
        </w:rPr>
        <w:br w:type="page"/>
      </w:r>
    </w:p>
    <w:p w14:paraId="1036A1A8" w14:textId="4B937449" w:rsidR="00B22ECC" w:rsidRPr="003B2C9F" w:rsidRDefault="004440CC" w:rsidP="003B2C9F">
      <w:pPr>
        <w:pStyle w:val="Heading1"/>
        <w:spacing w:before="120"/>
        <w:rPr>
          <w:iCs/>
          <w:sz w:val="23"/>
          <w:szCs w:val="23"/>
        </w:rPr>
      </w:pPr>
      <w:bookmarkStart w:id="162" w:name="_Ref122277977"/>
      <w:bookmarkStart w:id="163" w:name="_Toc122339762"/>
      <w:bookmarkStart w:id="164" w:name="_Toc122348049"/>
      <w:bookmarkStart w:id="165" w:name="_Toc122359815"/>
      <w:bookmarkStart w:id="166" w:name="_Toc122360795"/>
      <w:bookmarkStart w:id="167" w:name="_Toc122523014"/>
      <w:r w:rsidRPr="003B2C9F">
        <w:rPr>
          <w:sz w:val="23"/>
          <w:szCs w:val="23"/>
        </w:rPr>
        <w:lastRenderedPageBreak/>
        <w:t xml:space="preserve">Appendix </w:t>
      </w:r>
      <w:r w:rsidR="004A273A" w:rsidRPr="003B2C9F">
        <w:rPr>
          <w:sz w:val="23"/>
          <w:szCs w:val="23"/>
        </w:rPr>
        <w:t>B</w:t>
      </w:r>
      <w:bookmarkEnd w:id="162"/>
      <w:bookmarkEnd w:id="163"/>
      <w:bookmarkEnd w:id="164"/>
      <w:bookmarkEnd w:id="165"/>
      <w:bookmarkEnd w:id="166"/>
      <w:bookmarkEnd w:id="167"/>
    </w:p>
    <w:p w14:paraId="1F7798AF" w14:textId="0A520977" w:rsidR="004440CC" w:rsidRPr="003B2C9F" w:rsidRDefault="004440CC" w:rsidP="003B2C9F">
      <w:pPr>
        <w:pStyle w:val="Heading2"/>
        <w:spacing w:before="120"/>
        <w:rPr>
          <w:rStyle w:val="Heading2Char"/>
          <w:sz w:val="23"/>
          <w:szCs w:val="23"/>
        </w:rPr>
      </w:pPr>
      <w:bookmarkStart w:id="168" w:name="_Toc122339763"/>
      <w:bookmarkStart w:id="169" w:name="_Toc122348050"/>
      <w:bookmarkStart w:id="170" w:name="_Toc122359816"/>
      <w:bookmarkStart w:id="171" w:name="_Toc122360796"/>
      <w:bookmarkStart w:id="172" w:name="_Toc122523015"/>
      <w:r w:rsidRPr="003B2C9F">
        <w:rPr>
          <w:rStyle w:val="Heading2Char"/>
          <w:sz w:val="23"/>
          <w:szCs w:val="23"/>
        </w:rPr>
        <w:t>Panel Consultation Summary</w:t>
      </w:r>
      <w:bookmarkEnd w:id="168"/>
      <w:bookmarkEnd w:id="169"/>
      <w:bookmarkEnd w:id="170"/>
      <w:bookmarkEnd w:id="171"/>
      <w:bookmarkEnd w:id="172"/>
    </w:p>
    <w:tbl>
      <w:tblPr>
        <w:tblStyle w:val="TableGridLight"/>
        <w:tblW w:w="15730" w:type="dxa"/>
        <w:tblLook w:val="04A0" w:firstRow="1" w:lastRow="0" w:firstColumn="1" w:lastColumn="0" w:noHBand="0" w:noVBand="1"/>
      </w:tblPr>
      <w:tblGrid>
        <w:gridCol w:w="1129"/>
        <w:gridCol w:w="7797"/>
        <w:gridCol w:w="1134"/>
        <w:gridCol w:w="5670"/>
      </w:tblGrid>
      <w:tr w:rsidR="004440CC" w:rsidRPr="003B2C9F" w14:paraId="2E1D8D57" w14:textId="77777777" w:rsidTr="003B2C9F">
        <w:trPr>
          <w:trHeight w:val="288"/>
        </w:trPr>
        <w:tc>
          <w:tcPr>
            <w:tcW w:w="1129" w:type="dxa"/>
            <w:noWrap/>
            <w:hideMark/>
          </w:tcPr>
          <w:p w14:paraId="59B0A7D5" w14:textId="77777777" w:rsidR="004440CC" w:rsidRPr="003B2C9F" w:rsidRDefault="004440CC" w:rsidP="004440CC">
            <w:pPr>
              <w:spacing w:before="0" w:after="0"/>
              <w:rPr>
                <w:rFonts w:asciiTheme="minorHAnsi" w:eastAsia="Times New Roman" w:hAnsiTheme="minorHAnsi" w:cstheme="minorHAnsi"/>
                <w:b/>
                <w:color w:val="000000"/>
                <w:sz w:val="18"/>
                <w:szCs w:val="18"/>
                <w:lang w:eastAsia="en-AU"/>
              </w:rPr>
            </w:pPr>
            <w:r w:rsidRPr="003B2C9F">
              <w:rPr>
                <w:rFonts w:asciiTheme="minorHAnsi" w:eastAsia="Times New Roman" w:hAnsiTheme="minorHAnsi" w:cstheme="minorHAnsi"/>
                <w:b/>
                <w:color w:val="000000"/>
                <w:sz w:val="18"/>
                <w:szCs w:val="18"/>
                <w:lang w:eastAsia="en-AU"/>
              </w:rPr>
              <w:t>Date</w:t>
            </w:r>
          </w:p>
        </w:tc>
        <w:tc>
          <w:tcPr>
            <w:tcW w:w="7797" w:type="dxa"/>
            <w:noWrap/>
            <w:hideMark/>
          </w:tcPr>
          <w:p w14:paraId="1121942C" w14:textId="77777777" w:rsidR="004440CC" w:rsidRPr="003B2C9F" w:rsidRDefault="004440CC" w:rsidP="004440CC">
            <w:pPr>
              <w:spacing w:before="0" w:after="0"/>
              <w:rPr>
                <w:rFonts w:asciiTheme="minorHAnsi" w:eastAsia="Times New Roman" w:hAnsiTheme="minorHAnsi" w:cstheme="minorHAnsi"/>
                <w:b/>
                <w:color w:val="000000"/>
                <w:sz w:val="18"/>
                <w:szCs w:val="18"/>
                <w:lang w:eastAsia="en-AU"/>
              </w:rPr>
            </w:pPr>
            <w:r w:rsidRPr="003B2C9F">
              <w:rPr>
                <w:rFonts w:asciiTheme="minorHAnsi" w:eastAsia="Times New Roman" w:hAnsiTheme="minorHAnsi" w:cstheme="minorHAnsi"/>
                <w:b/>
                <w:color w:val="000000"/>
                <w:sz w:val="18"/>
                <w:szCs w:val="18"/>
                <w:lang w:eastAsia="en-AU"/>
              </w:rPr>
              <w:t>Attendee(s)</w:t>
            </w:r>
          </w:p>
        </w:tc>
        <w:tc>
          <w:tcPr>
            <w:tcW w:w="1134" w:type="dxa"/>
            <w:noWrap/>
            <w:hideMark/>
          </w:tcPr>
          <w:p w14:paraId="503E15C1" w14:textId="77777777" w:rsidR="004440CC" w:rsidRPr="003B2C9F" w:rsidRDefault="004440CC" w:rsidP="004440CC">
            <w:pPr>
              <w:spacing w:before="0" w:after="0"/>
              <w:rPr>
                <w:rFonts w:asciiTheme="minorHAnsi" w:eastAsia="Times New Roman" w:hAnsiTheme="minorHAnsi" w:cstheme="minorHAnsi"/>
                <w:b/>
                <w:color w:val="000000"/>
                <w:sz w:val="18"/>
                <w:szCs w:val="18"/>
                <w:lang w:eastAsia="en-AU"/>
              </w:rPr>
            </w:pPr>
            <w:r w:rsidRPr="003B2C9F">
              <w:rPr>
                <w:rFonts w:asciiTheme="minorHAnsi" w:eastAsia="Times New Roman" w:hAnsiTheme="minorHAnsi" w:cstheme="minorHAnsi"/>
                <w:b/>
                <w:color w:val="000000"/>
                <w:sz w:val="18"/>
                <w:szCs w:val="18"/>
                <w:lang w:eastAsia="en-AU"/>
              </w:rPr>
              <w:t>Meeting Type</w:t>
            </w:r>
          </w:p>
        </w:tc>
        <w:tc>
          <w:tcPr>
            <w:tcW w:w="5670" w:type="dxa"/>
            <w:noWrap/>
            <w:hideMark/>
          </w:tcPr>
          <w:p w14:paraId="78D568AC" w14:textId="77777777" w:rsidR="004440CC" w:rsidRPr="003B2C9F" w:rsidRDefault="004440CC" w:rsidP="004440CC">
            <w:pPr>
              <w:spacing w:before="0" w:after="0"/>
              <w:rPr>
                <w:rFonts w:asciiTheme="minorHAnsi" w:eastAsia="Times New Roman" w:hAnsiTheme="minorHAnsi" w:cstheme="minorHAnsi"/>
                <w:b/>
                <w:color w:val="000000"/>
                <w:sz w:val="18"/>
                <w:szCs w:val="18"/>
                <w:lang w:eastAsia="en-AU"/>
              </w:rPr>
            </w:pPr>
            <w:r w:rsidRPr="003B2C9F">
              <w:rPr>
                <w:rFonts w:asciiTheme="minorHAnsi" w:eastAsia="Times New Roman" w:hAnsiTheme="minorHAnsi" w:cstheme="minorHAnsi"/>
                <w:b/>
                <w:color w:val="000000"/>
                <w:sz w:val="18"/>
                <w:szCs w:val="18"/>
                <w:lang w:eastAsia="en-AU"/>
              </w:rPr>
              <w:t>Topics Discussed</w:t>
            </w:r>
          </w:p>
        </w:tc>
      </w:tr>
      <w:tr w:rsidR="004440CC" w:rsidRPr="003B2C9F" w14:paraId="36782FDB" w14:textId="77777777" w:rsidTr="003B2C9F">
        <w:trPr>
          <w:trHeight w:val="288"/>
        </w:trPr>
        <w:tc>
          <w:tcPr>
            <w:tcW w:w="1129" w:type="dxa"/>
            <w:noWrap/>
            <w:hideMark/>
          </w:tcPr>
          <w:p w14:paraId="3EC40A03"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26-Jul-22</w:t>
            </w:r>
          </w:p>
        </w:tc>
        <w:tc>
          <w:tcPr>
            <w:tcW w:w="7797" w:type="dxa"/>
            <w:noWrap/>
            <w:hideMark/>
          </w:tcPr>
          <w:p w14:paraId="62334B47" w14:textId="0747A507"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Clean Energy Regulator, Department of Climate Change, Energy, Environment and Water (DCCEEW)</w:t>
            </w:r>
            <w:r w:rsidR="00CA00B6" w:rsidRPr="003B2C9F">
              <w:rPr>
                <w:rFonts w:asciiTheme="minorHAnsi" w:eastAsia="Times New Roman" w:hAnsiTheme="minorHAnsi" w:cstheme="minorHAnsi"/>
                <w:color w:val="000000"/>
                <w:sz w:val="18"/>
                <w:szCs w:val="18"/>
                <w:lang w:eastAsia="en-AU"/>
              </w:rPr>
              <w:t xml:space="preserve"> </w:t>
            </w:r>
          </w:p>
        </w:tc>
        <w:tc>
          <w:tcPr>
            <w:tcW w:w="1134" w:type="dxa"/>
            <w:noWrap/>
            <w:hideMark/>
          </w:tcPr>
          <w:p w14:paraId="64DBC7F2"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5E9287FF" w14:textId="7BCBD319"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Introduction to roles and respective </w:t>
            </w:r>
            <w:r w:rsidR="006F7A60" w:rsidRPr="003B2C9F">
              <w:rPr>
                <w:rFonts w:asciiTheme="minorHAnsi" w:eastAsia="Times New Roman" w:hAnsiTheme="minorHAnsi" w:cstheme="minorHAnsi"/>
                <w:color w:val="000000"/>
                <w:sz w:val="18"/>
                <w:szCs w:val="18"/>
                <w:lang w:eastAsia="en-AU"/>
              </w:rPr>
              <w:t>responsibilities</w:t>
            </w:r>
          </w:p>
        </w:tc>
      </w:tr>
      <w:tr w:rsidR="004440CC" w:rsidRPr="003B2C9F" w14:paraId="584F012C" w14:textId="77777777" w:rsidTr="003B2C9F">
        <w:trPr>
          <w:trHeight w:val="288"/>
        </w:trPr>
        <w:tc>
          <w:tcPr>
            <w:tcW w:w="1129" w:type="dxa"/>
            <w:noWrap/>
            <w:hideMark/>
          </w:tcPr>
          <w:p w14:paraId="3BD0C5D1"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2-Aug-22</w:t>
            </w:r>
          </w:p>
        </w:tc>
        <w:tc>
          <w:tcPr>
            <w:tcW w:w="7797" w:type="dxa"/>
            <w:noWrap/>
            <w:hideMark/>
          </w:tcPr>
          <w:p w14:paraId="1AA04C23" w14:textId="1C26E43E"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Climate Change Authority</w:t>
            </w:r>
            <w:r w:rsidR="009D2C2B" w:rsidRPr="003B2C9F">
              <w:rPr>
                <w:rFonts w:asciiTheme="minorHAnsi" w:eastAsia="Times New Roman" w:hAnsiTheme="minorHAnsi" w:cstheme="minorHAnsi"/>
                <w:color w:val="000000"/>
                <w:sz w:val="18"/>
                <w:szCs w:val="18"/>
                <w:lang w:eastAsia="en-AU"/>
              </w:rPr>
              <w:t xml:space="preserve"> (CCA)</w:t>
            </w:r>
          </w:p>
        </w:tc>
        <w:tc>
          <w:tcPr>
            <w:tcW w:w="1134" w:type="dxa"/>
            <w:noWrap/>
            <w:hideMark/>
          </w:tcPr>
          <w:p w14:paraId="1295A7A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124E1381" w14:textId="079B799E"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Introduction to CCA role</w:t>
            </w:r>
            <w:r w:rsidR="0047574B" w:rsidRPr="003B2C9F">
              <w:rPr>
                <w:rFonts w:asciiTheme="minorHAnsi" w:eastAsia="Times New Roman" w:hAnsiTheme="minorHAnsi" w:cstheme="minorHAnsi"/>
                <w:color w:val="000000"/>
                <w:sz w:val="18"/>
                <w:szCs w:val="18"/>
                <w:lang w:eastAsia="en-AU"/>
              </w:rPr>
              <w:t xml:space="preserve"> in the ACCU scheme</w:t>
            </w:r>
            <w:r w:rsidRPr="003B2C9F">
              <w:rPr>
                <w:rFonts w:asciiTheme="minorHAnsi" w:eastAsia="Times New Roman" w:hAnsiTheme="minorHAnsi" w:cstheme="minorHAnsi"/>
                <w:color w:val="000000"/>
                <w:sz w:val="18"/>
                <w:szCs w:val="18"/>
                <w:lang w:eastAsia="en-AU"/>
              </w:rPr>
              <w:t>, responsibilities and work program.</w:t>
            </w:r>
          </w:p>
        </w:tc>
      </w:tr>
      <w:tr w:rsidR="004440CC" w:rsidRPr="003B2C9F" w14:paraId="077CBC82" w14:textId="77777777" w:rsidTr="003B2C9F">
        <w:trPr>
          <w:trHeight w:val="288"/>
        </w:trPr>
        <w:tc>
          <w:tcPr>
            <w:tcW w:w="1129" w:type="dxa"/>
            <w:noWrap/>
            <w:hideMark/>
          </w:tcPr>
          <w:p w14:paraId="69ECCF7F"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2-Aug-22</w:t>
            </w:r>
          </w:p>
        </w:tc>
        <w:tc>
          <w:tcPr>
            <w:tcW w:w="7797" w:type="dxa"/>
            <w:noWrap/>
            <w:hideMark/>
          </w:tcPr>
          <w:p w14:paraId="245B708F"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Climate Active</w:t>
            </w:r>
          </w:p>
        </w:tc>
        <w:tc>
          <w:tcPr>
            <w:tcW w:w="1134" w:type="dxa"/>
            <w:noWrap/>
            <w:hideMark/>
          </w:tcPr>
          <w:p w14:paraId="62F9EF8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2967A048"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Introduction to the Climate Active Program</w:t>
            </w:r>
          </w:p>
        </w:tc>
      </w:tr>
      <w:tr w:rsidR="004440CC" w:rsidRPr="003B2C9F" w14:paraId="39A14CB4" w14:textId="77777777" w:rsidTr="003B2C9F">
        <w:trPr>
          <w:trHeight w:val="288"/>
        </w:trPr>
        <w:tc>
          <w:tcPr>
            <w:tcW w:w="1129" w:type="dxa"/>
            <w:noWrap/>
            <w:hideMark/>
          </w:tcPr>
          <w:p w14:paraId="57586C3D"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2-Aug-22</w:t>
            </w:r>
          </w:p>
        </w:tc>
        <w:tc>
          <w:tcPr>
            <w:tcW w:w="7797" w:type="dxa"/>
            <w:noWrap/>
            <w:hideMark/>
          </w:tcPr>
          <w:p w14:paraId="2A19F34E"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DCCEEW - Biodiversity Markets</w:t>
            </w:r>
          </w:p>
        </w:tc>
        <w:tc>
          <w:tcPr>
            <w:tcW w:w="1134" w:type="dxa"/>
            <w:noWrap/>
            <w:hideMark/>
          </w:tcPr>
          <w:p w14:paraId="4097C9F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1A2C8970" w14:textId="6A77FAFD"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Introduction to the </w:t>
            </w:r>
            <w:r w:rsidR="009D2C2B" w:rsidRPr="003B2C9F">
              <w:rPr>
                <w:rFonts w:asciiTheme="minorHAnsi" w:eastAsia="Times New Roman" w:hAnsiTheme="minorHAnsi" w:cstheme="minorHAnsi"/>
                <w:color w:val="000000"/>
                <w:sz w:val="18"/>
                <w:szCs w:val="18"/>
                <w:lang w:eastAsia="en-AU"/>
              </w:rPr>
              <w:t>b</w:t>
            </w:r>
            <w:r w:rsidR="0047574B" w:rsidRPr="003B2C9F">
              <w:rPr>
                <w:rFonts w:asciiTheme="minorHAnsi" w:eastAsia="Times New Roman" w:hAnsiTheme="minorHAnsi" w:cstheme="minorHAnsi"/>
                <w:color w:val="000000"/>
                <w:sz w:val="18"/>
                <w:szCs w:val="18"/>
                <w:lang w:eastAsia="en-AU"/>
              </w:rPr>
              <w:t xml:space="preserve">iodiversity </w:t>
            </w:r>
            <w:r w:rsidR="009D2C2B" w:rsidRPr="003B2C9F">
              <w:rPr>
                <w:rFonts w:asciiTheme="minorHAnsi" w:eastAsia="Times New Roman" w:hAnsiTheme="minorHAnsi" w:cstheme="minorHAnsi"/>
                <w:color w:val="000000"/>
                <w:sz w:val="18"/>
                <w:szCs w:val="18"/>
                <w:lang w:eastAsia="en-AU"/>
              </w:rPr>
              <w:t>m</w:t>
            </w:r>
            <w:r w:rsidR="0047574B" w:rsidRPr="003B2C9F">
              <w:rPr>
                <w:rFonts w:asciiTheme="minorHAnsi" w:eastAsia="Times New Roman" w:hAnsiTheme="minorHAnsi" w:cstheme="minorHAnsi"/>
                <w:color w:val="000000"/>
                <w:sz w:val="18"/>
                <w:szCs w:val="18"/>
                <w:lang w:eastAsia="en-AU"/>
              </w:rPr>
              <w:t>arkets</w:t>
            </w:r>
            <w:r w:rsidRPr="003B2C9F">
              <w:rPr>
                <w:rFonts w:asciiTheme="minorHAnsi" w:eastAsia="Times New Roman" w:hAnsiTheme="minorHAnsi" w:cstheme="minorHAnsi"/>
                <w:color w:val="000000"/>
                <w:sz w:val="18"/>
                <w:szCs w:val="18"/>
                <w:lang w:eastAsia="en-AU"/>
              </w:rPr>
              <w:t xml:space="preserve"> work program</w:t>
            </w:r>
          </w:p>
        </w:tc>
      </w:tr>
      <w:tr w:rsidR="004440CC" w:rsidRPr="003B2C9F" w14:paraId="321E6D56" w14:textId="77777777" w:rsidTr="003B2C9F">
        <w:trPr>
          <w:trHeight w:val="288"/>
        </w:trPr>
        <w:tc>
          <w:tcPr>
            <w:tcW w:w="1129" w:type="dxa"/>
            <w:noWrap/>
            <w:hideMark/>
          </w:tcPr>
          <w:p w14:paraId="7C086603"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10-Aug-22</w:t>
            </w:r>
          </w:p>
        </w:tc>
        <w:tc>
          <w:tcPr>
            <w:tcW w:w="7797" w:type="dxa"/>
            <w:noWrap/>
            <w:hideMark/>
          </w:tcPr>
          <w:p w14:paraId="1AC290B9" w14:textId="2DC4D98C"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Carbon Market Institute</w:t>
            </w:r>
            <w:r w:rsidR="003670F4" w:rsidRPr="003B2C9F">
              <w:rPr>
                <w:rFonts w:asciiTheme="minorHAnsi" w:eastAsia="Times New Roman" w:hAnsiTheme="minorHAnsi" w:cstheme="minorHAnsi"/>
                <w:color w:val="000000"/>
                <w:sz w:val="18"/>
                <w:szCs w:val="18"/>
                <w:lang w:eastAsia="en-AU"/>
              </w:rPr>
              <w:t xml:space="preserve"> (CMI)</w:t>
            </w:r>
          </w:p>
        </w:tc>
        <w:tc>
          <w:tcPr>
            <w:tcW w:w="1134" w:type="dxa"/>
            <w:noWrap/>
            <w:hideMark/>
          </w:tcPr>
          <w:p w14:paraId="3536D6AF"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13D6CA5F" w14:textId="72954949"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Introduction to the CMI and initial views on the </w:t>
            </w:r>
            <w:r w:rsidR="0047574B" w:rsidRPr="003B2C9F">
              <w:rPr>
                <w:rFonts w:asciiTheme="minorHAnsi" w:eastAsia="Times New Roman" w:hAnsiTheme="minorHAnsi" w:cstheme="minorHAnsi"/>
                <w:color w:val="000000"/>
                <w:sz w:val="18"/>
                <w:szCs w:val="18"/>
                <w:lang w:eastAsia="en-AU"/>
              </w:rPr>
              <w:t>Terms of reference (</w:t>
            </w:r>
            <w:r w:rsidRPr="003B2C9F">
              <w:rPr>
                <w:rFonts w:asciiTheme="minorHAnsi" w:eastAsia="Times New Roman" w:hAnsiTheme="minorHAnsi" w:cstheme="minorHAnsi"/>
                <w:color w:val="000000"/>
                <w:sz w:val="18"/>
                <w:szCs w:val="18"/>
                <w:lang w:eastAsia="en-AU"/>
              </w:rPr>
              <w:t>ToR</w:t>
            </w:r>
            <w:r w:rsidR="0047574B" w:rsidRPr="003B2C9F">
              <w:rPr>
                <w:rFonts w:asciiTheme="minorHAnsi" w:eastAsia="Times New Roman" w:hAnsiTheme="minorHAnsi" w:cstheme="minorHAnsi"/>
                <w:color w:val="000000"/>
                <w:sz w:val="18"/>
                <w:szCs w:val="18"/>
                <w:lang w:eastAsia="en-AU"/>
              </w:rPr>
              <w:t>)</w:t>
            </w:r>
          </w:p>
        </w:tc>
      </w:tr>
      <w:tr w:rsidR="004440CC" w:rsidRPr="003B2C9F" w14:paraId="646D9254" w14:textId="77777777" w:rsidTr="003B2C9F">
        <w:trPr>
          <w:trHeight w:val="288"/>
        </w:trPr>
        <w:tc>
          <w:tcPr>
            <w:tcW w:w="1129" w:type="dxa"/>
            <w:noWrap/>
            <w:hideMark/>
          </w:tcPr>
          <w:p w14:paraId="54555961"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19-Aug-22</w:t>
            </w:r>
          </w:p>
        </w:tc>
        <w:tc>
          <w:tcPr>
            <w:tcW w:w="7797" w:type="dxa"/>
            <w:noWrap/>
            <w:hideMark/>
          </w:tcPr>
          <w:p w14:paraId="2427D78E" w14:textId="40936D6B"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ANU-UNSW </w:t>
            </w:r>
            <w:r w:rsidR="0047574B" w:rsidRPr="003B2C9F">
              <w:rPr>
                <w:rFonts w:asciiTheme="minorHAnsi" w:eastAsia="Times New Roman" w:hAnsiTheme="minorHAnsi" w:cstheme="minorHAnsi"/>
                <w:color w:val="000000"/>
                <w:sz w:val="18"/>
                <w:szCs w:val="18"/>
                <w:lang w:eastAsia="en-AU"/>
              </w:rPr>
              <w:t xml:space="preserve">ERF Research </w:t>
            </w:r>
            <w:r w:rsidRPr="003B2C9F">
              <w:rPr>
                <w:rFonts w:asciiTheme="minorHAnsi" w:eastAsia="Times New Roman" w:hAnsiTheme="minorHAnsi" w:cstheme="minorHAnsi"/>
                <w:color w:val="000000"/>
                <w:sz w:val="18"/>
                <w:szCs w:val="18"/>
                <w:lang w:eastAsia="en-AU"/>
              </w:rPr>
              <w:t>Team</w:t>
            </w:r>
          </w:p>
        </w:tc>
        <w:tc>
          <w:tcPr>
            <w:tcW w:w="1134" w:type="dxa"/>
            <w:noWrap/>
            <w:hideMark/>
          </w:tcPr>
          <w:p w14:paraId="27851AEF"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38670D14" w14:textId="63EEA820"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Published </w:t>
            </w:r>
            <w:r w:rsidR="00162E6D" w:rsidRPr="003B2C9F">
              <w:rPr>
                <w:rFonts w:asciiTheme="minorHAnsi" w:eastAsia="Times New Roman" w:hAnsiTheme="minorHAnsi" w:cstheme="minorHAnsi"/>
                <w:color w:val="000000"/>
                <w:sz w:val="18"/>
                <w:szCs w:val="18"/>
                <w:lang w:eastAsia="en-AU"/>
              </w:rPr>
              <w:t xml:space="preserve">papers about the </w:t>
            </w:r>
            <w:r w:rsidRPr="003B2C9F">
              <w:rPr>
                <w:rFonts w:asciiTheme="minorHAnsi" w:eastAsia="Times New Roman" w:hAnsiTheme="minorHAnsi" w:cstheme="minorHAnsi"/>
                <w:color w:val="000000"/>
                <w:sz w:val="18"/>
                <w:szCs w:val="18"/>
                <w:lang w:eastAsia="en-AU"/>
              </w:rPr>
              <w:t>ACCU scheme</w:t>
            </w:r>
          </w:p>
        </w:tc>
      </w:tr>
      <w:tr w:rsidR="004440CC" w:rsidRPr="003B2C9F" w14:paraId="5E817D58" w14:textId="77777777" w:rsidTr="003B2C9F">
        <w:trPr>
          <w:trHeight w:val="288"/>
        </w:trPr>
        <w:tc>
          <w:tcPr>
            <w:tcW w:w="1129" w:type="dxa"/>
            <w:noWrap/>
            <w:hideMark/>
          </w:tcPr>
          <w:p w14:paraId="5A938717"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22-Aug-22</w:t>
            </w:r>
          </w:p>
        </w:tc>
        <w:tc>
          <w:tcPr>
            <w:tcW w:w="7797" w:type="dxa"/>
            <w:noWrap/>
            <w:hideMark/>
          </w:tcPr>
          <w:p w14:paraId="209C1EBD"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Queensland Department of Environment and Science</w:t>
            </w:r>
          </w:p>
        </w:tc>
        <w:tc>
          <w:tcPr>
            <w:tcW w:w="1134" w:type="dxa"/>
            <w:noWrap/>
            <w:hideMark/>
          </w:tcPr>
          <w:p w14:paraId="2053F9DA"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50A4D4B8" w14:textId="02D5226E"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Qld</w:t>
            </w:r>
            <w:r w:rsidR="004440CC" w:rsidRPr="003B2C9F">
              <w:rPr>
                <w:rFonts w:asciiTheme="minorHAnsi" w:eastAsia="Times New Roman" w:hAnsiTheme="minorHAnsi" w:cstheme="minorHAnsi"/>
                <w:color w:val="000000"/>
                <w:sz w:val="18"/>
                <w:szCs w:val="18"/>
                <w:lang w:eastAsia="en-AU"/>
              </w:rPr>
              <w:t xml:space="preserve"> Land Restoration Fund, ACCUs, ToR</w:t>
            </w:r>
          </w:p>
        </w:tc>
      </w:tr>
      <w:tr w:rsidR="004440CC" w:rsidRPr="003B2C9F" w14:paraId="51A31370" w14:textId="77777777" w:rsidTr="003B2C9F">
        <w:trPr>
          <w:trHeight w:val="288"/>
        </w:trPr>
        <w:tc>
          <w:tcPr>
            <w:tcW w:w="1129" w:type="dxa"/>
            <w:noWrap/>
            <w:hideMark/>
          </w:tcPr>
          <w:p w14:paraId="28B28564"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31-Aug-22</w:t>
            </w:r>
          </w:p>
        </w:tc>
        <w:tc>
          <w:tcPr>
            <w:tcW w:w="7797" w:type="dxa"/>
            <w:noWrap/>
            <w:hideMark/>
          </w:tcPr>
          <w:p w14:paraId="105B194A" w14:textId="4D242099"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Mugga Lane </w:t>
            </w:r>
            <w:r w:rsidR="009D2C2B" w:rsidRPr="003B2C9F">
              <w:rPr>
                <w:rFonts w:asciiTheme="minorHAnsi" w:eastAsia="Times New Roman" w:hAnsiTheme="minorHAnsi" w:cstheme="minorHAnsi"/>
                <w:color w:val="000000"/>
                <w:sz w:val="18"/>
                <w:szCs w:val="18"/>
                <w:lang w:eastAsia="en-AU"/>
              </w:rPr>
              <w:t>l</w:t>
            </w:r>
            <w:r w:rsidR="0047574B" w:rsidRPr="003B2C9F">
              <w:rPr>
                <w:rFonts w:asciiTheme="minorHAnsi" w:eastAsia="Times New Roman" w:hAnsiTheme="minorHAnsi" w:cstheme="minorHAnsi"/>
                <w:color w:val="000000"/>
                <w:sz w:val="18"/>
                <w:szCs w:val="18"/>
                <w:lang w:eastAsia="en-AU"/>
              </w:rPr>
              <w:t>andfill Canberra – operated</w:t>
            </w:r>
            <w:r w:rsidRPr="003B2C9F">
              <w:rPr>
                <w:rFonts w:asciiTheme="minorHAnsi" w:eastAsia="Times New Roman" w:hAnsiTheme="minorHAnsi" w:cstheme="minorHAnsi"/>
                <w:color w:val="000000"/>
                <w:sz w:val="18"/>
                <w:szCs w:val="18"/>
                <w:lang w:eastAsia="en-AU"/>
              </w:rPr>
              <w:t xml:space="preserve"> by LGI</w:t>
            </w:r>
          </w:p>
        </w:tc>
        <w:tc>
          <w:tcPr>
            <w:tcW w:w="1134" w:type="dxa"/>
            <w:noWrap/>
            <w:hideMark/>
          </w:tcPr>
          <w:p w14:paraId="11E5E3EF"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3B65F635" w14:textId="6EDEDF8F"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Landfill gas methods, ToR</w:t>
            </w:r>
          </w:p>
        </w:tc>
      </w:tr>
      <w:tr w:rsidR="004440CC" w:rsidRPr="003B2C9F" w14:paraId="3D309EF4" w14:textId="77777777" w:rsidTr="003B2C9F">
        <w:trPr>
          <w:trHeight w:val="288"/>
        </w:trPr>
        <w:tc>
          <w:tcPr>
            <w:tcW w:w="1129" w:type="dxa"/>
            <w:noWrap/>
            <w:hideMark/>
          </w:tcPr>
          <w:p w14:paraId="782D94C3"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2-Sep-22</w:t>
            </w:r>
          </w:p>
        </w:tc>
        <w:tc>
          <w:tcPr>
            <w:tcW w:w="7797" w:type="dxa"/>
            <w:noWrap/>
            <w:hideMark/>
          </w:tcPr>
          <w:p w14:paraId="2C193E7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Grattan Institute, Market Advisory Group</w:t>
            </w:r>
          </w:p>
        </w:tc>
        <w:tc>
          <w:tcPr>
            <w:tcW w:w="1134" w:type="dxa"/>
            <w:noWrap/>
            <w:hideMark/>
          </w:tcPr>
          <w:p w14:paraId="5F7E61A6"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0E751844" w14:textId="49541578"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ACCU </w:t>
            </w:r>
            <w:r w:rsidR="0047574B" w:rsidRPr="003B2C9F">
              <w:rPr>
                <w:rFonts w:asciiTheme="minorHAnsi" w:eastAsia="Times New Roman" w:hAnsiTheme="minorHAnsi" w:cstheme="minorHAnsi"/>
                <w:color w:val="000000"/>
                <w:sz w:val="18"/>
                <w:szCs w:val="18"/>
                <w:lang w:eastAsia="en-AU"/>
              </w:rPr>
              <w:t>market</w:t>
            </w:r>
          </w:p>
        </w:tc>
      </w:tr>
      <w:tr w:rsidR="004440CC" w:rsidRPr="003B2C9F" w14:paraId="3A5D6E74" w14:textId="77777777" w:rsidTr="003B2C9F">
        <w:trPr>
          <w:trHeight w:val="288"/>
        </w:trPr>
        <w:tc>
          <w:tcPr>
            <w:tcW w:w="1129" w:type="dxa"/>
            <w:noWrap/>
            <w:hideMark/>
          </w:tcPr>
          <w:p w14:paraId="0D4EBD9A"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5-Sep-22</w:t>
            </w:r>
          </w:p>
        </w:tc>
        <w:tc>
          <w:tcPr>
            <w:tcW w:w="7797" w:type="dxa"/>
            <w:noWrap/>
            <w:hideMark/>
          </w:tcPr>
          <w:p w14:paraId="5E15D000"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Clean Energy Regulator</w:t>
            </w:r>
          </w:p>
        </w:tc>
        <w:tc>
          <w:tcPr>
            <w:tcW w:w="1134" w:type="dxa"/>
            <w:noWrap/>
            <w:hideMark/>
          </w:tcPr>
          <w:p w14:paraId="05D972E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0219FF22" w14:textId="08E7D89A"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ToR, HIR including 'gateway checks'</w:t>
            </w:r>
          </w:p>
        </w:tc>
      </w:tr>
      <w:tr w:rsidR="004440CC" w:rsidRPr="003B2C9F" w14:paraId="589DA075" w14:textId="77777777" w:rsidTr="003B2C9F">
        <w:trPr>
          <w:trHeight w:val="288"/>
        </w:trPr>
        <w:tc>
          <w:tcPr>
            <w:tcW w:w="1129" w:type="dxa"/>
            <w:noWrap/>
            <w:hideMark/>
          </w:tcPr>
          <w:p w14:paraId="2D632D57"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6-Sep-22</w:t>
            </w:r>
          </w:p>
        </w:tc>
        <w:tc>
          <w:tcPr>
            <w:tcW w:w="7797" w:type="dxa"/>
            <w:noWrap/>
            <w:hideMark/>
          </w:tcPr>
          <w:p w14:paraId="3446ED06" w14:textId="47E30842"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Agriculture </w:t>
            </w:r>
            <w:r w:rsidR="0047574B" w:rsidRPr="003B2C9F">
              <w:rPr>
                <w:rFonts w:asciiTheme="minorHAnsi" w:eastAsia="Times New Roman" w:hAnsiTheme="minorHAnsi" w:cstheme="minorHAnsi"/>
                <w:color w:val="000000"/>
                <w:sz w:val="18"/>
                <w:szCs w:val="18"/>
                <w:lang w:eastAsia="en-AU"/>
              </w:rPr>
              <w:t xml:space="preserve">industry </w:t>
            </w:r>
            <w:r w:rsidRPr="003B2C9F">
              <w:rPr>
                <w:rFonts w:asciiTheme="minorHAnsi" w:eastAsia="Times New Roman" w:hAnsiTheme="minorHAnsi" w:cstheme="minorHAnsi"/>
                <w:color w:val="000000"/>
                <w:sz w:val="18"/>
                <w:szCs w:val="18"/>
                <w:lang w:eastAsia="en-AU"/>
              </w:rPr>
              <w:t>- National Farmers Federation, Farmers for Climate Action, Future Farmers Network</w:t>
            </w:r>
          </w:p>
        </w:tc>
        <w:tc>
          <w:tcPr>
            <w:tcW w:w="1134" w:type="dxa"/>
            <w:noWrap/>
            <w:hideMark/>
          </w:tcPr>
          <w:p w14:paraId="1FFFDD5E"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35DC1EFD" w14:textId="7962657F"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Integrated Farm Method, </w:t>
            </w:r>
            <w:r w:rsidR="009D2C2B" w:rsidRPr="003B2C9F">
              <w:rPr>
                <w:rFonts w:asciiTheme="minorHAnsi" w:eastAsia="Times New Roman" w:hAnsiTheme="minorHAnsi" w:cstheme="minorHAnsi"/>
                <w:color w:val="000000"/>
                <w:sz w:val="18"/>
                <w:szCs w:val="18"/>
                <w:lang w:eastAsia="en-AU"/>
              </w:rPr>
              <w:t>human-induced regeneration (</w:t>
            </w:r>
            <w:r w:rsidRPr="003B2C9F">
              <w:rPr>
                <w:rFonts w:asciiTheme="minorHAnsi" w:eastAsia="Times New Roman" w:hAnsiTheme="minorHAnsi" w:cstheme="minorHAnsi"/>
                <w:color w:val="000000"/>
                <w:sz w:val="18"/>
                <w:szCs w:val="18"/>
                <w:lang w:eastAsia="en-AU"/>
              </w:rPr>
              <w:t>HIR</w:t>
            </w:r>
            <w:r w:rsidR="009D2C2B" w:rsidRPr="003B2C9F">
              <w:rPr>
                <w:rFonts w:asciiTheme="minorHAnsi" w:eastAsia="Times New Roman" w:hAnsiTheme="minorHAnsi" w:cstheme="minorHAnsi"/>
                <w:color w:val="000000"/>
                <w:sz w:val="18"/>
                <w:szCs w:val="18"/>
                <w:lang w:eastAsia="en-AU"/>
              </w:rPr>
              <w:t>) method</w:t>
            </w:r>
          </w:p>
        </w:tc>
      </w:tr>
      <w:tr w:rsidR="004440CC" w:rsidRPr="003B2C9F" w14:paraId="7FD788D7" w14:textId="77777777" w:rsidTr="003B2C9F">
        <w:trPr>
          <w:trHeight w:val="288"/>
        </w:trPr>
        <w:tc>
          <w:tcPr>
            <w:tcW w:w="1129" w:type="dxa"/>
            <w:noWrap/>
            <w:hideMark/>
          </w:tcPr>
          <w:p w14:paraId="32218C76"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12-14-Sep-22</w:t>
            </w:r>
          </w:p>
        </w:tc>
        <w:tc>
          <w:tcPr>
            <w:tcW w:w="7797" w:type="dxa"/>
            <w:noWrap/>
            <w:hideMark/>
          </w:tcPr>
          <w:p w14:paraId="0E28B336" w14:textId="0F44376E"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Cobar, NSW - Climate Friendly, GreenCollar, </w:t>
            </w:r>
            <w:r w:rsidR="009D2C2B" w:rsidRPr="003B2C9F">
              <w:rPr>
                <w:rFonts w:asciiTheme="minorHAnsi" w:eastAsia="Times New Roman" w:hAnsiTheme="minorHAnsi" w:cstheme="minorHAnsi"/>
                <w:color w:val="000000"/>
                <w:sz w:val="18"/>
                <w:szCs w:val="18"/>
                <w:lang w:eastAsia="en-AU"/>
              </w:rPr>
              <w:t xml:space="preserve">NSW Government, ACCU scheme participants, </w:t>
            </w:r>
            <w:r w:rsidRPr="003B2C9F">
              <w:rPr>
                <w:rFonts w:asciiTheme="minorHAnsi" w:eastAsia="Times New Roman" w:hAnsiTheme="minorHAnsi" w:cstheme="minorHAnsi"/>
                <w:color w:val="000000"/>
                <w:sz w:val="18"/>
                <w:szCs w:val="18"/>
                <w:lang w:eastAsia="en-AU"/>
              </w:rPr>
              <w:t>Cobar Shire Council, NSW Local Aboriginal Land Council</w:t>
            </w:r>
            <w:r w:rsidR="0047574B" w:rsidRPr="003B2C9F">
              <w:rPr>
                <w:rFonts w:asciiTheme="minorHAnsi" w:eastAsia="Times New Roman" w:hAnsiTheme="minorHAnsi" w:cstheme="minorHAnsi"/>
                <w:color w:val="000000"/>
                <w:sz w:val="18"/>
                <w:szCs w:val="18"/>
                <w:lang w:eastAsia="en-AU"/>
              </w:rPr>
              <w:t xml:space="preserve">. </w:t>
            </w:r>
            <w:r w:rsidR="009D2C2B" w:rsidRPr="003B2C9F">
              <w:rPr>
                <w:rFonts w:asciiTheme="minorHAnsi" w:eastAsia="Times New Roman" w:hAnsiTheme="minorHAnsi" w:cstheme="minorHAnsi"/>
                <w:color w:val="000000"/>
                <w:sz w:val="18"/>
                <w:szCs w:val="18"/>
                <w:lang w:eastAsia="en-AU"/>
              </w:rPr>
              <w:t>Site v</w:t>
            </w:r>
            <w:r w:rsidR="0047574B" w:rsidRPr="003B2C9F">
              <w:rPr>
                <w:rFonts w:asciiTheme="minorHAnsi" w:eastAsia="Times New Roman" w:hAnsiTheme="minorHAnsi" w:cstheme="minorHAnsi"/>
                <w:color w:val="000000"/>
                <w:sz w:val="18"/>
                <w:szCs w:val="18"/>
                <w:lang w:eastAsia="en-AU"/>
              </w:rPr>
              <w:t>isits to HIR and avoided deforestation projects.</w:t>
            </w:r>
          </w:p>
        </w:tc>
        <w:tc>
          <w:tcPr>
            <w:tcW w:w="1134" w:type="dxa"/>
            <w:noWrap/>
            <w:hideMark/>
          </w:tcPr>
          <w:p w14:paraId="4A6FD2B1"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3EF2B35B" w14:textId="305E1CD5" w:rsidR="004440CC" w:rsidRPr="003B2C9F" w:rsidRDefault="009D2C2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HIR, ToR, a</w:t>
            </w:r>
            <w:r w:rsidR="0047574B" w:rsidRPr="003B2C9F">
              <w:rPr>
                <w:rFonts w:asciiTheme="minorHAnsi" w:eastAsia="Times New Roman" w:hAnsiTheme="minorHAnsi" w:cstheme="minorHAnsi"/>
                <w:color w:val="000000"/>
                <w:sz w:val="18"/>
                <w:szCs w:val="18"/>
                <w:lang w:eastAsia="en-AU"/>
              </w:rPr>
              <w:t xml:space="preserve">voided </w:t>
            </w:r>
            <w:r w:rsidRPr="003B2C9F">
              <w:rPr>
                <w:rFonts w:asciiTheme="minorHAnsi" w:eastAsia="Times New Roman" w:hAnsiTheme="minorHAnsi" w:cstheme="minorHAnsi"/>
                <w:color w:val="000000"/>
                <w:sz w:val="18"/>
                <w:szCs w:val="18"/>
                <w:lang w:eastAsia="en-AU"/>
              </w:rPr>
              <w:t>d</w:t>
            </w:r>
            <w:r w:rsidR="0047574B" w:rsidRPr="003B2C9F">
              <w:rPr>
                <w:rFonts w:asciiTheme="minorHAnsi" w:eastAsia="Times New Roman" w:hAnsiTheme="minorHAnsi" w:cstheme="minorHAnsi"/>
                <w:color w:val="000000"/>
                <w:sz w:val="18"/>
                <w:szCs w:val="18"/>
                <w:lang w:eastAsia="en-AU"/>
              </w:rPr>
              <w:t>eforestation</w:t>
            </w:r>
            <w:r w:rsidRPr="003B2C9F">
              <w:rPr>
                <w:rFonts w:asciiTheme="minorHAnsi" w:eastAsia="Times New Roman" w:hAnsiTheme="minorHAnsi" w:cstheme="minorHAnsi"/>
                <w:color w:val="000000"/>
                <w:sz w:val="18"/>
                <w:szCs w:val="18"/>
                <w:lang w:eastAsia="en-AU"/>
              </w:rPr>
              <w:t xml:space="preserve"> method</w:t>
            </w:r>
            <w:r w:rsidR="0047574B" w:rsidRPr="003B2C9F">
              <w:rPr>
                <w:rFonts w:asciiTheme="minorHAnsi" w:eastAsia="Times New Roman" w:hAnsiTheme="minorHAnsi" w:cstheme="minorHAnsi"/>
                <w:color w:val="000000"/>
                <w:sz w:val="18"/>
                <w:szCs w:val="18"/>
                <w:lang w:eastAsia="en-AU"/>
              </w:rPr>
              <w:t>, adverse impacts</w:t>
            </w:r>
          </w:p>
        </w:tc>
      </w:tr>
      <w:tr w:rsidR="004440CC" w:rsidRPr="003B2C9F" w14:paraId="4CE153E6" w14:textId="77777777" w:rsidTr="003B2C9F">
        <w:trPr>
          <w:trHeight w:val="288"/>
        </w:trPr>
        <w:tc>
          <w:tcPr>
            <w:tcW w:w="1129" w:type="dxa"/>
            <w:noWrap/>
            <w:hideMark/>
          </w:tcPr>
          <w:p w14:paraId="0AA997B2"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23-Sep-22</w:t>
            </w:r>
          </w:p>
        </w:tc>
        <w:tc>
          <w:tcPr>
            <w:tcW w:w="7797" w:type="dxa"/>
            <w:noWrap/>
            <w:hideMark/>
          </w:tcPr>
          <w:p w14:paraId="0CAD2C7A"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NSW Government - Environment, DPI, Treasury, Biodiversity Conservation Trust</w:t>
            </w:r>
          </w:p>
        </w:tc>
        <w:tc>
          <w:tcPr>
            <w:tcW w:w="1134" w:type="dxa"/>
            <w:noWrap/>
            <w:hideMark/>
          </w:tcPr>
          <w:p w14:paraId="6A900DD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336F38C3" w14:textId="602AC2F5"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NSW </w:t>
            </w:r>
            <w:r w:rsidR="009B1249" w:rsidRPr="003B2C9F">
              <w:rPr>
                <w:rFonts w:asciiTheme="minorHAnsi" w:eastAsia="Times New Roman" w:hAnsiTheme="minorHAnsi" w:cstheme="minorHAnsi"/>
                <w:color w:val="000000"/>
                <w:sz w:val="18"/>
                <w:szCs w:val="18"/>
                <w:lang w:eastAsia="en-AU"/>
              </w:rPr>
              <w:t>b</w:t>
            </w:r>
            <w:r w:rsidRPr="003B2C9F">
              <w:rPr>
                <w:rFonts w:asciiTheme="minorHAnsi" w:eastAsia="Times New Roman" w:hAnsiTheme="minorHAnsi" w:cstheme="minorHAnsi"/>
                <w:color w:val="000000"/>
                <w:sz w:val="18"/>
                <w:szCs w:val="18"/>
                <w:lang w:eastAsia="en-AU"/>
              </w:rPr>
              <w:t xml:space="preserve">iodiversity </w:t>
            </w:r>
            <w:r w:rsidR="009B1249" w:rsidRPr="003B2C9F">
              <w:rPr>
                <w:rFonts w:asciiTheme="minorHAnsi" w:eastAsia="Times New Roman" w:hAnsiTheme="minorHAnsi" w:cstheme="minorHAnsi"/>
                <w:color w:val="000000"/>
                <w:sz w:val="18"/>
                <w:szCs w:val="18"/>
                <w:lang w:eastAsia="en-AU"/>
              </w:rPr>
              <w:t xml:space="preserve">schemes </w:t>
            </w:r>
          </w:p>
        </w:tc>
      </w:tr>
      <w:tr w:rsidR="004440CC" w:rsidRPr="003B2C9F" w14:paraId="4391F47C" w14:textId="77777777" w:rsidTr="003B2C9F">
        <w:trPr>
          <w:trHeight w:val="288"/>
        </w:trPr>
        <w:tc>
          <w:tcPr>
            <w:tcW w:w="1129" w:type="dxa"/>
            <w:noWrap/>
            <w:hideMark/>
          </w:tcPr>
          <w:p w14:paraId="7B5C8E32"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29-Sep-22</w:t>
            </w:r>
          </w:p>
        </w:tc>
        <w:tc>
          <w:tcPr>
            <w:tcW w:w="7797" w:type="dxa"/>
            <w:noWrap/>
            <w:hideMark/>
          </w:tcPr>
          <w:p w14:paraId="1CB7036F" w14:textId="444C9E3F"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Landfill gas industry stakeholders</w:t>
            </w:r>
          </w:p>
        </w:tc>
        <w:tc>
          <w:tcPr>
            <w:tcW w:w="1134" w:type="dxa"/>
            <w:noWrap/>
            <w:hideMark/>
          </w:tcPr>
          <w:p w14:paraId="340B887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397E766D"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LFG, ToR</w:t>
            </w:r>
          </w:p>
        </w:tc>
      </w:tr>
      <w:tr w:rsidR="004440CC" w:rsidRPr="003B2C9F" w14:paraId="7F79CEA3" w14:textId="77777777" w:rsidTr="003B2C9F">
        <w:trPr>
          <w:trHeight w:val="288"/>
        </w:trPr>
        <w:tc>
          <w:tcPr>
            <w:tcW w:w="1129" w:type="dxa"/>
            <w:noWrap/>
            <w:hideMark/>
          </w:tcPr>
          <w:p w14:paraId="515D1E6D"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7-Oct-22</w:t>
            </w:r>
          </w:p>
        </w:tc>
        <w:tc>
          <w:tcPr>
            <w:tcW w:w="7797" w:type="dxa"/>
            <w:noWrap/>
            <w:hideMark/>
          </w:tcPr>
          <w:p w14:paraId="4B92AB44"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South West Queensland Regional Organisation of Councils (SWQROC)</w:t>
            </w:r>
          </w:p>
        </w:tc>
        <w:tc>
          <w:tcPr>
            <w:tcW w:w="1134" w:type="dxa"/>
            <w:noWrap/>
            <w:hideMark/>
          </w:tcPr>
          <w:p w14:paraId="54C13155"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128E7DB9" w14:textId="3766A696"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HIR, </w:t>
            </w:r>
            <w:r w:rsidR="00087CCB" w:rsidRPr="003B2C9F">
              <w:rPr>
                <w:rFonts w:asciiTheme="minorHAnsi" w:eastAsia="Times New Roman" w:hAnsiTheme="minorHAnsi" w:cstheme="minorHAnsi"/>
                <w:color w:val="000000"/>
                <w:sz w:val="18"/>
                <w:szCs w:val="18"/>
                <w:lang w:eastAsia="en-AU"/>
              </w:rPr>
              <w:t>a</w:t>
            </w:r>
            <w:r w:rsidRPr="003B2C9F">
              <w:rPr>
                <w:rFonts w:asciiTheme="minorHAnsi" w:eastAsia="Times New Roman" w:hAnsiTheme="minorHAnsi" w:cstheme="minorHAnsi"/>
                <w:color w:val="000000"/>
                <w:sz w:val="18"/>
                <w:szCs w:val="18"/>
                <w:lang w:eastAsia="en-AU"/>
              </w:rPr>
              <w:t>dverse impacts (incl. veto)</w:t>
            </w:r>
          </w:p>
        </w:tc>
      </w:tr>
      <w:tr w:rsidR="004440CC" w:rsidRPr="003B2C9F" w14:paraId="65EFD804" w14:textId="77777777" w:rsidTr="003B2C9F">
        <w:trPr>
          <w:trHeight w:val="288"/>
        </w:trPr>
        <w:tc>
          <w:tcPr>
            <w:tcW w:w="1129" w:type="dxa"/>
            <w:noWrap/>
            <w:hideMark/>
          </w:tcPr>
          <w:p w14:paraId="7EF93866"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14-Oct-22</w:t>
            </w:r>
          </w:p>
        </w:tc>
        <w:tc>
          <w:tcPr>
            <w:tcW w:w="7797" w:type="dxa"/>
            <w:noWrap/>
            <w:hideMark/>
          </w:tcPr>
          <w:p w14:paraId="1FB6AD0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Tasmanian Government</w:t>
            </w:r>
          </w:p>
        </w:tc>
        <w:tc>
          <w:tcPr>
            <w:tcW w:w="1134" w:type="dxa"/>
            <w:noWrap/>
            <w:hideMark/>
          </w:tcPr>
          <w:p w14:paraId="3E18F6C1"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5EBF24B3" w14:textId="5A984711"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w:t>
            </w:r>
            <w:r w:rsidR="0047193D" w:rsidRPr="003B2C9F">
              <w:rPr>
                <w:rFonts w:asciiTheme="minorHAnsi" w:eastAsia="Times New Roman" w:hAnsiTheme="minorHAnsi" w:cstheme="minorHAnsi"/>
                <w:color w:val="000000"/>
                <w:sz w:val="18"/>
                <w:szCs w:val="18"/>
                <w:lang w:eastAsia="en-AU"/>
              </w:rPr>
              <w:t>v</w:t>
            </w:r>
            <w:r w:rsidR="0047574B" w:rsidRPr="003B2C9F">
              <w:rPr>
                <w:rFonts w:asciiTheme="minorHAnsi" w:eastAsia="Times New Roman" w:hAnsiTheme="minorHAnsi" w:cstheme="minorHAnsi"/>
                <w:color w:val="000000"/>
                <w:sz w:val="18"/>
                <w:szCs w:val="18"/>
                <w:lang w:eastAsia="en-AU"/>
              </w:rPr>
              <w:t>egetation</w:t>
            </w:r>
            <w:r w:rsidRPr="003B2C9F">
              <w:rPr>
                <w:rFonts w:asciiTheme="minorHAnsi" w:eastAsia="Times New Roman" w:hAnsiTheme="minorHAnsi" w:cstheme="minorHAnsi"/>
                <w:color w:val="000000"/>
                <w:sz w:val="18"/>
                <w:szCs w:val="18"/>
                <w:lang w:eastAsia="en-AU"/>
              </w:rPr>
              <w:t xml:space="preserve"> methods</w:t>
            </w:r>
          </w:p>
        </w:tc>
      </w:tr>
      <w:tr w:rsidR="004440CC" w:rsidRPr="003B2C9F" w14:paraId="18532DA8" w14:textId="77777777" w:rsidTr="003B2C9F">
        <w:trPr>
          <w:trHeight w:val="288"/>
        </w:trPr>
        <w:tc>
          <w:tcPr>
            <w:tcW w:w="1129" w:type="dxa"/>
            <w:noWrap/>
            <w:hideMark/>
          </w:tcPr>
          <w:p w14:paraId="3D3F0E5C"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24-Oct-22</w:t>
            </w:r>
          </w:p>
        </w:tc>
        <w:tc>
          <w:tcPr>
            <w:tcW w:w="7797" w:type="dxa"/>
            <w:noWrap/>
            <w:hideMark/>
          </w:tcPr>
          <w:p w14:paraId="7CA03E96" w14:textId="016CB505"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DCCEEW </w:t>
            </w:r>
            <w:r w:rsidR="0047574B" w:rsidRPr="003B2C9F">
              <w:rPr>
                <w:rFonts w:asciiTheme="minorHAnsi" w:eastAsia="Times New Roman" w:hAnsiTheme="minorHAnsi" w:cstheme="minorHAnsi"/>
                <w:color w:val="000000"/>
                <w:sz w:val="18"/>
                <w:szCs w:val="18"/>
                <w:lang w:eastAsia="en-AU"/>
              </w:rPr>
              <w:t>–</w:t>
            </w:r>
            <w:r w:rsidRPr="003B2C9F">
              <w:rPr>
                <w:rFonts w:asciiTheme="minorHAnsi" w:eastAsia="Times New Roman" w:hAnsiTheme="minorHAnsi" w:cstheme="minorHAnsi"/>
                <w:color w:val="000000"/>
                <w:sz w:val="18"/>
                <w:szCs w:val="18"/>
                <w:lang w:eastAsia="en-AU"/>
              </w:rPr>
              <w:t xml:space="preserve"> Safeguard</w:t>
            </w:r>
            <w:r w:rsidR="0047574B" w:rsidRPr="003B2C9F">
              <w:rPr>
                <w:rFonts w:asciiTheme="minorHAnsi" w:eastAsia="Times New Roman" w:hAnsiTheme="minorHAnsi" w:cstheme="minorHAnsi"/>
                <w:color w:val="000000"/>
                <w:sz w:val="18"/>
                <w:szCs w:val="18"/>
                <w:lang w:eastAsia="en-AU"/>
              </w:rPr>
              <w:t xml:space="preserve"> mechanism</w:t>
            </w:r>
          </w:p>
        </w:tc>
        <w:tc>
          <w:tcPr>
            <w:tcW w:w="1134" w:type="dxa"/>
            <w:noWrap/>
            <w:hideMark/>
          </w:tcPr>
          <w:p w14:paraId="2A8E0AF6"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26474C9F" w14:textId="2764288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Safeguard</w:t>
            </w:r>
            <w:r w:rsidR="0047193D" w:rsidRPr="003B2C9F">
              <w:rPr>
                <w:rFonts w:asciiTheme="minorHAnsi" w:eastAsia="Times New Roman" w:hAnsiTheme="minorHAnsi" w:cstheme="minorHAnsi"/>
                <w:color w:val="000000"/>
                <w:sz w:val="18"/>
                <w:szCs w:val="18"/>
                <w:lang w:eastAsia="en-AU"/>
              </w:rPr>
              <w:t xml:space="preserve"> mechanism</w:t>
            </w:r>
          </w:p>
        </w:tc>
      </w:tr>
      <w:tr w:rsidR="004440CC" w:rsidRPr="003B2C9F" w14:paraId="578E1E6A" w14:textId="77777777" w:rsidTr="003B2C9F">
        <w:trPr>
          <w:trHeight w:val="288"/>
        </w:trPr>
        <w:tc>
          <w:tcPr>
            <w:tcW w:w="1129" w:type="dxa"/>
            <w:noWrap/>
            <w:hideMark/>
          </w:tcPr>
          <w:p w14:paraId="4A0B3ADB"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26-Oct-22</w:t>
            </w:r>
          </w:p>
        </w:tc>
        <w:tc>
          <w:tcPr>
            <w:tcW w:w="7797" w:type="dxa"/>
            <w:noWrap/>
            <w:hideMark/>
          </w:tcPr>
          <w:p w14:paraId="750B1FF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The Australia Institute</w:t>
            </w:r>
          </w:p>
        </w:tc>
        <w:tc>
          <w:tcPr>
            <w:tcW w:w="1134" w:type="dxa"/>
            <w:noWrap/>
            <w:hideMark/>
          </w:tcPr>
          <w:p w14:paraId="46D68ECA"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Both</w:t>
            </w:r>
          </w:p>
        </w:tc>
        <w:tc>
          <w:tcPr>
            <w:tcW w:w="5670" w:type="dxa"/>
            <w:noWrap/>
            <w:hideMark/>
          </w:tcPr>
          <w:p w14:paraId="3030B4A0"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w:t>
            </w:r>
          </w:p>
        </w:tc>
      </w:tr>
      <w:tr w:rsidR="004440CC" w:rsidRPr="003B2C9F" w14:paraId="795216FF" w14:textId="77777777" w:rsidTr="003B2C9F">
        <w:trPr>
          <w:trHeight w:val="288"/>
        </w:trPr>
        <w:tc>
          <w:tcPr>
            <w:tcW w:w="1129" w:type="dxa"/>
            <w:noWrap/>
            <w:hideMark/>
          </w:tcPr>
          <w:p w14:paraId="02319C82"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26-Oct-22</w:t>
            </w:r>
          </w:p>
        </w:tc>
        <w:tc>
          <w:tcPr>
            <w:tcW w:w="7797" w:type="dxa"/>
            <w:noWrap/>
            <w:hideMark/>
          </w:tcPr>
          <w:p w14:paraId="779B7648"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CCS and DAC Stakeholders</w:t>
            </w:r>
          </w:p>
        </w:tc>
        <w:tc>
          <w:tcPr>
            <w:tcW w:w="1134" w:type="dxa"/>
            <w:noWrap/>
            <w:hideMark/>
          </w:tcPr>
          <w:p w14:paraId="22159687"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313C81F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Submissions</w:t>
            </w:r>
          </w:p>
        </w:tc>
      </w:tr>
      <w:tr w:rsidR="004440CC" w:rsidRPr="003B2C9F" w14:paraId="7B0626B0" w14:textId="77777777" w:rsidTr="003B2C9F">
        <w:trPr>
          <w:trHeight w:val="288"/>
        </w:trPr>
        <w:tc>
          <w:tcPr>
            <w:tcW w:w="1129" w:type="dxa"/>
            <w:noWrap/>
            <w:hideMark/>
          </w:tcPr>
          <w:p w14:paraId="5D493F07"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1-Nov-22</w:t>
            </w:r>
          </w:p>
        </w:tc>
        <w:tc>
          <w:tcPr>
            <w:tcW w:w="7797" w:type="dxa"/>
            <w:noWrap/>
            <w:hideMark/>
          </w:tcPr>
          <w:p w14:paraId="5525E5AF" w14:textId="130C411F"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Dr </w:t>
            </w:r>
            <w:r w:rsidR="0047574B" w:rsidRPr="003B2C9F">
              <w:rPr>
                <w:rFonts w:asciiTheme="minorHAnsi" w:eastAsia="Times New Roman" w:hAnsiTheme="minorHAnsi" w:cstheme="minorHAnsi"/>
                <w:color w:val="000000"/>
                <w:sz w:val="18"/>
                <w:szCs w:val="18"/>
                <w:lang w:eastAsia="en-AU"/>
              </w:rPr>
              <w:t>Beverl</w:t>
            </w:r>
            <w:r w:rsidR="006D39C3" w:rsidRPr="003B2C9F">
              <w:rPr>
                <w:rFonts w:asciiTheme="minorHAnsi" w:eastAsia="Times New Roman" w:hAnsiTheme="minorHAnsi" w:cstheme="minorHAnsi"/>
                <w:color w:val="000000"/>
                <w:sz w:val="18"/>
                <w:szCs w:val="18"/>
                <w:lang w:eastAsia="en-AU"/>
              </w:rPr>
              <w:t>e</w:t>
            </w:r>
            <w:r w:rsidR="0047574B" w:rsidRPr="003B2C9F">
              <w:rPr>
                <w:rFonts w:asciiTheme="minorHAnsi" w:eastAsia="Times New Roman" w:hAnsiTheme="minorHAnsi" w:cstheme="minorHAnsi"/>
                <w:color w:val="000000"/>
                <w:sz w:val="18"/>
                <w:szCs w:val="18"/>
                <w:lang w:eastAsia="en-AU"/>
              </w:rPr>
              <w:t>y</w:t>
            </w:r>
            <w:r w:rsidRPr="003B2C9F">
              <w:rPr>
                <w:rFonts w:asciiTheme="minorHAnsi" w:eastAsia="Times New Roman" w:hAnsiTheme="minorHAnsi" w:cstheme="minorHAnsi"/>
                <w:color w:val="000000"/>
                <w:sz w:val="18"/>
                <w:szCs w:val="18"/>
                <w:lang w:eastAsia="en-AU"/>
              </w:rPr>
              <w:t xml:space="preserve"> Henry</w:t>
            </w:r>
          </w:p>
        </w:tc>
        <w:tc>
          <w:tcPr>
            <w:tcW w:w="1134" w:type="dxa"/>
            <w:noWrap/>
            <w:hideMark/>
          </w:tcPr>
          <w:p w14:paraId="29E94145"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7479AD9C"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w:t>
            </w:r>
          </w:p>
        </w:tc>
      </w:tr>
      <w:tr w:rsidR="004440CC" w:rsidRPr="003B2C9F" w14:paraId="0A1E81BB" w14:textId="77777777" w:rsidTr="003B2C9F">
        <w:trPr>
          <w:trHeight w:val="288"/>
        </w:trPr>
        <w:tc>
          <w:tcPr>
            <w:tcW w:w="1129" w:type="dxa"/>
            <w:noWrap/>
            <w:hideMark/>
          </w:tcPr>
          <w:p w14:paraId="3607393B"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2-Nov-22</w:t>
            </w:r>
          </w:p>
        </w:tc>
        <w:tc>
          <w:tcPr>
            <w:tcW w:w="7797" w:type="dxa"/>
            <w:noWrap/>
            <w:hideMark/>
          </w:tcPr>
          <w:p w14:paraId="701C72D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Dr Megan Evans</w:t>
            </w:r>
          </w:p>
        </w:tc>
        <w:tc>
          <w:tcPr>
            <w:tcW w:w="1134" w:type="dxa"/>
            <w:noWrap/>
            <w:hideMark/>
          </w:tcPr>
          <w:p w14:paraId="0E6E0A35"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2E8A48F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w:t>
            </w:r>
          </w:p>
        </w:tc>
      </w:tr>
      <w:tr w:rsidR="004440CC" w:rsidRPr="003B2C9F" w14:paraId="7371F370" w14:textId="77777777" w:rsidTr="003B2C9F">
        <w:trPr>
          <w:trHeight w:val="288"/>
        </w:trPr>
        <w:tc>
          <w:tcPr>
            <w:tcW w:w="1129" w:type="dxa"/>
            <w:noWrap/>
            <w:hideMark/>
          </w:tcPr>
          <w:p w14:paraId="4F638D6B"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2-Nov-22</w:t>
            </w:r>
          </w:p>
        </w:tc>
        <w:tc>
          <w:tcPr>
            <w:tcW w:w="7797" w:type="dxa"/>
            <w:noWrap/>
            <w:hideMark/>
          </w:tcPr>
          <w:p w14:paraId="45668770"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Professor Andrew Macintosh</w:t>
            </w:r>
          </w:p>
        </w:tc>
        <w:tc>
          <w:tcPr>
            <w:tcW w:w="1134" w:type="dxa"/>
            <w:noWrap/>
            <w:hideMark/>
          </w:tcPr>
          <w:p w14:paraId="09669B5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40616524"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ERAC experiences and reflections</w:t>
            </w:r>
          </w:p>
        </w:tc>
      </w:tr>
      <w:tr w:rsidR="004440CC" w:rsidRPr="003B2C9F" w14:paraId="7EFF1EC9" w14:textId="77777777" w:rsidTr="003B2C9F">
        <w:trPr>
          <w:trHeight w:val="288"/>
        </w:trPr>
        <w:tc>
          <w:tcPr>
            <w:tcW w:w="1129" w:type="dxa"/>
            <w:noWrap/>
            <w:hideMark/>
          </w:tcPr>
          <w:p w14:paraId="7594F5F6"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2-Nov-22</w:t>
            </w:r>
          </w:p>
        </w:tc>
        <w:tc>
          <w:tcPr>
            <w:tcW w:w="7797" w:type="dxa"/>
            <w:noWrap/>
            <w:hideMark/>
          </w:tcPr>
          <w:p w14:paraId="788D1CAA"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DCCEEW - Climate Active</w:t>
            </w:r>
          </w:p>
        </w:tc>
        <w:tc>
          <w:tcPr>
            <w:tcW w:w="1134" w:type="dxa"/>
            <w:noWrap/>
            <w:hideMark/>
          </w:tcPr>
          <w:p w14:paraId="58918EB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631D8834" w14:textId="4E7A51A8"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Climate Active, </w:t>
            </w:r>
            <w:r w:rsidR="0047574B" w:rsidRPr="003B2C9F">
              <w:rPr>
                <w:rFonts w:asciiTheme="minorHAnsi" w:eastAsia="Times New Roman" w:hAnsiTheme="minorHAnsi" w:cstheme="minorHAnsi"/>
                <w:color w:val="000000"/>
                <w:sz w:val="18"/>
                <w:szCs w:val="18"/>
                <w:lang w:eastAsia="en-AU"/>
              </w:rPr>
              <w:t>relevant submissions</w:t>
            </w:r>
          </w:p>
        </w:tc>
      </w:tr>
      <w:tr w:rsidR="004440CC" w:rsidRPr="003B2C9F" w14:paraId="5366D2F8" w14:textId="77777777" w:rsidTr="003B2C9F">
        <w:trPr>
          <w:trHeight w:val="288"/>
        </w:trPr>
        <w:tc>
          <w:tcPr>
            <w:tcW w:w="1129" w:type="dxa"/>
            <w:noWrap/>
            <w:hideMark/>
          </w:tcPr>
          <w:p w14:paraId="1C4CF471"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10-Nov-22</w:t>
            </w:r>
          </w:p>
        </w:tc>
        <w:tc>
          <w:tcPr>
            <w:tcW w:w="7797" w:type="dxa"/>
            <w:noWrap/>
            <w:hideMark/>
          </w:tcPr>
          <w:p w14:paraId="7015F3FD" w14:textId="50C1911B"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First Nations stakeholders, facilitated by the Indigenous Carbon Industry Network</w:t>
            </w:r>
          </w:p>
        </w:tc>
        <w:tc>
          <w:tcPr>
            <w:tcW w:w="1134" w:type="dxa"/>
            <w:noWrap/>
            <w:hideMark/>
          </w:tcPr>
          <w:p w14:paraId="153E1A30"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0A7F5EDC" w14:textId="75D303AF"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w:t>
            </w:r>
            <w:r w:rsidR="0047193D" w:rsidRPr="003B2C9F">
              <w:rPr>
                <w:rFonts w:asciiTheme="minorHAnsi" w:eastAsia="Times New Roman" w:hAnsiTheme="minorHAnsi" w:cstheme="minorHAnsi"/>
                <w:color w:val="000000"/>
                <w:sz w:val="18"/>
                <w:szCs w:val="18"/>
                <w:lang w:eastAsia="en-AU"/>
              </w:rPr>
              <w:t>experiences with the ACCU scheme</w:t>
            </w:r>
          </w:p>
        </w:tc>
      </w:tr>
      <w:tr w:rsidR="004440CC" w:rsidRPr="003B2C9F" w14:paraId="73FB6835" w14:textId="77777777" w:rsidTr="003B2C9F">
        <w:trPr>
          <w:trHeight w:val="288"/>
        </w:trPr>
        <w:tc>
          <w:tcPr>
            <w:tcW w:w="1129" w:type="dxa"/>
            <w:noWrap/>
            <w:hideMark/>
          </w:tcPr>
          <w:p w14:paraId="2AB86503"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11-Nov-22</w:t>
            </w:r>
          </w:p>
        </w:tc>
        <w:tc>
          <w:tcPr>
            <w:tcW w:w="7797" w:type="dxa"/>
            <w:noWrap/>
            <w:hideMark/>
          </w:tcPr>
          <w:p w14:paraId="6F1B96D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DCCEEW - National Inventory Team</w:t>
            </w:r>
          </w:p>
        </w:tc>
        <w:tc>
          <w:tcPr>
            <w:tcW w:w="1134" w:type="dxa"/>
            <w:noWrap/>
            <w:hideMark/>
          </w:tcPr>
          <w:p w14:paraId="1076F7CC"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3F0D156A"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Australia's National Inventory and FullCAM</w:t>
            </w:r>
          </w:p>
        </w:tc>
      </w:tr>
      <w:tr w:rsidR="004440CC" w:rsidRPr="003B2C9F" w14:paraId="63D90392" w14:textId="77777777" w:rsidTr="003B2C9F">
        <w:trPr>
          <w:trHeight w:val="288"/>
        </w:trPr>
        <w:tc>
          <w:tcPr>
            <w:tcW w:w="1129" w:type="dxa"/>
            <w:noWrap/>
            <w:hideMark/>
          </w:tcPr>
          <w:p w14:paraId="0ED9BE41"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22-Nov-22</w:t>
            </w:r>
          </w:p>
        </w:tc>
        <w:tc>
          <w:tcPr>
            <w:tcW w:w="7797" w:type="dxa"/>
            <w:noWrap/>
            <w:hideMark/>
          </w:tcPr>
          <w:p w14:paraId="759AE39B"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Business Council of Australia</w:t>
            </w:r>
          </w:p>
        </w:tc>
        <w:tc>
          <w:tcPr>
            <w:tcW w:w="1134" w:type="dxa"/>
            <w:noWrap/>
            <w:hideMark/>
          </w:tcPr>
          <w:p w14:paraId="521AB9C1"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6654F21C"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w:t>
            </w:r>
          </w:p>
        </w:tc>
      </w:tr>
      <w:tr w:rsidR="004440CC" w:rsidRPr="003B2C9F" w14:paraId="5B66C462" w14:textId="77777777" w:rsidTr="003B2C9F">
        <w:trPr>
          <w:trHeight w:val="288"/>
        </w:trPr>
        <w:tc>
          <w:tcPr>
            <w:tcW w:w="1129" w:type="dxa"/>
            <w:noWrap/>
            <w:hideMark/>
          </w:tcPr>
          <w:p w14:paraId="176AEB5B"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22-Nov-22</w:t>
            </w:r>
          </w:p>
        </w:tc>
        <w:tc>
          <w:tcPr>
            <w:tcW w:w="7797" w:type="dxa"/>
            <w:noWrap/>
            <w:hideMark/>
          </w:tcPr>
          <w:p w14:paraId="070A165D"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AI Carbon</w:t>
            </w:r>
          </w:p>
        </w:tc>
        <w:tc>
          <w:tcPr>
            <w:tcW w:w="1134" w:type="dxa"/>
            <w:noWrap/>
            <w:hideMark/>
          </w:tcPr>
          <w:p w14:paraId="2908A203"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4B3C17B8" w14:textId="5D6CE88A" w:rsidR="004440CC" w:rsidRPr="003B2C9F" w:rsidRDefault="00CF732E"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Submission, </w:t>
            </w:r>
            <w:r w:rsidR="004440CC" w:rsidRPr="003B2C9F">
              <w:rPr>
                <w:rFonts w:asciiTheme="minorHAnsi" w:eastAsia="Times New Roman" w:hAnsiTheme="minorHAnsi" w:cstheme="minorHAnsi"/>
                <w:color w:val="000000"/>
                <w:sz w:val="18"/>
                <w:szCs w:val="18"/>
                <w:lang w:eastAsia="en-AU"/>
              </w:rPr>
              <w:t>HIR in the context of WA and SA</w:t>
            </w:r>
          </w:p>
        </w:tc>
      </w:tr>
      <w:tr w:rsidR="004440CC" w:rsidRPr="003B2C9F" w14:paraId="2574B18B" w14:textId="77777777" w:rsidTr="003B2C9F">
        <w:trPr>
          <w:trHeight w:val="288"/>
        </w:trPr>
        <w:tc>
          <w:tcPr>
            <w:tcW w:w="1129" w:type="dxa"/>
            <w:noWrap/>
            <w:hideMark/>
          </w:tcPr>
          <w:p w14:paraId="1088DBF1"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25-Nov-22</w:t>
            </w:r>
          </w:p>
        </w:tc>
        <w:tc>
          <w:tcPr>
            <w:tcW w:w="7797" w:type="dxa"/>
            <w:noWrap/>
            <w:hideMark/>
          </w:tcPr>
          <w:p w14:paraId="234F1119"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CSIRO - FullCAM and HIR Experts</w:t>
            </w:r>
          </w:p>
        </w:tc>
        <w:tc>
          <w:tcPr>
            <w:tcW w:w="1134" w:type="dxa"/>
            <w:noWrap/>
            <w:hideMark/>
          </w:tcPr>
          <w:p w14:paraId="2B4FB956"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2C85D622"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HIR and FullCAM</w:t>
            </w:r>
          </w:p>
        </w:tc>
      </w:tr>
      <w:tr w:rsidR="004440CC" w:rsidRPr="003B2C9F" w14:paraId="604D6FAE" w14:textId="77777777" w:rsidTr="003B2C9F">
        <w:trPr>
          <w:trHeight w:val="288"/>
        </w:trPr>
        <w:tc>
          <w:tcPr>
            <w:tcW w:w="1129" w:type="dxa"/>
            <w:noWrap/>
            <w:hideMark/>
          </w:tcPr>
          <w:p w14:paraId="08CBD726"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25-Nov-22</w:t>
            </w:r>
          </w:p>
        </w:tc>
        <w:tc>
          <w:tcPr>
            <w:tcW w:w="7797" w:type="dxa"/>
            <w:noWrap/>
            <w:hideMark/>
          </w:tcPr>
          <w:p w14:paraId="7ADB9834" w14:textId="4699FE5B"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ACCU scheme auditors</w:t>
            </w:r>
          </w:p>
        </w:tc>
        <w:tc>
          <w:tcPr>
            <w:tcW w:w="1134" w:type="dxa"/>
            <w:noWrap/>
            <w:hideMark/>
          </w:tcPr>
          <w:p w14:paraId="556B0258"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Virtual</w:t>
            </w:r>
          </w:p>
        </w:tc>
        <w:tc>
          <w:tcPr>
            <w:tcW w:w="5670" w:type="dxa"/>
            <w:noWrap/>
            <w:hideMark/>
          </w:tcPr>
          <w:p w14:paraId="0545C2C3" w14:textId="4B68D290" w:rsidR="004440CC" w:rsidRPr="003B2C9F" w:rsidRDefault="0047574B"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 xml:space="preserve">ToR, </w:t>
            </w:r>
            <w:r w:rsidR="004C4A7E" w:rsidRPr="003B2C9F">
              <w:rPr>
                <w:rFonts w:asciiTheme="minorHAnsi" w:eastAsia="Times New Roman" w:hAnsiTheme="minorHAnsi" w:cstheme="minorHAnsi"/>
                <w:color w:val="000000"/>
                <w:sz w:val="18"/>
                <w:szCs w:val="18"/>
                <w:lang w:eastAsia="en-AU"/>
              </w:rPr>
              <w:t>on-ground experience of ACCU project implementation</w:t>
            </w:r>
          </w:p>
        </w:tc>
      </w:tr>
      <w:tr w:rsidR="004440CC" w:rsidRPr="003B2C9F" w14:paraId="43BAA977" w14:textId="77777777" w:rsidTr="003B2C9F">
        <w:trPr>
          <w:trHeight w:val="288"/>
        </w:trPr>
        <w:tc>
          <w:tcPr>
            <w:tcW w:w="1129" w:type="dxa"/>
            <w:noWrap/>
            <w:hideMark/>
          </w:tcPr>
          <w:p w14:paraId="15C252EF" w14:textId="77777777" w:rsidR="004440CC" w:rsidRPr="003B2C9F" w:rsidRDefault="004440CC" w:rsidP="004440CC">
            <w:pPr>
              <w:spacing w:before="0" w:after="0"/>
              <w:jc w:val="right"/>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6-Dec-22</w:t>
            </w:r>
          </w:p>
        </w:tc>
        <w:tc>
          <w:tcPr>
            <w:tcW w:w="7797" w:type="dxa"/>
            <w:noWrap/>
            <w:hideMark/>
          </w:tcPr>
          <w:p w14:paraId="6CA5AC87" w14:textId="60687BCC" w:rsidR="004440CC" w:rsidRPr="003B2C9F" w:rsidRDefault="00846F0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CCA</w:t>
            </w:r>
          </w:p>
        </w:tc>
        <w:tc>
          <w:tcPr>
            <w:tcW w:w="1134" w:type="dxa"/>
            <w:noWrap/>
            <w:hideMark/>
          </w:tcPr>
          <w:p w14:paraId="2AD896F4"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In-person</w:t>
            </w:r>
          </w:p>
        </w:tc>
        <w:tc>
          <w:tcPr>
            <w:tcW w:w="5670" w:type="dxa"/>
            <w:noWrap/>
            <w:hideMark/>
          </w:tcPr>
          <w:p w14:paraId="5223D54C" w14:textId="77777777" w:rsidR="004440CC" w:rsidRPr="003B2C9F" w:rsidRDefault="004440CC" w:rsidP="004440CC">
            <w:pPr>
              <w:spacing w:before="0" w:after="0"/>
              <w:rPr>
                <w:rFonts w:asciiTheme="minorHAnsi" w:eastAsia="Times New Roman" w:hAnsiTheme="minorHAnsi" w:cstheme="minorHAnsi"/>
                <w:color w:val="000000"/>
                <w:sz w:val="18"/>
                <w:szCs w:val="18"/>
                <w:lang w:eastAsia="en-AU"/>
              </w:rPr>
            </w:pPr>
            <w:r w:rsidRPr="003B2C9F">
              <w:rPr>
                <w:rFonts w:asciiTheme="minorHAnsi" w:eastAsia="Times New Roman" w:hAnsiTheme="minorHAnsi" w:cstheme="minorHAnsi"/>
                <w:color w:val="000000"/>
                <w:sz w:val="18"/>
                <w:szCs w:val="18"/>
                <w:lang w:eastAsia="en-AU"/>
              </w:rPr>
              <w:t>Submissions and thinking in relation to CCA</w:t>
            </w:r>
          </w:p>
        </w:tc>
      </w:tr>
    </w:tbl>
    <w:p w14:paraId="487D15E6" w14:textId="77777777" w:rsidR="004A273A" w:rsidRDefault="004A273A" w:rsidP="004440CC">
      <w:pPr>
        <w:sectPr w:rsidR="004A273A" w:rsidSect="003B2C9F">
          <w:pgSz w:w="16838" w:h="11906" w:orient="landscape"/>
          <w:pgMar w:top="567" w:right="567" w:bottom="567" w:left="567" w:header="227" w:footer="227" w:gutter="0"/>
          <w:cols w:space="708"/>
          <w:titlePg/>
          <w:docGrid w:linePitch="360"/>
        </w:sectPr>
      </w:pPr>
    </w:p>
    <w:p w14:paraId="17810724" w14:textId="5E228250" w:rsidR="004A273A" w:rsidRDefault="004A273A" w:rsidP="004A273A">
      <w:pPr>
        <w:pStyle w:val="Heading1"/>
      </w:pPr>
      <w:bookmarkStart w:id="173" w:name="_Toc122348051"/>
      <w:bookmarkStart w:id="174" w:name="_Toc122359817"/>
      <w:bookmarkStart w:id="175" w:name="_Toc122360797"/>
      <w:bookmarkStart w:id="176" w:name="_Toc122523016"/>
      <w:r>
        <w:lastRenderedPageBreak/>
        <w:t>Appendix C</w:t>
      </w:r>
      <w:bookmarkStart w:id="177" w:name="_Toc121818577"/>
      <w:bookmarkStart w:id="178" w:name="_Toc121817690"/>
      <w:bookmarkEnd w:id="173"/>
      <w:bookmarkEnd w:id="174"/>
      <w:bookmarkEnd w:id="175"/>
      <w:bookmarkEnd w:id="176"/>
    </w:p>
    <w:p w14:paraId="4BFBA5F3" w14:textId="77777777" w:rsidR="004A273A" w:rsidRPr="002567A9" w:rsidRDefault="004A273A" w:rsidP="004A273A">
      <w:pPr>
        <w:pStyle w:val="Heading2"/>
        <w:rPr>
          <w:rStyle w:val="Heading2Char"/>
        </w:rPr>
      </w:pPr>
      <w:bookmarkStart w:id="179" w:name="_Toc122339767"/>
      <w:bookmarkStart w:id="180" w:name="_Toc122348052"/>
      <w:bookmarkStart w:id="181" w:name="_Toc122359818"/>
      <w:bookmarkStart w:id="182" w:name="_Toc122360798"/>
      <w:bookmarkStart w:id="183" w:name="_Toc122523017"/>
      <w:r w:rsidRPr="002567A9">
        <w:rPr>
          <w:rStyle w:val="Heading2Char"/>
        </w:rPr>
        <w:t>Abbreviations</w:t>
      </w:r>
      <w:bookmarkEnd w:id="177"/>
      <w:bookmarkEnd w:id="178"/>
      <w:bookmarkEnd w:id="179"/>
      <w:bookmarkEnd w:id="180"/>
      <w:bookmarkEnd w:id="181"/>
      <w:bookmarkEnd w:id="182"/>
      <w:bookmarkEnd w:id="183"/>
    </w:p>
    <w:tbl>
      <w:tblPr>
        <w:tblStyle w:val="TableGridLight"/>
        <w:tblW w:w="0" w:type="auto"/>
        <w:tblLook w:val="04A0" w:firstRow="1" w:lastRow="0" w:firstColumn="1" w:lastColumn="0" w:noHBand="0" w:noVBand="1"/>
      </w:tblPr>
      <w:tblGrid>
        <w:gridCol w:w="4508"/>
        <w:gridCol w:w="4508"/>
      </w:tblGrid>
      <w:tr w:rsidR="004A273A" w14:paraId="497263DD" w14:textId="77777777" w:rsidTr="004A273A">
        <w:tc>
          <w:tcPr>
            <w:tcW w:w="4508" w:type="dxa"/>
          </w:tcPr>
          <w:p w14:paraId="101A4C1F" w14:textId="77777777" w:rsidR="004A273A" w:rsidRDefault="004A273A" w:rsidP="004A273A">
            <w:r w:rsidRPr="001322EA">
              <w:t>AAS – Australian Academy of Science</w:t>
            </w:r>
          </w:p>
        </w:tc>
        <w:tc>
          <w:tcPr>
            <w:tcW w:w="4508" w:type="dxa"/>
          </w:tcPr>
          <w:p w14:paraId="5BE709DE" w14:textId="77777777" w:rsidR="004A273A" w:rsidRDefault="004A273A" w:rsidP="004A273A">
            <w:r w:rsidRPr="0034372A">
              <w:t>EOI – Expression of Interest</w:t>
            </w:r>
          </w:p>
        </w:tc>
      </w:tr>
      <w:tr w:rsidR="004A273A" w14:paraId="0FA7660F" w14:textId="77777777" w:rsidTr="004A273A">
        <w:tc>
          <w:tcPr>
            <w:tcW w:w="4508" w:type="dxa"/>
          </w:tcPr>
          <w:p w14:paraId="446DE36F" w14:textId="77777777" w:rsidR="004A273A" w:rsidRDefault="004A273A" w:rsidP="004A273A">
            <w:r w:rsidRPr="001322EA">
              <w:t>ACCU – Australian Carbon Credit Unit</w:t>
            </w:r>
          </w:p>
        </w:tc>
        <w:tc>
          <w:tcPr>
            <w:tcW w:w="4508" w:type="dxa"/>
          </w:tcPr>
          <w:p w14:paraId="46BB0479" w14:textId="77777777" w:rsidR="004A273A" w:rsidRPr="00683DF2" w:rsidRDefault="004A273A" w:rsidP="004A273A">
            <w:pPr>
              <w:rPr>
                <w:strike/>
              </w:rPr>
            </w:pPr>
            <w:r w:rsidRPr="0034372A">
              <w:t>EPA – Environmental Protection Agency</w:t>
            </w:r>
          </w:p>
        </w:tc>
      </w:tr>
      <w:tr w:rsidR="004A273A" w14:paraId="7C2D1039" w14:textId="77777777" w:rsidTr="004A273A">
        <w:tc>
          <w:tcPr>
            <w:tcW w:w="4508" w:type="dxa"/>
          </w:tcPr>
          <w:p w14:paraId="24030798" w14:textId="77777777" w:rsidR="004A273A" w:rsidRDefault="004A273A" w:rsidP="004A273A">
            <w:r w:rsidRPr="001322EA">
              <w:t>AFSL – Australian Financial Services Licence</w:t>
            </w:r>
          </w:p>
        </w:tc>
        <w:tc>
          <w:tcPr>
            <w:tcW w:w="4508" w:type="dxa"/>
          </w:tcPr>
          <w:p w14:paraId="23472A43" w14:textId="77777777" w:rsidR="004A273A" w:rsidRDefault="004A273A" w:rsidP="004A273A">
            <w:r w:rsidRPr="0034372A">
              <w:t>ERAC – Emissions Reduction Assurance Committee</w:t>
            </w:r>
          </w:p>
        </w:tc>
      </w:tr>
      <w:tr w:rsidR="004A273A" w14:paraId="6277FEF5" w14:textId="77777777" w:rsidTr="004A273A">
        <w:tc>
          <w:tcPr>
            <w:tcW w:w="4508" w:type="dxa"/>
          </w:tcPr>
          <w:p w14:paraId="67D44A46" w14:textId="77777777" w:rsidR="004A273A" w:rsidRDefault="004A273A" w:rsidP="004A273A">
            <w:r w:rsidRPr="001322EA">
              <w:t>ATO – Australian Taxation Office</w:t>
            </w:r>
          </w:p>
        </w:tc>
        <w:tc>
          <w:tcPr>
            <w:tcW w:w="4508" w:type="dxa"/>
          </w:tcPr>
          <w:p w14:paraId="56324B1A" w14:textId="77777777" w:rsidR="004A273A" w:rsidRDefault="004A273A" w:rsidP="004A273A">
            <w:r w:rsidRPr="0034372A">
              <w:t>FullCAM – Full Carbon Accounting Model</w:t>
            </w:r>
          </w:p>
        </w:tc>
      </w:tr>
      <w:tr w:rsidR="004A273A" w14:paraId="21080CDA" w14:textId="77777777" w:rsidTr="004A273A">
        <w:tc>
          <w:tcPr>
            <w:tcW w:w="4508" w:type="dxa"/>
          </w:tcPr>
          <w:p w14:paraId="307CE707" w14:textId="77777777" w:rsidR="004A273A" w:rsidRDefault="004A273A" w:rsidP="004A273A">
            <w:r w:rsidRPr="001322EA">
              <w:t>CAIC – Carbon Assurance and Integrity Committee</w:t>
            </w:r>
          </w:p>
        </w:tc>
        <w:tc>
          <w:tcPr>
            <w:tcW w:w="4508" w:type="dxa"/>
          </w:tcPr>
          <w:p w14:paraId="42B7D235" w14:textId="77777777" w:rsidR="004A273A" w:rsidRDefault="004A273A" w:rsidP="004A273A">
            <w:r w:rsidRPr="0034372A">
              <w:t>FPIC – Free, prior and informed consent</w:t>
            </w:r>
          </w:p>
        </w:tc>
      </w:tr>
      <w:tr w:rsidR="004A273A" w14:paraId="63CDEEC3" w14:textId="77777777" w:rsidTr="004A273A">
        <w:tc>
          <w:tcPr>
            <w:tcW w:w="4508" w:type="dxa"/>
          </w:tcPr>
          <w:p w14:paraId="4CE1D99E" w14:textId="77777777" w:rsidR="004A273A" w:rsidRDefault="004A273A" w:rsidP="004A273A">
            <w:r w:rsidRPr="001322EA">
              <w:t>CCA – Climate Change Authority</w:t>
            </w:r>
          </w:p>
        </w:tc>
        <w:tc>
          <w:tcPr>
            <w:tcW w:w="4508" w:type="dxa"/>
          </w:tcPr>
          <w:p w14:paraId="0F6654BF" w14:textId="77777777" w:rsidR="004A273A" w:rsidRDefault="004A273A" w:rsidP="004A273A">
            <w:r w:rsidRPr="0034372A">
              <w:t>GHG – Greenhouse Gas</w:t>
            </w:r>
          </w:p>
        </w:tc>
      </w:tr>
      <w:tr w:rsidR="004A273A" w14:paraId="294E069A" w14:textId="77777777" w:rsidTr="004A273A">
        <w:tc>
          <w:tcPr>
            <w:tcW w:w="4508" w:type="dxa"/>
          </w:tcPr>
          <w:p w14:paraId="6E4DA4B3" w14:textId="77777777" w:rsidR="004A273A" w:rsidRDefault="004A273A" w:rsidP="004A273A">
            <w:r w:rsidRPr="001322EA">
              <w:t>CCS – Carbon Capture and Storage</w:t>
            </w:r>
          </w:p>
        </w:tc>
        <w:tc>
          <w:tcPr>
            <w:tcW w:w="4508" w:type="dxa"/>
          </w:tcPr>
          <w:p w14:paraId="33B45C84" w14:textId="77777777" w:rsidR="004A273A" w:rsidRDefault="004A273A" w:rsidP="004A273A">
            <w:r w:rsidRPr="0034372A">
              <w:t>HIR – Human-Induced Regeneration</w:t>
            </w:r>
          </w:p>
        </w:tc>
      </w:tr>
      <w:tr w:rsidR="004A273A" w14:paraId="452D0519" w14:textId="77777777" w:rsidTr="004A273A">
        <w:tc>
          <w:tcPr>
            <w:tcW w:w="4508" w:type="dxa"/>
          </w:tcPr>
          <w:p w14:paraId="316002D6" w14:textId="77777777" w:rsidR="004A273A" w:rsidRDefault="004A273A" w:rsidP="004A273A">
            <w:r w:rsidRPr="001322EA">
              <w:t>CEA – Carbon Estimation Area</w:t>
            </w:r>
          </w:p>
        </w:tc>
        <w:tc>
          <w:tcPr>
            <w:tcW w:w="4508" w:type="dxa"/>
          </w:tcPr>
          <w:p w14:paraId="4B598AC2" w14:textId="77777777" w:rsidR="004A273A" w:rsidRDefault="004A273A" w:rsidP="004A273A">
            <w:r w:rsidRPr="0034372A">
              <w:t>IFM – Integrated Farm Management</w:t>
            </w:r>
          </w:p>
        </w:tc>
      </w:tr>
      <w:tr w:rsidR="004A273A" w14:paraId="66564264" w14:textId="77777777" w:rsidTr="004A273A">
        <w:tc>
          <w:tcPr>
            <w:tcW w:w="4508" w:type="dxa"/>
          </w:tcPr>
          <w:p w14:paraId="6B297B01" w14:textId="77777777" w:rsidR="004A273A" w:rsidRDefault="004A273A" w:rsidP="004A273A">
            <w:r w:rsidRPr="001322EA">
              <w:t>CER – Clean Energy Regulator</w:t>
            </w:r>
          </w:p>
        </w:tc>
        <w:tc>
          <w:tcPr>
            <w:tcW w:w="4508" w:type="dxa"/>
          </w:tcPr>
          <w:p w14:paraId="3160B6EC" w14:textId="77777777" w:rsidR="004A273A" w:rsidRDefault="004A273A" w:rsidP="004A273A">
            <w:r w:rsidRPr="0034372A">
              <w:t>LFG – Landfill Gas</w:t>
            </w:r>
          </w:p>
        </w:tc>
      </w:tr>
      <w:tr w:rsidR="004A273A" w14:paraId="68908B90" w14:textId="77777777" w:rsidTr="004A273A">
        <w:tc>
          <w:tcPr>
            <w:tcW w:w="4508" w:type="dxa"/>
          </w:tcPr>
          <w:p w14:paraId="163DDB2F" w14:textId="77777777" w:rsidR="004A273A" w:rsidRDefault="004A273A" w:rsidP="004A273A">
            <w:r w:rsidRPr="001322EA">
              <w:t>CERs – Certified Emissions Reductions</w:t>
            </w:r>
          </w:p>
        </w:tc>
        <w:tc>
          <w:tcPr>
            <w:tcW w:w="4508" w:type="dxa"/>
          </w:tcPr>
          <w:p w14:paraId="5E0E6048" w14:textId="77777777" w:rsidR="004A273A" w:rsidRDefault="004A273A" w:rsidP="004A273A">
            <w:r w:rsidRPr="0034372A">
              <w:t>VCUs – Verified Carbon Units (issued under the Verified Carbon Standard Scheme)</w:t>
            </w:r>
          </w:p>
        </w:tc>
      </w:tr>
      <w:tr w:rsidR="004A273A" w14:paraId="5467AC0F" w14:textId="77777777" w:rsidTr="004A273A">
        <w:tc>
          <w:tcPr>
            <w:tcW w:w="4508" w:type="dxa"/>
          </w:tcPr>
          <w:p w14:paraId="0C46F240" w14:textId="77777777" w:rsidR="004A273A" w:rsidRDefault="004A273A" w:rsidP="004A273A">
            <w:r w:rsidRPr="001322EA">
              <w:t>DAC – Direct Air Capture</w:t>
            </w:r>
          </w:p>
        </w:tc>
        <w:tc>
          <w:tcPr>
            <w:tcW w:w="4508" w:type="dxa"/>
          </w:tcPr>
          <w:p w14:paraId="18C83A0C" w14:textId="77777777" w:rsidR="004A273A" w:rsidRDefault="004A273A" w:rsidP="004A273A">
            <w:r w:rsidRPr="0034372A">
              <w:t>VERs – Verified Emissions Reductions (issued under the Gold Standard Scheme)</w:t>
            </w:r>
          </w:p>
        </w:tc>
      </w:tr>
      <w:tr w:rsidR="004A273A" w14:paraId="23D9EBC0" w14:textId="77777777" w:rsidTr="004A273A">
        <w:tc>
          <w:tcPr>
            <w:tcW w:w="4508" w:type="dxa"/>
          </w:tcPr>
          <w:p w14:paraId="2840A327" w14:textId="77777777" w:rsidR="004A273A" w:rsidRDefault="004A273A" w:rsidP="004A273A">
            <w:r w:rsidRPr="001322EA">
              <w:t>DCCEEW - Department of Climate Change, Energy, the Environment and Water</w:t>
            </w:r>
          </w:p>
        </w:tc>
        <w:tc>
          <w:tcPr>
            <w:tcW w:w="4508" w:type="dxa"/>
          </w:tcPr>
          <w:p w14:paraId="52BFD1A1" w14:textId="77777777" w:rsidR="004A273A" w:rsidRDefault="004A273A" w:rsidP="004A273A"/>
        </w:tc>
      </w:tr>
      <w:tr w:rsidR="004A273A" w14:paraId="22FADC35" w14:textId="77777777" w:rsidTr="004A273A">
        <w:tc>
          <w:tcPr>
            <w:tcW w:w="4508" w:type="dxa"/>
          </w:tcPr>
          <w:p w14:paraId="7A35EB8E" w14:textId="77777777" w:rsidR="004A273A" w:rsidRDefault="004A273A" w:rsidP="004A273A">
            <w:r w:rsidRPr="001322EA">
              <w:t>DISER – Department of Industry, Science, Energy and Resources</w:t>
            </w:r>
          </w:p>
        </w:tc>
        <w:tc>
          <w:tcPr>
            <w:tcW w:w="4508" w:type="dxa"/>
          </w:tcPr>
          <w:p w14:paraId="019A9961" w14:textId="77777777" w:rsidR="004A273A" w:rsidRDefault="004A273A" w:rsidP="004A273A"/>
        </w:tc>
      </w:tr>
    </w:tbl>
    <w:p w14:paraId="4728A875" w14:textId="3FF9BE6E" w:rsidR="004A273A" w:rsidRDefault="004A273A" w:rsidP="004440CC"/>
    <w:p w14:paraId="39B09101" w14:textId="77777777" w:rsidR="004A273A" w:rsidRPr="004440CC" w:rsidRDefault="004A273A" w:rsidP="004440CC"/>
    <w:sectPr w:rsidR="004A273A" w:rsidRPr="004440CC" w:rsidSect="007E1919">
      <w:pgSz w:w="11906" w:h="16838"/>
      <w:pgMar w:top="720" w:right="720" w:bottom="720" w:left="72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3BB32" w14:textId="77777777" w:rsidR="0074347E" w:rsidRDefault="0074347E" w:rsidP="00B22ECC">
      <w:pPr>
        <w:spacing w:before="0" w:after="0"/>
      </w:pPr>
      <w:r>
        <w:separator/>
      </w:r>
    </w:p>
  </w:endnote>
  <w:endnote w:type="continuationSeparator" w:id="0">
    <w:p w14:paraId="59B09CC1" w14:textId="77777777" w:rsidR="0074347E" w:rsidRDefault="0074347E" w:rsidP="00B22ECC">
      <w:pPr>
        <w:spacing w:before="0" w:after="0"/>
      </w:pPr>
      <w:r>
        <w:continuationSeparator/>
      </w:r>
    </w:p>
  </w:endnote>
  <w:endnote w:type="continuationNotice" w:id="1">
    <w:p w14:paraId="6091E261" w14:textId="77777777" w:rsidR="0074347E" w:rsidRDefault="007434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907C0" w14:textId="77777777" w:rsidR="005B3FDC" w:rsidRDefault="005B3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58B76" w14:textId="77777777" w:rsidR="004507DD" w:rsidRDefault="004507DD" w:rsidP="00A337DD">
    <w:pPr>
      <w:pStyle w:val="Footer"/>
      <w:jc w:val="right"/>
      <w:rPr>
        <w:color w:val="485E66" w:themeColor="accent1" w:themeShade="BF"/>
        <w:sz w:val="20"/>
        <w:szCs w:val="20"/>
      </w:rPr>
    </w:pPr>
  </w:p>
  <w:p w14:paraId="6BEE1A1F" w14:textId="5BAB8D80" w:rsidR="004507DD" w:rsidRDefault="004507DD" w:rsidP="00A337DD">
    <w:pPr>
      <w:pStyle w:val="Footer"/>
      <w:jc w:val="right"/>
      <w:rPr>
        <w:noProof/>
        <w:sz w:val="18"/>
        <w:szCs w:val="18"/>
      </w:rPr>
    </w:pPr>
    <w:r w:rsidRPr="00F3189C">
      <w:rPr>
        <w:color w:val="485E66" w:themeColor="accent1" w:themeShade="BF"/>
        <w:sz w:val="20"/>
        <w:szCs w:val="20"/>
      </w:rPr>
      <w:t>INDEPENDENT REVIEW OF ACCUS: FINAL REPORT 2022</w:t>
    </w:r>
    <w:r>
      <w:rPr>
        <w:color w:val="485E66" w:themeColor="accent1" w:themeShade="BF"/>
        <w:sz w:val="20"/>
        <w:szCs w:val="20"/>
      </w:rPr>
      <w:tab/>
    </w:r>
    <w:r>
      <w:rPr>
        <w:color w:val="485E66" w:themeColor="accent1" w:themeShade="BF"/>
        <w:sz w:val="20"/>
        <w:szCs w:val="20"/>
      </w:rPr>
      <w:tab/>
    </w:r>
    <w:sdt>
      <w:sdtPr>
        <w:id w:val="-2018382197"/>
        <w:docPartObj>
          <w:docPartGallery w:val="Page Numbers (Bottom of Page)"/>
          <w:docPartUnique/>
        </w:docPartObj>
      </w:sdtPr>
      <w:sdtEndPr>
        <w:rPr>
          <w:noProof/>
          <w:sz w:val="18"/>
          <w:szCs w:val="18"/>
        </w:rPr>
      </w:sdtEndPr>
      <w:sdtContent>
        <w:r w:rsidRPr="00A337DD">
          <w:rPr>
            <w:sz w:val="18"/>
            <w:szCs w:val="18"/>
          </w:rPr>
          <w:fldChar w:fldCharType="begin"/>
        </w:r>
        <w:r w:rsidRPr="00A337DD">
          <w:rPr>
            <w:sz w:val="18"/>
            <w:szCs w:val="18"/>
          </w:rPr>
          <w:instrText xml:space="preserve"> PAGE   \* MERGEFORMAT </w:instrText>
        </w:r>
        <w:r w:rsidRPr="00A337DD">
          <w:rPr>
            <w:sz w:val="18"/>
            <w:szCs w:val="18"/>
          </w:rPr>
          <w:fldChar w:fldCharType="separate"/>
        </w:r>
        <w:r w:rsidR="005B3FDC">
          <w:rPr>
            <w:noProof/>
            <w:sz w:val="18"/>
            <w:szCs w:val="18"/>
          </w:rPr>
          <w:t>35</w:t>
        </w:r>
        <w:r w:rsidRPr="00A337DD">
          <w:rPr>
            <w:noProof/>
            <w:sz w:val="18"/>
            <w:szCs w:val="18"/>
          </w:rPr>
          <w:fldChar w:fldCharType="end"/>
        </w:r>
      </w:sdtContent>
    </w:sdt>
  </w:p>
  <w:p w14:paraId="4AEAD28E" w14:textId="77777777" w:rsidR="00F12605" w:rsidRDefault="00F12605" w:rsidP="00A337DD">
    <w:pPr>
      <w:pStyle w:val="Footer"/>
      <w:jc w:val="right"/>
      <w:rPr>
        <w:noProo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2D62A" w14:textId="04481BDF" w:rsidR="004507DD" w:rsidRDefault="004507D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971240"/>
      <w:docPartObj>
        <w:docPartGallery w:val="Page Numbers (Bottom of Page)"/>
        <w:docPartUnique/>
      </w:docPartObj>
    </w:sdtPr>
    <w:sdtEndPr>
      <w:rPr>
        <w:noProof/>
      </w:rPr>
    </w:sdtEndPr>
    <w:sdtContent>
      <w:p w14:paraId="40A4A249" w14:textId="0F432D9D" w:rsidR="000C3549" w:rsidRDefault="000C3549">
        <w:pPr>
          <w:pStyle w:val="Footer"/>
          <w:jc w:val="right"/>
        </w:pPr>
        <w:r>
          <w:fldChar w:fldCharType="begin"/>
        </w:r>
        <w:r>
          <w:instrText xml:space="preserve"> PAGE   \* MERGEFORMAT </w:instrText>
        </w:r>
        <w:r>
          <w:fldChar w:fldCharType="separate"/>
        </w:r>
        <w:r w:rsidR="005B3FDC">
          <w:rPr>
            <w:noProof/>
          </w:rPr>
          <w:t>vii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749849"/>
      <w:docPartObj>
        <w:docPartGallery w:val="Page Numbers (Bottom of Page)"/>
        <w:docPartUnique/>
      </w:docPartObj>
    </w:sdtPr>
    <w:sdtEndPr>
      <w:rPr>
        <w:noProof/>
      </w:rPr>
    </w:sdtEndPr>
    <w:sdtContent>
      <w:p w14:paraId="040476BE" w14:textId="29CF17A2" w:rsidR="000C3549" w:rsidRDefault="000C3549">
        <w:pPr>
          <w:pStyle w:val="Footer"/>
          <w:jc w:val="right"/>
        </w:pPr>
        <w:r>
          <w:fldChar w:fldCharType="begin"/>
        </w:r>
        <w:r>
          <w:instrText xml:space="preserve"> PAGE   \* MERGEFORMAT </w:instrText>
        </w:r>
        <w:r>
          <w:fldChar w:fldCharType="separate"/>
        </w:r>
        <w:r w:rsidR="005B3FDC">
          <w:rPr>
            <w:noProof/>
          </w:rPr>
          <w:t>xx</w:t>
        </w:r>
        <w:r>
          <w:rPr>
            <w:noProof/>
          </w:rPr>
          <w:fldChar w:fldCharType="end"/>
        </w:r>
      </w:p>
    </w:sdtContent>
  </w:sdt>
  <w:p w14:paraId="32BDE434" w14:textId="77777777" w:rsidR="004507DD" w:rsidRDefault="004507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2E06" w14:textId="03D08C90" w:rsidR="004507DD" w:rsidRPr="00686FED" w:rsidRDefault="004507DD" w:rsidP="00686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54B56" w14:textId="77777777" w:rsidR="0074347E" w:rsidRDefault="0074347E" w:rsidP="00B22ECC">
      <w:pPr>
        <w:spacing w:before="0" w:after="0"/>
      </w:pPr>
      <w:r>
        <w:separator/>
      </w:r>
    </w:p>
  </w:footnote>
  <w:footnote w:type="continuationSeparator" w:id="0">
    <w:p w14:paraId="196B9F2E" w14:textId="77777777" w:rsidR="0074347E" w:rsidRDefault="0074347E" w:rsidP="00B22ECC">
      <w:pPr>
        <w:spacing w:before="0" w:after="0"/>
      </w:pPr>
      <w:r>
        <w:continuationSeparator/>
      </w:r>
    </w:p>
  </w:footnote>
  <w:footnote w:type="continuationNotice" w:id="1">
    <w:p w14:paraId="68CF9921" w14:textId="77777777" w:rsidR="0074347E" w:rsidRDefault="0074347E">
      <w:pPr>
        <w:spacing w:before="0" w:after="0"/>
      </w:pPr>
    </w:p>
  </w:footnote>
  <w:footnote w:id="2">
    <w:p w14:paraId="1712CCAE" w14:textId="77777777" w:rsidR="004507DD" w:rsidRPr="00946416" w:rsidRDefault="004507DD" w:rsidP="004A1FD9">
      <w:pPr>
        <w:pStyle w:val="FootnoteText"/>
        <w:rPr>
          <w:sz w:val="18"/>
          <w:szCs w:val="18"/>
        </w:rPr>
      </w:pPr>
      <w:r w:rsidRPr="00946416">
        <w:rPr>
          <w:rStyle w:val="FootnoteReference"/>
          <w:sz w:val="18"/>
          <w:szCs w:val="18"/>
        </w:rPr>
        <w:footnoteRef/>
      </w:r>
      <w:r w:rsidRPr="00946416">
        <w:rPr>
          <w:sz w:val="18"/>
          <w:szCs w:val="18"/>
        </w:rPr>
        <w:t xml:space="preserve"> </w:t>
      </w:r>
      <w:r w:rsidRPr="00946416">
        <w:rPr>
          <w:rFonts w:cs="Times New Roman (Body CS)"/>
          <w:sz w:val="18"/>
          <w:szCs w:val="18"/>
        </w:rPr>
        <w:t>Methane and nitrous oxide are both many times more potent than CO</w:t>
      </w:r>
      <w:r w:rsidRPr="00946416">
        <w:rPr>
          <w:rFonts w:cs="Times New Roman (Body CS)"/>
          <w:sz w:val="18"/>
          <w:szCs w:val="18"/>
          <w:vertAlign w:val="subscript"/>
        </w:rPr>
        <w:t xml:space="preserve">2 </w:t>
      </w:r>
      <w:r w:rsidRPr="00946416">
        <w:rPr>
          <w:rFonts w:cs="Times New Roman (Body CS)"/>
          <w:sz w:val="18"/>
          <w:szCs w:val="18"/>
        </w:rPr>
        <w:t>as a heat-trapping gas, although much lower in atmospheric concentration compared with CO</w:t>
      </w:r>
      <w:r w:rsidRPr="00946416">
        <w:rPr>
          <w:rFonts w:cs="Times New Roman (Body CS)"/>
          <w:sz w:val="18"/>
          <w:szCs w:val="18"/>
          <w:vertAlign w:val="subscript"/>
        </w:rPr>
        <w:t>2</w:t>
      </w:r>
      <w:r w:rsidRPr="00946416">
        <w:rPr>
          <w:rFonts w:cs="Times New Roman (Body CS)"/>
          <w:sz w:val="18"/>
          <w:szCs w:val="18"/>
        </w:rPr>
        <w:t>. Their removal from the atmosphere would likely have a significant impact on slowing temperature rise, in both cases, however, drawdown is not yet feasible. Until suitable technology is available, avoiding emissions of methane and nitrous oxide is the only way to limit their impact.</w:t>
      </w:r>
      <w:r w:rsidRPr="00946416">
        <w:rPr>
          <w:sz w:val="18"/>
          <w:szCs w:val="18"/>
        </w:rPr>
        <w:t xml:space="preserve"> </w:t>
      </w:r>
    </w:p>
  </w:footnote>
  <w:footnote w:id="3">
    <w:p w14:paraId="6FA86172" w14:textId="003EAAF6" w:rsidR="004507DD" w:rsidRPr="006E3361" w:rsidRDefault="004507DD" w:rsidP="006E3361">
      <w:pPr>
        <w:pStyle w:val="Heading5"/>
        <w:rPr>
          <w:rFonts w:asciiTheme="minorHAnsi" w:hAnsiTheme="minorHAnsi" w:cstheme="minorHAnsi"/>
          <w:b/>
          <w:color w:val="auto"/>
          <w:sz w:val="18"/>
        </w:rPr>
      </w:pPr>
      <w:r w:rsidRPr="00946416">
        <w:rPr>
          <w:rStyle w:val="FootnoteReference"/>
          <w:rFonts w:asciiTheme="minorHAnsi" w:hAnsiTheme="minorHAnsi" w:cstheme="minorHAnsi"/>
          <w:color w:val="auto"/>
          <w:sz w:val="18"/>
        </w:rPr>
        <w:footnoteRef/>
      </w:r>
      <w:r w:rsidRPr="00946416">
        <w:rPr>
          <w:rFonts w:asciiTheme="minorHAnsi" w:hAnsiTheme="minorHAnsi" w:cstheme="minorHAnsi"/>
          <w:color w:val="auto"/>
          <w:sz w:val="18"/>
        </w:rPr>
        <w:t xml:space="preserve"> IPCC Special Report: Global Warming of 1.5 ºC, Ch 4.</w:t>
      </w:r>
    </w:p>
  </w:footnote>
  <w:footnote w:id="4">
    <w:p w14:paraId="18A745DB" w14:textId="77777777" w:rsidR="004507DD" w:rsidRDefault="004507DD" w:rsidP="001947A5">
      <w:pPr>
        <w:pStyle w:val="FootnoteText"/>
      </w:pPr>
      <w:r>
        <w:rPr>
          <w:rStyle w:val="FootnoteReference"/>
        </w:rPr>
        <w:footnoteRef/>
      </w:r>
      <w:r>
        <w:t xml:space="preserve"> </w:t>
      </w:r>
      <w:hyperlink r:id="rId1" w:history="1">
        <w:r w:rsidRPr="00442826">
          <w:rPr>
            <w:rStyle w:val="Hyperlink"/>
            <w:sz w:val="18"/>
            <w:szCs w:val="18"/>
          </w:rPr>
          <w:t>https://icvcm.org/the-core-carbon-principles/</w:t>
        </w:r>
      </w:hyperlink>
    </w:p>
  </w:footnote>
  <w:footnote w:id="5">
    <w:p w14:paraId="642FA086" w14:textId="77777777" w:rsidR="004507DD" w:rsidRDefault="004507DD" w:rsidP="001947A5">
      <w:pPr>
        <w:pStyle w:val="FootnoteText"/>
      </w:pPr>
      <w:r>
        <w:rPr>
          <w:rStyle w:val="FootnoteReference"/>
        </w:rPr>
        <w:footnoteRef/>
      </w:r>
      <w:r>
        <w:t xml:space="preserve"> </w:t>
      </w:r>
      <w:hyperlink r:id="rId2" w:history="1">
        <w:r w:rsidRPr="00E44D3A">
          <w:rPr>
            <w:rStyle w:val="Hyperlink"/>
            <w:sz w:val="18"/>
            <w:szCs w:val="18"/>
          </w:rPr>
          <w:t>CCA Review of International Offsets 2022</w:t>
        </w:r>
      </w:hyperlink>
      <w:r>
        <w:rPr>
          <w:rStyle w:val="Hyperlink"/>
          <w:sz w:val="18"/>
          <w:szCs w:val="18"/>
        </w:rPr>
        <w:t xml:space="preserve"> </w:t>
      </w:r>
      <w:r>
        <w:t>page 45</w:t>
      </w:r>
    </w:p>
  </w:footnote>
  <w:footnote w:id="6">
    <w:p w14:paraId="2C8B8644" w14:textId="36E228CB" w:rsidR="004507DD" w:rsidRDefault="004507DD">
      <w:pPr>
        <w:pStyle w:val="FootnoteText"/>
      </w:pPr>
      <w:r>
        <w:rPr>
          <w:rStyle w:val="FootnoteReference"/>
        </w:rPr>
        <w:footnoteRef/>
      </w:r>
      <w:r>
        <w:t xml:space="preserve"> </w:t>
      </w:r>
      <w:hyperlink r:id="rId3" w:history="1">
        <w:r w:rsidRPr="00876E2F">
          <w:rPr>
            <w:rStyle w:val="Hyperlink"/>
            <w:i/>
            <w:iCs/>
          </w:rPr>
          <w:t>Report of the Expert Panel examining additional sources of low cost abatement</w:t>
        </w:r>
      </w:hyperlink>
      <w:r w:rsidRPr="00C86A68">
        <w:t xml:space="preserve"> (the King Review)</w:t>
      </w:r>
    </w:p>
  </w:footnote>
  <w:footnote w:id="7">
    <w:p w14:paraId="0DAAB6E5" w14:textId="10B606F2" w:rsidR="004507DD" w:rsidRDefault="004507DD">
      <w:pPr>
        <w:pStyle w:val="FootnoteText"/>
      </w:pPr>
      <w:r>
        <w:rPr>
          <w:rStyle w:val="FootnoteReference"/>
        </w:rPr>
        <w:footnoteRef/>
      </w:r>
      <w:r>
        <w:t xml:space="preserve"> </w:t>
      </w:r>
      <w:hyperlink r:id="rId4" w:history="1">
        <w:r w:rsidRPr="00876E2F">
          <w:rPr>
            <w:rStyle w:val="Hyperlink"/>
          </w:rPr>
          <w:t>Climate Change Authority 2020: Review of the Emissions Reduction Fund</w:t>
        </w:r>
      </w:hyperlink>
    </w:p>
  </w:footnote>
  <w:footnote w:id="8">
    <w:p w14:paraId="7EC60693" w14:textId="6FECDC5D" w:rsidR="004507DD" w:rsidRDefault="004507DD" w:rsidP="001F1827">
      <w:pPr>
        <w:pStyle w:val="FootnoteText"/>
      </w:pPr>
      <w:r w:rsidRPr="007612D1">
        <w:rPr>
          <w:rStyle w:val="FootnoteReference"/>
          <w:sz w:val="18"/>
          <w:szCs w:val="18"/>
        </w:rPr>
        <w:footnoteRef/>
      </w:r>
      <w:r w:rsidRPr="007612D1">
        <w:rPr>
          <w:sz w:val="18"/>
          <w:szCs w:val="18"/>
        </w:rPr>
        <w:t xml:space="preserve"> </w:t>
      </w:r>
      <w:hyperlink r:id="rId5" w:history="1">
        <w:r w:rsidRPr="00876E2F">
          <w:rPr>
            <w:rStyle w:val="Hyperlink"/>
            <w:i/>
            <w:iCs/>
          </w:rPr>
          <w:t>Report of the Expert Panel examining additional sources of low cost abatement</w:t>
        </w:r>
      </w:hyperlink>
      <w:r w:rsidRPr="00C86A68">
        <w:t xml:space="preserve"> (the King Review)</w:t>
      </w:r>
    </w:p>
  </w:footnote>
  <w:footnote w:id="9">
    <w:p w14:paraId="0DF724E6" w14:textId="77777777" w:rsidR="004507DD" w:rsidRPr="00B46EED" w:rsidRDefault="004507DD" w:rsidP="001F1827">
      <w:pPr>
        <w:pStyle w:val="FootnoteText"/>
        <w:rPr>
          <w:color w:val="1F497D"/>
          <w:sz w:val="18"/>
          <w:szCs w:val="18"/>
          <w:u w:val="single"/>
        </w:rPr>
      </w:pPr>
      <w:r w:rsidRPr="00B46EED">
        <w:rPr>
          <w:rStyle w:val="FootnoteReference"/>
          <w:color w:val="1F497D"/>
          <w:sz w:val="18"/>
          <w:szCs w:val="18"/>
          <w:u w:val="single"/>
        </w:rPr>
        <w:footnoteRef/>
      </w:r>
      <w:r w:rsidRPr="00B46EED">
        <w:rPr>
          <w:color w:val="1F497D"/>
          <w:sz w:val="18"/>
          <w:szCs w:val="18"/>
          <w:u w:val="single"/>
        </w:rPr>
        <w:t xml:space="preserve"> </w:t>
      </w:r>
      <w:hyperlink r:id="rId6" w:history="1">
        <w:r w:rsidRPr="00B46EED">
          <w:rPr>
            <w:rStyle w:val="Hyperlink"/>
            <w:color w:val="1F497D"/>
            <w:sz w:val="18"/>
            <w:szCs w:val="18"/>
          </w:rPr>
          <w:t>https://www.apsc.gov.au/working-aps/governments-merit-and-transparency-policy</w:t>
        </w:r>
      </w:hyperlink>
    </w:p>
  </w:footnote>
  <w:footnote w:id="10">
    <w:p w14:paraId="5D4F49D2" w14:textId="77777777" w:rsidR="004507DD" w:rsidRPr="00B46EED" w:rsidRDefault="004507DD" w:rsidP="001F1827">
      <w:pPr>
        <w:pStyle w:val="FootnoteText"/>
        <w:rPr>
          <w:color w:val="1F497D"/>
          <w:sz w:val="18"/>
          <w:szCs w:val="18"/>
          <w:u w:val="single"/>
        </w:rPr>
      </w:pPr>
      <w:r w:rsidRPr="00B46EED">
        <w:rPr>
          <w:rStyle w:val="FootnoteReference"/>
          <w:color w:val="1F497D"/>
          <w:sz w:val="18"/>
          <w:szCs w:val="18"/>
          <w:u w:val="single"/>
        </w:rPr>
        <w:footnoteRef/>
      </w:r>
      <w:r w:rsidRPr="00B46EED">
        <w:rPr>
          <w:color w:val="1F497D"/>
          <w:sz w:val="18"/>
          <w:szCs w:val="18"/>
          <w:u w:val="single"/>
        </w:rPr>
        <w:t xml:space="preserve"> https://www.pmc.gov.au/sites/default/files/publications/independent-review-aps.pdf</w:t>
      </w:r>
    </w:p>
  </w:footnote>
  <w:footnote w:id="11">
    <w:p w14:paraId="45CFD4F5" w14:textId="77777777" w:rsidR="004507DD" w:rsidRPr="000A7B33" w:rsidRDefault="004507DD" w:rsidP="001F1827">
      <w:pPr>
        <w:pStyle w:val="FootnoteText"/>
        <w:rPr>
          <w:sz w:val="18"/>
          <w:szCs w:val="18"/>
        </w:rPr>
      </w:pPr>
      <w:r w:rsidRPr="00B46EED">
        <w:rPr>
          <w:rStyle w:val="FootnoteReference"/>
          <w:color w:val="1F497D"/>
          <w:sz w:val="18"/>
          <w:szCs w:val="18"/>
          <w:u w:val="single"/>
        </w:rPr>
        <w:footnoteRef/>
      </w:r>
      <w:r w:rsidRPr="00B46EED">
        <w:rPr>
          <w:color w:val="1F497D"/>
          <w:sz w:val="18"/>
          <w:szCs w:val="18"/>
          <w:u w:val="single"/>
        </w:rPr>
        <w:t xml:space="preserve"> </w:t>
      </w:r>
      <w:hyperlink r:id="rId7" w:history="1">
        <w:r w:rsidRPr="00B46EED">
          <w:rPr>
            <w:rStyle w:val="Hyperlink"/>
            <w:color w:val="1F497D"/>
            <w:sz w:val="18"/>
            <w:szCs w:val="18"/>
          </w:rPr>
          <w:t>https://grattan.edu.au/wp-content/uploads/2022/07/New-politics-A-better-process-for-public-appointments.pdf</w:t>
        </w:r>
      </w:hyperlink>
      <w:r w:rsidRPr="00B46EED">
        <w:rPr>
          <w:color w:val="1F497D"/>
          <w:sz w:val="18"/>
          <w:szCs w:val="18"/>
        </w:rPr>
        <w:t xml:space="preserve"> </w:t>
      </w:r>
    </w:p>
  </w:footnote>
  <w:footnote w:id="12">
    <w:p w14:paraId="3F5CE33F" w14:textId="77777777" w:rsidR="004507DD" w:rsidRPr="00304F7E" w:rsidRDefault="004507DD" w:rsidP="000B1723">
      <w:pPr>
        <w:pStyle w:val="FootnoteText"/>
        <w:rPr>
          <w:sz w:val="18"/>
          <w:szCs w:val="18"/>
        </w:rPr>
      </w:pPr>
      <w:r w:rsidRPr="00304F7E">
        <w:rPr>
          <w:rStyle w:val="FootnoteReference"/>
          <w:sz w:val="18"/>
          <w:szCs w:val="18"/>
        </w:rPr>
        <w:footnoteRef/>
      </w:r>
      <w:hyperlink r:id="rId8" w:history="1">
        <w:r w:rsidRPr="00304F7E">
          <w:rPr>
            <w:rStyle w:val="Hyperlink"/>
            <w:sz w:val="18"/>
            <w:szCs w:val="18"/>
          </w:rPr>
          <w:t>https://www.cleanenergyregulator.gov.au/About/What-we-do</w:t>
        </w:r>
      </w:hyperlink>
      <w:r w:rsidRPr="00304F7E">
        <w:rPr>
          <w:sz w:val="18"/>
          <w:szCs w:val="18"/>
        </w:rPr>
        <w:t xml:space="preserve"> </w:t>
      </w:r>
    </w:p>
  </w:footnote>
  <w:footnote w:id="13">
    <w:p w14:paraId="5D1CE76A" w14:textId="5093AA4F" w:rsidR="004507DD" w:rsidRDefault="004507DD" w:rsidP="000B1723">
      <w:pPr>
        <w:pStyle w:val="FootnoteText"/>
      </w:pPr>
      <w:r w:rsidRPr="00CC4E8F">
        <w:rPr>
          <w:rStyle w:val="FootnoteReference"/>
          <w:sz w:val="18"/>
        </w:rPr>
        <w:footnoteRef/>
      </w:r>
      <w:r w:rsidRPr="00CC4E8F">
        <w:rPr>
          <w:sz w:val="18"/>
        </w:rPr>
        <w:t xml:space="preserve"> </w:t>
      </w:r>
      <w:hyperlink r:id="rId9" w:history="1">
        <w:r w:rsidRPr="00876E2F">
          <w:rPr>
            <w:rStyle w:val="Hyperlink"/>
            <w:sz w:val="18"/>
          </w:rPr>
          <w:t>CFI Act</w:t>
        </w:r>
      </w:hyperlink>
      <w:r w:rsidRPr="00CC4E8F">
        <w:rPr>
          <w:sz w:val="18"/>
        </w:rPr>
        <w:t>, s3</w:t>
      </w:r>
    </w:p>
  </w:footnote>
  <w:footnote w:id="14">
    <w:p w14:paraId="1B42BAC8" w14:textId="70666904" w:rsidR="004507DD" w:rsidRPr="00313C72" w:rsidRDefault="004507DD" w:rsidP="001F1827">
      <w:pPr>
        <w:pStyle w:val="FootnoteText"/>
        <w:rPr>
          <w:sz w:val="18"/>
          <w:szCs w:val="18"/>
        </w:rPr>
      </w:pPr>
      <w:r w:rsidRPr="00313C72">
        <w:rPr>
          <w:rStyle w:val="FootnoteReference"/>
          <w:sz w:val="18"/>
          <w:szCs w:val="18"/>
        </w:rPr>
        <w:footnoteRef/>
      </w:r>
      <w:r w:rsidRPr="00313C72">
        <w:rPr>
          <w:sz w:val="18"/>
          <w:szCs w:val="18"/>
        </w:rPr>
        <w:t xml:space="preserve"> </w:t>
      </w:r>
      <w:hyperlink r:id="rId10" w:history="1">
        <w:r w:rsidRPr="00313C72">
          <w:rPr>
            <w:rStyle w:val="Hyperlink"/>
            <w:sz w:val="18"/>
            <w:szCs w:val="18"/>
          </w:rPr>
          <w:t>https://epbcactreview.environment.gov.au/resources/final-report/chapter-10</w:t>
        </w:r>
      </w:hyperlink>
      <w:r w:rsidRPr="00313C72">
        <w:rPr>
          <w:sz w:val="18"/>
          <w:szCs w:val="18"/>
        </w:rPr>
        <w:t xml:space="preserve"> </w:t>
      </w:r>
    </w:p>
  </w:footnote>
  <w:footnote w:id="15">
    <w:p w14:paraId="069AC646" w14:textId="052855EB" w:rsidR="004507DD" w:rsidRPr="00817CC6" w:rsidRDefault="004507DD" w:rsidP="001F1827">
      <w:pPr>
        <w:pStyle w:val="FootnoteText"/>
        <w:rPr>
          <w:sz w:val="18"/>
          <w:szCs w:val="18"/>
        </w:rPr>
      </w:pPr>
      <w:r w:rsidRPr="00313C72">
        <w:rPr>
          <w:rStyle w:val="FootnoteReference"/>
          <w:sz w:val="18"/>
          <w:szCs w:val="18"/>
        </w:rPr>
        <w:footnoteRef/>
      </w:r>
      <w:r w:rsidRPr="00313C72">
        <w:rPr>
          <w:sz w:val="18"/>
          <w:szCs w:val="18"/>
        </w:rPr>
        <w:t xml:space="preserve"> The CER Act defines </w:t>
      </w:r>
      <w:r w:rsidRPr="00313C72">
        <w:rPr>
          <w:b/>
          <w:bCs/>
          <w:i/>
          <w:iCs/>
          <w:sz w:val="18"/>
          <w:szCs w:val="18"/>
        </w:rPr>
        <w:t>protected information </w:t>
      </w:r>
      <w:r w:rsidRPr="00313C72">
        <w:rPr>
          <w:sz w:val="18"/>
          <w:szCs w:val="18"/>
        </w:rPr>
        <w:t xml:space="preserve">as </w:t>
      </w:r>
      <w:r w:rsidRPr="00313C72">
        <w:rPr>
          <w:i/>
          <w:iCs/>
          <w:sz w:val="18"/>
          <w:szCs w:val="18"/>
        </w:rPr>
        <w:t>‘…information that: (a) was obtained after the commencement of this section by a person in the person’s capacity as an official of the Regulator; and (b) relates to the affairs of a person other than an official of the Regulator’</w:t>
      </w:r>
      <w:r w:rsidRPr="00313C72">
        <w:rPr>
          <w:sz w:val="18"/>
          <w:szCs w:val="18"/>
        </w:rPr>
        <w:t>.</w:t>
      </w:r>
      <w:r w:rsidRPr="00910A2F">
        <w:rPr>
          <w:sz w:val="18"/>
          <w:szCs w:val="18"/>
        </w:rPr>
        <w:t xml:space="preserve"> </w:t>
      </w:r>
    </w:p>
  </w:footnote>
  <w:footnote w:id="16">
    <w:p w14:paraId="7AB515FC" w14:textId="6AE1A3A8" w:rsidR="004507DD" w:rsidRPr="00313C72" w:rsidRDefault="004507DD" w:rsidP="001F1827">
      <w:pPr>
        <w:pStyle w:val="FootnoteText"/>
        <w:rPr>
          <w:sz w:val="18"/>
          <w:szCs w:val="18"/>
        </w:rPr>
      </w:pPr>
      <w:r w:rsidRPr="00313C72">
        <w:rPr>
          <w:rStyle w:val="FootnoteReference"/>
          <w:sz w:val="18"/>
          <w:szCs w:val="18"/>
        </w:rPr>
        <w:footnoteRef/>
      </w:r>
      <w:r w:rsidRPr="00313C72">
        <w:rPr>
          <w:sz w:val="18"/>
          <w:szCs w:val="18"/>
        </w:rPr>
        <w:t xml:space="preserve"> </w:t>
      </w:r>
      <w:hyperlink r:id="rId11" w:history="1">
        <w:r w:rsidRPr="00876E2F">
          <w:rPr>
            <w:rStyle w:val="Hyperlink"/>
            <w:sz w:val="18"/>
            <w:szCs w:val="18"/>
          </w:rPr>
          <w:t>DCCEEW 2022, Nature Positive Plan: better for the environment, better for business</w:t>
        </w:r>
      </w:hyperlink>
    </w:p>
  </w:footnote>
  <w:footnote w:id="17">
    <w:p w14:paraId="36BC7059" w14:textId="7563DD2F" w:rsidR="004507DD" w:rsidRDefault="004507DD" w:rsidP="001018CB">
      <w:pPr>
        <w:pStyle w:val="FootnoteText"/>
        <w:rPr>
          <w:sz w:val="18"/>
          <w:szCs w:val="18"/>
        </w:rPr>
      </w:pPr>
      <w:r w:rsidRPr="007B784D">
        <w:rPr>
          <w:rStyle w:val="FootnoteReference"/>
          <w:sz w:val="18"/>
          <w:szCs w:val="18"/>
        </w:rPr>
        <w:footnoteRef/>
      </w:r>
      <w:r w:rsidRPr="007B784D">
        <w:rPr>
          <w:sz w:val="18"/>
          <w:szCs w:val="18"/>
        </w:rPr>
        <w:t xml:space="preserve"> </w:t>
      </w:r>
      <w:hyperlink r:id="rId12" w:history="1">
        <w:r w:rsidRPr="00873D48">
          <w:rPr>
            <w:rStyle w:val="Hyperlink"/>
            <w:sz w:val="18"/>
            <w:szCs w:val="18"/>
          </w:rPr>
          <w:t>ERF White Paper 2014</w:t>
        </w:r>
      </w:hyperlink>
      <w:r w:rsidRPr="007B784D">
        <w:rPr>
          <w:sz w:val="18"/>
          <w:szCs w:val="18"/>
        </w:rPr>
        <w:t>, p. 8, 21-22</w:t>
      </w:r>
    </w:p>
  </w:footnote>
  <w:footnote w:id="18">
    <w:p w14:paraId="4F4E0FAD" w14:textId="10A99D69" w:rsidR="004507DD" w:rsidRPr="007B784D" w:rsidRDefault="004507DD" w:rsidP="0000451B">
      <w:pPr>
        <w:pStyle w:val="FootnoteText"/>
        <w:rPr>
          <w:sz w:val="18"/>
          <w:szCs w:val="18"/>
        </w:rPr>
      </w:pPr>
      <w:r w:rsidRPr="007B784D">
        <w:rPr>
          <w:rStyle w:val="FootnoteReference"/>
          <w:sz w:val="18"/>
          <w:szCs w:val="18"/>
        </w:rPr>
        <w:footnoteRef/>
      </w:r>
      <w:r w:rsidRPr="007B784D">
        <w:rPr>
          <w:sz w:val="18"/>
          <w:szCs w:val="18"/>
        </w:rPr>
        <w:t xml:space="preserve"> </w:t>
      </w:r>
      <w:hyperlink r:id="rId13" w:history="1">
        <w:r w:rsidRPr="00873D48">
          <w:rPr>
            <w:rStyle w:val="Hyperlink"/>
            <w:sz w:val="18"/>
            <w:szCs w:val="18"/>
          </w:rPr>
          <w:t>ERF White Paper 2014</w:t>
        </w:r>
      </w:hyperlink>
    </w:p>
  </w:footnote>
  <w:footnote w:id="19">
    <w:p w14:paraId="3732C665" w14:textId="23FE1EEC" w:rsidR="004507DD" w:rsidRPr="00A269F8" w:rsidRDefault="004507DD" w:rsidP="00AF37BB">
      <w:pPr>
        <w:spacing w:after="0"/>
        <w:rPr>
          <w:sz w:val="18"/>
          <w:szCs w:val="18"/>
        </w:rPr>
      </w:pPr>
      <w:r w:rsidRPr="00A269F8">
        <w:rPr>
          <w:rStyle w:val="FootnoteReference"/>
          <w:sz w:val="18"/>
          <w:szCs w:val="18"/>
        </w:rPr>
        <w:footnoteRef/>
      </w:r>
      <w:r w:rsidRPr="00A269F8">
        <w:rPr>
          <w:sz w:val="18"/>
          <w:szCs w:val="18"/>
        </w:rPr>
        <w:t xml:space="preserve"> </w:t>
      </w:r>
      <w:r w:rsidRPr="00A269F8">
        <w:rPr>
          <w:rFonts w:eastAsia="Calibri" w:cs="Times New Roman"/>
          <w:sz w:val="18"/>
          <w:szCs w:val="18"/>
        </w:rPr>
        <w:t xml:space="preserve">Peer review is the mechanism by which outcomes of scientific work are assessed, evaluated, critiqued, embraced or improved by experts in the field. Relying on research and trials with no peer evaluation is not consistent with good scientific process. </w:t>
      </w:r>
    </w:p>
  </w:footnote>
  <w:footnote w:id="20">
    <w:p w14:paraId="4A253B92" w14:textId="7B92F30C" w:rsidR="004507DD" w:rsidRPr="00A269F8" w:rsidRDefault="004507DD">
      <w:pPr>
        <w:pStyle w:val="FootnoteText"/>
        <w:rPr>
          <w:sz w:val="18"/>
          <w:szCs w:val="18"/>
        </w:rPr>
      </w:pPr>
      <w:r w:rsidRPr="00A269F8">
        <w:rPr>
          <w:rStyle w:val="FootnoteReference"/>
          <w:sz w:val="18"/>
          <w:szCs w:val="18"/>
        </w:rPr>
        <w:footnoteRef/>
      </w:r>
      <w:r w:rsidRPr="00A269F8">
        <w:rPr>
          <w:sz w:val="18"/>
          <w:szCs w:val="18"/>
        </w:rPr>
        <w:t xml:space="preserve"> </w:t>
      </w:r>
      <w:hyperlink r:id="rId14" w:anchor="Integrated-farm-management" w:history="1">
        <w:r w:rsidRPr="00192EA0">
          <w:rPr>
            <w:rStyle w:val="Hyperlink"/>
            <w:sz w:val="18"/>
            <w:szCs w:val="18"/>
          </w:rPr>
          <w:t>Method development tracker: Integrated farm management method</w:t>
        </w:r>
      </w:hyperlink>
      <w:r>
        <w:rPr>
          <w:sz w:val="18"/>
          <w:szCs w:val="18"/>
        </w:rPr>
        <w:t xml:space="preserve"> </w:t>
      </w:r>
    </w:p>
  </w:footnote>
  <w:footnote w:id="21">
    <w:p w14:paraId="674CB5DC" w14:textId="6E31E54D" w:rsidR="004507DD" w:rsidRPr="004739C3" w:rsidRDefault="004507DD" w:rsidP="00C90858">
      <w:pPr>
        <w:pStyle w:val="FootnoteText"/>
        <w:rPr>
          <w:sz w:val="18"/>
          <w:szCs w:val="18"/>
        </w:rPr>
      </w:pPr>
      <w:r w:rsidRPr="00A269F8">
        <w:rPr>
          <w:rStyle w:val="FootnoteReference"/>
          <w:sz w:val="18"/>
          <w:szCs w:val="18"/>
        </w:rPr>
        <w:footnoteRef/>
      </w:r>
      <w:r w:rsidRPr="000026C0">
        <w:rPr>
          <w:sz w:val="18"/>
          <w:szCs w:val="18"/>
        </w:rPr>
        <w:t xml:space="preserve"> </w:t>
      </w:r>
      <w:hyperlink r:id="rId15" w:history="1">
        <w:r w:rsidRPr="00873D48">
          <w:rPr>
            <w:rStyle w:val="Hyperlink"/>
            <w:rFonts w:eastAsia="Calibri" w:cs="Times New Roman"/>
            <w:sz w:val="18"/>
            <w:szCs w:val="18"/>
          </w:rPr>
          <w:t>CFI Act</w:t>
        </w:r>
      </w:hyperlink>
      <w:r w:rsidRPr="000026C0">
        <w:rPr>
          <w:rFonts w:eastAsia="Calibri" w:cs="Times New Roman"/>
          <w:sz w:val="18"/>
          <w:szCs w:val="18"/>
        </w:rPr>
        <w:t xml:space="preserve"> section 255AA</w:t>
      </w:r>
    </w:p>
  </w:footnote>
  <w:footnote w:id="22">
    <w:p w14:paraId="51733CA0" w14:textId="77777777" w:rsidR="004507DD" w:rsidRDefault="004507DD" w:rsidP="00662D89">
      <w:pPr>
        <w:pStyle w:val="FootnoteText"/>
      </w:pPr>
      <w:r>
        <w:rPr>
          <w:rStyle w:val="FootnoteReference"/>
        </w:rPr>
        <w:footnoteRef/>
      </w:r>
      <w:r>
        <w:t xml:space="preserve"> </w:t>
      </w:r>
      <w:hyperlink r:id="rId16" w:history="1">
        <w:r w:rsidRPr="00442826">
          <w:rPr>
            <w:rStyle w:val="Hyperlink"/>
            <w:sz w:val="18"/>
            <w:szCs w:val="18"/>
          </w:rPr>
          <w:t>https://icvcm.org/the-core-carbon-principles/</w:t>
        </w:r>
      </w:hyperlink>
    </w:p>
  </w:footnote>
  <w:footnote w:id="23">
    <w:p w14:paraId="4CE99CAB" w14:textId="19FAFF8C" w:rsidR="004507DD" w:rsidRDefault="004507DD" w:rsidP="00662D89">
      <w:pPr>
        <w:pStyle w:val="FootnoteText"/>
      </w:pPr>
      <w:r>
        <w:rPr>
          <w:rStyle w:val="FootnoteReference"/>
        </w:rPr>
        <w:footnoteRef/>
      </w:r>
      <w:r>
        <w:t xml:space="preserve"> </w:t>
      </w:r>
      <w:hyperlink r:id="rId17" w:history="1">
        <w:r w:rsidRPr="00E44D3A">
          <w:rPr>
            <w:rStyle w:val="Hyperlink"/>
            <w:sz w:val="18"/>
            <w:szCs w:val="18"/>
          </w:rPr>
          <w:t>CCA Review of International Offsets 2022</w:t>
        </w:r>
      </w:hyperlink>
      <w:r>
        <w:rPr>
          <w:rStyle w:val="Hyperlink"/>
          <w:sz w:val="18"/>
          <w:szCs w:val="18"/>
        </w:rPr>
        <w:t>, p. 44-45</w:t>
      </w:r>
    </w:p>
  </w:footnote>
  <w:footnote w:id="24">
    <w:p w14:paraId="232B6B8F" w14:textId="00644072" w:rsidR="004507DD" w:rsidRDefault="004507DD" w:rsidP="00030A53">
      <w:pPr>
        <w:pStyle w:val="FootnoteText"/>
      </w:pPr>
      <w:r w:rsidRPr="00843A41">
        <w:rPr>
          <w:rStyle w:val="FootnoteReference"/>
          <w:sz w:val="18"/>
          <w:szCs w:val="18"/>
        </w:rPr>
        <w:footnoteRef/>
      </w:r>
      <w:r w:rsidRPr="00843A41">
        <w:rPr>
          <w:sz w:val="18"/>
          <w:szCs w:val="18"/>
        </w:rPr>
        <w:t xml:space="preserve"> </w:t>
      </w:r>
      <w:hyperlink r:id="rId18" w:history="1">
        <w:r w:rsidRPr="001E1B01">
          <w:rPr>
            <w:rStyle w:val="Hyperlink"/>
            <w:sz w:val="18"/>
            <w:szCs w:val="18"/>
          </w:rPr>
          <w:t>CFI Act</w:t>
        </w:r>
      </w:hyperlink>
      <w:r w:rsidRPr="00843A41">
        <w:rPr>
          <w:sz w:val="18"/>
          <w:szCs w:val="18"/>
        </w:rPr>
        <w:t xml:space="preserve"> s133</w:t>
      </w:r>
      <w:r>
        <w:t xml:space="preserve"> </w:t>
      </w:r>
    </w:p>
  </w:footnote>
  <w:footnote w:id="25">
    <w:p w14:paraId="53CA243D" w14:textId="129A4ACE" w:rsidR="004507DD" w:rsidRPr="002B028A" w:rsidRDefault="004507DD" w:rsidP="00030A53">
      <w:pPr>
        <w:pStyle w:val="FootnoteText"/>
        <w:rPr>
          <w:sz w:val="18"/>
          <w:szCs w:val="18"/>
        </w:rPr>
      </w:pPr>
      <w:r w:rsidRPr="002B028A">
        <w:rPr>
          <w:rStyle w:val="FootnoteReference"/>
          <w:sz w:val="18"/>
          <w:szCs w:val="18"/>
        </w:rPr>
        <w:footnoteRef/>
      </w:r>
      <w:r w:rsidRPr="002B028A">
        <w:rPr>
          <w:sz w:val="18"/>
          <w:szCs w:val="18"/>
        </w:rPr>
        <w:t xml:space="preserve"> </w:t>
      </w:r>
      <w:hyperlink r:id="rId19" w:history="1">
        <w:r w:rsidRPr="001534F8">
          <w:rPr>
            <w:rStyle w:val="Hyperlink"/>
            <w:sz w:val="18"/>
            <w:szCs w:val="18"/>
          </w:rPr>
          <w:t>CFI Amendment Bill 2014</w:t>
        </w:r>
      </w:hyperlink>
      <w:r w:rsidRPr="002B028A">
        <w:rPr>
          <w:sz w:val="18"/>
          <w:szCs w:val="18"/>
        </w:rPr>
        <w:t xml:space="preserve"> </w:t>
      </w:r>
    </w:p>
  </w:footnote>
  <w:footnote w:id="26">
    <w:p w14:paraId="0CDD2975" w14:textId="77777777" w:rsidR="004507DD" w:rsidRPr="002B028A" w:rsidRDefault="004507DD" w:rsidP="00030A53">
      <w:pPr>
        <w:pStyle w:val="FootnoteText"/>
        <w:rPr>
          <w:sz w:val="18"/>
          <w:szCs w:val="18"/>
        </w:rPr>
      </w:pPr>
      <w:r w:rsidRPr="002B028A">
        <w:rPr>
          <w:rStyle w:val="FootnoteReference"/>
          <w:sz w:val="18"/>
          <w:szCs w:val="18"/>
        </w:rPr>
        <w:footnoteRef/>
      </w:r>
      <w:r w:rsidRPr="002B028A">
        <w:rPr>
          <w:sz w:val="18"/>
          <w:szCs w:val="18"/>
        </w:rPr>
        <w:t xml:space="preserve"> </w:t>
      </w:r>
      <w:hyperlink r:id="rId20" w:history="1">
        <w:r w:rsidRPr="002B028A">
          <w:rPr>
            <w:rStyle w:val="Hyperlink"/>
            <w:sz w:val="18"/>
            <w:szCs w:val="18"/>
          </w:rPr>
          <w:t>CCA 2020 Review of the Emissions Reduction Fund</w:t>
        </w:r>
      </w:hyperlink>
      <w:r w:rsidRPr="002B028A">
        <w:rPr>
          <w:sz w:val="18"/>
          <w:szCs w:val="18"/>
        </w:rPr>
        <w:t xml:space="preserve"> </w:t>
      </w:r>
    </w:p>
  </w:footnote>
  <w:footnote w:id="27">
    <w:p w14:paraId="1B8C1332" w14:textId="77777777" w:rsidR="004507DD" w:rsidRDefault="004507DD" w:rsidP="00030A53">
      <w:pPr>
        <w:pStyle w:val="FootnoteText"/>
      </w:pPr>
      <w:r w:rsidRPr="002B028A">
        <w:rPr>
          <w:rStyle w:val="FootnoteReference"/>
          <w:sz w:val="18"/>
          <w:szCs w:val="18"/>
        </w:rPr>
        <w:footnoteRef/>
      </w:r>
      <w:r w:rsidRPr="002B028A">
        <w:rPr>
          <w:sz w:val="18"/>
          <w:szCs w:val="18"/>
        </w:rPr>
        <w:t xml:space="preserve"> </w:t>
      </w:r>
      <w:hyperlink r:id="rId21" w:history="1">
        <w:r w:rsidRPr="002B028A">
          <w:rPr>
            <w:rStyle w:val="Hyperlink"/>
            <w:sz w:val="18"/>
            <w:szCs w:val="18"/>
          </w:rPr>
          <w:t>CCA 2017 Review of the Emissions Reduction Fund</w:t>
        </w:r>
      </w:hyperlink>
    </w:p>
  </w:footnote>
  <w:footnote w:id="28">
    <w:p w14:paraId="67C926A6" w14:textId="5A17F382" w:rsidR="004507DD" w:rsidRPr="00047FDB" w:rsidRDefault="004507DD" w:rsidP="00030A53">
      <w:pPr>
        <w:pStyle w:val="FootnoteText"/>
        <w:rPr>
          <w:sz w:val="18"/>
          <w:szCs w:val="18"/>
        </w:rPr>
      </w:pPr>
      <w:r w:rsidRPr="00672BB9">
        <w:rPr>
          <w:rStyle w:val="FootnoteReference"/>
          <w:sz w:val="18"/>
          <w:szCs w:val="18"/>
        </w:rPr>
        <w:footnoteRef/>
      </w:r>
      <w:r w:rsidRPr="00672BB9">
        <w:rPr>
          <w:sz w:val="18"/>
          <w:szCs w:val="18"/>
        </w:rPr>
        <w:t xml:space="preserve"> Paragraph 27(4A) of the </w:t>
      </w:r>
      <w:hyperlink r:id="rId22" w:history="1">
        <w:r w:rsidRPr="001E1B01">
          <w:rPr>
            <w:rStyle w:val="Hyperlink"/>
            <w:sz w:val="18"/>
            <w:szCs w:val="18"/>
          </w:rPr>
          <w:t>CFI Act</w:t>
        </w:r>
      </w:hyperlink>
    </w:p>
  </w:footnote>
  <w:footnote w:id="29">
    <w:p w14:paraId="2ADCA511" w14:textId="041F3CC9" w:rsidR="004507DD" w:rsidRDefault="004507DD" w:rsidP="00030A53">
      <w:pPr>
        <w:pStyle w:val="FootnoteText"/>
      </w:pPr>
      <w:r>
        <w:rPr>
          <w:rStyle w:val="FootnoteReference"/>
        </w:rPr>
        <w:footnoteRef/>
      </w:r>
      <w:r>
        <w:t xml:space="preserve"> </w:t>
      </w:r>
      <w:hyperlink r:id="rId23" w:history="1">
        <w:r w:rsidRPr="00E44D3A">
          <w:rPr>
            <w:rStyle w:val="Hyperlink"/>
            <w:sz w:val="18"/>
            <w:szCs w:val="18"/>
          </w:rPr>
          <w:t>CCA Review of International Offsets 2022</w:t>
        </w:r>
      </w:hyperlink>
      <w:r>
        <w:rPr>
          <w:rStyle w:val="Hyperlink"/>
          <w:sz w:val="18"/>
          <w:szCs w:val="18"/>
        </w:rPr>
        <w:t>, p. 45</w:t>
      </w:r>
    </w:p>
  </w:footnote>
  <w:footnote w:id="30">
    <w:p w14:paraId="39FF2917" w14:textId="03C0798C" w:rsidR="004507DD" w:rsidRPr="004A6A5A" w:rsidRDefault="004507DD">
      <w:pPr>
        <w:pStyle w:val="FootnoteText"/>
        <w:rPr>
          <w:sz w:val="18"/>
          <w:szCs w:val="18"/>
        </w:rPr>
      </w:pPr>
      <w:r w:rsidRPr="00514A60">
        <w:rPr>
          <w:rStyle w:val="FootnoteReference"/>
          <w:sz w:val="18"/>
          <w:szCs w:val="18"/>
        </w:rPr>
        <w:footnoteRef/>
      </w:r>
      <w:r w:rsidRPr="00514A60">
        <w:rPr>
          <w:sz w:val="18"/>
          <w:szCs w:val="18"/>
        </w:rPr>
        <w:t xml:space="preserve"> For example </w:t>
      </w:r>
      <w:hyperlink r:id="rId24" w:history="1">
        <w:r w:rsidRPr="00514A60">
          <w:rPr>
            <w:rStyle w:val="Hyperlink"/>
            <w:sz w:val="18"/>
            <w:szCs w:val="18"/>
          </w:rPr>
          <w:t>Gilbert + Tobin: Briefing Report on the Article 6 Rules agreed at COP26</w:t>
        </w:r>
      </w:hyperlink>
    </w:p>
  </w:footnote>
  <w:footnote w:id="31">
    <w:p w14:paraId="7B09DB2B" w14:textId="0BFD5513" w:rsidR="004507DD" w:rsidRDefault="004507DD">
      <w:pPr>
        <w:pStyle w:val="FootnoteText"/>
      </w:pPr>
      <w:r>
        <w:rPr>
          <w:rStyle w:val="FootnoteReference"/>
        </w:rPr>
        <w:footnoteRef/>
      </w:r>
      <w:r>
        <w:t xml:space="preserve"> </w:t>
      </w:r>
      <w:hyperlink r:id="rId25" w:history="1">
        <w:r w:rsidRPr="001A3016">
          <w:rPr>
            <w:rStyle w:val="Hyperlink"/>
          </w:rPr>
          <w:t>Human-induced regeneration method – regulatory guidance</w:t>
        </w:r>
      </w:hyperlink>
    </w:p>
  </w:footnote>
  <w:footnote w:id="32">
    <w:p w14:paraId="26EA0404" w14:textId="77777777" w:rsidR="004507DD" w:rsidRPr="007E474F" w:rsidRDefault="004507DD" w:rsidP="001018CB">
      <w:pPr>
        <w:pStyle w:val="FootnoteText"/>
        <w:rPr>
          <w:sz w:val="18"/>
          <w:szCs w:val="18"/>
        </w:rPr>
      </w:pPr>
      <w:r w:rsidRPr="007E474F">
        <w:rPr>
          <w:rStyle w:val="FootnoteReference"/>
          <w:sz w:val="18"/>
          <w:szCs w:val="18"/>
        </w:rPr>
        <w:footnoteRef/>
      </w:r>
      <w:r w:rsidRPr="007E474F">
        <w:rPr>
          <w:sz w:val="18"/>
          <w:szCs w:val="18"/>
        </w:rPr>
        <w:t xml:space="preserve"> Defined as at least 0.2 hectares of land, with trees over 2 metres and 20% crown cover.</w:t>
      </w:r>
    </w:p>
  </w:footnote>
  <w:footnote w:id="33">
    <w:p w14:paraId="7AA8CC9E" w14:textId="24E101C7" w:rsidR="004507DD" w:rsidRPr="007E474F" w:rsidRDefault="004507DD" w:rsidP="001018CB">
      <w:pPr>
        <w:pStyle w:val="FootnoteText"/>
        <w:rPr>
          <w:sz w:val="18"/>
          <w:szCs w:val="18"/>
        </w:rPr>
      </w:pPr>
      <w:r w:rsidRPr="007E474F">
        <w:rPr>
          <w:rStyle w:val="FootnoteReference"/>
          <w:sz w:val="18"/>
          <w:szCs w:val="18"/>
        </w:rPr>
        <w:footnoteRef/>
      </w:r>
      <w:r w:rsidRPr="007E474F">
        <w:rPr>
          <w:sz w:val="18"/>
          <w:szCs w:val="18"/>
        </w:rPr>
        <w:t xml:space="preserve"> For</w:t>
      </w:r>
      <w:r w:rsidRPr="00D64310">
        <w:rPr>
          <w:sz w:val="18"/>
          <w:szCs w:val="18"/>
        </w:rPr>
        <w:t xml:space="preserve"> conservation land</w:t>
      </w:r>
      <w:r w:rsidRPr="007E474F">
        <w:rPr>
          <w:sz w:val="18"/>
          <w:szCs w:val="18"/>
        </w:rPr>
        <w:t>, only (iii) or (iv) is applicable</w:t>
      </w:r>
      <w:r>
        <w:rPr>
          <w:sz w:val="18"/>
          <w:szCs w:val="18"/>
        </w:rPr>
        <w:t xml:space="preserve">. </w:t>
      </w:r>
    </w:p>
  </w:footnote>
  <w:footnote w:id="34">
    <w:p w14:paraId="08B0BD0F" w14:textId="77777777" w:rsidR="004507DD" w:rsidRDefault="004507DD" w:rsidP="001018CB">
      <w:pPr>
        <w:pStyle w:val="FootnoteText"/>
      </w:pPr>
      <w:r w:rsidRPr="007E474F">
        <w:rPr>
          <w:rStyle w:val="FootnoteReference"/>
          <w:sz w:val="18"/>
          <w:szCs w:val="18"/>
        </w:rPr>
        <w:footnoteRef/>
      </w:r>
      <w:r w:rsidRPr="007E474F">
        <w:rPr>
          <w:sz w:val="18"/>
          <w:szCs w:val="18"/>
        </w:rPr>
        <w:t xml:space="preserve"> HIR projects are required to have the potential to achieve forest cover within 15 years.</w:t>
      </w:r>
    </w:p>
  </w:footnote>
  <w:footnote w:id="35">
    <w:p w14:paraId="7F51AC2E" w14:textId="46CEA83D" w:rsidR="004507DD" w:rsidRPr="00537084" w:rsidRDefault="004507DD" w:rsidP="001018CB">
      <w:pPr>
        <w:pStyle w:val="FootnoteText"/>
        <w:rPr>
          <w:sz w:val="18"/>
          <w:szCs w:val="18"/>
        </w:rPr>
      </w:pPr>
      <w:r w:rsidRPr="00537084">
        <w:rPr>
          <w:rStyle w:val="FootnoteReference"/>
          <w:sz w:val="18"/>
          <w:szCs w:val="18"/>
        </w:rPr>
        <w:footnoteRef/>
      </w:r>
      <w:r w:rsidRPr="00537084">
        <w:rPr>
          <w:sz w:val="18"/>
          <w:szCs w:val="18"/>
        </w:rPr>
        <w:t xml:space="preserve"> Section 16</w:t>
      </w:r>
      <w:r>
        <w:rPr>
          <w:sz w:val="18"/>
          <w:szCs w:val="18"/>
        </w:rPr>
        <w:t>7 and section</w:t>
      </w:r>
      <w:r w:rsidRPr="00537084">
        <w:rPr>
          <w:sz w:val="18"/>
          <w:szCs w:val="18"/>
        </w:rPr>
        <w:t xml:space="preserve"> 168 of the </w:t>
      </w:r>
      <w:hyperlink r:id="rId26" w:history="1">
        <w:r w:rsidRPr="000D70A5">
          <w:rPr>
            <w:rStyle w:val="Hyperlink"/>
            <w:sz w:val="18"/>
            <w:szCs w:val="18"/>
          </w:rPr>
          <w:t>CFI Act</w:t>
        </w:r>
      </w:hyperlink>
      <w:r w:rsidRPr="00537084">
        <w:rPr>
          <w:sz w:val="18"/>
          <w:szCs w:val="18"/>
        </w:rPr>
        <w:t xml:space="preserve"> stipulates that the Clean Energy Regulator must publish certain information, including an up-to-date, electronic ‘Emissions Reduction Fund Register’ (project register) on the Regulator’s website.</w:t>
      </w:r>
    </w:p>
  </w:footnote>
  <w:footnote w:id="36">
    <w:p w14:paraId="43A7A999" w14:textId="29F646D9" w:rsidR="004507DD" w:rsidRDefault="004507DD">
      <w:pPr>
        <w:pStyle w:val="FootnoteText"/>
      </w:pPr>
      <w:r>
        <w:rPr>
          <w:rStyle w:val="FootnoteReference"/>
        </w:rPr>
        <w:footnoteRef/>
      </w:r>
      <w:r>
        <w:t xml:space="preserve"> </w:t>
      </w:r>
      <w:hyperlink r:id="rId27" w:history="1">
        <w:r w:rsidRPr="000D70A5">
          <w:rPr>
            <w:rStyle w:val="Hyperlink"/>
            <w:sz w:val="18"/>
            <w:szCs w:val="18"/>
          </w:rPr>
          <w:t>Roxburgh, Stephen; Paul, Keryn. Verification of FullCAM’s Tree Yield Formula for Regenerating Systems . Black Mountain: CSIRO; 2022</w:t>
        </w:r>
      </w:hyperlink>
      <w:r w:rsidRPr="000D70A5">
        <w:rPr>
          <w:sz w:val="18"/>
          <w:szCs w:val="18"/>
        </w:rPr>
        <w:t xml:space="preserve"> </w:t>
      </w:r>
    </w:p>
  </w:footnote>
  <w:footnote w:id="37">
    <w:p w14:paraId="48DCF093" w14:textId="1FCDF2D2" w:rsidR="004507DD" w:rsidRDefault="004507DD">
      <w:pPr>
        <w:pStyle w:val="FootnoteText"/>
      </w:pPr>
      <w:r w:rsidRPr="00DC7C85">
        <w:rPr>
          <w:rStyle w:val="FootnoteReference"/>
        </w:rPr>
        <w:footnoteRef/>
      </w:r>
      <w:r w:rsidRPr="00DC7C85">
        <w:t xml:space="preserve"> </w:t>
      </w:r>
      <w:hyperlink r:id="rId28" w:history="1">
        <w:r w:rsidRPr="00766A79">
          <w:rPr>
            <w:rStyle w:val="Hyperlink"/>
            <w:sz w:val="18"/>
            <w:szCs w:val="18"/>
          </w:rPr>
          <w:t>Avoided deforestation method</w:t>
        </w:r>
      </w:hyperlink>
      <w:r w:rsidRPr="00766A79">
        <w:rPr>
          <w:sz w:val="18"/>
          <w:szCs w:val="18"/>
        </w:rPr>
        <w:t xml:space="preserve"> </w:t>
      </w:r>
    </w:p>
  </w:footnote>
  <w:footnote w:id="38">
    <w:p w14:paraId="023968D9" w14:textId="12E0E965" w:rsidR="004507DD" w:rsidRPr="00CC680E" w:rsidRDefault="004507DD" w:rsidP="004E2DAA">
      <w:pPr>
        <w:pStyle w:val="FootnoteText"/>
        <w:rPr>
          <w:sz w:val="18"/>
          <w:szCs w:val="18"/>
        </w:rPr>
      </w:pPr>
      <w:r w:rsidRPr="00CC680E">
        <w:rPr>
          <w:rStyle w:val="FootnoteReference"/>
          <w:sz w:val="18"/>
          <w:szCs w:val="18"/>
        </w:rPr>
        <w:footnoteRef/>
      </w:r>
      <w:r w:rsidRPr="00CC680E">
        <w:rPr>
          <w:sz w:val="18"/>
          <w:szCs w:val="18"/>
        </w:rPr>
        <w:t xml:space="preserve"> </w:t>
      </w:r>
      <w:hyperlink r:id="rId29" w:history="1">
        <w:r w:rsidRPr="00876E2F">
          <w:rPr>
            <w:rStyle w:val="Hyperlink"/>
            <w:sz w:val="18"/>
            <w:szCs w:val="18"/>
          </w:rPr>
          <w:t>DCCEEW 2022, Nature Positive Plan: better for the environment, better for business</w:t>
        </w:r>
      </w:hyperlink>
    </w:p>
  </w:footnote>
  <w:footnote w:id="39">
    <w:p w14:paraId="6F7804A7" w14:textId="43F77B13" w:rsidR="004507DD" w:rsidRPr="000D70A5" w:rsidRDefault="004507DD" w:rsidP="004E2DAA">
      <w:pPr>
        <w:pStyle w:val="FootnoteText"/>
        <w:rPr>
          <w:color w:val="1F497D" w:themeColor="hyperlink"/>
          <w:sz w:val="18"/>
          <w:szCs w:val="18"/>
          <w:u w:val="single"/>
        </w:rPr>
      </w:pPr>
      <w:r w:rsidRPr="00CC680E">
        <w:rPr>
          <w:rStyle w:val="FootnoteReference"/>
          <w:sz w:val="18"/>
          <w:szCs w:val="18"/>
        </w:rPr>
        <w:footnoteRef/>
      </w:r>
      <w:r w:rsidRPr="00CC680E">
        <w:rPr>
          <w:sz w:val="18"/>
          <w:szCs w:val="18"/>
        </w:rPr>
        <w:t xml:space="preserve"> </w:t>
      </w:r>
      <w:hyperlink r:id="rId30" w:history="1">
        <w:r w:rsidRPr="000D70A5">
          <w:rPr>
            <w:rStyle w:val="Hyperlink"/>
            <w:sz w:val="18"/>
            <w:szCs w:val="18"/>
          </w:rPr>
          <w:t>Australian Government response to the destruction of Juukan Gorge</w:t>
        </w:r>
        <w:r>
          <w:rPr>
            <w:rStyle w:val="Hyperlink"/>
            <w:sz w:val="18"/>
            <w:szCs w:val="18"/>
          </w:rPr>
          <w:t xml:space="preserve"> </w:t>
        </w:r>
        <w:r w:rsidRPr="000D70A5">
          <w:rPr>
            <w:rStyle w:val="Hyperlink"/>
            <w:sz w:val="18"/>
            <w:szCs w:val="18"/>
          </w:rPr>
          <w:t>2022</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6E3D" w14:textId="77777777" w:rsidR="005B3FDC" w:rsidRDefault="005B3F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60CA7" w14:textId="6D650EDA" w:rsidR="004507DD" w:rsidRDefault="004507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89718" w14:textId="58F7A3BA" w:rsidR="004507DD" w:rsidRDefault="004507DD" w:rsidP="00EB47E2">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45FB" w14:textId="6CAE14E9" w:rsidR="004507DD" w:rsidRDefault="004507D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1D784" w14:textId="2F50EB04" w:rsidR="004507DD" w:rsidRDefault="004507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419A" w14:textId="2CA4B022" w:rsidR="004507DD" w:rsidRPr="00686FED" w:rsidRDefault="004507DD" w:rsidP="00686F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FFFC" w14:textId="72AD12B4" w:rsidR="004507DD" w:rsidRPr="00686FED" w:rsidRDefault="004507DD" w:rsidP="00686F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F9C11" w14:textId="77777777" w:rsidR="005B3FDC" w:rsidRDefault="005B3F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E987A" w14:textId="77777777" w:rsidR="005B3FDC" w:rsidRDefault="005B3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7AA57" w14:textId="0FA30C05" w:rsidR="004507DD" w:rsidRDefault="004507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BC94" w14:textId="7D10C626" w:rsidR="004507DD" w:rsidRDefault="004507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1C7B5" w14:textId="77777777" w:rsidR="004507DD" w:rsidRDefault="004507DD">
    <w:pPr>
      <w:pStyle w:val="Header"/>
    </w:pPr>
    <w:r>
      <w:rPr>
        <w:noProof/>
        <w:lang w:eastAsia="en-AU"/>
      </w:rPr>
      <mc:AlternateContent>
        <mc:Choice Requires="wps">
          <w:drawing>
            <wp:anchor distT="0" distB="0" distL="114300" distR="114300" simplePos="0" relativeHeight="251660800" behindDoc="0" locked="0" layoutInCell="1" allowOverlap="1" wp14:anchorId="6F474F74" wp14:editId="1DC01A24">
              <wp:simplePos x="0" y="0"/>
              <wp:positionH relativeFrom="column">
                <wp:posOffset>-2281555</wp:posOffset>
              </wp:positionH>
              <wp:positionV relativeFrom="paragraph">
                <wp:posOffset>-1092835</wp:posOffset>
              </wp:positionV>
              <wp:extent cx="0" cy="9306560"/>
              <wp:effectExtent l="19050" t="0" r="19050" b="27940"/>
              <wp:wrapNone/>
              <wp:docPr id="9" name="Straight Connector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0" cy="93065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F8EA71" id="Straight Connector 9" o:spid="_x0000_s1026" alt="&quot;&quot;"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5pt,-86.05pt" to="-179.65pt,6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" strokecolor="black [3213]" strokeweight="3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A105" w14:textId="0378371B" w:rsidR="004507DD" w:rsidRDefault="004507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1226" w14:textId="35E6A754" w:rsidR="004507DD" w:rsidRDefault="004507D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EE624" w14:textId="078E91B3" w:rsidR="004507DD" w:rsidRDefault="00450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0666ED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1503A"/>
    <w:multiLevelType w:val="hybridMultilevel"/>
    <w:tmpl w:val="9E92F620"/>
    <w:lvl w:ilvl="0" w:tplc="F17243A8">
      <w:start w:val="2"/>
      <w:numFmt w:val="decimal"/>
      <w:lvlText w:val="%1."/>
      <w:lvlJc w:val="left"/>
      <w:pPr>
        <w:ind w:left="360" w:hanging="360"/>
      </w:pPr>
      <w:rPr>
        <w:rFonts w:hint="default"/>
      </w:rPr>
    </w:lvl>
    <w:lvl w:ilvl="1" w:tplc="0C090019">
      <w:start w:val="1"/>
      <w:numFmt w:val="lowerLetter"/>
      <w:lvlText w:val="%2."/>
      <w:lvlJc w:val="left"/>
      <w:pPr>
        <w:ind w:left="1030" w:hanging="360"/>
      </w:pPr>
    </w:lvl>
    <w:lvl w:ilvl="2" w:tplc="0C09001B" w:tentative="1">
      <w:start w:val="1"/>
      <w:numFmt w:val="lowerRoman"/>
      <w:lvlText w:val="%3."/>
      <w:lvlJc w:val="right"/>
      <w:pPr>
        <w:ind w:left="1750" w:hanging="180"/>
      </w:pPr>
    </w:lvl>
    <w:lvl w:ilvl="3" w:tplc="0C09000F" w:tentative="1">
      <w:start w:val="1"/>
      <w:numFmt w:val="decimal"/>
      <w:lvlText w:val="%4."/>
      <w:lvlJc w:val="left"/>
      <w:pPr>
        <w:ind w:left="2470" w:hanging="360"/>
      </w:pPr>
    </w:lvl>
    <w:lvl w:ilvl="4" w:tplc="0C090019" w:tentative="1">
      <w:start w:val="1"/>
      <w:numFmt w:val="lowerLetter"/>
      <w:lvlText w:val="%5."/>
      <w:lvlJc w:val="left"/>
      <w:pPr>
        <w:ind w:left="3190" w:hanging="360"/>
      </w:pPr>
    </w:lvl>
    <w:lvl w:ilvl="5" w:tplc="0C09001B" w:tentative="1">
      <w:start w:val="1"/>
      <w:numFmt w:val="lowerRoman"/>
      <w:lvlText w:val="%6."/>
      <w:lvlJc w:val="right"/>
      <w:pPr>
        <w:ind w:left="3910" w:hanging="180"/>
      </w:pPr>
    </w:lvl>
    <w:lvl w:ilvl="6" w:tplc="0C09000F" w:tentative="1">
      <w:start w:val="1"/>
      <w:numFmt w:val="decimal"/>
      <w:lvlText w:val="%7."/>
      <w:lvlJc w:val="left"/>
      <w:pPr>
        <w:ind w:left="4630" w:hanging="360"/>
      </w:pPr>
    </w:lvl>
    <w:lvl w:ilvl="7" w:tplc="0C090019" w:tentative="1">
      <w:start w:val="1"/>
      <w:numFmt w:val="lowerLetter"/>
      <w:lvlText w:val="%8."/>
      <w:lvlJc w:val="left"/>
      <w:pPr>
        <w:ind w:left="5350" w:hanging="360"/>
      </w:pPr>
    </w:lvl>
    <w:lvl w:ilvl="8" w:tplc="0C09001B" w:tentative="1">
      <w:start w:val="1"/>
      <w:numFmt w:val="lowerRoman"/>
      <w:lvlText w:val="%9."/>
      <w:lvlJc w:val="right"/>
      <w:pPr>
        <w:ind w:left="6070" w:hanging="180"/>
      </w:pPr>
    </w:lvl>
  </w:abstractNum>
  <w:abstractNum w:abstractNumId="2" w15:restartNumberingAfterBreak="0">
    <w:nsid w:val="01B76C61"/>
    <w:multiLevelType w:val="multilevel"/>
    <w:tmpl w:val="7DBC1C90"/>
    <w:lvl w:ilvl="0">
      <w:start w:val="5"/>
      <w:numFmt w:val="decimal"/>
      <w:lvlText w:val="%1"/>
      <w:lvlJc w:val="left"/>
      <w:pPr>
        <w:ind w:left="360" w:hanging="360"/>
      </w:pPr>
      <w:rPr>
        <w:rFonts w:hint="default"/>
        <w:b/>
      </w:rPr>
    </w:lvl>
    <w:lvl w:ilvl="1">
      <w:start w:val="2"/>
      <w:numFmt w:val="decimal"/>
      <w:lvlText w:val="%1.%2"/>
      <w:lvlJc w:val="left"/>
      <w:pPr>
        <w:ind w:left="1077" w:hanging="360"/>
      </w:pPr>
      <w:rPr>
        <w:rFonts w:hint="default"/>
        <w:b/>
      </w:rPr>
    </w:lvl>
    <w:lvl w:ilvl="2">
      <w:start w:val="1"/>
      <w:numFmt w:val="decimal"/>
      <w:lvlText w:val="%1.%2.%3"/>
      <w:lvlJc w:val="left"/>
      <w:pPr>
        <w:ind w:left="2154" w:hanging="720"/>
      </w:pPr>
      <w:rPr>
        <w:rFonts w:hint="default"/>
        <w:b/>
      </w:rPr>
    </w:lvl>
    <w:lvl w:ilvl="3">
      <w:start w:val="1"/>
      <w:numFmt w:val="decimal"/>
      <w:lvlText w:val="%1.%2.%3.%4"/>
      <w:lvlJc w:val="left"/>
      <w:pPr>
        <w:ind w:left="2871" w:hanging="720"/>
      </w:pPr>
      <w:rPr>
        <w:rFonts w:hint="default"/>
        <w:b/>
      </w:rPr>
    </w:lvl>
    <w:lvl w:ilvl="4">
      <w:start w:val="1"/>
      <w:numFmt w:val="decimal"/>
      <w:lvlText w:val="%1.%2.%3.%4.%5"/>
      <w:lvlJc w:val="left"/>
      <w:pPr>
        <w:ind w:left="3948" w:hanging="1080"/>
      </w:pPr>
      <w:rPr>
        <w:rFonts w:hint="default"/>
        <w:b/>
      </w:rPr>
    </w:lvl>
    <w:lvl w:ilvl="5">
      <w:start w:val="1"/>
      <w:numFmt w:val="decimal"/>
      <w:lvlText w:val="%1.%2.%3.%4.%5.%6"/>
      <w:lvlJc w:val="left"/>
      <w:pPr>
        <w:ind w:left="4665" w:hanging="1080"/>
      </w:pPr>
      <w:rPr>
        <w:rFonts w:hint="default"/>
        <w:b/>
      </w:rPr>
    </w:lvl>
    <w:lvl w:ilvl="6">
      <w:start w:val="1"/>
      <w:numFmt w:val="decimal"/>
      <w:lvlText w:val="%1.%2.%3.%4.%5.%6.%7"/>
      <w:lvlJc w:val="left"/>
      <w:pPr>
        <w:ind w:left="5742" w:hanging="1440"/>
      </w:pPr>
      <w:rPr>
        <w:rFonts w:hint="default"/>
        <w:b/>
      </w:rPr>
    </w:lvl>
    <w:lvl w:ilvl="7">
      <w:start w:val="1"/>
      <w:numFmt w:val="decimal"/>
      <w:lvlText w:val="%1.%2.%3.%4.%5.%6.%7.%8"/>
      <w:lvlJc w:val="left"/>
      <w:pPr>
        <w:ind w:left="6459" w:hanging="1440"/>
      </w:pPr>
      <w:rPr>
        <w:rFonts w:hint="default"/>
        <w:b/>
      </w:rPr>
    </w:lvl>
    <w:lvl w:ilvl="8">
      <w:start w:val="1"/>
      <w:numFmt w:val="decimal"/>
      <w:lvlText w:val="%1.%2.%3.%4.%5.%6.%7.%8.%9"/>
      <w:lvlJc w:val="left"/>
      <w:pPr>
        <w:ind w:left="7176" w:hanging="1440"/>
      </w:pPr>
      <w:rPr>
        <w:rFonts w:hint="default"/>
        <w:b/>
      </w:rPr>
    </w:lvl>
  </w:abstractNum>
  <w:abstractNum w:abstractNumId="3" w15:restartNumberingAfterBreak="0">
    <w:nsid w:val="03E92353"/>
    <w:multiLevelType w:val="hybridMultilevel"/>
    <w:tmpl w:val="B35A1360"/>
    <w:lvl w:ilvl="0" w:tplc="BB427258">
      <w:start w:val="1"/>
      <w:numFmt w:val="decimal"/>
      <w:lvlText w:val="3.2.%1"/>
      <w:lvlJc w:val="left"/>
      <w:pPr>
        <w:ind w:left="1077"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B56E1F"/>
    <w:multiLevelType w:val="hybridMultilevel"/>
    <w:tmpl w:val="4860F6FE"/>
    <w:lvl w:ilvl="0" w:tplc="091CD8A0">
      <w:start w:val="1"/>
      <w:numFmt w:val="lowerRoman"/>
      <w:lvlText w:val="%1."/>
      <w:lvlJc w:val="right"/>
      <w:pPr>
        <w:ind w:left="720" w:hanging="360"/>
      </w:pPr>
      <w:rPr>
        <w:rFonts w:asciiTheme="minorHAnsi" w:eastAsiaTheme="minorHAnsi" w:hAnsiTheme="minorHAnsi" w:cstheme="minorBidi"/>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EE6613"/>
    <w:multiLevelType w:val="hybridMultilevel"/>
    <w:tmpl w:val="67F4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42CC7"/>
    <w:multiLevelType w:val="hybridMultilevel"/>
    <w:tmpl w:val="FC807F20"/>
    <w:lvl w:ilvl="0" w:tplc="22BA7D50">
      <w:start w:val="1"/>
      <w:numFmt w:val="bullet"/>
      <w:pStyle w:val="StyleListBullet3"/>
      <w:lvlText w:val="&gt;"/>
      <w:lvlJc w:val="left"/>
      <w:pPr>
        <w:ind w:left="1080" w:hanging="360"/>
      </w:pPr>
      <w:rPr>
        <w:rFonts w:ascii="Calibri" w:hAnsi="Calibri" w:hint="default"/>
        <w:b w:val="0"/>
        <w:i w:val="0"/>
        <w:color w:val="617E89" w:themeColor="accent1"/>
        <w:spacing w:val="0"/>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14163F3B"/>
    <w:multiLevelType w:val="hybridMultilevel"/>
    <w:tmpl w:val="A36A8200"/>
    <w:lvl w:ilvl="0" w:tplc="92F076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676687"/>
    <w:multiLevelType w:val="hybridMultilevel"/>
    <w:tmpl w:val="12966390"/>
    <w:lvl w:ilvl="0" w:tplc="48EE3BBC">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10158F"/>
    <w:multiLevelType w:val="hybridMultilevel"/>
    <w:tmpl w:val="BA2A7DFA"/>
    <w:lvl w:ilvl="0" w:tplc="3D22AEF0">
      <w:start w:val="1"/>
      <w:numFmt w:val="decimal"/>
      <w:lvlText w:val="3.%1"/>
      <w:lvlJc w:val="left"/>
      <w:pPr>
        <w:ind w:left="717"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EA2F69"/>
    <w:multiLevelType w:val="multilevel"/>
    <w:tmpl w:val="34143A40"/>
    <w:lvl w:ilvl="0">
      <w:start w:val="1"/>
      <w:numFmt w:val="bullet"/>
      <w:lvlText w:val=""/>
      <w:lvlJc w:val="left"/>
      <w:pPr>
        <w:ind w:left="717" w:hanging="360"/>
      </w:pPr>
      <w:rPr>
        <w:rFonts w:ascii="Symbol" w:hAnsi="Symbol" w:hint="default"/>
        <w:color w:val="006266" w:themeColor="text2"/>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9197E17"/>
    <w:multiLevelType w:val="hybridMultilevel"/>
    <w:tmpl w:val="240C567C"/>
    <w:lvl w:ilvl="0" w:tplc="9B8822BE">
      <w:start w:val="4"/>
      <w:numFmt w:val="lowerLetter"/>
      <w:lvlText w:val="%1."/>
      <w:lvlJc w:val="left"/>
      <w:pPr>
        <w:ind w:left="10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6F5ED0"/>
    <w:multiLevelType w:val="hybridMultilevel"/>
    <w:tmpl w:val="15A6C464"/>
    <w:lvl w:ilvl="0" w:tplc="78B8B626">
      <w:start w:val="1"/>
      <w:numFmt w:val="bullet"/>
      <w:lvlText w:val=""/>
      <w:lvlJc w:val="left"/>
      <w:pPr>
        <w:ind w:left="720" w:hanging="360"/>
      </w:pPr>
      <w:rPr>
        <w:rFonts w:ascii="Symbol" w:hAnsi="Symbol" w:hint="default"/>
        <w:color w:val="006266"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AD4744"/>
    <w:multiLevelType w:val="hybridMultilevel"/>
    <w:tmpl w:val="70306CE8"/>
    <w:lvl w:ilvl="0" w:tplc="FEC8F492">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3E6B0C"/>
    <w:multiLevelType w:val="hybridMultilevel"/>
    <w:tmpl w:val="DC508944"/>
    <w:lvl w:ilvl="0" w:tplc="5764FD0C">
      <w:start w:val="1"/>
      <w:numFmt w:val="bullet"/>
      <w:pStyle w:val="StyleListBullet2"/>
      <w:lvlText w:val="»"/>
      <w:lvlJc w:val="left"/>
      <w:pPr>
        <w:ind w:left="720" w:hanging="360"/>
      </w:pPr>
      <w:rPr>
        <w:rFonts w:ascii="Calibri" w:hAnsi="Calibri" w:hint="default"/>
        <w:b w:val="0"/>
        <w:i w:val="0"/>
        <w:color w:val="617E89" w:themeColor="accent1"/>
        <w:spacing w:val="0"/>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AE7DDB"/>
    <w:multiLevelType w:val="multilevel"/>
    <w:tmpl w:val="281C46BC"/>
    <w:lvl w:ilvl="0">
      <w:start w:val="1"/>
      <w:numFmt w:val="bullet"/>
      <w:pStyle w:val="Bullets"/>
      <w:lvlText w:val=""/>
      <w:lvlJc w:val="left"/>
      <w:pPr>
        <w:ind w:left="717" w:hanging="360"/>
      </w:pPr>
      <w:rPr>
        <w:rFonts w:ascii="Symbol" w:hAnsi="Symbol" w:hint="default"/>
        <w:color w:val="006266" w:themeColor="text2"/>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9803C9C"/>
    <w:multiLevelType w:val="hybridMultilevel"/>
    <w:tmpl w:val="E8466F2C"/>
    <w:lvl w:ilvl="0" w:tplc="B1D6DD32">
      <w:start w:val="6"/>
      <w:numFmt w:val="decimal"/>
      <w:lvlText w:val="5.%1"/>
      <w:lvlJc w:val="left"/>
      <w:pPr>
        <w:ind w:left="1077"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B46C8C"/>
    <w:multiLevelType w:val="hybridMultilevel"/>
    <w:tmpl w:val="08BE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803109"/>
    <w:multiLevelType w:val="hybridMultilevel"/>
    <w:tmpl w:val="CB0AD38A"/>
    <w:lvl w:ilvl="0" w:tplc="DF1CD650">
      <w:start w:val="1"/>
      <w:numFmt w:val="decimal"/>
      <w:lvlText w:val="4.%1"/>
      <w:lvlJc w:val="left"/>
      <w:pPr>
        <w:ind w:left="720"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C6DA0"/>
    <w:multiLevelType w:val="hybridMultilevel"/>
    <w:tmpl w:val="A222980A"/>
    <w:lvl w:ilvl="0" w:tplc="06424E3A">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35720C"/>
    <w:multiLevelType w:val="hybridMultilevel"/>
    <w:tmpl w:val="0EAEAEDC"/>
    <w:lvl w:ilvl="0" w:tplc="5B985342">
      <w:start w:val="4"/>
      <w:numFmt w:val="lowerLetter"/>
      <w:lvlText w:val="%1."/>
      <w:lvlJc w:val="left"/>
      <w:pPr>
        <w:ind w:left="10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58344D"/>
    <w:multiLevelType w:val="hybridMultilevel"/>
    <w:tmpl w:val="F93292DA"/>
    <w:lvl w:ilvl="0" w:tplc="3802F912">
      <w:start w:val="1"/>
      <w:numFmt w:val="decimal"/>
      <w:lvlText w:val="%1."/>
      <w:lvlJc w:val="left"/>
      <w:pPr>
        <w:ind w:left="717" w:hanging="360"/>
      </w:pPr>
      <w:rPr>
        <w:rFonts w:ascii="Calibri" w:hAnsi="Calibri" w:hint="default"/>
        <w:color w:val="006266"/>
        <w:sz w:val="22"/>
      </w:rPr>
    </w:lvl>
    <w:lvl w:ilvl="1" w:tplc="0DAA7E16">
      <w:start w:val="1"/>
      <w:numFmt w:val="lowerLetter"/>
      <w:lvlText w:val="%2."/>
      <w:lvlJc w:val="left"/>
      <w:pPr>
        <w:ind w:left="1797" w:hanging="360"/>
      </w:pPr>
      <w:rPr>
        <w:color w:val="006266"/>
      </w:rPr>
    </w:lvl>
    <w:lvl w:ilvl="2" w:tplc="4826589A">
      <w:start w:val="1"/>
      <w:numFmt w:val="lowerRoman"/>
      <w:lvlText w:val="%3."/>
      <w:lvlJc w:val="right"/>
      <w:pPr>
        <w:ind w:left="2517" w:hanging="180"/>
      </w:pPr>
      <w:rPr>
        <w:color w:val="006266"/>
      </w:r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2" w15:restartNumberingAfterBreak="0">
    <w:nsid w:val="35E41D9C"/>
    <w:multiLevelType w:val="multilevel"/>
    <w:tmpl w:val="42681820"/>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2154" w:hanging="720"/>
      </w:pPr>
      <w:rPr>
        <w:rFonts w:hint="default"/>
        <w:b/>
      </w:rPr>
    </w:lvl>
    <w:lvl w:ilvl="3">
      <w:start w:val="1"/>
      <w:numFmt w:val="decimal"/>
      <w:lvlText w:val="%1.%2.%3.%4"/>
      <w:lvlJc w:val="left"/>
      <w:pPr>
        <w:ind w:left="2871" w:hanging="720"/>
      </w:pPr>
      <w:rPr>
        <w:rFonts w:hint="default"/>
        <w:b/>
      </w:rPr>
    </w:lvl>
    <w:lvl w:ilvl="4">
      <w:start w:val="1"/>
      <w:numFmt w:val="decimal"/>
      <w:lvlText w:val="%1.%2.%3.%4.%5"/>
      <w:lvlJc w:val="left"/>
      <w:pPr>
        <w:ind w:left="3948" w:hanging="1080"/>
      </w:pPr>
      <w:rPr>
        <w:rFonts w:hint="default"/>
        <w:b/>
      </w:rPr>
    </w:lvl>
    <w:lvl w:ilvl="5">
      <w:start w:val="1"/>
      <w:numFmt w:val="decimal"/>
      <w:lvlText w:val="%1.%2.%3.%4.%5.%6"/>
      <w:lvlJc w:val="left"/>
      <w:pPr>
        <w:ind w:left="4665" w:hanging="1080"/>
      </w:pPr>
      <w:rPr>
        <w:rFonts w:hint="default"/>
        <w:b/>
      </w:rPr>
    </w:lvl>
    <w:lvl w:ilvl="6">
      <w:start w:val="1"/>
      <w:numFmt w:val="decimal"/>
      <w:lvlText w:val="%1.%2.%3.%4.%5.%6.%7"/>
      <w:lvlJc w:val="left"/>
      <w:pPr>
        <w:ind w:left="5742" w:hanging="1440"/>
      </w:pPr>
      <w:rPr>
        <w:rFonts w:hint="default"/>
        <w:b/>
      </w:rPr>
    </w:lvl>
    <w:lvl w:ilvl="7">
      <w:start w:val="1"/>
      <w:numFmt w:val="decimal"/>
      <w:lvlText w:val="%1.%2.%3.%4.%5.%6.%7.%8"/>
      <w:lvlJc w:val="left"/>
      <w:pPr>
        <w:ind w:left="6459" w:hanging="1440"/>
      </w:pPr>
      <w:rPr>
        <w:rFonts w:hint="default"/>
        <w:b/>
      </w:rPr>
    </w:lvl>
    <w:lvl w:ilvl="8">
      <w:start w:val="1"/>
      <w:numFmt w:val="decimal"/>
      <w:lvlText w:val="%1.%2.%3.%4.%5.%6.%7.%8.%9"/>
      <w:lvlJc w:val="left"/>
      <w:pPr>
        <w:ind w:left="7176" w:hanging="1440"/>
      </w:pPr>
      <w:rPr>
        <w:rFonts w:hint="default"/>
        <w:b/>
      </w:rPr>
    </w:lvl>
  </w:abstractNum>
  <w:abstractNum w:abstractNumId="23" w15:restartNumberingAfterBreak="0">
    <w:nsid w:val="38C941EF"/>
    <w:multiLevelType w:val="hybridMultilevel"/>
    <w:tmpl w:val="7BF4D3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F491B"/>
    <w:multiLevelType w:val="hybridMultilevel"/>
    <w:tmpl w:val="85A6CB6C"/>
    <w:lvl w:ilvl="0" w:tplc="2EA27D24">
      <w:start w:val="1"/>
      <w:numFmt w:val="decimal"/>
      <w:lvlText w:val="3.2.%1"/>
      <w:lvlJc w:val="left"/>
      <w:pPr>
        <w:ind w:left="1077"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F44A25"/>
    <w:multiLevelType w:val="hybridMultilevel"/>
    <w:tmpl w:val="F93292DA"/>
    <w:lvl w:ilvl="0" w:tplc="3802F912">
      <w:start w:val="1"/>
      <w:numFmt w:val="decimal"/>
      <w:lvlText w:val="%1."/>
      <w:lvlJc w:val="left"/>
      <w:pPr>
        <w:ind w:left="717" w:hanging="360"/>
      </w:pPr>
      <w:rPr>
        <w:rFonts w:ascii="Calibri" w:hAnsi="Calibri" w:hint="default"/>
        <w:color w:val="006266"/>
        <w:sz w:val="22"/>
      </w:rPr>
    </w:lvl>
    <w:lvl w:ilvl="1" w:tplc="0DAA7E16">
      <w:start w:val="1"/>
      <w:numFmt w:val="lowerLetter"/>
      <w:lvlText w:val="%2."/>
      <w:lvlJc w:val="left"/>
      <w:pPr>
        <w:ind w:left="1797" w:hanging="360"/>
      </w:pPr>
      <w:rPr>
        <w:color w:val="006266"/>
      </w:rPr>
    </w:lvl>
    <w:lvl w:ilvl="2" w:tplc="4826589A">
      <w:start w:val="1"/>
      <w:numFmt w:val="lowerRoman"/>
      <w:lvlText w:val="%3."/>
      <w:lvlJc w:val="right"/>
      <w:pPr>
        <w:ind w:left="2517" w:hanging="180"/>
      </w:pPr>
      <w:rPr>
        <w:color w:val="006266"/>
      </w:r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6" w15:restartNumberingAfterBreak="0">
    <w:nsid w:val="43AA0421"/>
    <w:multiLevelType w:val="hybridMultilevel"/>
    <w:tmpl w:val="278200B0"/>
    <w:lvl w:ilvl="0" w:tplc="53704F24">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306E77"/>
    <w:multiLevelType w:val="hybridMultilevel"/>
    <w:tmpl w:val="218C4960"/>
    <w:lvl w:ilvl="0" w:tplc="82FA28FA">
      <w:start w:val="1"/>
      <w:numFmt w:val="lowerRoman"/>
      <w:pStyle w:val="Style1ListNumber2"/>
      <w:lvlText w:val="%1."/>
      <w:lvlJc w:val="left"/>
      <w:pPr>
        <w:ind w:left="720" w:hanging="360"/>
      </w:pPr>
      <w:rPr>
        <w:rFonts w:ascii="Calibri" w:hAnsi="Calibri" w:hint="default"/>
        <w:color w:val="006266"/>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7F4530"/>
    <w:multiLevelType w:val="hybridMultilevel"/>
    <w:tmpl w:val="24B805F2"/>
    <w:lvl w:ilvl="0" w:tplc="8C44B216">
      <w:start w:val="1"/>
      <w:numFmt w:val="decimal"/>
      <w:lvlText w:val="3.%1"/>
      <w:lvlJc w:val="left"/>
      <w:pPr>
        <w:ind w:left="717"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9A39EB"/>
    <w:multiLevelType w:val="hybridMultilevel"/>
    <w:tmpl w:val="4BF43B98"/>
    <w:lvl w:ilvl="0" w:tplc="1C32FC14">
      <w:start w:val="3"/>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96978D4"/>
    <w:multiLevelType w:val="hybridMultilevel"/>
    <w:tmpl w:val="ED649C4A"/>
    <w:lvl w:ilvl="0" w:tplc="D38C22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704C74"/>
    <w:multiLevelType w:val="hybridMultilevel"/>
    <w:tmpl w:val="60F27992"/>
    <w:lvl w:ilvl="0" w:tplc="E4FE98FE">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4D851D94"/>
    <w:multiLevelType w:val="hybridMultilevel"/>
    <w:tmpl w:val="6D2CC0C6"/>
    <w:lvl w:ilvl="0" w:tplc="F4305DCA">
      <w:start w:val="1"/>
      <w:numFmt w:val="decimal"/>
      <w:suff w:val="space"/>
      <w:lvlText w:val="2.%1"/>
      <w:lvlJc w:val="left"/>
      <w:pPr>
        <w:ind w:left="720"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8A34DF"/>
    <w:multiLevelType w:val="multilevel"/>
    <w:tmpl w:val="B1CED27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CD05650"/>
    <w:multiLevelType w:val="hybridMultilevel"/>
    <w:tmpl w:val="2F7E6E3E"/>
    <w:lvl w:ilvl="0" w:tplc="AC8874BE">
      <w:start w:val="1"/>
      <w:numFmt w:val="lowerLetter"/>
      <w:lvlText w:val="(%1)"/>
      <w:lvlJc w:val="left"/>
      <w:pPr>
        <w:ind w:left="720" w:hanging="360"/>
      </w:pPr>
      <w:rPr>
        <w:rFonts w:asciiTheme="minorHAnsi" w:eastAsia="Times New Roman" w:hAnsiTheme="minorHAnsi" w:cstheme="minorHAnsi"/>
      </w:rPr>
    </w:lvl>
    <w:lvl w:ilvl="1" w:tplc="E41A503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153D4B"/>
    <w:multiLevelType w:val="hybridMultilevel"/>
    <w:tmpl w:val="CD221FEA"/>
    <w:lvl w:ilvl="0" w:tplc="CCEE5F80">
      <w:start w:val="1"/>
      <w:numFmt w:val="decimal"/>
      <w:pStyle w:val="List7"/>
      <w:lvlText w:val="7.%1"/>
      <w:lvlJc w:val="left"/>
      <w:pPr>
        <w:ind w:left="1080" w:hanging="360"/>
      </w:pPr>
      <w:rPr>
        <w:rFonts w:ascii="Calibri" w:hAnsi="Calibri" w:hint="default"/>
        <w:b/>
        <w:bCs w:val="0"/>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2633F63"/>
    <w:multiLevelType w:val="hybridMultilevel"/>
    <w:tmpl w:val="5746A604"/>
    <w:lvl w:ilvl="0" w:tplc="57F4C1EE">
      <w:start w:val="1"/>
      <w:numFmt w:val="decimal"/>
      <w:lvlText w:val="4.%1"/>
      <w:lvlJc w:val="left"/>
      <w:pPr>
        <w:ind w:left="720"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F44FC0"/>
    <w:multiLevelType w:val="hybridMultilevel"/>
    <w:tmpl w:val="12966390"/>
    <w:lvl w:ilvl="0" w:tplc="FFFFFFFF">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6733DB"/>
    <w:multiLevelType w:val="hybridMultilevel"/>
    <w:tmpl w:val="2306112C"/>
    <w:lvl w:ilvl="0" w:tplc="8CBC98FE">
      <w:start w:val="2"/>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FD6317"/>
    <w:multiLevelType w:val="hybridMultilevel"/>
    <w:tmpl w:val="459AB5A8"/>
    <w:lvl w:ilvl="0" w:tplc="2A56B394">
      <w:start w:val="1"/>
      <w:numFmt w:val="decimal"/>
      <w:suff w:val="space"/>
      <w:lvlText w:val="2.%1"/>
      <w:lvlJc w:val="left"/>
      <w:pPr>
        <w:ind w:left="720" w:hanging="360"/>
      </w:pPr>
      <w:rPr>
        <w:rFonts w:ascii="Calibri" w:hAnsi="Calibri" w:hint="default"/>
        <w:b/>
        <w:b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0A27AD"/>
    <w:multiLevelType w:val="hybridMultilevel"/>
    <w:tmpl w:val="9E92F620"/>
    <w:lvl w:ilvl="0" w:tplc="F17243A8">
      <w:start w:val="2"/>
      <w:numFmt w:val="decimal"/>
      <w:lvlText w:val="%1."/>
      <w:lvlJc w:val="left"/>
      <w:pPr>
        <w:ind w:left="360" w:hanging="360"/>
      </w:pPr>
      <w:rPr>
        <w:rFonts w:hint="default"/>
      </w:rPr>
    </w:lvl>
    <w:lvl w:ilvl="1" w:tplc="0C090019">
      <w:start w:val="1"/>
      <w:numFmt w:val="lowerLetter"/>
      <w:lvlText w:val="%2."/>
      <w:lvlJc w:val="left"/>
      <w:pPr>
        <w:ind w:left="1030" w:hanging="360"/>
      </w:pPr>
    </w:lvl>
    <w:lvl w:ilvl="2" w:tplc="0C09001B" w:tentative="1">
      <w:start w:val="1"/>
      <w:numFmt w:val="lowerRoman"/>
      <w:lvlText w:val="%3."/>
      <w:lvlJc w:val="right"/>
      <w:pPr>
        <w:ind w:left="1750" w:hanging="180"/>
      </w:pPr>
    </w:lvl>
    <w:lvl w:ilvl="3" w:tplc="0C09000F" w:tentative="1">
      <w:start w:val="1"/>
      <w:numFmt w:val="decimal"/>
      <w:lvlText w:val="%4."/>
      <w:lvlJc w:val="left"/>
      <w:pPr>
        <w:ind w:left="2470" w:hanging="360"/>
      </w:pPr>
    </w:lvl>
    <w:lvl w:ilvl="4" w:tplc="0C090019" w:tentative="1">
      <w:start w:val="1"/>
      <w:numFmt w:val="lowerLetter"/>
      <w:lvlText w:val="%5."/>
      <w:lvlJc w:val="left"/>
      <w:pPr>
        <w:ind w:left="3190" w:hanging="360"/>
      </w:pPr>
    </w:lvl>
    <w:lvl w:ilvl="5" w:tplc="0C09001B" w:tentative="1">
      <w:start w:val="1"/>
      <w:numFmt w:val="lowerRoman"/>
      <w:lvlText w:val="%6."/>
      <w:lvlJc w:val="right"/>
      <w:pPr>
        <w:ind w:left="3910" w:hanging="180"/>
      </w:pPr>
    </w:lvl>
    <w:lvl w:ilvl="6" w:tplc="0C09000F" w:tentative="1">
      <w:start w:val="1"/>
      <w:numFmt w:val="decimal"/>
      <w:lvlText w:val="%7."/>
      <w:lvlJc w:val="left"/>
      <w:pPr>
        <w:ind w:left="4630" w:hanging="360"/>
      </w:pPr>
    </w:lvl>
    <w:lvl w:ilvl="7" w:tplc="0C090019" w:tentative="1">
      <w:start w:val="1"/>
      <w:numFmt w:val="lowerLetter"/>
      <w:lvlText w:val="%8."/>
      <w:lvlJc w:val="left"/>
      <w:pPr>
        <w:ind w:left="5350" w:hanging="360"/>
      </w:pPr>
    </w:lvl>
    <w:lvl w:ilvl="8" w:tplc="0C09001B" w:tentative="1">
      <w:start w:val="1"/>
      <w:numFmt w:val="lowerRoman"/>
      <w:lvlText w:val="%9."/>
      <w:lvlJc w:val="right"/>
      <w:pPr>
        <w:ind w:left="6070" w:hanging="180"/>
      </w:pPr>
    </w:lvl>
  </w:abstractNum>
  <w:abstractNum w:abstractNumId="41" w15:restartNumberingAfterBreak="0">
    <w:nsid w:val="7A210938"/>
    <w:multiLevelType w:val="hybridMultilevel"/>
    <w:tmpl w:val="12966390"/>
    <w:lvl w:ilvl="0" w:tplc="FFFFFFFF">
      <w:start w:val="2"/>
      <w:numFmt w:val="lowerRoman"/>
      <w:lvlText w:val="%1."/>
      <w:lvlJc w:val="right"/>
      <w:pPr>
        <w:ind w:left="720" w:hanging="360"/>
      </w:pPr>
      <w:rPr>
        <w:rFonts w:asciiTheme="minorHAnsi" w:eastAsiaTheme="minorHAnsi" w:hAnsiTheme="minorHAnsi" w:cstheme="minorBidi"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27"/>
  </w:num>
  <w:num w:numId="5">
    <w:abstractNumId w:val="4"/>
  </w:num>
  <w:num w:numId="6">
    <w:abstractNumId w:val="15"/>
  </w:num>
  <w:num w:numId="7">
    <w:abstractNumId w:val="34"/>
  </w:num>
  <w:num w:numId="8">
    <w:abstractNumId w:val="7"/>
  </w:num>
  <w:num w:numId="9">
    <w:abstractNumId w:val="31"/>
  </w:num>
  <w:num w:numId="10">
    <w:abstractNumId w:val="40"/>
  </w:num>
  <w:num w:numId="11">
    <w:abstractNumId w:val="35"/>
  </w:num>
  <w:num w:numId="12">
    <w:abstractNumId w:val="10"/>
  </w:num>
  <w:num w:numId="13">
    <w:abstractNumId w:val="12"/>
  </w:num>
  <w:num w:numId="14">
    <w:abstractNumId w:val="25"/>
    <w:lvlOverride w:ilvl="0">
      <w:startOverride w:val="1"/>
    </w:lvlOverride>
  </w:num>
  <w:num w:numId="15">
    <w:abstractNumId w:val="32"/>
  </w:num>
  <w:num w:numId="16">
    <w:abstractNumId w:val="3"/>
  </w:num>
  <w:num w:numId="17">
    <w:abstractNumId w:val="22"/>
  </w:num>
  <w:num w:numId="18">
    <w:abstractNumId w:val="9"/>
  </w:num>
  <w:num w:numId="19">
    <w:abstractNumId w:val="36"/>
  </w:num>
  <w:num w:numId="20">
    <w:abstractNumId w:val="16"/>
  </w:num>
  <w:num w:numId="21">
    <w:abstractNumId w:val="21"/>
  </w:num>
  <w:num w:numId="22">
    <w:abstractNumId w:val="5"/>
  </w:num>
  <w:num w:numId="23">
    <w:abstractNumId w:val="23"/>
  </w:num>
  <w:num w:numId="24">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8"/>
  </w:num>
  <w:num w:numId="27">
    <w:abstractNumId w:val="41"/>
  </w:num>
  <w:num w:numId="28">
    <w:abstractNumId w:val="37"/>
  </w:num>
  <w:num w:numId="29">
    <w:abstractNumId w:val="11"/>
  </w:num>
  <w:num w:numId="30">
    <w:abstractNumId w:val="1"/>
  </w:num>
  <w:num w:numId="31">
    <w:abstractNumId w:val="29"/>
  </w:num>
  <w:num w:numId="32">
    <w:abstractNumId w:val="30"/>
  </w:num>
  <w:num w:numId="33">
    <w:abstractNumId w:val="19"/>
  </w:num>
  <w:num w:numId="34">
    <w:abstractNumId w:val="33"/>
  </w:num>
  <w:num w:numId="35">
    <w:abstractNumId w:val="13"/>
  </w:num>
  <w:num w:numId="36">
    <w:abstractNumId w:val="26"/>
  </w:num>
  <w:num w:numId="37">
    <w:abstractNumId w:val="38"/>
  </w:num>
  <w:num w:numId="38">
    <w:abstractNumId w:val="20"/>
  </w:num>
  <w:num w:numId="39">
    <w:abstractNumId w:val="32"/>
  </w:num>
  <w:num w:numId="40">
    <w:abstractNumId w:val="39"/>
  </w:num>
  <w:num w:numId="41">
    <w:abstractNumId w:val="28"/>
  </w:num>
  <w:num w:numId="42">
    <w:abstractNumId w:val="24"/>
  </w:num>
  <w:num w:numId="43">
    <w:abstractNumId w:val="18"/>
  </w:num>
  <w:num w:numId="44">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23"/>
    <w:rsid w:val="00001766"/>
    <w:rsid w:val="00001DF9"/>
    <w:rsid w:val="000026C0"/>
    <w:rsid w:val="000030C2"/>
    <w:rsid w:val="00003D74"/>
    <w:rsid w:val="0000451B"/>
    <w:rsid w:val="000047D5"/>
    <w:rsid w:val="00004D43"/>
    <w:rsid w:val="00004F03"/>
    <w:rsid w:val="00005D6E"/>
    <w:rsid w:val="000063DB"/>
    <w:rsid w:val="000068D9"/>
    <w:rsid w:val="00006DD8"/>
    <w:rsid w:val="00006EBA"/>
    <w:rsid w:val="0001044B"/>
    <w:rsid w:val="00011E97"/>
    <w:rsid w:val="00012BB1"/>
    <w:rsid w:val="000131BF"/>
    <w:rsid w:val="000131D3"/>
    <w:rsid w:val="0001341C"/>
    <w:rsid w:val="00013907"/>
    <w:rsid w:val="00014AE4"/>
    <w:rsid w:val="000158A2"/>
    <w:rsid w:val="00015C30"/>
    <w:rsid w:val="00016145"/>
    <w:rsid w:val="000201B5"/>
    <w:rsid w:val="0002178F"/>
    <w:rsid w:val="00021867"/>
    <w:rsid w:val="00022277"/>
    <w:rsid w:val="000222F4"/>
    <w:rsid w:val="00022320"/>
    <w:rsid w:val="000229A3"/>
    <w:rsid w:val="00022E21"/>
    <w:rsid w:val="0002332E"/>
    <w:rsid w:val="00024EB8"/>
    <w:rsid w:val="0002562F"/>
    <w:rsid w:val="000273F9"/>
    <w:rsid w:val="00030A53"/>
    <w:rsid w:val="000313DC"/>
    <w:rsid w:val="00031A7F"/>
    <w:rsid w:val="0003332A"/>
    <w:rsid w:val="000339DE"/>
    <w:rsid w:val="00033F34"/>
    <w:rsid w:val="000349E9"/>
    <w:rsid w:val="000350AB"/>
    <w:rsid w:val="00035809"/>
    <w:rsid w:val="00035C0E"/>
    <w:rsid w:val="00035EE9"/>
    <w:rsid w:val="00036497"/>
    <w:rsid w:val="0004260D"/>
    <w:rsid w:val="000429A4"/>
    <w:rsid w:val="00043E03"/>
    <w:rsid w:val="00044264"/>
    <w:rsid w:val="00044C89"/>
    <w:rsid w:val="00045FCD"/>
    <w:rsid w:val="000462D1"/>
    <w:rsid w:val="000477D0"/>
    <w:rsid w:val="00047FDB"/>
    <w:rsid w:val="00051384"/>
    <w:rsid w:val="000513CB"/>
    <w:rsid w:val="00051554"/>
    <w:rsid w:val="000516FB"/>
    <w:rsid w:val="00054060"/>
    <w:rsid w:val="000547F5"/>
    <w:rsid w:val="00055B04"/>
    <w:rsid w:val="00057487"/>
    <w:rsid w:val="00057BBD"/>
    <w:rsid w:val="00057C1A"/>
    <w:rsid w:val="00060507"/>
    <w:rsid w:val="000611FB"/>
    <w:rsid w:val="00061B2F"/>
    <w:rsid w:val="00062C0F"/>
    <w:rsid w:val="00063424"/>
    <w:rsid w:val="00063D8C"/>
    <w:rsid w:val="00064FFC"/>
    <w:rsid w:val="00065872"/>
    <w:rsid w:val="000659FE"/>
    <w:rsid w:val="00066040"/>
    <w:rsid w:val="00066AE6"/>
    <w:rsid w:val="000710AC"/>
    <w:rsid w:val="000724DB"/>
    <w:rsid w:val="0007257A"/>
    <w:rsid w:val="00072599"/>
    <w:rsid w:val="00074DAD"/>
    <w:rsid w:val="0007515F"/>
    <w:rsid w:val="00075193"/>
    <w:rsid w:val="00075608"/>
    <w:rsid w:val="00076262"/>
    <w:rsid w:val="0007771A"/>
    <w:rsid w:val="00077FD5"/>
    <w:rsid w:val="00077FE1"/>
    <w:rsid w:val="000810DF"/>
    <w:rsid w:val="0008177C"/>
    <w:rsid w:val="000818F0"/>
    <w:rsid w:val="00081E0D"/>
    <w:rsid w:val="00082BB4"/>
    <w:rsid w:val="00083CB9"/>
    <w:rsid w:val="0008468E"/>
    <w:rsid w:val="0008525A"/>
    <w:rsid w:val="000855A3"/>
    <w:rsid w:val="000859D3"/>
    <w:rsid w:val="0008636F"/>
    <w:rsid w:val="00087CCB"/>
    <w:rsid w:val="00090C67"/>
    <w:rsid w:val="00091302"/>
    <w:rsid w:val="000921B1"/>
    <w:rsid w:val="0009239E"/>
    <w:rsid w:val="00092E4A"/>
    <w:rsid w:val="00094AEE"/>
    <w:rsid w:val="00094BF2"/>
    <w:rsid w:val="00094C10"/>
    <w:rsid w:val="00095D6E"/>
    <w:rsid w:val="00096577"/>
    <w:rsid w:val="0009689C"/>
    <w:rsid w:val="00097ED3"/>
    <w:rsid w:val="000A16AD"/>
    <w:rsid w:val="000A2313"/>
    <w:rsid w:val="000A59E3"/>
    <w:rsid w:val="000A686A"/>
    <w:rsid w:val="000A6A13"/>
    <w:rsid w:val="000A782D"/>
    <w:rsid w:val="000A7D0E"/>
    <w:rsid w:val="000A7F1F"/>
    <w:rsid w:val="000B0CEC"/>
    <w:rsid w:val="000B0F3D"/>
    <w:rsid w:val="000B16B2"/>
    <w:rsid w:val="000B1723"/>
    <w:rsid w:val="000B1A54"/>
    <w:rsid w:val="000B2F40"/>
    <w:rsid w:val="000B3521"/>
    <w:rsid w:val="000B39E9"/>
    <w:rsid w:val="000B4D6A"/>
    <w:rsid w:val="000B4D8A"/>
    <w:rsid w:val="000B5737"/>
    <w:rsid w:val="000B58BE"/>
    <w:rsid w:val="000B5AFB"/>
    <w:rsid w:val="000B7626"/>
    <w:rsid w:val="000C2332"/>
    <w:rsid w:val="000C3549"/>
    <w:rsid w:val="000C3739"/>
    <w:rsid w:val="000C4169"/>
    <w:rsid w:val="000C440C"/>
    <w:rsid w:val="000C45E5"/>
    <w:rsid w:val="000C5345"/>
    <w:rsid w:val="000C59CC"/>
    <w:rsid w:val="000C7576"/>
    <w:rsid w:val="000C7AE2"/>
    <w:rsid w:val="000D00D9"/>
    <w:rsid w:val="000D142F"/>
    <w:rsid w:val="000D2417"/>
    <w:rsid w:val="000D36F2"/>
    <w:rsid w:val="000D438B"/>
    <w:rsid w:val="000D43C9"/>
    <w:rsid w:val="000D45F7"/>
    <w:rsid w:val="000D4656"/>
    <w:rsid w:val="000D51FC"/>
    <w:rsid w:val="000D5318"/>
    <w:rsid w:val="000D6896"/>
    <w:rsid w:val="000D70A5"/>
    <w:rsid w:val="000E014A"/>
    <w:rsid w:val="000E20AF"/>
    <w:rsid w:val="000E2202"/>
    <w:rsid w:val="000E3809"/>
    <w:rsid w:val="000E5012"/>
    <w:rsid w:val="000E6DE8"/>
    <w:rsid w:val="000E7229"/>
    <w:rsid w:val="000E72A4"/>
    <w:rsid w:val="000E73E5"/>
    <w:rsid w:val="000F0D95"/>
    <w:rsid w:val="000F1D67"/>
    <w:rsid w:val="000F1D98"/>
    <w:rsid w:val="000F2701"/>
    <w:rsid w:val="000F38AD"/>
    <w:rsid w:val="000F3D0C"/>
    <w:rsid w:val="000F4D1A"/>
    <w:rsid w:val="000F4E7D"/>
    <w:rsid w:val="000F5749"/>
    <w:rsid w:val="000F593C"/>
    <w:rsid w:val="000F5DB4"/>
    <w:rsid w:val="000F675D"/>
    <w:rsid w:val="000F69B6"/>
    <w:rsid w:val="000F7BA3"/>
    <w:rsid w:val="000F7D01"/>
    <w:rsid w:val="001004D7"/>
    <w:rsid w:val="00100D75"/>
    <w:rsid w:val="001014E9"/>
    <w:rsid w:val="001018CB"/>
    <w:rsid w:val="001025A2"/>
    <w:rsid w:val="00103441"/>
    <w:rsid w:val="00103F4D"/>
    <w:rsid w:val="00104D4A"/>
    <w:rsid w:val="0010509B"/>
    <w:rsid w:val="001056D1"/>
    <w:rsid w:val="00105CD7"/>
    <w:rsid w:val="00106C2B"/>
    <w:rsid w:val="00106DE4"/>
    <w:rsid w:val="00110633"/>
    <w:rsid w:val="00112650"/>
    <w:rsid w:val="001127ED"/>
    <w:rsid w:val="00112B81"/>
    <w:rsid w:val="00113DEF"/>
    <w:rsid w:val="00114900"/>
    <w:rsid w:val="00114F14"/>
    <w:rsid w:val="001160F8"/>
    <w:rsid w:val="00116697"/>
    <w:rsid w:val="00116E95"/>
    <w:rsid w:val="001173AC"/>
    <w:rsid w:val="0011762E"/>
    <w:rsid w:val="00120E20"/>
    <w:rsid w:val="00121E39"/>
    <w:rsid w:val="00122C82"/>
    <w:rsid w:val="00123EE5"/>
    <w:rsid w:val="00123EEC"/>
    <w:rsid w:val="0012461E"/>
    <w:rsid w:val="0012638F"/>
    <w:rsid w:val="001302A4"/>
    <w:rsid w:val="001304D0"/>
    <w:rsid w:val="00131EB2"/>
    <w:rsid w:val="00131F27"/>
    <w:rsid w:val="001333CE"/>
    <w:rsid w:val="0013367E"/>
    <w:rsid w:val="00133F47"/>
    <w:rsid w:val="0013517E"/>
    <w:rsid w:val="001369E6"/>
    <w:rsid w:val="00141432"/>
    <w:rsid w:val="001429BB"/>
    <w:rsid w:val="00142AB5"/>
    <w:rsid w:val="00142CB0"/>
    <w:rsid w:val="00142E82"/>
    <w:rsid w:val="00143053"/>
    <w:rsid w:val="00143835"/>
    <w:rsid w:val="00143BCA"/>
    <w:rsid w:val="00143CD3"/>
    <w:rsid w:val="001444E3"/>
    <w:rsid w:val="0014586D"/>
    <w:rsid w:val="0014598A"/>
    <w:rsid w:val="00145B7E"/>
    <w:rsid w:val="00145F01"/>
    <w:rsid w:val="0014608F"/>
    <w:rsid w:val="001463D6"/>
    <w:rsid w:val="00152211"/>
    <w:rsid w:val="0015319C"/>
    <w:rsid w:val="001534F8"/>
    <w:rsid w:val="00153C0D"/>
    <w:rsid w:val="00153C2B"/>
    <w:rsid w:val="00153E7F"/>
    <w:rsid w:val="00154C9A"/>
    <w:rsid w:val="00157AA4"/>
    <w:rsid w:val="0016004A"/>
    <w:rsid w:val="001605F3"/>
    <w:rsid w:val="00160706"/>
    <w:rsid w:val="00161AE4"/>
    <w:rsid w:val="001626AF"/>
    <w:rsid w:val="00162E6D"/>
    <w:rsid w:val="00162EDB"/>
    <w:rsid w:val="00163C3A"/>
    <w:rsid w:val="00163DBB"/>
    <w:rsid w:val="00165208"/>
    <w:rsid w:val="001654EB"/>
    <w:rsid w:val="0016676D"/>
    <w:rsid w:val="00166FA8"/>
    <w:rsid w:val="001677E1"/>
    <w:rsid w:val="00171DB5"/>
    <w:rsid w:val="00172A00"/>
    <w:rsid w:val="00172D05"/>
    <w:rsid w:val="00173505"/>
    <w:rsid w:val="00173EA2"/>
    <w:rsid w:val="0017403C"/>
    <w:rsid w:val="00175104"/>
    <w:rsid w:val="00176199"/>
    <w:rsid w:val="001761C3"/>
    <w:rsid w:val="00176383"/>
    <w:rsid w:val="0018083B"/>
    <w:rsid w:val="00181365"/>
    <w:rsid w:val="0018196F"/>
    <w:rsid w:val="0018264A"/>
    <w:rsid w:val="00182BFD"/>
    <w:rsid w:val="00182D8B"/>
    <w:rsid w:val="00183501"/>
    <w:rsid w:val="0018482C"/>
    <w:rsid w:val="00185093"/>
    <w:rsid w:val="00185309"/>
    <w:rsid w:val="00187A45"/>
    <w:rsid w:val="00187DA8"/>
    <w:rsid w:val="0019059C"/>
    <w:rsid w:val="001911CA"/>
    <w:rsid w:val="00192EA0"/>
    <w:rsid w:val="00193B71"/>
    <w:rsid w:val="001947A5"/>
    <w:rsid w:val="00195071"/>
    <w:rsid w:val="001961CE"/>
    <w:rsid w:val="001966D1"/>
    <w:rsid w:val="001969FC"/>
    <w:rsid w:val="001A067F"/>
    <w:rsid w:val="001A1A0C"/>
    <w:rsid w:val="001A24A5"/>
    <w:rsid w:val="001A27CA"/>
    <w:rsid w:val="001A3016"/>
    <w:rsid w:val="001A3B88"/>
    <w:rsid w:val="001A3E15"/>
    <w:rsid w:val="001B1A47"/>
    <w:rsid w:val="001B1AB4"/>
    <w:rsid w:val="001B1DC3"/>
    <w:rsid w:val="001B34E7"/>
    <w:rsid w:val="001B364D"/>
    <w:rsid w:val="001B463F"/>
    <w:rsid w:val="001B46CA"/>
    <w:rsid w:val="001B5026"/>
    <w:rsid w:val="001B521C"/>
    <w:rsid w:val="001B5A6F"/>
    <w:rsid w:val="001B648E"/>
    <w:rsid w:val="001B6E7A"/>
    <w:rsid w:val="001C0827"/>
    <w:rsid w:val="001C0886"/>
    <w:rsid w:val="001C204C"/>
    <w:rsid w:val="001C22C7"/>
    <w:rsid w:val="001C3DFE"/>
    <w:rsid w:val="001C4052"/>
    <w:rsid w:val="001C42A1"/>
    <w:rsid w:val="001C46A1"/>
    <w:rsid w:val="001C475C"/>
    <w:rsid w:val="001C4E8E"/>
    <w:rsid w:val="001C59F6"/>
    <w:rsid w:val="001C5E7F"/>
    <w:rsid w:val="001C6A7B"/>
    <w:rsid w:val="001C7231"/>
    <w:rsid w:val="001C7990"/>
    <w:rsid w:val="001D1DD1"/>
    <w:rsid w:val="001D297F"/>
    <w:rsid w:val="001D2A55"/>
    <w:rsid w:val="001D617A"/>
    <w:rsid w:val="001D7368"/>
    <w:rsid w:val="001E04F3"/>
    <w:rsid w:val="001E1B01"/>
    <w:rsid w:val="001E2454"/>
    <w:rsid w:val="001E2CD2"/>
    <w:rsid w:val="001E338F"/>
    <w:rsid w:val="001E35AA"/>
    <w:rsid w:val="001E3C35"/>
    <w:rsid w:val="001E59C4"/>
    <w:rsid w:val="001E5BB7"/>
    <w:rsid w:val="001E65CF"/>
    <w:rsid w:val="001E66C2"/>
    <w:rsid w:val="001E6EAE"/>
    <w:rsid w:val="001E7C38"/>
    <w:rsid w:val="001E7D57"/>
    <w:rsid w:val="001F1720"/>
    <w:rsid w:val="001F1827"/>
    <w:rsid w:val="001F1C60"/>
    <w:rsid w:val="001F265F"/>
    <w:rsid w:val="001F3BF8"/>
    <w:rsid w:val="001F3D55"/>
    <w:rsid w:val="001F439B"/>
    <w:rsid w:val="001F4C5E"/>
    <w:rsid w:val="001F5520"/>
    <w:rsid w:val="002000EB"/>
    <w:rsid w:val="00200F68"/>
    <w:rsid w:val="00201995"/>
    <w:rsid w:val="00201FFD"/>
    <w:rsid w:val="002046AD"/>
    <w:rsid w:val="00205527"/>
    <w:rsid w:val="0020564F"/>
    <w:rsid w:val="0020578D"/>
    <w:rsid w:val="00205C3B"/>
    <w:rsid w:val="0020646E"/>
    <w:rsid w:val="0020658F"/>
    <w:rsid w:val="0020665B"/>
    <w:rsid w:val="0020796A"/>
    <w:rsid w:val="00207994"/>
    <w:rsid w:val="00207FD7"/>
    <w:rsid w:val="00210427"/>
    <w:rsid w:val="0021060E"/>
    <w:rsid w:val="00210F85"/>
    <w:rsid w:val="00212203"/>
    <w:rsid w:val="00213D10"/>
    <w:rsid w:val="00213DDF"/>
    <w:rsid w:val="00214102"/>
    <w:rsid w:val="002155A9"/>
    <w:rsid w:val="002156F4"/>
    <w:rsid w:val="00216C23"/>
    <w:rsid w:val="00220327"/>
    <w:rsid w:val="002204F3"/>
    <w:rsid w:val="00221276"/>
    <w:rsid w:val="00221AF1"/>
    <w:rsid w:val="00221CC6"/>
    <w:rsid w:val="0022348B"/>
    <w:rsid w:val="0022444E"/>
    <w:rsid w:val="0022510E"/>
    <w:rsid w:val="0022562E"/>
    <w:rsid w:val="002259C7"/>
    <w:rsid w:val="00227422"/>
    <w:rsid w:val="0023062B"/>
    <w:rsid w:val="002306AE"/>
    <w:rsid w:val="0023080D"/>
    <w:rsid w:val="00230D6C"/>
    <w:rsid w:val="00230D7D"/>
    <w:rsid w:val="00231F4D"/>
    <w:rsid w:val="002329F8"/>
    <w:rsid w:val="00232D3E"/>
    <w:rsid w:val="002330BD"/>
    <w:rsid w:val="00233931"/>
    <w:rsid w:val="00233E40"/>
    <w:rsid w:val="0023443B"/>
    <w:rsid w:val="002345FA"/>
    <w:rsid w:val="00235677"/>
    <w:rsid w:val="00236C5B"/>
    <w:rsid w:val="00236FE0"/>
    <w:rsid w:val="0024001E"/>
    <w:rsid w:val="00240A3C"/>
    <w:rsid w:val="002414D8"/>
    <w:rsid w:val="00243063"/>
    <w:rsid w:val="002438EB"/>
    <w:rsid w:val="00244292"/>
    <w:rsid w:val="00244B99"/>
    <w:rsid w:val="0024595D"/>
    <w:rsid w:val="00246F55"/>
    <w:rsid w:val="002477AB"/>
    <w:rsid w:val="002519BF"/>
    <w:rsid w:val="00252ABB"/>
    <w:rsid w:val="002536AA"/>
    <w:rsid w:val="00254756"/>
    <w:rsid w:val="00254D26"/>
    <w:rsid w:val="002557D6"/>
    <w:rsid w:val="002566BE"/>
    <w:rsid w:val="002567A9"/>
    <w:rsid w:val="00256A22"/>
    <w:rsid w:val="00262918"/>
    <w:rsid w:val="00262F14"/>
    <w:rsid w:val="002632DA"/>
    <w:rsid w:val="002635F7"/>
    <w:rsid w:val="00263936"/>
    <w:rsid w:val="00264BCB"/>
    <w:rsid w:val="00265366"/>
    <w:rsid w:val="002708C5"/>
    <w:rsid w:val="00270C87"/>
    <w:rsid w:val="00270E51"/>
    <w:rsid w:val="00271083"/>
    <w:rsid w:val="00272965"/>
    <w:rsid w:val="00272D00"/>
    <w:rsid w:val="00272FEB"/>
    <w:rsid w:val="00273C02"/>
    <w:rsid w:val="00273DF4"/>
    <w:rsid w:val="00274BC2"/>
    <w:rsid w:val="0027516E"/>
    <w:rsid w:val="00276481"/>
    <w:rsid w:val="00281843"/>
    <w:rsid w:val="00283E16"/>
    <w:rsid w:val="002842F3"/>
    <w:rsid w:val="0028519F"/>
    <w:rsid w:val="002853A9"/>
    <w:rsid w:val="00285D34"/>
    <w:rsid w:val="00286A37"/>
    <w:rsid w:val="00286AD2"/>
    <w:rsid w:val="00287437"/>
    <w:rsid w:val="002877D3"/>
    <w:rsid w:val="00287FCE"/>
    <w:rsid w:val="002909D4"/>
    <w:rsid w:val="00291783"/>
    <w:rsid w:val="0029213B"/>
    <w:rsid w:val="002937F1"/>
    <w:rsid w:val="00293AEC"/>
    <w:rsid w:val="002954EB"/>
    <w:rsid w:val="0029686E"/>
    <w:rsid w:val="00296DD4"/>
    <w:rsid w:val="0029792D"/>
    <w:rsid w:val="002A1130"/>
    <w:rsid w:val="002A1BF9"/>
    <w:rsid w:val="002A3DC6"/>
    <w:rsid w:val="002A4DD4"/>
    <w:rsid w:val="002A54E7"/>
    <w:rsid w:val="002A66FD"/>
    <w:rsid w:val="002A709B"/>
    <w:rsid w:val="002B0221"/>
    <w:rsid w:val="002B0251"/>
    <w:rsid w:val="002B028A"/>
    <w:rsid w:val="002B08D2"/>
    <w:rsid w:val="002B16F1"/>
    <w:rsid w:val="002B1F65"/>
    <w:rsid w:val="002B2812"/>
    <w:rsid w:val="002B32CD"/>
    <w:rsid w:val="002B33E9"/>
    <w:rsid w:val="002B396D"/>
    <w:rsid w:val="002B4E85"/>
    <w:rsid w:val="002B6086"/>
    <w:rsid w:val="002B657C"/>
    <w:rsid w:val="002B680C"/>
    <w:rsid w:val="002B7E25"/>
    <w:rsid w:val="002C0399"/>
    <w:rsid w:val="002C0BA9"/>
    <w:rsid w:val="002C191C"/>
    <w:rsid w:val="002C1D4E"/>
    <w:rsid w:val="002C28CF"/>
    <w:rsid w:val="002C2E92"/>
    <w:rsid w:val="002C3E67"/>
    <w:rsid w:val="002C4C7B"/>
    <w:rsid w:val="002C50F3"/>
    <w:rsid w:val="002C642D"/>
    <w:rsid w:val="002C6780"/>
    <w:rsid w:val="002C6F54"/>
    <w:rsid w:val="002D1EE3"/>
    <w:rsid w:val="002D4C54"/>
    <w:rsid w:val="002D5120"/>
    <w:rsid w:val="002D6FBD"/>
    <w:rsid w:val="002D7AA4"/>
    <w:rsid w:val="002D7F4E"/>
    <w:rsid w:val="002E058D"/>
    <w:rsid w:val="002E2E7D"/>
    <w:rsid w:val="002E2F63"/>
    <w:rsid w:val="002E37C0"/>
    <w:rsid w:val="002E4DC8"/>
    <w:rsid w:val="002E678B"/>
    <w:rsid w:val="002E6CB7"/>
    <w:rsid w:val="002E7661"/>
    <w:rsid w:val="002F09A0"/>
    <w:rsid w:val="002F1259"/>
    <w:rsid w:val="002F20A0"/>
    <w:rsid w:val="002F326A"/>
    <w:rsid w:val="002F34E5"/>
    <w:rsid w:val="002F3D5E"/>
    <w:rsid w:val="002F4B97"/>
    <w:rsid w:val="002F52FF"/>
    <w:rsid w:val="002F759F"/>
    <w:rsid w:val="00300A4B"/>
    <w:rsid w:val="003019DE"/>
    <w:rsid w:val="0030232A"/>
    <w:rsid w:val="00302A04"/>
    <w:rsid w:val="00304F7E"/>
    <w:rsid w:val="003066F9"/>
    <w:rsid w:val="003078B5"/>
    <w:rsid w:val="003101D0"/>
    <w:rsid w:val="00311670"/>
    <w:rsid w:val="003120E0"/>
    <w:rsid w:val="00312B27"/>
    <w:rsid w:val="0031334A"/>
    <w:rsid w:val="00313454"/>
    <w:rsid w:val="00313C72"/>
    <w:rsid w:val="00314885"/>
    <w:rsid w:val="003162EA"/>
    <w:rsid w:val="003177D2"/>
    <w:rsid w:val="003204FD"/>
    <w:rsid w:val="0032093D"/>
    <w:rsid w:val="0032133C"/>
    <w:rsid w:val="00321F46"/>
    <w:rsid w:val="003223C0"/>
    <w:rsid w:val="0032341E"/>
    <w:rsid w:val="00324303"/>
    <w:rsid w:val="00324EA3"/>
    <w:rsid w:val="00324ED7"/>
    <w:rsid w:val="003257EA"/>
    <w:rsid w:val="00325CD1"/>
    <w:rsid w:val="003314ED"/>
    <w:rsid w:val="00332B88"/>
    <w:rsid w:val="00333261"/>
    <w:rsid w:val="00335DD3"/>
    <w:rsid w:val="0033726C"/>
    <w:rsid w:val="003372FB"/>
    <w:rsid w:val="00337338"/>
    <w:rsid w:val="003374E9"/>
    <w:rsid w:val="00337C3B"/>
    <w:rsid w:val="00337D52"/>
    <w:rsid w:val="003422A6"/>
    <w:rsid w:val="00342983"/>
    <w:rsid w:val="00342FA7"/>
    <w:rsid w:val="0034436E"/>
    <w:rsid w:val="003457B9"/>
    <w:rsid w:val="00345F08"/>
    <w:rsid w:val="003461E4"/>
    <w:rsid w:val="0034653C"/>
    <w:rsid w:val="00346DCE"/>
    <w:rsid w:val="00347866"/>
    <w:rsid w:val="00347C3C"/>
    <w:rsid w:val="0035056F"/>
    <w:rsid w:val="0035189B"/>
    <w:rsid w:val="003528E6"/>
    <w:rsid w:val="00353BEB"/>
    <w:rsid w:val="0035473D"/>
    <w:rsid w:val="0035479C"/>
    <w:rsid w:val="00354C67"/>
    <w:rsid w:val="00355025"/>
    <w:rsid w:val="00357F55"/>
    <w:rsid w:val="00360010"/>
    <w:rsid w:val="00360466"/>
    <w:rsid w:val="003604AC"/>
    <w:rsid w:val="00360A36"/>
    <w:rsid w:val="00360CE2"/>
    <w:rsid w:val="00361A5E"/>
    <w:rsid w:val="00361EEA"/>
    <w:rsid w:val="0036303C"/>
    <w:rsid w:val="00364274"/>
    <w:rsid w:val="00364F94"/>
    <w:rsid w:val="00365324"/>
    <w:rsid w:val="00365A59"/>
    <w:rsid w:val="003670AF"/>
    <w:rsid w:val="003670F4"/>
    <w:rsid w:val="00367319"/>
    <w:rsid w:val="00370154"/>
    <w:rsid w:val="00371607"/>
    <w:rsid w:val="0037194A"/>
    <w:rsid w:val="00371AC3"/>
    <w:rsid w:val="00371FAC"/>
    <w:rsid w:val="00373606"/>
    <w:rsid w:val="00373963"/>
    <w:rsid w:val="00373FD7"/>
    <w:rsid w:val="003748D5"/>
    <w:rsid w:val="0037535B"/>
    <w:rsid w:val="00376276"/>
    <w:rsid w:val="003776B7"/>
    <w:rsid w:val="00380422"/>
    <w:rsid w:val="003804E5"/>
    <w:rsid w:val="003806B4"/>
    <w:rsid w:val="00380BEC"/>
    <w:rsid w:val="003817C4"/>
    <w:rsid w:val="0038326C"/>
    <w:rsid w:val="00383C03"/>
    <w:rsid w:val="00383EE9"/>
    <w:rsid w:val="00384F00"/>
    <w:rsid w:val="00385209"/>
    <w:rsid w:val="0038523D"/>
    <w:rsid w:val="003852A9"/>
    <w:rsid w:val="00387869"/>
    <w:rsid w:val="00390C4E"/>
    <w:rsid w:val="003919EA"/>
    <w:rsid w:val="0039350E"/>
    <w:rsid w:val="0039358B"/>
    <w:rsid w:val="00393B44"/>
    <w:rsid w:val="00393EA2"/>
    <w:rsid w:val="00393F06"/>
    <w:rsid w:val="00396301"/>
    <w:rsid w:val="00396336"/>
    <w:rsid w:val="00396F08"/>
    <w:rsid w:val="0039719A"/>
    <w:rsid w:val="00397955"/>
    <w:rsid w:val="003A03D5"/>
    <w:rsid w:val="003A0B0F"/>
    <w:rsid w:val="003A14F4"/>
    <w:rsid w:val="003A1638"/>
    <w:rsid w:val="003A1AFB"/>
    <w:rsid w:val="003A365A"/>
    <w:rsid w:val="003A42C5"/>
    <w:rsid w:val="003A47E2"/>
    <w:rsid w:val="003A4842"/>
    <w:rsid w:val="003A4DE6"/>
    <w:rsid w:val="003A5158"/>
    <w:rsid w:val="003A60BD"/>
    <w:rsid w:val="003A6956"/>
    <w:rsid w:val="003A6A3C"/>
    <w:rsid w:val="003A72E4"/>
    <w:rsid w:val="003B2C9F"/>
    <w:rsid w:val="003B41D0"/>
    <w:rsid w:val="003B4644"/>
    <w:rsid w:val="003B48D4"/>
    <w:rsid w:val="003B6B2A"/>
    <w:rsid w:val="003B6CB5"/>
    <w:rsid w:val="003B70DD"/>
    <w:rsid w:val="003B7132"/>
    <w:rsid w:val="003B7C53"/>
    <w:rsid w:val="003B7E40"/>
    <w:rsid w:val="003C21AE"/>
    <w:rsid w:val="003C26DF"/>
    <w:rsid w:val="003C2733"/>
    <w:rsid w:val="003C29FF"/>
    <w:rsid w:val="003C3825"/>
    <w:rsid w:val="003C3C94"/>
    <w:rsid w:val="003C5990"/>
    <w:rsid w:val="003C59B8"/>
    <w:rsid w:val="003C624C"/>
    <w:rsid w:val="003C6338"/>
    <w:rsid w:val="003C6E08"/>
    <w:rsid w:val="003C7C4E"/>
    <w:rsid w:val="003D1497"/>
    <w:rsid w:val="003D1E68"/>
    <w:rsid w:val="003D2B3B"/>
    <w:rsid w:val="003D4F1E"/>
    <w:rsid w:val="003D6860"/>
    <w:rsid w:val="003E01A9"/>
    <w:rsid w:val="003E0F47"/>
    <w:rsid w:val="003E1D04"/>
    <w:rsid w:val="003E21DE"/>
    <w:rsid w:val="003E2C5C"/>
    <w:rsid w:val="003E3C62"/>
    <w:rsid w:val="003E4097"/>
    <w:rsid w:val="003E578D"/>
    <w:rsid w:val="003E5E31"/>
    <w:rsid w:val="003E6047"/>
    <w:rsid w:val="003E6342"/>
    <w:rsid w:val="003E7409"/>
    <w:rsid w:val="003F0003"/>
    <w:rsid w:val="003F005A"/>
    <w:rsid w:val="003F122E"/>
    <w:rsid w:val="003F2DFF"/>
    <w:rsid w:val="003F320F"/>
    <w:rsid w:val="003F3B34"/>
    <w:rsid w:val="003F42A1"/>
    <w:rsid w:val="003F4610"/>
    <w:rsid w:val="003F4729"/>
    <w:rsid w:val="003F473E"/>
    <w:rsid w:val="003F4A63"/>
    <w:rsid w:val="003F5BED"/>
    <w:rsid w:val="003F67EC"/>
    <w:rsid w:val="003F7457"/>
    <w:rsid w:val="003F7BE7"/>
    <w:rsid w:val="0040165F"/>
    <w:rsid w:val="00401F4D"/>
    <w:rsid w:val="00403120"/>
    <w:rsid w:val="00403768"/>
    <w:rsid w:val="00403E45"/>
    <w:rsid w:val="00404F77"/>
    <w:rsid w:val="00405A3D"/>
    <w:rsid w:val="00406443"/>
    <w:rsid w:val="0040647A"/>
    <w:rsid w:val="00410100"/>
    <w:rsid w:val="004104BB"/>
    <w:rsid w:val="00410B0C"/>
    <w:rsid w:val="00411991"/>
    <w:rsid w:val="0041225A"/>
    <w:rsid w:val="004126D1"/>
    <w:rsid w:val="00412D30"/>
    <w:rsid w:val="0041321F"/>
    <w:rsid w:val="00414709"/>
    <w:rsid w:val="0041489E"/>
    <w:rsid w:val="00415F4B"/>
    <w:rsid w:val="00420DA3"/>
    <w:rsid w:val="00421429"/>
    <w:rsid w:val="00421847"/>
    <w:rsid w:val="0042199A"/>
    <w:rsid w:val="00421DBC"/>
    <w:rsid w:val="00421FDE"/>
    <w:rsid w:val="0042288A"/>
    <w:rsid w:val="00422AC7"/>
    <w:rsid w:val="00423121"/>
    <w:rsid w:val="00423B2D"/>
    <w:rsid w:val="00423CE9"/>
    <w:rsid w:val="00425B00"/>
    <w:rsid w:val="00425D00"/>
    <w:rsid w:val="00426320"/>
    <w:rsid w:val="004264FF"/>
    <w:rsid w:val="00426F81"/>
    <w:rsid w:val="004271B0"/>
    <w:rsid w:val="00431BBE"/>
    <w:rsid w:val="00433E8F"/>
    <w:rsid w:val="0043432E"/>
    <w:rsid w:val="004356B8"/>
    <w:rsid w:val="00435B6D"/>
    <w:rsid w:val="00435D68"/>
    <w:rsid w:val="0043681E"/>
    <w:rsid w:val="00436891"/>
    <w:rsid w:val="00436D3D"/>
    <w:rsid w:val="00437A82"/>
    <w:rsid w:val="00437D11"/>
    <w:rsid w:val="00441B84"/>
    <w:rsid w:val="00441FDA"/>
    <w:rsid w:val="00442BE9"/>
    <w:rsid w:val="0044355C"/>
    <w:rsid w:val="00443C4A"/>
    <w:rsid w:val="004440CC"/>
    <w:rsid w:val="004445D1"/>
    <w:rsid w:val="00447AA0"/>
    <w:rsid w:val="00450020"/>
    <w:rsid w:val="004507DD"/>
    <w:rsid w:val="0045099E"/>
    <w:rsid w:val="004510A5"/>
    <w:rsid w:val="00454C7B"/>
    <w:rsid w:val="00455416"/>
    <w:rsid w:val="00455884"/>
    <w:rsid w:val="00456896"/>
    <w:rsid w:val="00456F4D"/>
    <w:rsid w:val="004601B8"/>
    <w:rsid w:val="004608EA"/>
    <w:rsid w:val="00461A37"/>
    <w:rsid w:val="004623B1"/>
    <w:rsid w:val="0046298C"/>
    <w:rsid w:val="00463E0E"/>
    <w:rsid w:val="00464353"/>
    <w:rsid w:val="004648FA"/>
    <w:rsid w:val="00465D0B"/>
    <w:rsid w:val="004707AE"/>
    <w:rsid w:val="0047098C"/>
    <w:rsid w:val="00471113"/>
    <w:rsid w:val="0047193D"/>
    <w:rsid w:val="0047378C"/>
    <w:rsid w:val="00474592"/>
    <w:rsid w:val="00474C77"/>
    <w:rsid w:val="0047574B"/>
    <w:rsid w:val="00475A76"/>
    <w:rsid w:val="00475DC1"/>
    <w:rsid w:val="00475E13"/>
    <w:rsid w:val="00476802"/>
    <w:rsid w:val="00476825"/>
    <w:rsid w:val="00476E59"/>
    <w:rsid w:val="00480561"/>
    <w:rsid w:val="00480785"/>
    <w:rsid w:val="004820C6"/>
    <w:rsid w:val="0048227C"/>
    <w:rsid w:val="00483140"/>
    <w:rsid w:val="00483933"/>
    <w:rsid w:val="00484D66"/>
    <w:rsid w:val="00484F17"/>
    <w:rsid w:val="0048557F"/>
    <w:rsid w:val="00485D46"/>
    <w:rsid w:val="00485F6D"/>
    <w:rsid w:val="00486437"/>
    <w:rsid w:val="0048690F"/>
    <w:rsid w:val="004869F2"/>
    <w:rsid w:val="004875BF"/>
    <w:rsid w:val="00487AE0"/>
    <w:rsid w:val="00487D24"/>
    <w:rsid w:val="00492746"/>
    <w:rsid w:val="00492B3A"/>
    <w:rsid w:val="004935BD"/>
    <w:rsid w:val="00493E4C"/>
    <w:rsid w:val="00494199"/>
    <w:rsid w:val="0049439F"/>
    <w:rsid w:val="00495D0D"/>
    <w:rsid w:val="00495F98"/>
    <w:rsid w:val="004A0005"/>
    <w:rsid w:val="004A0C5F"/>
    <w:rsid w:val="004A0D31"/>
    <w:rsid w:val="004A160B"/>
    <w:rsid w:val="004A1D7D"/>
    <w:rsid w:val="004A1FD9"/>
    <w:rsid w:val="004A24E8"/>
    <w:rsid w:val="004A2612"/>
    <w:rsid w:val="004A273A"/>
    <w:rsid w:val="004A29B7"/>
    <w:rsid w:val="004A4883"/>
    <w:rsid w:val="004A5A89"/>
    <w:rsid w:val="004A5C05"/>
    <w:rsid w:val="004A6177"/>
    <w:rsid w:val="004A6A5A"/>
    <w:rsid w:val="004A728B"/>
    <w:rsid w:val="004A768B"/>
    <w:rsid w:val="004B0835"/>
    <w:rsid w:val="004B0960"/>
    <w:rsid w:val="004B0997"/>
    <w:rsid w:val="004B0F57"/>
    <w:rsid w:val="004B12AA"/>
    <w:rsid w:val="004B3A9F"/>
    <w:rsid w:val="004B423D"/>
    <w:rsid w:val="004B442C"/>
    <w:rsid w:val="004B446A"/>
    <w:rsid w:val="004B4FC7"/>
    <w:rsid w:val="004B5190"/>
    <w:rsid w:val="004B629A"/>
    <w:rsid w:val="004B6B4C"/>
    <w:rsid w:val="004C0589"/>
    <w:rsid w:val="004C0C32"/>
    <w:rsid w:val="004C181A"/>
    <w:rsid w:val="004C19CB"/>
    <w:rsid w:val="004C1E84"/>
    <w:rsid w:val="004C4A7E"/>
    <w:rsid w:val="004C58CB"/>
    <w:rsid w:val="004C6235"/>
    <w:rsid w:val="004D03EF"/>
    <w:rsid w:val="004D25EF"/>
    <w:rsid w:val="004D2F46"/>
    <w:rsid w:val="004D33DA"/>
    <w:rsid w:val="004D37B2"/>
    <w:rsid w:val="004D3920"/>
    <w:rsid w:val="004D4095"/>
    <w:rsid w:val="004D6B0E"/>
    <w:rsid w:val="004E22C3"/>
    <w:rsid w:val="004E29C7"/>
    <w:rsid w:val="004E2C52"/>
    <w:rsid w:val="004E2DAA"/>
    <w:rsid w:val="004E3FE2"/>
    <w:rsid w:val="004E45C5"/>
    <w:rsid w:val="004E49F9"/>
    <w:rsid w:val="004E4AAD"/>
    <w:rsid w:val="004E53EB"/>
    <w:rsid w:val="004E5C5E"/>
    <w:rsid w:val="004E6892"/>
    <w:rsid w:val="004E7192"/>
    <w:rsid w:val="004E7B87"/>
    <w:rsid w:val="004F04C3"/>
    <w:rsid w:val="004F1AC5"/>
    <w:rsid w:val="004F1FD1"/>
    <w:rsid w:val="004F29D0"/>
    <w:rsid w:val="004F2E0F"/>
    <w:rsid w:val="004F3557"/>
    <w:rsid w:val="004F39C9"/>
    <w:rsid w:val="004F6F13"/>
    <w:rsid w:val="004F6FE4"/>
    <w:rsid w:val="004F7A6D"/>
    <w:rsid w:val="005009A3"/>
    <w:rsid w:val="00500FE4"/>
    <w:rsid w:val="005012FD"/>
    <w:rsid w:val="005024B9"/>
    <w:rsid w:val="00503FAE"/>
    <w:rsid w:val="00505D19"/>
    <w:rsid w:val="005116FB"/>
    <w:rsid w:val="00513CC3"/>
    <w:rsid w:val="00514A60"/>
    <w:rsid w:val="00514F07"/>
    <w:rsid w:val="00515D78"/>
    <w:rsid w:val="005164A9"/>
    <w:rsid w:val="005206A6"/>
    <w:rsid w:val="00520F51"/>
    <w:rsid w:val="00521F8E"/>
    <w:rsid w:val="00522996"/>
    <w:rsid w:val="00523CD7"/>
    <w:rsid w:val="00524C75"/>
    <w:rsid w:val="00524FFF"/>
    <w:rsid w:val="005252F4"/>
    <w:rsid w:val="0053003B"/>
    <w:rsid w:val="00530F51"/>
    <w:rsid w:val="00531AF0"/>
    <w:rsid w:val="00532D68"/>
    <w:rsid w:val="0053378F"/>
    <w:rsid w:val="005339FA"/>
    <w:rsid w:val="00533EE7"/>
    <w:rsid w:val="00534830"/>
    <w:rsid w:val="00534B90"/>
    <w:rsid w:val="00534C15"/>
    <w:rsid w:val="00536085"/>
    <w:rsid w:val="005361D9"/>
    <w:rsid w:val="00540846"/>
    <w:rsid w:val="00540BBF"/>
    <w:rsid w:val="0054183D"/>
    <w:rsid w:val="00542084"/>
    <w:rsid w:val="0054346D"/>
    <w:rsid w:val="00546547"/>
    <w:rsid w:val="0054684C"/>
    <w:rsid w:val="00546EB0"/>
    <w:rsid w:val="00547222"/>
    <w:rsid w:val="005504E2"/>
    <w:rsid w:val="00550F8E"/>
    <w:rsid w:val="00551E71"/>
    <w:rsid w:val="00553DAB"/>
    <w:rsid w:val="0055461F"/>
    <w:rsid w:val="00555167"/>
    <w:rsid w:val="00557B1D"/>
    <w:rsid w:val="00560671"/>
    <w:rsid w:val="00561778"/>
    <w:rsid w:val="0056295D"/>
    <w:rsid w:val="00562F1A"/>
    <w:rsid w:val="00563A7F"/>
    <w:rsid w:val="00564CE5"/>
    <w:rsid w:val="00564D75"/>
    <w:rsid w:val="00565314"/>
    <w:rsid w:val="00565645"/>
    <w:rsid w:val="00565740"/>
    <w:rsid w:val="00565768"/>
    <w:rsid w:val="00566748"/>
    <w:rsid w:val="00567E5B"/>
    <w:rsid w:val="00570F67"/>
    <w:rsid w:val="00571104"/>
    <w:rsid w:val="005713FF"/>
    <w:rsid w:val="00571539"/>
    <w:rsid w:val="00571E55"/>
    <w:rsid w:val="005739BD"/>
    <w:rsid w:val="00573C8E"/>
    <w:rsid w:val="005751F5"/>
    <w:rsid w:val="005762A5"/>
    <w:rsid w:val="00577246"/>
    <w:rsid w:val="0057725F"/>
    <w:rsid w:val="0057745F"/>
    <w:rsid w:val="005778A5"/>
    <w:rsid w:val="00577E29"/>
    <w:rsid w:val="005801A7"/>
    <w:rsid w:val="005804D4"/>
    <w:rsid w:val="0058126C"/>
    <w:rsid w:val="00581877"/>
    <w:rsid w:val="00582C84"/>
    <w:rsid w:val="00582D9C"/>
    <w:rsid w:val="00582F6F"/>
    <w:rsid w:val="00584AAA"/>
    <w:rsid w:val="0058523D"/>
    <w:rsid w:val="0058586B"/>
    <w:rsid w:val="00586D41"/>
    <w:rsid w:val="005907B4"/>
    <w:rsid w:val="00590ADD"/>
    <w:rsid w:val="00591EAD"/>
    <w:rsid w:val="005921CF"/>
    <w:rsid w:val="005948F9"/>
    <w:rsid w:val="00595DBE"/>
    <w:rsid w:val="00596386"/>
    <w:rsid w:val="0059734C"/>
    <w:rsid w:val="00597BB1"/>
    <w:rsid w:val="00597DC5"/>
    <w:rsid w:val="00597F69"/>
    <w:rsid w:val="005A122E"/>
    <w:rsid w:val="005A1FA7"/>
    <w:rsid w:val="005A29EF"/>
    <w:rsid w:val="005A2D84"/>
    <w:rsid w:val="005A3541"/>
    <w:rsid w:val="005A398E"/>
    <w:rsid w:val="005A491E"/>
    <w:rsid w:val="005A602D"/>
    <w:rsid w:val="005A6F4E"/>
    <w:rsid w:val="005A7255"/>
    <w:rsid w:val="005A7A3E"/>
    <w:rsid w:val="005A7CC1"/>
    <w:rsid w:val="005B06C3"/>
    <w:rsid w:val="005B160F"/>
    <w:rsid w:val="005B198E"/>
    <w:rsid w:val="005B2054"/>
    <w:rsid w:val="005B2D99"/>
    <w:rsid w:val="005B3F46"/>
    <w:rsid w:val="005B3FDC"/>
    <w:rsid w:val="005B41A1"/>
    <w:rsid w:val="005B606C"/>
    <w:rsid w:val="005B715D"/>
    <w:rsid w:val="005C080D"/>
    <w:rsid w:val="005C1017"/>
    <w:rsid w:val="005C2E71"/>
    <w:rsid w:val="005C4412"/>
    <w:rsid w:val="005C5883"/>
    <w:rsid w:val="005C63FB"/>
    <w:rsid w:val="005C6898"/>
    <w:rsid w:val="005C7FFC"/>
    <w:rsid w:val="005D0131"/>
    <w:rsid w:val="005D1CA8"/>
    <w:rsid w:val="005D1FCC"/>
    <w:rsid w:val="005D2AA9"/>
    <w:rsid w:val="005D2F68"/>
    <w:rsid w:val="005D3299"/>
    <w:rsid w:val="005D3BD3"/>
    <w:rsid w:val="005D473A"/>
    <w:rsid w:val="005D4910"/>
    <w:rsid w:val="005D5603"/>
    <w:rsid w:val="005D5B9B"/>
    <w:rsid w:val="005D5EAB"/>
    <w:rsid w:val="005D6B83"/>
    <w:rsid w:val="005D6B9E"/>
    <w:rsid w:val="005E03F3"/>
    <w:rsid w:val="005E141B"/>
    <w:rsid w:val="005E27F7"/>
    <w:rsid w:val="005E66C8"/>
    <w:rsid w:val="005E6AAF"/>
    <w:rsid w:val="005E7D8E"/>
    <w:rsid w:val="005F0084"/>
    <w:rsid w:val="005F069D"/>
    <w:rsid w:val="005F0950"/>
    <w:rsid w:val="005F241E"/>
    <w:rsid w:val="005F2C6E"/>
    <w:rsid w:val="005F2EAE"/>
    <w:rsid w:val="005F3894"/>
    <w:rsid w:val="005F5571"/>
    <w:rsid w:val="005F5B9C"/>
    <w:rsid w:val="0060030B"/>
    <w:rsid w:val="00600D8C"/>
    <w:rsid w:val="0060180B"/>
    <w:rsid w:val="00602A7C"/>
    <w:rsid w:val="00604244"/>
    <w:rsid w:val="00604661"/>
    <w:rsid w:val="00605465"/>
    <w:rsid w:val="00605898"/>
    <w:rsid w:val="00606328"/>
    <w:rsid w:val="006066ED"/>
    <w:rsid w:val="00606A14"/>
    <w:rsid w:val="006102B5"/>
    <w:rsid w:val="006111D4"/>
    <w:rsid w:val="0061123A"/>
    <w:rsid w:val="00612D33"/>
    <w:rsid w:val="00613DEA"/>
    <w:rsid w:val="00613E91"/>
    <w:rsid w:val="00615653"/>
    <w:rsid w:val="00615F5E"/>
    <w:rsid w:val="006166FE"/>
    <w:rsid w:val="00616941"/>
    <w:rsid w:val="0062058C"/>
    <w:rsid w:val="00620E95"/>
    <w:rsid w:val="0062142E"/>
    <w:rsid w:val="00622D3D"/>
    <w:rsid w:val="00623AC5"/>
    <w:rsid w:val="00625860"/>
    <w:rsid w:val="0062619F"/>
    <w:rsid w:val="0062658B"/>
    <w:rsid w:val="00630F1E"/>
    <w:rsid w:val="00631497"/>
    <w:rsid w:val="006315C0"/>
    <w:rsid w:val="006327B3"/>
    <w:rsid w:val="00632951"/>
    <w:rsid w:val="006329F9"/>
    <w:rsid w:val="00632CDC"/>
    <w:rsid w:val="00632E80"/>
    <w:rsid w:val="006348A6"/>
    <w:rsid w:val="00636412"/>
    <w:rsid w:val="0063782F"/>
    <w:rsid w:val="00637B3F"/>
    <w:rsid w:val="00642181"/>
    <w:rsid w:val="00642A0F"/>
    <w:rsid w:val="00642B4B"/>
    <w:rsid w:val="00643474"/>
    <w:rsid w:val="0064535B"/>
    <w:rsid w:val="00645A36"/>
    <w:rsid w:val="00645ED0"/>
    <w:rsid w:val="006464F0"/>
    <w:rsid w:val="0064725F"/>
    <w:rsid w:val="00647766"/>
    <w:rsid w:val="006477FE"/>
    <w:rsid w:val="00650D12"/>
    <w:rsid w:val="00651FA0"/>
    <w:rsid w:val="006548B0"/>
    <w:rsid w:val="00654D8C"/>
    <w:rsid w:val="0065677D"/>
    <w:rsid w:val="00656FA2"/>
    <w:rsid w:val="0065755F"/>
    <w:rsid w:val="00660203"/>
    <w:rsid w:val="006617A8"/>
    <w:rsid w:val="00661988"/>
    <w:rsid w:val="00662D89"/>
    <w:rsid w:val="00664E24"/>
    <w:rsid w:val="00665711"/>
    <w:rsid w:val="00665BC3"/>
    <w:rsid w:val="00665DF0"/>
    <w:rsid w:val="006667FC"/>
    <w:rsid w:val="006670EE"/>
    <w:rsid w:val="00667273"/>
    <w:rsid w:val="00667935"/>
    <w:rsid w:val="0067154E"/>
    <w:rsid w:val="00671AE1"/>
    <w:rsid w:val="00672BB9"/>
    <w:rsid w:val="00672EC8"/>
    <w:rsid w:val="0067309D"/>
    <w:rsid w:val="006750BB"/>
    <w:rsid w:val="0067533E"/>
    <w:rsid w:val="00675FEC"/>
    <w:rsid w:val="006778E0"/>
    <w:rsid w:val="00680225"/>
    <w:rsid w:val="006815AC"/>
    <w:rsid w:val="006818AC"/>
    <w:rsid w:val="00682EF3"/>
    <w:rsid w:val="006835D1"/>
    <w:rsid w:val="00683DF2"/>
    <w:rsid w:val="00684B25"/>
    <w:rsid w:val="006853E8"/>
    <w:rsid w:val="006865A0"/>
    <w:rsid w:val="00686FED"/>
    <w:rsid w:val="0068709A"/>
    <w:rsid w:val="00687100"/>
    <w:rsid w:val="006900E4"/>
    <w:rsid w:val="006916A6"/>
    <w:rsid w:val="00691CD7"/>
    <w:rsid w:val="00691F24"/>
    <w:rsid w:val="00692024"/>
    <w:rsid w:val="00692B65"/>
    <w:rsid w:val="0069315C"/>
    <w:rsid w:val="00693540"/>
    <w:rsid w:val="00694028"/>
    <w:rsid w:val="00694808"/>
    <w:rsid w:val="00694ADE"/>
    <w:rsid w:val="00695279"/>
    <w:rsid w:val="00695B53"/>
    <w:rsid w:val="00696F90"/>
    <w:rsid w:val="00697707"/>
    <w:rsid w:val="006A1167"/>
    <w:rsid w:val="006A169C"/>
    <w:rsid w:val="006A229F"/>
    <w:rsid w:val="006A2781"/>
    <w:rsid w:val="006A2FAB"/>
    <w:rsid w:val="006A3116"/>
    <w:rsid w:val="006A334D"/>
    <w:rsid w:val="006A3B12"/>
    <w:rsid w:val="006A403E"/>
    <w:rsid w:val="006A60DE"/>
    <w:rsid w:val="006A6461"/>
    <w:rsid w:val="006A7A3E"/>
    <w:rsid w:val="006A7A62"/>
    <w:rsid w:val="006B05C1"/>
    <w:rsid w:val="006B1058"/>
    <w:rsid w:val="006B2720"/>
    <w:rsid w:val="006B2F39"/>
    <w:rsid w:val="006B3B44"/>
    <w:rsid w:val="006B510E"/>
    <w:rsid w:val="006B524F"/>
    <w:rsid w:val="006B60B1"/>
    <w:rsid w:val="006B6A2C"/>
    <w:rsid w:val="006B72F4"/>
    <w:rsid w:val="006C0658"/>
    <w:rsid w:val="006C1577"/>
    <w:rsid w:val="006C1703"/>
    <w:rsid w:val="006C1B1F"/>
    <w:rsid w:val="006C1C2F"/>
    <w:rsid w:val="006C2801"/>
    <w:rsid w:val="006C39FD"/>
    <w:rsid w:val="006C3FA6"/>
    <w:rsid w:val="006C533F"/>
    <w:rsid w:val="006C6CF0"/>
    <w:rsid w:val="006C7423"/>
    <w:rsid w:val="006C7576"/>
    <w:rsid w:val="006C7F84"/>
    <w:rsid w:val="006D2508"/>
    <w:rsid w:val="006D2A98"/>
    <w:rsid w:val="006D39C3"/>
    <w:rsid w:val="006D3CDC"/>
    <w:rsid w:val="006D5772"/>
    <w:rsid w:val="006D590F"/>
    <w:rsid w:val="006E05B8"/>
    <w:rsid w:val="006E09E5"/>
    <w:rsid w:val="006E110B"/>
    <w:rsid w:val="006E1351"/>
    <w:rsid w:val="006E1BA2"/>
    <w:rsid w:val="006E2369"/>
    <w:rsid w:val="006E23CB"/>
    <w:rsid w:val="006E3083"/>
    <w:rsid w:val="006E3277"/>
    <w:rsid w:val="006E3361"/>
    <w:rsid w:val="006E4838"/>
    <w:rsid w:val="006E526C"/>
    <w:rsid w:val="006E5611"/>
    <w:rsid w:val="006E5810"/>
    <w:rsid w:val="006E5AFD"/>
    <w:rsid w:val="006E686A"/>
    <w:rsid w:val="006F0CE0"/>
    <w:rsid w:val="006F2829"/>
    <w:rsid w:val="006F3B51"/>
    <w:rsid w:val="006F45D4"/>
    <w:rsid w:val="006F573B"/>
    <w:rsid w:val="006F59DC"/>
    <w:rsid w:val="006F6EBF"/>
    <w:rsid w:val="006F71F2"/>
    <w:rsid w:val="006F7A13"/>
    <w:rsid w:val="006F7A60"/>
    <w:rsid w:val="0070034E"/>
    <w:rsid w:val="007011E6"/>
    <w:rsid w:val="00701861"/>
    <w:rsid w:val="00701B8B"/>
    <w:rsid w:val="00702BE9"/>
    <w:rsid w:val="00703541"/>
    <w:rsid w:val="00705546"/>
    <w:rsid w:val="007100B2"/>
    <w:rsid w:val="00712699"/>
    <w:rsid w:val="00713666"/>
    <w:rsid w:val="00713A37"/>
    <w:rsid w:val="00713DE0"/>
    <w:rsid w:val="0071467B"/>
    <w:rsid w:val="00714EE9"/>
    <w:rsid w:val="00715D20"/>
    <w:rsid w:val="00715F68"/>
    <w:rsid w:val="00716F58"/>
    <w:rsid w:val="007173ED"/>
    <w:rsid w:val="007175AB"/>
    <w:rsid w:val="007176A4"/>
    <w:rsid w:val="007179C9"/>
    <w:rsid w:val="00720222"/>
    <w:rsid w:val="00720877"/>
    <w:rsid w:val="007209EB"/>
    <w:rsid w:val="00720AC1"/>
    <w:rsid w:val="0072105C"/>
    <w:rsid w:val="00721A49"/>
    <w:rsid w:val="00722747"/>
    <w:rsid w:val="0072289B"/>
    <w:rsid w:val="0072299C"/>
    <w:rsid w:val="00722F1D"/>
    <w:rsid w:val="0072304F"/>
    <w:rsid w:val="0072326B"/>
    <w:rsid w:val="00724364"/>
    <w:rsid w:val="007244AC"/>
    <w:rsid w:val="007244E6"/>
    <w:rsid w:val="0072462F"/>
    <w:rsid w:val="00724B11"/>
    <w:rsid w:val="00724CD9"/>
    <w:rsid w:val="00725AF0"/>
    <w:rsid w:val="007265D4"/>
    <w:rsid w:val="00727436"/>
    <w:rsid w:val="00727A84"/>
    <w:rsid w:val="00730649"/>
    <w:rsid w:val="00730A4C"/>
    <w:rsid w:val="00732487"/>
    <w:rsid w:val="00732911"/>
    <w:rsid w:val="007338CD"/>
    <w:rsid w:val="00733934"/>
    <w:rsid w:val="007340E1"/>
    <w:rsid w:val="00735144"/>
    <w:rsid w:val="0073574F"/>
    <w:rsid w:val="0073642B"/>
    <w:rsid w:val="007377B7"/>
    <w:rsid w:val="00742A2F"/>
    <w:rsid w:val="00742DAB"/>
    <w:rsid w:val="0074347E"/>
    <w:rsid w:val="0074393B"/>
    <w:rsid w:val="00745129"/>
    <w:rsid w:val="007451EC"/>
    <w:rsid w:val="0074774D"/>
    <w:rsid w:val="00747DC6"/>
    <w:rsid w:val="007503AF"/>
    <w:rsid w:val="007516E1"/>
    <w:rsid w:val="00751A17"/>
    <w:rsid w:val="00751A7B"/>
    <w:rsid w:val="00752D64"/>
    <w:rsid w:val="0075328D"/>
    <w:rsid w:val="00754695"/>
    <w:rsid w:val="0075474E"/>
    <w:rsid w:val="00754F5D"/>
    <w:rsid w:val="00755233"/>
    <w:rsid w:val="00756FB6"/>
    <w:rsid w:val="00760531"/>
    <w:rsid w:val="007621F9"/>
    <w:rsid w:val="007625A1"/>
    <w:rsid w:val="00765D19"/>
    <w:rsid w:val="00766A79"/>
    <w:rsid w:val="00767D1B"/>
    <w:rsid w:val="007712B4"/>
    <w:rsid w:val="00771657"/>
    <w:rsid w:val="007716D9"/>
    <w:rsid w:val="00771888"/>
    <w:rsid w:val="00771C70"/>
    <w:rsid w:val="00772D50"/>
    <w:rsid w:val="00773200"/>
    <w:rsid w:val="00774648"/>
    <w:rsid w:val="00775708"/>
    <w:rsid w:val="00777D0F"/>
    <w:rsid w:val="00780CC6"/>
    <w:rsid w:val="00781299"/>
    <w:rsid w:val="00781AED"/>
    <w:rsid w:val="00783609"/>
    <w:rsid w:val="0078402E"/>
    <w:rsid w:val="007844EB"/>
    <w:rsid w:val="00784896"/>
    <w:rsid w:val="00784897"/>
    <w:rsid w:val="007859CB"/>
    <w:rsid w:val="007874F4"/>
    <w:rsid w:val="007878D9"/>
    <w:rsid w:val="00787BCB"/>
    <w:rsid w:val="00787F37"/>
    <w:rsid w:val="007901A7"/>
    <w:rsid w:val="0079111D"/>
    <w:rsid w:val="00792890"/>
    <w:rsid w:val="00792D8A"/>
    <w:rsid w:val="00792FC5"/>
    <w:rsid w:val="00793695"/>
    <w:rsid w:val="007940E9"/>
    <w:rsid w:val="00795050"/>
    <w:rsid w:val="007953EB"/>
    <w:rsid w:val="007955A0"/>
    <w:rsid w:val="00795E05"/>
    <w:rsid w:val="00795EBE"/>
    <w:rsid w:val="007971DE"/>
    <w:rsid w:val="007A0F15"/>
    <w:rsid w:val="007A1586"/>
    <w:rsid w:val="007A167A"/>
    <w:rsid w:val="007A183C"/>
    <w:rsid w:val="007A4E17"/>
    <w:rsid w:val="007A5583"/>
    <w:rsid w:val="007A57FA"/>
    <w:rsid w:val="007A5D8C"/>
    <w:rsid w:val="007A660E"/>
    <w:rsid w:val="007A712C"/>
    <w:rsid w:val="007B0A0F"/>
    <w:rsid w:val="007B15A0"/>
    <w:rsid w:val="007B2944"/>
    <w:rsid w:val="007B32CC"/>
    <w:rsid w:val="007B341B"/>
    <w:rsid w:val="007B34F6"/>
    <w:rsid w:val="007B41B8"/>
    <w:rsid w:val="007B4C0D"/>
    <w:rsid w:val="007B5781"/>
    <w:rsid w:val="007B5B1A"/>
    <w:rsid w:val="007C17C5"/>
    <w:rsid w:val="007C1F62"/>
    <w:rsid w:val="007C21EC"/>
    <w:rsid w:val="007C3814"/>
    <w:rsid w:val="007C6219"/>
    <w:rsid w:val="007C7775"/>
    <w:rsid w:val="007C79FE"/>
    <w:rsid w:val="007D16EB"/>
    <w:rsid w:val="007D2739"/>
    <w:rsid w:val="007D351A"/>
    <w:rsid w:val="007D3DCE"/>
    <w:rsid w:val="007D4521"/>
    <w:rsid w:val="007D46B6"/>
    <w:rsid w:val="007D6A24"/>
    <w:rsid w:val="007E017B"/>
    <w:rsid w:val="007E0645"/>
    <w:rsid w:val="007E0FCF"/>
    <w:rsid w:val="007E1919"/>
    <w:rsid w:val="007E263D"/>
    <w:rsid w:val="007E3690"/>
    <w:rsid w:val="007E562A"/>
    <w:rsid w:val="007E5B88"/>
    <w:rsid w:val="007E6955"/>
    <w:rsid w:val="007E695E"/>
    <w:rsid w:val="007E6E1F"/>
    <w:rsid w:val="007F0544"/>
    <w:rsid w:val="007F0AAD"/>
    <w:rsid w:val="007F0CA1"/>
    <w:rsid w:val="007F1446"/>
    <w:rsid w:val="007F1C3C"/>
    <w:rsid w:val="007F1FC3"/>
    <w:rsid w:val="007F2DFC"/>
    <w:rsid w:val="007F2F6E"/>
    <w:rsid w:val="007F3F1F"/>
    <w:rsid w:val="007F5887"/>
    <w:rsid w:val="007F6230"/>
    <w:rsid w:val="007F77DE"/>
    <w:rsid w:val="00801949"/>
    <w:rsid w:val="00801C8F"/>
    <w:rsid w:val="0080201B"/>
    <w:rsid w:val="00803278"/>
    <w:rsid w:val="0080534E"/>
    <w:rsid w:val="00806B7A"/>
    <w:rsid w:val="0080703B"/>
    <w:rsid w:val="008073D5"/>
    <w:rsid w:val="00807DC5"/>
    <w:rsid w:val="008103FC"/>
    <w:rsid w:val="00810E5B"/>
    <w:rsid w:val="00811A0C"/>
    <w:rsid w:val="00812031"/>
    <w:rsid w:val="00814C38"/>
    <w:rsid w:val="00814D0F"/>
    <w:rsid w:val="00815E5A"/>
    <w:rsid w:val="00817428"/>
    <w:rsid w:val="00817CC6"/>
    <w:rsid w:val="00821178"/>
    <w:rsid w:val="008219B4"/>
    <w:rsid w:val="008219DD"/>
    <w:rsid w:val="008227E1"/>
    <w:rsid w:val="00822CFF"/>
    <w:rsid w:val="0082522D"/>
    <w:rsid w:val="008252B6"/>
    <w:rsid w:val="00825AA0"/>
    <w:rsid w:val="00825F56"/>
    <w:rsid w:val="00826C81"/>
    <w:rsid w:val="00827471"/>
    <w:rsid w:val="008275E3"/>
    <w:rsid w:val="00827A67"/>
    <w:rsid w:val="00830E4E"/>
    <w:rsid w:val="008320DF"/>
    <w:rsid w:val="00832C2B"/>
    <w:rsid w:val="0083349A"/>
    <w:rsid w:val="00834A69"/>
    <w:rsid w:val="008353B6"/>
    <w:rsid w:val="0083559D"/>
    <w:rsid w:val="0083573C"/>
    <w:rsid w:val="00837BA0"/>
    <w:rsid w:val="00840E92"/>
    <w:rsid w:val="008414F7"/>
    <w:rsid w:val="00842F0E"/>
    <w:rsid w:val="00843273"/>
    <w:rsid w:val="00843A41"/>
    <w:rsid w:val="00843BEE"/>
    <w:rsid w:val="00845037"/>
    <w:rsid w:val="00845822"/>
    <w:rsid w:val="00845C71"/>
    <w:rsid w:val="00846399"/>
    <w:rsid w:val="00846DB3"/>
    <w:rsid w:val="00846F0C"/>
    <w:rsid w:val="00846F75"/>
    <w:rsid w:val="00847FD0"/>
    <w:rsid w:val="00850B89"/>
    <w:rsid w:val="0085156A"/>
    <w:rsid w:val="00852361"/>
    <w:rsid w:val="00853E54"/>
    <w:rsid w:val="008541AF"/>
    <w:rsid w:val="008544E7"/>
    <w:rsid w:val="00855753"/>
    <w:rsid w:val="00856D80"/>
    <w:rsid w:val="00856E41"/>
    <w:rsid w:val="00861272"/>
    <w:rsid w:val="008614CB"/>
    <w:rsid w:val="008619D4"/>
    <w:rsid w:val="0086207E"/>
    <w:rsid w:val="008628C8"/>
    <w:rsid w:val="00864C0F"/>
    <w:rsid w:val="00865099"/>
    <w:rsid w:val="008651C4"/>
    <w:rsid w:val="0086776B"/>
    <w:rsid w:val="00867B10"/>
    <w:rsid w:val="00867B79"/>
    <w:rsid w:val="00870C56"/>
    <w:rsid w:val="00870D7C"/>
    <w:rsid w:val="008719A9"/>
    <w:rsid w:val="00872036"/>
    <w:rsid w:val="00872A22"/>
    <w:rsid w:val="00872D80"/>
    <w:rsid w:val="008737AE"/>
    <w:rsid w:val="00873D48"/>
    <w:rsid w:val="008747DD"/>
    <w:rsid w:val="00874C25"/>
    <w:rsid w:val="00874E85"/>
    <w:rsid w:val="008750BE"/>
    <w:rsid w:val="00875C32"/>
    <w:rsid w:val="00875CA5"/>
    <w:rsid w:val="00875DF4"/>
    <w:rsid w:val="00876468"/>
    <w:rsid w:val="00876538"/>
    <w:rsid w:val="00876E2F"/>
    <w:rsid w:val="0087726B"/>
    <w:rsid w:val="00877B99"/>
    <w:rsid w:val="008800A9"/>
    <w:rsid w:val="00880212"/>
    <w:rsid w:val="008819C1"/>
    <w:rsid w:val="00881B7C"/>
    <w:rsid w:val="00882F73"/>
    <w:rsid w:val="008857A4"/>
    <w:rsid w:val="00886082"/>
    <w:rsid w:val="00886C8F"/>
    <w:rsid w:val="00886FE0"/>
    <w:rsid w:val="00887027"/>
    <w:rsid w:val="00887103"/>
    <w:rsid w:val="00887758"/>
    <w:rsid w:val="00887D57"/>
    <w:rsid w:val="00890B0C"/>
    <w:rsid w:val="0089149E"/>
    <w:rsid w:val="00891AD3"/>
    <w:rsid w:val="00892D6C"/>
    <w:rsid w:val="00892E4C"/>
    <w:rsid w:val="00892FCF"/>
    <w:rsid w:val="00893226"/>
    <w:rsid w:val="0089446D"/>
    <w:rsid w:val="00894BFE"/>
    <w:rsid w:val="008956D2"/>
    <w:rsid w:val="00896B22"/>
    <w:rsid w:val="00896E66"/>
    <w:rsid w:val="0089730A"/>
    <w:rsid w:val="00897C66"/>
    <w:rsid w:val="008A022A"/>
    <w:rsid w:val="008A0C25"/>
    <w:rsid w:val="008A3A32"/>
    <w:rsid w:val="008A3AA7"/>
    <w:rsid w:val="008A4989"/>
    <w:rsid w:val="008A4D9D"/>
    <w:rsid w:val="008A4DE3"/>
    <w:rsid w:val="008A5365"/>
    <w:rsid w:val="008B0987"/>
    <w:rsid w:val="008B16BE"/>
    <w:rsid w:val="008B20FB"/>
    <w:rsid w:val="008B313E"/>
    <w:rsid w:val="008B33E5"/>
    <w:rsid w:val="008B3A1D"/>
    <w:rsid w:val="008B4AF5"/>
    <w:rsid w:val="008B55C9"/>
    <w:rsid w:val="008B5D03"/>
    <w:rsid w:val="008B6E93"/>
    <w:rsid w:val="008B71B1"/>
    <w:rsid w:val="008B72C7"/>
    <w:rsid w:val="008B77BA"/>
    <w:rsid w:val="008B7C59"/>
    <w:rsid w:val="008B7D4E"/>
    <w:rsid w:val="008C0740"/>
    <w:rsid w:val="008C1234"/>
    <w:rsid w:val="008C1332"/>
    <w:rsid w:val="008C2BF7"/>
    <w:rsid w:val="008C2E19"/>
    <w:rsid w:val="008C4B86"/>
    <w:rsid w:val="008C72BF"/>
    <w:rsid w:val="008D031B"/>
    <w:rsid w:val="008D03B7"/>
    <w:rsid w:val="008D063D"/>
    <w:rsid w:val="008D2239"/>
    <w:rsid w:val="008D23DE"/>
    <w:rsid w:val="008D2677"/>
    <w:rsid w:val="008D27C2"/>
    <w:rsid w:val="008D29D4"/>
    <w:rsid w:val="008D3E16"/>
    <w:rsid w:val="008D4148"/>
    <w:rsid w:val="008D428B"/>
    <w:rsid w:val="008D59B2"/>
    <w:rsid w:val="008D62AD"/>
    <w:rsid w:val="008D7443"/>
    <w:rsid w:val="008D76D4"/>
    <w:rsid w:val="008E110B"/>
    <w:rsid w:val="008E1F5F"/>
    <w:rsid w:val="008E21FA"/>
    <w:rsid w:val="008E2861"/>
    <w:rsid w:val="008E43B0"/>
    <w:rsid w:val="008E6439"/>
    <w:rsid w:val="008E6B52"/>
    <w:rsid w:val="008E71DB"/>
    <w:rsid w:val="008E74C8"/>
    <w:rsid w:val="008E772A"/>
    <w:rsid w:val="008E7B99"/>
    <w:rsid w:val="008F0118"/>
    <w:rsid w:val="008F035A"/>
    <w:rsid w:val="008F082C"/>
    <w:rsid w:val="008F0F53"/>
    <w:rsid w:val="008F0F94"/>
    <w:rsid w:val="008F1041"/>
    <w:rsid w:val="008F15FE"/>
    <w:rsid w:val="008F1D91"/>
    <w:rsid w:val="008F1DA9"/>
    <w:rsid w:val="008F3217"/>
    <w:rsid w:val="008F3D5C"/>
    <w:rsid w:val="008F402E"/>
    <w:rsid w:val="008F4684"/>
    <w:rsid w:val="008F55DC"/>
    <w:rsid w:val="008F5B49"/>
    <w:rsid w:val="008F660C"/>
    <w:rsid w:val="008F68FB"/>
    <w:rsid w:val="008F6F01"/>
    <w:rsid w:val="008F7121"/>
    <w:rsid w:val="008F766C"/>
    <w:rsid w:val="008F7F73"/>
    <w:rsid w:val="00901787"/>
    <w:rsid w:val="00902292"/>
    <w:rsid w:val="0090248B"/>
    <w:rsid w:val="0090342F"/>
    <w:rsid w:val="00905307"/>
    <w:rsid w:val="00905711"/>
    <w:rsid w:val="00906AA7"/>
    <w:rsid w:val="009073A1"/>
    <w:rsid w:val="009100EB"/>
    <w:rsid w:val="00910211"/>
    <w:rsid w:val="00910811"/>
    <w:rsid w:val="00910A8B"/>
    <w:rsid w:val="00911D4B"/>
    <w:rsid w:val="00911E8E"/>
    <w:rsid w:val="0091395F"/>
    <w:rsid w:val="00913E59"/>
    <w:rsid w:val="00914DC8"/>
    <w:rsid w:val="00915F94"/>
    <w:rsid w:val="009177CA"/>
    <w:rsid w:val="0091786A"/>
    <w:rsid w:val="009178E2"/>
    <w:rsid w:val="00917F92"/>
    <w:rsid w:val="00920D22"/>
    <w:rsid w:val="00921149"/>
    <w:rsid w:val="0092294A"/>
    <w:rsid w:val="00923C27"/>
    <w:rsid w:val="00924362"/>
    <w:rsid w:val="00925EC4"/>
    <w:rsid w:val="00926041"/>
    <w:rsid w:val="009266E0"/>
    <w:rsid w:val="00927166"/>
    <w:rsid w:val="00927317"/>
    <w:rsid w:val="0092799D"/>
    <w:rsid w:val="00927ADE"/>
    <w:rsid w:val="009304F4"/>
    <w:rsid w:val="00930633"/>
    <w:rsid w:val="009323E7"/>
    <w:rsid w:val="009329C2"/>
    <w:rsid w:val="00936515"/>
    <w:rsid w:val="00936A5C"/>
    <w:rsid w:val="00937628"/>
    <w:rsid w:val="0094047C"/>
    <w:rsid w:val="00941885"/>
    <w:rsid w:val="00943217"/>
    <w:rsid w:val="00945250"/>
    <w:rsid w:val="00945B43"/>
    <w:rsid w:val="0095076B"/>
    <w:rsid w:val="00950A8B"/>
    <w:rsid w:val="00951774"/>
    <w:rsid w:val="00953312"/>
    <w:rsid w:val="00953418"/>
    <w:rsid w:val="00953514"/>
    <w:rsid w:val="00955150"/>
    <w:rsid w:val="0095534F"/>
    <w:rsid w:val="00955D13"/>
    <w:rsid w:val="00955DFE"/>
    <w:rsid w:val="00955E7C"/>
    <w:rsid w:val="00957A98"/>
    <w:rsid w:val="00961A2E"/>
    <w:rsid w:val="00963525"/>
    <w:rsid w:val="00963BFE"/>
    <w:rsid w:val="009677EC"/>
    <w:rsid w:val="00970B70"/>
    <w:rsid w:val="009710FF"/>
    <w:rsid w:val="00972292"/>
    <w:rsid w:val="00972BBD"/>
    <w:rsid w:val="0097334F"/>
    <w:rsid w:val="0097370A"/>
    <w:rsid w:val="00974BE7"/>
    <w:rsid w:val="00975212"/>
    <w:rsid w:val="00975746"/>
    <w:rsid w:val="00975E3F"/>
    <w:rsid w:val="00976469"/>
    <w:rsid w:val="00976625"/>
    <w:rsid w:val="009779FC"/>
    <w:rsid w:val="00977C65"/>
    <w:rsid w:val="00981D3A"/>
    <w:rsid w:val="00981D76"/>
    <w:rsid w:val="00981FAE"/>
    <w:rsid w:val="0098212F"/>
    <w:rsid w:val="00984525"/>
    <w:rsid w:val="00984B9A"/>
    <w:rsid w:val="009858D3"/>
    <w:rsid w:val="00986EC7"/>
    <w:rsid w:val="009906D1"/>
    <w:rsid w:val="00991511"/>
    <w:rsid w:val="009922A5"/>
    <w:rsid w:val="00993057"/>
    <w:rsid w:val="00993A1D"/>
    <w:rsid w:val="009941E6"/>
    <w:rsid w:val="0099483A"/>
    <w:rsid w:val="00996A0A"/>
    <w:rsid w:val="00996CB9"/>
    <w:rsid w:val="00997AFC"/>
    <w:rsid w:val="00997B55"/>
    <w:rsid w:val="009A1255"/>
    <w:rsid w:val="009A2A10"/>
    <w:rsid w:val="009A382E"/>
    <w:rsid w:val="009A468B"/>
    <w:rsid w:val="009A5CC2"/>
    <w:rsid w:val="009A72C2"/>
    <w:rsid w:val="009A78A3"/>
    <w:rsid w:val="009A7A33"/>
    <w:rsid w:val="009B0164"/>
    <w:rsid w:val="009B1249"/>
    <w:rsid w:val="009B16A7"/>
    <w:rsid w:val="009B18E4"/>
    <w:rsid w:val="009B1B68"/>
    <w:rsid w:val="009B22BB"/>
    <w:rsid w:val="009B267B"/>
    <w:rsid w:val="009B30B6"/>
    <w:rsid w:val="009B4D6A"/>
    <w:rsid w:val="009B6EE5"/>
    <w:rsid w:val="009B7B74"/>
    <w:rsid w:val="009B7C64"/>
    <w:rsid w:val="009C2E11"/>
    <w:rsid w:val="009C3120"/>
    <w:rsid w:val="009C346D"/>
    <w:rsid w:val="009C3BCB"/>
    <w:rsid w:val="009C628A"/>
    <w:rsid w:val="009C7820"/>
    <w:rsid w:val="009C7B9D"/>
    <w:rsid w:val="009D13F9"/>
    <w:rsid w:val="009D1FF4"/>
    <w:rsid w:val="009D2C2B"/>
    <w:rsid w:val="009D3F80"/>
    <w:rsid w:val="009D4DE0"/>
    <w:rsid w:val="009D59B9"/>
    <w:rsid w:val="009D5F59"/>
    <w:rsid w:val="009D6804"/>
    <w:rsid w:val="009D7686"/>
    <w:rsid w:val="009D7B1B"/>
    <w:rsid w:val="009E0ED5"/>
    <w:rsid w:val="009E0F38"/>
    <w:rsid w:val="009E1333"/>
    <w:rsid w:val="009E2236"/>
    <w:rsid w:val="009E2D10"/>
    <w:rsid w:val="009E3534"/>
    <w:rsid w:val="009E5266"/>
    <w:rsid w:val="009E5860"/>
    <w:rsid w:val="009E6659"/>
    <w:rsid w:val="009E6C2A"/>
    <w:rsid w:val="009F0059"/>
    <w:rsid w:val="009F0B17"/>
    <w:rsid w:val="009F1B28"/>
    <w:rsid w:val="009F1B3F"/>
    <w:rsid w:val="009F2654"/>
    <w:rsid w:val="009F2DA1"/>
    <w:rsid w:val="009F328F"/>
    <w:rsid w:val="009F5ED5"/>
    <w:rsid w:val="009F5FD9"/>
    <w:rsid w:val="009F71B4"/>
    <w:rsid w:val="009F7510"/>
    <w:rsid w:val="009F7C35"/>
    <w:rsid w:val="009F7FCE"/>
    <w:rsid w:val="00A00D45"/>
    <w:rsid w:val="00A0161E"/>
    <w:rsid w:val="00A01D77"/>
    <w:rsid w:val="00A02C4B"/>
    <w:rsid w:val="00A0440F"/>
    <w:rsid w:val="00A04E74"/>
    <w:rsid w:val="00A0544C"/>
    <w:rsid w:val="00A0577E"/>
    <w:rsid w:val="00A058B0"/>
    <w:rsid w:val="00A05EA2"/>
    <w:rsid w:val="00A05F5F"/>
    <w:rsid w:val="00A05F98"/>
    <w:rsid w:val="00A06564"/>
    <w:rsid w:val="00A06A55"/>
    <w:rsid w:val="00A078A1"/>
    <w:rsid w:val="00A10F06"/>
    <w:rsid w:val="00A11613"/>
    <w:rsid w:val="00A1165F"/>
    <w:rsid w:val="00A11850"/>
    <w:rsid w:val="00A11B33"/>
    <w:rsid w:val="00A11EFE"/>
    <w:rsid w:val="00A1201A"/>
    <w:rsid w:val="00A13A08"/>
    <w:rsid w:val="00A13D5C"/>
    <w:rsid w:val="00A1433F"/>
    <w:rsid w:val="00A14600"/>
    <w:rsid w:val="00A15317"/>
    <w:rsid w:val="00A15834"/>
    <w:rsid w:val="00A16050"/>
    <w:rsid w:val="00A16915"/>
    <w:rsid w:val="00A17A86"/>
    <w:rsid w:val="00A20AA5"/>
    <w:rsid w:val="00A211A7"/>
    <w:rsid w:val="00A2171B"/>
    <w:rsid w:val="00A21A37"/>
    <w:rsid w:val="00A21C60"/>
    <w:rsid w:val="00A22D96"/>
    <w:rsid w:val="00A22F48"/>
    <w:rsid w:val="00A2304B"/>
    <w:rsid w:val="00A23E77"/>
    <w:rsid w:val="00A241A5"/>
    <w:rsid w:val="00A24A5F"/>
    <w:rsid w:val="00A24DA9"/>
    <w:rsid w:val="00A24F9F"/>
    <w:rsid w:val="00A251D4"/>
    <w:rsid w:val="00A25C28"/>
    <w:rsid w:val="00A268E6"/>
    <w:rsid w:val="00A269F8"/>
    <w:rsid w:val="00A26A2D"/>
    <w:rsid w:val="00A270A4"/>
    <w:rsid w:val="00A273CE"/>
    <w:rsid w:val="00A3023F"/>
    <w:rsid w:val="00A30638"/>
    <w:rsid w:val="00A30829"/>
    <w:rsid w:val="00A3152A"/>
    <w:rsid w:val="00A31577"/>
    <w:rsid w:val="00A33021"/>
    <w:rsid w:val="00A337DD"/>
    <w:rsid w:val="00A33B38"/>
    <w:rsid w:val="00A34635"/>
    <w:rsid w:val="00A34655"/>
    <w:rsid w:val="00A348EC"/>
    <w:rsid w:val="00A368D4"/>
    <w:rsid w:val="00A36B82"/>
    <w:rsid w:val="00A36D72"/>
    <w:rsid w:val="00A36EEF"/>
    <w:rsid w:val="00A36F2B"/>
    <w:rsid w:val="00A37358"/>
    <w:rsid w:val="00A40D88"/>
    <w:rsid w:val="00A4119D"/>
    <w:rsid w:val="00A41962"/>
    <w:rsid w:val="00A41B8C"/>
    <w:rsid w:val="00A44070"/>
    <w:rsid w:val="00A447E9"/>
    <w:rsid w:val="00A44C8F"/>
    <w:rsid w:val="00A45298"/>
    <w:rsid w:val="00A46203"/>
    <w:rsid w:val="00A46C48"/>
    <w:rsid w:val="00A47296"/>
    <w:rsid w:val="00A47EAF"/>
    <w:rsid w:val="00A5190F"/>
    <w:rsid w:val="00A52025"/>
    <w:rsid w:val="00A5223F"/>
    <w:rsid w:val="00A52FA3"/>
    <w:rsid w:val="00A53A74"/>
    <w:rsid w:val="00A53D0B"/>
    <w:rsid w:val="00A555D2"/>
    <w:rsid w:val="00A56017"/>
    <w:rsid w:val="00A56B0E"/>
    <w:rsid w:val="00A57541"/>
    <w:rsid w:val="00A57631"/>
    <w:rsid w:val="00A60238"/>
    <w:rsid w:val="00A60989"/>
    <w:rsid w:val="00A60F30"/>
    <w:rsid w:val="00A62BD0"/>
    <w:rsid w:val="00A6326E"/>
    <w:rsid w:val="00A63B60"/>
    <w:rsid w:val="00A64056"/>
    <w:rsid w:val="00A641D0"/>
    <w:rsid w:val="00A648F1"/>
    <w:rsid w:val="00A64F7A"/>
    <w:rsid w:val="00A662D4"/>
    <w:rsid w:val="00A66828"/>
    <w:rsid w:val="00A67518"/>
    <w:rsid w:val="00A679F2"/>
    <w:rsid w:val="00A72991"/>
    <w:rsid w:val="00A742B8"/>
    <w:rsid w:val="00A74328"/>
    <w:rsid w:val="00A751AE"/>
    <w:rsid w:val="00A75824"/>
    <w:rsid w:val="00A75FB4"/>
    <w:rsid w:val="00A77475"/>
    <w:rsid w:val="00A80E05"/>
    <w:rsid w:val="00A818E8"/>
    <w:rsid w:val="00A82231"/>
    <w:rsid w:val="00A83D9F"/>
    <w:rsid w:val="00A85214"/>
    <w:rsid w:val="00A852C6"/>
    <w:rsid w:val="00A8609F"/>
    <w:rsid w:val="00A8713D"/>
    <w:rsid w:val="00A875D6"/>
    <w:rsid w:val="00A9093B"/>
    <w:rsid w:val="00A90C6B"/>
    <w:rsid w:val="00A9100C"/>
    <w:rsid w:val="00A93828"/>
    <w:rsid w:val="00A94341"/>
    <w:rsid w:val="00A96059"/>
    <w:rsid w:val="00A9672D"/>
    <w:rsid w:val="00A96E54"/>
    <w:rsid w:val="00A9767B"/>
    <w:rsid w:val="00A97800"/>
    <w:rsid w:val="00A97CF6"/>
    <w:rsid w:val="00A97D8B"/>
    <w:rsid w:val="00AA09D6"/>
    <w:rsid w:val="00AA1E09"/>
    <w:rsid w:val="00AA1FA3"/>
    <w:rsid w:val="00AA4358"/>
    <w:rsid w:val="00AA4619"/>
    <w:rsid w:val="00AA47DA"/>
    <w:rsid w:val="00AA4DF8"/>
    <w:rsid w:val="00AA6927"/>
    <w:rsid w:val="00AB0CF2"/>
    <w:rsid w:val="00AB1166"/>
    <w:rsid w:val="00AB14D8"/>
    <w:rsid w:val="00AB18A5"/>
    <w:rsid w:val="00AB3327"/>
    <w:rsid w:val="00AB3F9E"/>
    <w:rsid w:val="00AB40D1"/>
    <w:rsid w:val="00AB4DB5"/>
    <w:rsid w:val="00AB4F5B"/>
    <w:rsid w:val="00AB524C"/>
    <w:rsid w:val="00AB7DB6"/>
    <w:rsid w:val="00AC053C"/>
    <w:rsid w:val="00AC1891"/>
    <w:rsid w:val="00AC3308"/>
    <w:rsid w:val="00AC336B"/>
    <w:rsid w:val="00AC3D0D"/>
    <w:rsid w:val="00AC41DA"/>
    <w:rsid w:val="00AC49D7"/>
    <w:rsid w:val="00AC53D4"/>
    <w:rsid w:val="00AC612A"/>
    <w:rsid w:val="00AC6246"/>
    <w:rsid w:val="00AC799C"/>
    <w:rsid w:val="00AD098F"/>
    <w:rsid w:val="00AD140C"/>
    <w:rsid w:val="00AD1F62"/>
    <w:rsid w:val="00AD38B7"/>
    <w:rsid w:val="00AD4230"/>
    <w:rsid w:val="00AD4436"/>
    <w:rsid w:val="00AD495E"/>
    <w:rsid w:val="00AD5696"/>
    <w:rsid w:val="00AD6881"/>
    <w:rsid w:val="00AD6D32"/>
    <w:rsid w:val="00AD6ED2"/>
    <w:rsid w:val="00AD7260"/>
    <w:rsid w:val="00AE24DC"/>
    <w:rsid w:val="00AE24F6"/>
    <w:rsid w:val="00AE2E20"/>
    <w:rsid w:val="00AE3118"/>
    <w:rsid w:val="00AE33D1"/>
    <w:rsid w:val="00AE50B4"/>
    <w:rsid w:val="00AE6C53"/>
    <w:rsid w:val="00AE7B03"/>
    <w:rsid w:val="00AE7BF2"/>
    <w:rsid w:val="00AF0472"/>
    <w:rsid w:val="00AF09CA"/>
    <w:rsid w:val="00AF1E78"/>
    <w:rsid w:val="00AF37BB"/>
    <w:rsid w:val="00AF38E5"/>
    <w:rsid w:val="00AF4879"/>
    <w:rsid w:val="00AF4F71"/>
    <w:rsid w:val="00AF51A0"/>
    <w:rsid w:val="00AF583E"/>
    <w:rsid w:val="00AF6838"/>
    <w:rsid w:val="00AF738B"/>
    <w:rsid w:val="00AF7CF4"/>
    <w:rsid w:val="00B004BC"/>
    <w:rsid w:val="00B0335B"/>
    <w:rsid w:val="00B033E4"/>
    <w:rsid w:val="00B038BD"/>
    <w:rsid w:val="00B05F45"/>
    <w:rsid w:val="00B11071"/>
    <w:rsid w:val="00B122EE"/>
    <w:rsid w:val="00B14335"/>
    <w:rsid w:val="00B143A5"/>
    <w:rsid w:val="00B14535"/>
    <w:rsid w:val="00B1456B"/>
    <w:rsid w:val="00B15F1A"/>
    <w:rsid w:val="00B16ABB"/>
    <w:rsid w:val="00B16CD9"/>
    <w:rsid w:val="00B1708A"/>
    <w:rsid w:val="00B178D1"/>
    <w:rsid w:val="00B20964"/>
    <w:rsid w:val="00B20993"/>
    <w:rsid w:val="00B20B20"/>
    <w:rsid w:val="00B2153D"/>
    <w:rsid w:val="00B22524"/>
    <w:rsid w:val="00B225C4"/>
    <w:rsid w:val="00B22ECC"/>
    <w:rsid w:val="00B2364F"/>
    <w:rsid w:val="00B2403A"/>
    <w:rsid w:val="00B24389"/>
    <w:rsid w:val="00B2481A"/>
    <w:rsid w:val="00B26E1F"/>
    <w:rsid w:val="00B2753C"/>
    <w:rsid w:val="00B27AF7"/>
    <w:rsid w:val="00B27BEE"/>
    <w:rsid w:val="00B304BF"/>
    <w:rsid w:val="00B31164"/>
    <w:rsid w:val="00B312A6"/>
    <w:rsid w:val="00B31C20"/>
    <w:rsid w:val="00B33D5A"/>
    <w:rsid w:val="00B3471A"/>
    <w:rsid w:val="00B35289"/>
    <w:rsid w:val="00B374A4"/>
    <w:rsid w:val="00B37EBE"/>
    <w:rsid w:val="00B4231F"/>
    <w:rsid w:val="00B43203"/>
    <w:rsid w:val="00B43F25"/>
    <w:rsid w:val="00B448F3"/>
    <w:rsid w:val="00B452AA"/>
    <w:rsid w:val="00B45E39"/>
    <w:rsid w:val="00B46F4B"/>
    <w:rsid w:val="00B47C11"/>
    <w:rsid w:val="00B503FC"/>
    <w:rsid w:val="00B511F8"/>
    <w:rsid w:val="00B51750"/>
    <w:rsid w:val="00B52EE7"/>
    <w:rsid w:val="00B5544B"/>
    <w:rsid w:val="00B557D7"/>
    <w:rsid w:val="00B55857"/>
    <w:rsid w:val="00B55B9A"/>
    <w:rsid w:val="00B60D23"/>
    <w:rsid w:val="00B61453"/>
    <w:rsid w:val="00B62A76"/>
    <w:rsid w:val="00B6441B"/>
    <w:rsid w:val="00B66516"/>
    <w:rsid w:val="00B6794F"/>
    <w:rsid w:val="00B71467"/>
    <w:rsid w:val="00B71B84"/>
    <w:rsid w:val="00B74503"/>
    <w:rsid w:val="00B76357"/>
    <w:rsid w:val="00B77A08"/>
    <w:rsid w:val="00B77EB7"/>
    <w:rsid w:val="00B815E8"/>
    <w:rsid w:val="00B81A91"/>
    <w:rsid w:val="00B81E83"/>
    <w:rsid w:val="00B83ED1"/>
    <w:rsid w:val="00B84107"/>
    <w:rsid w:val="00B84986"/>
    <w:rsid w:val="00B84C25"/>
    <w:rsid w:val="00B850DA"/>
    <w:rsid w:val="00B857A5"/>
    <w:rsid w:val="00B85A04"/>
    <w:rsid w:val="00B8603E"/>
    <w:rsid w:val="00B87644"/>
    <w:rsid w:val="00B877AA"/>
    <w:rsid w:val="00B903F1"/>
    <w:rsid w:val="00B91179"/>
    <w:rsid w:val="00B9174D"/>
    <w:rsid w:val="00B91F8E"/>
    <w:rsid w:val="00B92E15"/>
    <w:rsid w:val="00B9390C"/>
    <w:rsid w:val="00B94F86"/>
    <w:rsid w:val="00B954B1"/>
    <w:rsid w:val="00B96D05"/>
    <w:rsid w:val="00BA043E"/>
    <w:rsid w:val="00BA125C"/>
    <w:rsid w:val="00BA2165"/>
    <w:rsid w:val="00BA22F9"/>
    <w:rsid w:val="00BA2B6D"/>
    <w:rsid w:val="00BA3140"/>
    <w:rsid w:val="00BA3208"/>
    <w:rsid w:val="00BA3FF6"/>
    <w:rsid w:val="00BA4859"/>
    <w:rsid w:val="00BA564B"/>
    <w:rsid w:val="00BA680C"/>
    <w:rsid w:val="00BA7017"/>
    <w:rsid w:val="00BA7049"/>
    <w:rsid w:val="00BA7688"/>
    <w:rsid w:val="00BB0F34"/>
    <w:rsid w:val="00BB2426"/>
    <w:rsid w:val="00BB36B9"/>
    <w:rsid w:val="00BB433E"/>
    <w:rsid w:val="00BB4CD0"/>
    <w:rsid w:val="00BB4D81"/>
    <w:rsid w:val="00BB592E"/>
    <w:rsid w:val="00BB6CD5"/>
    <w:rsid w:val="00BB6D7B"/>
    <w:rsid w:val="00BB6DFF"/>
    <w:rsid w:val="00BB716D"/>
    <w:rsid w:val="00BB756A"/>
    <w:rsid w:val="00BC05A0"/>
    <w:rsid w:val="00BC07E6"/>
    <w:rsid w:val="00BC14AF"/>
    <w:rsid w:val="00BC1579"/>
    <w:rsid w:val="00BC1829"/>
    <w:rsid w:val="00BC3ABE"/>
    <w:rsid w:val="00BC4B8C"/>
    <w:rsid w:val="00BC4DCF"/>
    <w:rsid w:val="00BC5139"/>
    <w:rsid w:val="00BC54B2"/>
    <w:rsid w:val="00BC54F3"/>
    <w:rsid w:val="00BC599C"/>
    <w:rsid w:val="00BC59E6"/>
    <w:rsid w:val="00BC6756"/>
    <w:rsid w:val="00BD005F"/>
    <w:rsid w:val="00BD1094"/>
    <w:rsid w:val="00BD15D0"/>
    <w:rsid w:val="00BD17EB"/>
    <w:rsid w:val="00BD2B55"/>
    <w:rsid w:val="00BD33DB"/>
    <w:rsid w:val="00BD364E"/>
    <w:rsid w:val="00BD57E9"/>
    <w:rsid w:val="00BD5904"/>
    <w:rsid w:val="00BD688D"/>
    <w:rsid w:val="00BE03C0"/>
    <w:rsid w:val="00BE12B1"/>
    <w:rsid w:val="00BE1CEB"/>
    <w:rsid w:val="00BE28F9"/>
    <w:rsid w:val="00BE2ED0"/>
    <w:rsid w:val="00BE33AA"/>
    <w:rsid w:val="00BE466C"/>
    <w:rsid w:val="00BE6A02"/>
    <w:rsid w:val="00BE784F"/>
    <w:rsid w:val="00BF0180"/>
    <w:rsid w:val="00BF11D7"/>
    <w:rsid w:val="00BF23E7"/>
    <w:rsid w:val="00BF261B"/>
    <w:rsid w:val="00BF4060"/>
    <w:rsid w:val="00BF4125"/>
    <w:rsid w:val="00BF45C1"/>
    <w:rsid w:val="00BF54BA"/>
    <w:rsid w:val="00BF5955"/>
    <w:rsid w:val="00BF6216"/>
    <w:rsid w:val="00C000A5"/>
    <w:rsid w:val="00C00250"/>
    <w:rsid w:val="00C006A9"/>
    <w:rsid w:val="00C00CC3"/>
    <w:rsid w:val="00C017FF"/>
    <w:rsid w:val="00C01FD0"/>
    <w:rsid w:val="00C0346E"/>
    <w:rsid w:val="00C03D22"/>
    <w:rsid w:val="00C047D9"/>
    <w:rsid w:val="00C04836"/>
    <w:rsid w:val="00C04C98"/>
    <w:rsid w:val="00C04DC6"/>
    <w:rsid w:val="00C04EE4"/>
    <w:rsid w:val="00C04F40"/>
    <w:rsid w:val="00C05562"/>
    <w:rsid w:val="00C059BA"/>
    <w:rsid w:val="00C06839"/>
    <w:rsid w:val="00C06E6C"/>
    <w:rsid w:val="00C06FE0"/>
    <w:rsid w:val="00C1008B"/>
    <w:rsid w:val="00C10692"/>
    <w:rsid w:val="00C116FC"/>
    <w:rsid w:val="00C11B6D"/>
    <w:rsid w:val="00C11B7A"/>
    <w:rsid w:val="00C121A7"/>
    <w:rsid w:val="00C122EB"/>
    <w:rsid w:val="00C128C7"/>
    <w:rsid w:val="00C13538"/>
    <w:rsid w:val="00C14210"/>
    <w:rsid w:val="00C14BB3"/>
    <w:rsid w:val="00C17802"/>
    <w:rsid w:val="00C207E7"/>
    <w:rsid w:val="00C20957"/>
    <w:rsid w:val="00C209FF"/>
    <w:rsid w:val="00C22289"/>
    <w:rsid w:val="00C234A1"/>
    <w:rsid w:val="00C23F90"/>
    <w:rsid w:val="00C23FFD"/>
    <w:rsid w:val="00C24CC2"/>
    <w:rsid w:val="00C25F86"/>
    <w:rsid w:val="00C2696B"/>
    <w:rsid w:val="00C26EDF"/>
    <w:rsid w:val="00C27198"/>
    <w:rsid w:val="00C30437"/>
    <w:rsid w:val="00C31AB6"/>
    <w:rsid w:val="00C31EC5"/>
    <w:rsid w:val="00C324BE"/>
    <w:rsid w:val="00C3311D"/>
    <w:rsid w:val="00C3340E"/>
    <w:rsid w:val="00C33BD1"/>
    <w:rsid w:val="00C33E38"/>
    <w:rsid w:val="00C344D9"/>
    <w:rsid w:val="00C34EE1"/>
    <w:rsid w:val="00C35CA4"/>
    <w:rsid w:val="00C372CA"/>
    <w:rsid w:val="00C407A0"/>
    <w:rsid w:val="00C4126D"/>
    <w:rsid w:val="00C414B6"/>
    <w:rsid w:val="00C419D6"/>
    <w:rsid w:val="00C420F3"/>
    <w:rsid w:val="00C422C2"/>
    <w:rsid w:val="00C43616"/>
    <w:rsid w:val="00C4452E"/>
    <w:rsid w:val="00C45E71"/>
    <w:rsid w:val="00C46833"/>
    <w:rsid w:val="00C46B51"/>
    <w:rsid w:val="00C46C67"/>
    <w:rsid w:val="00C46DD2"/>
    <w:rsid w:val="00C46E27"/>
    <w:rsid w:val="00C50631"/>
    <w:rsid w:val="00C5180B"/>
    <w:rsid w:val="00C51971"/>
    <w:rsid w:val="00C51995"/>
    <w:rsid w:val="00C51C8B"/>
    <w:rsid w:val="00C52445"/>
    <w:rsid w:val="00C52A2A"/>
    <w:rsid w:val="00C52BFB"/>
    <w:rsid w:val="00C53975"/>
    <w:rsid w:val="00C53F45"/>
    <w:rsid w:val="00C53F9B"/>
    <w:rsid w:val="00C5410C"/>
    <w:rsid w:val="00C54287"/>
    <w:rsid w:val="00C544C8"/>
    <w:rsid w:val="00C54645"/>
    <w:rsid w:val="00C559BD"/>
    <w:rsid w:val="00C56DDC"/>
    <w:rsid w:val="00C573BE"/>
    <w:rsid w:val="00C574BE"/>
    <w:rsid w:val="00C600BA"/>
    <w:rsid w:val="00C604A6"/>
    <w:rsid w:val="00C60DE7"/>
    <w:rsid w:val="00C6192C"/>
    <w:rsid w:val="00C63502"/>
    <w:rsid w:val="00C63C3C"/>
    <w:rsid w:val="00C6466C"/>
    <w:rsid w:val="00C64894"/>
    <w:rsid w:val="00C64A1E"/>
    <w:rsid w:val="00C64F19"/>
    <w:rsid w:val="00C678A5"/>
    <w:rsid w:val="00C67C8F"/>
    <w:rsid w:val="00C67D3F"/>
    <w:rsid w:val="00C72095"/>
    <w:rsid w:val="00C725F9"/>
    <w:rsid w:val="00C72707"/>
    <w:rsid w:val="00C72C81"/>
    <w:rsid w:val="00C76403"/>
    <w:rsid w:val="00C77217"/>
    <w:rsid w:val="00C77732"/>
    <w:rsid w:val="00C81C69"/>
    <w:rsid w:val="00C81F0E"/>
    <w:rsid w:val="00C82073"/>
    <w:rsid w:val="00C8318D"/>
    <w:rsid w:val="00C8537C"/>
    <w:rsid w:val="00C86341"/>
    <w:rsid w:val="00C86A68"/>
    <w:rsid w:val="00C86D8F"/>
    <w:rsid w:val="00C871C0"/>
    <w:rsid w:val="00C904D1"/>
    <w:rsid w:val="00C90858"/>
    <w:rsid w:val="00C90E15"/>
    <w:rsid w:val="00C923AC"/>
    <w:rsid w:val="00C9246E"/>
    <w:rsid w:val="00C92542"/>
    <w:rsid w:val="00C929A3"/>
    <w:rsid w:val="00C9300F"/>
    <w:rsid w:val="00C931BB"/>
    <w:rsid w:val="00C93425"/>
    <w:rsid w:val="00C9360A"/>
    <w:rsid w:val="00C94B5B"/>
    <w:rsid w:val="00C95E20"/>
    <w:rsid w:val="00C96AEF"/>
    <w:rsid w:val="00C97AAA"/>
    <w:rsid w:val="00C97EEC"/>
    <w:rsid w:val="00CA00B6"/>
    <w:rsid w:val="00CA168B"/>
    <w:rsid w:val="00CA2691"/>
    <w:rsid w:val="00CA2F6F"/>
    <w:rsid w:val="00CA3915"/>
    <w:rsid w:val="00CA3AC4"/>
    <w:rsid w:val="00CA4BD7"/>
    <w:rsid w:val="00CA7BF2"/>
    <w:rsid w:val="00CB10CC"/>
    <w:rsid w:val="00CB19B9"/>
    <w:rsid w:val="00CB1DF9"/>
    <w:rsid w:val="00CB24EC"/>
    <w:rsid w:val="00CB26C0"/>
    <w:rsid w:val="00CB26F1"/>
    <w:rsid w:val="00CB277D"/>
    <w:rsid w:val="00CB27F1"/>
    <w:rsid w:val="00CB3250"/>
    <w:rsid w:val="00CB3F9A"/>
    <w:rsid w:val="00CB48C2"/>
    <w:rsid w:val="00CB564B"/>
    <w:rsid w:val="00CB56FE"/>
    <w:rsid w:val="00CB6036"/>
    <w:rsid w:val="00CB6F4E"/>
    <w:rsid w:val="00CB7C6B"/>
    <w:rsid w:val="00CC09E8"/>
    <w:rsid w:val="00CC1791"/>
    <w:rsid w:val="00CC1F8D"/>
    <w:rsid w:val="00CC2C81"/>
    <w:rsid w:val="00CC3F4E"/>
    <w:rsid w:val="00CC47E2"/>
    <w:rsid w:val="00CC4E1F"/>
    <w:rsid w:val="00CC4E8F"/>
    <w:rsid w:val="00CC5183"/>
    <w:rsid w:val="00CC5481"/>
    <w:rsid w:val="00CC5540"/>
    <w:rsid w:val="00CC5D22"/>
    <w:rsid w:val="00CC680E"/>
    <w:rsid w:val="00CC741C"/>
    <w:rsid w:val="00CC7C33"/>
    <w:rsid w:val="00CD053A"/>
    <w:rsid w:val="00CD135A"/>
    <w:rsid w:val="00CD3C3F"/>
    <w:rsid w:val="00CD4334"/>
    <w:rsid w:val="00CD4478"/>
    <w:rsid w:val="00CD6577"/>
    <w:rsid w:val="00CD7434"/>
    <w:rsid w:val="00CE1CDE"/>
    <w:rsid w:val="00CE248E"/>
    <w:rsid w:val="00CE25D1"/>
    <w:rsid w:val="00CE30B3"/>
    <w:rsid w:val="00CE3AC1"/>
    <w:rsid w:val="00CE56DA"/>
    <w:rsid w:val="00CE5F00"/>
    <w:rsid w:val="00CE71C2"/>
    <w:rsid w:val="00CE738F"/>
    <w:rsid w:val="00CF15C5"/>
    <w:rsid w:val="00CF2693"/>
    <w:rsid w:val="00CF34A2"/>
    <w:rsid w:val="00CF3FED"/>
    <w:rsid w:val="00CF4AA9"/>
    <w:rsid w:val="00CF4D1B"/>
    <w:rsid w:val="00CF6423"/>
    <w:rsid w:val="00CF6585"/>
    <w:rsid w:val="00CF695F"/>
    <w:rsid w:val="00CF718E"/>
    <w:rsid w:val="00CF720B"/>
    <w:rsid w:val="00CF732E"/>
    <w:rsid w:val="00D00222"/>
    <w:rsid w:val="00D00AB6"/>
    <w:rsid w:val="00D0500C"/>
    <w:rsid w:val="00D052FE"/>
    <w:rsid w:val="00D0574F"/>
    <w:rsid w:val="00D06BD9"/>
    <w:rsid w:val="00D06C4C"/>
    <w:rsid w:val="00D07290"/>
    <w:rsid w:val="00D07357"/>
    <w:rsid w:val="00D07C2F"/>
    <w:rsid w:val="00D10D92"/>
    <w:rsid w:val="00D10FD2"/>
    <w:rsid w:val="00D11649"/>
    <w:rsid w:val="00D11E90"/>
    <w:rsid w:val="00D11EBC"/>
    <w:rsid w:val="00D127E1"/>
    <w:rsid w:val="00D14B28"/>
    <w:rsid w:val="00D14E4D"/>
    <w:rsid w:val="00D16B85"/>
    <w:rsid w:val="00D17AA4"/>
    <w:rsid w:val="00D17C67"/>
    <w:rsid w:val="00D205B6"/>
    <w:rsid w:val="00D212A5"/>
    <w:rsid w:val="00D21DE6"/>
    <w:rsid w:val="00D23363"/>
    <w:rsid w:val="00D23ED4"/>
    <w:rsid w:val="00D245EF"/>
    <w:rsid w:val="00D25E21"/>
    <w:rsid w:val="00D26BCC"/>
    <w:rsid w:val="00D27790"/>
    <w:rsid w:val="00D302C1"/>
    <w:rsid w:val="00D31D9C"/>
    <w:rsid w:val="00D32725"/>
    <w:rsid w:val="00D328F1"/>
    <w:rsid w:val="00D335A7"/>
    <w:rsid w:val="00D33E96"/>
    <w:rsid w:val="00D34BD3"/>
    <w:rsid w:val="00D34CE0"/>
    <w:rsid w:val="00D3576D"/>
    <w:rsid w:val="00D35AE9"/>
    <w:rsid w:val="00D4034D"/>
    <w:rsid w:val="00D4120C"/>
    <w:rsid w:val="00D41947"/>
    <w:rsid w:val="00D42801"/>
    <w:rsid w:val="00D43632"/>
    <w:rsid w:val="00D456C5"/>
    <w:rsid w:val="00D461BD"/>
    <w:rsid w:val="00D46523"/>
    <w:rsid w:val="00D46C84"/>
    <w:rsid w:val="00D538DD"/>
    <w:rsid w:val="00D53901"/>
    <w:rsid w:val="00D5492C"/>
    <w:rsid w:val="00D55082"/>
    <w:rsid w:val="00D5792E"/>
    <w:rsid w:val="00D57B07"/>
    <w:rsid w:val="00D57BF6"/>
    <w:rsid w:val="00D611EE"/>
    <w:rsid w:val="00D61AFB"/>
    <w:rsid w:val="00D61BAF"/>
    <w:rsid w:val="00D61C78"/>
    <w:rsid w:val="00D61DC4"/>
    <w:rsid w:val="00D61F04"/>
    <w:rsid w:val="00D62138"/>
    <w:rsid w:val="00D623AC"/>
    <w:rsid w:val="00D625AD"/>
    <w:rsid w:val="00D63BD5"/>
    <w:rsid w:val="00D63D0E"/>
    <w:rsid w:val="00D6413A"/>
    <w:rsid w:val="00D642C7"/>
    <w:rsid w:val="00D646DF"/>
    <w:rsid w:val="00D64D18"/>
    <w:rsid w:val="00D6616E"/>
    <w:rsid w:val="00D665AA"/>
    <w:rsid w:val="00D66C1A"/>
    <w:rsid w:val="00D67019"/>
    <w:rsid w:val="00D67C25"/>
    <w:rsid w:val="00D70A8A"/>
    <w:rsid w:val="00D7154F"/>
    <w:rsid w:val="00D71A89"/>
    <w:rsid w:val="00D71BBD"/>
    <w:rsid w:val="00D73D8E"/>
    <w:rsid w:val="00D73EEE"/>
    <w:rsid w:val="00D740A5"/>
    <w:rsid w:val="00D74491"/>
    <w:rsid w:val="00D749C2"/>
    <w:rsid w:val="00D7578E"/>
    <w:rsid w:val="00D7647A"/>
    <w:rsid w:val="00D77980"/>
    <w:rsid w:val="00D822E4"/>
    <w:rsid w:val="00D827C9"/>
    <w:rsid w:val="00D83D82"/>
    <w:rsid w:val="00D843B9"/>
    <w:rsid w:val="00D85397"/>
    <w:rsid w:val="00D8594E"/>
    <w:rsid w:val="00D85E48"/>
    <w:rsid w:val="00D860C2"/>
    <w:rsid w:val="00D90EE2"/>
    <w:rsid w:val="00D91E6C"/>
    <w:rsid w:val="00D92586"/>
    <w:rsid w:val="00D9300B"/>
    <w:rsid w:val="00D930FD"/>
    <w:rsid w:val="00D946E6"/>
    <w:rsid w:val="00D955ED"/>
    <w:rsid w:val="00D959DA"/>
    <w:rsid w:val="00D95B00"/>
    <w:rsid w:val="00D960F8"/>
    <w:rsid w:val="00D96BBF"/>
    <w:rsid w:val="00D9739B"/>
    <w:rsid w:val="00DA105E"/>
    <w:rsid w:val="00DA114C"/>
    <w:rsid w:val="00DA122B"/>
    <w:rsid w:val="00DA1EF5"/>
    <w:rsid w:val="00DA2BB3"/>
    <w:rsid w:val="00DA2FF2"/>
    <w:rsid w:val="00DA3B64"/>
    <w:rsid w:val="00DA4387"/>
    <w:rsid w:val="00DA4439"/>
    <w:rsid w:val="00DA64C3"/>
    <w:rsid w:val="00DA7EFD"/>
    <w:rsid w:val="00DB020F"/>
    <w:rsid w:val="00DB02DC"/>
    <w:rsid w:val="00DB030F"/>
    <w:rsid w:val="00DB0910"/>
    <w:rsid w:val="00DB17BD"/>
    <w:rsid w:val="00DB2539"/>
    <w:rsid w:val="00DB39C1"/>
    <w:rsid w:val="00DB3FFE"/>
    <w:rsid w:val="00DB429C"/>
    <w:rsid w:val="00DB47CB"/>
    <w:rsid w:val="00DB558A"/>
    <w:rsid w:val="00DB5AF3"/>
    <w:rsid w:val="00DB5FF0"/>
    <w:rsid w:val="00DB63D9"/>
    <w:rsid w:val="00DB65DF"/>
    <w:rsid w:val="00DB66ED"/>
    <w:rsid w:val="00DB71EC"/>
    <w:rsid w:val="00DC107C"/>
    <w:rsid w:val="00DC158D"/>
    <w:rsid w:val="00DC1BC1"/>
    <w:rsid w:val="00DC2E64"/>
    <w:rsid w:val="00DC793A"/>
    <w:rsid w:val="00DC7C85"/>
    <w:rsid w:val="00DD00D7"/>
    <w:rsid w:val="00DD2855"/>
    <w:rsid w:val="00DD2BAC"/>
    <w:rsid w:val="00DD3050"/>
    <w:rsid w:val="00DD32C7"/>
    <w:rsid w:val="00DD3D58"/>
    <w:rsid w:val="00DD49F1"/>
    <w:rsid w:val="00DD537B"/>
    <w:rsid w:val="00DE086B"/>
    <w:rsid w:val="00DE16C1"/>
    <w:rsid w:val="00DE1D80"/>
    <w:rsid w:val="00DE20D3"/>
    <w:rsid w:val="00DE23EE"/>
    <w:rsid w:val="00DE26A2"/>
    <w:rsid w:val="00DF0B43"/>
    <w:rsid w:val="00DF1948"/>
    <w:rsid w:val="00DF24A7"/>
    <w:rsid w:val="00DF5048"/>
    <w:rsid w:val="00DF5494"/>
    <w:rsid w:val="00DF5FE7"/>
    <w:rsid w:val="00DF6B13"/>
    <w:rsid w:val="00E01555"/>
    <w:rsid w:val="00E0180F"/>
    <w:rsid w:val="00E0277B"/>
    <w:rsid w:val="00E02B47"/>
    <w:rsid w:val="00E030CD"/>
    <w:rsid w:val="00E04822"/>
    <w:rsid w:val="00E0529E"/>
    <w:rsid w:val="00E05F69"/>
    <w:rsid w:val="00E06A38"/>
    <w:rsid w:val="00E070C9"/>
    <w:rsid w:val="00E071A1"/>
    <w:rsid w:val="00E077F4"/>
    <w:rsid w:val="00E10BF2"/>
    <w:rsid w:val="00E10D01"/>
    <w:rsid w:val="00E1141F"/>
    <w:rsid w:val="00E127FF"/>
    <w:rsid w:val="00E12DCA"/>
    <w:rsid w:val="00E12E9D"/>
    <w:rsid w:val="00E12F75"/>
    <w:rsid w:val="00E13DF2"/>
    <w:rsid w:val="00E153CE"/>
    <w:rsid w:val="00E1547A"/>
    <w:rsid w:val="00E15E26"/>
    <w:rsid w:val="00E15E98"/>
    <w:rsid w:val="00E1741C"/>
    <w:rsid w:val="00E178DD"/>
    <w:rsid w:val="00E17B23"/>
    <w:rsid w:val="00E2033F"/>
    <w:rsid w:val="00E208DD"/>
    <w:rsid w:val="00E2128D"/>
    <w:rsid w:val="00E21A6D"/>
    <w:rsid w:val="00E21E4E"/>
    <w:rsid w:val="00E220AC"/>
    <w:rsid w:val="00E22CFD"/>
    <w:rsid w:val="00E23283"/>
    <w:rsid w:val="00E2335E"/>
    <w:rsid w:val="00E24573"/>
    <w:rsid w:val="00E24817"/>
    <w:rsid w:val="00E25667"/>
    <w:rsid w:val="00E26E3A"/>
    <w:rsid w:val="00E26EA8"/>
    <w:rsid w:val="00E33C98"/>
    <w:rsid w:val="00E342DA"/>
    <w:rsid w:val="00E367C6"/>
    <w:rsid w:val="00E4097F"/>
    <w:rsid w:val="00E40E85"/>
    <w:rsid w:val="00E41D0E"/>
    <w:rsid w:val="00E4200E"/>
    <w:rsid w:val="00E424DC"/>
    <w:rsid w:val="00E4261A"/>
    <w:rsid w:val="00E439E2"/>
    <w:rsid w:val="00E450D0"/>
    <w:rsid w:val="00E4516F"/>
    <w:rsid w:val="00E45327"/>
    <w:rsid w:val="00E45C12"/>
    <w:rsid w:val="00E4664A"/>
    <w:rsid w:val="00E47182"/>
    <w:rsid w:val="00E47310"/>
    <w:rsid w:val="00E5039B"/>
    <w:rsid w:val="00E520F9"/>
    <w:rsid w:val="00E52A88"/>
    <w:rsid w:val="00E52C5C"/>
    <w:rsid w:val="00E5421C"/>
    <w:rsid w:val="00E55B05"/>
    <w:rsid w:val="00E573CD"/>
    <w:rsid w:val="00E57E7D"/>
    <w:rsid w:val="00E6114D"/>
    <w:rsid w:val="00E61294"/>
    <w:rsid w:val="00E61C5D"/>
    <w:rsid w:val="00E61E1D"/>
    <w:rsid w:val="00E62D72"/>
    <w:rsid w:val="00E634A3"/>
    <w:rsid w:val="00E63EA5"/>
    <w:rsid w:val="00E64F2F"/>
    <w:rsid w:val="00E655D3"/>
    <w:rsid w:val="00E6664A"/>
    <w:rsid w:val="00E66C5D"/>
    <w:rsid w:val="00E67DFF"/>
    <w:rsid w:val="00E71658"/>
    <w:rsid w:val="00E72455"/>
    <w:rsid w:val="00E732A0"/>
    <w:rsid w:val="00E734A0"/>
    <w:rsid w:val="00E74578"/>
    <w:rsid w:val="00E750D9"/>
    <w:rsid w:val="00E75843"/>
    <w:rsid w:val="00E76336"/>
    <w:rsid w:val="00E76466"/>
    <w:rsid w:val="00E76B75"/>
    <w:rsid w:val="00E775E8"/>
    <w:rsid w:val="00E81B44"/>
    <w:rsid w:val="00E82692"/>
    <w:rsid w:val="00E83699"/>
    <w:rsid w:val="00E837B3"/>
    <w:rsid w:val="00E838C7"/>
    <w:rsid w:val="00E83BA5"/>
    <w:rsid w:val="00E845DE"/>
    <w:rsid w:val="00E85557"/>
    <w:rsid w:val="00E85618"/>
    <w:rsid w:val="00E85B37"/>
    <w:rsid w:val="00E85C40"/>
    <w:rsid w:val="00E8686B"/>
    <w:rsid w:val="00E872DA"/>
    <w:rsid w:val="00E87BA8"/>
    <w:rsid w:val="00E9088B"/>
    <w:rsid w:val="00E90DF4"/>
    <w:rsid w:val="00E9150E"/>
    <w:rsid w:val="00E91E4C"/>
    <w:rsid w:val="00E91F55"/>
    <w:rsid w:val="00E925B1"/>
    <w:rsid w:val="00E94725"/>
    <w:rsid w:val="00E95EC3"/>
    <w:rsid w:val="00E96422"/>
    <w:rsid w:val="00E9653D"/>
    <w:rsid w:val="00E966A8"/>
    <w:rsid w:val="00E9671D"/>
    <w:rsid w:val="00E96EA6"/>
    <w:rsid w:val="00E9736B"/>
    <w:rsid w:val="00E97C1C"/>
    <w:rsid w:val="00EA0207"/>
    <w:rsid w:val="00EA0500"/>
    <w:rsid w:val="00EA3AE8"/>
    <w:rsid w:val="00EA4C73"/>
    <w:rsid w:val="00EA5E4E"/>
    <w:rsid w:val="00EA66B7"/>
    <w:rsid w:val="00EA66CF"/>
    <w:rsid w:val="00EA6741"/>
    <w:rsid w:val="00EB0C1A"/>
    <w:rsid w:val="00EB16D6"/>
    <w:rsid w:val="00EB2A27"/>
    <w:rsid w:val="00EB35D0"/>
    <w:rsid w:val="00EB4492"/>
    <w:rsid w:val="00EB47E2"/>
    <w:rsid w:val="00EB4B39"/>
    <w:rsid w:val="00EB53CB"/>
    <w:rsid w:val="00EB669D"/>
    <w:rsid w:val="00EB6B80"/>
    <w:rsid w:val="00EB6DCA"/>
    <w:rsid w:val="00EB7E37"/>
    <w:rsid w:val="00EC0791"/>
    <w:rsid w:val="00EC0A29"/>
    <w:rsid w:val="00EC2578"/>
    <w:rsid w:val="00EC2660"/>
    <w:rsid w:val="00EC2BDF"/>
    <w:rsid w:val="00EC456A"/>
    <w:rsid w:val="00EC64A8"/>
    <w:rsid w:val="00EC68B1"/>
    <w:rsid w:val="00ED06C3"/>
    <w:rsid w:val="00ED0904"/>
    <w:rsid w:val="00ED3635"/>
    <w:rsid w:val="00ED3A36"/>
    <w:rsid w:val="00ED3CE6"/>
    <w:rsid w:val="00ED4102"/>
    <w:rsid w:val="00ED50B5"/>
    <w:rsid w:val="00ED577A"/>
    <w:rsid w:val="00ED5AEB"/>
    <w:rsid w:val="00ED5AFE"/>
    <w:rsid w:val="00ED5CFF"/>
    <w:rsid w:val="00EE0821"/>
    <w:rsid w:val="00EE0B34"/>
    <w:rsid w:val="00EE2CB1"/>
    <w:rsid w:val="00EE2F0C"/>
    <w:rsid w:val="00EE3EFD"/>
    <w:rsid w:val="00EE4BEC"/>
    <w:rsid w:val="00EE5741"/>
    <w:rsid w:val="00EE5B40"/>
    <w:rsid w:val="00EE74F9"/>
    <w:rsid w:val="00EE761E"/>
    <w:rsid w:val="00EF03DB"/>
    <w:rsid w:val="00EF118A"/>
    <w:rsid w:val="00EF122B"/>
    <w:rsid w:val="00EF1327"/>
    <w:rsid w:val="00EF212E"/>
    <w:rsid w:val="00EF22C5"/>
    <w:rsid w:val="00EF2821"/>
    <w:rsid w:val="00EF2A06"/>
    <w:rsid w:val="00EF2B22"/>
    <w:rsid w:val="00EF2E3F"/>
    <w:rsid w:val="00EF32B7"/>
    <w:rsid w:val="00EF4458"/>
    <w:rsid w:val="00EF63C2"/>
    <w:rsid w:val="00EF7EE2"/>
    <w:rsid w:val="00F00D61"/>
    <w:rsid w:val="00F01436"/>
    <w:rsid w:val="00F031CE"/>
    <w:rsid w:val="00F038FE"/>
    <w:rsid w:val="00F03F55"/>
    <w:rsid w:val="00F0669A"/>
    <w:rsid w:val="00F07EC3"/>
    <w:rsid w:val="00F10B42"/>
    <w:rsid w:val="00F12605"/>
    <w:rsid w:val="00F128E8"/>
    <w:rsid w:val="00F13278"/>
    <w:rsid w:val="00F1384F"/>
    <w:rsid w:val="00F143F7"/>
    <w:rsid w:val="00F1551F"/>
    <w:rsid w:val="00F16463"/>
    <w:rsid w:val="00F17D3C"/>
    <w:rsid w:val="00F21C69"/>
    <w:rsid w:val="00F23CB9"/>
    <w:rsid w:val="00F23D5E"/>
    <w:rsid w:val="00F24DA3"/>
    <w:rsid w:val="00F267FE"/>
    <w:rsid w:val="00F27434"/>
    <w:rsid w:val="00F27810"/>
    <w:rsid w:val="00F311D7"/>
    <w:rsid w:val="00F31200"/>
    <w:rsid w:val="00F3189C"/>
    <w:rsid w:val="00F32048"/>
    <w:rsid w:val="00F326A1"/>
    <w:rsid w:val="00F32E7A"/>
    <w:rsid w:val="00F3355E"/>
    <w:rsid w:val="00F34822"/>
    <w:rsid w:val="00F34A3A"/>
    <w:rsid w:val="00F34BF0"/>
    <w:rsid w:val="00F35820"/>
    <w:rsid w:val="00F35A83"/>
    <w:rsid w:val="00F36051"/>
    <w:rsid w:val="00F3616B"/>
    <w:rsid w:val="00F36E6D"/>
    <w:rsid w:val="00F370FB"/>
    <w:rsid w:val="00F378B9"/>
    <w:rsid w:val="00F40DF2"/>
    <w:rsid w:val="00F4267C"/>
    <w:rsid w:val="00F43BC1"/>
    <w:rsid w:val="00F44004"/>
    <w:rsid w:val="00F44583"/>
    <w:rsid w:val="00F44A0F"/>
    <w:rsid w:val="00F51001"/>
    <w:rsid w:val="00F515C5"/>
    <w:rsid w:val="00F5170D"/>
    <w:rsid w:val="00F51A9D"/>
    <w:rsid w:val="00F529F0"/>
    <w:rsid w:val="00F52B71"/>
    <w:rsid w:val="00F52E2D"/>
    <w:rsid w:val="00F5478C"/>
    <w:rsid w:val="00F54A24"/>
    <w:rsid w:val="00F54CCC"/>
    <w:rsid w:val="00F559FF"/>
    <w:rsid w:val="00F571D2"/>
    <w:rsid w:val="00F57E5F"/>
    <w:rsid w:val="00F610B0"/>
    <w:rsid w:val="00F610DC"/>
    <w:rsid w:val="00F612EE"/>
    <w:rsid w:val="00F618D7"/>
    <w:rsid w:val="00F6199B"/>
    <w:rsid w:val="00F61B46"/>
    <w:rsid w:val="00F6225C"/>
    <w:rsid w:val="00F634CB"/>
    <w:rsid w:val="00F648C6"/>
    <w:rsid w:val="00F64A22"/>
    <w:rsid w:val="00F64A74"/>
    <w:rsid w:val="00F65B5A"/>
    <w:rsid w:val="00F67DDC"/>
    <w:rsid w:val="00F70F7A"/>
    <w:rsid w:val="00F7163C"/>
    <w:rsid w:val="00F71681"/>
    <w:rsid w:val="00F73A84"/>
    <w:rsid w:val="00F73F88"/>
    <w:rsid w:val="00F742DC"/>
    <w:rsid w:val="00F75BBD"/>
    <w:rsid w:val="00F761A0"/>
    <w:rsid w:val="00F766D5"/>
    <w:rsid w:val="00F76D1D"/>
    <w:rsid w:val="00F80C0B"/>
    <w:rsid w:val="00F813C2"/>
    <w:rsid w:val="00F83160"/>
    <w:rsid w:val="00F83FFC"/>
    <w:rsid w:val="00F84BA4"/>
    <w:rsid w:val="00F84CF3"/>
    <w:rsid w:val="00F85913"/>
    <w:rsid w:val="00F8622A"/>
    <w:rsid w:val="00F8646F"/>
    <w:rsid w:val="00F86547"/>
    <w:rsid w:val="00F86D2D"/>
    <w:rsid w:val="00F911A0"/>
    <w:rsid w:val="00F91F24"/>
    <w:rsid w:val="00F92747"/>
    <w:rsid w:val="00F93444"/>
    <w:rsid w:val="00F94552"/>
    <w:rsid w:val="00F95120"/>
    <w:rsid w:val="00F9620E"/>
    <w:rsid w:val="00F96B5F"/>
    <w:rsid w:val="00F974D9"/>
    <w:rsid w:val="00F97A8C"/>
    <w:rsid w:val="00FA00FE"/>
    <w:rsid w:val="00FA0157"/>
    <w:rsid w:val="00FA0667"/>
    <w:rsid w:val="00FA1FE0"/>
    <w:rsid w:val="00FA265D"/>
    <w:rsid w:val="00FA47C5"/>
    <w:rsid w:val="00FA52C9"/>
    <w:rsid w:val="00FA533E"/>
    <w:rsid w:val="00FA5D30"/>
    <w:rsid w:val="00FA7FCE"/>
    <w:rsid w:val="00FB030F"/>
    <w:rsid w:val="00FB06B0"/>
    <w:rsid w:val="00FB0EA7"/>
    <w:rsid w:val="00FB10BD"/>
    <w:rsid w:val="00FB1309"/>
    <w:rsid w:val="00FB15CB"/>
    <w:rsid w:val="00FB1941"/>
    <w:rsid w:val="00FB2571"/>
    <w:rsid w:val="00FB2B30"/>
    <w:rsid w:val="00FB32C1"/>
    <w:rsid w:val="00FB4E63"/>
    <w:rsid w:val="00FB59E1"/>
    <w:rsid w:val="00FB5DBC"/>
    <w:rsid w:val="00FB7359"/>
    <w:rsid w:val="00FB7678"/>
    <w:rsid w:val="00FB77C2"/>
    <w:rsid w:val="00FB78F4"/>
    <w:rsid w:val="00FB7DAA"/>
    <w:rsid w:val="00FB7F73"/>
    <w:rsid w:val="00FC0673"/>
    <w:rsid w:val="00FC1AF7"/>
    <w:rsid w:val="00FC2E32"/>
    <w:rsid w:val="00FC2ED3"/>
    <w:rsid w:val="00FC3A53"/>
    <w:rsid w:val="00FC4018"/>
    <w:rsid w:val="00FC4421"/>
    <w:rsid w:val="00FC55B1"/>
    <w:rsid w:val="00FC67D3"/>
    <w:rsid w:val="00FC6BE0"/>
    <w:rsid w:val="00FC7A4E"/>
    <w:rsid w:val="00FD0912"/>
    <w:rsid w:val="00FD185E"/>
    <w:rsid w:val="00FD1977"/>
    <w:rsid w:val="00FD34A4"/>
    <w:rsid w:val="00FD380E"/>
    <w:rsid w:val="00FD3AF4"/>
    <w:rsid w:val="00FD5B00"/>
    <w:rsid w:val="00FD6ACB"/>
    <w:rsid w:val="00FD76AB"/>
    <w:rsid w:val="00FD7B67"/>
    <w:rsid w:val="00FE27B4"/>
    <w:rsid w:val="00FE43D2"/>
    <w:rsid w:val="00FE4929"/>
    <w:rsid w:val="00FE4BF7"/>
    <w:rsid w:val="00FE4C6E"/>
    <w:rsid w:val="00FE5786"/>
    <w:rsid w:val="00FE6583"/>
    <w:rsid w:val="00FE6AA2"/>
    <w:rsid w:val="00FF0224"/>
    <w:rsid w:val="00FF0A2C"/>
    <w:rsid w:val="00FF11BA"/>
    <w:rsid w:val="00FF2571"/>
    <w:rsid w:val="00FF4ABB"/>
    <w:rsid w:val="00FF4E77"/>
    <w:rsid w:val="00FF7C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DF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0649"/>
    <w:pPr>
      <w:spacing w:before="120" w:after="120" w:line="240" w:lineRule="auto"/>
    </w:pPr>
    <w:rPr>
      <w:rFonts w:ascii="Calibri" w:hAnsi="Calibri"/>
    </w:rPr>
  </w:style>
  <w:style w:type="paragraph" w:styleId="Heading1">
    <w:name w:val="heading 1"/>
    <w:basedOn w:val="Normal"/>
    <w:next w:val="Normal"/>
    <w:link w:val="Heading1Char"/>
    <w:uiPriority w:val="9"/>
    <w:qFormat/>
    <w:rsid w:val="007E263D"/>
    <w:pPr>
      <w:keepNext/>
      <w:keepLines/>
      <w:spacing w:before="240" w:after="160"/>
      <w:outlineLvl w:val="0"/>
    </w:pPr>
    <w:rPr>
      <w:rFonts w:eastAsiaTheme="majorEastAsia" w:cstheme="majorBidi"/>
      <w:b/>
      <w:color w:val="006266"/>
      <w:sz w:val="25"/>
      <w:szCs w:val="32"/>
    </w:rPr>
  </w:style>
  <w:style w:type="paragraph" w:styleId="Heading2">
    <w:name w:val="heading 2"/>
    <w:basedOn w:val="Normal"/>
    <w:next w:val="Normal"/>
    <w:link w:val="Heading2Char"/>
    <w:uiPriority w:val="9"/>
    <w:unhideWhenUsed/>
    <w:qFormat/>
    <w:rsid w:val="00FB77C2"/>
    <w:pPr>
      <w:keepNext/>
      <w:keepLines/>
      <w:spacing w:before="300" w:after="160"/>
      <w:outlineLvl w:val="1"/>
    </w:pPr>
    <w:rPr>
      <w:rFonts w:eastAsiaTheme="majorEastAsia" w:cstheme="majorBidi"/>
      <w:color w:val="006266" w:themeColor="text2"/>
      <w:sz w:val="25"/>
      <w:szCs w:val="26"/>
    </w:rPr>
  </w:style>
  <w:style w:type="paragraph" w:styleId="Heading3">
    <w:name w:val="heading 3"/>
    <w:basedOn w:val="Normal"/>
    <w:next w:val="Normal"/>
    <w:link w:val="Heading3Char"/>
    <w:uiPriority w:val="9"/>
    <w:unhideWhenUsed/>
    <w:qFormat/>
    <w:rsid w:val="00A64056"/>
    <w:pPr>
      <w:keepNext/>
      <w:keepLines/>
      <w:spacing w:before="200" w:after="160"/>
      <w:outlineLvl w:val="2"/>
    </w:pPr>
    <w:rPr>
      <w:rFonts w:eastAsiaTheme="majorEastAsia" w:cstheme="majorBidi"/>
      <w:i/>
      <w:color w:val="6C3123" w:themeColor="accent2" w:themeShade="80"/>
      <w:sz w:val="23"/>
      <w:szCs w:val="24"/>
    </w:rPr>
  </w:style>
  <w:style w:type="paragraph" w:styleId="Heading4">
    <w:name w:val="heading 4"/>
    <w:basedOn w:val="Normal"/>
    <w:next w:val="Normal"/>
    <w:link w:val="Heading4Char"/>
    <w:uiPriority w:val="9"/>
    <w:unhideWhenUsed/>
    <w:qFormat/>
    <w:rsid w:val="00CB277D"/>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870C56"/>
    <w:pPr>
      <w:keepNext/>
      <w:keepLines/>
      <w:spacing w:before="40" w:after="0"/>
      <w:outlineLvl w:val="4"/>
    </w:pPr>
    <w:rPr>
      <w:rFonts w:asciiTheme="majorHAnsi" w:eastAsiaTheme="majorEastAsia" w:hAnsiTheme="majorHAnsi" w:cstheme="majorBidi"/>
      <w:color w:val="485E6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B60D23"/>
    <w:pPr>
      <w:spacing w:after="0" w:line="240" w:lineRule="auto"/>
    </w:pPr>
  </w:style>
  <w:style w:type="character" w:customStyle="1" w:styleId="Heading1Char">
    <w:name w:val="Heading 1 Char"/>
    <w:basedOn w:val="DefaultParagraphFont"/>
    <w:link w:val="Heading1"/>
    <w:uiPriority w:val="9"/>
    <w:rsid w:val="007E263D"/>
    <w:rPr>
      <w:rFonts w:ascii="Calibri" w:eastAsiaTheme="majorEastAsia" w:hAnsi="Calibri" w:cstheme="majorBidi"/>
      <w:b/>
      <w:color w:val="006266"/>
      <w:sz w:val="25"/>
      <w:szCs w:val="32"/>
    </w:rPr>
  </w:style>
  <w:style w:type="character" w:customStyle="1" w:styleId="Heading2Char">
    <w:name w:val="Heading 2 Char"/>
    <w:basedOn w:val="DefaultParagraphFont"/>
    <w:link w:val="Heading2"/>
    <w:uiPriority w:val="9"/>
    <w:rsid w:val="00FB77C2"/>
    <w:rPr>
      <w:rFonts w:ascii="Calibri" w:eastAsiaTheme="majorEastAsia" w:hAnsi="Calibri" w:cstheme="majorBidi"/>
      <w:color w:val="006266" w:themeColor="text2"/>
      <w:sz w:val="25"/>
      <w:szCs w:val="26"/>
    </w:rPr>
  </w:style>
  <w:style w:type="character" w:customStyle="1" w:styleId="Heading3Char">
    <w:name w:val="Heading 3 Char"/>
    <w:basedOn w:val="DefaultParagraphFont"/>
    <w:link w:val="Heading3"/>
    <w:uiPriority w:val="9"/>
    <w:rsid w:val="00A64056"/>
    <w:rPr>
      <w:rFonts w:ascii="Calibri" w:eastAsiaTheme="majorEastAsia" w:hAnsi="Calibri" w:cstheme="majorBidi"/>
      <w:i/>
      <w:color w:val="6C3123" w:themeColor="accent2" w:themeShade="80"/>
      <w:sz w:val="23"/>
      <w:szCs w:val="24"/>
    </w:rPr>
  </w:style>
  <w:style w:type="character" w:customStyle="1" w:styleId="Heading4Char">
    <w:name w:val="Heading 4 Char"/>
    <w:basedOn w:val="DefaultParagraphFont"/>
    <w:link w:val="Heading4"/>
    <w:uiPriority w:val="9"/>
    <w:rsid w:val="00CB277D"/>
    <w:rPr>
      <w:rFonts w:ascii="Calibri" w:eastAsiaTheme="majorEastAsia" w:hAnsi="Calibri" w:cstheme="majorBidi"/>
      <w:b/>
      <w:iCs/>
    </w:rPr>
  </w:style>
  <w:style w:type="paragraph" w:styleId="Title">
    <w:name w:val="Title"/>
    <w:basedOn w:val="Normal"/>
    <w:next w:val="Normal"/>
    <w:link w:val="TitleChar"/>
    <w:uiPriority w:val="10"/>
    <w:qFormat/>
    <w:rsid w:val="0090342F"/>
    <w:pPr>
      <w:spacing w:before="0" w:after="0"/>
      <w:contextualSpacing/>
      <w:jc w:val="right"/>
    </w:pPr>
    <w:rPr>
      <w:rFonts w:asciiTheme="majorHAnsi" w:eastAsiaTheme="majorEastAsia" w:hAnsiTheme="majorHAnsi" w:cstheme="majorBidi"/>
      <w:color w:val="006266"/>
      <w:spacing w:val="-10"/>
      <w:kern w:val="28"/>
      <w:sz w:val="72"/>
      <w:szCs w:val="56"/>
    </w:rPr>
  </w:style>
  <w:style w:type="character" w:customStyle="1" w:styleId="TitleChar">
    <w:name w:val="Title Char"/>
    <w:basedOn w:val="DefaultParagraphFont"/>
    <w:link w:val="Title"/>
    <w:uiPriority w:val="10"/>
    <w:rsid w:val="0090342F"/>
    <w:rPr>
      <w:rFonts w:asciiTheme="majorHAnsi" w:eastAsiaTheme="majorEastAsia" w:hAnsiTheme="majorHAnsi" w:cstheme="majorBidi"/>
      <w:color w:val="006266"/>
      <w:spacing w:val="-10"/>
      <w:kern w:val="28"/>
      <w:sz w:val="72"/>
      <w:szCs w:val="56"/>
    </w:rPr>
  </w:style>
  <w:style w:type="paragraph" w:styleId="Subtitle">
    <w:name w:val="Subtitle"/>
    <w:basedOn w:val="Normal"/>
    <w:next w:val="Normal"/>
    <w:link w:val="SubtitleChar"/>
    <w:uiPriority w:val="11"/>
    <w:qFormat/>
    <w:rsid w:val="008C1332"/>
    <w:pPr>
      <w:numPr>
        <w:ilvl w:val="1"/>
      </w:numPr>
      <w:spacing w:after="160"/>
      <w:jc w:val="right"/>
    </w:pPr>
    <w:rPr>
      <w:rFonts w:eastAsiaTheme="minorEastAsia"/>
      <w:color w:val="151515" w:themeColor="background2" w:themeShade="1A"/>
      <w:spacing w:val="15"/>
      <w:sz w:val="52"/>
    </w:rPr>
  </w:style>
  <w:style w:type="character" w:customStyle="1" w:styleId="SubtitleChar">
    <w:name w:val="Subtitle Char"/>
    <w:basedOn w:val="DefaultParagraphFont"/>
    <w:link w:val="Subtitle"/>
    <w:uiPriority w:val="11"/>
    <w:rsid w:val="008C1332"/>
    <w:rPr>
      <w:rFonts w:eastAsiaTheme="minorEastAsia"/>
      <w:color w:val="151515" w:themeColor="background2" w:themeShade="1A"/>
      <w:spacing w:val="15"/>
      <w:sz w:val="52"/>
    </w:rPr>
  </w:style>
  <w:style w:type="character" w:styleId="SubtleEmphasis">
    <w:name w:val="Subtle Emphasis"/>
    <w:basedOn w:val="DefaultParagraphFont"/>
    <w:uiPriority w:val="19"/>
    <w:qFormat/>
    <w:rsid w:val="0090342F"/>
    <w:rPr>
      <w:rFonts w:asciiTheme="minorHAnsi" w:hAnsiTheme="minorHAnsi"/>
      <w:i w:val="0"/>
      <w:iCs/>
      <w:color w:val="FFFFFF" w:themeColor="background1"/>
      <w:sz w:val="40"/>
    </w:rPr>
  </w:style>
  <w:style w:type="character" w:styleId="Strong">
    <w:name w:val="Strong"/>
    <w:basedOn w:val="DefaultParagraphFont"/>
    <w:uiPriority w:val="22"/>
    <w:qFormat/>
    <w:rsid w:val="008C1332"/>
    <w:rPr>
      <w:rFonts w:ascii="Calibri" w:hAnsi="Calibri"/>
      <w:b/>
      <w:bCs/>
      <w:color w:val="FFFFFF" w:themeColor="background1"/>
      <w:sz w:val="44"/>
    </w:rPr>
  </w:style>
  <w:style w:type="paragraph" w:styleId="IntenseQuote">
    <w:name w:val="Intense Quote"/>
    <w:aliases w:val="Terms of Reference"/>
    <w:basedOn w:val="Normal"/>
    <w:next w:val="Normal"/>
    <w:link w:val="IntenseQuoteChar"/>
    <w:uiPriority w:val="30"/>
    <w:qFormat/>
    <w:rsid w:val="00F92747"/>
    <w:pPr>
      <w:pBdr>
        <w:top w:val="single" w:sz="4" w:space="10" w:color="617E89" w:themeColor="accent1"/>
        <w:bottom w:val="single" w:sz="4" w:space="10" w:color="617E89" w:themeColor="accent1"/>
      </w:pBdr>
      <w:spacing w:before="160" w:after="160"/>
      <w:ind w:right="567"/>
    </w:pPr>
    <w:rPr>
      <w:iCs/>
      <w:color w:val="000000" w:themeColor="text1"/>
    </w:rPr>
  </w:style>
  <w:style w:type="character" w:customStyle="1" w:styleId="IntenseQuoteChar">
    <w:name w:val="Intense Quote Char"/>
    <w:aliases w:val="Terms of Reference Char"/>
    <w:basedOn w:val="DefaultParagraphFont"/>
    <w:link w:val="IntenseQuote"/>
    <w:uiPriority w:val="30"/>
    <w:rsid w:val="00F92747"/>
    <w:rPr>
      <w:iCs/>
      <w:color w:val="000000" w:themeColor="text1"/>
    </w:rPr>
  </w:style>
  <w:style w:type="character" w:styleId="IntenseEmphasis">
    <w:name w:val="Intense Emphasis"/>
    <w:basedOn w:val="DefaultParagraphFont"/>
    <w:uiPriority w:val="21"/>
    <w:qFormat/>
    <w:rsid w:val="003374E9"/>
    <w:rPr>
      <w:rFonts w:asciiTheme="minorHAnsi" w:hAnsiTheme="minorHAnsi"/>
      <w:i w:val="0"/>
      <w:iCs/>
      <w:color w:val="006266" w:themeColor="text2"/>
      <w:sz w:val="22"/>
    </w:rPr>
  </w:style>
  <w:style w:type="paragraph" w:styleId="ListParagraph">
    <w:name w:val="List Paragraph"/>
    <w:aliases w:val="Resume Title,heading 4,Citation List,Ha,Recommendation,L,List Paragraph1,List Paragraph11,NFP GP Bulleted List,FooterText,numbered,Paragraphe de liste1,Bulletr List Paragraph,列出段落,列出段落1,List Paragraph2,List Paragraph21,Listeafsnit1,リスト段落1"/>
    <w:basedOn w:val="Normal"/>
    <w:next w:val="ListBullet"/>
    <w:link w:val="ListParagraphChar"/>
    <w:uiPriority w:val="34"/>
    <w:qFormat/>
    <w:rsid w:val="001C59F6"/>
    <w:pPr>
      <w:ind w:left="360" w:hanging="360"/>
      <w:contextualSpacing/>
    </w:pPr>
  </w:style>
  <w:style w:type="character" w:styleId="Emphasis">
    <w:name w:val="Emphasis"/>
    <w:basedOn w:val="DefaultParagraphFont"/>
    <w:uiPriority w:val="20"/>
    <w:qFormat/>
    <w:rsid w:val="00720877"/>
    <w:rPr>
      <w:rFonts w:asciiTheme="minorHAnsi" w:hAnsiTheme="minorHAnsi"/>
      <w:i/>
      <w:iCs/>
      <w:sz w:val="22"/>
    </w:rPr>
  </w:style>
  <w:style w:type="paragraph" w:styleId="ListBullet">
    <w:name w:val="List Bullet"/>
    <w:basedOn w:val="Normal"/>
    <w:uiPriority w:val="99"/>
    <w:semiHidden/>
    <w:unhideWhenUsed/>
    <w:rsid w:val="002B1F65"/>
    <w:pPr>
      <w:tabs>
        <w:tab w:val="num" w:pos="360"/>
      </w:tabs>
      <w:ind w:left="360" w:hanging="360"/>
      <w:contextualSpacing/>
    </w:pPr>
  </w:style>
  <w:style w:type="paragraph" w:customStyle="1" w:styleId="StyleListBullet2">
    <w:name w:val="Style List Bullet 2"/>
    <w:basedOn w:val="Normal"/>
    <w:next w:val="ListBullet2"/>
    <w:link w:val="StyleListBullet2Char"/>
    <w:qFormat/>
    <w:rsid w:val="000F2701"/>
    <w:pPr>
      <w:numPr>
        <w:numId w:val="2"/>
      </w:numPr>
      <w:spacing w:after="160"/>
      <w:ind w:left="714" w:hanging="357"/>
    </w:pPr>
  </w:style>
  <w:style w:type="paragraph" w:styleId="Quote">
    <w:name w:val="Quote"/>
    <w:basedOn w:val="Normal"/>
    <w:next w:val="Normal"/>
    <w:link w:val="QuoteChar"/>
    <w:uiPriority w:val="29"/>
    <w:qFormat/>
    <w:rsid w:val="00CB277D"/>
    <w:pPr>
      <w:spacing w:before="200" w:after="160"/>
      <w:ind w:right="864"/>
    </w:pPr>
    <w:rPr>
      <w:i/>
      <w:iCs/>
      <w:color w:val="000000" w:themeColor="text1"/>
    </w:rPr>
  </w:style>
  <w:style w:type="paragraph" w:styleId="ListBullet2">
    <w:name w:val="List Bullet 2"/>
    <w:basedOn w:val="Normal"/>
    <w:uiPriority w:val="99"/>
    <w:unhideWhenUsed/>
    <w:rsid w:val="007E263D"/>
    <w:pPr>
      <w:numPr>
        <w:numId w:val="1"/>
      </w:numPr>
      <w:contextualSpacing/>
    </w:pPr>
  </w:style>
  <w:style w:type="character" w:customStyle="1" w:styleId="StyleListBullet2Char">
    <w:name w:val="Style List Bullet 2 Char"/>
    <w:basedOn w:val="DefaultParagraphFont"/>
    <w:link w:val="StyleListBullet2"/>
    <w:rsid w:val="000F2701"/>
    <w:rPr>
      <w:rFonts w:ascii="Calibri" w:hAnsi="Calibri"/>
    </w:rPr>
  </w:style>
  <w:style w:type="character" w:customStyle="1" w:styleId="QuoteChar">
    <w:name w:val="Quote Char"/>
    <w:basedOn w:val="DefaultParagraphFont"/>
    <w:link w:val="Quote"/>
    <w:uiPriority w:val="29"/>
    <w:rsid w:val="00CB277D"/>
    <w:rPr>
      <w:i/>
      <w:iCs/>
      <w:color w:val="000000" w:themeColor="text1"/>
    </w:rPr>
  </w:style>
  <w:style w:type="paragraph" w:customStyle="1" w:styleId="StyleListBullet3">
    <w:name w:val="Style List Bullet 3"/>
    <w:basedOn w:val="Normal"/>
    <w:link w:val="StyleListBullet3Char"/>
    <w:qFormat/>
    <w:rsid w:val="000F2701"/>
    <w:pPr>
      <w:numPr>
        <w:numId w:val="3"/>
      </w:numPr>
      <w:spacing w:after="160"/>
      <w:ind w:left="1077" w:hanging="357"/>
    </w:pPr>
  </w:style>
  <w:style w:type="paragraph" w:customStyle="1" w:styleId="StyleListNumber1">
    <w:name w:val="Style List Number 1"/>
    <w:basedOn w:val="Normal"/>
    <w:link w:val="StyleListNumber1Char"/>
    <w:qFormat/>
    <w:rsid w:val="009F2654"/>
    <w:pPr>
      <w:ind w:left="714" w:right="357" w:hanging="357"/>
    </w:pPr>
  </w:style>
  <w:style w:type="character" w:customStyle="1" w:styleId="StyleListBullet3Char">
    <w:name w:val="Style List Bullet 3 Char"/>
    <w:basedOn w:val="DefaultParagraphFont"/>
    <w:link w:val="StyleListBullet3"/>
    <w:rsid w:val="000F2701"/>
    <w:rPr>
      <w:rFonts w:ascii="Calibri" w:hAnsi="Calibri"/>
    </w:rPr>
  </w:style>
  <w:style w:type="paragraph" w:customStyle="1" w:styleId="Style1ListNumber2">
    <w:name w:val="Style1 List Number 2"/>
    <w:basedOn w:val="StyleListNumber1"/>
    <w:link w:val="Style1ListNumber2Char"/>
    <w:qFormat/>
    <w:rsid w:val="00FB1941"/>
    <w:pPr>
      <w:numPr>
        <w:numId w:val="4"/>
      </w:numPr>
    </w:pPr>
    <w:rPr>
      <w:color w:val="000000" w:themeColor="text1"/>
    </w:rPr>
  </w:style>
  <w:style w:type="character" w:customStyle="1" w:styleId="StyleListNumber1Char">
    <w:name w:val="Style List Number 1 Char"/>
    <w:basedOn w:val="DefaultParagraphFont"/>
    <w:link w:val="StyleListNumber1"/>
    <w:rsid w:val="009F2654"/>
    <w:rPr>
      <w:rFonts w:ascii="Calibri" w:hAnsi="Calibri"/>
    </w:rPr>
  </w:style>
  <w:style w:type="table" w:styleId="TableGrid">
    <w:name w:val="Table Grid"/>
    <w:basedOn w:val="TableNormal"/>
    <w:uiPriority w:val="39"/>
    <w:rsid w:val="003C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ListNumber2Char">
    <w:name w:val="Style1 List Number 2 Char"/>
    <w:basedOn w:val="StyleListNumber1Char"/>
    <w:link w:val="Style1ListNumber2"/>
    <w:rsid w:val="00FB1941"/>
    <w:rPr>
      <w:rFonts w:ascii="Calibri" w:hAnsi="Calibri"/>
      <w:color w:val="000000" w:themeColor="text1"/>
    </w:rPr>
  </w:style>
  <w:style w:type="table" w:styleId="TableGridLight">
    <w:name w:val="Grid Table Light"/>
    <w:basedOn w:val="TableNormal"/>
    <w:uiPriority w:val="40"/>
    <w:rsid w:val="003C7C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3C7C4E"/>
    <w:pPr>
      <w:spacing w:after="0" w:line="240" w:lineRule="auto"/>
    </w:pPr>
    <w:tblPr>
      <w:tblStyleRowBandSize w:val="1"/>
      <w:tblStyleColBandSize w:val="1"/>
      <w:tblBorders>
        <w:top w:val="single" w:sz="4" w:space="0" w:color="BECBD1" w:themeColor="accent1" w:themeTint="66"/>
        <w:left w:val="single" w:sz="4" w:space="0" w:color="BECBD1" w:themeColor="accent1" w:themeTint="66"/>
        <w:bottom w:val="single" w:sz="4" w:space="0" w:color="BECBD1" w:themeColor="accent1" w:themeTint="66"/>
        <w:right w:val="single" w:sz="4" w:space="0" w:color="BECBD1" w:themeColor="accent1" w:themeTint="66"/>
        <w:insideH w:val="single" w:sz="4" w:space="0" w:color="BECBD1" w:themeColor="accent1" w:themeTint="66"/>
        <w:insideV w:val="single" w:sz="4" w:space="0" w:color="BECBD1" w:themeColor="accent1" w:themeTint="66"/>
      </w:tblBorders>
    </w:tblPr>
    <w:tblStylePr w:type="firstRow">
      <w:rPr>
        <w:b/>
        <w:bCs/>
      </w:rPr>
      <w:tblPr/>
      <w:tcPr>
        <w:tcBorders>
          <w:bottom w:val="single" w:sz="12" w:space="0" w:color="9EB2BA" w:themeColor="accent1" w:themeTint="99"/>
        </w:tcBorders>
      </w:tcPr>
    </w:tblStylePr>
    <w:tblStylePr w:type="lastRow">
      <w:rPr>
        <w:b/>
        <w:bCs/>
      </w:rPr>
      <w:tblPr/>
      <w:tcPr>
        <w:tcBorders>
          <w:top w:val="double" w:sz="2" w:space="0" w:color="9EB2BA"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3C7C4E"/>
    <w:pPr>
      <w:spacing w:after="0" w:line="240" w:lineRule="auto"/>
    </w:pPr>
    <w:tblPr>
      <w:tblStyleRowBandSize w:val="1"/>
      <w:tblStyleColBandSize w:val="1"/>
      <w:tblBorders>
        <w:top w:val="single" w:sz="4" w:space="0" w:color="9EB2BA" w:themeColor="accent1" w:themeTint="99"/>
        <w:left w:val="single" w:sz="4" w:space="0" w:color="9EB2BA" w:themeColor="accent1" w:themeTint="99"/>
        <w:bottom w:val="single" w:sz="4" w:space="0" w:color="9EB2BA" w:themeColor="accent1" w:themeTint="99"/>
        <w:right w:val="single" w:sz="4" w:space="0" w:color="9EB2BA" w:themeColor="accent1" w:themeTint="99"/>
        <w:insideH w:val="single" w:sz="4" w:space="0" w:color="9EB2BA" w:themeColor="accent1" w:themeTint="99"/>
        <w:insideV w:val="single" w:sz="4" w:space="0" w:color="9EB2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5E8" w:themeFill="accent1" w:themeFillTint="33"/>
      </w:tcPr>
    </w:tblStylePr>
    <w:tblStylePr w:type="band1Horz">
      <w:tblPr/>
      <w:tcPr>
        <w:shd w:val="clear" w:color="auto" w:fill="DEE5E8" w:themeFill="accent1" w:themeFillTint="33"/>
      </w:tcPr>
    </w:tblStylePr>
    <w:tblStylePr w:type="neCell">
      <w:tblPr/>
      <w:tcPr>
        <w:tcBorders>
          <w:bottom w:val="single" w:sz="4" w:space="0" w:color="9EB2BA" w:themeColor="accent1" w:themeTint="99"/>
        </w:tcBorders>
      </w:tcPr>
    </w:tblStylePr>
    <w:tblStylePr w:type="nwCell">
      <w:tblPr/>
      <w:tcPr>
        <w:tcBorders>
          <w:bottom w:val="single" w:sz="4" w:space="0" w:color="9EB2BA" w:themeColor="accent1" w:themeTint="99"/>
        </w:tcBorders>
      </w:tcPr>
    </w:tblStylePr>
    <w:tblStylePr w:type="seCell">
      <w:tblPr/>
      <w:tcPr>
        <w:tcBorders>
          <w:top w:val="single" w:sz="4" w:space="0" w:color="9EB2BA" w:themeColor="accent1" w:themeTint="99"/>
        </w:tcBorders>
      </w:tcPr>
    </w:tblStylePr>
    <w:tblStylePr w:type="swCell">
      <w:tblPr/>
      <w:tcPr>
        <w:tcBorders>
          <w:top w:val="single" w:sz="4" w:space="0" w:color="9EB2BA" w:themeColor="accent1" w:themeTint="99"/>
        </w:tcBorders>
      </w:tcPr>
    </w:tblStylePr>
  </w:style>
  <w:style w:type="table" w:styleId="GridTable2-Accent1">
    <w:name w:val="Grid Table 2 Accent 1"/>
    <w:basedOn w:val="TableNormal"/>
    <w:uiPriority w:val="47"/>
    <w:rsid w:val="003C7C4E"/>
    <w:pPr>
      <w:spacing w:after="0" w:line="240" w:lineRule="auto"/>
    </w:pPr>
    <w:tblPr>
      <w:tblStyleRowBandSize w:val="1"/>
      <w:tblStyleColBandSize w:val="1"/>
      <w:tblBorders>
        <w:top w:val="single" w:sz="2" w:space="0" w:color="9EB2BA" w:themeColor="accent1" w:themeTint="99"/>
        <w:bottom w:val="single" w:sz="2" w:space="0" w:color="9EB2BA" w:themeColor="accent1" w:themeTint="99"/>
        <w:insideH w:val="single" w:sz="2" w:space="0" w:color="9EB2BA" w:themeColor="accent1" w:themeTint="99"/>
        <w:insideV w:val="single" w:sz="2" w:space="0" w:color="9EB2BA" w:themeColor="accent1" w:themeTint="99"/>
      </w:tblBorders>
    </w:tblPr>
    <w:tblStylePr w:type="firstRow">
      <w:rPr>
        <w:b/>
        <w:bCs/>
      </w:rPr>
      <w:tblPr/>
      <w:tcPr>
        <w:tcBorders>
          <w:top w:val="nil"/>
          <w:bottom w:val="single" w:sz="12" w:space="0" w:color="9EB2BA" w:themeColor="accent1" w:themeTint="99"/>
          <w:insideH w:val="nil"/>
          <w:insideV w:val="nil"/>
        </w:tcBorders>
        <w:shd w:val="clear" w:color="auto" w:fill="FFFFFF" w:themeFill="background1"/>
      </w:tcPr>
    </w:tblStylePr>
    <w:tblStylePr w:type="lastRow">
      <w:rPr>
        <w:b/>
        <w:bCs/>
      </w:rPr>
      <w:tblPr/>
      <w:tcPr>
        <w:tcBorders>
          <w:top w:val="double" w:sz="2" w:space="0" w:color="9EB2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5E8" w:themeFill="accent1" w:themeFillTint="33"/>
      </w:tcPr>
    </w:tblStylePr>
    <w:tblStylePr w:type="band1Horz">
      <w:tblPr/>
      <w:tcPr>
        <w:shd w:val="clear" w:color="auto" w:fill="DEE5E8" w:themeFill="accent1" w:themeFillTint="33"/>
      </w:tcPr>
    </w:tblStylePr>
  </w:style>
  <w:style w:type="paragraph" w:customStyle="1" w:styleId="KeyFindings">
    <w:name w:val="Key Findings"/>
    <w:basedOn w:val="Heading4"/>
    <w:next w:val="Heading5"/>
    <w:link w:val="KeyFindingsChar"/>
    <w:qFormat/>
    <w:rsid w:val="00870C56"/>
    <w:rPr>
      <w:b w:val="0"/>
      <w:bCs/>
      <w:i/>
      <w:color w:val="617E89" w:themeColor="accent1"/>
    </w:rPr>
  </w:style>
  <w:style w:type="paragraph" w:styleId="Header">
    <w:name w:val="header"/>
    <w:basedOn w:val="Normal"/>
    <w:link w:val="HeaderChar"/>
    <w:uiPriority w:val="99"/>
    <w:unhideWhenUsed/>
    <w:rsid w:val="00B22ECC"/>
    <w:pPr>
      <w:tabs>
        <w:tab w:val="center" w:pos="4513"/>
        <w:tab w:val="right" w:pos="9026"/>
      </w:tabs>
      <w:spacing w:before="0" w:after="0"/>
    </w:pPr>
  </w:style>
  <w:style w:type="character" w:customStyle="1" w:styleId="Heading5Char">
    <w:name w:val="Heading 5 Char"/>
    <w:basedOn w:val="DefaultParagraphFont"/>
    <w:link w:val="Heading5"/>
    <w:uiPriority w:val="9"/>
    <w:rsid w:val="00870C56"/>
    <w:rPr>
      <w:rFonts w:asciiTheme="majorHAnsi" w:eastAsiaTheme="majorEastAsia" w:hAnsiTheme="majorHAnsi" w:cstheme="majorBidi"/>
      <w:color w:val="485E66" w:themeColor="accent1" w:themeShade="BF"/>
    </w:rPr>
  </w:style>
  <w:style w:type="character" w:customStyle="1" w:styleId="KeyFindingsChar">
    <w:name w:val="Key Findings Char"/>
    <w:basedOn w:val="Heading4Char"/>
    <w:link w:val="KeyFindings"/>
    <w:rsid w:val="00870C56"/>
    <w:rPr>
      <w:rFonts w:ascii="Calibri" w:eastAsiaTheme="majorEastAsia" w:hAnsi="Calibri" w:cstheme="majorBidi"/>
      <w:b w:val="0"/>
      <w:bCs/>
      <w:i/>
      <w:iCs/>
      <w:color w:val="617E89" w:themeColor="accent1"/>
    </w:rPr>
  </w:style>
  <w:style w:type="character" w:customStyle="1" w:styleId="HeaderChar">
    <w:name w:val="Header Char"/>
    <w:basedOn w:val="DefaultParagraphFont"/>
    <w:link w:val="Header"/>
    <w:uiPriority w:val="99"/>
    <w:rsid w:val="00B22ECC"/>
  </w:style>
  <w:style w:type="paragraph" w:styleId="Footer">
    <w:name w:val="footer"/>
    <w:basedOn w:val="Normal"/>
    <w:link w:val="FooterChar"/>
    <w:uiPriority w:val="99"/>
    <w:unhideWhenUsed/>
    <w:rsid w:val="00B22ECC"/>
    <w:pPr>
      <w:tabs>
        <w:tab w:val="center" w:pos="4513"/>
        <w:tab w:val="right" w:pos="9026"/>
      </w:tabs>
      <w:spacing w:before="0" w:after="0"/>
    </w:pPr>
  </w:style>
  <w:style w:type="character" w:customStyle="1" w:styleId="FooterChar">
    <w:name w:val="Footer Char"/>
    <w:basedOn w:val="DefaultParagraphFont"/>
    <w:link w:val="Footer"/>
    <w:uiPriority w:val="99"/>
    <w:rsid w:val="00B22ECC"/>
  </w:style>
  <w:style w:type="character" w:styleId="CommentReference">
    <w:name w:val="annotation reference"/>
    <w:basedOn w:val="DefaultParagraphFont"/>
    <w:uiPriority w:val="99"/>
    <w:unhideWhenUsed/>
    <w:rsid w:val="00BC14AF"/>
    <w:rPr>
      <w:sz w:val="16"/>
      <w:szCs w:val="16"/>
    </w:rPr>
  </w:style>
  <w:style w:type="paragraph" w:styleId="CommentText">
    <w:name w:val="annotation text"/>
    <w:basedOn w:val="Normal"/>
    <w:link w:val="CommentTextChar"/>
    <w:uiPriority w:val="99"/>
    <w:unhideWhenUsed/>
    <w:rsid w:val="00BC14AF"/>
    <w:pPr>
      <w:spacing w:before="0" w:after="160"/>
    </w:pPr>
    <w:rPr>
      <w:sz w:val="20"/>
      <w:szCs w:val="20"/>
    </w:rPr>
  </w:style>
  <w:style w:type="character" w:customStyle="1" w:styleId="CommentTextChar">
    <w:name w:val="Comment Text Char"/>
    <w:basedOn w:val="DefaultParagraphFont"/>
    <w:link w:val="CommentText"/>
    <w:uiPriority w:val="99"/>
    <w:rsid w:val="00BC14AF"/>
    <w:rPr>
      <w:sz w:val="20"/>
      <w:szCs w:val="20"/>
    </w:rPr>
  </w:style>
  <w:style w:type="paragraph" w:styleId="FootnoteText">
    <w:name w:val="footnote text"/>
    <w:basedOn w:val="Normal"/>
    <w:link w:val="FootnoteTextChar"/>
    <w:uiPriority w:val="99"/>
    <w:unhideWhenUsed/>
    <w:rsid w:val="00201FFD"/>
    <w:pPr>
      <w:spacing w:before="0" w:after="0"/>
    </w:pPr>
    <w:rPr>
      <w:sz w:val="20"/>
      <w:szCs w:val="20"/>
    </w:rPr>
  </w:style>
  <w:style w:type="character" w:customStyle="1" w:styleId="FootnoteTextChar">
    <w:name w:val="Footnote Text Char"/>
    <w:basedOn w:val="DefaultParagraphFont"/>
    <w:link w:val="FootnoteText"/>
    <w:uiPriority w:val="99"/>
    <w:rsid w:val="00201FFD"/>
    <w:rPr>
      <w:sz w:val="20"/>
      <w:szCs w:val="20"/>
    </w:rPr>
  </w:style>
  <w:style w:type="character" w:styleId="FootnoteReference">
    <w:name w:val="footnote reference"/>
    <w:basedOn w:val="DefaultParagraphFont"/>
    <w:uiPriority w:val="99"/>
    <w:unhideWhenUsed/>
    <w:rsid w:val="00201FFD"/>
    <w:rPr>
      <w:vertAlign w:val="superscript"/>
    </w:rPr>
  </w:style>
  <w:style w:type="paragraph" w:styleId="NormalWeb">
    <w:name w:val="Normal (Web)"/>
    <w:basedOn w:val="Normal"/>
    <w:uiPriority w:val="99"/>
    <w:unhideWhenUsed/>
    <w:rsid w:val="0094047C"/>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94047C"/>
    <w:rPr>
      <w:color w:val="1F497D" w:themeColor="hyperlink"/>
      <w:u w:val="single"/>
    </w:rPr>
  </w:style>
  <w:style w:type="character" w:customStyle="1" w:styleId="ListParagraphChar">
    <w:name w:val="List Paragraph Char"/>
    <w:aliases w:val="Resume Title Char,heading 4 Char,Citation List Char,Ha Char,Recommendation Char,L Char,List Paragraph1 Char,List Paragraph11 Char,NFP GP Bulleted List Char,FooterText Char,numbered Char,Paragraphe de liste1 Char,列出段落 Char,列出段落1 Char"/>
    <w:basedOn w:val="DefaultParagraphFont"/>
    <w:link w:val="ListParagraph"/>
    <w:uiPriority w:val="34"/>
    <w:rsid w:val="001F1827"/>
    <w:rPr>
      <w:rFonts w:ascii="Calibri" w:hAnsi="Calibri"/>
    </w:rPr>
  </w:style>
  <w:style w:type="paragraph" w:customStyle="1" w:styleId="StyleNormalBody">
    <w:name w:val="Style Normal Body"/>
    <w:basedOn w:val="Normal"/>
    <w:link w:val="StyleNormalBodyChar"/>
    <w:qFormat/>
    <w:rsid w:val="00187DA8"/>
    <w:pPr>
      <w:spacing w:after="160"/>
    </w:pPr>
    <w:rPr>
      <w:rFonts w:asciiTheme="minorHAnsi" w:hAnsiTheme="minorHAnsi"/>
      <w:lang w:val="en-GB" w:eastAsia="en-GB"/>
    </w:rPr>
  </w:style>
  <w:style w:type="paragraph" w:customStyle="1" w:styleId="Style1">
    <w:name w:val="Style1"/>
    <w:basedOn w:val="Heading4"/>
    <w:link w:val="Style1Char"/>
    <w:qFormat/>
    <w:rsid w:val="00B312A6"/>
    <w:pPr>
      <w:ind w:left="720" w:hanging="360"/>
    </w:pPr>
    <w:rPr>
      <w:b w:val="0"/>
      <w:bCs/>
      <w:color w:val="000000" w:themeColor="text1"/>
    </w:rPr>
  </w:style>
  <w:style w:type="character" w:customStyle="1" w:styleId="StyleNormalBodyChar">
    <w:name w:val="Style Normal Body Char"/>
    <w:basedOn w:val="DefaultParagraphFont"/>
    <w:link w:val="StyleNormalBody"/>
    <w:rsid w:val="00187DA8"/>
    <w:rPr>
      <w:lang w:val="en-GB" w:eastAsia="en-GB"/>
    </w:rPr>
  </w:style>
  <w:style w:type="paragraph" w:customStyle="1" w:styleId="List3">
    <w:name w:val="List3"/>
    <w:basedOn w:val="Style1"/>
    <w:link w:val="List3Char"/>
    <w:qFormat/>
    <w:rsid w:val="00801C8F"/>
    <w:pPr>
      <w:ind w:left="717"/>
      <w:outlineLvl w:val="9"/>
    </w:pPr>
  </w:style>
  <w:style w:type="character" w:customStyle="1" w:styleId="Style1Char">
    <w:name w:val="Style1 Char"/>
    <w:basedOn w:val="Heading4Char"/>
    <w:link w:val="Style1"/>
    <w:rsid w:val="00B312A6"/>
    <w:rPr>
      <w:rFonts w:ascii="Calibri" w:eastAsiaTheme="majorEastAsia" w:hAnsi="Calibri" w:cstheme="majorBidi"/>
      <w:b w:val="0"/>
      <w:bCs/>
      <w:iCs/>
      <w:color w:val="000000" w:themeColor="text1"/>
    </w:rPr>
  </w:style>
  <w:style w:type="paragraph" w:customStyle="1" w:styleId="Quote2">
    <w:name w:val="Quote2"/>
    <w:basedOn w:val="Quote"/>
    <w:link w:val="Quote2Char"/>
    <w:qFormat/>
    <w:rsid w:val="006E05B8"/>
    <w:pPr>
      <w:spacing w:after="200"/>
      <w:ind w:left="720" w:right="862" w:hanging="360"/>
    </w:pPr>
  </w:style>
  <w:style w:type="character" w:customStyle="1" w:styleId="List3Char">
    <w:name w:val="List3 Char"/>
    <w:basedOn w:val="Style1Char"/>
    <w:link w:val="List3"/>
    <w:rsid w:val="00801C8F"/>
    <w:rPr>
      <w:rFonts w:ascii="Calibri" w:eastAsiaTheme="majorEastAsia" w:hAnsi="Calibri" w:cstheme="majorBidi"/>
      <w:b w:val="0"/>
      <w:bCs/>
      <w:iCs/>
      <w:color w:val="000000" w:themeColor="text1"/>
    </w:rPr>
  </w:style>
  <w:style w:type="paragraph" w:customStyle="1" w:styleId="Date-CoverPage">
    <w:name w:val="Date - Cover Page"/>
    <w:basedOn w:val="Normal"/>
    <w:link w:val="Date-CoverPageChar"/>
    <w:qFormat/>
    <w:rsid w:val="00A02C4B"/>
    <w:pPr>
      <w:spacing w:before="0" w:after="0"/>
      <w:jc w:val="both"/>
    </w:pPr>
    <w:rPr>
      <w:rFonts w:asciiTheme="minorHAnsi" w:hAnsiTheme="minorHAnsi"/>
      <w:color w:val="FFFFFF"/>
      <w:sz w:val="24"/>
      <w:szCs w:val="21"/>
    </w:rPr>
  </w:style>
  <w:style w:type="character" w:customStyle="1" w:styleId="Quote2Char">
    <w:name w:val="Quote2 Char"/>
    <w:basedOn w:val="QuoteChar"/>
    <w:link w:val="Quote2"/>
    <w:rsid w:val="006E05B8"/>
    <w:rPr>
      <w:rFonts w:ascii="Calibri" w:hAnsi="Calibri"/>
      <w:i/>
      <w:iCs/>
      <w:color w:val="000000" w:themeColor="text1"/>
    </w:rPr>
  </w:style>
  <w:style w:type="paragraph" w:customStyle="1" w:styleId="subsection">
    <w:name w:val="subsection"/>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
    <w:name w:val="paragraphsub"/>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h5section">
    <w:name w:val="h5section"/>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main">
    <w:name w:val="tmain"/>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para">
    <w:name w:val="tpara"/>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tesubpara">
    <w:name w:val="notesubpara"/>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temain">
    <w:name w:val="notemain"/>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esheading">
    <w:name w:val="esheading"/>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1018C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018CB"/>
    <w:rPr>
      <w:rFonts w:asciiTheme="minorHAnsi" w:hAnsiTheme="minorHAnsi"/>
      <w:b/>
      <w:bCs/>
    </w:rPr>
  </w:style>
  <w:style w:type="character" w:customStyle="1" w:styleId="CommentSubjectChar">
    <w:name w:val="Comment Subject Char"/>
    <w:basedOn w:val="CommentTextChar"/>
    <w:link w:val="CommentSubject"/>
    <w:uiPriority w:val="99"/>
    <w:semiHidden/>
    <w:rsid w:val="001018CB"/>
    <w:rPr>
      <w:b/>
      <w:bCs/>
      <w:sz w:val="20"/>
      <w:szCs w:val="20"/>
    </w:rPr>
  </w:style>
  <w:style w:type="paragraph" w:customStyle="1" w:styleId="Bullets">
    <w:name w:val="Bullets"/>
    <w:basedOn w:val="Normal"/>
    <w:link w:val="BulletsChar"/>
    <w:uiPriority w:val="7"/>
    <w:qFormat/>
    <w:rsid w:val="009F2654"/>
    <w:pPr>
      <w:numPr>
        <w:numId w:val="6"/>
      </w:numPr>
    </w:pPr>
    <w:rPr>
      <w:rFonts w:asciiTheme="minorHAnsi" w:eastAsia="Cambria" w:hAnsiTheme="minorHAnsi" w:cstheme="minorHAnsi"/>
      <w:szCs w:val="24"/>
    </w:rPr>
  </w:style>
  <w:style w:type="character" w:customStyle="1" w:styleId="BulletsChar">
    <w:name w:val="Bullets Char"/>
    <w:basedOn w:val="DefaultParagraphFont"/>
    <w:link w:val="Bullets"/>
    <w:uiPriority w:val="7"/>
    <w:rsid w:val="009F2654"/>
    <w:rPr>
      <w:rFonts w:eastAsia="Cambria" w:cstheme="minorHAnsi"/>
      <w:szCs w:val="24"/>
    </w:rPr>
  </w:style>
  <w:style w:type="table" w:customStyle="1" w:styleId="TableGridLight1">
    <w:name w:val="Table Grid Light1"/>
    <w:basedOn w:val="TableNormal"/>
    <w:next w:val="TableGridLight"/>
    <w:uiPriority w:val="40"/>
    <w:rsid w:val="00101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cthead5">
    <w:name w:val="acthead5"/>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ubsectionhead">
    <w:name w:val="subsectionhead"/>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018C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8CB"/>
    <w:rPr>
      <w:rFonts w:ascii="Segoe UI" w:hAnsi="Segoe UI" w:cs="Segoe UI"/>
      <w:sz w:val="18"/>
      <w:szCs w:val="18"/>
    </w:rPr>
  </w:style>
  <w:style w:type="paragraph" w:styleId="Revision">
    <w:name w:val="Revision"/>
    <w:hidden/>
    <w:uiPriority w:val="99"/>
    <w:semiHidden/>
    <w:rsid w:val="001018CB"/>
    <w:pPr>
      <w:spacing w:after="0" w:line="240" w:lineRule="auto"/>
    </w:pPr>
  </w:style>
  <w:style w:type="character" w:styleId="FollowedHyperlink">
    <w:name w:val="FollowedHyperlink"/>
    <w:basedOn w:val="DefaultParagraphFont"/>
    <w:uiPriority w:val="99"/>
    <w:semiHidden/>
    <w:unhideWhenUsed/>
    <w:rsid w:val="001018CB"/>
    <w:rPr>
      <w:color w:val="442325" w:themeColor="followedHyperlink"/>
      <w:u w:val="single"/>
    </w:rPr>
  </w:style>
  <w:style w:type="paragraph" w:customStyle="1" w:styleId="Normalsmall">
    <w:name w:val="Normal small"/>
    <w:qFormat/>
    <w:rsid w:val="001018CB"/>
    <w:pPr>
      <w:spacing w:after="120" w:line="276" w:lineRule="auto"/>
    </w:pPr>
    <w:rPr>
      <w:sz w:val="18"/>
      <w:szCs w:val="18"/>
    </w:rPr>
  </w:style>
  <w:style w:type="paragraph" w:customStyle="1" w:styleId="ERACbullets">
    <w:name w:val="ERAC bullets"/>
    <w:basedOn w:val="Normal"/>
    <w:link w:val="ERACbulletsChar"/>
    <w:uiPriority w:val="7"/>
    <w:rsid w:val="001018CB"/>
    <w:pPr>
      <w:ind w:left="360" w:hanging="360"/>
    </w:pPr>
    <w:rPr>
      <w:rFonts w:eastAsia="Cambria" w:cs="Calibri"/>
      <w:szCs w:val="24"/>
    </w:rPr>
  </w:style>
  <w:style w:type="character" w:customStyle="1" w:styleId="ERACbulletsChar">
    <w:name w:val="ERAC bullets Char"/>
    <w:link w:val="ERACbullets"/>
    <w:uiPriority w:val="7"/>
    <w:rsid w:val="001018CB"/>
    <w:rPr>
      <w:rFonts w:ascii="Calibri" w:eastAsia="Cambria" w:hAnsi="Calibri" w:cs="Calibri"/>
      <w:szCs w:val="24"/>
    </w:rPr>
  </w:style>
  <w:style w:type="paragraph" w:customStyle="1" w:styleId="paragraphsub-sub">
    <w:name w:val="paragraphsub-sub"/>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nresolvedMention2">
    <w:name w:val="Unresolved Mention2"/>
    <w:basedOn w:val="DefaultParagraphFont"/>
    <w:uiPriority w:val="99"/>
    <w:semiHidden/>
    <w:unhideWhenUsed/>
    <w:rsid w:val="001018CB"/>
    <w:rPr>
      <w:color w:val="605E5C"/>
      <w:shd w:val="clear" w:color="auto" w:fill="E1DFDD"/>
    </w:rPr>
  </w:style>
  <w:style w:type="character" w:customStyle="1" w:styleId="apple-converted-space">
    <w:name w:val="apple-converted-space"/>
    <w:basedOn w:val="DefaultParagraphFont"/>
    <w:rsid w:val="001018CB"/>
  </w:style>
  <w:style w:type="character" w:customStyle="1" w:styleId="advisorytext">
    <w:name w:val="advisorytext"/>
    <w:basedOn w:val="DefaultParagraphFont"/>
    <w:rsid w:val="001018CB"/>
  </w:style>
  <w:style w:type="character" w:customStyle="1" w:styleId="UnresolvedMention3">
    <w:name w:val="Unresolved Mention3"/>
    <w:basedOn w:val="DefaultParagraphFont"/>
    <w:uiPriority w:val="99"/>
    <w:semiHidden/>
    <w:unhideWhenUsed/>
    <w:rsid w:val="001018CB"/>
    <w:rPr>
      <w:color w:val="605E5C"/>
      <w:shd w:val="clear" w:color="auto" w:fill="E1DFDD"/>
    </w:rPr>
  </w:style>
  <w:style w:type="paragraph" w:customStyle="1" w:styleId="subsection2">
    <w:name w:val="subsection2"/>
    <w:basedOn w:val="Normal"/>
    <w:rsid w:val="001018C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nresolvedMention4">
    <w:name w:val="Unresolved Mention4"/>
    <w:basedOn w:val="DefaultParagraphFont"/>
    <w:uiPriority w:val="99"/>
    <w:semiHidden/>
    <w:unhideWhenUsed/>
    <w:rsid w:val="001018CB"/>
    <w:rPr>
      <w:color w:val="605E5C"/>
      <w:shd w:val="clear" w:color="auto" w:fill="E1DFDD"/>
    </w:rPr>
  </w:style>
  <w:style w:type="paragraph" w:styleId="TOCHeading">
    <w:name w:val="TOC Heading"/>
    <w:basedOn w:val="Heading1"/>
    <w:next w:val="Normal"/>
    <w:uiPriority w:val="39"/>
    <w:unhideWhenUsed/>
    <w:qFormat/>
    <w:rsid w:val="001018CB"/>
    <w:pPr>
      <w:spacing w:after="0" w:line="259" w:lineRule="auto"/>
      <w:outlineLvl w:val="9"/>
    </w:pPr>
    <w:rPr>
      <w:rFonts w:asciiTheme="majorHAnsi" w:hAnsiTheme="majorHAnsi"/>
      <w:b w:val="0"/>
      <w:color w:val="485E66" w:themeColor="accent1" w:themeShade="BF"/>
      <w:sz w:val="32"/>
      <w:lang w:val="en-US"/>
    </w:rPr>
  </w:style>
  <w:style w:type="paragraph" w:styleId="TOC1">
    <w:name w:val="toc 1"/>
    <w:basedOn w:val="Normal"/>
    <w:next w:val="Normal"/>
    <w:autoRedefine/>
    <w:uiPriority w:val="39"/>
    <w:unhideWhenUsed/>
    <w:rsid w:val="001018CB"/>
    <w:pPr>
      <w:spacing w:before="0" w:after="100" w:line="256" w:lineRule="auto"/>
    </w:pPr>
    <w:rPr>
      <w:rFonts w:asciiTheme="minorHAnsi" w:hAnsiTheme="minorHAnsi"/>
    </w:rPr>
  </w:style>
  <w:style w:type="paragraph" w:styleId="TOC2">
    <w:name w:val="toc 2"/>
    <w:basedOn w:val="Normal"/>
    <w:next w:val="Normal"/>
    <w:autoRedefine/>
    <w:uiPriority w:val="39"/>
    <w:unhideWhenUsed/>
    <w:rsid w:val="001018CB"/>
    <w:pPr>
      <w:spacing w:before="0" w:after="100" w:line="256" w:lineRule="auto"/>
      <w:ind w:left="220"/>
    </w:pPr>
    <w:rPr>
      <w:rFonts w:asciiTheme="minorHAnsi" w:hAnsiTheme="minorHAnsi"/>
    </w:rPr>
  </w:style>
  <w:style w:type="paragraph" w:styleId="TOC3">
    <w:name w:val="toc 3"/>
    <w:basedOn w:val="Normal"/>
    <w:next w:val="Normal"/>
    <w:autoRedefine/>
    <w:uiPriority w:val="39"/>
    <w:unhideWhenUsed/>
    <w:rsid w:val="001018CB"/>
    <w:pPr>
      <w:spacing w:before="0" w:after="100" w:line="256" w:lineRule="auto"/>
      <w:ind w:left="440"/>
    </w:pPr>
    <w:rPr>
      <w:rFonts w:asciiTheme="minorHAnsi" w:hAnsiTheme="minorHAnsi"/>
    </w:rPr>
  </w:style>
  <w:style w:type="paragraph" w:customStyle="1" w:styleId="List5">
    <w:name w:val="List5"/>
    <w:basedOn w:val="List3"/>
    <w:link w:val="List5Char"/>
    <w:qFormat/>
    <w:rsid w:val="00C407A0"/>
    <w:pPr>
      <w:ind w:left="1077"/>
    </w:pPr>
    <w:rPr>
      <w:color w:val="auto"/>
    </w:rPr>
  </w:style>
  <w:style w:type="character" w:customStyle="1" w:styleId="Date-CoverPageChar">
    <w:name w:val="Date - Cover Page Char"/>
    <w:basedOn w:val="DefaultParagraphFont"/>
    <w:link w:val="Date-CoverPage"/>
    <w:rsid w:val="00A02C4B"/>
    <w:rPr>
      <w:color w:val="FFFFFF"/>
      <w:sz w:val="24"/>
      <w:szCs w:val="21"/>
    </w:rPr>
  </w:style>
  <w:style w:type="character" w:customStyle="1" w:styleId="List5Char">
    <w:name w:val="List5 Char"/>
    <w:basedOn w:val="List3Char"/>
    <w:link w:val="List5"/>
    <w:rsid w:val="00C407A0"/>
    <w:rPr>
      <w:rFonts w:ascii="Calibri" w:eastAsiaTheme="majorEastAsia" w:hAnsi="Calibri" w:cstheme="majorBidi"/>
      <w:b w:val="0"/>
      <w:bCs/>
      <w:iCs/>
      <w:color w:val="000000" w:themeColor="text1"/>
    </w:rPr>
  </w:style>
  <w:style w:type="paragraph" w:customStyle="1" w:styleId="List31">
    <w:name w:val="List3.1"/>
    <w:basedOn w:val="List3"/>
    <w:link w:val="List31Char"/>
    <w:qFormat/>
    <w:rsid w:val="003E3C62"/>
    <w:pPr>
      <w:ind w:left="1428" w:hanging="714"/>
    </w:pPr>
  </w:style>
  <w:style w:type="character" w:customStyle="1" w:styleId="List31Char">
    <w:name w:val="List3.1 Char"/>
    <w:basedOn w:val="List3Char"/>
    <w:link w:val="List31"/>
    <w:rsid w:val="003E3C62"/>
    <w:rPr>
      <w:rFonts w:ascii="Calibri" w:eastAsiaTheme="majorEastAsia" w:hAnsi="Calibri" w:cstheme="majorBidi"/>
      <w:b w:val="0"/>
      <w:bCs/>
      <w:iCs/>
      <w:color w:val="000000" w:themeColor="text1"/>
    </w:rPr>
  </w:style>
  <w:style w:type="character" w:customStyle="1" w:styleId="UnresolvedMention5">
    <w:name w:val="Unresolved Mention5"/>
    <w:basedOn w:val="DefaultParagraphFont"/>
    <w:uiPriority w:val="99"/>
    <w:semiHidden/>
    <w:unhideWhenUsed/>
    <w:rsid w:val="000A16AD"/>
    <w:rPr>
      <w:color w:val="605E5C"/>
      <w:shd w:val="clear" w:color="auto" w:fill="E1DFDD"/>
    </w:rPr>
  </w:style>
  <w:style w:type="paragraph" w:customStyle="1" w:styleId="List7">
    <w:name w:val="List7"/>
    <w:basedOn w:val="Style1"/>
    <w:link w:val="List7Char"/>
    <w:qFormat/>
    <w:rsid w:val="00B77A08"/>
    <w:pPr>
      <w:numPr>
        <w:numId w:val="11"/>
      </w:numPr>
      <w:ind w:left="1440" w:hanging="720"/>
      <w:outlineLvl w:val="9"/>
    </w:pPr>
  </w:style>
  <w:style w:type="character" w:customStyle="1" w:styleId="NoSpacingChar">
    <w:name w:val="No Spacing Char"/>
    <w:basedOn w:val="DefaultParagraphFont"/>
    <w:link w:val="NoSpacing"/>
    <w:uiPriority w:val="1"/>
    <w:rsid w:val="007901A7"/>
  </w:style>
  <w:style w:type="character" w:customStyle="1" w:styleId="List7Char">
    <w:name w:val="List7 Char"/>
    <w:basedOn w:val="Style1Char"/>
    <w:link w:val="List7"/>
    <w:rsid w:val="00B77A08"/>
    <w:rPr>
      <w:rFonts w:ascii="Calibri" w:eastAsiaTheme="majorEastAsia" w:hAnsi="Calibri" w:cstheme="majorBidi"/>
      <w:b w:val="0"/>
      <w:bCs/>
      <w:iCs/>
      <w:color w:val="000000" w:themeColor="text1"/>
    </w:rPr>
  </w:style>
  <w:style w:type="paragraph" w:customStyle="1" w:styleId="List10">
    <w:name w:val="List10"/>
    <w:basedOn w:val="List7"/>
    <w:link w:val="List10Char"/>
    <w:rsid w:val="00C33BD1"/>
    <w:pPr>
      <w:numPr>
        <w:numId w:val="0"/>
      </w:numPr>
      <w:ind w:left="714" w:hanging="357"/>
    </w:pPr>
  </w:style>
  <w:style w:type="character" w:customStyle="1" w:styleId="List10Char">
    <w:name w:val="List10 Char"/>
    <w:basedOn w:val="List7Char"/>
    <w:link w:val="List10"/>
    <w:rsid w:val="00C33BD1"/>
    <w:rPr>
      <w:rFonts w:ascii="Calibri" w:eastAsiaTheme="majorEastAsia" w:hAnsi="Calibri" w:cstheme="majorBidi"/>
      <w:b w:val="0"/>
      <w:bCs/>
      <w:iCs/>
      <w:color w:val="000000" w:themeColor="text1"/>
    </w:rPr>
  </w:style>
  <w:style w:type="character" w:customStyle="1" w:styleId="UnresolvedMention6">
    <w:name w:val="Unresolved Mention6"/>
    <w:basedOn w:val="DefaultParagraphFont"/>
    <w:uiPriority w:val="99"/>
    <w:semiHidden/>
    <w:unhideWhenUsed/>
    <w:rsid w:val="008F1DA9"/>
    <w:rPr>
      <w:color w:val="605E5C"/>
      <w:shd w:val="clear" w:color="auto" w:fill="E1DFDD"/>
    </w:rPr>
  </w:style>
  <w:style w:type="paragraph" w:styleId="EndnoteText">
    <w:name w:val="endnote text"/>
    <w:basedOn w:val="Normal"/>
    <w:link w:val="EndnoteTextChar"/>
    <w:uiPriority w:val="99"/>
    <w:unhideWhenUsed/>
    <w:rsid w:val="00FC2E32"/>
    <w:pPr>
      <w:spacing w:before="0" w:after="0"/>
    </w:pPr>
    <w:rPr>
      <w:sz w:val="20"/>
      <w:szCs w:val="20"/>
    </w:rPr>
  </w:style>
  <w:style w:type="character" w:customStyle="1" w:styleId="EndnoteTextChar">
    <w:name w:val="Endnote Text Char"/>
    <w:basedOn w:val="DefaultParagraphFont"/>
    <w:link w:val="EndnoteText"/>
    <w:uiPriority w:val="99"/>
    <w:rsid w:val="00FC2E32"/>
    <w:rPr>
      <w:rFonts w:ascii="Calibri" w:hAnsi="Calibri"/>
      <w:sz w:val="20"/>
      <w:szCs w:val="20"/>
    </w:rPr>
  </w:style>
  <w:style w:type="character" w:styleId="EndnoteReference">
    <w:name w:val="endnote reference"/>
    <w:basedOn w:val="DefaultParagraphFont"/>
    <w:uiPriority w:val="99"/>
    <w:semiHidden/>
    <w:unhideWhenUsed/>
    <w:rsid w:val="00FC2E32"/>
    <w:rPr>
      <w:vertAlign w:val="superscript"/>
    </w:rPr>
  </w:style>
  <w:style w:type="paragraph" w:styleId="Caption">
    <w:name w:val="caption"/>
    <w:basedOn w:val="Normal"/>
    <w:next w:val="Normal"/>
    <w:uiPriority w:val="35"/>
    <w:unhideWhenUsed/>
    <w:qFormat/>
    <w:rsid w:val="0070034E"/>
    <w:pPr>
      <w:spacing w:before="0" w:after="200"/>
    </w:pPr>
    <w:rPr>
      <w:i/>
      <w:iCs/>
      <w:color w:val="006266" w:themeColor="text2"/>
      <w:sz w:val="18"/>
      <w:szCs w:val="18"/>
    </w:rPr>
  </w:style>
  <w:style w:type="character" w:customStyle="1" w:styleId="UnresolvedMention7">
    <w:name w:val="Unresolved Mention7"/>
    <w:basedOn w:val="DefaultParagraphFont"/>
    <w:uiPriority w:val="99"/>
    <w:semiHidden/>
    <w:unhideWhenUsed/>
    <w:rsid w:val="00AB40D1"/>
    <w:rPr>
      <w:color w:val="605E5C"/>
      <w:shd w:val="clear" w:color="auto" w:fill="E1DFDD"/>
    </w:rPr>
  </w:style>
  <w:style w:type="character" w:customStyle="1" w:styleId="UnresolvedMention8">
    <w:name w:val="Unresolved Mention8"/>
    <w:basedOn w:val="DefaultParagraphFont"/>
    <w:uiPriority w:val="99"/>
    <w:semiHidden/>
    <w:unhideWhenUsed/>
    <w:rsid w:val="001C3DFE"/>
    <w:rPr>
      <w:color w:val="605E5C"/>
      <w:shd w:val="clear" w:color="auto" w:fill="E1DFDD"/>
    </w:rPr>
  </w:style>
  <w:style w:type="paragraph" w:styleId="TableofFigures">
    <w:name w:val="table of figures"/>
    <w:basedOn w:val="Normal"/>
    <w:next w:val="Normal"/>
    <w:uiPriority w:val="99"/>
    <w:unhideWhenUsed/>
    <w:rsid w:val="0070034E"/>
    <w:pPr>
      <w:spacing w:after="0"/>
    </w:pPr>
  </w:style>
  <w:style w:type="character" w:customStyle="1" w:styleId="UnresolvedMention9">
    <w:name w:val="Unresolved Mention9"/>
    <w:basedOn w:val="DefaultParagraphFont"/>
    <w:uiPriority w:val="99"/>
    <w:semiHidden/>
    <w:unhideWhenUsed/>
    <w:rsid w:val="001C7990"/>
    <w:rPr>
      <w:color w:val="605E5C"/>
      <w:shd w:val="clear" w:color="auto" w:fill="E1DFDD"/>
    </w:rPr>
  </w:style>
  <w:style w:type="character" w:customStyle="1" w:styleId="UnresolvedMention10">
    <w:name w:val="Unresolved Mention10"/>
    <w:basedOn w:val="DefaultParagraphFont"/>
    <w:uiPriority w:val="99"/>
    <w:semiHidden/>
    <w:unhideWhenUsed/>
    <w:rsid w:val="00612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588">
      <w:bodyDiv w:val="1"/>
      <w:marLeft w:val="0"/>
      <w:marRight w:val="0"/>
      <w:marTop w:val="0"/>
      <w:marBottom w:val="0"/>
      <w:divBdr>
        <w:top w:val="none" w:sz="0" w:space="0" w:color="auto"/>
        <w:left w:val="none" w:sz="0" w:space="0" w:color="auto"/>
        <w:bottom w:val="none" w:sz="0" w:space="0" w:color="auto"/>
        <w:right w:val="none" w:sz="0" w:space="0" w:color="auto"/>
      </w:divBdr>
    </w:div>
    <w:div w:id="289239516">
      <w:bodyDiv w:val="1"/>
      <w:marLeft w:val="0"/>
      <w:marRight w:val="0"/>
      <w:marTop w:val="0"/>
      <w:marBottom w:val="0"/>
      <w:divBdr>
        <w:top w:val="none" w:sz="0" w:space="0" w:color="auto"/>
        <w:left w:val="none" w:sz="0" w:space="0" w:color="auto"/>
        <w:bottom w:val="none" w:sz="0" w:space="0" w:color="auto"/>
        <w:right w:val="none" w:sz="0" w:space="0" w:color="auto"/>
      </w:divBdr>
    </w:div>
    <w:div w:id="308169996">
      <w:bodyDiv w:val="1"/>
      <w:marLeft w:val="0"/>
      <w:marRight w:val="0"/>
      <w:marTop w:val="0"/>
      <w:marBottom w:val="0"/>
      <w:divBdr>
        <w:top w:val="none" w:sz="0" w:space="0" w:color="auto"/>
        <w:left w:val="none" w:sz="0" w:space="0" w:color="auto"/>
        <w:bottom w:val="none" w:sz="0" w:space="0" w:color="auto"/>
        <w:right w:val="none" w:sz="0" w:space="0" w:color="auto"/>
      </w:divBdr>
    </w:div>
    <w:div w:id="1076122610">
      <w:bodyDiv w:val="1"/>
      <w:marLeft w:val="0"/>
      <w:marRight w:val="0"/>
      <w:marTop w:val="0"/>
      <w:marBottom w:val="0"/>
      <w:divBdr>
        <w:top w:val="none" w:sz="0" w:space="0" w:color="auto"/>
        <w:left w:val="none" w:sz="0" w:space="0" w:color="auto"/>
        <w:bottom w:val="none" w:sz="0" w:space="0" w:color="auto"/>
        <w:right w:val="none" w:sz="0" w:space="0" w:color="auto"/>
      </w:divBdr>
    </w:div>
    <w:div w:id="1284461140">
      <w:bodyDiv w:val="1"/>
      <w:marLeft w:val="0"/>
      <w:marRight w:val="0"/>
      <w:marTop w:val="0"/>
      <w:marBottom w:val="0"/>
      <w:divBdr>
        <w:top w:val="none" w:sz="0" w:space="0" w:color="auto"/>
        <w:left w:val="none" w:sz="0" w:space="0" w:color="auto"/>
        <w:bottom w:val="none" w:sz="0" w:space="0" w:color="auto"/>
        <w:right w:val="none" w:sz="0" w:space="0" w:color="auto"/>
      </w:divBdr>
    </w:div>
    <w:div w:id="165937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yperlink" Target="https://consult.dcceew.gov.au/independent-review-of-acc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eur01.safelinks.protection.outlook.com/?url=https%3A%2F%2Fwww.dcceew.gov.au%2Fclimate-change%2Femissions-reporting%2Ftracking-reporting-emissions&amp;data=05%7C01%7CSteve.Hatfield-Dodds%40eyportjacksonpartners.com%7C0379020a3cb94443ab2008dadc0df371%7C5b973f9977df4bebb27daa0c70b8482c%7C0%7C0%7C638064252423123237%7CUnknown%7CTWFpbGZsb3d8eyJWIjoiMC4wLjAwMDAiLCJQIjoiV2luMzIiLCJBTiI6Ik1haWwiLCJXVCI6Mn0%3D%7C3000%7C%7C%7C&amp;sdata=3VEhN%2B8SUHsYXhCYhQcZv20%2BdauuB5G5mS1gFjd%2B8lQ%3D&amp;reserved=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dcceew.gov.au" TargetMode="External"/><Relationship Id="rId25" Type="http://schemas.openxmlformats.org/officeDocument/2006/relationships/footer" Target="footer5.xml"/><Relationship Id="rId33" Type="http://schemas.openxmlformats.org/officeDocument/2006/relationships/image" Target="media/image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yperlink" Target="mailto:copyright@dcceew.gov.au" TargetMode="External"/><Relationship Id="rId23" Type="http://schemas.openxmlformats.org/officeDocument/2006/relationships/header" Target="header8.xml"/><Relationship Id="rId28" Type="http://schemas.openxmlformats.org/officeDocument/2006/relationships/hyperlink" Target="https://www.legislation.gov.au/Details/C2019C00253" TargetMode="External"/><Relationship Id="rId36" Type="http://schemas.openxmlformats.org/officeDocument/2006/relationships/header" Target="header14.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legalcode" TargetMode="External"/><Relationship Id="rId22" Type="http://schemas.openxmlformats.org/officeDocument/2006/relationships/header" Target="header7.xml"/><Relationship Id="rId27" Type="http://schemas.openxmlformats.org/officeDocument/2006/relationships/hyperlink" Target="https://www.dcceew.gov.au/climate-change/emissions-reduction/independent-review-accus" TargetMode="External"/><Relationship Id="rId30" Type="http://schemas.openxmlformats.org/officeDocument/2006/relationships/header" Target="header11.xml"/><Relationship Id="rId35" Type="http://schemas.openxmlformats.org/officeDocument/2006/relationships/header" Target="header13.xml"/></Relationships>
</file>

<file path=word/_rels/footnotes.xml.rels><?xml version="1.0" encoding="UTF-8" standalone="yes"?>
<Relationships xmlns="http://schemas.openxmlformats.org/package/2006/relationships"><Relationship Id="rId8" Type="http://schemas.openxmlformats.org/officeDocument/2006/relationships/hyperlink" Target="https://www.cleanenergyregulator.gov.au/About/What-we-do" TargetMode="External"/><Relationship Id="rId13" Type="http://schemas.openxmlformats.org/officeDocument/2006/relationships/hyperlink" Target="https://www.dcceew.gov.au/sites/default/files/documents/erf-white-paper.pdf" TargetMode="External"/><Relationship Id="rId18" Type="http://schemas.openxmlformats.org/officeDocument/2006/relationships/hyperlink" Target="https://www.legislation.gov.au/Details/C2017C00076" TargetMode="External"/><Relationship Id="rId26" Type="http://schemas.openxmlformats.org/officeDocument/2006/relationships/hyperlink" Target="https://www.legislation.gov.au/Details/C2017C00076" TargetMode="External"/><Relationship Id="rId3" Type="http://schemas.openxmlformats.org/officeDocument/2006/relationships/hyperlink" Target="https://www.dcceew.gov.au/sites/default/files/documents/expert-panel-report-examining-additional-sources-of-low-cost-abatement.pdf" TargetMode="External"/><Relationship Id="rId21" Type="http://schemas.openxmlformats.org/officeDocument/2006/relationships/hyperlink" Target="https://www.climatechangeauthority.gov.au/publications/2017-review-emissions-reduction-fund" TargetMode="External"/><Relationship Id="rId7" Type="http://schemas.openxmlformats.org/officeDocument/2006/relationships/hyperlink" Target="https://grattan.edu.au/wp-content/uploads/2022/07/New-politics-A-better-process-for-public-appointments.pdf" TargetMode="External"/><Relationship Id="rId12" Type="http://schemas.openxmlformats.org/officeDocument/2006/relationships/hyperlink" Target="https://www.dcceew.gov.au/sites/default/files/documents/erf-white-paper.pdf" TargetMode="External"/><Relationship Id="rId17" Type="http://schemas.openxmlformats.org/officeDocument/2006/relationships/hyperlink" Target="https://www.climatechangeauthority.gov.au/sites/default/files/2022-08/Review%20of%20International%20Offsets%20-%20Report%20-%20August%202022.pdf" TargetMode="External"/><Relationship Id="rId25" Type="http://schemas.openxmlformats.org/officeDocument/2006/relationships/hyperlink" Target="https://www.cleanenergyregulator.gov.au/ERF/Choosing-a-project-type/Opportunities-for-the-land-sector/Vegetation-methods/Human-Induced%20regeneration%20of%20a%20permanent%20even-aged%20native%20forest" TargetMode="External"/><Relationship Id="rId2" Type="http://schemas.openxmlformats.org/officeDocument/2006/relationships/hyperlink" Target="https://www.climatechangeauthority.gov.au/sites/default/files/2022-08/Review%20of%20International%20Offsets%20-%20Report%20-%20August%202022.pdf" TargetMode="External"/><Relationship Id="rId16" Type="http://schemas.openxmlformats.org/officeDocument/2006/relationships/hyperlink" Target="https://icvcm.org/the-core-carbon-principles/" TargetMode="External"/><Relationship Id="rId20" Type="http://schemas.openxmlformats.org/officeDocument/2006/relationships/hyperlink" Target="https://www.climatechangeauthority.gov.au/publications/2020-review-emissions-reduction-fund" TargetMode="External"/><Relationship Id="rId29" Type="http://schemas.openxmlformats.org/officeDocument/2006/relationships/hyperlink" Target="https://www.dcceew.gov.au/sites/default/files/documents/nature-positive-plan.pdf" TargetMode="External"/><Relationship Id="rId1" Type="http://schemas.openxmlformats.org/officeDocument/2006/relationships/hyperlink" Target="https://icvcm.org/the-core-carbon-principles/" TargetMode="External"/><Relationship Id="rId6" Type="http://schemas.openxmlformats.org/officeDocument/2006/relationships/hyperlink" Target="https://www.apsc.gov.au/working-aps/governments-merit-and-transparency-policy" TargetMode="External"/><Relationship Id="rId11" Type="http://schemas.openxmlformats.org/officeDocument/2006/relationships/hyperlink" Target="https://www.dcceew.gov.au/sites/default/files/documents/nature-positive-plan.pdf" TargetMode="External"/><Relationship Id="rId24" Type="http://schemas.openxmlformats.org/officeDocument/2006/relationships/hyperlink" Target="https://www.climatechangeauthority.gov.au/sites/default/files/2022-08/Review%20of%20International%20Offsets%20-%20Gilbert%20%2B%20Tobin%20report%20-%20August%202022.pdf" TargetMode="External"/><Relationship Id="rId5" Type="http://schemas.openxmlformats.org/officeDocument/2006/relationships/hyperlink" Target="https://www.dcceew.gov.au/sites/default/files/documents/expert-panel-report-examining-additional-sources-of-low-cost-abatement.pdf" TargetMode="External"/><Relationship Id="rId15" Type="http://schemas.openxmlformats.org/officeDocument/2006/relationships/hyperlink" Target="https://www.legislation.gov.au/Details/C2017C00076" TargetMode="External"/><Relationship Id="rId23" Type="http://schemas.openxmlformats.org/officeDocument/2006/relationships/hyperlink" Target="https://www.climatechangeauthority.gov.au/sites/default/files/2022-08/Review%20of%20International%20Offsets%20-%20Report%20-%20August%202022.pdf" TargetMode="External"/><Relationship Id="rId28" Type="http://schemas.openxmlformats.org/officeDocument/2006/relationships/hyperlink" Target="https://www.cleanenergyregulator.gov.au/ERF/Choosing-a-project-type/Opportunities-for-the-land-sector/Vegetation-methods/Native-forest-protection-(avoided-deforestation)" TargetMode="External"/><Relationship Id="rId10" Type="http://schemas.openxmlformats.org/officeDocument/2006/relationships/hyperlink" Target="https://epbcactreview.environment.gov.au/resources/final-report/chapter-10" TargetMode="External"/><Relationship Id="rId19" Type="http://schemas.openxmlformats.org/officeDocument/2006/relationships/hyperlink" Target="https://parlinfo.aph.gov.au/parlInfo/download/legislation/ems/r5280_ems_5bc5670e-bc49-4b79-8083-78c9ee7389ed/upload_pdf/395338.pdf;fileType=application%2Fpdf" TargetMode="External"/><Relationship Id="rId4" Type="http://schemas.openxmlformats.org/officeDocument/2006/relationships/hyperlink" Target="https://www.climatechangeauthority.gov.au/sites/default/files/2020-11/ERF%20Review%20Final%20Report%2020201009_2.pdf" TargetMode="External"/><Relationship Id="rId9" Type="http://schemas.openxmlformats.org/officeDocument/2006/relationships/hyperlink" Target="https://www.legislation.gov.au/Details/C2017C00076" TargetMode="External"/><Relationship Id="rId14" Type="http://schemas.openxmlformats.org/officeDocument/2006/relationships/hyperlink" Target="https://www.cleanenergyregulator.gov.au/ERF/Pages/Method%20development%20tracker/Method-development-tracker.aspx" TargetMode="External"/><Relationship Id="rId22" Type="http://schemas.openxmlformats.org/officeDocument/2006/relationships/hyperlink" Target="https://www.legislation.gov.au/Details/C2017C00076" TargetMode="External"/><Relationship Id="rId27" Type="http://schemas.openxmlformats.org/officeDocument/2006/relationships/hyperlink" Target="https://publications.csiro.au/publications/publication/PIcsiro:EP2022-5251" TargetMode="External"/><Relationship Id="rId30" Type="http://schemas.openxmlformats.org/officeDocument/2006/relationships/hyperlink" Target="https://www.dcceew.gov.au/about/reporting/obligations/government-responses/destruction-of-juukan-gorge"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6266"/>
      </a:dk2>
      <a:lt2>
        <a:srgbClr val="D5D5D5"/>
      </a:lt2>
      <a:accent1>
        <a:srgbClr val="617E89"/>
      </a:accent1>
      <a:accent2>
        <a:srgbClr val="C86C56"/>
      </a:accent2>
      <a:accent3>
        <a:srgbClr val="A5A5A5"/>
      </a:accent3>
      <a:accent4>
        <a:srgbClr val="FFFFFF"/>
      </a:accent4>
      <a:accent5>
        <a:srgbClr val="FFFFFF"/>
      </a:accent5>
      <a:accent6>
        <a:srgbClr val="FFFFFF"/>
      </a:accent6>
      <a:hlink>
        <a:srgbClr val="1F497D"/>
      </a:hlink>
      <a:folHlink>
        <a:srgbClr val="44232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17887</Words>
  <Characters>101957</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2023-02-13T00:08:00Z</dcterms:created>
  <dcterms:modified xsi:type="dcterms:W3CDTF">2025-02-19T23:40:00Z</dcterms:modified>
</cp:coreProperties>
</file>