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E23C9" w14:textId="77777777" w:rsidR="00D563C8" w:rsidRPr="00FF5FB8" w:rsidRDefault="00D563C8" w:rsidP="00D563C8">
      <w:pPr>
        <w:spacing w:line="240" w:lineRule="auto"/>
        <w:jc w:val="right"/>
        <w:rPr>
          <w:b/>
        </w:rPr>
      </w:pPr>
      <w:bookmarkStart w:id="0" w:name="_GoBack"/>
      <w:bookmarkEnd w:id="0"/>
      <w:r w:rsidRPr="00FF5FB8">
        <w:rPr>
          <w:b/>
        </w:rPr>
        <w:t>DEPUTY CHIEF EXECUTIVE OFFICER</w:t>
      </w:r>
    </w:p>
    <w:p w14:paraId="6C1F9602" w14:textId="0F3F3380" w:rsidR="00D563C8" w:rsidRPr="00FF5FB8" w:rsidRDefault="00D563C8" w:rsidP="00D563C8">
      <w:pPr>
        <w:spacing w:line="240" w:lineRule="auto"/>
        <w:jc w:val="right"/>
        <w:rPr>
          <w:b/>
        </w:rPr>
      </w:pPr>
      <w:r>
        <w:rPr>
          <w:b/>
        </w:rPr>
        <w:t>KEVIN BRAHIM</w:t>
      </w:r>
    </w:p>
    <w:p w14:paraId="37527CBD" w14:textId="77777777" w:rsidR="00D563C8" w:rsidRDefault="00D563C8" w:rsidP="000423A4">
      <w:pPr>
        <w:pStyle w:val="NoSpacing"/>
        <w:rPr>
          <w:rFonts w:ascii="Times New Roman" w:hAnsi="Times New Roman" w:cs="Times New Roman"/>
          <w:sz w:val="24"/>
          <w:szCs w:val="24"/>
        </w:rPr>
      </w:pPr>
    </w:p>
    <w:p w14:paraId="0C24B5D3" w14:textId="77777777" w:rsidR="00911B28" w:rsidRDefault="00911B28" w:rsidP="000423A4">
      <w:pPr>
        <w:pStyle w:val="NoSpacing"/>
        <w:rPr>
          <w:rFonts w:ascii="Times New Roman" w:hAnsi="Times New Roman" w:cs="Times New Roman"/>
          <w:sz w:val="24"/>
          <w:szCs w:val="24"/>
        </w:rPr>
      </w:pPr>
    </w:p>
    <w:p w14:paraId="28CBC164" w14:textId="71612843" w:rsidR="00D475F5" w:rsidRDefault="00D475F5" w:rsidP="000423A4">
      <w:pPr>
        <w:pStyle w:val="NoSpacing"/>
        <w:rPr>
          <w:rFonts w:ascii="Times New Roman" w:hAnsi="Times New Roman" w:cs="Times New Roman"/>
          <w:sz w:val="24"/>
          <w:szCs w:val="24"/>
        </w:rPr>
      </w:pPr>
      <w:r>
        <w:rPr>
          <w:rFonts w:ascii="Times New Roman" w:hAnsi="Times New Roman" w:cs="Times New Roman"/>
          <w:sz w:val="24"/>
          <w:szCs w:val="24"/>
        </w:rPr>
        <w:t xml:space="preserve">Ms </w:t>
      </w:r>
      <w:r w:rsidR="000211D5" w:rsidRPr="00D475F5">
        <w:rPr>
          <w:rFonts w:ascii="Times New Roman" w:hAnsi="Times New Roman" w:cs="Times New Roman"/>
          <w:sz w:val="24"/>
          <w:szCs w:val="24"/>
        </w:rPr>
        <w:t>Joanna Abhayaratna</w:t>
      </w:r>
    </w:p>
    <w:p w14:paraId="46685A2A" w14:textId="65089C67" w:rsidR="000423A4" w:rsidRPr="00C63E98" w:rsidRDefault="00D475F5" w:rsidP="000423A4">
      <w:pPr>
        <w:pStyle w:val="NoSpacing"/>
        <w:rPr>
          <w:rFonts w:ascii="Times New Roman" w:hAnsi="Times New Roman" w:cs="Times New Roman"/>
          <w:sz w:val="24"/>
          <w:szCs w:val="24"/>
        </w:rPr>
      </w:pPr>
      <w:r w:rsidRPr="00D475F5">
        <w:rPr>
          <w:rFonts w:ascii="Times New Roman" w:hAnsi="Times New Roman" w:cs="Times New Roman"/>
          <w:sz w:val="24"/>
          <w:szCs w:val="24"/>
        </w:rPr>
        <w:t>Executive Director</w:t>
      </w:r>
      <w:r w:rsidRPr="00C63E98" w:rsidDel="000211D5">
        <w:rPr>
          <w:rFonts w:ascii="Times New Roman" w:hAnsi="Times New Roman" w:cs="Times New Roman"/>
          <w:sz w:val="24"/>
          <w:szCs w:val="24"/>
        </w:rPr>
        <w:t xml:space="preserve"> </w:t>
      </w:r>
    </w:p>
    <w:p w14:paraId="2C57CEDB" w14:textId="77777777" w:rsidR="000423A4" w:rsidRPr="00C63E98" w:rsidRDefault="000423A4" w:rsidP="000423A4">
      <w:pPr>
        <w:pStyle w:val="NoSpacing"/>
        <w:rPr>
          <w:rFonts w:ascii="Times New Roman" w:hAnsi="Times New Roman" w:cs="Times New Roman"/>
          <w:sz w:val="24"/>
          <w:szCs w:val="24"/>
        </w:rPr>
      </w:pPr>
      <w:r w:rsidRPr="00C63E98">
        <w:rPr>
          <w:rFonts w:ascii="Times New Roman" w:hAnsi="Times New Roman" w:cs="Times New Roman"/>
          <w:sz w:val="24"/>
          <w:szCs w:val="24"/>
        </w:rPr>
        <w:t>Office of Impact Analysis</w:t>
      </w:r>
    </w:p>
    <w:p w14:paraId="3FA779FB" w14:textId="77777777" w:rsidR="000423A4" w:rsidRPr="00C63E98" w:rsidRDefault="000423A4" w:rsidP="000423A4">
      <w:pPr>
        <w:pStyle w:val="NoSpacing"/>
        <w:rPr>
          <w:rFonts w:ascii="Times New Roman" w:hAnsi="Times New Roman" w:cs="Times New Roman"/>
          <w:sz w:val="24"/>
          <w:szCs w:val="24"/>
        </w:rPr>
      </w:pPr>
      <w:r w:rsidRPr="00C63E98">
        <w:rPr>
          <w:rFonts w:ascii="Times New Roman" w:hAnsi="Times New Roman" w:cs="Times New Roman"/>
          <w:sz w:val="24"/>
          <w:szCs w:val="24"/>
        </w:rPr>
        <w:t>Department of the Prime Minister and Cabinet</w:t>
      </w:r>
    </w:p>
    <w:p w14:paraId="16FF6488" w14:textId="77777777" w:rsidR="000423A4" w:rsidRPr="000E6D0B" w:rsidRDefault="000423A4" w:rsidP="000423A4">
      <w:pPr>
        <w:pStyle w:val="NoSpacing"/>
        <w:rPr>
          <w:rFonts w:ascii="Times New Roman" w:hAnsi="Times New Roman" w:cs="Times New Roman"/>
          <w:sz w:val="24"/>
          <w:szCs w:val="24"/>
        </w:rPr>
      </w:pPr>
      <w:r w:rsidRPr="000E6D0B">
        <w:rPr>
          <w:rFonts w:ascii="Times New Roman" w:hAnsi="Times New Roman" w:cs="Times New Roman"/>
          <w:sz w:val="24"/>
          <w:szCs w:val="24"/>
        </w:rPr>
        <w:t>1 National Circuit</w:t>
      </w:r>
    </w:p>
    <w:p w14:paraId="5EC080C8" w14:textId="77777777" w:rsidR="000423A4" w:rsidRPr="00C63E98" w:rsidRDefault="000423A4" w:rsidP="000423A4">
      <w:pPr>
        <w:pStyle w:val="NoSpacing"/>
        <w:rPr>
          <w:rFonts w:ascii="Times New Roman" w:hAnsi="Times New Roman" w:cs="Times New Roman"/>
          <w:sz w:val="24"/>
          <w:szCs w:val="24"/>
        </w:rPr>
      </w:pPr>
      <w:r>
        <w:rPr>
          <w:rFonts w:ascii="Times New Roman" w:hAnsi="Times New Roman" w:cs="Times New Roman"/>
          <w:sz w:val="24"/>
          <w:szCs w:val="24"/>
        </w:rPr>
        <w:t xml:space="preserve">BARTON ACT </w:t>
      </w:r>
      <w:r w:rsidRPr="000E6D0B">
        <w:rPr>
          <w:rFonts w:ascii="Times New Roman" w:hAnsi="Times New Roman" w:cs="Times New Roman"/>
          <w:sz w:val="24"/>
          <w:szCs w:val="24"/>
        </w:rPr>
        <w:t>2600</w:t>
      </w:r>
    </w:p>
    <w:p w14:paraId="1A196E85" w14:textId="77777777" w:rsidR="000423A4" w:rsidRPr="00C63E98" w:rsidRDefault="000423A4" w:rsidP="000423A4">
      <w:pPr>
        <w:spacing w:before="160" w:after="240"/>
        <w:rPr>
          <w:szCs w:val="24"/>
        </w:rPr>
      </w:pPr>
      <w:r w:rsidRPr="00C63E98">
        <w:rPr>
          <w:szCs w:val="24"/>
        </w:rPr>
        <w:t xml:space="preserve">Email: </w:t>
      </w:r>
      <w:r w:rsidRPr="00D563C8">
        <w:rPr>
          <w:szCs w:val="24"/>
          <w:u w:val="single"/>
        </w:rPr>
        <w:t>helpdesk-OIA@pmc.gov.au</w:t>
      </w:r>
    </w:p>
    <w:p w14:paraId="6E84DCD3" w14:textId="77777777" w:rsidR="00D563C8" w:rsidRDefault="00D563C8" w:rsidP="000423A4">
      <w:pPr>
        <w:spacing w:before="240" w:after="240"/>
        <w:rPr>
          <w:szCs w:val="24"/>
        </w:rPr>
      </w:pPr>
    </w:p>
    <w:p w14:paraId="39E7C063" w14:textId="77777777" w:rsidR="00911B28" w:rsidRDefault="00911B28" w:rsidP="000423A4">
      <w:pPr>
        <w:spacing w:before="240" w:after="240"/>
        <w:rPr>
          <w:szCs w:val="24"/>
        </w:rPr>
      </w:pPr>
    </w:p>
    <w:p w14:paraId="56109811" w14:textId="728835CD" w:rsidR="00EC4331" w:rsidRDefault="000423A4" w:rsidP="000423A4">
      <w:pPr>
        <w:spacing w:before="240" w:after="240"/>
      </w:pPr>
      <w:r w:rsidRPr="00C63E98">
        <w:rPr>
          <w:szCs w:val="24"/>
        </w:rPr>
        <w:t xml:space="preserve">Dear </w:t>
      </w:r>
      <w:r w:rsidR="00D475F5">
        <w:t>Ms Abhayaratna</w:t>
      </w:r>
      <w:r w:rsidR="00D475F5" w:rsidRPr="00C63E98" w:rsidDel="000211D5">
        <w:rPr>
          <w:szCs w:val="24"/>
        </w:rPr>
        <w:t xml:space="preserve"> </w:t>
      </w:r>
    </w:p>
    <w:p w14:paraId="55A6AB20" w14:textId="65426ED3" w:rsidR="008C4768" w:rsidRPr="004D6A26" w:rsidRDefault="00D563C8" w:rsidP="000423A4">
      <w:pPr>
        <w:pStyle w:val="Heading1"/>
        <w:spacing w:before="120" w:after="120" w:line="300" w:lineRule="exact"/>
        <w:rPr>
          <w:sz w:val="24"/>
          <w:szCs w:val="24"/>
        </w:rPr>
      </w:pPr>
      <w:r w:rsidRPr="00D563C8">
        <w:rPr>
          <w:bCs/>
          <w:sz w:val="24"/>
          <w:szCs w:val="24"/>
        </w:rPr>
        <w:t>Impact Analysis – Supporting Remote Cost-of-Living and Food Security –</w:t>
      </w:r>
      <w:r w:rsidR="00212DB4">
        <w:rPr>
          <w:sz w:val="24"/>
          <w:szCs w:val="24"/>
        </w:rPr>
        <w:t>S</w:t>
      </w:r>
      <w:r w:rsidR="00E2259E">
        <w:rPr>
          <w:sz w:val="24"/>
          <w:szCs w:val="24"/>
        </w:rPr>
        <w:t xml:space="preserve">econd </w:t>
      </w:r>
      <w:r w:rsidR="00212DB4">
        <w:rPr>
          <w:sz w:val="24"/>
          <w:szCs w:val="24"/>
        </w:rPr>
        <w:t>P</w:t>
      </w:r>
      <w:r w:rsidR="00E2259E">
        <w:rPr>
          <w:sz w:val="24"/>
          <w:szCs w:val="24"/>
        </w:rPr>
        <w:t>ass</w:t>
      </w:r>
      <w:r w:rsidR="00212DB4">
        <w:rPr>
          <w:sz w:val="24"/>
          <w:szCs w:val="24"/>
        </w:rPr>
        <w:t xml:space="preserve"> Final Assessment</w:t>
      </w:r>
    </w:p>
    <w:p w14:paraId="75FFDA7D" w14:textId="76DDE050" w:rsidR="000A7ABA" w:rsidRDefault="00284E41" w:rsidP="000423A4">
      <w:pPr>
        <w:pStyle w:val="BodyText"/>
        <w:spacing w:before="120" w:after="120"/>
        <w:jc w:val="left"/>
        <w:rPr>
          <w:szCs w:val="24"/>
        </w:rPr>
      </w:pPr>
      <w:r>
        <w:t xml:space="preserve">I am writing in relation to the attached </w:t>
      </w:r>
      <w:r w:rsidR="00267C0F">
        <w:t>Impact Analysis</w:t>
      </w:r>
      <w:r w:rsidR="005B6B55">
        <w:t xml:space="preserve"> (</w:t>
      </w:r>
      <w:r w:rsidR="00267C0F">
        <w:t>IA</w:t>
      </w:r>
      <w:r w:rsidR="005B6B55">
        <w:t xml:space="preserve">) prepared </w:t>
      </w:r>
      <w:r w:rsidR="00D563C8" w:rsidRPr="00D563C8">
        <w:t>for Supporting Remote Cost-of-Living and Food Security (OIA24-08816).</w:t>
      </w:r>
    </w:p>
    <w:p w14:paraId="5B32E47C" w14:textId="19F443C3" w:rsidR="00D563C8" w:rsidRDefault="189C0DF6" w:rsidP="00D563C8">
      <w:pPr>
        <w:pStyle w:val="BodyText"/>
        <w:spacing w:before="120" w:after="120"/>
      </w:pPr>
      <w:r>
        <w:t xml:space="preserve">I am satisfied that the </w:t>
      </w:r>
      <w:r w:rsidR="1D068D54">
        <w:t xml:space="preserve">IA </w:t>
      </w:r>
      <w:r w:rsidR="4B16D6AE">
        <w:t>addresses the concerns raised in your letter of</w:t>
      </w:r>
      <w:r w:rsidR="11A02861">
        <w:t xml:space="preserve"> 24 January 2025</w:t>
      </w:r>
      <w:r w:rsidR="4B16D6AE">
        <w:t xml:space="preserve">. </w:t>
      </w:r>
      <w:r w:rsidR="008D19C0">
        <w:t xml:space="preserve">Specifically, the revised IA: </w:t>
      </w:r>
    </w:p>
    <w:p w14:paraId="4D880B4A" w14:textId="42A90DCE" w:rsidR="00D563C8" w:rsidRPr="00D563C8" w:rsidRDefault="11A02861" w:rsidP="07F2030E">
      <w:pPr>
        <w:pStyle w:val="BodyText"/>
        <w:numPr>
          <w:ilvl w:val="0"/>
          <w:numId w:val="2"/>
        </w:numPr>
        <w:spacing w:before="120" w:after="120"/>
      </w:pPr>
      <w:r>
        <w:t>articulate</w:t>
      </w:r>
      <w:r w:rsidR="26BFE987">
        <w:t>s</w:t>
      </w:r>
      <w:r>
        <w:t xml:space="preserve"> why government action is needed to achieve the stated objectives, and how success will be measured</w:t>
      </w:r>
      <w:r w:rsidR="6A67C149">
        <w:t>,</w:t>
      </w:r>
    </w:p>
    <w:p w14:paraId="7725F111" w14:textId="77560967" w:rsidR="00D563C8" w:rsidRPr="00D563C8" w:rsidRDefault="11A02861" w:rsidP="07F2030E">
      <w:pPr>
        <w:pStyle w:val="BodyText"/>
        <w:numPr>
          <w:ilvl w:val="0"/>
          <w:numId w:val="2"/>
        </w:numPr>
        <w:spacing w:before="120" w:after="120"/>
      </w:pPr>
      <w:r>
        <w:t>establish</w:t>
      </w:r>
      <w:r w:rsidR="7C0CE7A2">
        <w:t>es</w:t>
      </w:r>
      <w:r>
        <w:t xml:space="preserve"> a method of analysis to compare the impacts of each option in a way that allows the option with the highest net benefit to be identified</w:t>
      </w:r>
      <w:r w:rsidR="47C2D7E6">
        <w:t>,</w:t>
      </w:r>
    </w:p>
    <w:p w14:paraId="059E1B8E" w14:textId="3E760B48" w:rsidR="00D563C8" w:rsidRPr="00D563C8" w:rsidRDefault="00D563C8" w:rsidP="00D563C8">
      <w:pPr>
        <w:pStyle w:val="BodyText"/>
        <w:numPr>
          <w:ilvl w:val="0"/>
          <w:numId w:val="2"/>
        </w:numPr>
        <w:spacing w:before="120" w:after="120"/>
      </w:pPr>
      <w:r>
        <w:t>include</w:t>
      </w:r>
      <w:r w:rsidR="797EA4F5">
        <w:t>s</w:t>
      </w:r>
      <w:r>
        <w:t xml:space="preserve"> the estimated regulatory burden for each option, as well as considering the likely secondary impact on health, potential price impact on other products, and potential changes to the cost-effectiveness and competition in the wholesale market</w:t>
      </w:r>
      <w:r w:rsidR="18BEA954">
        <w:t>,</w:t>
      </w:r>
    </w:p>
    <w:p w14:paraId="1D93CC29" w14:textId="0C698851" w:rsidR="00D563C8" w:rsidRPr="00D563C8" w:rsidRDefault="00D563C8" w:rsidP="00D563C8">
      <w:pPr>
        <w:pStyle w:val="BodyText"/>
        <w:numPr>
          <w:ilvl w:val="0"/>
          <w:numId w:val="2"/>
        </w:numPr>
        <w:spacing w:before="120" w:after="120"/>
      </w:pPr>
      <w:r>
        <w:t>explain</w:t>
      </w:r>
      <w:r w:rsidR="7AAE470E">
        <w:t>s</w:t>
      </w:r>
      <w:r>
        <w:t xml:space="preserve"> the purpose of consultation, the outcome of consultation and areas of agreement and disagreement between stakeholders, and link these to the development and assessment of the options</w:t>
      </w:r>
      <w:r w:rsidR="52CB589E">
        <w:t>,</w:t>
      </w:r>
    </w:p>
    <w:p w14:paraId="0339B4FC" w14:textId="614F2F1F" w:rsidR="00D563C8" w:rsidRDefault="00D563C8" w:rsidP="1EDC0200">
      <w:pPr>
        <w:pStyle w:val="BodyText"/>
        <w:numPr>
          <w:ilvl w:val="0"/>
          <w:numId w:val="2"/>
        </w:numPr>
        <w:spacing w:before="120" w:after="120"/>
        <w:jc w:val="left"/>
      </w:pPr>
      <w:r>
        <w:t>identif</w:t>
      </w:r>
      <w:r w:rsidR="03C66D1F">
        <w:t>ies</w:t>
      </w:r>
      <w:r>
        <w:t xml:space="preserve"> timing and principles of implementation and explain</w:t>
      </w:r>
      <w:r w:rsidR="7CB89C98">
        <w:t>s</w:t>
      </w:r>
      <w:r>
        <w:t xml:space="preserve"> how risks will be mitigated.</w:t>
      </w:r>
    </w:p>
    <w:p w14:paraId="4DF490D9" w14:textId="42FD52C1" w:rsidR="00E82EEF" w:rsidRPr="00E82EEF" w:rsidRDefault="00E82EEF" w:rsidP="00E82EEF">
      <w:pPr>
        <w:spacing w:before="240" w:line="300" w:lineRule="exact"/>
        <w:rPr>
          <w:szCs w:val="24"/>
          <w:lang w:eastAsia="en-AU"/>
        </w:rPr>
      </w:pPr>
      <w:r w:rsidRPr="00E82EEF">
        <w:rPr>
          <w:lang w:eastAsia="en-AU"/>
        </w:rPr>
        <w:t xml:space="preserve">The </w:t>
      </w:r>
      <w:r w:rsidRPr="00E82EEF">
        <w:rPr>
          <w:szCs w:val="24"/>
          <w:lang w:eastAsia="en-AU"/>
        </w:rPr>
        <w:t xml:space="preserve">regulatory burden to business, community organisations or individuals </w:t>
      </w:r>
      <w:r w:rsidR="00D563C8">
        <w:rPr>
          <w:szCs w:val="24"/>
          <w:lang w:eastAsia="en-AU"/>
        </w:rPr>
        <w:t xml:space="preserve">for the preferred Option 4 </w:t>
      </w:r>
      <w:r w:rsidRPr="00E82EEF">
        <w:rPr>
          <w:szCs w:val="24"/>
          <w:lang w:eastAsia="en-AU"/>
        </w:rPr>
        <w:t xml:space="preserve">is quantified using the Australian Government’s </w:t>
      </w:r>
      <w:r w:rsidRPr="00E82EEF">
        <w:rPr>
          <w:i/>
          <w:szCs w:val="24"/>
          <w:lang w:eastAsia="en-AU"/>
        </w:rPr>
        <w:t xml:space="preserve">Regulatory Burden Measurement </w:t>
      </w:r>
      <w:r w:rsidRPr="00E82EEF">
        <w:rPr>
          <w:szCs w:val="24"/>
          <w:lang w:eastAsia="en-AU"/>
        </w:rPr>
        <w:t>framework and is provided below.</w:t>
      </w:r>
    </w:p>
    <w:p w14:paraId="3A65C60D" w14:textId="77777777" w:rsidR="00E82EEF" w:rsidRPr="00E82EEF" w:rsidRDefault="00E82EEF" w:rsidP="00E82EEF">
      <w:pPr>
        <w:spacing w:line="240" w:lineRule="auto"/>
        <w:rPr>
          <w:color w:val="FF0000"/>
          <w:lang w:eastAsia="en-AU"/>
        </w:rPr>
      </w:pPr>
    </w:p>
    <w:p w14:paraId="6D6BA5CE" w14:textId="77777777" w:rsidR="00E82EEF" w:rsidRPr="00E82EEF" w:rsidRDefault="00E82EEF" w:rsidP="00E82EEF">
      <w:pPr>
        <w:keepNext/>
        <w:keepLines/>
        <w:spacing w:before="40"/>
        <w:outlineLvl w:val="1"/>
        <w:rPr>
          <w:rFonts w:ascii="Cambria" w:hAnsi="Cambria"/>
          <w:b/>
          <w:color w:val="000000"/>
          <w:sz w:val="26"/>
          <w:szCs w:val="26"/>
        </w:rPr>
      </w:pPr>
      <w:r w:rsidRPr="00E82EEF">
        <w:rPr>
          <w:rFonts w:ascii="Cambria" w:hAnsi="Cambria"/>
          <w:b/>
          <w:color w:val="000000"/>
          <w:sz w:val="26"/>
          <w:szCs w:val="26"/>
        </w:rPr>
        <w:t>Regulatory burden estimate table</w:t>
      </w:r>
    </w:p>
    <w:tbl>
      <w:tblPr>
        <w:tblStyle w:val="LightGrid-Accent21"/>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E82EEF" w:rsidRPr="00E82EEF" w14:paraId="7765C44B" w14:textId="77777777" w:rsidTr="00EA1F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shd w:val="clear" w:color="auto" w:fill="0F243E"/>
            <w:noWrap/>
          </w:tcPr>
          <w:p w14:paraId="55C4BBCE" w14:textId="77777777" w:rsidR="00E82EEF" w:rsidRPr="00E82EEF" w:rsidRDefault="00E82EEF" w:rsidP="00E82EEF">
            <w:pPr>
              <w:spacing w:before="120" w:after="120"/>
              <w:rPr>
                <w:rFonts w:ascii="Arial" w:hAnsi="Arial" w:cs="Arial"/>
                <w:sz w:val="20"/>
              </w:rPr>
            </w:pPr>
            <w:r w:rsidRPr="00E82EEF">
              <w:rPr>
                <w:rFonts w:ascii="Arial" w:hAnsi="Arial" w:cs="Arial"/>
                <w:sz w:val="20"/>
              </w:rPr>
              <w:t>Average annual regulatory costs (from business as usual)</w:t>
            </w:r>
          </w:p>
        </w:tc>
      </w:tr>
      <w:tr w:rsidR="00E82EEF" w:rsidRPr="00E82EEF" w14:paraId="0ED4B325" w14:textId="77777777" w:rsidTr="00EA1FE5">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1628781F" w14:textId="77777777" w:rsidR="00E82EEF" w:rsidRPr="00E82EEF" w:rsidRDefault="00E82EEF" w:rsidP="00E82EEF">
            <w:pPr>
              <w:spacing w:before="120" w:after="120" w:line="240" w:lineRule="auto"/>
              <w:rPr>
                <w:rFonts w:ascii="Arial" w:hAnsi="Arial" w:cs="Arial"/>
                <w:sz w:val="20"/>
              </w:rPr>
            </w:pPr>
            <w:r w:rsidRPr="00E82EEF">
              <w:rPr>
                <w:rFonts w:ascii="Arial" w:hAnsi="Arial" w:cs="Arial"/>
                <w:sz w:val="20"/>
              </w:rPr>
              <w:lastRenderedPageBreak/>
              <w:t>Change in costs ($ million)</w:t>
            </w:r>
          </w:p>
        </w:tc>
        <w:tc>
          <w:tcPr>
            <w:tcW w:w="1871" w:type="dxa"/>
            <w:noWrap/>
          </w:tcPr>
          <w:p w14:paraId="2994EEF1" w14:textId="77777777" w:rsidR="00E82EEF" w:rsidRPr="00E82EEF" w:rsidRDefault="00E82EEF" w:rsidP="00E82EE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E82EEF">
              <w:rPr>
                <w:rFonts w:ascii="Arial" w:hAnsi="Arial" w:cs="Arial"/>
                <w:bCs/>
                <w:sz w:val="20"/>
              </w:rPr>
              <w:t>Business</w:t>
            </w:r>
          </w:p>
        </w:tc>
        <w:tc>
          <w:tcPr>
            <w:tcW w:w="1871" w:type="dxa"/>
            <w:noWrap/>
          </w:tcPr>
          <w:p w14:paraId="519F576F" w14:textId="77777777" w:rsidR="00E82EEF" w:rsidRPr="00E82EEF" w:rsidRDefault="00E82EEF" w:rsidP="00E82EE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82EEF">
              <w:rPr>
                <w:rFonts w:ascii="Arial" w:hAnsi="Arial" w:cs="Arial"/>
                <w:sz w:val="20"/>
              </w:rPr>
              <w:t>Community organisations</w:t>
            </w:r>
          </w:p>
        </w:tc>
        <w:tc>
          <w:tcPr>
            <w:tcW w:w="1871" w:type="dxa"/>
            <w:noWrap/>
          </w:tcPr>
          <w:p w14:paraId="68EA2CE4" w14:textId="77777777" w:rsidR="00E82EEF" w:rsidRPr="00E82EEF" w:rsidRDefault="00E82EEF" w:rsidP="00E82EE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82EEF">
              <w:rPr>
                <w:rFonts w:ascii="Arial" w:hAnsi="Arial" w:cs="Arial"/>
                <w:sz w:val="20"/>
              </w:rPr>
              <w:t>Individuals</w:t>
            </w:r>
          </w:p>
        </w:tc>
        <w:tc>
          <w:tcPr>
            <w:tcW w:w="1872" w:type="dxa"/>
            <w:noWrap/>
          </w:tcPr>
          <w:p w14:paraId="7AC9126C" w14:textId="77777777" w:rsidR="00E82EEF" w:rsidRPr="00E82EEF" w:rsidRDefault="00E82EEF" w:rsidP="00E82EE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82EEF">
              <w:rPr>
                <w:rFonts w:ascii="Arial" w:hAnsi="Arial" w:cs="Arial"/>
                <w:sz w:val="20"/>
              </w:rPr>
              <w:t>Total change in costs</w:t>
            </w:r>
          </w:p>
        </w:tc>
      </w:tr>
      <w:tr w:rsidR="00E82EEF" w:rsidRPr="00E82EEF" w14:paraId="720B5A1D" w14:textId="77777777" w:rsidTr="00EA1F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10E95A4D" w14:textId="77777777" w:rsidR="00E82EEF" w:rsidRPr="00E82EEF" w:rsidRDefault="00E82EEF" w:rsidP="00E82EEF">
            <w:pPr>
              <w:spacing w:before="120" w:after="120"/>
              <w:rPr>
                <w:rFonts w:ascii="Arial" w:hAnsi="Arial" w:cs="Arial"/>
                <w:sz w:val="20"/>
              </w:rPr>
            </w:pPr>
            <w:r w:rsidRPr="00E82EEF">
              <w:rPr>
                <w:rFonts w:ascii="Arial" w:hAnsi="Arial" w:cs="Arial"/>
                <w:sz w:val="20"/>
              </w:rPr>
              <w:t>Total, by sector</w:t>
            </w:r>
          </w:p>
        </w:tc>
        <w:tc>
          <w:tcPr>
            <w:tcW w:w="1871" w:type="dxa"/>
            <w:noWrap/>
          </w:tcPr>
          <w:p w14:paraId="6339F6DD" w14:textId="7A521595" w:rsidR="00E82EEF" w:rsidRPr="00E82EEF" w:rsidRDefault="00E82EEF" w:rsidP="00E82EEF">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sidR="00D563C8">
              <w:rPr>
                <w:rFonts w:ascii="Arial" w:hAnsi="Arial" w:cs="Arial"/>
                <w:sz w:val="20"/>
              </w:rPr>
              <w:t>5.113*</w:t>
            </w:r>
          </w:p>
        </w:tc>
        <w:tc>
          <w:tcPr>
            <w:tcW w:w="1871" w:type="dxa"/>
            <w:noWrap/>
          </w:tcPr>
          <w:p w14:paraId="41C073A5" w14:textId="3A12EF6A" w:rsidR="00E82EEF" w:rsidRPr="00E82EEF" w:rsidRDefault="00E82EEF" w:rsidP="00E82EEF">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sidR="00D563C8">
              <w:rPr>
                <w:rFonts w:ascii="Arial" w:hAnsi="Arial" w:cs="Arial"/>
                <w:sz w:val="20"/>
              </w:rPr>
              <w:t>0</w:t>
            </w:r>
          </w:p>
        </w:tc>
        <w:tc>
          <w:tcPr>
            <w:tcW w:w="1871" w:type="dxa"/>
            <w:noWrap/>
          </w:tcPr>
          <w:p w14:paraId="0F216859" w14:textId="0377854F" w:rsidR="00E82EEF" w:rsidRPr="00E82EEF" w:rsidRDefault="00E82EEF" w:rsidP="00E82EEF">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sidR="00D563C8">
              <w:rPr>
                <w:rFonts w:ascii="Arial" w:hAnsi="Arial" w:cs="Arial"/>
                <w:sz w:val="20"/>
              </w:rPr>
              <w:t>0</w:t>
            </w:r>
          </w:p>
        </w:tc>
        <w:tc>
          <w:tcPr>
            <w:tcW w:w="1872" w:type="dxa"/>
            <w:noWrap/>
          </w:tcPr>
          <w:p w14:paraId="0FACC4EC" w14:textId="024800F1" w:rsidR="00E82EEF" w:rsidRPr="00E82EEF" w:rsidRDefault="00E82EEF" w:rsidP="00E82EEF">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sidR="00D563C8">
              <w:rPr>
                <w:rFonts w:ascii="Arial" w:hAnsi="Arial" w:cs="Arial"/>
                <w:sz w:val="20"/>
              </w:rPr>
              <w:t>5.113</w:t>
            </w:r>
          </w:p>
        </w:tc>
      </w:tr>
    </w:tbl>
    <w:p w14:paraId="712724C1" w14:textId="40C42699" w:rsidR="00D563C8" w:rsidRPr="00D563C8" w:rsidRDefault="00D563C8" w:rsidP="00D563C8">
      <w:pPr>
        <w:tabs>
          <w:tab w:val="left" w:pos="284"/>
        </w:tabs>
        <w:spacing w:before="120" w:line="240" w:lineRule="auto"/>
        <w:ind w:left="284" w:hanging="284"/>
        <w:rPr>
          <w:sz w:val="16"/>
          <w:szCs w:val="16"/>
          <w:lang w:val="en-US"/>
        </w:rPr>
      </w:pPr>
      <w:r w:rsidRPr="00D563C8">
        <w:rPr>
          <w:sz w:val="16"/>
          <w:szCs w:val="16"/>
          <w:lang w:val="en-US"/>
        </w:rPr>
        <w:t>*</w:t>
      </w:r>
      <w:r w:rsidRPr="00D563C8">
        <w:rPr>
          <w:sz w:val="22"/>
          <w:szCs w:val="18"/>
        </w:rPr>
        <w:tab/>
      </w:r>
      <w:r w:rsidRPr="00D563C8">
        <w:rPr>
          <w:sz w:val="16"/>
          <w:szCs w:val="16"/>
          <w:lang w:val="en-US"/>
        </w:rPr>
        <w:t xml:space="preserve">over 98% of the cost impact will be incurred by </w:t>
      </w:r>
      <w:r w:rsidR="00C130B9">
        <w:rPr>
          <w:sz w:val="16"/>
          <w:szCs w:val="16"/>
          <w:lang w:val="en-US"/>
        </w:rPr>
        <w:t xml:space="preserve">the Australian Government owned company </w:t>
      </w:r>
      <w:r w:rsidRPr="00D563C8">
        <w:rPr>
          <w:sz w:val="16"/>
          <w:szCs w:val="16"/>
          <w:lang w:val="en-US"/>
        </w:rPr>
        <w:t xml:space="preserve">Outback Stores </w:t>
      </w:r>
      <w:r w:rsidR="008F38BB">
        <w:rPr>
          <w:sz w:val="16"/>
          <w:szCs w:val="16"/>
          <w:lang w:val="en-US"/>
        </w:rPr>
        <w:t xml:space="preserve">Pty Ltd </w:t>
      </w:r>
      <w:r w:rsidRPr="00D563C8">
        <w:rPr>
          <w:sz w:val="16"/>
          <w:szCs w:val="16"/>
          <w:lang w:val="en-US"/>
        </w:rPr>
        <w:t xml:space="preserve">to administer and operate the scheme. This includes staffing costs to take and process orders and perform warehousing and wholesaling functions, along with operating overhead costs such as warehouse electricity, rates, insurance, repairs and maintenance. These costs will be funded by </w:t>
      </w:r>
      <w:r>
        <w:rPr>
          <w:sz w:val="16"/>
          <w:szCs w:val="16"/>
          <w:lang w:val="en-US"/>
        </w:rPr>
        <w:t>G</w:t>
      </w:r>
      <w:r w:rsidRPr="00D563C8">
        <w:rPr>
          <w:sz w:val="16"/>
          <w:szCs w:val="16"/>
          <w:lang w:val="en-US"/>
        </w:rPr>
        <w:t>overnment and not passed on to remote stores or customers. Participation costs for remote stores would be low.</w:t>
      </w:r>
    </w:p>
    <w:p w14:paraId="27952D06" w14:textId="77777777" w:rsidR="00D563C8" w:rsidRPr="00E82EEF" w:rsidRDefault="00D563C8" w:rsidP="00E82EEF">
      <w:pPr>
        <w:spacing w:line="240" w:lineRule="auto"/>
        <w:rPr>
          <w:color w:val="FF0000"/>
          <w:lang w:eastAsia="en-AU"/>
        </w:rPr>
      </w:pPr>
    </w:p>
    <w:p w14:paraId="6D49CB34" w14:textId="032FA76F" w:rsidR="00535899" w:rsidRDefault="00B5658B" w:rsidP="000423A4">
      <w:pPr>
        <w:pStyle w:val="BodyText"/>
        <w:spacing w:before="120" w:after="120"/>
        <w:jc w:val="left"/>
        <w:rPr>
          <w:szCs w:val="24"/>
        </w:rPr>
      </w:pPr>
      <w:r>
        <w:rPr>
          <w:szCs w:val="24"/>
        </w:rPr>
        <w:t xml:space="preserve">Accordingly, I am satisfied that the </w:t>
      </w:r>
      <w:r w:rsidR="00267C0F">
        <w:rPr>
          <w:szCs w:val="24"/>
        </w:rPr>
        <w:t xml:space="preserve">IA </w:t>
      </w:r>
      <w:r w:rsidR="00212DB4">
        <w:rPr>
          <w:szCs w:val="24"/>
        </w:rPr>
        <w:t xml:space="preserve">is </w:t>
      </w:r>
      <w:r w:rsidR="00E2259E">
        <w:rPr>
          <w:szCs w:val="24"/>
        </w:rPr>
        <w:t>consistent with</w:t>
      </w:r>
      <w:r w:rsidR="006C1716">
        <w:rPr>
          <w:szCs w:val="24"/>
        </w:rPr>
        <w:t xml:space="preserve"> the </w:t>
      </w:r>
      <w:r w:rsidR="00212DB4">
        <w:rPr>
          <w:szCs w:val="24"/>
        </w:rPr>
        <w:t xml:space="preserve">six principles for Australian Government policy makers as specified in the </w:t>
      </w:r>
      <w:r w:rsidR="006C1716">
        <w:rPr>
          <w:i/>
          <w:szCs w:val="24"/>
        </w:rPr>
        <w:t xml:space="preserve">Australian Government Guide to </w:t>
      </w:r>
      <w:r w:rsidR="00267C0F">
        <w:rPr>
          <w:i/>
          <w:szCs w:val="24"/>
        </w:rPr>
        <w:t xml:space="preserve">Policy </w:t>
      </w:r>
      <w:r w:rsidR="00212DB4">
        <w:rPr>
          <w:i/>
          <w:szCs w:val="24"/>
        </w:rPr>
        <w:t>Impact Analysis</w:t>
      </w:r>
      <w:r w:rsidR="00692B2A">
        <w:rPr>
          <w:szCs w:val="24"/>
        </w:rPr>
        <w:t>.</w:t>
      </w:r>
    </w:p>
    <w:p w14:paraId="43057B8F" w14:textId="01A87C5F" w:rsidR="008C4768" w:rsidRDefault="00535899" w:rsidP="000423A4">
      <w:pPr>
        <w:pStyle w:val="BodyText"/>
        <w:spacing w:before="120" w:after="120"/>
        <w:jc w:val="left"/>
        <w:rPr>
          <w:szCs w:val="24"/>
        </w:rPr>
      </w:pPr>
      <w:r>
        <w:t>I</w:t>
      </w:r>
      <w:r w:rsidR="00284E41">
        <w:t xml:space="preserve"> submit </w:t>
      </w:r>
      <w:r>
        <w:t xml:space="preserve">the </w:t>
      </w:r>
      <w:r w:rsidR="00267C0F">
        <w:t xml:space="preserve">IA </w:t>
      </w:r>
      <w:r w:rsidR="00284E41">
        <w:t xml:space="preserve">to the Office of </w:t>
      </w:r>
      <w:r w:rsidR="00267C0F">
        <w:t>Impact Analysis</w:t>
      </w:r>
      <w:r w:rsidR="00284E41">
        <w:t xml:space="preserve"> for formal </w:t>
      </w:r>
      <w:r w:rsidR="006C1716">
        <w:t xml:space="preserve">final </w:t>
      </w:r>
      <w:r w:rsidR="00B5658B">
        <w:t>assessment</w:t>
      </w:r>
      <w:r w:rsidR="00284E41">
        <w:t>.</w:t>
      </w:r>
    </w:p>
    <w:p w14:paraId="4461E58E" w14:textId="77777777" w:rsidR="008C4768" w:rsidRPr="006E1B31" w:rsidRDefault="008C4768" w:rsidP="000423A4">
      <w:pPr>
        <w:spacing w:before="120" w:after="120" w:line="300" w:lineRule="exact"/>
      </w:pPr>
    </w:p>
    <w:p w14:paraId="7AB052CC" w14:textId="77777777" w:rsidR="008C4768" w:rsidRDefault="008C4768" w:rsidP="000423A4">
      <w:pPr>
        <w:pStyle w:val="Header"/>
        <w:spacing w:before="120" w:after="120"/>
      </w:pPr>
      <w:r>
        <w:t>Yours sincerely</w:t>
      </w:r>
    </w:p>
    <w:p w14:paraId="5965509F" w14:textId="14E91AD8" w:rsidR="008C4768" w:rsidRDefault="008C4768" w:rsidP="000423A4">
      <w:pPr>
        <w:pStyle w:val="Header"/>
        <w:spacing w:before="120" w:after="120"/>
      </w:pPr>
    </w:p>
    <w:p w14:paraId="4DB78990" w14:textId="152542E4" w:rsidR="000423A4" w:rsidRDefault="000423A4" w:rsidP="000423A4">
      <w:pPr>
        <w:pStyle w:val="Header"/>
        <w:spacing w:before="120" w:after="120"/>
      </w:pPr>
    </w:p>
    <w:p w14:paraId="5183D5AE" w14:textId="77777777" w:rsidR="000423A4" w:rsidRDefault="000423A4" w:rsidP="000423A4">
      <w:pPr>
        <w:pStyle w:val="Header"/>
        <w:spacing w:before="120" w:after="120"/>
      </w:pPr>
    </w:p>
    <w:p w14:paraId="1C39BE07" w14:textId="0023AE8D" w:rsidR="00D563C8" w:rsidRPr="00D563C8" w:rsidRDefault="00D563C8" w:rsidP="00D563C8">
      <w:r w:rsidRPr="00D563C8">
        <w:t>Kevin Brahim </w:t>
      </w:r>
    </w:p>
    <w:p w14:paraId="6E3BD467" w14:textId="77777777" w:rsidR="00D563C8" w:rsidRPr="00D563C8" w:rsidRDefault="00D563C8" w:rsidP="00D563C8">
      <w:r w:rsidRPr="00D563C8">
        <w:t>Deputy CEO </w:t>
      </w:r>
    </w:p>
    <w:p w14:paraId="085066A9" w14:textId="77777777" w:rsidR="00D563C8" w:rsidRPr="00D563C8" w:rsidRDefault="00D563C8" w:rsidP="00D563C8">
      <w:r w:rsidRPr="00D563C8">
        <w:t>Operations and Delivery </w:t>
      </w:r>
    </w:p>
    <w:p w14:paraId="0F7F22F6" w14:textId="77777777" w:rsidR="00D563C8" w:rsidRPr="00D563C8" w:rsidRDefault="00D563C8" w:rsidP="00D563C8">
      <w:r w:rsidRPr="00D563C8">
        <w:t>National Indigenous Australians Agency </w:t>
      </w:r>
    </w:p>
    <w:p w14:paraId="1B6CE85F" w14:textId="77777777" w:rsidR="00D563C8" w:rsidRPr="00D563C8" w:rsidRDefault="00D563C8" w:rsidP="00D563C8">
      <w:r w:rsidRPr="00D563C8">
        <w:t>   January 2025 </w:t>
      </w:r>
    </w:p>
    <w:p w14:paraId="5821915E" w14:textId="3C1B5669" w:rsidR="00630EFE" w:rsidRDefault="00630EFE" w:rsidP="00D563C8"/>
    <w:sectPr w:rsidR="00630EFE" w:rsidSect="00A43ADF">
      <w:headerReference w:type="even" r:id="rId7"/>
      <w:headerReference w:type="default" r:id="rId8"/>
      <w:footerReference w:type="even" r:id="rId9"/>
      <w:footerReference w:type="default" r:id="rId10"/>
      <w:headerReference w:type="first" r:id="rId11"/>
      <w:footerReference w:type="first" r:id="rId12"/>
      <w:pgSz w:w="11906" w:h="16838"/>
      <w:pgMar w:top="1440" w:right="1435"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E39D6" w14:textId="77777777" w:rsidR="00D236F0" w:rsidRDefault="00D236F0" w:rsidP="00630EFE">
      <w:pPr>
        <w:spacing w:line="240" w:lineRule="auto"/>
      </w:pPr>
      <w:r>
        <w:separator/>
      </w:r>
    </w:p>
  </w:endnote>
  <w:endnote w:type="continuationSeparator" w:id="0">
    <w:p w14:paraId="4E6479A5" w14:textId="77777777" w:rsidR="00D236F0" w:rsidRDefault="00D236F0" w:rsidP="00630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2FC5" w14:textId="001AD77A" w:rsidR="00A820FF" w:rsidRDefault="00A82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2155" w14:textId="24FAF800" w:rsidR="00A43ADF" w:rsidRPr="00037BF0" w:rsidRDefault="00A43ADF" w:rsidP="00037BF0">
    <w:pPr>
      <w:pStyle w:val="Foo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67A4" w14:textId="20C917FF" w:rsidR="00A820FF" w:rsidRDefault="00A82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26371" w14:textId="77777777" w:rsidR="00D236F0" w:rsidRDefault="00D236F0" w:rsidP="00630EFE">
      <w:pPr>
        <w:spacing w:line="240" w:lineRule="auto"/>
      </w:pPr>
      <w:r>
        <w:separator/>
      </w:r>
    </w:p>
  </w:footnote>
  <w:footnote w:type="continuationSeparator" w:id="0">
    <w:p w14:paraId="0E462047" w14:textId="77777777" w:rsidR="00D236F0" w:rsidRDefault="00D236F0" w:rsidP="00630E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339E" w14:textId="5DAA5FB6" w:rsidR="00A820FF" w:rsidRDefault="00A82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344B" w14:textId="73EC1842" w:rsidR="00A820FF" w:rsidRDefault="00A820FF" w:rsidP="00D563C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D2A9" w14:textId="4B08E028" w:rsidR="00A820FF" w:rsidRPr="00037BF0" w:rsidRDefault="00A820FF" w:rsidP="00037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47E25"/>
    <w:multiLevelType w:val="hybridMultilevel"/>
    <w:tmpl w:val="29C4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CC09B2"/>
    <w:multiLevelType w:val="hybridMultilevel"/>
    <w:tmpl w:val="DBF85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CB"/>
    <w:rsid w:val="000211D5"/>
    <w:rsid w:val="00037BF0"/>
    <w:rsid w:val="000423A4"/>
    <w:rsid w:val="000438C5"/>
    <w:rsid w:val="000764B5"/>
    <w:rsid w:val="000954BF"/>
    <w:rsid w:val="000A7ABA"/>
    <w:rsid w:val="000B5184"/>
    <w:rsid w:val="000E0694"/>
    <w:rsid w:val="000E63AC"/>
    <w:rsid w:val="00124998"/>
    <w:rsid w:val="0015323A"/>
    <w:rsid w:val="001546FD"/>
    <w:rsid w:val="001C2E28"/>
    <w:rsid w:val="00212DB4"/>
    <w:rsid w:val="00243D5F"/>
    <w:rsid w:val="00267C0F"/>
    <w:rsid w:val="00267E33"/>
    <w:rsid w:val="00284E41"/>
    <w:rsid w:val="002B1A2E"/>
    <w:rsid w:val="00384801"/>
    <w:rsid w:val="003D511E"/>
    <w:rsid w:val="003D5500"/>
    <w:rsid w:val="0047563D"/>
    <w:rsid w:val="004D4B08"/>
    <w:rsid w:val="004D6A26"/>
    <w:rsid w:val="00535899"/>
    <w:rsid w:val="00547F2C"/>
    <w:rsid w:val="005921A1"/>
    <w:rsid w:val="005B6B55"/>
    <w:rsid w:val="005D1A4C"/>
    <w:rsid w:val="005E621B"/>
    <w:rsid w:val="00630EFE"/>
    <w:rsid w:val="006369A1"/>
    <w:rsid w:val="00671DCB"/>
    <w:rsid w:val="00692B2A"/>
    <w:rsid w:val="006C1716"/>
    <w:rsid w:val="006E1B31"/>
    <w:rsid w:val="006E362C"/>
    <w:rsid w:val="00707DD8"/>
    <w:rsid w:val="0076750A"/>
    <w:rsid w:val="00770E95"/>
    <w:rsid w:val="007F7884"/>
    <w:rsid w:val="00830E27"/>
    <w:rsid w:val="00836343"/>
    <w:rsid w:val="0084719A"/>
    <w:rsid w:val="00873BFD"/>
    <w:rsid w:val="008C4768"/>
    <w:rsid w:val="008D19C0"/>
    <w:rsid w:val="008D4630"/>
    <w:rsid w:val="008E6A0C"/>
    <w:rsid w:val="008F1BC6"/>
    <w:rsid w:val="008F38BB"/>
    <w:rsid w:val="00911B28"/>
    <w:rsid w:val="00942F0F"/>
    <w:rsid w:val="009A18F3"/>
    <w:rsid w:val="009D0CF5"/>
    <w:rsid w:val="00A32F9F"/>
    <w:rsid w:val="00A43ADF"/>
    <w:rsid w:val="00A8121F"/>
    <w:rsid w:val="00A820FF"/>
    <w:rsid w:val="00AA2F0C"/>
    <w:rsid w:val="00B244B5"/>
    <w:rsid w:val="00B51C4A"/>
    <w:rsid w:val="00B52A0C"/>
    <w:rsid w:val="00B5658B"/>
    <w:rsid w:val="00B858F9"/>
    <w:rsid w:val="00C130B9"/>
    <w:rsid w:val="00C32011"/>
    <w:rsid w:val="00CB4AD3"/>
    <w:rsid w:val="00CC1E38"/>
    <w:rsid w:val="00D236F0"/>
    <w:rsid w:val="00D475F5"/>
    <w:rsid w:val="00D563C8"/>
    <w:rsid w:val="00D825A5"/>
    <w:rsid w:val="00DC5FAA"/>
    <w:rsid w:val="00DE2AB1"/>
    <w:rsid w:val="00E2259E"/>
    <w:rsid w:val="00E5554F"/>
    <w:rsid w:val="00E82EEF"/>
    <w:rsid w:val="00EA4572"/>
    <w:rsid w:val="00EB2C16"/>
    <w:rsid w:val="00EC4331"/>
    <w:rsid w:val="00ED7854"/>
    <w:rsid w:val="00EE22F1"/>
    <w:rsid w:val="00F01098"/>
    <w:rsid w:val="00F07231"/>
    <w:rsid w:val="00F21256"/>
    <w:rsid w:val="00F67352"/>
    <w:rsid w:val="00F80033"/>
    <w:rsid w:val="00FC0F81"/>
    <w:rsid w:val="00FE21A1"/>
    <w:rsid w:val="03C66D1F"/>
    <w:rsid w:val="07F2030E"/>
    <w:rsid w:val="11A02861"/>
    <w:rsid w:val="189C0DF6"/>
    <w:rsid w:val="18BEA954"/>
    <w:rsid w:val="1D068D54"/>
    <w:rsid w:val="1EDC0200"/>
    <w:rsid w:val="26BFE987"/>
    <w:rsid w:val="47C2D7E6"/>
    <w:rsid w:val="4B16D6AE"/>
    <w:rsid w:val="529D685E"/>
    <w:rsid w:val="52CB589E"/>
    <w:rsid w:val="538560D0"/>
    <w:rsid w:val="5C36E0C7"/>
    <w:rsid w:val="5C9A6877"/>
    <w:rsid w:val="6A67C149"/>
    <w:rsid w:val="74C15E8A"/>
    <w:rsid w:val="797EA4F5"/>
    <w:rsid w:val="7AAE470E"/>
    <w:rsid w:val="7C0CE7A2"/>
    <w:rsid w:val="7CB89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B4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768"/>
    <w:pPr>
      <w:spacing w:after="0" w:line="240" w:lineRule="atLeast"/>
    </w:pPr>
    <w:rPr>
      <w:rFonts w:ascii="Times New Roman" w:hAnsi="Times New Roman" w:cs="Times New Roman"/>
      <w:sz w:val="24"/>
      <w:szCs w:val="20"/>
    </w:rPr>
  </w:style>
  <w:style w:type="paragraph" w:styleId="Heading1">
    <w:name w:val="heading 1"/>
    <w:basedOn w:val="Normal"/>
    <w:next w:val="Normal"/>
    <w:link w:val="Heading1Char"/>
    <w:uiPriority w:val="9"/>
    <w:qFormat/>
    <w:rsid w:val="008C4768"/>
    <w:pPr>
      <w:keepNext/>
      <w:spacing w:before="60" w:after="360"/>
      <w:outlineLvl w:val="0"/>
    </w:pPr>
    <w:rPr>
      <w:rFonts w:ascii="Arial" w:hAnsi="Arial"/>
      <w:b/>
      <w:kern w:val="28"/>
      <w:sz w:val="28"/>
    </w:rPr>
  </w:style>
  <w:style w:type="paragraph" w:styleId="Heading4">
    <w:name w:val="heading 4"/>
    <w:basedOn w:val="Normal"/>
    <w:next w:val="Normal"/>
    <w:link w:val="Heading4Char"/>
    <w:uiPriority w:val="9"/>
    <w:semiHidden/>
    <w:unhideWhenUsed/>
    <w:qFormat/>
    <w:rsid w:val="00D563C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4768"/>
    <w:rPr>
      <w:rFonts w:ascii="Arial" w:hAnsi="Arial" w:cs="Times New Roman"/>
      <w:b/>
      <w:kern w:val="28"/>
      <w:sz w:val="20"/>
      <w:szCs w:val="20"/>
    </w:rPr>
  </w:style>
  <w:style w:type="paragraph" w:styleId="Header">
    <w:name w:val="header"/>
    <w:basedOn w:val="Normal"/>
    <w:link w:val="HeaderChar"/>
    <w:uiPriority w:val="99"/>
    <w:rsid w:val="008C4768"/>
    <w:pPr>
      <w:tabs>
        <w:tab w:val="center" w:pos="4153"/>
        <w:tab w:val="right" w:pos="8306"/>
      </w:tabs>
      <w:spacing w:after="240"/>
    </w:pPr>
  </w:style>
  <w:style w:type="character" w:customStyle="1" w:styleId="HeaderChar">
    <w:name w:val="Header Char"/>
    <w:basedOn w:val="DefaultParagraphFont"/>
    <w:link w:val="Header"/>
    <w:uiPriority w:val="99"/>
    <w:locked/>
    <w:rsid w:val="008C4768"/>
    <w:rPr>
      <w:rFonts w:ascii="Times New Roman" w:hAnsi="Times New Roman" w:cs="Times New Roman"/>
      <w:sz w:val="20"/>
      <w:szCs w:val="20"/>
    </w:rPr>
  </w:style>
  <w:style w:type="paragraph" w:styleId="BodyText">
    <w:name w:val="Body Text"/>
    <w:basedOn w:val="Normal"/>
    <w:link w:val="BodyTextChar"/>
    <w:uiPriority w:val="99"/>
    <w:rsid w:val="008C4768"/>
    <w:pPr>
      <w:spacing w:before="240" w:line="300" w:lineRule="exact"/>
      <w:jc w:val="both"/>
    </w:pPr>
    <w:rPr>
      <w:lang w:eastAsia="en-AU"/>
    </w:rPr>
  </w:style>
  <w:style w:type="character" w:customStyle="1" w:styleId="BodyTextChar">
    <w:name w:val="Body Text Char"/>
    <w:basedOn w:val="DefaultParagraphFont"/>
    <w:link w:val="BodyText"/>
    <w:uiPriority w:val="99"/>
    <w:locked/>
    <w:rsid w:val="008C4768"/>
    <w:rPr>
      <w:rFonts w:ascii="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12D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DB4"/>
    <w:rPr>
      <w:rFonts w:ascii="Segoe UI" w:hAnsi="Segoe UI" w:cs="Segoe UI"/>
      <w:sz w:val="18"/>
      <w:szCs w:val="18"/>
    </w:rPr>
  </w:style>
  <w:style w:type="paragraph" w:styleId="NoSpacing">
    <w:name w:val="No Spacing"/>
    <w:uiPriority w:val="98"/>
    <w:unhideWhenUsed/>
    <w:rsid w:val="000423A4"/>
    <w:pPr>
      <w:spacing w:after="0" w:line="240" w:lineRule="auto"/>
    </w:pPr>
    <w:rPr>
      <w:rFonts w:eastAsiaTheme="minorEastAsia" w:cstheme="minorBidi"/>
      <w:sz w:val="21"/>
      <w:szCs w:val="21"/>
    </w:rPr>
  </w:style>
  <w:style w:type="paragraph" w:styleId="Footer">
    <w:name w:val="footer"/>
    <w:basedOn w:val="Normal"/>
    <w:link w:val="FooterChar"/>
    <w:uiPriority w:val="99"/>
    <w:unhideWhenUsed/>
    <w:rsid w:val="00630EFE"/>
    <w:pPr>
      <w:tabs>
        <w:tab w:val="center" w:pos="4513"/>
        <w:tab w:val="right" w:pos="9026"/>
      </w:tabs>
      <w:spacing w:line="240" w:lineRule="auto"/>
    </w:pPr>
  </w:style>
  <w:style w:type="character" w:customStyle="1" w:styleId="FooterChar">
    <w:name w:val="Footer Char"/>
    <w:basedOn w:val="DefaultParagraphFont"/>
    <w:link w:val="Footer"/>
    <w:uiPriority w:val="99"/>
    <w:rsid w:val="00630EFE"/>
    <w:rPr>
      <w:rFonts w:ascii="Times New Roman" w:hAnsi="Times New Roman" w:cs="Times New Roman"/>
      <w:sz w:val="24"/>
      <w:szCs w:val="20"/>
    </w:rPr>
  </w:style>
  <w:style w:type="character" w:styleId="CommentReference">
    <w:name w:val="annotation reference"/>
    <w:basedOn w:val="DefaultParagraphFont"/>
    <w:uiPriority w:val="99"/>
    <w:semiHidden/>
    <w:unhideWhenUsed/>
    <w:rsid w:val="00DC5FAA"/>
    <w:rPr>
      <w:sz w:val="16"/>
      <w:szCs w:val="16"/>
    </w:rPr>
  </w:style>
  <w:style w:type="paragraph" w:styleId="CommentText">
    <w:name w:val="annotation text"/>
    <w:basedOn w:val="Normal"/>
    <w:link w:val="CommentTextChar"/>
    <w:uiPriority w:val="99"/>
    <w:semiHidden/>
    <w:unhideWhenUsed/>
    <w:rsid w:val="00DC5FAA"/>
    <w:pPr>
      <w:spacing w:line="240" w:lineRule="auto"/>
    </w:pPr>
    <w:rPr>
      <w:sz w:val="20"/>
    </w:rPr>
  </w:style>
  <w:style w:type="character" w:customStyle="1" w:styleId="CommentTextChar">
    <w:name w:val="Comment Text Char"/>
    <w:basedOn w:val="DefaultParagraphFont"/>
    <w:link w:val="CommentText"/>
    <w:uiPriority w:val="99"/>
    <w:semiHidden/>
    <w:rsid w:val="00DC5FA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5FAA"/>
    <w:rPr>
      <w:b/>
      <w:bCs/>
    </w:rPr>
  </w:style>
  <w:style w:type="character" w:customStyle="1" w:styleId="CommentSubjectChar">
    <w:name w:val="Comment Subject Char"/>
    <w:basedOn w:val="CommentTextChar"/>
    <w:link w:val="CommentSubject"/>
    <w:uiPriority w:val="99"/>
    <w:semiHidden/>
    <w:rsid w:val="00DC5FAA"/>
    <w:rPr>
      <w:rFonts w:ascii="Times New Roman" w:hAnsi="Times New Roman" w:cs="Times New Roman"/>
      <w:b/>
      <w:bCs/>
      <w:sz w:val="20"/>
      <w:szCs w:val="20"/>
    </w:rPr>
  </w:style>
  <w:style w:type="paragraph" w:styleId="Revision">
    <w:name w:val="Revision"/>
    <w:hidden/>
    <w:uiPriority w:val="99"/>
    <w:semiHidden/>
    <w:rsid w:val="00DC5FAA"/>
    <w:pPr>
      <w:spacing w:after="0" w:line="240" w:lineRule="auto"/>
    </w:pPr>
    <w:rPr>
      <w:rFonts w:ascii="Times New Roman" w:hAnsi="Times New Roman" w:cs="Times New Roman"/>
      <w:sz w:val="24"/>
      <w:szCs w:val="20"/>
    </w:rPr>
  </w:style>
  <w:style w:type="table" w:customStyle="1" w:styleId="LightGrid-Accent21">
    <w:name w:val="Light Grid - Accent 21"/>
    <w:basedOn w:val="TableNormal"/>
    <w:next w:val="LightGrid-Accent2"/>
    <w:uiPriority w:val="62"/>
    <w:rsid w:val="00E82EEF"/>
    <w:pPr>
      <w:spacing w:after="0" w:line="240" w:lineRule="auto"/>
    </w:pPr>
    <w:rPr>
      <w:rFonts w:cs="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semiHidden/>
    <w:unhideWhenUsed/>
    <w:rsid w:val="00E82EE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4Char">
    <w:name w:val="Heading 4 Char"/>
    <w:basedOn w:val="DefaultParagraphFont"/>
    <w:link w:val="Heading4"/>
    <w:uiPriority w:val="2"/>
    <w:rsid w:val="00D563C8"/>
    <w:rPr>
      <w:rFonts w:asciiTheme="majorHAnsi" w:eastAsiaTheme="majorEastAsia" w:hAnsiTheme="majorHAnsi" w:cstheme="majorBidi"/>
      <w:i/>
      <w:iCs/>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60816">
      <w:bodyDiv w:val="1"/>
      <w:marLeft w:val="0"/>
      <w:marRight w:val="0"/>
      <w:marTop w:val="0"/>
      <w:marBottom w:val="0"/>
      <w:divBdr>
        <w:top w:val="none" w:sz="0" w:space="0" w:color="auto"/>
        <w:left w:val="none" w:sz="0" w:space="0" w:color="auto"/>
        <w:bottom w:val="none" w:sz="0" w:space="0" w:color="auto"/>
        <w:right w:val="none" w:sz="0" w:space="0" w:color="auto"/>
      </w:divBdr>
      <w:divsChild>
        <w:div w:id="43070408">
          <w:marLeft w:val="0"/>
          <w:marRight w:val="0"/>
          <w:marTop w:val="0"/>
          <w:marBottom w:val="0"/>
          <w:divBdr>
            <w:top w:val="none" w:sz="0" w:space="0" w:color="auto"/>
            <w:left w:val="none" w:sz="0" w:space="0" w:color="auto"/>
            <w:bottom w:val="none" w:sz="0" w:space="0" w:color="auto"/>
            <w:right w:val="none" w:sz="0" w:space="0" w:color="auto"/>
          </w:divBdr>
        </w:div>
        <w:div w:id="194388535">
          <w:marLeft w:val="0"/>
          <w:marRight w:val="0"/>
          <w:marTop w:val="0"/>
          <w:marBottom w:val="0"/>
          <w:divBdr>
            <w:top w:val="none" w:sz="0" w:space="0" w:color="auto"/>
            <w:left w:val="none" w:sz="0" w:space="0" w:color="auto"/>
            <w:bottom w:val="none" w:sz="0" w:space="0" w:color="auto"/>
            <w:right w:val="none" w:sz="0" w:space="0" w:color="auto"/>
          </w:divBdr>
        </w:div>
        <w:div w:id="882210566">
          <w:marLeft w:val="0"/>
          <w:marRight w:val="0"/>
          <w:marTop w:val="0"/>
          <w:marBottom w:val="0"/>
          <w:divBdr>
            <w:top w:val="none" w:sz="0" w:space="0" w:color="auto"/>
            <w:left w:val="none" w:sz="0" w:space="0" w:color="auto"/>
            <w:bottom w:val="none" w:sz="0" w:space="0" w:color="auto"/>
            <w:right w:val="none" w:sz="0" w:space="0" w:color="auto"/>
          </w:divBdr>
        </w:div>
        <w:div w:id="1190686083">
          <w:marLeft w:val="0"/>
          <w:marRight w:val="0"/>
          <w:marTop w:val="0"/>
          <w:marBottom w:val="0"/>
          <w:divBdr>
            <w:top w:val="none" w:sz="0" w:space="0" w:color="auto"/>
            <w:left w:val="none" w:sz="0" w:space="0" w:color="auto"/>
            <w:bottom w:val="none" w:sz="0" w:space="0" w:color="auto"/>
            <w:right w:val="none" w:sz="0" w:space="0" w:color="auto"/>
          </w:divBdr>
        </w:div>
        <w:div w:id="1743067444">
          <w:marLeft w:val="0"/>
          <w:marRight w:val="0"/>
          <w:marTop w:val="0"/>
          <w:marBottom w:val="0"/>
          <w:divBdr>
            <w:top w:val="none" w:sz="0" w:space="0" w:color="auto"/>
            <w:left w:val="none" w:sz="0" w:space="0" w:color="auto"/>
            <w:bottom w:val="none" w:sz="0" w:space="0" w:color="auto"/>
            <w:right w:val="none" w:sz="0" w:space="0" w:color="auto"/>
          </w:divBdr>
        </w:div>
      </w:divsChild>
    </w:div>
    <w:div w:id="2087652472">
      <w:bodyDiv w:val="1"/>
      <w:marLeft w:val="0"/>
      <w:marRight w:val="0"/>
      <w:marTop w:val="0"/>
      <w:marBottom w:val="0"/>
      <w:divBdr>
        <w:top w:val="none" w:sz="0" w:space="0" w:color="auto"/>
        <w:left w:val="none" w:sz="0" w:space="0" w:color="auto"/>
        <w:bottom w:val="none" w:sz="0" w:space="0" w:color="auto"/>
        <w:right w:val="none" w:sz="0" w:space="0" w:color="auto"/>
      </w:divBdr>
      <w:divsChild>
        <w:div w:id="775298167">
          <w:marLeft w:val="0"/>
          <w:marRight w:val="0"/>
          <w:marTop w:val="0"/>
          <w:marBottom w:val="0"/>
          <w:divBdr>
            <w:top w:val="none" w:sz="0" w:space="0" w:color="auto"/>
            <w:left w:val="none" w:sz="0" w:space="0" w:color="auto"/>
            <w:bottom w:val="none" w:sz="0" w:space="0" w:color="auto"/>
            <w:right w:val="none" w:sz="0" w:space="0" w:color="auto"/>
          </w:divBdr>
        </w:div>
        <w:div w:id="326178066">
          <w:marLeft w:val="0"/>
          <w:marRight w:val="0"/>
          <w:marTop w:val="0"/>
          <w:marBottom w:val="0"/>
          <w:divBdr>
            <w:top w:val="none" w:sz="0" w:space="0" w:color="auto"/>
            <w:left w:val="none" w:sz="0" w:space="0" w:color="auto"/>
            <w:bottom w:val="none" w:sz="0" w:space="0" w:color="auto"/>
            <w:right w:val="none" w:sz="0" w:space="0" w:color="auto"/>
          </w:divBdr>
        </w:div>
        <w:div w:id="1644238944">
          <w:marLeft w:val="0"/>
          <w:marRight w:val="0"/>
          <w:marTop w:val="0"/>
          <w:marBottom w:val="0"/>
          <w:divBdr>
            <w:top w:val="none" w:sz="0" w:space="0" w:color="auto"/>
            <w:left w:val="none" w:sz="0" w:space="0" w:color="auto"/>
            <w:bottom w:val="none" w:sz="0" w:space="0" w:color="auto"/>
            <w:right w:val="none" w:sz="0" w:space="0" w:color="auto"/>
          </w:divBdr>
        </w:div>
        <w:div w:id="600378065">
          <w:marLeft w:val="0"/>
          <w:marRight w:val="0"/>
          <w:marTop w:val="0"/>
          <w:marBottom w:val="0"/>
          <w:divBdr>
            <w:top w:val="none" w:sz="0" w:space="0" w:color="auto"/>
            <w:left w:val="none" w:sz="0" w:space="0" w:color="auto"/>
            <w:bottom w:val="none" w:sz="0" w:space="0" w:color="auto"/>
            <w:right w:val="none" w:sz="0" w:space="0" w:color="auto"/>
          </w:divBdr>
        </w:div>
        <w:div w:id="1901095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2025-02-14T02:37:00Z</dcterms:created>
  <dcterms:modified xsi:type="dcterms:W3CDTF">2025-02-14T02:37:00Z</dcterms:modified>
</cp:coreProperties>
</file>