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C7F1" w14:textId="77777777" w:rsidR="00EC27B8" w:rsidRDefault="00EC27B8" w:rsidP="00EC27B8">
      <w:pPr>
        <w:spacing w:line="264" w:lineRule="auto"/>
        <w:rPr>
          <w:szCs w:val="24"/>
        </w:rPr>
      </w:pPr>
      <w:bookmarkStart w:id="0" w:name="_GoBack"/>
      <w:bookmarkEnd w:id="0"/>
      <w:r>
        <w:rPr>
          <w:szCs w:val="24"/>
        </w:rPr>
        <w:t>Ms Joanna Abhayaratna</w:t>
      </w:r>
    </w:p>
    <w:p w14:paraId="0F98617D" w14:textId="77777777" w:rsidR="00EC27B8" w:rsidRDefault="00EC27B8" w:rsidP="00EC27B8">
      <w:pPr>
        <w:spacing w:line="264" w:lineRule="auto"/>
        <w:rPr>
          <w:szCs w:val="24"/>
        </w:rPr>
      </w:pPr>
      <w:r>
        <w:rPr>
          <w:szCs w:val="24"/>
        </w:rPr>
        <w:t>Executive Director</w:t>
      </w:r>
    </w:p>
    <w:p w14:paraId="63E0B27A" w14:textId="77777777" w:rsidR="00EC27B8" w:rsidRDefault="00EC27B8" w:rsidP="00EC27B8">
      <w:pPr>
        <w:spacing w:line="264" w:lineRule="auto"/>
        <w:rPr>
          <w:szCs w:val="24"/>
        </w:rPr>
      </w:pPr>
      <w:r>
        <w:rPr>
          <w:szCs w:val="24"/>
        </w:rPr>
        <w:t>Office of Impact Analysis</w:t>
      </w:r>
    </w:p>
    <w:p w14:paraId="3E2BE9C2" w14:textId="77777777" w:rsidR="00EC27B8" w:rsidRDefault="00EC27B8" w:rsidP="00EC27B8">
      <w:pPr>
        <w:spacing w:line="264" w:lineRule="auto"/>
        <w:rPr>
          <w:szCs w:val="24"/>
        </w:rPr>
      </w:pPr>
      <w:r>
        <w:rPr>
          <w:szCs w:val="24"/>
        </w:rPr>
        <w:t>Department of the Prime Minister and Cabinet</w:t>
      </w:r>
    </w:p>
    <w:p w14:paraId="35B37F7C" w14:textId="77777777" w:rsidR="00EC27B8" w:rsidRDefault="00EC27B8" w:rsidP="00EC27B8">
      <w:pPr>
        <w:spacing w:line="264" w:lineRule="auto"/>
        <w:rPr>
          <w:szCs w:val="24"/>
        </w:rPr>
      </w:pPr>
      <w:r>
        <w:rPr>
          <w:szCs w:val="24"/>
        </w:rPr>
        <w:t>1 National Circuit</w:t>
      </w:r>
    </w:p>
    <w:p w14:paraId="422E80E1" w14:textId="77777777" w:rsidR="00EC27B8" w:rsidRDefault="00EC27B8" w:rsidP="00EC27B8">
      <w:pPr>
        <w:spacing w:line="264" w:lineRule="auto"/>
        <w:rPr>
          <w:szCs w:val="24"/>
        </w:rPr>
      </w:pPr>
      <w:r>
        <w:rPr>
          <w:szCs w:val="24"/>
        </w:rPr>
        <w:t>BARTON ACT 2600</w:t>
      </w:r>
    </w:p>
    <w:p w14:paraId="2C57C532" w14:textId="66E450BB" w:rsidR="00A41291" w:rsidRDefault="00A41291" w:rsidP="00A41291">
      <w:pPr>
        <w:spacing w:line="264" w:lineRule="auto"/>
        <w:jc w:val="right"/>
        <w:rPr>
          <w:szCs w:val="24"/>
        </w:rPr>
      </w:pPr>
      <w:r>
        <w:rPr>
          <w:szCs w:val="24"/>
        </w:rPr>
        <w:t xml:space="preserve">By email: </w:t>
      </w:r>
      <w:hyperlink r:id="rId7" w:history="1">
        <w:r>
          <w:rPr>
            <w:rStyle w:val="Hyperlink"/>
            <w:szCs w:val="24"/>
          </w:rPr>
          <w:t>Helpdesk-OIA@pmc.gov.au</w:t>
        </w:r>
      </w:hyperlink>
    </w:p>
    <w:p w14:paraId="3E23C17A" w14:textId="77777777" w:rsidR="00CC522F" w:rsidRDefault="00CC522F" w:rsidP="00EC27B8">
      <w:pPr>
        <w:pStyle w:val="Salutation"/>
      </w:pPr>
    </w:p>
    <w:p w14:paraId="04710EE2" w14:textId="1376583C" w:rsidR="001462DA" w:rsidRPr="00B74A1B" w:rsidRDefault="001462DA" w:rsidP="00EC27B8">
      <w:pPr>
        <w:pStyle w:val="Salutation"/>
      </w:pPr>
      <w:r w:rsidRPr="00B74A1B">
        <w:t xml:space="preserve">Dear </w:t>
      </w:r>
      <w:r w:rsidR="00EC27B8">
        <w:t>Ms Abhayaratna</w:t>
      </w:r>
    </w:p>
    <w:p w14:paraId="00549D04" w14:textId="7730C47F" w:rsidR="001462DA" w:rsidRPr="00B74A1B" w:rsidRDefault="00A41291" w:rsidP="00C30AE0">
      <w:pPr>
        <w:pStyle w:val="Subject"/>
        <w:jc w:val="both"/>
      </w:pPr>
      <w:r>
        <w:t>Certification of s</w:t>
      </w:r>
      <w:r w:rsidR="002754DB">
        <w:t>unsetting instrument</w:t>
      </w:r>
      <w:r>
        <w:t xml:space="preserve"> </w:t>
      </w:r>
      <w:r w:rsidR="002754DB">
        <w:t xml:space="preserve">– Family Law Regulations 1984 </w:t>
      </w:r>
    </w:p>
    <w:p w14:paraId="46A8117F" w14:textId="29C5786D" w:rsidR="002754DB" w:rsidRDefault="002754DB" w:rsidP="002754DB">
      <w:pPr>
        <w:pStyle w:val="Paragraph"/>
      </w:pPr>
      <w:r>
        <w:t xml:space="preserve">I am writing to the Office of Impact Analysis regarding the </w:t>
      </w:r>
      <w:r w:rsidRPr="00CC59FC">
        <w:t>Family Law Regulations 1984</w:t>
      </w:r>
      <w:r>
        <w:t xml:space="preserve">, an instrument under the </w:t>
      </w:r>
      <w:r w:rsidRPr="00426882">
        <w:rPr>
          <w:i/>
        </w:rPr>
        <w:t>Family Law Act 1975</w:t>
      </w:r>
      <w:r w:rsidR="00EC27B8">
        <w:t xml:space="preserve">, which, as per the </w:t>
      </w:r>
      <w:r w:rsidR="00EC27B8">
        <w:rPr>
          <w:i/>
        </w:rPr>
        <w:t xml:space="preserve">Legislation Act 2003, </w:t>
      </w:r>
      <w:r w:rsidR="00EC27B8">
        <w:t>h</w:t>
      </w:r>
      <w:r w:rsidR="00BB6EFD">
        <w:t>as</w:t>
      </w:r>
      <w:r w:rsidR="00EC27B8">
        <w:t xml:space="preserve"> been schedule</w:t>
      </w:r>
      <w:r w:rsidR="00BB6EFD">
        <w:t>d</w:t>
      </w:r>
      <w:r w:rsidR="00EC27B8">
        <w:t xml:space="preserve"> to </w:t>
      </w:r>
      <w:r>
        <w:t>sunset on 1 April 2025.</w:t>
      </w:r>
      <w:r w:rsidR="00BB6EFD">
        <w:t xml:space="preserve"> However,</w:t>
      </w:r>
      <w:r w:rsidR="00D027EA">
        <w:t xml:space="preserve"> the Attorney-General’s Department (the department) proposes</w:t>
      </w:r>
      <w:r>
        <w:t xml:space="preserve"> that th</w:t>
      </w:r>
      <w:r w:rsidR="00BB6EFD">
        <w:t>e</w:t>
      </w:r>
      <w:r>
        <w:t xml:space="preserve"> instrument </w:t>
      </w:r>
      <w:r w:rsidR="00EB4981">
        <w:t xml:space="preserve">be remade without significant amendments as the </w:t>
      </w:r>
      <w:r w:rsidR="00EB4981" w:rsidRPr="00CC59FC">
        <w:t>Family Law Regulations 202</w:t>
      </w:r>
      <w:r w:rsidR="00CC59FC" w:rsidRPr="00CC59FC">
        <w:t>4</w:t>
      </w:r>
      <w:r w:rsidR="00BB6EFD">
        <w:t>.</w:t>
      </w:r>
      <w:r w:rsidR="00EB4981">
        <w:t xml:space="preserve"> </w:t>
      </w:r>
    </w:p>
    <w:p w14:paraId="38B4034A" w14:textId="11AE4DF3" w:rsidR="002B5CF7" w:rsidRDefault="002B5CF7" w:rsidP="002754DB">
      <w:pPr>
        <w:pStyle w:val="Paragraph"/>
      </w:pPr>
      <w:r>
        <w:t>The department certifies that the</w:t>
      </w:r>
      <w:r w:rsidR="00F9245D">
        <w:t xml:space="preserve"> </w:t>
      </w:r>
      <w:r w:rsidR="00F9245D" w:rsidRPr="00CC59FC">
        <w:t>Family Law Regulations 198</w:t>
      </w:r>
      <w:r w:rsidR="00C3013C">
        <w:t xml:space="preserve">4 </w:t>
      </w:r>
      <w:r>
        <w:t>are operating effectively and efficiently, and that therefore an Impact Analysis is not required for th</w:t>
      </w:r>
      <w:r w:rsidR="00F9245D">
        <w:t>i</w:t>
      </w:r>
      <w:r>
        <w:t xml:space="preserve">s instrument to be remade. </w:t>
      </w:r>
    </w:p>
    <w:p w14:paraId="6BAA967A" w14:textId="023E6674" w:rsidR="00CC59FC" w:rsidRDefault="00CC59FC" w:rsidP="002754DB">
      <w:pPr>
        <w:pStyle w:val="Paragraph"/>
      </w:pPr>
      <w:r>
        <w:t xml:space="preserve">This assessment has been informed by a consultation process with key stakeholders, including legal organisations, state and territory </w:t>
      </w:r>
      <w:r w:rsidR="00621A09">
        <w:t>departments</w:t>
      </w:r>
      <w:r>
        <w:t xml:space="preserve">, Commonwealth agencies and professional organisations. </w:t>
      </w:r>
      <w:r w:rsidR="00F9245D">
        <w:t>In addition to targeted consultation, public consultation on an exposure draft was</w:t>
      </w:r>
      <w:r>
        <w:t xml:space="preserve"> held </w:t>
      </w:r>
      <w:r w:rsidR="00F9245D">
        <w:t xml:space="preserve">in August </w:t>
      </w:r>
      <w:r>
        <w:t>and September 2024</w:t>
      </w:r>
      <w:r w:rsidR="00F9245D">
        <w:t>.</w:t>
      </w:r>
    </w:p>
    <w:p w14:paraId="5C099524" w14:textId="176A7C39" w:rsidR="009662DD" w:rsidRDefault="009662DD" w:rsidP="009662DD">
      <w:pPr>
        <w:spacing w:before="120" w:after="120" w:line="264" w:lineRule="auto"/>
        <w:rPr>
          <w:szCs w:val="24"/>
        </w:rPr>
      </w:pPr>
      <w:r>
        <w:rPr>
          <w:szCs w:val="24"/>
        </w:rPr>
        <w:t>I also note that the regulatory burden to people, business, or community organisations has been quantified using the Australian Government’s Regulatory Burden Measurement framework. These are provided below.</w:t>
      </w:r>
      <w:r w:rsidR="009F167A">
        <w:rPr>
          <w:szCs w:val="24"/>
        </w:rPr>
        <w:t xml:space="preserve"> The average annual regulatory costs quantified </w:t>
      </w:r>
      <w:r w:rsidR="00BF0F22">
        <w:rPr>
          <w:szCs w:val="24"/>
        </w:rPr>
        <w:t xml:space="preserve">below </w:t>
      </w:r>
      <w:r w:rsidR="009F167A">
        <w:rPr>
          <w:szCs w:val="24"/>
        </w:rPr>
        <w:t>relate</w:t>
      </w:r>
      <w:r w:rsidR="00BF0F22">
        <w:rPr>
          <w:szCs w:val="24"/>
        </w:rPr>
        <w:t xml:space="preserve"> only</w:t>
      </w:r>
      <w:r w:rsidR="009F167A">
        <w:rPr>
          <w:szCs w:val="24"/>
        </w:rPr>
        <w:t xml:space="preserve"> to a new requirement on individuals engaging in family law arbitration.</w:t>
      </w:r>
      <w:r w:rsidR="00BF0F22">
        <w:rPr>
          <w:szCs w:val="24"/>
        </w:rPr>
        <w:t xml:space="preserve"> In the department’s view, there is no</w:t>
      </w:r>
      <w:r w:rsidR="007E1DB8">
        <w:rPr>
          <w:szCs w:val="24"/>
        </w:rPr>
        <w:t xml:space="preserve"> change in</w:t>
      </w:r>
      <w:r w:rsidR="00BF0F22">
        <w:rPr>
          <w:szCs w:val="24"/>
        </w:rPr>
        <w:t xml:space="preserve"> regulatory burden arising from any other</w:t>
      </w:r>
      <w:r w:rsidR="007E1DB8">
        <w:rPr>
          <w:szCs w:val="24"/>
        </w:rPr>
        <w:t xml:space="preserve"> proposed changes to the</w:t>
      </w:r>
      <w:r w:rsidR="00BF0F22">
        <w:rPr>
          <w:szCs w:val="24"/>
        </w:rPr>
        <w:t xml:space="preserve"> </w:t>
      </w:r>
      <w:r w:rsidR="00506AB8">
        <w:rPr>
          <w:szCs w:val="24"/>
        </w:rPr>
        <w:t>instrument</w:t>
      </w:r>
      <w:r w:rsidR="00BF0F22">
        <w:rPr>
          <w:szCs w:val="24"/>
        </w:rPr>
        <w:t>.</w:t>
      </w:r>
    </w:p>
    <w:p w14:paraId="3E73A0F6" w14:textId="77777777" w:rsidR="009662DD" w:rsidRDefault="009662DD" w:rsidP="009662DD">
      <w:pPr>
        <w:spacing w:before="120" w:after="120" w:line="264" w:lineRule="auto"/>
        <w:rPr>
          <w:szCs w:val="24"/>
        </w:rPr>
      </w:pPr>
      <w:bookmarkStart w:id="1" w:name="_Hlk184387457"/>
      <w:r>
        <w:rPr>
          <w:szCs w:val="24"/>
        </w:rPr>
        <w:t>Average annual regulatory costs (from business as usual)</w:t>
      </w:r>
    </w:p>
    <w:tbl>
      <w:tblPr>
        <w:tblStyle w:val="LightGrid-Accent21"/>
        <w:tblW w:w="9360" w:type="dxa"/>
        <w:tblInd w:w="108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2009"/>
        <w:gridCol w:w="1734"/>
        <w:gridCol w:w="1872"/>
        <w:gridCol w:w="1872"/>
        <w:gridCol w:w="1873"/>
      </w:tblGrid>
      <w:tr w:rsidR="009662DD" w14:paraId="5E3FE514" w14:textId="77777777" w:rsidTr="00966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shd w:val="clear" w:color="auto" w:fill="A6A6A6" w:themeFill="background1" w:themeFillShade="A6"/>
            <w:noWrap/>
            <w:hideMark/>
          </w:tcPr>
          <w:p w14:paraId="74F2C825" w14:textId="5B55991E" w:rsidR="009662DD" w:rsidRDefault="009662DD">
            <w:pPr>
              <w:spacing w:before="120" w:after="120" w:line="264" w:lineRule="auto"/>
            </w:pPr>
            <w:bookmarkStart w:id="2" w:name="_Hlk184387442"/>
            <w:bookmarkEnd w:id="1"/>
            <w:r>
              <w:t xml:space="preserve">Change in costs </w:t>
            </w:r>
          </w:p>
        </w:tc>
        <w:tc>
          <w:tcPr>
            <w:tcW w:w="173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shd w:val="clear" w:color="auto" w:fill="A6A6A6" w:themeFill="background1" w:themeFillShade="A6"/>
            <w:noWrap/>
            <w:hideMark/>
          </w:tcPr>
          <w:p w14:paraId="20F517EC" w14:textId="77777777" w:rsidR="009662DD" w:rsidRDefault="009662DD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</w:t>
            </w:r>
          </w:p>
        </w:tc>
        <w:tc>
          <w:tcPr>
            <w:tcW w:w="1871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shd w:val="clear" w:color="auto" w:fill="A6A6A6" w:themeFill="background1" w:themeFillShade="A6"/>
            <w:noWrap/>
            <w:hideMark/>
          </w:tcPr>
          <w:p w14:paraId="75A38289" w14:textId="77777777" w:rsidR="009662DD" w:rsidRDefault="009662DD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organisations</w:t>
            </w:r>
          </w:p>
        </w:tc>
        <w:tc>
          <w:tcPr>
            <w:tcW w:w="1871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shd w:val="clear" w:color="auto" w:fill="A6A6A6" w:themeFill="background1" w:themeFillShade="A6"/>
            <w:noWrap/>
            <w:hideMark/>
          </w:tcPr>
          <w:p w14:paraId="1CD3BEC1" w14:textId="496A62A4" w:rsidR="009662DD" w:rsidRDefault="009F167A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</w:t>
            </w:r>
            <w:r w:rsidR="00C72402">
              <w:t>a</w:t>
            </w:r>
            <w:r>
              <w:t>ls</w:t>
            </w:r>
          </w:p>
        </w:tc>
        <w:tc>
          <w:tcPr>
            <w:tcW w:w="1872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shd w:val="clear" w:color="auto" w:fill="A6A6A6" w:themeFill="background1" w:themeFillShade="A6"/>
            <w:noWrap/>
            <w:hideMark/>
          </w:tcPr>
          <w:p w14:paraId="0249A4B2" w14:textId="77777777" w:rsidR="009662DD" w:rsidRDefault="009662DD">
            <w:pPr>
              <w:spacing w:before="120" w:after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change in costs</w:t>
            </w:r>
          </w:p>
        </w:tc>
      </w:tr>
      <w:tr w:rsidR="009662DD" w14:paraId="2CBD66DF" w14:textId="77777777" w:rsidTr="009662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noWrap/>
            <w:hideMark/>
          </w:tcPr>
          <w:p w14:paraId="544414BF" w14:textId="77777777" w:rsidR="009662DD" w:rsidRDefault="009662DD">
            <w:pPr>
              <w:spacing w:before="120" w:after="120" w:line="264" w:lineRule="auto"/>
              <w:rPr>
                <w:b w:val="0"/>
              </w:rPr>
            </w:pPr>
            <w:r>
              <w:rPr>
                <w:b w:val="0"/>
              </w:rPr>
              <w:t>Total, by sector</w:t>
            </w:r>
          </w:p>
        </w:tc>
        <w:tc>
          <w:tcPr>
            <w:tcW w:w="1733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noWrap/>
            <w:hideMark/>
          </w:tcPr>
          <w:p w14:paraId="52DCC41E" w14:textId="432CA875" w:rsidR="009662DD" w:rsidRDefault="009662DD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$0</w:t>
            </w:r>
          </w:p>
        </w:tc>
        <w:tc>
          <w:tcPr>
            <w:tcW w:w="1871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noWrap/>
            <w:hideMark/>
          </w:tcPr>
          <w:p w14:paraId="7A5C9FD7" w14:textId="234773DC" w:rsidR="009662DD" w:rsidRDefault="009662DD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$0</w:t>
            </w:r>
          </w:p>
        </w:tc>
        <w:tc>
          <w:tcPr>
            <w:tcW w:w="1871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noWrap/>
            <w:hideMark/>
          </w:tcPr>
          <w:p w14:paraId="4E6CFF5A" w14:textId="7DE00D6E" w:rsidR="009662DD" w:rsidRDefault="009662DD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$</w:t>
            </w:r>
            <w:r w:rsidR="00920616">
              <w:rPr>
                <w:rFonts w:cs="Times New Roman"/>
              </w:rPr>
              <w:t>90,316.80</w:t>
            </w:r>
          </w:p>
        </w:tc>
        <w:tc>
          <w:tcPr>
            <w:tcW w:w="1872" w:type="dxa"/>
            <w:tcBorders>
              <w:top w:val="single" w:sz="8" w:space="0" w:color="4E4E4E"/>
              <w:left w:val="single" w:sz="8" w:space="0" w:color="4E4E4E"/>
              <w:bottom w:val="single" w:sz="8" w:space="0" w:color="4E4E4E"/>
              <w:right w:val="single" w:sz="8" w:space="0" w:color="4E4E4E"/>
            </w:tcBorders>
            <w:noWrap/>
            <w:hideMark/>
          </w:tcPr>
          <w:p w14:paraId="468D1076" w14:textId="017BE535" w:rsidR="009662DD" w:rsidRDefault="00ED3445">
            <w:pPr>
              <w:spacing w:before="120"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$0</w:t>
            </w:r>
          </w:p>
        </w:tc>
      </w:tr>
      <w:bookmarkEnd w:id="2"/>
    </w:tbl>
    <w:p w14:paraId="2A366068" w14:textId="77777777" w:rsidR="009662DD" w:rsidRDefault="009662DD" w:rsidP="00C30AE0">
      <w:pPr>
        <w:pStyle w:val="Paragraph"/>
        <w:jc w:val="both"/>
      </w:pPr>
    </w:p>
    <w:p w14:paraId="13373E75" w14:textId="77777777" w:rsidR="009662DD" w:rsidRDefault="009662DD" w:rsidP="00C30AE0">
      <w:pPr>
        <w:pStyle w:val="Paragraph"/>
        <w:jc w:val="both"/>
      </w:pPr>
    </w:p>
    <w:p w14:paraId="165CFD19" w14:textId="77777777" w:rsidR="009662DD" w:rsidRDefault="009662DD" w:rsidP="00C30AE0">
      <w:pPr>
        <w:pStyle w:val="Paragraph"/>
        <w:jc w:val="both"/>
      </w:pPr>
    </w:p>
    <w:p w14:paraId="25E05A39" w14:textId="3B63E20C" w:rsidR="001462DA" w:rsidRPr="00B74A1B" w:rsidRDefault="0083418A" w:rsidP="00C30AE0">
      <w:pPr>
        <w:pStyle w:val="Paragraph"/>
        <w:jc w:val="both"/>
      </w:pPr>
      <w:r>
        <w:t xml:space="preserve">I acknowledge </w:t>
      </w:r>
      <w:r w:rsidR="00CC522F">
        <w:t xml:space="preserve">the Office of Impact Analysis </w:t>
      </w:r>
      <w:r>
        <w:t>will publish this letter for transparency purposes.</w:t>
      </w:r>
    </w:p>
    <w:p w14:paraId="2AF1F6EE" w14:textId="15471DDB" w:rsidR="00EC0BB5" w:rsidRPr="00B74A1B" w:rsidRDefault="0083418A" w:rsidP="00C30AE0">
      <w:pPr>
        <w:pStyle w:val="Paragraph"/>
        <w:jc w:val="both"/>
      </w:pPr>
      <w:r>
        <w:t xml:space="preserve">If you have any queries about this advice, please contact </w:t>
      </w:r>
      <w:r w:rsidR="00BB6EFD">
        <w:t>Samantha Byng</w:t>
      </w:r>
      <w:r>
        <w:t xml:space="preserve"> on (</w:t>
      </w:r>
      <w:r w:rsidRPr="0083418A">
        <w:t>02</w:t>
      </w:r>
      <w:r>
        <w:t>)</w:t>
      </w:r>
      <w:r w:rsidRPr="0083418A">
        <w:t xml:space="preserve"> 6141</w:t>
      </w:r>
      <w:r>
        <w:t xml:space="preserve"> </w:t>
      </w:r>
      <w:r w:rsidR="00BB6EFD">
        <w:t>5430</w:t>
      </w:r>
      <w:r>
        <w:t xml:space="preserve"> or </w:t>
      </w:r>
      <w:r w:rsidR="007457B8">
        <w:t>S</w:t>
      </w:r>
      <w:r w:rsidR="00BB6EFD" w:rsidRPr="00BB6EFD">
        <w:t>amantha.</w:t>
      </w:r>
      <w:r w:rsidR="007457B8">
        <w:t>B</w:t>
      </w:r>
      <w:r w:rsidR="00BB6EFD" w:rsidRPr="00BB6EFD">
        <w:t>yng@ag.gov.au</w:t>
      </w:r>
      <w:r>
        <w:t xml:space="preserve">. </w:t>
      </w:r>
    </w:p>
    <w:p w14:paraId="1F9AC11C" w14:textId="77777777" w:rsidR="001462DA" w:rsidRPr="00B74A1B" w:rsidRDefault="001462DA" w:rsidP="00C30AE0">
      <w:pPr>
        <w:pStyle w:val="Closing"/>
        <w:jc w:val="both"/>
      </w:pPr>
      <w:r w:rsidRPr="00B74A1B">
        <w:t>Yours sincerely</w:t>
      </w:r>
    </w:p>
    <w:p w14:paraId="0EEF0EF0" w14:textId="475CF2DF" w:rsidR="001462DA" w:rsidRDefault="002754DB" w:rsidP="007739B4">
      <w:pPr>
        <w:pStyle w:val="Signature"/>
      </w:pPr>
      <w:r>
        <w:t>Tamsyn Harvey</w:t>
      </w:r>
      <w:r w:rsidR="00BB6EFD">
        <w:br/>
        <w:t>Deputy Secretary</w:t>
      </w:r>
      <w:r w:rsidR="00BB6EFD">
        <w:br/>
        <w:t xml:space="preserve">Attorney-General’s Department </w:t>
      </w:r>
    </w:p>
    <w:p w14:paraId="53DE35BE" w14:textId="63617837" w:rsidR="00BB6EFD" w:rsidRDefault="00BB6EFD" w:rsidP="00BB6EFD"/>
    <w:p w14:paraId="2D4DC9BF" w14:textId="6FD2681F" w:rsidR="00BB6EFD" w:rsidRPr="00BB6EFD" w:rsidRDefault="00BB6EFD" w:rsidP="00BB6EFD">
      <w:r>
        <w:t xml:space="preserve">         </w:t>
      </w:r>
      <w:r w:rsidR="004A08FD">
        <w:tab/>
      </w:r>
      <w:r w:rsidR="004A08FD">
        <w:tab/>
      </w:r>
      <w:r w:rsidR="004A08FD">
        <w:tab/>
      </w:r>
      <w:r>
        <w:t>2024</w:t>
      </w:r>
    </w:p>
    <w:sectPr w:rsidR="00BB6EFD" w:rsidRPr="00BB6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C0E8" w14:textId="77777777" w:rsidR="006C03D3" w:rsidRDefault="006C03D3">
      <w:r>
        <w:separator/>
      </w:r>
    </w:p>
  </w:endnote>
  <w:endnote w:type="continuationSeparator" w:id="0">
    <w:p w14:paraId="175007AC" w14:textId="77777777" w:rsidR="006C03D3" w:rsidRDefault="006C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D7B4" w14:textId="77777777" w:rsidR="00D557A5" w:rsidRDefault="00D557A5">
    <w:pPr>
      <w:pStyle w:val="Classification"/>
    </w:pPr>
    <w:bookmarkStart w:id="5" w:name="CLASSIFICATION6"/>
    <w:bookmarkEnd w:id="5"/>
  </w:p>
  <w:p w14:paraId="1379096F" w14:textId="77777777" w:rsidR="00D557A5" w:rsidRDefault="00D557A5">
    <w:pPr>
      <w:pStyle w:val="Footer"/>
      <w:jc w:val="left"/>
    </w:pPr>
    <w:bookmarkStart w:id="6" w:name="Subject_footer2"/>
    <w:r>
      <w:t>^</w:t>
    </w:r>
    <w:r>
      <w:rPr>
        <w:color w:val="FF0000"/>
      </w:rPr>
      <w:t>Subject footer</w:t>
    </w:r>
    <w:r>
      <w:t>^</w:t>
    </w:r>
    <w:bookmarkEnd w:id="6"/>
  </w:p>
  <w:p w14:paraId="256B9029" w14:textId="77777777" w:rsidR="00D557A5" w:rsidRDefault="00D557A5">
    <w:pPr>
      <w:pStyle w:val="Footer"/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2148F">
      <w:fldChar w:fldCharType="begin"/>
    </w:r>
    <w:r w:rsidR="0092148F">
      <w:instrText xml:space="preserve"> NUMPAGES </w:instrText>
    </w:r>
    <w:r w:rsidR="0092148F">
      <w:fldChar w:fldCharType="separate"/>
    </w:r>
    <w:r w:rsidR="00BB4F44">
      <w:rPr>
        <w:noProof/>
      </w:rPr>
      <w:t>1</w:t>
    </w:r>
    <w:r w:rsidR="009214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B45A" w14:textId="25C0B94B" w:rsidR="00D557A5" w:rsidRDefault="00C72402">
    <w:pPr>
      <w:pStyle w:val="Footer"/>
    </w:pPr>
    <w:bookmarkStart w:id="7" w:name="Subject_footer"/>
    <w:r>
      <w:t>Certification of sunsetting instrument – Family Law Regulations 1984</w:t>
    </w:r>
    <w:bookmarkEnd w:id="7"/>
  </w:p>
  <w:p w14:paraId="00D9ECD1" w14:textId="2F927AF7" w:rsidR="00D557A5" w:rsidRDefault="00D557A5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922AE">
      <w:rPr>
        <w:noProof/>
      </w:rPr>
      <w:t>2</w:t>
    </w:r>
    <w:r>
      <w:fldChar w:fldCharType="end"/>
    </w:r>
    <w:r>
      <w:t xml:space="preserve"> of </w:t>
    </w:r>
    <w:r w:rsidR="0092148F">
      <w:fldChar w:fldCharType="begin"/>
    </w:r>
    <w:r w:rsidR="0092148F">
      <w:instrText xml:space="preserve"> NUMPAGES </w:instrText>
    </w:r>
    <w:r w:rsidR="0092148F">
      <w:fldChar w:fldCharType="separate"/>
    </w:r>
    <w:r w:rsidR="007922AE">
      <w:rPr>
        <w:noProof/>
      </w:rPr>
      <w:t>2</w:t>
    </w:r>
    <w:r w:rsidR="0092148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165E" w14:textId="77777777" w:rsidR="00D557A5" w:rsidRPr="00670C43" w:rsidRDefault="00685B46" w:rsidP="008535A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E584FC2" wp14:editId="0CF8877E">
          <wp:simplePos x="0" y="0"/>
          <wp:positionH relativeFrom="page">
            <wp:posOffset>360045</wp:posOffset>
          </wp:positionH>
          <wp:positionV relativeFrom="page">
            <wp:posOffset>10225405</wp:posOffset>
          </wp:positionV>
          <wp:extent cx="6829425" cy="276225"/>
          <wp:effectExtent l="0" t="0" r="0" b="0"/>
          <wp:wrapTopAndBottom/>
          <wp:docPr id="10" name="Picture 10" descr="AGsNewBuilding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GsNewBuilding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5C7ED" w14:textId="77777777" w:rsidR="00D557A5" w:rsidRDefault="00D557A5">
    <w:pPr>
      <w:pStyle w:val="Footer"/>
    </w:pPr>
    <w:bookmarkStart w:id="8" w:name="CLASSIFICATION5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D4A51" w14:textId="77777777" w:rsidR="006C03D3" w:rsidRDefault="006C03D3">
      <w:r>
        <w:separator/>
      </w:r>
    </w:p>
  </w:footnote>
  <w:footnote w:type="continuationSeparator" w:id="0">
    <w:p w14:paraId="32E1C109" w14:textId="77777777" w:rsidR="006C03D3" w:rsidRDefault="006C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CBC9" w14:textId="77777777" w:rsidR="00D557A5" w:rsidRDefault="00D557A5">
    <w:pPr>
      <w:pStyle w:val="Classification"/>
    </w:pPr>
    <w:bookmarkStart w:id="3" w:name="CLASSIFICATION3"/>
    <w:bookmarkEnd w:id="3"/>
  </w:p>
  <w:p w14:paraId="01558B6E" w14:textId="77777777" w:rsidR="00D557A5" w:rsidRDefault="00D557A5">
    <w:pPr>
      <w:pStyle w:val="Header"/>
      <w:jc w:val="right"/>
    </w:pPr>
    <w:bookmarkStart w:id="4" w:name="DRAFT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5C25" w14:textId="77777777" w:rsidR="004E7240" w:rsidRDefault="004E7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73D2" w14:textId="49B05BE6" w:rsidR="009A3979" w:rsidRDefault="00685B46" w:rsidP="002B66CE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806289" wp14:editId="3B5105CD">
          <wp:simplePos x="0" y="0"/>
          <wp:positionH relativeFrom="column">
            <wp:posOffset>4166870</wp:posOffset>
          </wp:positionH>
          <wp:positionV relativeFrom="paragraph">
            <wp:posOffset>-73625</wp:posOffset>
          </wp:positionV>
          <wp:extent cx="2124075" cy="1462911"/>
          <wp:effectExtent l="0" t="0" r="0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462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6FF94" w14:textId="77777777" w:rsidR="009A3979" w:rsidRDefault="009A3979" w:rsidP="002B66CE">
    <w:pPr>
      <w:pStyle w:val="Header"/>
      <w:jc w:val="right"/>
    </w:pPr>
  </w:p>
  <w:p w14:paraId="41A7A4C3" w14:textId="77777777" w:rsidR="009A3979" w:rsidRDefault="00BB18D5" w:rsidP="00BB18D5">
    <w:pPr>
      <w:pStyle w:val="Header"/>
      <w:tabs>
        <w:tab w:val="left" w:pos="5295"/>
      </w:tabs>
    </w:pPr>
    <w:r>
      <w:tab/>
    </w:r>
  </w:p>
  <w:p w14:paraId="57689811" w14:textId="77777777" w:rsidR="00BB18D5" w:rsidRDefault="00BB18D5" w:rsidP="00BB18D5">
    <w:pPr>
      <w:pStyle w:val="Header"/>
      <w:tabs>
        <w:tab w:val="left" w:pos="5295"/>
      </w:tabs>
    </w:pPr>
  </w:p>
  <w:p w14:paraId="629EAC19" w14:textId="77777777" w:rsidR="00BB18D5" w:rsidRDefault="00BB18D5" w:rsidP="00BB18D5">
    <w:pPr>
      <w:pStyle w:val="Header"/>
      <w:tabs>
        <w:tab w:val="left" w:pos="5295"/>
      </w:tabs>
    </w:pPr>
  </w:p>
  <w:p w14:paraId="7C3D38CF" w14:textId="77777777" w:rsidR="00BB18D5" w:rsidRDefault="00BB18D5" w:rsidP="00BB18D5">
    <w:pPr>
      <w:pStyle w:val="Header"/>
      <w:tabs>
        <w:tab w:val="left" w:pos="5295"/>
      </w:tabs>
    </w:pPr>
  </w:p>
  <w:p w14:paraId="53B95575" w14:textId="77777777" w:rsidR="00BB18D5" w:rsidRDefault="00BB18D5" w:rsidP="00BB18D5">
    <w:pPr>
      <w:pStyle w:val="Header"/>
      <w:tabs>
        <w:tab w:val="left" w:pos="5295"/>
      </w:tabs>
    </w:pPr>
  </w:p>
  <w:p w14:paraId="081057E1" w14:textId="77777777" w:rsidR="00BB18D5" w:rsidRDefault="00BB18D5" w:rsidP="00BB18D5">
    <w:pPr>
      <w:pStyle w:val="Header"/>
      <w:tabs>
        <w:tab w:val="left" w:pos="5295"/>
      </w:tabs>
    </w:pPr>
  </w:p>
  <w:p w14:paraId="7607F534" w14:textId="77777777" w:rsidR="00BB18D5" w:rsidRDefault="00BB18D5" w:rsidP="00BB18D5">
    <w:pPr>
      <w:pStyle w:val="Header"/>
      <w:tabs>
        <w:tab w:val="left" w:pos="5295"/>
      </w:tabs>
    </w:pPr>
  </w:p>
  <w:p w14:paraId="2A56BB03" w14:textId="77777777" w:rsidR="00BB18D5" w:rsidRDefault="00BB18D5" w:rsidP="00BB18D5">
    <w:pPr>
      <w:pStyle w:val="Header"/>
      <w:tabs>
        <w:tab w:val="left" w:pos="5295"/>
      </w:tabs>
    </w:pPr>
  </w:p>
  <w:p w14:paraId="5C5123F3" w14:textId="77777777" w:rsidR="00BB18D5" w:rsidRDefault="00BB18D5" w:rsidP="00BB18D5">
    <w:pPr>
      <w:pStyle w:val="Header"/>
      <w:tabs>
        <w:tab w:val="left" w:pos="5295"/>
      </w:tabs>
    </w:pPr>
  </w:p>
  <w:p w14:paraId="2FDD1485" w14:textId="77777777" w:rsidR="004C6A99" w:rsidRDefault="004C6A99" w:rsidP="004C6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D75"/>
    <w:multiLevelType w:val="singleLevel"/>
    <w:tmpl w:val="5CF831E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DFE7F9F"/>
    <w:multiLevelType w:val="singleLevel"/>
    <w:tmpl w:val="F202E2E4"/>
    <w:lvl w:ilvl="0">
      <w:start w:val="1"/>
      <w:numFmt w:val="bullet"/>
      <w:pStyle w:val="Bullet2"/>
      <w:lvlText w:val="-"/>
      <w:lvlJc w:val="left"/>
      <w:pPr>
        <w:tabs>
          <w:tab w:val="num" w:pos="0"/>
        </w:tabs>
        <w:ind w:left="1134" w:hanging="284"/>
      </w:pPr>
      <w:rPr>
        <w:rFonts w:ascii="Times New Roman" w:hAnsi="Times New Roman" w:hint="default"/>
      </w:rPr>
    </w:lvl>
  </w:abstractNum>
  <w:abstractNum w:abstractNumId="2" w15:restartNumberingAfterBreak="0">
    <w:nsid w:val="1E0C5EEB"/>
    <w:multiLevelType w:val="singleLevel"/>
    <w:tmpl w:val="C6928690"/>
    <w:lvl w:ilvl="0">
      <w:start w:val="1"/>
      <w:numFmt w:val="bullet"/>
      <w:pStyle w:val="Bullet3"/>
      <w:lvlText w:val="*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3" w15:restartNumberingAfterBreak="0">
    <w:nsid w:val="2F4B0658"/>
    <w:multiLevelType w:val="multilevel"/>
    <w:tmpl w:val="6284EC78"/>
    <w:lvl w:ilvl="0">
      <w:start w:val="1"/>
      <w:numFmt w:val="decimal"/>
      <w:pStyle w:val="Heading1numbered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numbered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numbered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DB7DC0"/>
    <w:multiLevelType w:val="singleLevel"/>
    <w:tmpl w:val="0E32EB8A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47D03C89"/>
    <w:multiLevelType w:val="singleLevel"/>
    <w:tmpl w:val="47584FFC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4E2E0478"/>
    <w:multiLevelType w:val="singleLevel"/>
    <w:tmpl w:val="8408B4BE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553A5A86"/>
    <w:multiLevelType w:val="singleLevel"/>
    <w:tmpl w:val="C47AF4F0"/>
    <w:lvl w:ilvl="0">
      <w:start w:val="1"/>
      <w:numFmt w:val="bullet"/>
      <w:pStyle w:val="Checklis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5DDC081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6"/>
  </w:num>
  <w:num w:numId="12">
    <w:abstractNumId w:val="0"/>
  </w:num>
  <w:num w:numId="13">
    <w:abstractNumId w:val="1"/>
  </w:num>
  <w:num w:numId="14">
    <w:abstractNumId w:val="6"/>
  </w:num>
  <w:num w:numId="15">
    <w:abstractNumId w:val="0"/>
  </w:num>
  <w:num w:numId="16">
    <w:abstractNumId w:val="1"/>
  </w:num>
  <w:num w:numId="17">
    <w:abstractNumId w:val="5"/>
  </w:num>
  <w:num w:numId="18">
    <w:abstractNumId w:val="1"/>
  </w:num>
  <w:num w:numId="19">
    <w:abstractNumId w:val="6"/>
  </w:num>
  <w:num w:numId="20">
    <w:abstractNumId w:val="5"/>
  </w:num>
  <w:num w:numId="21">
    <w:abstractNumId w:val="1"/>
  </w:num>
  <w:num w:numId="22">
    <w:abstractNumId w:val="5"/>
  </w:num>
  <w:num w:numId="23">
    <w:abstractNumId w:val="1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3"/>
  </w:num>
  <w:num w:numId="30">
    <w:abstractNumId w:val="3"/>
  </w:num>
  <w:num w:numId="31">
    <w:abstractNumId w:val="3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printFractionalCharacterWidth/>
  <w:activeWritingStyle w:appName="MSWord" w:lang="en-AU" w:vendorID="64" w:dllVersion="6" w:nlCheck="1" w:checkStyle="1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CE"/>
    <w:rsid w:val="00047A71"/>
    <w:rsid w:val="00056C8F"/>
    <w:rsid w:val="00086DDB"/>
    <w:rsid w:val="00087437"/>
    <w:rsid w:val="000A7132"/>
    <w:rsid w:val="000E0061"/>
    <w:rsid w:val="00101569"/>
    <w:rsid w:val="00113DB6"/>
    <w:rsid w:val="001462DA"/>
    <w:rsid w:val="00194A8F"/>
    <w:rsid w:val="001E781A"/>
    <w:rsid w:val="00214B27"/>
    <w:rsid w:val="002754DB"/>
    <w:rsid w:val="002B5CF7"/>
    <w:rsid w:val="002B66CE"/>
    <w:rsid w:val="002C599A"/>
    <w:rsid w:val="002D16F5"/>
    <w:rsid w:val="002E084E"/>
    <w:rsid w:val="00315D14"/>
    <w:rsid w:val="00321F69"/>
    <w:rsid w:val="00341204"/>
    <w:rsid w:val="00382608"/>
    <w:rsid w:val="00382EA7"/>
    <w:rsid w:val="003E416A"/>
    <w:rsid w:val="003F2542"/>
    <w:rsid w:val="003F2F28"/>
    <w:rsid w:val="004256B1"/>
    <w:rsid w:val="00426882"/>
    <w:rsid w:val="00455B0D"/>
    <w:rsid w:val="00466166"/>
    <w:rsid w:val="004A08FD"/>
    <w:rsid w:val="004B67B5"/>
    <w:rsid w:val="004C6A99"/>
    <w:rsid w:val="004D04BD"/>
    <w:rsid w:val="004E7240"/>
    <w:rsid w:val="0050017A"/>
    <w:rsid w:val="00504432"/>
    <w:rsid w:val="00506AB8"/>
    <w:rsid w:val="005124FF"/>
    <w:rsid w:val="00521920"/>
    <w:rsid w:val="005714C5"/>
    <w:rsid w:val="005A71C8"/>
    <w:rsid w:val="005F0E14"/>
    <w:rsid w:val="00621A09"/>
    <w:rsid w:val="00621DED"/>
    <w:rsid w:val="00634619"/>
    <w:rsid w:val="00651458"/>
    <w:rsid w:val="00655713"/>
    <w:rsid w:val="00675640"/>
    <w:rsid w:val="00677EF8"/>
    <w:rsid w:val="00685B46"/>
    <w:rsid w:val="006A23BB"/>
    <w:rsid w:val="006B4544"/>
    <w:rsid w:val="006C03D3"/>
    <w:rsid w:val="006C644C"/>
    <w:rsid w:val="006D1E73"/>
    <w:rsid w:val="006E084D"/>
    <w:rsid w:val="006F6649"/>
    <w:rsid w:val="007206A2"/>
    <w:rsid w:val="00737F7E"/>
    <w:rsid w:val="007457B8"/>
    <w:rsid w:val="00752A7A"/>
    <w:rsid w:val="00754D2F"/>
    <w:rsid w:val="0076494C"/>
    <w:rsid w:val="007739B4"/>
    <w:rsid w:val="00780C67"/>
    <w:rsid w:val="007922AE"/>
    <w:rsid w:val="007D0265"/>
    <w:rsid w:val="007E1DB8"/>
    <w:rsid w:val="00815F5C"/>
    <w:rsid w:val="0083418A"/>
    <w:rsid w:val="008535A8"/>
    <w:rsid w:val="00854290"/>
    <w:rsid w:val="00864B96"/>
    <w:rsid w:val="008A1340"/>
    <w:rsid w:val="008A7E30"/>
    <w:rsid w:val="008B65DC"/>
    <w:rsid w:val="008F0639"/>
    <w:rsid w:val="008F636E"/>
    <w:rsid w:val="009000C6"/>
    <w:rsid w:val="00920616"/>
    <w:rsid w:val="0092148F"/>
    <w:rsid w:val="00925515"/>
    <w:rsid w:val="0093250A"/>
    <w:rsid w:val="009349DB"/>
    <w:rsid w:val="0094596E"/>
    <w:rsid w:val="009662DD"/>
    <w:rsid w:val="009733C0"/>
    <w:rsid w:val="00976D79"/>
    <w:rsid w:val="009A3979"/>
    <w:rsid w:val="009C5AA2"/>
    <w:rsid w:val="009C65C1"/>
    <w:rsid w:val="009F167A"/>
    <w:rsid w:val="00A03234"/>
    <w:rsid w:val="00A303CF"/>
    <w:rsid w:val="00A41291"/>
    <w:rsid w:val="00A53A18"/>
    <w:rsid w:val="00A57245"/>
    <w:rsid w:val="00A909A1"/>
    <w:rsid w:val="00B60CBC"/>
    <w:rsid w:val="00B659AE"/>
    <w:rsid w:val="00B711B1"/>
    <w:rsid w:val="00B74A1B"/>
    <w:rsid w:val="00B9056C"/>
    <w:rsid w:val="00BA6B17"/>
    <w:rsid w:val="00BB18D5"/>
    <w:rsid w:val="00BB4F44"/>
    <w:rsid w:val="00BB6EFD"/>
    <w:rsid w:val="00BB76A4"/>
    <w:rsid w:val="00BC405B"/>
    <w:rsid w:val="00BE5A8F"/>
    <w:rsid w:val="00BF0F22"/>
    <w:rsid w:val="00C01259"/>
    <w:rsid w:val="00C04753"/>
    <w:rsid w:val="00C246A5"/>
    <w:rsid w:val="00C3013C"/>
    <w:rsid w:val="00C30AE0"/>
    <w:rsid w:val="00C707AB"/>
    <w:rsid w:val="00C72402"/>
    <w:rsid w:val="00C8206C"/>
    <w:rsid w:val="00CB3905"/>
    <w:rsid w:val="00CB68EE"/>
    <w:rsid w:val="00CB7580"/>
    <w:rsid w:val="00CC522F"/>
    <w:rsid w:val="00CC59FC"/>
    <w:rsid w:val="00D00639"/>
    <w:rsid w:val="00D027EA"/>
    <w:rsid w:val="00D176DA"/>
    <w:rsid w:val="00D17B23"/>
    <w:rsid w:val="00D2316F"/>
    <w:rsid w:val="00D5208C"/>
    <w:rsid w:val="00D557A5"/>
    <w:rsid w:val="00D90DFB"/>
    <w:rsid w:val="00D95ACF"/>
    <w:rsid w:val="00DF17FD"/>
    <w:rsid w:val="00E10090"/>
    <w:rsid w:val="00E21908"/>
    <w:rsid w:val="00E26C3D"/>
    <w:rsid w:val="00E54663"/>
    <w:rsid w:val="00E756D2"/>
    <w:rsid w:val="00E91DC7"/>
    <w:rsid w:val="00EA2EC4"/>
    <w:rsid w:val="00EB4981"/>
    <w:rsid w:val="00EC0BB5"/>
    <w:rsid w:val="00EC27B8"/>
    <w:rsid w:val="00ED3445"/>
    <w:rsid w:val="00ED3827"/>
    <w:rsid w:val="00F14C27"/>
    <w:rsid w:val="00F21D66"/>
    <w:rsid w:val="00F32731"/>
    <w:rsid w:val="00F9245D"/>
    <w:rsid w:val="00FA42A6"/>
    <w:rsid w:val="00FB7791"/>
    <w:rsid w:val="00FC6CF8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6f"/>
    </o:shapedefaults>
    <o:shapelayout v:ext="edit">
      <o:idmap v:ext="edit" data="1"/>
    </o:shapelayout>
  </w:shapeDefaults>
  <w:decimalSymbol w:val="."/>
  <w:listSeparator w:val=","/>
  <w14:docId w14:val="099FE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aliases w:val="h1"/>
    <w:basedOn w:val="Normal"/>
    <w:next w:val="Paragraph"/>
    <w:qFormat/>
    <w:rsid w:val="00854290"/>
    <w:pPr>
      <w:keepNext/>
      <w:keepLines/>
      <w:pageBreakBefore/>
      <w:spacing w:after="360"/>
      <w:jc w:val="center"/>
      <w:outlineLvl w:val="0"/>
    </w:pPr>
    <w:rPr>
      <w:b/>
      <w:smallCaps/>
      <w:sz w:val="32"/>
    </w:rPr>
  </w:style>
  <w:style w:type="paragraph" w:styleId="Heading2">
    <w:name w:val="heading 2"/>
    <w:aliases w:val="h2"/>
    <w:basedOn w:val="Heading1"/>
    <w:next w:val="Paragraph"/>
    <w:qFormat/>
    <w:rsid w:val="00854290"/>
    <w:pPr>
      <w:pageBreakBefore w:val="0"/>
      <w:spacing w:before="480" w:after="0"/>
      <w:jc w:val="left"/>
      <w:outlineLvl w:val="1"/>
    </w:pPr>
    <w:rPr>
      <w:i/>
      <w:smallCaps w:val="0"/>
      <w:sz w:val="24"/>
    </w:rPr>
  </w:style>
  <w:style w:type="paragraph" w:styleId="Heading3">
    <w:name w:val="heading 3"/>
    <w:aliases w:val="h3"/>
    <w:basedOn w:val="Heading2"/>
    <w:next w:val="Paragraph"/>
    <w:qFormat/>
    <w:pPr>
      <w:spacing w:before="360"/>
      <w:outlineLvl w:val="2"/>
    </w:pPr>
    <w:rPr>
      <w:b w:val="0"/>
    </w:rPr>
  </w:style>
  <w:style w:type="paragraph" w:styleId="Heading4">
    <w:name w:val="heading 4"/>
    <w:aliases w:val="h4"/>
    <w:basedOn w:val="Heading2"/>
    <w:next w:val="Paragraph"/>
    <w:qFormat/>
    <w:pPr>
      <w:spacing w:before="240"/>
      <w:outlineLvl w:val="3"/>
    </w:pPr>
    <w:rPr>
      <w:b w:val="0"/>
      <w:i w:val="0"/>
    </w:rPr>
  </w:style>
  <w:style w:type="paragraph" w:styleId="Heading5">
    <w:name w:val="heading 5"/>
    <w:basedOn w:val="Heading2"/>
    <w:next w:val="Paragraph"/>
    <w:qFormat/>
    <w:pPr>
      <w:numPr>
        <w:ilvl w:val="12"/>
      </w:numPr>
      <w:spacing w:before="240"/>
      <w:outlineLvl w:val="4"/>
    </w:pPr>
    <w:rPr>
      <w:b w:val="0"/>
      <w:i w:val="0"/>
    </w:rPr>
  </w:style>
  <w:style w:type="paragraph" w:styleId="Heading6">
    <w:name w:val="heading 6"/>
    <w:basedOn w:val="Heading2"/>
    <w:next w:val="Paragraph"/>
    <w:qFormat/>
    <w:pPr>
      <w:numPr>
        <w:ilvl w:val="12"/>
      </w:numPr>
      <w:spacing w:before="240"/>
      <w:outlineLvl w:val="5"/>
    </w:pPr>
    <w:rPr>
      <w:b w:val="0"/>
      <w:i w:val="0"/>
    </w:rPr>
  </w:style>
  <w:style w:type="paragraph" w:styleId="Heading7">
    <w:name w:val="heading 7"/>
    <w:basedOn w:val="Heading2"/>
    <w:next w:val="Paragraph"/>
    <w:qFormat/>
    <w:pPr>
      <w:numPr>
        <w:ilvl w:val="12"/>
      </w:numPr>
      <w:spacing w:before="240"/>
      <w:outlineLvl w:val="6"/>
    </w:pPr>
    <w:rPr>
      <w:b w:val="0"/>
      <w:i w:val="0"/>
    </w:rPr>
  </w:style>
  <w:style w:type="paragraph" w:styleId="Heading8">
    <w:name w:val="heading 8"/>
    <w:basedOn w:val="Heading2"/>
    <w:next w:val="Paragraph"/>
    <w:qFormat/>
    <w:pPr>
      <w:numPr>
        <w:ilvl w:val="12"/>
      </w:numPr>
      <w:spacing w:before="240"/>
      <w:outlineLvl w:val="7"/>
    </w:pPr>
    <w:rPr>
      <w:b w:val="0"/>
      <w:i w:val="0"/>
    </w:rPr>
  </w:style>
  <w:style w:type="paragraph" w:styleId="Heading9">
    <w:name w:val="heading 9"/>
    <w:basedOn w:val="Heading2"/>
    <w:next w:val="Paragraph"/>
    <w:qFormat/>
    <w:pPr>
      <w:numPr>
        <w:ilvl w:val="12"/>
      </w:numPr>
      <w:spacing w:before="240"/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22"/>
      </w:numPr>
      <w:tabs>
        <w:tab w:val="clear" w:pos="425"/>
        <w:tab w:val="num" w:pos="567"/>
      </w:tabs>
      <w:spacing w:before="120"/>
      <w:ind w:left="567" w:hanging="283"/>
    </w:pPr>
  </w:style>
  <w:style w:type="paragraph" w:customStyle="1" w:styleId="Bullet2">
    <w:name w:val="Bullet 2"/>
    <w:basedOn w:val="Bullet1"/>
    <w:pPr>
      <w:numPr>
        <w:numId w:val="23"/>
      </w:numPr>
      <w:tabs>
        <w:tab w:val="clear" w:pos="0"/>
        <w:tab w:val="num" w:pos="360"/>
        <w:tab w:val="left" w:pos="851"/>
      </w:tabs>
      <w:ind w:left="851" w:hanging="283"/>
    </w:pPr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right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atLeast"/>
      <w:ind w:left="284" w:hanging="284"/>
    </w:pPr>
    <w:rPr>
      <w:sz w:val="20"/>
    </w:rPr>
  </w:style>
  <w:style w:type="paragraph" w:styleId="Header">
    <w:name w:val="header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Paragraph"/>
    <w:next w:val="Paragraph"/>
    <w:pPr>
      <w:ind w:left="567" w:right="567"/>
    </w:pPr>
    <w:rPr>
      <w:sz w:val="22"/>
    </w:rPr>
  </w:style>
  <w:style w:type="paragraph" w:customStyle="1" w:styleId="Paragraph">
    <w:name w:val="Paragraph"/>
    <w:basedOn w:val="Paragraphnumbered"/>
    <w:pPr>
      <w:numPr>
        <w:ilvl w:val="12"/>
        <w:numId w:val="0"/>
      </w:numPr>
    </w:pPr>
  </w:style>
  <w:style w:type="paragraph" w:customStyle="1" w:styleId="Paragraphnumbered">
    <w:name w:val="Paragraph (numbered)"/>
    <w:basedOn w:val="Normal"/>
    <w:pPr>
      <w:numPr>
        <w:numId w:val="28"/>
      </w:numPr>
      <w:spacing w:before="240"/>
      <w:ind w:left="0" w:firstLine="0"/>
    </w:pPr>
  </w:style>
  <w:style w:type="paragraph" w:styleId="TOC1">
    <w:name w:val="toc 1"/>
    <w:basedOn w:val="Normal"/>
    <w:semiHidden/>
    <w:pPr>
      <w:tabs>
        <w:tab w:val="right" w:leader="dot" w:pos="9639"/>
      </w:tabs>
      <w:spacing w:before="120"/>
      <w:ind w:left="567" w:right="566" w:hanging="567"/>
    </w:pPr>
    <w:rPr>
      <w:b/>
    </w:rPr>
  </w:style>
  <w:style w:type="paragraph" w:styleId="TOC2">
    <w:name w:val="toc 2"/>
    <w:basedOn w:val="TOC1"/>
    <w:semiHidden/>
    <w:pPr>
      <w:spacing w:before="0"/>
    </w:pPr>
    <w:rPr>
      <w:b w:val="0"/>
    </w:rPr>
  </w:style>
  <w:style w:type="paragraph" w:styleId="TOC3">
    <w:name w:val="toc 3"/>
    <w:basedOn w:val="TOC2"/>
    <w:semiHidden/>
    <w:pPr>
      <w:ind w:left="1418" w:hanging="850"/>
    </w:pPr>
  </w:style>
  <w:style w:type="paragraph" w:styleId="TOC4">
    <w:name w:val="toc 4"/>
    <w:basedOn w:val="TOC2"/>
    <w:semiHidden/>
    <w:pPr>
      <w:ind w:left="1985" w:hanging="1134"/>
    </w:pPr>
  </w:style>
  <w:style w:type="paragraph" w:customStyle="1" w:styleId="Bullet1continued">
    <w:name w:val="Bullet 1 (continued)"/>
    <w:basedOn w:val="Bullet1"/>
    <w:next w:val="Bullet1"/>
    <w:pPr>
      <w:numPr>
        <w:numId w:val="0"/>
      </w:numPr>
      <w:ind w:left="567"/>
    </w:pPr>
  </w:style>
  <w:style w:type="paragraph" w:customStyle="1" w:styleId="Bullet2continued">
    <w:name w:val="Bullet 2 (continued)"/>
    <w:basedOn w:val="Bullet2"/>
    <w:next w:val="Bullet2"/>
    <w:pPr>
      <w:numPr>
        <w:numId w:val="0"/>
      </w:numPr>
      <w:tabs>
        <w:tab w:val="clear" w:pos="851"/>
      </w:tabs>
      <w:ind w:left="851"/>
    </w:pPr>
  </w:style>
  <w:style w:type="paragraph" w:styleId="Signature">
    <w:name w:val="Signature"/>
    <w:basedOn w:val="Normal"/>
    <w:next w:val="Normal"/>
    <w:pPr>
      <w:keepLines/>
      <w:spacing w:before="1080"/>
    </w:pPr>
  </w:style>
  <w:style w:type="paragraph" w:customStyle="1" w:styleId="Enumerate">
    <w:name w:val="Enumerate"/>
    <w:basedOn w:val="Normal"/>
    <w:pPr>
      <w:spacing w:before="120"/>
      <w:ind w:left="709" w:hanging="425"/>
    </w:pPr>
  </w:style>
  <w:style w:type="paragraph" w:styleId="BalloonText">
    <w:name w:val="Balloon Text"/>
    <w:basedOn w:val="Normal"/>
    <w:link w:val="BalloonTextChar"/>
    <w:rsid w:val="00BE5A8F"/>
    <w:rPr>
      <w:rFonts w:ascii="Tahoma" w:hAnsi="Tahoma" w:cs="Tahoma"/>
      <w:sz w:val="16"/>
      <w:szCs w:val="16"/>
    </w:rPr>
  </w:style>
  <w:style w:type="paragraph" w:customStyle="1" w:styleId="Contactdetails">
    <w:name w:val="Contact details"/>
    <w:basedOn w:val="Normal"/>
    <w:pPr>
      <w:tabs>
        <w:tab w:val="left" w:pos="1134"/>
        <w:tab w:val="left" w:pos="4536"/>
        <w:tab w:val="left" w:pos="6237"/>
      </w:tabs>
    </w:pPr>
  </w:style>
  <w:style w:type="paragraph" w:customStyle="1" w:styleId="Description">
    <w:name w:val="Description"/>
    <w:basedOn w:val="Normal"/>
    <w:pPr>
      <w:spacing w:before="120"/>
      <w:ind w:left="2269" w:hanging="2269"/>
    </w:pPr>
  </w:style>
  <w:style w:type="paragraph" w:customStyle="1" w:styleId="Subject">
    <w:name w:val="Subject"/>
    <w:basedOn w:val="Normal"/>
    <w:next w:val="Paragraph"/>
    <w:pPr>
      <w:keepNext/>
      <w:spacing w:before="240"/>
    </w:pPr>
    <w:rPr>
      <w:b/>
    </w:rPr>
  </w:style>
  <w:style w:type="character" w:styleId="EndnoteReference">
    <w:name w:val="endnote reference"/>
    <w:basedOn w:val="FootnoteReference"/>
    <w:semiHidden/>
    <w:rPr>
      <w:vertAlign w:val="superscript"/>
    </w:rPr>
  </w:style>
  <w:style w:type="paragraph" w:styleId="EndnoteText">
    <w:name w:val="endnote text"/>
    <w:basedOn w:val="FootnoteText"/>
    <w:semiHidden/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customStyle="1" w:styleId="Heading1nooutline">
    <w:name w:val="Heading 1 (no outline)"/>
    <w:basedOn w:val="Normal"/>
    <w:next w:val="Paragraph"/>
    <w:rsid w:val="00854290"/>
    <w:pPr>
      <w:keepNext/>
      <w:keepLines/>
      <w:pageBreakBefore/>
      <w:spacing w:after="360"/>
      <w:jc w:val="center"/>
    </w:pPr>
    <w:rPr>
      <w:b/>
      <w:smallCaps/>
      <w:sz w:val="32"/>
    </w:rPr>
  </w:style>
  <w:style w:type="character" w:customStyle="1" w:styleId="URI">
    <w:name w:val="URI"/>
    <w:basedOn w:val="DefaultParagraphFont"/>
  </w:style>
  <w:style w:type="paragraph" w:styleId="Salutation">
    <w:name w:val="Salutation"/>
    <w:basedOn w:val="Normal"/>
    <w:next w:val="Subject"/>
    <w:pPr>
      <w:keepNext/>
      <w:spacing w:before="240"/>
    </w:pPr>
  </w:style>
  <w:style w:type="paragraph" w:customStyle="1" w:styleId="Heading1numbered">
    <w:name w:val="Heading 1 (numbered)"/>
    <w:basedOn w:val="Heading1"/>
    <w:next w:val="Paragraph"/>
    <w:pPr>
      <w:numPr>
        <w:numId w:val="24"/>
      </w:numPr>
      <w:tabs>
        <w:tab w:val="clear" w:pos="360"/>
      </w:tabs>
    </w:pPr>
  </w:style>
  <w:style w:type="paragraph" w:styleId="Closing">
    <w:name w:val="Closing"/>
    <w:basedOn w:val="Normal"/>
    <w:next w:val="Signature"/>
    <w:pPr>
      <w:keepNext/>
      <w:keepLines/>
      <w:spacing w:before="240"/>
    </w:pPr>
  </w:style>
  <w:style w:type="paragraph" w:customStyle="1" w:styleId="Heading2numbered">
    <w:name w:val="Heading 2 (numbered)"/>
    <w:basedOn w:val="Heading2"/>
    <w:next w:val="Paragraph"/>
    <w:pPr>
      <w:numPr>
        <w:ilvl w:val="1"/>
        <w:numId w:val="29"/>
      </w:numPr>
      <w:tabs>
        <w:tab w:val="clear" w:pos="720"/>
        <w:tab w:val="left" w:pos="851"/>
      </w:tabs>
      <w:ind w:left="851" w:hanging="851"/>
    </w:pPr>
  </w:style>
  <w:style w:type="paragraph" w:customStyle="1" w:styleId="Heading3numbered">
    <w:name w:val="Heading 3 (numbered)"/>
    <w:basedOn w:val="Heading3"/>
    <w:next w:val="Paragraph"/>
    <w:pPr>
      <w:numPr>
        <w:ilvl w:val="2"/>
        <w:numId w:val="30"/>
      </w:numPr>
      <w:tabs>
        <w:tab w:val="clear" w:pos="720"/>
        <w:tab w:val="left" w:pos="1134"/>
      </w:tabs>
      <w:ind w:left="1134" w:hanging="1134"/>
    </w:pPr>
  </w:style>
  <w:style w:type="paragraph" w:customStyle="1" w:styleId="Heading4numbered">
    <w:name w:val="Heading 4 (numbered)"/>
    <w:basedOn w:val="Heading4"/>
    <w:next w:val="Paragraph"/>
    <w:pPr>
      <w:numPr>
        <w:ilvl w:val="3"/>
        <w:numId w:val="31"/>
      </w:numPr>
      <w:tabs>
        <w:tab w:val="clear" w:pos="1080"/>
        <w:tab w:val="left" w:pos="1134"/>
      </w:tabs>
      <w:ind w:left="1134" w:hanging="1134"/>
    </w:pPr>
  </w:style>
  <w:style w:type="paragraph" w:customStyle="1" w:styleId="Bullet3">
    <w:name w:val="Bullet 3"/>
    <w:basedOn w:val="Bullet1"/>
    <w:pPr>
      <w:numPr>
        <w:numId w:val="32"/>
      </w:numPr>
      <w:tabs>
        <w:tab w:val="clear" w:pos="425"/>
        <w:tab w:val="num" w:pos="1134"/>
      </w:tabs>
      <w:ind w:left="1134" w:hanging="283"/>
    </w:pPr>
  </w:style>
  <w:style w:type="paragraph" w:customStyle="1" w:styleId="Bullet3continued">
    <w:name w:val="Bullet 3 (continued)"/>
    <w:basedOn w:val="Bullet3"/>
    <w:next w:val="Bullet3"/>
    <w:pPr>
      <w:numPr>
        <w:numId w:val="0"/>
      </w:numPr>
      <w:ind w:left="1134"/>
    </w:pPr>
  </w:style>
  <w:style w:type="character" w:styleId="LineNumber">
    <w:name w:val="line number"/>
    <w:rPr>
      <w:rFonts w:ascii="Arial" w:hAnsi="Arial"/>
      <w:sz w:val="16"/>
    </w:rPr>
  </w:style>
  <w:style w:type="paragraph" w:customStyle="1" w:styleId="Checklist">
    <w:name w:val="Checklist"/>
    <w:basedOn w:val="Normal"/>
    <w:pPr>
      <w:numPr>
        <w:numId w:val="33"/>
      </w:numPr>
      <w:tabs>
        <w:tab w:val="clear" w:pos="425"/>
        <w:tab w:val="num" w:pos="567"/>
      </w:tabs>
      <w:spacing w:before="120"/>
      <w:ind w:left="567" w:hanging="329"/>
    </w:pPr>
  </w:style>
  <w:style w:type="character" w:customStyle="1" w:styleId="BalloonTextChar">
    <w:name w:val="Balloon Text Char"/>
    <w:link w:val="BalloonText"/>
    <w:rsid w:val="00BE5A8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1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826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6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60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82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2608"/>
    <w:rPr>
      <w:rFonts w:ascii="Times New Roman" w:hAnsi="Times New Roman"/>
      <w:b/>
      <w:bCs/>
    </w:rPr>
  </w:style>
  <w:style w:type="table" w:customStyle="1" w:styleId="LightGrid-Accent21">
    <w:name w:val="Light Grid - Accent 21"/>
    <w:basedOn w:val="TableNormal"/>
    <w:uiPriority w:val="62"/>
    <w:rsid w:val="009662DD"/>
    <w:rPr>
      <w:rFonts w:ascii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shd w:val="clear" w:color="auto" w:fill="CD092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2025-02-06T22:53:00Z</dcterms:created>
  <dcterms:modified xsi:type="dcterms:W3CDTF">2025-02-06T22:54:00Z</dcterms:modified>
</cp:coreProperties>
</file>