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1B588" w14:textId="77777777" w:rsidR="0021565E" w:rsidRPr="007449EF" w:rsidRDefault="0021565E" w:rsidP="0021565E">
      <w:bookmarkStart w:id="0" w:name="_Hlk74077659"/>
      <w:bookmarkStart w:id="1" w:name="_GoBack"/>
      <w:bookmarkEnd w:id="1"/>
    </w:p>
    <w:p w14:paraId="21ED58B0" w14:textId="4C9FCFE6" w:rsidR="00292184" w:rsidRPr="00C05178" w:rsidRDefault="0021565E" w:rsidP="00A9212C">
      <w:pPr>
        <w:tabs>
          <w:tab w:val="left" w:pos="900"/>
        </w:tabs>
        <w:rPr>
          <w:i/>
          <w:iCs/>
          <w:sz w:val="20"/>
          <w:szCs w:val="20"/>
        </w:rPr>
      </w:pPr>
      <w:r w:rsidRPr="00C05178">
        <w:rPr>
          <w:i/>
          <w:iCs/>
          <w:sz w:val="20"/>
          <w:szCs w:val="20"/>
        </w:rPr>
        <w:t>CASA Ref:</w:t>
      </w:r>
      <w:r w:rsidR="00A9212C" w:rsidRPr="00C05178">
        <w:rPr>
          <w:i/>
          <w:iCs/>
          <w:sz w:val="20"/>
          <w:szCs w:val="20"/>
        </w:rPr>
        <w:t xml:space="preserve"> F18/8338-7</w:t>
      </w:r>
      <w:bookmarkStart w:id="2" w:name="Stephen_Sheppard"/>
      <w:bookmarkStart w:id="3" w:name="235_Antill_Street"/>
      <w:bookmarkEnd w:id="2"/>
      <w:bookmarkEnd w:id="3"/>
    </w:p>
    <w:p w14:paraId="2F9177FA" w14:textId="77777777" w:rsidR="00BE7FB3" w:rsidRPr="00A9212C" w:rsidRDefault="00BE7FB3" w:rsidP="00A9212C">
      <w:pPr>
        <w:tabs>
          <w:tab w:val="left" w:pos="900"/>
        </w:tabs>
        <w:rPr>
          <w:rFonts w:asciiTheme="minorHAnsi" w:hAnsiTheme="minorHAnsi" w:cstheme="minorHAnsi"/>
          <w:i/>
          <w:iCs/>
          <w:sz w:val="24"/>
          <w:szCs w:val="24"/>
        </w:rPr>
      </w:pPr>
    </w:p>
    <w:p w14:paraId="4A41D561" w14:textId="77777777" w:rsidR="00292184" w:rsidRPr="00F3734E" w:rsidRDefault="00292184" w:rsidP="00292184">
      <w:pPr>
        <w:pStyle w:val="BodyText"/>
        <w:ind w:right="1344"/>
        <w:rPr>
          <w:rFonts w:asciiTheme="minorHAnsi" w:hAnsiTheme="minorHAnsi" w:cstheme="minorHAnsi"/>
          <w:sz w:val="24"/>
          <w:szCs w:val="24"/>
        </w:rPr>
      </w:pPr>
    </w:p>
    <w:p w14:paraId="2F744E00" w14:textId="77777777" w:rsidR="0026784F" w:rsidRPr="009C3AAE" w:rsidRDefault="0026784F" w:rsidP="000F546D">
      <w:pPr>
        <w:rPr>
          <w:sz w:val="20"/>
          <w:szCs w:val="20"/>
        </w:rPr>
      </w:pPr>
      <w:bookmarkStart w:id="4" w:name="_Hlk74077673"/>
      <w:proofErr w:type="spellStart"/>
      <w:r w:rsidRPr="009C3AAE">
        <w:rPr>
          <w:sz w:val="20"/>
          <w:szCs w:val="20"/>
        </w:rPr>
        <w:t>Mr</w:t>
      </w:r>
      <w:proofErr w:type="spellEnd"/>
      <w:r w:rsidRPr="009C3AAE">
        <w:rPr>
          <w:sz w:val="20"/>
          <w:szCs w:val="20"/>
        </w:rPr>
        <w:t xml:space="preserve"> Jason Lange</w:t>
      </w:r>
    </w:p>
    <w:p w14:paraId="1BE124FA" w14:textId="77777777" w:rsidR="0026784F" w:rsidRPr="009C3AAE" w:rsidRDefault="0026784F" w:rsidP="000F546D">
      <w:pPr>
        <w:rPr>
          <w:sz w:val="20"/>
          <w:szCs w:val="20"/>
        </w:rPr>
      </w:pPr>
      <w:r w:rsidRPr="009C3AAE">
        <w:rPr>
          <w:sz w:val="20"/>
          <w:szCs w:val="20"/>
        </w:rPr>
        <w:t>Executive Director</w:t>
      </w:r>
    </w:p>
    <w:p w14:paraId="27544F88" w14:textId="77777777" w:rsidR="0026784F" w:rsidRPr="009C3AAE" w:rsidRDefault="0026784F" w:rsidP="000F546D">
      <w:pPr>
        <w:rPr>
          <w:sz w:val="20"/>
          <w:szCs w:val="20"/>
        </w:rPr>
      </w:pPr>
      <w:r w:rsidRPr="009C3AAE">
        <w:rPr>
          <w:sz w:val="20"/>
          <w:szCs w:val="20"/>
        </w:rPr>
        <w:t xml:space="preserve">Office of Impact Analysis  </w:t>
      </w:r>
    </w:p>
    <w:p w14:paraId="687BDD89" w14:textId="77777777" w:rsidR="0026784F" w:rsidRPr="009C3AAE" w:rsidRDefault="0026784F" w:rsidP="000F546D">
      <w:pPr>
        <w:rPr>
          <w:sz w:val="20"/>
          <w:szCs w:val="20"/>
        </w:rPr>
      </w:pPr>
      <w:r w:rsidRPr="009C3AAE">
        <w:rPr>
          <w:sz w:val="20"/>
          <w:szCs w:val="20"/>
        </w:rPr>
        <w:t>Department of the Prime Minister and Cabinet</w:t>
      </w:r>
    </w:p>
    <w:p w14:paraId="72EEB565" w14:textId="77777777" w:rsidR="0026784F" w:rsidRPr="009C3AAE" w:rsidRDefault="0026784F" w:rsidP="000F546D">
      <w:pPr>
        <w:rPr>
          <w:sz w:val="20"/>
          <w:szCs w:val="20"/>
        </w:rPr>
      </w:pPr>
      <w:r w:rsidRPr="009C3AAE">
        <w:rPr>
          <w:sz w:val="20"/>
          <w:szCs w:val="20"/>
        </w:rPr>
        <w:t>1 National Circuit</w:t>
      </w:r>
      <w:r w:rsidRPr="009C3AAE">
        <w:rPr>
          <w:sz w:val="20"/>
          <w:szCs w:val="20"/>
        </w:rPr>
        <w:br/>
        <w:t>BARTON ACT 2600</w:t>
      </w:r>
    </w:p>
    <w:p w14:paraId="36742D15" w14:textId="66E0DD31" w:rsidR="003B1A35" w:rsidRPr="009C3AAE" w:rsidRDefault="003B1A35" w:rsidP="00292184">
      <w:pPr>
        <w:pStyle w:val="BodyText"/>
        <w:rPr>
          <w:sz w:val="20"/>
          <w:szCs w:val="20"/>
        </w:rPr>
      </w:pPr>
    </w:p>
    <w:p w14:paraId="5B929204" w14:textId="77777777" w:rsidR="00292184" w:rsidRPr="009C3AAE" w:rsidRDefault="00292184" w:rsidP="00292184">
      <w:pPr>
        <w:pStyle w:val="BodyText"/>
        <w:rPr>
          <w:sz w:val="20"/>
          <w:szCs w:val="20"/>
        </w:rPr>
      </w:pPr>
    </w:p>
    <w:p w14:paraId="30BF1052" w14:textId="74966204" w:rsidR="003C5058" w:rsidRPr="009C3AAE" w:rsidRDefault="00E46BAD" w:rsidP="00B64D50">
      <w:pPr>
        <w:pStyle w:val="BodyText"/>
        <w:spacing w:before="120" w:after="120"/>
        <w:ind w:right="1383"/>
        <w:jc w:val="center"/>
        <w:rPr>
          <w:b/>
          <w:bCs/>
          <w:sz w:val="20"/>
          <w:szCs w:val="20"/>
        </w:rPr>
      </w:pPr>
      <w:bookmarkStart w:id="5" w:name="Civil_Aviation_Safety_Authority_Permanen"/>
      <w:bookmarkEnd w:id="5"/>
      <w:r w:rsidRPr="009C3AAE">
        <w:rPr>
          <w:b/>
          <w:bCs/>
          <w:sz w:val="20"/>
          <w:szCs w:val="20"/>
        </w:rPr>
        <w:t>Impact Analysis for CASR Part 43</w:t>
      </w:r>
    </w:p>
    <w:p w14:paraId="7A8EF986" w14:textId="77777777" w:rsidR="00292184" w:rsidRPr="009C3AAE" w:rsidRDefault="00292184" w:rsidP="00292184">
      <w:pPr>
        <w:pStyle w:val="BodyText"/>
        <w:spacing w:before="1"/>
        <w:rPr>
          <w:bCs/>
          <w:sz w:val="20"/>
          <w:szCs w:val="20"/>
        </w:rPr>
      </w:pPr>
    </w:p>
    <w:p w14:paraId="2CE1DE93" w14:textId="2FF9866E" w:rsidR="003C5058" w:rsidRPr="009C3AAE" w:rsidRDefault="00F70B91" w:rsidP="003B56F4">
      <w:pPr>
        <w:pStyle w:val="BodyText"/>
        <w:spacing w:after="240"/>
        <w:rPr>
          <w:sz w:val="20"/>
          <w:szCs w:val="20"/>
        </w:rPr>
      </w:pPr>
      <w:r w:rsidRPr="009C3AAE">
        <w:rPr>
          <w:sz w:val="20"/>
          <w:szCs w:val="20"/>
        </w:rPr>
        <w:t>Dear</w:t>
      </w:r>
      <w:r w:rsidR="00E46BAD" w:rsidRPr="009C3AAE">
        <w:rPr>
          <w:sz w:val="20"/>
          <w:szCs w:val="20"/>
        </w:rPr>
        <w:t xml:space="preserve"> </w:t>
      </w:r>
      <w:proofErr w:type="spellStart"/>
      <w:r w:rsidR="00E46BAD" w:rsidRPr="009C3AAE">
        <w:rPr>
          <w:sz w:val="20"/>
          <w:szCs w:val="20"/>
        </w:rPr>
        <w:t>Mr</w:t>
      </w:r>
      <w:proofErr w:type="spellEnd"/>
      <w:r w:rsidR="00E46BAD" w:rsidRPr="009C3AAE">
        <w:rPr>
          <w:sz w:val="20"/>
          <w:szCs w:val="20"/>
        </w:rPr>
        <w:t xml:space="preserve"> Lange</w:t>
      </w:r>
    </w:p>
    <w:p w14:paraId="057AFBBA" w14:textId="77777777" w:rsidR="00FF4593" w:rsidRPr="009C3AAE" w:rsidRDefault="00FF4593" w:rsidP="00FF4593">
      <w:pPr>
        <w:spacing w:before="240" w:line="300" w:lineRule="exact"/>
        <w:rPr>
          <w:sz w:val="20"/>
          <w:szCs w:val="20"/>
        </w:rPr>
      </w:pPr>
      <w:bookmarkStart w:id="6" w:name="Yours_sincerely"/>
      <w:bookmarkEnd w:id="6"/>
      <w:r w:rsidRPr="009C3AAE">
        <w:rPr>
          <w:sz w:val="20"/>
          <w:szCs w:val="20"/>
        </w:rPr>
        <w:t>I am writing in relation to the attached Impact Analysis prepared by the Civil Aviation Safety Authority for options to reform the maintenance requirements that apply to General Aviation</w:t>
      </w:r>
      <w:r w:rsidRPr="009C3AAE">
        <w:rPr>
          <w:i/>
          <w:sz w:val="20"/>
          <w:szCs w:val="20"/>
        </w:rPr>
        <w:t xml:space="preserve">. </w:t>
      </w:r>
    </w:p>
    <w:p w14:paraId="5A17C2F2" w14:textId="77777777" w:rsidR="00FF4593" w:rsidRPr="009C3AAE" w:rsidRDefault="00FF4593" w:rsidP="00FF4593">
      <w:pPr>
        <w:spacing w:before="240" w:line="300" w:lineRule="exact"/>
        <w:jc w:val="both"/>
        <w:rPr>
          <w:sz w:val="20"/>
          <w:szCs w:val="20"/>
          <w:lang w:eastAsia="en-AU"/>
        </w:rPr>
      </w:pPr>
      <w:r w:rsidRPr="009C3AAE">
        <w:rPr>
          <w:sz w:val="20"/>
          <w:szCs w:val="20"/>
          <w:lang w:eastAsia="en-AU"/>
        </w:rPr>
        <w:t xml:space="preserve">Thank you for providing the Office of Impact Analysis First Pass Final Assessment which provided comments arranged around the seven questions. CASA has made amendments to the Impact Analysis to address these comments. The section below outlines how these comments were addressed. </w:t>
      </w:r>
    </w:p>
    <w:p w14:paraId="5C9E967A" w14:textId="77777777" w:rsidR="00FF4593" w:rsidRPr="009C3AAE" w:rsidRDefault="00FF4593" w:rsidP="00FF4593">
      <w:pPr>
        <w:spacing w:after="160" w:line="259" w:lineRule="auto"/>
        <w:rPr>
          <w:rFonts w:eastAsia="Calibri"/>
          <w:sz w:val="20"/>
          <w:szCs w:val="20"/>
        </w:rPr>
      </w:pPr>
    </w:p>
    <w:p w14:paraId="4AFFBAFC" w14:textId="375A4EB9" w:rsidR="00FF4593" w:rsidRPr="009A049C" w:rsidRDefault="00D35D6B" w:rsidP="00FF4593">
      <w:pPr>
        <w:spacing w:after="160" w:line="259" w:lineRule="auto"/>
        <w:rPr>
          <w:rFonts w:eastAsia="Calibri"/>
          <w:b/>
          <w:bCs/>
          <w:sz w:val="20"/>
          <w:szCs w:val="20"/>
        </w:rPr>
      </w:pPr>
      <w:r>
        <w:rPr>
          <w:rFonts w:eastAsia="Calibri"/>
          <w:b/>
          <w:bCs/>
          <w:sz w:val="20"/>
          <w:szCs w:val="20"/>
        </w:rPr>
        <w:t>P</w:t>
      </w:r>
      <w:r w:rsidR="00FF4593" w:rsidRPr="009A049C">
        <w:rPr>
          <w:rFonts w:eastAsia="Calibri"/>
          <w:b/>
          <w:bCs/>
          <w:sz w:val="20"/>
          <w:szCs w:val="20"/>
        </w:rPr>
        <w:t>roblem</w:t>
      </w:r>
    </w:p>
    <w:p w14:paraId="4FB52844" w14:textId="77777777" w:rsidR="00FF4593" w:rsidRPr="009A049C" w:rsidRDefault="00FF4593" w:rsidP="00E04178">
      <w:pPr>
        <w:spacing w:after="160" w:line="300" w:lineRule="exact"/>
        <w:rPr>
          <w:rFonts w:eastAsia="Calibri"/>
          <w:sz w:val="20"/>
          <w:szCs w:val="20"/>
        </w:rPr>
      </w:pPr>
      <w:r w:rsidRPr="009A049C">
        <w:rPr>
          <w:rFonts w:eastAsia="Calibri"/>
          <w:sz w:val="20"/>
          <w:szCs w:val="20"/>
        </w:rPr>
        <w:t xml:space="preserve">CASA has provided further information about the formal and informal consultative activities that underpin the view that businesses in the General Aviation sector see the current regulatory requirements as imposing an unnecessary regulatory burden. </w:t>
      </w:r>
    </w:p>
    <w:p w14:paraId="73D6A6EB" w14:textId="77777777" w:rsidR="00FF4593" w:rsidRPr="009A049C" w:rsidRDefault="00FF4593" w:rsidP="00E04178">
      <w:pPr>
        <w:spacing w:after="160" w:line="300" w:lineRule="exact"/>
        <w:rPr>
          <w:rFonts w:eastAsia="Calibri"/>
          <w:sz w:val="20"/>
          <w:szCs w:val="20"/>
        </w:rPr>
      </w:pPr>
      <w:r w:rsidRPr="009A049C">
        <w:rPr>
          <w:rFonts w:eastAsia="Calibri"/>
          <w:sz w:val="20"/>
          <w:szCs w:val="20"/>
        </w:rPr>
        <w:t xml:space="preserve">In addition, CASA has created a text box to include information on the relevant Parliamentary and Government Agency reports.              </w:t>
      </w:r>
    </w:p>
    <w:p w14:paraId="0CCE8CFF" w14:textId="0723DDC1" w:rsidR="00FF4593" w:rsidRPr="009A049C" w:rsidRDefault="00D35D6B" w:rsidP="00E04178">
      <w:pPr>
        <w:spacing w:after="160" w:line="300" w:lineRule="exact"/>
        <w:rPr>
          <w:rFonts w:eastAsia="Calibri"/>
          <w:b/>
          <w:bCs/>
          <w:sz w:val="20"/>
          <w:szCs w:val="20"/>
        </w:rPr>
      </w:pPr>
      <w:r>
        <w:rPr>
          <w:rFonts w:eastAsia="Calibri"/>
          <w:b/>
          <w:bCs/>
          <w:sz w:val="20"/>
          <w:szCs w:val="20"/>
        </w:rPr>
        <w:t>O</w:t>
      </w:r>
      <w:r w:rsidR="00FF4593" w:rsidRPr="009A049C">
        <w:rPr>
          <w:rFonts w:eastAsia="Calibri"/>
          <w:b/>
          <w:bCs/>
          <w:sz w:val="20"/>
          <w:szCs w:val="20"/>
        </w:rPr>
        <w:t>bjective</w:t>
      </w:r>
    </w:p>
    <w:p w14:paraId="6B03BD6B" w14:textId="77777777" w:rsidR="00FF4593" w:rsidRPr="009A049C" w:rsidRDefault="00FF4593" w:rsidP="00E04178">
      <w:pPr>
        <w:spacing w:after="160" w:line="300" w:lineRule="exact"/>
        <w:rPr>
          <w:rFonts w:eastAsia="Calibri"/>
          <w:sz w:val="20"/>
          <w:szCs w:val="20"/>
        </w:rPr>
      </w:pPr>
      <w:r w:rsidRPr="009A049C">
        <w:rPr>
          <w:rFonts w:eastAsia="Calibri"/>
          <w:sz w:val="20"/>
          <w:szCs w:val="20"/>
        </w:rPr>
        <w:t xml:space="preserve">CASA has provided a further explanation of the “appropriate levels of safety” and included a reference to CASA’s Regulatory Philosophy. </w:t>
      </w:r>
    </w:p>
    <w:p w14:paraId="0986A736" w14:textId="77777777" w:rsidR="00FF4593" w:rsidRPr="009A049C" w:rsidRDefault="00FF4593" w:rsidP="00E04178">
      <w:pPr>
        <w:spacing w:after="160" w:line="300" w:lineRule="exact"/>
        <w:rPr>
          <w:rFonts w:eastAsia="Calibri"/>
          <w:sz w:val="20"/>
          <w:szCs w:val="20"/>
        </w:rPr>
      </w:pPr>
      <w:r w:rsidRPr="009A049C">
        <w:rPr>
          <w:rFonts w:eastAsia="Calibri"/>
          <w:sz w:val="20"/>
          <w:szCs w:val="20"/>
        </w:rPr>
        <w:t>Within the Impact section</w:t>
      </w:r>
      <w:r w:rsidRPr="009C3AAE">
        <w:rPr>
          <w:rFonts w:eastAsia="Calibri"/>
          <w:sz w:val="20"/>
          <w:szCs w:val="20"/>
        </w:rPr>
        <w:t>,</w:t>
      </w:r>
      <w:r w:rsidRPr="009A049C">
        <w:rPr>
          <w:rFonts w:eastAsia="Calibri"/>
          <w:sz w:val="20"/>
          <w:szCs w:val="20"/>
        </w:rPr>
        <w:t xml:space="preserve"> CASA has provided a further explanation as to the likely impacts of introducing Part 43 on the safety outcomes for the General Aviation sector. This explanation includes providing further evidence on the accident rates in comparable countries that have implemented comparable maintenance requirements in Part 43.  </w:t>
      </w:r>
    </w:p>
    <w:p w14:paraId="0DC9877B" w14:textId="4C3238C6" w:rsidR="00FF4593" w:rsidRPr="009A049C" w:rsidRDefault="00FF4593" w:rsidP="00E04178">
      <w:pPr>
        <w:spacing w:after="160" w:line="300" w:lineRule="exact"/>
        <w:rPr>
          <w:rFonts w:eastAsia="Calibri"/>
          <w:sz w:val="20"/>
          <w:szCs w:val="20"/>
        </w:rPr>
      </w:pPr>
      <w:r w:rsidRPr="009A049C">
        <w:rPr>
          <w:rFonts w:eastAsia="Calibri"/>
          <w:sz w:val="20"/>
          <w:szCs w:val="20"/>
        </w:rPr>
        <w:t xml:space="preserve">The delays in making and implementing CASR Part 43 relate to ensuring that appropriate consultation was undertaken with industry, the incorporation of industry feedback and the time required to draft the necessary legislation. </w:t>
      </w:r>
    </w:p>
    <w:p w14:paraId="68E9F459" w14:textId="7C14862C" w:rsidR="00FF4593" w:rsidRPr="009A049C" w:rsidRDefault="008F3CA3" w:rsidP="00E04178">
      <w:pPr>
        <w:spacing w:after="160" w:line="300" w:lineRule="exact"/>
        <w:rPr>
          <w:rFonts w:eastAsia="Calibri"/>
          <w:b/>
          <w:bCs/>
          <w:sz w:val="20"/>
          <w:szCs w:val="20"/>
        </w:rPr>
      </w:pPr>
      <w:r>
        <w:rPr>
          <w:rFonts w:eastAsia="Calibri"/>
          <w:b/>
          <w:bCs/>
          <w:sz w:val="20"/>
          <w:szCs w:val="20"/>
        </w:rPr>
        <w:t>O</w:t>
      </w:r>
      <w:r w:rsidR="00FF4593" w:rsidRPr="009A049C">
        <w:rPr>
          <w:rFonts w:eastAsia="Calibri"/>
          <w:b/>
          <w:bCs/>
          <w:sz w:val="20"/>
          <w:szCs w:val="20"/>
        </w:rPr>
        <w:t xml:space="preserve">ptions     </w:t>
      </w:r>
    </w:p>
    <w:p w14:paraId="724FF91C" w14:textId="3DB8D946" w:rsidR="00FF4593" w:rsidRPr="009A049C" w:rsidRDefault="00FF4593" w:rsidP="00E04178">
      <w:pPr>
        <w:spacing w:after="160" w:line="300" w:lineRule="exact"/>
        <w:rPr>
          <w:rFonts w:eastAsia="Calibri"/>
          <w:sz w:val="20"/>
          <w:szCs w:val="20"/>
        </w:rPr>
      </w:pPr>
      <w:r w:rsidRPr="009A049C">
        <w:rPr>
          <w:rFonts w:eastAsia="Calibri"/>
          <w:sz w:val="20"/>
          <w:szCs w:val="20"/>
        </w:rPr>
        <w:t xml:space="preserve">CASA </w:t>
      </w:r>
      <w:r w:rsidR="00902836" w:rsidRPr="009A049C">
        <w:rPr>
          <w:rFonts w:eastAsia="Calibri"/>
          <w:sz w:val="20"/>
          <w:szCs w:val="20"/>
        </w:rPr>
        <w:t>considered</w:t>
      </w:r>
      <w:r w:rsidRPr="009A049C">
        <w:rPr>
          <w:rFonts w:eastAsia="Calibri"/>
          <w:sz w:val="20"/>
          <w:szCs w:val="20"/>
        </w:rPr>
        <w:t xml:space="preserve"> the presentation of sub-options and attempted drafting the Impact Analysis to split Option 2 into ‘sub-options’</w:t>
      </w:r>
      <w:r w:rsidR="00902836">
        <w:rPr>
          <w:rFonts w:eastAsia="Calibri"/>
          <w:sz w:val="20"/>
          <w:szCs w:val="20"/>
        </w:rPr>
        <w:t xml:space="preserve"> as suggested</w:t>
      </w:r>
      <w:r w:rsidRPr="009A049C">
        <w:rPr>
          <w:rFonts w:eastAsia="Calibri"/>
          <w:sz w:val="20"/>
          <w:szCs w:val="20"/>
        </w:rPr>
        <w:t xml:space="preserve">, however, this: </w:t>
      </w:r>
    </w:p>
    <w:p w14:paraId="01148DE7" w14:textId="77777777" w:rsidR="00FF4593" w:rsidRPr="009A049C" w:rsidRDefault="00FF4593" w:rsidP="00E04178">
      <w:pPr>
        <w:widowControl/>
        <w:numPr>
          <w:ilvl w:val="0"/>
          <w:numId w:val="5"/>
        </w:numPr>
        <w:autoSpaceDE/>
        <w:autoSpaceDN/>
        <w:spacing w:after="160" w:line="300" w:lineRule="exact"/>
        <w:contextualSpacing/>
        <w:rPr>
          <w:rFonts w:eastAsia="Calibri"/>
          <w:sz w:val="20"/>
          <w:szCs w:val="20"/>
        </w:rPr>
      </w:pPr>
      <w:r w:rsidRPr="009A049C">
        <w:rPr>
          <w:rFonts w:eastAsia="Calibri"/>
          <w:sz w:val="20"/>
          <w:szCs w:val="20"/>
        </w:rPr>
        <w:t>Resulted in a more complex document that was difficult to understand</w:t>
      </w:r>
    </w:p>
    <w:p w14:paraId="0C948B99" w14:textId="77777777" w:rsidR="00FF4593" w:rsidRPr="009A049C" w:rsidRDefault="00FF4593" w:rsidP="00E04178">
      <w:pPr>
        <w:widowControl/>
        <w:numPr>
          <w:ilvl w:val="0"/>
          <w:numId w:val="5"/>
        </w:numPr>
        <w:autoSpaceDE/>
        <w:autoSpaceDN/>
        <w:spacing w:after="160" w:line="300" w:lineRule="exact"/>
        <w:contextualSpacing/>
        <w:rPr>
          <w:rFonts w:eastAsia="Calibri"/>
          <w:sz w:val="20"/>
          <w:szCs w:val="20"/>
        </w:rPr>
      </w:pPr>
      <w:r w:rsidRPr="009A049C">
        <w:rPr>
          <w:rFonts w:eastAsia="Calibri"/>
          <w:sz w:val="20"/>
          <w:szCs w:val="20"/>
        </w:rPr>
        <w:t xml:space="preserve">Was inconsistent with the industry feedback to adopt the FAA regulations as a whole with minimal changes </w:t>
      </w:r>
    </w:p>
    <w:p w14:paraId="39BC144C" w14:textId="777427FF" w:rsidR="00FF4593" w:rsidRPr="009A049C" w:rsidRDefault="00FF4593" w:rsidP="00E04178">
      <w:pPr>
        <w:widowControl/>
        <w:numPr>
          <w:ilvl w:val="0"/>
          <w:numId w:val="5"/>
        </w:numPr>
        <w:autoSpaceDE/>
        <w:autoSpaceDN/>
        <w:spacing w:after="160" w:line="300" w:lineRule="exact"/>
        <w:contextualSpacing/>
        <w:rPr>
          <w:rFonts w:eastAsia="Calibri"/>
          <w:sz w:val="20"/>
          <w:szCs w:val="20"/>
        </w:rPr>
      </w:pPr>
      <w:r w:rsidRPr="009A049C">
        <w:rPr>
          <w:rFonts w:eastAsia="Calibri"/>
          <w:sz w:val="20"/>
          <w:szCs w:val="20"/>
        </w:rPr>
        <w:t xml:space="preserve">Requires an arbitrary choice of what items would be sub-options and it was difficult to provide a succinct explanation for </w:t>
      </w:r>
      <w:r w:rsidR="00902836" w:rsidRPr="009A049C">
        <w:rPr>
          <w:rFonts w:eastAsia="Calibri"/>
          <w:sz w:val="20"/>
          <w:szCs w:val="20"/>
        </w:rPr>
        <w:t>this choice</w:t>
      </w:r>
      <w:r w:rsidRPr="009A049C">
        <w:rPr>
          <w:rFonts w:eastAsia="Calibri"/>
          <w:sz w:val="20"/>
          <w:szCs w:val="20"/>
        </w:rPr>
        <w:t xml:space="preserve"> of sub-options </w:t>
      </w:r>
    </w:p>
    <w:p w14:paraId="24F01701" w14:textId="3E2F4C1C" w:rsidR="00FF4593" w:rsidRPr="009A049C" w:rsidRDefault="00FF4593" w:rsidP="00E04178">
      <w:pPr>
        <w:spacing w:after="160" w:line="300" w:lineRule="exact"/>
        <w:rPr>
          <w:rFonts w:eastAsia="Calibri"/>
          <w:sz w:val="20"/>
          <w:szCs w:val="20"/>
        </w:rPr>
      </w:pPr>
      <w:r w:rsidRPr="009A049C">
        <w:rPr>
          <w:rFonts w:eastAsia="Calibri"/>
          <w:sz w:val="20"/>
          <w:szCs w:val="20"/>
        </w:rPr>
        <w:lastRenderedPageBreak/>
        <w:t xml:space="preserve">For these reasons CASA </w:t>
      </w:r>
      <w:r w:rsidR="00902836">
        <w:rPr>
          <w:rFonts w:eastAsia="Calibri"/>
          <w:sz w:val="20"/>
          <w:szCs w:val="20"/>
        </w:rPr>
        <w:t>remains of</w:t>
      </w:r>
      <w:r w:rsidR="00902836" w:rsidRPr="009A049C">
        <w:rPr>
          <w:rFonts w:eastAsia="Calibri"/>
          <w:sz w:val="20"/>
          <w:szCs w:val="20"/>
        </w:rPr>
        <w:t xml:space="preserve"> </w:t>
      </w:r>
      <w:r w:rsidRPr="009A049C">
        <w:rPr>
          <w:rFonts w:eastAsia="Calibri"/>
          <w:sz w:val="20"/>
          <w:szCs w:val="20"/>
        </w:rPr>
        <w:t xml:space="preserve">the view that the presentation of the options without sub-options provides transparent information to the decision maker and is consistent with the presentation of information to the decision maker on the consultation feedback. </w:t>
      </w:r>
    </w:p>
    <w:p w14:paraId="29AF5236" w14:textId="63476BD1" w:rsidR="00FF4593" w:rsidRPr="009A049C" w:rsidRDefault="001628D5" w:rsidP="00E04178">
      <w:pPr>
        <w:spacing w:after="160" w:line="300" w:lineRule="exact"/>
        <w:rPr>
          <w:rFonts w:eastAsia="Calibri"/>
          <w:b/>
          <w:bCs/>
          <w:sz w:val="20"/>
          <w:szCs w:val="20"/>
        </w:rPr>
      </w:pPr>
      <w:r>
        <w:rPr>
          <w:rFonts w:eastAsia="Calibri"/>
          <w:b/>
          <w:bCs/>
          <w:sz w:val="20"/>
          <w:szCs w:val="20"/>
        </w:rPr>
        <w:t>Impacts</w:t>
      </w:r>
    </w:p>
    <w:p w14:paraId="45F1BB15" w14:textId="77777777" w:rsidR="00FF4593" w:rsidRPr="009A049C" w:rsidRDefault="00FF4593" w:rsidP="00E04178">
      <w:pPr>
        <w:spacing w:after="160" w:line="300" w:lineRule="exact"/>
        <w:rPr>
          <w:rFonts w:eastAsia="Calibri"/>
          <w:sz w:val="20"/>
          <w:szCs w:val="20"/>
        </w:rPr>
      </w:pPr>
      <w:r w:rsidRPr="009A049C">
        <w:rPr>
          <w:rFonts w:eastAsia="Calibri"/>
          <w:sz w:val="20"/>
          <w:szCs w:val="20"/>
        </w:rPr>
        <w:t xml:space="preserve">The Impact Analysis document was amended to include a Table 2 that provides a more complete presentation of the change in compliance costs. In addition, these compliance cost estimates have been revised to be based on a wage rate of $80 per hour to be consistent with the OIA guidance note. </w:t>
      </w:r>
    </w:p>
    <w:p w14:paraId="65A2E9D2" w14:textId="77777777" w:rsidR="00FF4593" w:rsidRPr="009A049C" w:rsidRDefault="00FF4593" w:rsidP="00E04178">
      <w:pPr>
        <w:spacing w:after="160" w:line="300" w:lineRule="exact"/>
        <w:rPr>
          <w:rFonts w:eastAsia="Calibri"/>
          <w:sz w:val="20"/>
          <w:szCs w:val="20"/>
        </w:rPr>
      </w:pPr>
      <w:r w:rsidRPr="009A049C">
        <w:rPr>
          <w:rFonts w:eastAsia="Calibri"/>
          <w:sz w:val="20"/>
          <w:szCs w:val="20"/>
        </w:rPr>
        <w:t xml:space="preserve">Further information has been provided on the derivation of the estimated compliance </w:t>
      </w:r>
      <w:r w:rsidRPr="009C3AAE">
        <w:rPr>
          <w:rFonts w:eastAsia="Calibri"/>
          <w:sz w:val="20"/>
          <w:szCs w:val="20"/>
        </w:rPr>
        <w:t xml:space="preserve">cost </w:t>
      </w:r>
      <w:r w:rsidRPr="009A049C">
        <w:rPr>
          <w:rFonts w:eastAsia="Calibri"/>
          <w:sz w:val="20"/>
          <w:szCs w:val="20"/>
        </w:rPr>
        <w:t xml:space="preserve">saving as a percentage of total maintenance costs. </w:t>
      </w:r>
    </w:p>
    <w:p w14:paraId="35F10B49" w14:textId="77777777" w:rsidR="00FF4593" w:rsidRPr="009A049C" w:rsidRDefault="00FF4593" w:rsidP="00E04178">
      <w:pPr>
        <w:spacing w:after="160" w:line="300" w:lineRule="exact"/>
        <w:rPr>
          <w:rFonts w:eastAsia="Calibri"/>
          <w:sz w:val="20"/>
          <w:szCs w:val="20"/>
        </w:rPr>
      </w:pPr>
      <w:r w:rsidRPr="009A049C">
        <w:rPr>
          <w:rFonts w:eastAsia="Calibri"/>
          <w:sz w:val="20"/>
          <w:szCs w:val="20"/>
        </w:rPr>
        <w:t xml:space="preserve">Additional information is provided on the likely expansion of services in rural and remote areas, noting that this expansion </w:t>
      </w:r>
      <w:r w:rsidRPr="009C3AAE">
        <w:rPr>
          <w:rFonts w:eastAsia="Calibri"/>
          <w:sz w:val="20"/>
          <w:szCs w:val="20"/>
        </w:rPr>
        <w:t>is likely to occur as the result of additional</w:t>
      </w:r>
      <w:r w:rsidRPr="009A049C">
        <w:rPr>
          <w:rFonts w:eastAsia="Calibri"/>
          <w:sz w:val="20"/>
          <w:szCs w:val="20"/>
        </w:rPr>
        <w:t xml:space="preserve"> privileges of maintenance engineers already based in rural and remote areas, rather than from a reduction in engineers based in other areas. </w:t>
      </w:r>
    </w:p>
    <w:p w14:paraId="7B4ABBDE" w14:textId="77777777" w:rsidR="00FF4593" w:rsidRPr="009A049C" w:rsidRDefault="00FF4593" w:rsidP="00E04178">
      <w:pPr>
        <w:spacing w:after="160" w:line="300" w:lineRule="exact"/>
        <w:rPr>
          <w:rFonts w:eastAsia="Calibri"/>
          <w:sz w:val="20"/>
          <w:szCs w:val="20"/>
        </w:rPr>
      </w:pPr>
      <w:r w:rsidRPr="009A049C">
        <w:rPr>
          <w:rFonts w:eastAsia="Calibri"/>
          <w:sz w:val="20"/>
          <w:szCs w:val="20"/>
        </w:rPr>
        <w:t xml:space="preserve">An additional reference is included to provide interested readers with access to further information on the changed procedures for stakeholders under the Part 43 option. </w:t>
      </w:r>
    </w:p>
    <w:p w14:paraId="7D16375E" w14:textId="38FE3512" w:rsidR="00FF4593" w:rsidRPr="009A049C" w:rsidRDefault="001628D5" w:rsidP="00E04178">
      <w:pPr>
        <w:spacing w:after="160" w:line="300" w:lineRule="exact"/>
        <w:rPr>
          <w:rFonts w:eastAsia="Calibri"/>
          <w:b/>
          <w:bCs/>
          <w:sz w:val="20"/>
          <w:szCs w:val="20"/>
        </w:rPr>
      </w:pPr>
      <w:r>
        <w:rPr>
          <w:rFonts w:eastAsia="Calibri"/>
          <w:b/>
          <w:bCs/>
          <w:sz w:val="20"/>
          <w:szCs w:val="20"/>
        </w:rPr>
        <w:t>C</w:t>
      </w:r>
      <w:r w:rsidR="00FF4593" w:rsidRPr="009A049C">
        <w:rPr>
          <w:rFonts w:eastAsia="Calibri"/>
          <w:b/>
          <w:bCs/>
          <w:sz w:val="20"/>
          <w:szCs w:val="20"/>
        </w:rPr>
        <w:t>onsult</w:t>
      </w:r>
      <w:r>
        <w:rPr>
          <w:rFonts w:eastAsia="Calibri"/>
          <w:b/>
          <w:bCs/>
          <w:sz w:val="20"/>
          <w:szCs w:val="20"/>
        </w:rPr>
        <w:t>ation</w:t>
      </w:r>
    </w:p>
    <w:p w14:paraId="58571DF0" w14:textId="3787AC5C" w:rsidR="00FF4593" w:rsidRPr="009A049C" w:rsidRDefault="00FF4593" w:rsidP="00E04178">
      <w:pPr>
        <w:spacing w:after="160" w:line="300" w:lineRule="exact"/>
        <w:rPr>
          <w:rFonts w:eastAsia="Calibri"/>
          <w:sz w:val="20"/>
          <w:szCs w:val="20"/>
        </w:rPr>
      </w:pPr>
      <w:r w:rsidRPr="009A049C">
        <w:rPr>
          <w:rFonts w:eastAsia="Calibri"/>
          <w:sz w:val="20"/>
          <w:szCs w:val="20"/>
        </w:rPr>
        <w:t>CASA has enhanced the Consultation section of the Impact Analysis document, in particular</w:t>
      </w:r>
      <w:r w:rsidRPr="009C3AAE">
        <w:rPr>
          <w:rFonts w:eastAsia="Calibri"/>
          <w:sz w:val="20"/>
          <w:szCs w:val="20"/>
        </w:rPr>
        <w:t xml:space="preserve"> with</w:t>
      </w:r>
      <w:r w:rsidRPr="009A049C">
        <w:rPr>
          <w:rFonts w:eastAsia="Calibri"/>
          <w:sz w:val="20"/>
          <w:szCs w:val="20"/>
        </w:rPr>
        <w:t xml:space="preserve"> the inclusion of </w:t>
      </w:r>
      <w:r w:rsidRPr="009C3AAE">
        <w:rPr>
          <w:rFonts w:eastAsia="Calibri"/>
          <w:sz w:val="20"/>
          <w:szCs w:val="20"/>
        </w:rPr>
        <w:t>a</w:t>
      </w:r>
      <w:r w:rsidRPr="009A049C">
        <w:rPr>
          <w:rFonts w:eastAsia="Calibri"/>
          <w:sz w:val="20"/>
          <w:szCs w:val="20"/>
        </w:rPr>
        <w:t xml:space="preserve"> reference to the Summary of Consultation document that sets out the details of the consultation feedback and how CASA addressed this feedback. The Summary of Consultation document addresses the OIA question of ‘Who did you consult and how did you incorporate their feedback’. </w:t>
      </w:r>
    </w:p>
    <w:p w14:paraId="0C5EFC0B" w14:textId="5197EFDA" w:rsidR="00FF4593" w:rsidRPr="009A049C" w:rsidRDefault="001628D5" w:rsidP="00E04178">
      <w:pPr>
        <w:spacing w:after="160" w:line="300" w:lineRule="exact"/>
        <w:rPr>
          <w:rFonts w:eastAsia="Calibri"/>
          <w:b/>
          <w:bCs/>
          <w:sz w:val="20"/>
          <w:szCs w:val="20"/>
        </w:rPr>
      </w:pPr>
      <w:r>
        <w:rPr>
          <w:rFonts w:eastAsia="Calibri"/>
          <w:b/>
          <w:bCs/>
          <w:sz w:val="20"/>
          <w:szCs w:val="20"/>
        </w:rPr>
        <w:t xml:space="preserve">Implementation and Review </w:t>
      </w:r>
    </w:p>
    <w:p w14:paraId="32F7EE51" w14:textId="005B4F56" w:rsidR="00FF4593" w:rsidRPr="009A049C" w:rsidRDefault="00FF4593" w:rsidP="00E04178">
      <w:pPr>
        <w:spacing w:after="160" w:line="300" w:lineRule="exact"/>
        <w:rPr>
          <w:rFonts w:eastAsia="Calibri"/>
          <w:sz w:val="20"/>
          <w:szCs w:val="20"/>
        </w:rPr>
      </w:pPr>
      <w:r w:rsidRPr="009A049C">
        <w:rPr>
          <w:rFonts w:eastAsia="Calibri"/>
          <w:sz w:val="20"/>
          <w:szCs w:val="20"/>
        </w:rPr>
        <w:t>For the preferred Option of CASR Part 43</w:t>
      </w:r>
      <w:r w:rsidR="00902836">
        <w:rPr>
          <w:rFonts w:eastAsia="Calibri"/>
          <w:sz w:val="20"/>
          <w:szCs w:val="20"/>
        </w:rPr>
        <w:t>,</w:t>
      </w:r>
      <w:r w:rsidRPr="009A049C">
        <w:rPr>
          <w:rFonts w:eastAsia="Calibri"/>
          <w:sz w:val="20"/>
          <w:szCs w:val="20"/>
        </w:rPr>
        <w:t xml:space="preserve"> active measures have been put in place to address </w:t>
      </w:r>
      <w:r w:rsidRPr="009C3AAE">
        <w:rPr>
          <w:rFonts w:eastAsia="Calibri"/>
          <w:sz w:val="20"/>
          <w:szCs w:val="20"/>
        </w:rPr>
        <w:t>Implementation and Implementation risks</w:t>
      </w:r>
      <w:r w:rsidRPr="009A049C">
        <w:rPr>
          <w:rFonts w:eastAsia="Calibri"/>
          <w:sz w:val="20"/>
          <w:szCs w:val="20"/>
        </w:rPr>
        <w:t xml:space="preserve">: </w:t>
      </w:r>
    </w:p>
    <w:p w14:paraId="6C7E555E" w14:textId="77777777" w:rsidR="00FF4593" w:rsidRPr="009A049C" w:rsidRDefault="00FF4593" w:rsidP="00E04178">
      <w:pPr>
        <w:widowControl/>
        <w:numPr>
          <w:ilvl w:val="0"/>
          <w:numId w:val="4"/>
        </w:numPr>
        <w:autoSpaceDE/>
        <w:autoSpaceDN/>
        <w:spacing w:after="160" w:line="300" w:lineRule="exact"/>
        <w:contextualSpacing/>
        <w:rPr>
          <w:rFonts w:eastAsia="Calibri"/>
          <w:sz w:val="20"/>
          <w:szCs w:val="20"/>
        </w:rPr>
      </w:pPr>
      <w:r w:rsidRPr="009C3AAE">
        <w:rPr>
          <w:rFonts w:eastAsia="Calibri"/>
          <w:sz w:val="20"/>
          <w:szCs w:val="20"/>
        </w:rPr>
        <w:t xml:space="preserve">An </w:t>
      </w:r>
      <w:r w:rsidRPr="009A049C">
        <w:rPr>
          <w:rFonts w:eastAsia="Calibri"/>
          <w:sz w:val="20"/>
          <w:szCs w:val="20"/>
        </w:rPr>
        <w:t>Implementation plan that outlines all the relevant implementation tasks and the associated risks</w:t>
      </w:r>
    </w:p>
    <w:p w14:paraId="459DDCFA" w14:textId="77777777" w:rsidR="00FF4593" w:rsidRPr="009A049C" w:rsidRDefault="00FF4593" w:rsidP="00E04178">
      <w:pPr>
        <w:widowControl/>
        <w:numPr>
          <w:ilvl w:val="0"/>
          <w:numId w:val="4"/>
        </w:numPr>
        <w:autoSpaceDE/>
        <w:autoSpaceDN/>
        <w:spacing w:after="160" w:line="300" w:lineRule="exact"/>
        <w:contextualSpacing/>
        <w:rPr>
          <w:rFonts w:eastAsia="Calibri"/>
          <w:sz w:val="20"/>
          <w:szCs w:val="20"/>
        </w:rPr>
      </w:pPr>
      <w:r w:rsidRPr="009A049C">
        <w:rPr>
          <w:rFonts w:eastAsia="Calibri"/>
          <w:sz w:val="20"/>
          <w:szCs w:val="20"/>
        </w:rPr>
        <w:t xml:space="preserve">Project management of implementation with reporting to relevant senior management, including the identification risks, their likelihood, consequences and management.  </w:t>
      </w:r>
    </w:p>
    <w:p w14:paraId="180782E1" w14:textId="43BADD5E" w:rsidR="00FF4593" w:rsidRPr="005505C3" w:rsidRDefault="00FF4593" w:rsidP="00E04178">
      <w:pPr>
        <w:spacing w:after="160" w:line="300" w:lineRule="exact"/>
        <w:rPr>
          <w:rFonts w:eastAsia="Calibri"/>
          <w:sz w:val="20"/>
          <w:szCs w:val="20"/>
        </w:rPr>
      </w:pPr>
      <w:r w:rsidRPr="009A049C">
        <w:rPr>
          <w:rFonts w:eastAsia="Calibri"/>
          <w:sz w:val="20"/>
          <w:szCs w:val="20"/>
        </w:rPr>
        <w:t>The Impact Analysis document now includes additional information on the transition arrangement, with specific timelines. Importantly, the I</w:t>
      </w:r>
      <w:r w:rsidR="00902836">
        <w:rPr>
          <w:rFonts w:eastAsia="Calibri"/>
          <w:sz w:val="20"/>
          <w:szCs w:val="20"/>
        </w:rPr>
        <w:t xml:space="preserve">mpact </w:t>
      </w:r>
      <w:r w:rsidRPr="009A049C">
        <w:rPr>
          <w:rFonts w:eastAsia="Calibri"/>
          <w:sz w:val="20"/>
          <w:szCs w:val="20"/>
        </w:rPr>
        <w:t>A</w:t>
      </w:r>
      <w:r w:rsidR="00902836">
        <w:rPr>
          <w:rFonts w:eastAsia="Calibri"/>
          <w:sz w:val="20"/>
          <w:szCs w:val="20"/>
        </w:rPr>
        <w:t>nalysis document</w:t>
      </w:r>
      <w:r w:rsidRPr="009A049C">
        <w:rPr>
          <w:rFonts w:eastAsia="Calibri"/>
          <w:sz w:val="20"/>
          <w:szCs w:val="20"/>
        </w:rPr>
        <w:t xml:space="preserve"> now clarifies that the regulatory privileges of CAR 30 maintenance </w:t>
      </w:r>
      <w:r w:rsidRPr="009C3AAE">
        <w:rPr>
          <w:rFonts w:eastAsia="Calibri"/>
          <w:sz w:val="20"/>
          <w:szCs w:val="20"/>
        </w:rPr>
        <w:t>organisations</w:t>
      </w:r>
      <w:r w:rsidRPr="009A049C">
        <w:rPr>
          <w:rFonts w:eastAsia="Calibri"/>
          <w:sz w:val="20"/>
          <w:szCs w:val="20"/>
        </w:rPr>
        <w:t xml:space="preserve"> does not change during the transition period and there is a 3 year transition period in which they can continue to operate as these </w:t>
      </w:r>
      <w:r w:rsidRPr="009C3AAE">
        <w:rPr>
          <w:rFonts w:eastAsia="Calibri"/>
          <w:sz w:val="20"/>
          <w:szCs w:val="20"/>
        </w:rPr>
        <w:t>organisations</w:t>
      </w:r>
      <w:r w:rsidRPr="009A049C">
        <w:rPr>
          <w:rFonts w:eastAsia="Calibri"/>
          <w:sz w:val="20"/>
          <w:szCs w:val="20"/>
        </w:rPr>
        <w:t xml:space="preserve"> are currently operating. </w:t>
      </w:r>
    </w:p>
    <w:p w14:paraId="7334A37D" w14:textId="7B92ABE2" w:rsidR="00FF4593" w:rsidRPr="009A049C" w:rsidRDefault="00FF4593" w:rsidP="00E04178">
      <w:pPr>
        <w:spacing w:after="160" w:line="300" w:lineRule="exact"/>
        <w:rPr>
          <w:rFonts w:eastAsia="Calibri"/>
          <w:sz w:val="20"/>
          <w:szCs w:val="20"/>
        </w:rPr>
      </w:pPr>
      <w:r w:rsidRPr="009A049C">
        <w:rPr>
          <w:rFonts w:eastAsia="Calibri"/>
          <w:sz w:val="20"/>
          <w:szCs w:val="20"/>
        </w:rPr>
        <w:t xml:space="preserve">CASA has enhanced the review section to address these comments. In particular, CASA’s evaluation focus is on </w:t>
      </w:r>
      <w:r w:rsidR="00902836">
        <w:rPr>
          <w:rFonts w:eastAsia="Calibri"/>
          <w:sz w:val="20"/>
          <w:szCs w:val="20"/>
        </w:rPr>
        <w:t>evaluating</w:t>
      </w:r>
      <w:r w:rsidR="00902836" w:rsidRPr="009A049C">
        <w:rPr>
          <w:rFonts w:eastAsia="Calibri"/>
          <w:sz w:val="20"/>
          <w:szCs w:val="20"/>
        </w:rPr>
        <w:t xml:space="preserve"> </w:t>
      </w:r>
      <w:r w:rsidRPr="009A049C">
        <w:rPr>
          <w:rFonts w:eastAsia="Calibri"/>
          <w:sz w:val="20"/>
          <w:szCs w:val="20"/>
        </w:rPr>
        <w:t xml:space="preserve">the success of the implementation through stakeholder feedback, including on the quality of the guidance material provided to industry stakeholders and the reasonableness of the application and the assessment processes. </w:t>
      </w:r>
    </w:p>
    <w:p w14:paraId="4570E3A0" w14:textId="77777777" w:rsidR="00FF4593" w:rsidRPr="009A049C" w:rsidRDefault="00FF4593" w:rsidP="00E04178">
      <w:pPr>
        <w:spacing w:after="160" w:line="300" w:lineRule="exact"/>
        <w:rPr>
          <w:rFonts w:eastAsia="Calibri"/>
          <w:sz w:val="20"/>
          <w:szCs w:val="20"/>
        </w:rPr>
      </w:pPr>
      <w:r w:rsidRPr="009A049C">
        <w:rPr>
          <w:rFonts w:eastAsia="Calibri"/>
          <w:sz w:val="20"/>
          <w:szCs w:val="20"/>
        </w:rPr>
        <w:t>In terms of the broader safety objectives</w:t>
      </w:r>
      <w:r w:rsidRPr="009C3AAE">
        <w:rPr>
          <w:rFonts w:eastAsia="Calibri"/>
          <w:sz w:val="20"/>
          <w:szCs w:val="20"/>
        </w:rPr>
        <w:t>,</w:t>
      </w:r>
      <w:r w:rsidRPr="009A049C">
        <w:rPr>
          <w:rFonts w:eastAsia="Calibri"/>
          <w:sz w:val="20"/>
          <w:szCs w:val="20"/>
        </w:rPr>
        <w:t xml:space="preserve"> it is recognised that there are multiple factors that contribute to safety and there may be many relevant and contributing factors to any single aircraft accident. As such, there is no one single metric, or even a number of metrics that can be relied upon for measuring success in improving safety without considering these metrics in the context of multiple factors.   </w:t>
      </w:r>
    </w:p>
    <w:p w14:paraId="16D95CA6" w14:textId="77777777" w:rsidR="00FF4593" w:rsidRPr="009A049C" w:rsidRDefault="00FF4593" w:rsidP="00E04178">
      <w:pPr>
        <w:spacing w:after="160" w:line="300" w:lineRule="exact"/>
        <w:rPr>
          <w:rFonts w:eastAsia="Calibri"/>
          <w:sz w:val="20"/>
          <w:szCs w:val="20"/>
        </w:rPr>
      </w:pPr>
      <w:r w:rsidRPr="009A049C">
        <w:rPr>
          <w:rFonts w:eastAsia="Calibri"/>
          <w:sz w:val="20"/>
          <w:szCs w:val="20"/>
        </w:rPr>
        <w:t xml:space="preserve">In terms of undertaking a specific exercise to collect information from industry in the form of evaluation </w:t>
      </w:r>
      <w:r w:rsidRPr="009A049C">
        <w:rPr>
          <w:rFonts w:eastAsia="Calibri"/>
          <w:sz w:val="20"/>
          <w:szCs w:val="20"/>
        </w:rPr>
        <w:lastRenderedPageBreak/>
        <w:t>questions, it is necessary to weigh the value of specific activities that involve stakeholders spending their time to provide information on success metrics against alternative ways of extracting the information in a less burdensome</w:t>
      </w:r>
      <w:r w:rsidRPr="009C3AAE">
        <w:rPr>
          <w:rFonts w:eastAsia="Calibri"/>
          <w:sz w:val="20"/>
          <w:szCs w:val="20"/>
        </w:rPr>
        <w:t xml:space="preserve"> manner</w:t>
      </w:r>
      <w:r w:rsidRPr="009A049C">
        <w:rPr>
          <w:rFonts w:eastAsia="Calibri"/>
          <w:sz w:val="20"/>
          <w:szCs w:val="20"/>
        </w:rPr>
        <w:t xml:space="preserve">. CASA </w:t>
      </w:r>
      <w:proofErr w:type="spellStart"/>
      <w:r w:rsidRPr="009A049C">
        <w:rPr>
          <w:rFonts w:eastAsia="Calibri"/>
          <w:sz w:val="20"/>
          <w:szCs w:val="20"/>
        </w:rPr>
        <w:t>favours</w:t>
      </w:r>
      <w:proofErr w:type="spellEnd"/>
      <w:r w:rsidRPr="009A049C">
        <w:rPr>
          <w:rFonts w:eastAsia="Calibri"/>
          <w:sz w:val="20"/>
          <w:szCs w:val="20"/>
        </w:rPr>
        <w:t xml:space="preserve"> obtaining this information through informal means.  </w:t>
      </w:r>
    </w:p>
    <w:p w14:paraId="2BC418E2" w14:textId="77777777" w:rsidR="00FF4593" w:rsidRPr="009C3AAE" w:rsidRDefault="00FF4593" w:rsidP="00E04178">
      <w:pPr>
        <w:spacing w:before="240" w:line="300" w:lineRule="exact"/>
        <w:jc w:val="both"/>
        <w:rPr>
          <w:sz w:val="20"/>
          <w:szCs w:val="20"/>
          <w:lang w:eastAsia="en-AU"/>
        </w:rPr>
      </w:pPr>
      <w:r w:rsidRPr="009C3AAE">
        <w:rPr>
          <w:sz w:val="20"/>
          <w:szCs w:val="20"/>
          <w:lang w:eastAsia="en-AU"/>
        </w:rPr>
        <w:t>Accordingly, I am satisfied that the Impact Analysis now meets the Australian Government requirements.</w:t>
      </w:r>
    </w:p>
    <w:p w14:paraId="1CFB6202" w14:textId="77777777" w:rsidR="00FF4593" w:rsidRPr="009C3AAE" w:rsidRDefault="00FF4593" w:rsidP="00E04178">
      <w:pPr>
        <w:spacing w:before="240" w:line="300" w:lineRule="exact"/>
        <w:jc w:val="both"/>
        <w:rPr>
          <w:sz w:val="20"/>
          <w:szCs w:val="20"/>
          <w:lang w:eastAsia="en-AU"/>
        </w:rPr>
      </w:pPr>
      <w:r w:rsidRPr="009C3AAE">
        <w:rPr>
          <w:sz w:val="20"/>
          <w:szCs w:val="20"/>
          <w:lang w:eastAsia="en-AU"/>
        </w:rPr>
        <w:t>I submit the Impact Analysis to the Office of Impact Analysis for Second Pass Final Assessment.</w:t>
      </w:r>
    </w:p>
    <w:p w14:paraId="23335BD9" w14:textId="77777777" w:rsidR="00FF4593" w:rsidRPr="009C3AAE" w:rsidRDefault="00FF4593" w:rsidP="003B56F4">
      <w:pPr>
        <w:pStyle w:val="BodyText"/>
        <w:spacing w:before="240"/>
        <w:rPr>
          <w:sz w:val="20"/>
          <w:szCs w:val="20"/>
        </w:rPr>
      </w:pPr>
    </w:p>
    <w:p w14:paraId="26D84B06" w14:textId="77777777" w:rsidR="00FF4593" w:rsidRPr="009C3AAE" w:rsidRDefault="00FF4593" w:rsidP="003B56F4">
      <w:pPr>
        <w:pStyle w:val="BodyText"/>
        <w:spacing w:before="240"/>
        <w:rPr>
          <w:sz w:val="20"/>
          <w:szCs w:val="20"/>
        </w:rPr>
      </w:pPr>
    </w:p>
    <w:p w14:paraId="4917D8A4" w14:textId="04575EB0" w:rsidR="003C5058" w:rsidRPr="009C3AAE" w:rsidRDefault="00F70B91" w:rsidP="003B56F4">
      <w:pPr>
        <w:pStyle w:val="BodyText"/>
        <w:spacing w:before="240"/>
        <w:rPr>
          <w:sz w:val="20"/>
          <w:szCs w:val="20"/>
        </w:rPr>
      </w:pPr>
      <w:r w:rsidRPr="009C3AAE">
        <w:rPr>
          <w:sz w:val="20"/>
          <w:szCs w:val="20"/>
        </w:rPr>
        <w:t>Yours sincerely</w:t>
      </w:r>
    </w:p>
    <w:p w14:paraId="32DEF18F" w14:textId="4D975251" w:rsidR="003C5058" w:rsidRPr="009C3AAE" w:rsidRDefault="003C5058" w:rsidP="00292184">
      <w:pPr>
        <w:pStyle w:val="BodyText"/>
        <w:rPr>
          <w:sz w:val="20"/>
          <w:szCs w:val="20"/>
        </w:rPr>
      </w:pPr>
    </w:p>
    <w:p w14:paraId="413DD9FF" w14:textId="6B65CB66" w:rsidR="00797BB6" w:rsidRPr="009C3AAE" w:rsidRDefault="00797BB6" w:rsidP="00292184">
      <w:pPr>
        <w:pStyle w:val="BodyText"/>
        <w:rPr>
          <w:sz w:val="20"/>
          <w:szCs w:val="20"/>
        </w:rPr>
      </w:pPr>
    </w:p>
    <w:p w14:paraId="3B38E8F0" w14:textId="2AA6EC56" w:rsidR="00BE7FB3" w:rsidRPr="009C3AAE" w:rsidRDefault="00BE7FB3" w:rsidP="00292184">
      <w:pPr>
        <w:pStyle w:val="BodyText"/>
        <w:rPr>
          <w:sz w:val="20"/>
          <w:szCs w:val="20"/>
        </w:rPr>
      </w:pPr>
    </w:p>
    <w:p w14:paraId="60C569B8" w14:textId="77777777" w:rsidR="00551C82" w:rsidRPr="009C3AAE" w:rsidRDefault="00551C82" w:rsidP="00292184">
      <w:pPr>
        <w:pStyle w:val="BodyText"/>
        <w:rPr>
          <w:sz w:val="20"/>
          <w:szCs w:val="20"/>
        </w:rPr>
      </w:pPr>
    </w:p>
    <w:p w14:paraId="2DE5B698" w14:textId="77777777" w:rsidR="003C5058" w:rsidRPr="009C3AAE" w:rsidRDefault="003C5058" w:rsidP="00292184">
      <w:pPr>
        <w:pStyle w:val="BodyText"/>
        <w:rPr>
          <w:sz w:val="20"/>
          <w:szCs w:val="20"/>
        </w:rPr>
      </w:pPr>
    </w:p>
    <w:p w14:paraId="609AAF2C" w14:textId="09A4898C" w:rsidR="003C5058" w:rsidRPr="009C3AAE" w:rsidRDefault="007B52DD" w:rsidP="00292184">
      <w:pPr>
        <w:pStyle w:val="BodyText"/>
        <w:spacing w:after="120"/>
        <w:ind w:right="1383"/>
        <w:rPr>
          <w:sz w:val="20"/>
          <w:szCs w:val="20"/>
        </w:rPr>
      </w:pPr>
      <w:proofErr w:type="spellStart"/>
      <w:r w:rsidRPr="009C3AAE">
        <w:rPr>
          <w:sz w:val="20"/>
          <w:szCs w:val="20"/>
        </w:rPr>
        <w:t>Ms</w:t>
      </w:r>
      <w:proofErr w:type="spellEnd"/>
      <w:r w:rsidRPr="009C3AAE">
        <w:rPr>
          <w:sz w:val="20"/>
          <w:szCs w:val="20"/>
        </w:rPr>
        <w:t xml:space="preserve"> Pip Spence</w:t>
      </w:r>
      <w:r w:rsidR="004C0222" w:rsidRPr="009C3AAE">
        <w:rPr>
          <w:sz w:val="20"/>
          <w:szCs w:val="20"/>
        </w:rPr>
        <w:t xml:space="preserve"> PSM</w:t>
      </w:r>
    </w:p>
    <w:p w14:paraId="083D87E2" w14:textId="315EC524" w:rsidR="005904F8" w:rsidRPr="009C3AAE" w:rsidRDefault="005904F8" w:rsidP="00CF6AEB">
      <w:pPr>
        <w:pStyle w:val="BodyText"/>
        <w:ind w:right="1383"/>
        <w:rPr>
          <w:sz w:val="20"/>
          <w:szCs w:val="20"/>
        </w:rPr>
      </w:pPr>
      <w:r w:rsidRPr="009C3AAE">
        <w:rPr>
          <w:sz w:val="20"/>
          <w:szCs w:val="20"/>
        </w:rPr>
        <w:t>Chief Executive Officer</w:t>
      </w:r>
      <w:r w:rsidR="00CF6AEB" w:rsidRPr="009C3AAE">
        <w:rPr>
          <w:sz w:val="20"/>
          <w:szCs w:val="20"/>
        </w:rPr>
        <w:t xml:space="preserve"> and</w:t>
      </w:r>
    </w:p>
    <w:p w14:paraId="163A8444" w14:textId="5AE1476C" w:rsidR="005904F8" w:rsidRPr="009C3AAE" w:rsidRDefault="00CF6AEB" w:rsidP="00292184">
      <w:pPr>
        <w:pStyle w:val="BodyText"/>
        <w:spacing w:after="120"/>
        <w:ind w:right="1383"/>
        <w:rPr>
          <w:sz w:val="20"/>
          <w:szCs w:val="20"/>
        </w:rPr>
      </w:pPr>
      <w:r w:rsidRPr="009C3AAE">
        <w:rPr>
          <w:sz w:val="20"/>
          <w:szCs w:val="20"/>
        </w:rPr>
        <w:t xml:space="preserve">   Director of Aviation Safety </w:t>
      </w:r>
    </w:p>
    <w:p w14:paraId="65A28DEB" w14:textId="44D9077F" w:rsidR="003C5058" w:rsidRPr="009C3AAE" w:rsidRDefault="0041391A" w:rsidP="00BE7FB3">
      <w:pPr>
        <w:pStyle w:val="BodyText"/>
        <w:spacing w:after="240"/>
        <w:ind w:right="1382" w:firstLine="426"/>
        <w:rPr>
          <w:sz w:val="20"/>
          <w:szCs w:val="20"/>
        </w:rPr>
      </w:pPr>
      <w:r>
        <w:rPr>
          <w:sz w:val="20"/>
          <w:szCs w:val="20"/>
        </w:rPr>
        <w:t>June</w:t>
      </w:r>
      <w:r w:rsidR="00EB4DE0" w:rsidRPr="009C3AAE">
        <w:rPr>
          <w:sz w:val="20"/>
          <w:szCs w:val="20"/>
        </w:rPr>
        <w:t xml:space="preserve"> 202</w:t>
      </w:r>
      <w:bookmarkEnd w:id="0"/>
      <w:bookmarkEnd w:id="4"/>
      <w:r w:rsidR="00FF4593" w:rsidRPr="009C3AAE">
        <w:rPr>
          <w:sz w:val="20"/>
          <w:szCs w:val="20"/>
        </w:rPr>
        <w:t>4</w:t>
      </w:r>
    </w:p>
    <w:sectPr w:rsidR="003C5058" w:rsidRPr="009C3AAE" w:rsidSect="00292184">
      <w:headerReference w:type="even" r:id="rId7"/>
      <w:headerReference w:type="default" r:id="rId8"/>
      <w:footerReference w:type="even" r:id="rId9"/>
      <w:footerReference w:type="default" r:id="rId10"/>
      <w:headerReference w:type="first" r:id="rId11"/>
      <w:footerReference w:type="first" r:id="rId12"/>
      <w:pgSz w:w="11910" w:h="16840"/>
      <w:pgMar w:top="620" w:right="1420" w:bottom="280" w:left="1418" w:header="64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BC77D" w14:textId="77777777" w:rsidR="009E529C" w:rsidRDefault="009E529C" w:rsidP="0021565E">
      <w:r>
        <w:separator/>
      </w:r>
    </w:p>
  </w:endnote>
  <w:endnote w:type="continuationSeparator" w:id="0">
    <w:p w14:paraId="413C53D8" w14:textId="77777777" w:rsidR="009E529C" w:rsidRDefault="009E529C" w:rsidP="0021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4F044" w14:textId="77777777" w:rsidR="0083420E" w:rsidRDefault="00834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3879" w14:textId="77777777" w:rsidR="0021565E" w:rsidRPr="0083420E" w:rsidRDefault="0021565E" w:rsidP="00834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F3665" w14:textId="7D3D4D60" w:rsidR="0021565E" w:rsidRPr="0083420E" w:rsidRDefault="0021565E" w:rsidP="00834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A58E9" w14:textId="77777777" w:rsidR="009E529C" w:rsidRDefault="009E529C" w:rsidP="0021565E">
      <w:r>
        <w:separator/>
      </w:r>
    </w:p>
  </w:footnote>
  <w:footnote w:type="continuationSeparator" w:id="0">
    <w:p w14:paraId="294F2914" w14:textId="77777777" w:rsidR="009E529C" w:rsidRDefault="009E529C" w:rsidP="0021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FC7B" w14:textId="77777777" w:rsidR="0083420E" w:rsidRDefault="00834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2BA4" w14:textId="77777777" w:rsidR="0083420E" w:rsidRDefault="00834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06E9" w14:textId="6DD0C5B3" w:rsidR="00292184" w:rsidRPr="0083420E" w:rsidRDefault="00292184" w:rsidP="00834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403D6"/>
    <w:multiLevelType w:val="hybridMultilevel"/>
    <w:tmpl w:val="BF5EF496"/>
    <w:lvl w:ilvl="0" w:tplc="E9EA45E4">
      <w:numFmt w:val="bullet"/>
      <w:lvlText w:val=""/>
      <w:lvlJc w:val="left"/>
      <w:pPr>
        <w:ind w:left="1673" w:hanging="361"/>
      </w:pPr>
      <w:rPr>
        <w:rFonts w:ascii="Symbol" w:eastAsia="Symbol" w:hAnsi="Symbol" w:cs="Symbol" w:hint="default"/>
        <w:w w:val="100"/>
        <w:sz w:val="22"/>
        <w:szCs w:val="22"/>
      </w:rPr>
    </w:lvl>
    <w:lvl w:ilvl="1" w:tplc="B69402CC">
      <w:numFmt w:val="bullet"/>
      <w:lvlText w:val="•"/>
      <w:lvlJc w:val="left"/>
      <w:pPr>
        <w:ind w:left="2666" w:hanging="361"/>
      </w:pPr>
      <w:rPr>
        <w:rFonts w:hint="default"/>
      </w:rPr>
    </w:lvl>
    <w:lvl w:ilvl="2" w:tplc="B36E1B40">
      <w:numFmt w:val="bullet"/>
      <w:lvlText w:val="•"/>
      <w:lvlJc w:val="left"/>
      <w:pPr>
        <w:ind w:left="3653" w:hanging="361"/>
      </w:pPr>
      <w:rPr>
        <w:rFonts w:hint="default"/>
      </w:rPr>
    </w:lvl>
    <w:lvl w:ilvl="3" w:tplc="CCF42644">
      <w:numFmt w:val="bullet"/>
      <w:lvlText w:val="•"/>
      <w:lvlJc w:val="left"/>
      <w:pPr>
        <w:ind w:left="4639" w:hanging="361"/>
      </w:pPr>
      <w:rPr>
        <w:rFonts w:hint="default"/>
      </w:rPr>
    </w:lvl>
    <w:lvl w:ilvl="4" w:tplc="4BF8F0D4">
      <w:numFmt w:val="bullet"/>
      <w:lvlText w:val="•"/>
      <w:lvlJc w:val="left"/>
      <w:pPr>
        <w:ind w:left="5626" w:hanging="361"/>
      </w:pPr>
      <w:rPr>
        <w:rFonts w:hint="default"/>
      </w:rPr>
    </w:lvl>
    <w:lvl w:ilvl="5" w:tplc="A3F6BB2E">
      <w:numFmt w:val="bullet"/>
      <w:lvlText w:val="•"/>
      <w:lvlJc w:val="left"/>
      <w:pPr>
        <w:ind w:left="6613" w:hanging="361"/>
      </w:pPr>
      <w:rPr>
        <w:rFonts w:hint="default"/>
      </w:rPr>
    </w:lvl>
    <w:lvl w:ilvl="6" w:tplc="7D720726">
      <w:numFmt w:val="bullet"/>
      <w:lvlText w:val="•"/>
      <w:lvlJc w:val="left"/>
      <w:pPr>
        <w:ind w:left="7599" w:hanging="361"/>
      </w:pPr>
      <w:rPr>
        <w:rFonts w:hint="default"/>
      </w:rPr>
    </w:lvl>
    <w:lvl w:ilvl="7" w:tplc="B9A8DE9C">
      <w:numFmt w:val="bullet"/>
      <w:lvlText w:val="•"/>
      <w:lvlJc w:val="left"/>
      <w:pPr>
        <w:ind w:left="8586" w:hanging="361"/>
      </w:pPr>
      <w:rPr>
        <w:rFonts w:hint="default"/>
      </w:rPr>
    </w:lvl>
    <w:lvl w:ilvl="8" w:tplc="C600632A">
      <w:numFmt w:val="bullet"/>
      <w:lvlText w:val="•"/>
      <w:lvlJc w:val="left"/>
      <w:pPr>
        <w:ind w:left="9573" w:hanging="361"/>
      </w:pPr>
      <w:rPr>
        <w:rFonts w:hint="default"/>
      </w:rPr>
    </w:lvl>
  </w:abstractNum>
  <w:abstractNum w:abstractNumId="1" w15:restartNumberingAfterBreak="0">
    <w:nsid w:val="60531F17"/>
    <w:multiLevelType w:val="hybridMultilevel"/>
    <w:tmpl w:val="F3083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AB6E8A"/>
    <w:multiLevelType w:val="hybridMultilevel"/>
    <w:tmpl w:val="C6F8C8FE"/>
    <w:lvl w:ilvl="0" w:tplc="655AC312">
      <w:start w:val="1"/>
      <w:numFmt w:val="decimal"/>
      <w:lvlText w:val="%1."/>
      <w:lvlJc w:val="left"/>
      <w:pPr>
        <w:ind w:left="1672" w:hanging="360"/>
      </w:pPr>
      <w:rPr>
        <w:rFonts w:ascii="Arial" w:eastAsia="Arial" w:hAnsi="Arial" w:cs="Arial" w:hint="default"/>
        <w:spacing w:val="-1"/>
        <w:w w:val="100"/>
        <w:sz w:val="22"/>
        <w:szCs w:val="22"/>
      </w:rPr>
    </w:lvl>
    <w:lvl w:ilvl="1" w:tplc="2BF4ABD0">
      <w:numFmt w:val="bullet"/>
      <w:lvlText w:val="•"/>
      <w:lvlJc w:val="left"/>
      <w:pPr>
        <w:ind w:left="2666" w:hanging="360"/>
      </w:pPr>
      <w:rPr>
        <w:rFonts w:hint="default"/>
      </w:rPr>
    </w:lvl>
    <w:lvl w:ilvl="2" w:tplc="B7524256">
      <w:numFmt w:val="bullet"/>
      <w:lvlText w:val="•"/>
      <w:lvlJc w:val="left"/>
      <w:pPr>
        <w:ind w:left="3653" w:hanging="360"/>
      </w:pPr>
      <w:rPr>
        <w:rFonts w:hint="default"/>
      </w:rPr>
    </w:lvl>
    <w:lvl w:ilvl="3" w:tplc="3EDE597A">
      <w:numFmt w:val="bullet"/>
      <w:lvlText w:val="•"/>
      <w:lvlJc w:val="left"/>
      <w:pPr>
        <w:ind w:left="4639" w:hanging="360"/>
      </w:pPr>
      <w:rPr>
        <w:rFonts w:hint="default"/>
      </w:rPr>
    </w:lvl>
    <w:lvl w:ilvl="4" w:tplc="F7A044F4">
      <w:numFmt w:val="bullet"/>
      <w:lvlText w:val="•"/>
      <w:lvlJc w:val="left"/>
      <w:pPr>
        <w:ind w:left="5626" w:hanging="360"/>
      </w:pPr>
      <w:rPr>
        <w:rFonts w:hint="default"/>
      </w:rPr>
    </w:lvl>
    <w:lvl w:ilvl="5" w:tplc="9DCE6C0A">
      <w:numFmt w:val="bullet"/>
      <w:lvlText w:val="•"/>
      <w:lvlJc w:val="left"/>
      <w:pPr>
        <w:ind w:left="6613" w:hanging="360"/>
      </w:pPr>
      <w:rPr>
        <w:rFonts w:hint="default"/>
      </w:rPr>
    </w:lvl>
    <w:lvl w:ilvl="6" w:tplc="587288B8">
      <w:numFmt w:val="bullet"/>
      <w:lvlText w:val="•"/>
      <w:lvlJc w:val="left"/>
      <w:pPr>
        <w:ind w:left="7599" w:hanging="360"/>
      </w:pPr>
      <w:rPr>
        <w:rFonts w:hint="default"/>
      </w:rPr>
    </w:lvl>
    <w:lvl w:ilvl="7" w:tplc="75A6FD1C">
      <w:numFmt w:val="bullet"/>
      <w:lvlText w:val="•"/>
      <w:lvlJc w:val="left"/>
      <w:pPr>
        <w:ind w:left="8586" w:hanging="360"/>
      </w:pPr>
      <w:rPr>
        <w:rFonts w:hint="default"/>
      </w:rPr>
    </w:lvl>
    <w:lvl w:ilvl="8" w:tplc="AB30F664">
      <w:numFmt w:val="bullet"/>
      <w:lvlText w:val="•"/>
      <w:lvlJc w:val="left"/>
      <w:pPr>
        <w:ind w:left="9573" w:hanging="360"/>
      </w:pPr>
      <w:rPr>
        <w:rFonts w:hint="default"/>
      </w:rPr>
    </w:lvl>
  </w:abstractNum>
  <w:abstractNum w:abstractNumId="3" w15:restartNumberingAfterBreak="0">
    <w:nsid w:val="6BE44C09"/>
    <w:multiLevelType w:val="hybridMultilevel"/>
    <w:tmpl w:val="7DF0DA5A"/>
    <w:lvl w:ilvl="0" w:tplc="578881F4">
      <w:numFmt w:val="bullet"/>
      <w:lvlText w:val="□"/>
      <w:lvlJc w:val="left"/>
      <w:pPr>
        <w:ind w:left="1672" w:hanging="720"/>
      </w:pPr>
      <w:rPr>
        <w:rFonts w:ascii="Times New Roman" w:eastAsia="Times New Roman" w:hAnsi="Times New Roman" w:cs="Times New Roman" w:hint="default"/>
        <w:b/>
        <w:bCs/>
        <w:w w:val="99"/>
        <w:position w:val="-5"/>
        <w:sz w:val="56"/>
        <w:szCs w:val="56"/>
      </w:rPr>
    </w:lvl>
    <w:lvl w:ilvl="1" w:tplc="E59E6008">
      <w:numFmt w:val="bullet"/>
      <w:lvlText w:val="•"/>
      <w:lvlJc w:val="left"/>
      <w:pPr>
        <w:ind w:left="2666" w:hanging="720"/>
      </w:pPr>
      <w:rPr>
        <w:rFonts w:hint="default"/>
      </w:rPr>
    </w:lvl>
    <w:lvl w:ilvl="2" w:tplc="6B3C6CB0">
      <w:numFmt w:val="bullet"/>
      <w:lvlText w:val="•"/>
      <w:lvlJc w:val="left"/>
      <w:pPr>
        <w:ind w:left="3653" w:hanging="720"/>
      </w:pPr>
      <w:rPr>
        <w:rFonts w:hint="default"/>
      </w:rPr>
    </w:lvl>
    <w:lvl w:ilvl="3" w:tplc="0C26828A">
      <w:numFmt w:val="bullet"/>
      <w:lvlText w:val="•"/>
      <w:lvlJc w:val="left"/>
      <w:pPr>
        <w:ind w:left="4639" w:hanging="720"/>
      </w:pPr>
      <w:rPr>
        <w:rFonts w:hint="default"/>
      </w:rPr>
    </w:lvl>
    <w:lvl w:ilvl="4" w:tplc="57D2A0AE">
      <w:numFmt w:val="bullet"/>
      <w:lvlText w:val="•"/>
      <w:lvlJc w:val="left"/>
      <w:pPr>
        <w:ind w:left="5626" w:hanging="720"/>
      </w:pPr>
      <w:rPr>
        <w:rFonts w:hint="default"/>
      </w:rPr>
    </w:lvl>
    <w:lvl w:ilvl="5" w:tplc="E31C3B82">
      <w:numFmt w:val="bullet"/>
      <w:lvlText w:val="•"/>
      <w:lvlJc w:val="left"/>
      <w:pPr>
        <w:ind w:left="6613" w:hanging="720"/>
      </w:pPr>
      <w:rPr>
        <w:rFonts w:hint="default"/>
      </w:rPr>
    </w:lvl>
    <w:lvl w:ilvl="6" w:tplc="351E2966">
      <w:numFmt w:val="bullet"/>
      <w:lvlText w:val="•"/>
      <w:lvlJc w:val="left"/>
      <w:pPr>
        <w:ind w:left="7599" w:hanging="720"/>
      </w:pPr>
      <w:rPr>
        <w:rFonts w:hint="default"/>
      </w:rPr>
    </w:lvl>
    <w:lvl w:ilvl="7" w:tplc="B73C257A">
      <w:numFmt w:val="bullet"/>
      <w:lvlText w:val="•"/>
      <w:lvlJc w:val="left"/>
      <w:pPr>
        <w:ind w:left="8586" w:hanging="720"/>
      </w:pPr>
      <w:rPr>
        <w:rFonts w:hint="default"/>
      </w:rPr>
    </w:lvl>
    <w:lvl w:ilvl="8" w:tplc="39281D34">
      <w:numFmt w:val="bullet"/>
      <w:lvlText w:val="•"/>
      <w:lvlJc w:val="left"/>
      <w:pPr>
        <w:ind w:left="9573" w:hanging="720"/>
      </w:pPr>
      <w:rPr>
        <w:rFonts w:hint="default"/>
      </w:rPr>
    </w:lvl>
  </w:abstractNum>
  <w:abstractNum w:abstractNumId="4" w15:restartNumberingAfterBreak="0">
    <w:nsid w:val="79602C88"/>
    <w:multiLevelType w:val="hybridMultilevel"/>
    <w:tmpl w:val="FA10C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58"/>
    <w:rsid w:val="00002FD2"/>
    <w:rsid w:val="00026069"/>
    <w:rsid w:val="000F546D"/>
    <w:rsid w:val="000F6A86"/>
    <w:rsid w:val="00112BC8"/>
    <w:rsid w:val="001628D5"/>
    <w:rsid w:val="001974F8"/>
    <w:rsid w:val="0021565E"/>
    <w:rsid w:val="00237F2E"/>
    <w:rsid w:val="002668B1"/>
    <w:rsid w:val="0026784F"/>
    <w:rsid w:val="00267B4E"/>
    <w:rsid w:val="00275ED0"/>
    <w:rsid w:val="00292184"/>
    <w:rsid w:val="00296EF2"/>
    <w:rsid w:val="002F1E24"/>
    <w:rsid w:val="00347295"/>
    <w:rsid w:val="003B1A35"/>
    <w:rsid w:val="003B56F4"/>
    <w:rsid w:val="003C5058"/>
    <w:rsid w:val="003D67C1"/>
    <w:rsid w:val="0041391A"/>
    <w:rsid w:val="004C0222"/>
    <w:rsid w:val="004D7F33"/>
    <w:rsid w:val="004E71D9"/>
    <w:rsid w:val="00504E67"/>
    <w:rsid w:val="005505C3"/>
    <w:rsid w:val="00551C82"/>
    <w:rsid w:val="005904F8"/>
    <w:rsid w:val="005D71C0"/>
    <w:rsid w:val="00634365"/>
    <w:rsid w:val="0067316D"/>
    <w:rsid w:val="007369EB"/>
    <w:rsid w:val="0079649A"/>
    <w:rsid w:val="00797BB6"/>
    <w:rsid w:val="007B52DD"/>
    <w:rsid w:val="007F0E3E"/>
    <w:rsid w:val="00801A01"/>
    <w:rsid w:val="0083420E"/>
    <w:rsid w:val="008B101C"/>
    <w:rsid w:val="008F3CA3"/>
    <w:rsid w:val="00902836"/>
    <w:rsid w:val="009639C0"/>
    <w:rsid w:val="00984543"/>
    <w:rsid w:val="009C3AAE"/>
    <w:rsid w:val="009E529C"/>
    <w:rsid w:val="00A549A5"/>
    <w:rsid w:val="00A9212C"/>
    <w:rsid w:val="00B028A4"/>
    <w:rsid w:val="00B64D50"/>
    <w:rsid w:val="00B80E8B"/>
    <w:rsid w:val="00BD6B09"/>
    <w:rsid w:val="00BE7FB3"/>
    <w:rsid w:val="00C05178"/>
    <w:rsid w:val="00C36166"/>
    <w:rsid w:val="00C453C7"/>
    <w:rsid w:val="00C717A3"/>
    <w:rsid w:val="00CA2F1B"/>
    <w:rsid w:val="00CE7128"/>
    <w:rsid w:val="00CF6AEB"/>
    <w:rsid w:val="00D35D6B"/>
    <w:rsid w:val="00D44300"/>
    <w:rsid w:val="00D70F6B"/>
    <w:rsid w:val="00DA72E9"/>
    <w:rsid w:val="00E04178"/>
    <w:rsid w:val="00E46BAD"/>
    <w:rsid w:val="00E620FD"/>
    <w:rsid w:val="00E77003"/>
    <w:rsid w:val="00EB4DE0"/>
    <w:rsid w:val="00ED235A"/>
    <w:rsid w:val="00F3734E"/>
    <w:rsid w:val="00F50769"/>
    <w:rsid w:val="00F70B91"/>
    <w:rsid w:val="00FD45FA"/>
    <w:rsid w:val="00FF3D91"/>
    <w:rsid w:val="00FF4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
      <w:ind w:left="952"/>
      <w:outlineLvl w:val="0"/>
    </w:pPr>
    <w:rPr>
      <w:b/>
      <w:bCs/>
      <w:sz w:val="24"/>
      <w:szCs w:val="24"/>
    </w:rPr>
  </w:style>
  <w:style w:type="paragraph" w:styleId="Heading2">
    <w:name w:val="heading 2"/>
    <w:basedOn w:val="Normal"/>
    <w:uiPriority w:val="9"/>
    <w:unhideWhenUsed/>
    <w:qFormat/>
    <w:pPr>
      <w:ind w:left="95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72" w:hanging="360"/>
    </w:pPr>
  </w:style>
  <w:style w:type="paragraph" w:customStyle="1" w:styleId="TableParagraph">
    <w:name w:val="Table Paragraph"/>
    <w:basedOn w:val="Normal"/>
    <w:uiPriority w:val="1"/>
    <w:qFormat/>
    <w:pPr>
      <w:spacing w:before="72"/>
      <w:ind w:left="107"/>
    </w:pPr>
  </w:style>
  <w:style w:type="paragraph" w:styleId="Footer">
    <w:name w:val="footer"/>
    <w:basedOn w:val="Normal"/>
    <w:link w:val="FooterChar"/>
    <w:uiPriority w:val="99"/>
    <w:rsid w:val="0021565E"/>
    <w:pPr>
      <w:widowControl/>
      <w:tabs>
        <w:tab w:val="center" w:pos="4153"/>
        <w:tab w:val="right" w:pos="8306"/>
      </w:tabs>
      <w:autoSpaceDE/>
      <w:autoSpaceDN/>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21565E"/>
    <w:rPr>
      <w:rFonts w:ascii="Times New Roman" w:eastAsia="Times New Roman" w:hAnsi="Times New Roman" w:cs="Times New Roman"/>
      <w:sz w:val="24"/>
      <w:szCs w:val="24"/>
      <w:lang w:val="en-AU"/>
    </w:rPr>
  </w:style>
  <w:style w:type="paragraph" w:styleId="Header">
    <w:name w:val="header"/>
    <w:basedOn w:val="Normal"/>
    <w:link w:val="HeaderChar"/>
    <w:uiPriority w:val="99"/>
    <w:unhideWhenUsed/>
    <w:rsid w:val="0021565E"/>
    <w:pPr>
      <w:tabs>
        <w:tab w:val="center" w:pos="4513"/>
        <w:tab w:val="right" w:pos="9026"/>
      </w:tabs>
    </w:pPr>
  </w:style>
  <w:style w:type="character" w:customStyle="1" w:styleId="HeaderChar">
    <w:name w:val="Header Char"/>
    <w:basedOn w:val="DefaultParagraphFont"/>
    <w:link w:val="Header"/>
    <w:uiPriority w:val="99"/>
    <w:rsid w:val="0021565E"/>
    <w:rPr>
      <w:rFonts w:ascii="Arial" w:eastAsia="Arial" w:hAnsi="Arial" w:cs="Arial"/>
    </w:rPr>
  </w:style>
  <w:style w:type="character" w:styleId="Hyperlink">
    <w:name w:val="Hyperlink"/>
    <w:basedOn w:val="DefaultParagraphFont"/>
    <w:uiPriority w:val="99"/>
    <w:unhideWhenUsed/>
    <w:rsid w:val="00FF3D91"/>
    <w:rPr>
      <w:color w:val="0000FF" w:themeColor="hyperlink"/>
      <w:u w:val="single"/>
    </w:rPr>
  </w:style>
  <w:style w:type="character" w:customStyle="1" w:styleId="UnresolvedMention">
    <w:name w:val="Unresolved Mention"/>
    <w:basedOn w:val="DefaultParagraphFont"/>
    <w:uiPriority w:val="99"/>
    <w:semiHidden/>
    <w:unhideWhenUsed/>
    <w:rsid w:val="00FF3D91"/>
    <w:rPr>
      <w:color w:val="605E5C"/>
      <w:shd w:val="clear" w:color="auto" w:fill="E1DFDD"/>
    </w:rPr>
  </w:style>
  <w:style w:type="paragraph" w:styleId="Revision">
    <w:name w:val="Revision"/>
    <w:hidden/>
    <w:uiPriority w:val="99"/>
    <w:semiHidden/>
    <w:rsid w:val="0090283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2025-02-04T04:16:00Z</dcterms:created>
  <dcterms:modified xsi:type="dcterms:W3CDTF">2025-02-04T04:17:00Z</dcterms:modified>
</cp:coreProperties>
</file>