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AF2B" w14:textId="77777777" w:rsidR="00A23A63" w:rsidRPr="00EA1C21" w:rsidRDefault="00A23A63" w:rsidP="00E44DF0">
      <w:pPr>
        <w:rPr>
          <w:rFonts w:ascii="Times New Roman" w:hAnsi="Times New Roman" w:cs="Times New Roman"/>
        </w:rPr>
      </w:pPr>
      <w:bookmarkStart w:id="0" w:name="_GoBack"/>
      <w:bookmarkEnd w:id="0"/>
    </w:p>
    <w:p w14:paraId="4867067A" w14:textId="77777777" w:rsidR="00EA1C21" w:rsidRDefault="00EA1C21" w:rsidP="00E44DF0">
      <w:pPr>
        <w:rPr>
          <w:rFonts w:ascii="Times New Roman" w:hAnsi="Times New Roman" w:cs="Times New Roman"/>
        </w:rPr>
      </w:pPr>
    </w:p>
    <w:p w14:paraId="757B352D" w14:textId="77777777" w:rsidR="00EA1C21" w:rsidRDefault="00EA1C21" w:rsidP="00342B5F">
      <w:pPr>
        <w:jc w:val="right"/>
        <w:rPr>
          <w:rFonts w:ascii="Times New Roman" w:hAnsi="Times New Roman" w:cs="Times New Roman"/>
        </w:rPr>
      </w:pPr>
    </w:p>
    <w:p w14:paraId="6CE945F8" w14:textId="655562AF" w:rsidR="00EC7C14" w:rsidRDefault="00950014" w:rsidP="00AF6590">
      <w:p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</w:t>
      </w:r>
      <w:r w:rsidR="00F04B26">
        <w:rPr>
          <w:rFonts w:ascii="Times New Roman" w:hAnsi="Times New Roman" w:cs="Times New Roman"/>
        </w:rPr>
        <w:t>December 2024</w:t>
      </w:r>
    </w:p>
    <w:p w14:paraId="3F3A75E4" w14:textId="77777777" w:rsidR="00F04B26" w:rsidRDefault="00F04B26" w:rsidP="00AF6590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5A53C038" w14:textId="128AABB0" w:rsidR="00AF6590" w:rsidRPr="00EA1C21" w:rsidRDefault="00AF6590" w:rsidP="00AF6590">
      <w:pPr>
        <w:spacing w:after="0" w:line="264" w:lineRule="auto"/>
        <w:rPr>
          <w:rFonts w:ascii="Times New Roman" w:eastAsia="Times New Roman" w:hAnsi="Times New Roman" w:cs="Times New Roman"/>
        </w:rPr>
      </w:pPr>
      <w:r w:rsidRPr="00EA1C21">
        <w:rPr>
          <w:rFonts w:ascii="Times New Roman" w:eastAsia="Times New Roman" w:hAnsi="Times New Roman" w:cs="Times New Roman"/>
        </w:rPr>
        <w:t>Ms Joanna Abhayaratna</w:t>
      </w:r>
    </w:p>
    <w:p w14:paraId="5A0208D2" w14:textId="77777777" w:rsidR="00AF6590" w:rsidRPr="00EA1C21" w:rsidRDefault="00AF6590" w:rsidP="00AF6590">
      <w:pPr>
        <w:spacing w:after="0" w:line="264" w:lineRule="auto"/>
        <w:rPr>
          <w:rFonts w:ascii="Times New Roman" w:eastAsia="Times New Roman" w:hAnsi="Times New Roman" w:cs="Times New Roman"/>
        </w:rPr>
      </w:pPr>
      <w:r w:rsidRPr="00EA1C21">
        <w:rPr>
          <w:rFonts w:ascii="Times New Roman" w:eastAsia="Times New Roman" w:hAnsi="Times New Roman" w:cs="Times New Roman"/>
        </w:rPr>
        <w:t>Executive Director</w:t>
      </w:r>
    </w:p>
    <w:p w14:paraId="1B195062" w14:textId="77777777" w:rsidR="00AF6590" w:rsidRPr="00EA1C21" w:rsidRDefault="00AF6590" w:rsidP="00AF6590">
      <w:pPr>
        <w:spacing w:after="0" w:line="264" w:lineRule="auto"/>
        <w:rPr>
          <w:rFonts w:ascii="Times New Roman" w:eastAsia="Times New Roman" w:hAnsi="Times New Roman" w:cs="Times New Roman"/>
        </w:rPr>
      </w:pPr>
      <w:r w:rsidRPr="00EA1C21">
        <w:rPr>
          <w:rFonts w:ascii="Times New Roman" w:eastAsia="Times New Roman" w:hAnsi="Times New Roman" w:cs="Times New Roman"/>
        </w:rPr>
        <w:t>Office of Impact Analysis</w:t>
      </w:r>
    </w:p>
    <w:p w14:paraId="352D8F40" w14:textId="77777777" w:rsidR="00AF6590" w:rsidRPr="00EA1C21" w:rsidRDefault="00AF6590" w:rsidP="00AF6590">
      <w:pPr>
        <w:spacing w:after="0" w:line="264" w:lineRule="auto"/>
        <w:rPr>
          <w:rFonts w:ascii="Times New Roman" w:eastAsia="Times New Roman" w:hAnsi="Times New Roman" w:cs="Times New Roman"/>
        </w:rPr>
      </w:pPr>
      <w:r w:rsidRPr="00EA1C21">
        <w:rPr>
          <w:rFonts w:ascii="Times New Roman" w:eastAsia="Times New Roman" w:hAnsi="Times New Roman" w:cs="Times New Roman"/>
        </w:rPr>
        <w:t>Department of the Prime Minister and Cabinet</w:t>
      </w:r>
    </w:p>
    <w:p w14:paraId="2FDD6750" w14:textId="77777777" w:rsidR="00AF6590" w:rsidRPr="00EA1C21" w:rsidRDefault="00AF6590" w:rsidP="00AF6590">
      <w:pPr>
        <w:spacing w:after="0" w:line="264" w:lineRule="auto"/>
        <w:rPr>
          <w:rFonts w:ascii="Times New Roman" w:eastAsia="Times New Roman" w:hAnsi="Times New Roman" w:cs="Times New Roman"/>
        </w:rPr>
      </w:pPr>
      <w:r w:rsidRPr="00EA1C21">
        <w:rPr>
          <w:rFonts w:ascii="Times New Roman" w:eastAsia="Times New Roman" w:hAnsi="Times New Roman" w:cs="Times New Roman"/>
        </w:rPr>
        <w:t>1 National Circuit</w:t>
      </w:r>
    </w:p>
    <w:p w14:paraId="5BD13277" w14:textId="77777777" w:rsidR="00AF6590" w:rsidRPr="00EA1C21" w:rsidRDefault="00AF6590" w:rsidP="00AF6590">
      <w:pPr>
        <w:spacing w:after="0" w:line="264" w:lineRule="auto"/>
        <w:rPr>
          <w:rFonts w:ascii="Times New Roman" w:eastAsia="Times New Roman" w:hAnsi="Times New Roman" w:cs="Times New Roman"/>
        </w:rPr>
      </w:pPr>
      <w:r w:rsidRPr="00EA1C21">
        <w:rPr>
          <w:rFonts w:ascii="Times New Roman" w:eastAsia="Times New Roman" w:hAnsi="Times New Roman" w:cs="Times New Roman"/>
        </w:rPr>
        <w:t>BARTON ACT 2600</w:t>
      </w:r>
    </w:p>
    <w:p w14:paraId="0389E73C" w14:textId="77777777" w:rsidR="00AF6590" w:rsidRPr="00EA1C21" w:rsidRDefault="00AF6590" w:rsidP="00AF6590">
      <w:pPr>
        <w:spacing w:after="0" w:line="264" w:lineRule="auto"/>
        <w:rPr>
          <w:rFonts w:ascii="Times New Roman" w:eastAsia="Times New Roman" w:hAnsi="Times New Roman" w:cs="Times New Roman"/>
        </w:rPr>
      </w:pPr>
    </w:p>
    <w:p w14:paraId="5C78A0C4" w14:textId="4C2E1C6D" w:rsidR="00AF6590" w:rsidRPr="00EA1C21" w:rsidRDefault="00AF6590" w:rsidP="00AF6590">
      <w:pPr>
        <w:spacing w:after="0" w:line="264" w:lineRule="auto"/>
        <w:rPr>
          <w:rFonts w:ascii="Times New Roman" w:eastAsia="Times New Roman" w:hAnsi="Times New Roman" w:cs="Times New Roman"/>
        </w:rPr>
      </w:pPr>
      <w:r w:rsidRPr="00EA1C21">
        <w:rPr>
          <w:rFonts w:ascii="Times New Roman" w:eastAsia="Times New Roman" w:hAnsi="Times New Roman" w:cs="Times New Roman"/>
        </w:rPr>
        <w:t xml:space="preserve">Email: </w:t>
      </w:r>
      <w:hyperlink r:id="rId7" w:history="1">
        <w:r w:rsidRPr="00EA1C21">
          <w:rPr>
            <w:rStyle w:val="Hyperlink"/>
            <w:rFonts w:ascii="Times New Roman" w:eastAsia="Times New Roman" w:hAnsi="Times New Roman" w:cs="Times New Roman"/>
          </w:rPr>
          <w:t>Helpdesk-OIA@pmc.gov.au</w:t>
        </w:r>
      </w:hyperlink>
    </w:p>
    <w:p w14:paraId="37560E2E" w14:textId="77777777" w:rsidR="00EC7C14" w:rsidRDefault="00EC7C14" w:rsidP="00AF6590">
      <w:pPr>
        <w:spacing w:before="240" w:after="120" w:line="264" w:lineRule="auto"/>
        <w:rPr>
          <w:rFonts w:ascii="Times New Roman" w:eastAsia="Times New Roman" w:hAnsi="Times New Roman" w:cs="Times New Roman"/>
        </w:rPr>
      </w:pPr>
    </w:p>
    <w:p w14:paraId="1ABC7358" w14:textId="0D3B4F18" w:rsidR="00AF6590" w:rsidRPr="00EA1C21" w:rsidRDefault="00AF6590" w:rsidP="00EC7C14">
      <w:pPr>
        <w:spacing w:before="240" w:after="240" w:line="276" w:lineRule="auto"/>
        <w:rPr>
          <w:rFonts w:ascii="Times New Roman" w:eastAsia="Times New Roman" w:hAnsi="Times New Roman" w:cs="Times New Roman"/>
        </w:rPr>
      </w:pPr>
      <w:r w:rsidRPr="00EA1C21">
        <w:rPr>
          <w:rFonts w:ascii="Times New Roman" w:eastAsia="Times New Roman" w:hAnsi="Times New Roman" w:cs="Times New Roman"/>
        </w:rPr>
        <w:t>Dear Ms Abhayaratna</w:t>
      </w:r>
    </w:p>
    <w:p w14:paraId="4AA1BF46" w14:textId="77777777" w:rsidR="00AF6590" w:rsidRPr="00EA1C21" w:rsidRDefault="00AF6590" w:rsidP="00EC7C14">
      <w:pPr>
        <w:spacing w:before="120" w:after="240" w:line="276" w:lineRule="auto"/>
        <w:rPr>
          <w:rFonts w:ascii="Times New Roman" w:eastAsia="Times New Roman" w:hAnsi="Times New Roman" w:cs="Times New Roman"/>
          <w:b/>
        </w:rPr>
      </w:pPr>
      <w:r w:rsidRPr="00EA1C21">
        <w:rPr>
          <w:rFonts w:ascii="Times New Roman" w:eastAsia="Times New Roman" w:hAnsi="Times New Roman" w:cs="Times New Roman"/>
          <w:b/>
        </w:rPr>
        <w:t>Certification of Sunsetting Instrument</w:t>
      </w:r>
    </w:p>
    <w:p w14:paraId="3A33C522" w14:textId="6C40FEC3" w:rsidR="00AF6590" w:rsidRPr="00EA1C21" w:rsidRDefault="00AF6590" w:rsidP="00EC7C14">
      <w:pPr>
        <w:spacing w:before="120" w:after="240" w:line="276" w:lineRule="auto"/>
        <w:rPr>
          <w:rFonts w:ascii="Times New Roman" w:eastAsia="Times New Roman" w:hAnsi="Times New Roman" w:cs="Times New Roman"/>
        </w:rPr>
      </w:pPr>
      <w:r w:rsidRPr="00EA1C21">
        <w:rPr>
          <w:rFonts w:ascii="Times New Roman" w:eastAsia="Times New Roman" w:hAnsi="Times New Roman" w:cs="Times New Roman"/>
        </w:rPr>
        <w:t xml:space="preserve">I am writing to the Office of Impact Analysis (OIA) regarding the </w:t>
      </w:r>
      <w:r w:rsidRPr="00EA1C21">
        <w:rPr>
          <w:rFonts w:ascii="Times New Roman" w:hAnsi="Times New Roman" w:cs="Times New Roman"/>
        </w:rPr>
        <w:t>Family Law (Superannuation) Regulations 2001,</w:t>
      </w:r>
      <w:r w:rsidRPr="00EA1C21">
        <w:rPr>
          <w:rFonts w:ascii="Times New Roman" w:eastAsia="Times New Roman" w:hAnsi="Times New Roman" w:cs="Times New Roman"/>
        </w:rPr>
        <w:t xml:space="preserve"> which, as per the </w:t>
      </w:r>
      <w:r w:rsidRPr="00EA1C21">
        <w:rPr>
          <w:rFonts w:ascii="Times New Roman" w:eastAsia="Times New Roman" w:hAnsi="Times New Roman" w:cs="Times New Roman"/>
          <w:i/>
        </w:rPr>
        <w:t>Legislation Act 2003</w:t>
      </w:r>
      <w:r w:rsidR="0050162F" w:rsidRPr="00EA1C21">
        <w:rPr>
          <w:rFonts w:ascii="Times New Roman" w:eastAsia="Times New Roman" w:hAnsi="Times New Roman" w:cs="Times New Roman"/>
        </w:rPr>
        <w:t xml:space="preserve"> and the Legislation (</w:t>
      </w:r>
      <w:r w:rsidR="00997735" w:rsidRPr="00EA1C21">
        <w:rPr>
          <w:rFonts w:ascii="Times New Roman" w:eastAsia="Times New Roman" w:hAnsi="Times New Roman" w:cs="Times New Roman"/>
        </w:rPr>
        <w:t>D</w:t>
      </w:r>
      <w:r w:rsidR="0050162F" w:rsidRPr="00EA1C21">
        <w:rPr>
          <w:rFonts w:ascii="Times New Roman" w:eastAsia="Times New Roman" w:hAnsi="Times New Roman" w:cs="Times New Roman"/>
        </w:rPr>
        <w:t>eferral of Sunsettin</w:t>
      </w:r>
      <w:r w:rsidR="00997735" w:rsidRPr="00EA1C21">
        <w:rPr>
          <w:rFonts w:ascii="Times New Roman" w:eastAsia="Times New Roman" w:hAnsi="Times New Roman" w:cs="Times New Roman"/>
        </w:rPr>
        <w:t>g—Family</w:t>
      </w:r>
      <w:r w:rsidR="0050162F" w:rsidRPr="00EA1C21">
        <w:rPr>
          <w:rFonts w:ascii="Times New Roman" w:eastAsia="Times New Roman" w:hAnsi="Times New Roman" w:cs="Times New Roman"/>
        </w:rPr>
        <w:t xml:space="preserve"> Law Instruments) Certificate 2022</w:t>
      </w:r>
      <w:r w:rsidR="00997735" w:rsidRPr="00EA1C21">
        <w:rPr>
          <w:rFonts w:ascii="Times New Roman" w:eastAsia="Times New Roman" w:hAnsi="Times New Roman" w:cs="Times New Roman"/>
        </w:rPr>
        <w:t xml:space="preserve">, </w:t>
      </w:r>
      <w:r w:rsidRPr="00EA1C21">
        <w:rPr>
          <w:rFonts w:ascii="Times New Roman" w:eastAsia="Times New Roman" w:hAnsi="Times New Roman" w:cs="Times New Roman"/>
        </w:rPr>
        <w:t>had been scheduled to sunset on</w:t>
      </w:r>
      <w:r w:rsidR="0050162F" w:rsidRPr="00EA1C21">
        <w:rPr>
          <w:rFonts w:ascii="Times New Roman" w:eastAsia="Times New Roman" w:hAnsi="Times New Roman" w:cs="Times New Roman"/>
        </w:rPr>
        <w:t xml:space="preserve"> 1 April 2025</w:t>
      </w:r>
      <w:r w:rsidRPr="00EA1C21">
        <w:rPr>
          <w:rFonts w:ascii="Times New Roman" w:eastAsia="Times New Roman" w:hAnsi="Times New Roman" w:cs="Times New Roman"/>
        </w:rPr>
        <w:t>.</w:t>
      </w:r>
      <w:r w:rsidR="0050162F" w:rsidRPr="00EA1C21">
        <w:rPr>
          <w:rFonts w:ascii="Times New Roman" w:eastAsia="Times New Roman" w:hAnsi="Times New Roman" w:cs="Times New Roman"/>
        </w:rPr>
        <w:t xml:space="preserve"> </w:t>
      </w:r>
      <w:r w:rsidRPr="00EA1C21">
        <w:rPr>
          <w:rFonts w:ascii="Times New Roman" w:eastAsia="Times New Roman" w:hAnsi="Times New Roman" w:cs="Times New Roman"/>
        </w:rPr>
        <w:t xml:space="preserve">However, </w:t>
      </w:r>
      <w:r w:rsidR="009F4B05">
        <w:rPr>
          <w:rFonts w:ascii="Times New Roman" w:eastAsia="Times New Roman" w:hAnsi="Times New Roman" w:cs="Times New Roman"/>
        </w:rPr>
        <w:t xml:space="preserve">the </w:t>
      </w:r>
      <w:r w:rsidR="00FE72B7" w:rsidRPr="00EA1C21">
        <w:rPr>
          <w:rFonts w:ascii="Times New Roman" w:eastAsia="Times New Roman" w:hAnsi="Times New Roman" w:cs="Times New Roman"/>
        </w:rPr>
        <w:t xml:space="preserve">Attorney-General’s Department (the department) </w:t>
      </w:r>
      <w:r w:rsidR="009F4B05">
        <w:rPr>
          <w:rFonts w:ascii="Times New Roman" w:eastAsia="Times New Roman" w:hAnsi="Times New Roman" w:cs="Times New Roman"/>
        </w:rPr>
        <w:t>proposes</w:t>
      </w:r>
      <w:r w:rsidRPr="00EA1C21">
        <w:rPr>
          <w:rFonts w:ascii="Times New Roman" w:eastAsia="Times New Roman" w:hAnsi="Times New Roman" w:cs="Times New Roman"/>
        </w:rPr>
        <w:t xml:space="preserve"> that the instrument be remade without significant amendment. </w:t>
      </w:r>
    </w:p>
    <w:p w14:paraId="6F1E87FC" w14:textId="53D2A2E1" w:rsidR="00AF6590" w:rsidRPr="00EA1C21" w:rsidRDefault="00AF6590" w:rsidP="00EC7C14">
      <w:pPr>
        <w:spacing w:before="120" w:after="240" w:line="276" w:lineRule="auto"/>
        <w:rPr>
          <w:rFonts w:ascii="Times New Roman" w:eastAsia="Times New Roman" w:hAnsi="Times New Roman" w:cs="Times New Roman"/>
        </w:rPr>
      </w:pPr>
      <w:r w:rsidRPr="00EA1C21">
        <w:rPr>
          <w:rFonts w:ascii="Times New Roman" w:eastAsia="Times New Roman" w:hAnsi="Times New Roman" w:cs="Times New Roman"/>
        </w:rPr>
        <w:t>The</w:t>
      </w:r>
      <w:r w:rsidR="0050162F" w:rsidRPr="00EA1C21">
        <w:rPr>
          <w:rFonts w:ascii="Times New Roman" w:eastAsia="Times New Roman" w:hAnsi="Times New Roman" w:cs="Times New Roman"/>
        </w:rPr>
        <w:t xml:space="preserve"> department </w:t>
      </w:r>
      <w:r w:rsidRPr="00EA1C21">
        <w:rPr>
          <w:rFonts w:ascii="Times New Roman" w:eastAsia="Times New Roman" w:hAnsi="Times New Roman" w:cs="Times New Roman"/>
        </w:rPr>
        <w:t>certifies that</w:t>
      </w:r>
      <w:r w:rsidR="0050162F" w:rsidRPr="00EA1C21">
        <w:rPr>
          <w:rFonts w:ascii="Times New Roman" w:eastAsia="Times New Roman" w:hAnsi="Times New Roman" w:cs="Times New Roman"/>
        </w:rPr>
        <w:t xml:space="preserve"> the Family Law (Superannuation) Regulations 2001</w:t>
      </w:r>
      <w:r w:rsidR="00975A18">
        <w:rPr>
          <w:rFonts w:ascii="Times New Roman" w:eastAsia="Times New Roman" w:hAnsi="Times New Roman" w:cs="Times New Roman"/>
        </w:rPr>
        <w:t xml:space="preserve"> (FLS</w:t>
      </w:r>
      <w:r w:rsidR="00637BBF">
        <w:rPr>
          <w:rFonts w:ascii="Times New Roman" w:eastAsia="Times New Roman" w:hAnsi="Times New Roman" w:cs="Times New Roman"/>
        </w:rPr>
        <w:t> </w:t>
      </w:r>
      <w:r w:rsidR="00975A18">
        <w:rPr>
          <w:rFonts w:ascii="Times New Roman" w:eastAsia="Times New Roman" w:hAnsi="Times New Roman" w:cs="Times New Roman"/>
        </w:rPr>
        <w:t>Regulations)</w:t>
      </w:r>
      <w:r w:rsidR="0050162F" w:rsidRPr="00EA1C21">
        <w:rPr>
          <w:rFonts w:ascii="Times New Roman" w:eastAsia="Times New Roman" w:hAnsi="Times New Roman" w:cs="Times New Roman"/>
        </w:rPr>
        <w:t xml:space="preserve"> </w:t>
      </w:r>
      <w:r w:rsidR="00997735" w:rsidRPr="00EA1C21">
        <w:rPr>
          <w:rFonts w:ascii="Times New Roman" w:eastAsia="Times New Roman" w:hAnsi="Times New Roman" w:cs="Times New Roman"/>
        </w:rPr>
        <w:t>are</w:t>
      </w:r>
      <w:r w:rsidRPr="00EA1C21">
        <w:rPr>
          <w:rFonts w:ascii="Times New Roman" w:eastAsia="Times New Roman" w:hAnsi="Times New Roman" w:cs="Times New Roman"/>
        </w:rPr>
        <w:t xml:space="preserve"> operating effectively and efficiently, and therefore an Impact Analysis is not required for this legislation to be remade. </w:t>
      </w:r>
    </w:p>
    <w:p w14:paraId="0153B833" w14:textId="2B38A037" w:rsidR="00AF6590" w:rsidRPr="00EA1C21" w:rsidRDefault="00AF6590" w:rsidP="00EC7C14">
      <w:pPr>
        <w:spacing w:before="120" w:after="240" w:line="276" w:lineRule="auto"/>
        <w:rPr>
          <w:rFonts w:ascii="Times New Roman" w:eastAsia="Times New Roman" w:hAnsi="Times New Roman" w:cs="Times New Roman"/>
        </w:rPr>
      </w:pPr>
      <w:r w:rsidRPr="00EA1C21">
        <w:rPr>
          <w:rFonts w:ascii="Times New Roman" w:eastAsia="Times New Roman" w:hAnsi="Times New Roman" w:cs="Times New Roman"/>
        </w:rPr>
        <w:t>The assessment that the legislation is operating effectively and efficiently has been informed by</w:t>
      </w:r>
      <w:r w:rsidR="00D13B21">
        <w:rPr>
          <w:rFonts w:ascii="Times New Roman" w:eastAsia="Times New Roman" w:hAnsi="Times New Roman" w:cs="Times New Roman"/>
        </w:rPr>
        <w:t xml:space="preserve"> a</w:t>
      </w:r>
      <w:r w:rsidRPr="00EA1C21">
        <w:rPr>
          <w:rFonts w:ascii="Times New Roman" w:eastAsia="Times New Roman" w:hAnsi="Times New Roman" w:cs="Times New Roman"/>
        </w:rPr>
        <w:t xml:space="preserve"> consultation process which invol</w:t>
      </w:r>
      <w:r w:rsidR="001C19FE">
        <w:rPr>
          <w:rFonts w:ascii="Times New Roman" w:eastAsia="Times New Roman" w:hAnsi="Times New Roman" w:cs="Times New Roman"/>
        </w:rPr>
        <w:t>ved the Treasury, the Australian Government Actuary, the Australian Taxation Office, the Australian Prudential Regulation Authority</w:t>
      </w:r>
      <w:r w:rsidRPr="00EA1C21">
        <w:rPr>
          <w:rFonts w:ascii="Times New Roman" w:eastAsia="Times New Roman" w:hAnsi="Times New Roman" w:cs="Times New Roman"/>
        </w:rPr>
        <w:t xml:space="preserve">, </w:t>
      </w:r>
      <w:r w:rsidR="001C19FE">
        <w:rPr>
          <w:rFonts w:ascii="Times New Roman" w:eastAsia="Times New Roman" w:hAnsi="Times New Roman" w:cs="Times New Roman"/>
        </w:rPr>
        <w:t>the Department of Finance</w:t>
      </w:r>
      <w:r w:rsidR="009F54B5">
        <w:rPr>
          <w:rFonts w:ascii="Times New Roman" w:eastAsia="Times New Roman" w:hAnsi="Times New Roman" w:cs="Times New Roman"/>
        </w:rPr>
        <w:t>,</w:t>
      </w:r>
      <w:r w:rsidR="00D13B21">
        <w:rPr>
          <w:rFonts w:ascii="Times New Roman" w:eastAsia="Times New Roman" w:hAnsi="Times New Roman" w:cs="Times New Roman"/>
        </w:rPr>
        <w:t xml:space="preserve"> </w:t>
      </w:r>
      <w:r w:rsidR="001C19FE">
        <w:rPr>
          <w:rFonts w:ascii="Times New Roman" w:eastAsia="Times New Roman" w:hAnsi="Times New Roman" w:cs="Times New Roman"/>
        </w:rPr>
        <w:t>the Department of Defence</w:t>
      </w:r>
      <w:r w:rsidR="00D13B21">
        <w:rPr>
          <w:rFonts w:ascii="Times New Roman" w:eastAsia="Times New Roman" w:hAnsi="Times New Roman" w:cs="Times New Roman"/>
        </w:rPr>
        <w:t>, and superannuation trustees, accountants, actuaries and legal practitioners</w:t>
      </w:r>
      <w:r w:rsidR="001C19FE">
        <w:rPr>
          <w:rFonts w:ascii="Times New Roman" w:eastAsia="Times New Roman" w:hAnsi="Times New Roman" w:cs="Times New Roman"/>
        </w:rPr>
        <w:t xml:space="preserve">. Public consultation on an exposure draft of the </w:t>
      </w:r>
      <w:r w:rsidR="00637BBF">
        <w:rPr>
          <w:rFonts w:ascii="Times New Roman" w:eastAsia="Times New Roman" w:hAnsi="Times New Roman" w:cs="Times New Roman"/>
        </w:rPr>
        <w:t xml:space="preserve">proposed </w:t>
      </w:r>
      <w:r w:rsidR="00D21506">
        <w:rPr>
          <w:rFonts w:ascii="Times New Roman" w:eastAsia="Times New Roman" w:hAnsi="Times New Roman" w:cs="Times New Roman"/>
        </w:rPr>
        <w:t xml:space="preserve">new </w:t>
      </w:r>
      <w:r w:rsidR="00975A18">
        <w:rPr>
          <w:rFonts w:ascii="Times New Roman" w:eastAsia="Times New Roman" w:hAnsi="Times New Roman" w:cs="Times New Roman"/>
        </w:rPr>
        <w:t>FLS R</w:t>
      </w:r>
      <w:r w:rsidR="001C19FE">
        <w:rPr>
          <w:rFonts w:ascii="Times New Roman" w:eastAsia="Times New Roman" w:hAnsi="Times New Roman" w:cs="Times New Roman"/>
        </w:rPr>
        <w:t xml:space="preserve">egulations was </w:t>
      </w:r>
      <w:r w:rsidR="009F54B5">
        <w:rPr>
          <w:rFonts w:ascii="Times New Roman" w:eastAsia="Times New Roman" w:hAnsi="Times New Roman" w:cs="Times New Roman"/>
        </w:rPr>
        <w:t>undertaken</w:t>
      </w:r>
      <w:r w:rsidR="001C19FE">
        <w:rPr>
          <w:rFonts w:ascii="Times New Roman" w:eastAsia="Times New Roman" w:hAnsi="Times New Roman" w:cs="Times New Roman"/>
        </w:rPr>
        <w:t xml:space="preserve"> for</w:t>
      </w:r>
      <w:r w:rsidRPr="00EA1C21">
        <w:rPr>
          <w:rFonts w:ascii="Times New Roman" w:eastAsia="Times New Roman" w:hAnsi="Times New Roman" w:cs="Times New Roman"/>
        </w:rPr>
        <w:t xml:space="preserve"> the period</w:t>
      </w:r>
      <w:r w:rsidR="00D13852">
        <w:rPr>
          <w:rFonts w:ascii="Times New Roman" w:eastAsia="Times New Roman" w:hAnsi="Times New Roman" w:cs="Times New Roman"/>
        </w:rPr>
        <w:t xml:space="preserve"> 14 March to</w:t>
      </w:r>
      <w:r w:rsidR="001C19FE">
        <w:rPr>
          <w:rFonts w:ascii="Times New Roman" w:eastAsia="Times New Roman" w:hAnsi="Times New Roman" w:cs="Times New Roman"/>
        </w:rPr>
        <w:t xml:space="preserve"> 26 April 2024</w:t>
      </w:r>
      <w:r w:rsidR="007F18D2">
        <w:rPr>
          <w:rFonts w:ascii="Times New Roman" w:eastAsia="Times New Roman" w:hAnsi="Times New Roman" w:cs="Times New Roman"/>
        </w:rPr>
        <w:t xml:space="preserve">. </w:t>
      </w:r>
      <w:r w:rsidR="00975A18">
        <w:rPr>
          <w:rFonts w:ascii="Times New Roman" w:eastAsia="Times New Roman" w:hAnsi="Times New Roman" w:cs="Times New Roman"/>
        </w:rPr>
        <w:t>The department received 10 submissions</w:t>
      </w:r>
      <w:r w:rsidR="00D13B21">
        <w:rPr>
          <w:rFonts w:ascii="Times New Roman" w:eastAsia="Times New Roman" w:hAnsi="Times New Roman" w:cs="Times New Roman"/>
        </w:rPr>
        <w:t xml:space="preserve"> during this consultation, which</w:t>
      </w:r>
      <w:r w:rsidR="00975A18">
        <w:rPr>
          <w:rFonts w:ascii="Times New Roman" w:eastAsia="Times New Roman" w:hAnsi="Times New Roman" w:cs="Times New Roman"/>
        </w:rPr>
        <w:t xml:space="preserve"> provided helpful, technical suggestions to support improvements to the proposed new regulations</w:t>
      </w:r>
      <w:r w:rsidR="00D13B21">
        <w:rPr>
          <w:rFonts w:ascii="Times New Roman" w:eastAsia="Times New Roman" w:hAnsi="Times New Roman" w:cs="Times New Roman"/>
        </w:rPr>
        <w:t>.</w:t>
      </w:r>
      <w:r w:rsidR="00975A18">
        <w:rPr>
          <w:rFonts w:ascii="Times New Roman" w:eastAsia="Times New Roman" w:hAnsi="Times New Roman" w:cs="Times New Roman"/>
        </w:rPr>
        <w:t xml:space="preserve"> </w:t>
      </w:r>
      <w:r w:rsidR="00D13B21">
        <w:rPr>
          <w:rFonts w:ascii="Times New Roman" w:eastAsia="Times New Roman" w:hAnsi="Times New Roman" w:cs="Times New Roman"/>
        </w:rPr>
        <w:t>N</w:t>
      </w:r>
      <w:r w:rsidR="00975A18">
        <w:rPr>
          <w:rFonts w:ascii="Times New Roman" w:eastAsia="Times New Roman" w:hAnsi="Times New Roman" w:cs="Times New Roman"/>
        </w:rPr>
        <w:t>o submissions raised concerns with the overall policy intent of maintaining substantially the same framework set out by the existing FLS Regulations.</w:t>
      </w:r>
    </w:p>
    <w:p w14:paraId="03CE3481" w14:textId="25765912" w:rsidR="00AF6590" w:rsidRPr="00EA1C21" w:rsidRDefault="00AF6590" w:rsidP="00EC7C14">
      <w:pPr>
        <w:spacing w:before="120" w:after="240" w:line="276" w:lineRule="auto"/>
        <w:rPr>
          <w:rFonts w:ascii="Times New Roman" w:eastAsia="Times New Roman" w:hAnsi="Times New Roman" w:cs="Times New Roman"/>
        </w:rPr>
      </w:pPr>
      <w:r w:rsidRPr="00EA1C21">
        <w:rPr>
          <w:rFonts w:ascii="Times New Roman" w:eastAsia="Times New Roman" w:hAnsi="Times New Roman" w:cs="Times New Roman"/>
        </w:rPr>
        <w:t>I also note that the regulatory burden to people, business, or community organisations has been quantified using the Australian Government’s Regulatory Burden Measurement framework. Th</w:t>
      </w:r>
      <w:r w:rsidR="002A3CDD">
        <w:rPr>
          <w:rFonts w:ascii="Times New Roman" w:eastAsia="Times New Roman" w:hAnsi="Times New Roman" w:cs="Times New Roman"/>
        </w:rPr>
        <w:t>e</w:t>
      </w:r>
      <w:r w:rsidRPr="00EA1C21">
        <w:rPr>
          <w:rFonts w:ascii="Times New Roman" w:eastAsia="Times New Roman" w:hAnsi="Times New Roman" w:cs="Times New Roman"/>
        </w:rPr>
        <w:t xml:space="preserve"> </w:t>
      </w:r>
      <w:r w:rsidR="002A3CDD">
        <w:rPr>
          <w:rFonts w:ascii="Times New Roman" w:eastAsia="Times New Roman" w:hAnsi="Times New Roman" w:cs="Times New Roman"/>
        </w:rPr>
        <w:t xml:space="preserve">annual regulatory costs </w:t>
      </w:r>
      <w:r w:rsidRPr="00EA1C21">
        <w:rPr>
          <w:rFonts w:ascii="Times New Roman" w:eastAsia="Times New Roman" w:hAnsi="Times New Roman" w:cs="Times New Roman"/>
        </w:rPr>
        <w:t>are provided below.</w:t>
      </w:r>
    </w:p>
    <w:p w14:paraId="5F02A27F" w14:textId="77777777" w:rsidR="00EC7C14" w:rsidRDefault="00EC7C14" w:rsidP="00EC7C14">
      <w:pPr>
        <w:spacing w:before="120" w:after="240" w:line="276" w:lineRule="auto"/>
        <w:rPr>
          <w:rFonts w:ascii="Times New Roman" w:eastAsia="Times New Roman" w:hAnsi="Times New Roman" w:cs="Times New Roman"/>
          <w:b/>
        </w:rPr>
      </w:pPr>
    </w:p>
    <w:p w14:paraId="195F7CED" w14:textId="77777777" w:rsidR="00EC7C14" w:rsidRDefault="00EC7C14" w:rsidP="00EC7C14">
      <w:pPr>
        <w:spacing w:before="120" w:after="240" w:line="276" w:lineRule="auto"/>
        <w:rPr>
          <w:rFonts w:ascii="Times New Roman" w:eastAsia="Times New Roman" w:hAnsi="Times New Roman" w:cs="Times New Roman"/>
          <w:b/>
        </w:rPr>
      </w:pPr>
    </w:p>
    <w:p w14:paraId="18C0E048" w14:textId="0320B8D5" w:rsidR="00AF6590" w:rsidRPr="00975A18" w:rsidRDefault="00AF6590" w:rsidP="00EC7C14">
      <w:pPr>
        <w:spacing w:before="120" w:after="240" w:line="276" w:lineRule="auto"/>
        <w:rPr>
          <w:rFonts w:ascii="Times New Roman" w:eastAsia="Times New Roman" w:hAnsi="Times New Roman" w:cs="Times New Roman"/>
          <w:b/>
        </w:rPr>
      </w:pPr>
      <w:r w:rsidRPr="00975A18">
        <w:rPr>
          <w:rFonts w:ascii="Times New Roman" w:eastAsia="Times New Roman" w:hAnsi="Times New Roman" w:cs="Times New Roman"/>
          <w:b/>
        </w:rPr>
        <w:lastRenderedPageBreak/>
        <w:t>Average annual regulatory costs (from business as usual)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  <w:tblDescription w:val="Table 1: Regulatory burden estimate template"/>
      </w:tblPr>
      <w:tblGrid>
        <w:gridCol w:w="2009"/>
        <w:gridCol w:w="1734"/>
        <w:gridCol w:w="1872"/>
        <w:gridCol w:w="1872"/>
        <w:gridCol w:w="1873"/>
      </w:tblGrid>
      <w:tr w:rsidR="00AF6590" w:rsidRPr="00EA1C21" w14:paraId="71E1AF36" w14:textId="77777777" w:rsidTr="00F92130">
        <w:trPr>
          <w:trHeight w:val="300"/>
        </w:trPr>
        <w:tc>
          <w:tcPr>
            <w:tcW w:w="2009" w:type="dxa"/>
            <w:noWrap/>
            <w:hideMark/>
          </w:tcPr>
          <w:p w14:paraId="3A68D799" w14:textId="77777777" w:rsidR="00AF6590" w:rsidRPr="00EA1C21" w:rsidRDefault="00AF6590" w:rsidP="00EC7C14">
            <w:pPr>
              <w:spacing w:before="120" w:after="24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EA1C21">
              <w:rPr>
                <w:rFonts w:ascii="Times New Roman" w:hAnsi="Times New Roman" w:cs="Times New Roman"/>
                <w:b/>
              </w:rPr>
              <w:t>Change in costs ($ million)</w:t>
            </w:r>
          </w:p>
        </w:tc>
        <w:tc>
          <w:tcPr>
            <w:tcW w:w="1734" w:type="dxa"/>
            <w:noWrap/>
            <w:hideMark/>
          </w:tcPr>
          <w:p w14:paraId="6323CDF2" w14:textId="77777777" w:rsidR="00AF6590" w:rsidRPr="00EA1C21" w:rsidRDefault="00AF6590" w:rsidP="00EC7C14">
            <w:pPr>
              <w:spacing w:before="120" w:after="240" w:line="276" w:lineRule="auto"/>
              <w:rPr>
                <w:rFonts w:ascii="Times New Roman" w:hAnsi="Times New Roman" w:cs="Times New Roman"/>
                <w:b/>
              </w:rPr>
            </w:pPr>
            <w:r w:rsidRPr="00EA1C21">
              <w:rPr>
                <w:rFonts w:ascii="Times New Roman" w:hAnsi="Times New Roman" w:cs="Times New Roman"/>
                <w:b/>
              </w:rPr>
              <w:t>Business</w:t>
            </w:r>
          </w:p>
        </w:tc>
        <w:tc>
          <w:tcPr>
            <w:tcW w:w="1872" w:type="dxa"/>
            <w:noWrap/>
            <w:hideMark/>
          </w:tcPr>
          <w:p w14:paraId="6FA0A643" w14:textId="77777777" w:rsidR="00AF6590" w:rsidRPr="00EA1C21" w:rsidRDefault="00AF6590" w:rsidP="00EC7C14">
            <w:pPr>
              <w:spacing w:before="120" w:after="240" w:line="276" w:lineRule="auto"/>
              <w:rPr>
                <w:rFonts w:ascii="Times New Roman" w:hAnsi="Times New Roman" w:cs="Times New Roman"/>
                <w:b/>
              </w:rPr>
            </w:pPr>
            <w:r w:rsidRPr="00EA1C21">
              <w:rPr>
                <w:rFonts w:ascii="Times New Roman" w:hAnsi="Times New Roman" w:cs="Times New Roman"/>
                <w:b/>
              </w:rPr>
              <w:t>Community organisations</w:t>
            </w:r>
          </w:p>
        </w:tc>
        <w:tc>
          <w:tcPr>
            <w:tcW w:w="1872" w:type="dxa"/>
            <w:noWrap/>
            <w:hideMark/>
          </w:tcPr>
          <w:p w14:paraId="01174105" w14:textId="77777777" w:rsidR="00AF6590" w:rsidRPr="00EA1C21" w:rsidRDefault="00AF6590" w:rsidP="00EC7C14">
            <w:pPr>
              <w:spacing w:before="120" w:after="240" w:line="276" w:lineRule="auto"/>
              <w:rPr>
                <w:rFonts w:ascii="Times New Roman" w:hAnsi="Times New Roman" w:cs="Times New Roman"/>
                <w:b/>
              </w:rPr>
            </w:pPr>
            <w:r w:rsidRPr="00EA1C21">
              <w:rPr>
                <w:rFonts w:ascii="Times New Roman" w:hAnsi="Times New Roman" w:cs="Times New Roman"/>
                <w:b/>
              </w:rPr>
              <w:t>People</w:t>
            </w:r>
          </w:p>
        </w:tc>
        <w:tc>
          <w:tcPr>
            <w:tcW w:w="1873" w:type="dxa"/>
            <w:noWrap/>
            <w:hideMark/>
          </w:tcPr>
          <w:p w14:paraId="742606D9" w14:textId="77777777" w:rsidR="00AF6590" w:rsidRPr="00EA1C21" w:rsidRDefault="00AF6590" w:rsidP="00EC7C14">
            <w:pPr>
              <w:spacing w:before="120" w:after="240" w:line="276" w:lineRule="auto"/>
              <w:rPr>
                <w:rFonts w:ascii="Times New Roman" w:hAnsi="Times New Roman" w:cs="Times New Roman"/>
                <w:b/>
              </w:rPr>
            </w:pPr>
            <w:r w:rsidRPr="00EA1C21">
              <w:rPr>
                <w:rFonts w:ascii="Times New Roman" w:hAnsi="Times New Roman" w:cs="Times New Roman"/>
                <w:b/>
              </w:rPr>
              <w:t>Total change in costs</w:t>
            </w:r>
          </w:p>
        </w:tc>
      </w:tr>
      <w:tr w:rsidR="00F92130" w:rsidRPr="00EA1C21" w14:paraId="6E50F369" w14:textId="77777777" w:rsidTr="00F92130">
        <w:trPr>
          <w:trHeight w:val="300"/>
        </w:trPr>
        <w:tc>
          <w:tcPr>
            <w:tcW w:w="2009" w:type="dxa"/>
            <w:noWrap/>
            <w:hideMark/>
          </w:tcPr>
          <w:p w14:paraId="7A0BA413" w14:textId="6E505C85" w:rsidR="00F92130" w:rsidRPr="00EA1C21" w:rsidRDefault="00F92130" w:rsidP="00EC7C14">
            <w:pPr>
              <w:spacing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$1.</w:t>
            </w:r>
            <w:r w:rsidR="00F26F70">
              <w:rPr>
                <w:rFonts w:ascii="Times New Roman" w:hAnsi="Times New Roman" w:cs="Times New Roman"/>
              </w:rPr>
              <w:t>08</w:t>
            </w:r>
            <w:r w:rsidR="003A4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4" w:type="dxa"/>
            <w:noWrap/>
            <w:hideMark/>
          </w:tcPr>
          <w:p w14:paraId="2BA257AD" w14:textId="67F93BE2" w:rsidR="00F92130" w:rsidRPr="00EA1C21" w:rsidRDefault="00F92130" w:rsidP="00EC7C14">
            <w:pPr>
              <w:spacing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$1.08</w:t>
            </w:r>
            <w:r w:rsidR="003A4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2" w:type="dxa"/>
            <w:noWrap/>
            <w:hideMark/>
          </w:tcPr>
          <w:p w14:paraId="0E0A5B8C" w14:textId="643B9333" w:rsidR="00F92130" w:rsidRPr="00EA1C21" w:rsidRDefault="00F92130" w:rsidP="00EC7C14">
            <w:pPr>
              <w:spacing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$NIL</w:t>
            </w:r>
          </w:p>
        </w:tc>
        <w:tc>
          <w:tcPr>
            <w:tcW w:w="1872" w:type="dxa"/>
            <w:noWrap/>
            <w:hideMark/>
          </w:tcPr>
          <w:p w14:paraId="3E66B937" w14:textId="2EA73803" w:rsidR="00F92130" w:rsidRPr="00EA1C21" w:rsidRDefault="00F92130" w:rsidP="00EC7C14">
            <w:pPr>
              <w:spacing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F26F70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1873" w:type="dxa"/>
            <w:noWrap/>
            <w:hideMark/>
          </w:tcPr>
          <w:p w14:paraId="05DC4508" w14:textId="7E869625" w:rsidR="00F92130" w:rsidRPr="00EA1C21" w:rsidRDefault="00F92130" w:rsidP="00EC7C14">
            <w:pPr>
              <w:spacing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$1.</w:t>
            </w:r>
            <w:r w:rsidR="00F26F70">
              <w:rPr>
                <w:rFonts w:ascii="Times New Roman" w:hAnsi="Times New Roman" w:cs="Times New Roman"/>
              </w:rPr>
              <w:t>08</w:t>
            </w:r>
            <w:r w:rsidR="003A4047">
              <w:rPr>
                <w:rFonts w:ascii="Times New Roman" w:hAnsi="Times New Roman" w:cs="Times New Roman"/>
              </w:rPr>
              <w:t>7</w:t>
            </w:r>
          </w:p>
        </w:tc>
      </w:tr>
    </w:tbl>
    <w:p w14:paraId="60EE4303" w14:textId="008BEBAD" w:rsidR="00971672" w:rsidRDefault="00AF6590" w:rsidP="00BC7159">
      <w:pPr>
        <w:spacing w:before="120" w:after="240" w:line="276" w:lineRule="auto"/>
        <w:rPr>
          <w:rFonts w:ascii="Times New Roman" w:eastAsia="Times New Roman" w:hAnsi="Times New Roman" w:cs="Times New Roman"/>
        </w:rPr>
      </w:pPr>
      <w:r w:rsidRPr="00EA1C21">
        <w:rPr>
          <w:rFonts w:ascii="Times New Roman" w:eastAsia="Times New Roman" w:hAnsi="Times New Roman" w:cs="Times New Roman"/>
        </w:rPr>
        <w:t>I acknowledge that the OIA will publish this letter for transparency purposes.</w:t>
      </w:r>
    </w:p>
    <w:p w14:paraId="2030870B" w14:textId="38C10BCB" w:rsidR="00AF6590" w:rsidRPr="00EA1C21" w:rsidRDefault="00AF6590" w:rsidP="00EC7C14">
      <w:pPr>
        <w:spacing w:before="240" w:after="240" w:line="276" w:lineRule="auto"/>
        <w:rPr>
          <w:rFonts w:ascii="Times New Roman" w:eastAsia="Times New Roman" w:hAnsi="Times New Roman" w:cs="Times New Roman"/>
        </w:rPr>
      </w:pPr>
      <w:r w:rsidRPr="00EA1C21">
        <w:rPr>
          <w:rFonts w:ascii="Times New Roman" w:eastAsia="Times New Roman" w:hAnsi="Times New Roman" w:cs="Times New Roman"/>
        </w:rPr>
        <w:t>Yours sincerely</w:t>
      </w:r>
    </w:p>
    <w:p w14:paraId="1A3CB9DC" w14:textId="26B2FAC6" w:rsidR="00F2744B" w:rsidRDefault="00F2744B" w:rsidP="00EC7C14">
      <w:pPr>
        <w:spacing w:after="240" w:line="276" w:lineRule="auto"/>
        <w:rPr>
          <w:rFonts w:ascii="Times New Roman" w:eastAsia="Times New Roman" w:hAnsi="Times New Roman" w:cs="Times New Roman"/>
        </w:rPr>
      </w:pPr>
    </w:p>
    <w:p w14:paraId="3B4B4D34" w14:textId="77777777" w:rsidR="00F2744B" w:rsidRPr="00F2744B" w:rsidRDefault="00F2744B" w:rsidP="00EC7C14">
      <w:pPr>
        <w:spacing w:after="240" w:line="276" w:lineRule="auto"/>
        <w:rPr>
          <w:rFonts w:ascii="Times New Roman" w:eastAsia="Times New Roman" w:hAnsi="Times New Roman" w:cs="Times New Roman"/>
        </w:rPr>
      </w:pPr>
    </w:p>
    <w:p w14:paraId="62419141" w14:textId="798BB68D" w:rsidR="008A74FC" w:rsidRPr="00F2744B" w:rsidRDefault="0059630F" w:rsidP="00971672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 Collett</w:t>
      </w:r>
    </w:p>
    <w:p w14:paraId="086E5C82" w14:textId="35FC68DF" w:rsidR="008A74FC" w:rsidRPr="00F2744B" w:rsidRDefault="0059630F" w:rsidP="00971672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A/g </w:t>
      </w:r>
      <w:r w:rsidR="008A74FC" w:rsidRPr="00F2744B">
        <w:rPr>
          <w:rFonts w:ascii="Times New Roman" w:eastAsia="Times New Roman" w:hAnsi="Times New Roman" w:cs="Times New Roman"/>
        </w:rPr>
        <w:t>Deputy Secretary</w:t>
      </w:r>
    </w:p>
    <w:p w14:paraId="7B857377" w14:textId="300D00B1" w:rsidR="00AF6590" w:rsidRPr="00F2744B" w:rsidRDefault="008A74FC" w:rsidP="0097167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F2744B">
        <w:rPr>
          <w:rFonts w:ascii="Times New Roman" w:eastAsia="Times New Roman" w:hAnsi="Times New Roman" w:cs="Times New Roman"/>
        </w:rPr>
        <w:t xml:space="preserve">Attorney-General’s Department </w:t>
      </w:r>
    </w:p>
    <w:sectPr w:rsidR="00AF6590" w:rsidRPr="00F2744B" w:rsidSect="00342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FDECB" w14:textId="77777777" w:rsidR="005912AF" w:rsidRDefault="005912AF" w:rsidP="00EA1C21">
      <w:pPr>
        <w:spacing w:after="0" w:line="240" w:lineRule="auto"/>
      </w:pPr>
      <w:r>
        <w:separator/>
      </w:r>
    </w:p>
  </w:endnote>
  <w:endnote w:type="continuationSeparator" w:id="0">
    <w:p w14:paraId="45C588F7" w14:textId="77777777" w:rsidR="005912AF" w:rsidRDefault="005912AF" w:rsidP="00EA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3F52" w14:textId="77777777" w:rsidR="00A15F25" w:rsidRDefault="00A15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9BEA1" w14:textId="77777777" w:rsidR="00A15F25" w:rsidRDefault="00A15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5D2D0" w14:textId="77777777" w:rsidR="00A15F25" w:rsidRDefault="00A15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28AB0" w14:textId="77777777" w:rsidR="005912AF" w:rsidRDefault="005912AF" w:rsidP="00EA1C21">
      <w:pPr>
        <w:spacing w:after="0" w:line="240" w:lineRule="auto"/>
      </w:pPr>
      <w:r>
        <w:separator/>
      </w:r>
    </w:p>
  </w:footnote>
  <w:footnote w:type="continuationSeparator" w:id="0">
    <w:p w14:paraId="076F6784" w14:textId="77777777" w:rsidR="005912AF" w:rsidRDefault="005912AF" w:rsidP="00EA1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83065" w14:textId="77777777" w:rsidR="00A15F25" w:rsidRDefault="00A15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7082A" w14:textId="62DA3391" w:rsidR="00EA1C21" w:rsidRDefault="00EA1C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A118" w14:textId="7BD31512" w:rsidR="00342B5F" w:rsidRDefault="00342B5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6BDC3C83" wp14:editId="60866B18">
          <wp:simplePos x="0" y="0"/>
          <wp:positionH relativeFrom="column">
            <wp:posOffset>4067175</wp:posOffset>
          </wp:positionH>
          <wp:positionV relativeFrom="paragraph">
            <wp:posOffset>-76835</wp:posOffset>
          </wp:positionV>
          <wp:extent cx="2124075" cy="1462911"/>
          <wp:effectExtent l="0" t="0" r="0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462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63"/>
    <w:rsid w:val="00035476"/>
    <w:rsid w:val="0011569B"/>
    <w:rsid w:val="001737F3"/>
    <w:rsid w:val="001A4DF2"/>
    <w:rsid w:val="001C19FE"/>
    <w:rsid w:val="00237868"/>
    <w:rsid w:val="00267AFD"/>
    <w:rsid w:val="00271857"/>
    <w:rsid w:val="002A3CDD"/>
    <w:rsid w:val="002E2D5B"/>
    <w:rsid w:val="002E7954"/>
    <w:rsid w:val="002F134F"/>
    <w:rsid w:val="003141B1"/>
    <w:rsid w:val="00342B5F"/>
    <w:rsid w:val="003A4047"/>
    <w:rsid w:val="003E0047"/>
    <w:rsid w:val="00422262"/>
    <w:rsid w:val="0044589B"/>
    <w:rsid w:val="004731BE"/>
    <w:rsid w:val="0050162F"/>
    <w:rsid w:val="005050DC"/>
    <w:rsid w:val="0056766D"/>
    <w:rsid w:val="005912AF"/>
    <w:rsid w:val="0059630F"/>
    <w:rsid w:val="005B1B90"/>
    <w:rsid w:val="005C6725"/>
    <w:rsid w:val="005D3A46"/>
    <w:rsid w:val="0060557A"/>
    <w:rsid w:val="00637BBF"/>
    <w:rsid w:val="006468CF"/>
    <w:rsid w:val="00663163"/>
    <w:rsid w:val="006C1B71"/>
    <w:rsid w:val="006F0F0E"/>
    <w:rsid w:val="0071234F"/>
    <w:rsid w:val="00767872"/>
    <w:rsid w:val="00776819"/>
    <w:rsid w:val="007C35EF"/>
    <w:rsid w:val="007F18D2"/>
    <w:rsid w:val="0083193B"/>
    <w:rsid w:val="00870BB6"/>
    <w:rsid w:val="00893B93"/>
    <w:rsid w:val="008A74FC"/>
    <w:rsid w:val="008D199E"/>
    <w:rsid w:val="008E4E74"/>
    <w:rsid w:val="00950014"/>
    <w:rsid w:val="00971672"/>
    <w:rsid w:val="00975A18"/>
    <w:rsid w:val="009854DE"/>
    <w:rsid w:val="009947A9"/>
    <w:rsid w:val="00997735"/>
    <w:rsid w:val="009F4B05"/>
    <w:rsid w:val="009F54B5"/>
    <w:rsid w:val="00A15F25"/>
    <w:rsid w:val="00A23A63"/>
    <w:rsid w:val="00AC2241"/>
    <w:rsid w:val="00AF6590"/>
    <w:rsid w:val="00B07E4A"/>
    <w:rsid w:val="00B119AA"/>
    <w:rsid w:val="00B443AD"/>
    <w:rsid w:val="00BC7159"/>
    <w:rsid w:val="00BE4AA0"/>
    <w:rsid w:val="00C14C1A"/>
    <w:rsid w:val="00C76515"/>
    <w:rsid w:val="00CA0850"/>
    <w:rsid w:val="00CA58BE"/>
    <w:rsid w:val="00D0053F"/>
    <w:rsid w:val="00D13852"/>
    <w:rsid w:val="00D13B21"/>
    <w:rsid w:val="00D21506"/>
    <w:rsid w:val="00D25FD9"/>
    <w:rsid w:val="00D3276D"/>
    <w:rsid w:val="00D62F73"/>
    <w:rsid w:val="00D709E8"/>
    <w:rsid w:val="00D85CF1"/>
    <w:rsid w:val="00DB07C3"/>
    <w:rsid w:val="00DE0C7A"/>
    <w:rsid w:val="00DF0196"/>
    <w:rsid w:val="00E01FBE"/>
    <w:rsid w:val="00E44DF0"/>
    <w:rsid w:val="00E47C02"/>
    <w:rsid w:val="00E8287D"/>
    <w:rsid w:val="00E966DD"/>
    <w:rsid w:val="00EA1C21"/>
    <w:rsid w:val="00EC7C14"/>
    <w:rsid w:val="00F04B26"/>
    <w:rsid w:val="00F26F70"/>
    <w:rsid w:val="00F2744B"/>
    <w:rsid w:val="00F52FE5"/>
    <w:rsid w:val="00F7262E"/>
    <w:rsid w:val="00F834B3"/>
    <w:rsid w:val="00F92130"/>
    <w:rsid w:val="00FE72B7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394D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E4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44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D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F6590"/>
    <w:rPr>
      <w:color w:val="0563C1" w:themeColor="hyperlink"/>
      <w:u w:val="single"/>
    </w:rPr>
  </w:style>
  <w:style w:type="table" w:customStyle="1" w:styleId="LightGrid-Accent21">
    <w:name w:val="Light Grid - Accent 21"/>
    <w:basedOn w:val="TableNormal"/>
    <w:uiPriority w:val="62"/>
    <w:rsid w:val="00AF6590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E4E4E"/>
        <w:left w:val="single" w:sz="8" w:space="0" w:color="4E4E4E"/>
        <w:bottom w:val="single" w:sz="8" w:space="0" w:color="4E4E4E"/>
        <w:right w:val="single" w:sz="8" w:space="0" w:color="4E4E4E"/>
        <w:insideH w:val="single" w:sz="8" w:space="0" w:color="4E4E4E"/>
        <w:insideV w:val="single" w:sz="8" w:space="0" w:color="4E4E4E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shd w:val="clear" w:color="auto" w:fill="CD092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E4E4E"/>
          <w:left w:val="single" w:sz="8" w:space="0" w:color="4E4E4E"/>
          <w:bottom w:val="single" w:sz="8" w:space="0" w:color="4E4E4E"/>
          <w:right w:val="single" w:sz="8" w:space="0" w:color="4E4E4E"/>
          <w:insideH w:val="nil"/>
          <w:insideV w:val="single" w:sz="8" w:space="0" w:color="4E4E4E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</w:tcBorders>
      </w:tcPr>
    </w:tblStylePr>
    <w:tblStylePr w:type="band2Horz"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  <w:insideV w:val="single" w:sz="8" w:space="0" w:color="4E4E4E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A1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21"/>
  </w:style>
  <w:style w:type="paragraph" w:styleId="Footer">
    <w:name w:val="footer"/>
    <w:basedOn w:val="Normal"/>
    <w:link w:val="FooterChar"/>
    <w:uiPriority w:val="99"/>
    <w:unhideWhenUsed/>
    <w:rsid w:val="00EA1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21"/>
  </w:style>
  <w:style w:type="paragraph" w:styleId="Revision">
    <w:name w:val="Revision"/>
    <w:hidden/>
    <w:uiPriority w:val="99"/>
    <w:semiHidden/>
    <w:rsid w:val="00D13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108F4-CFC0-40DA-9482-F15BA980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2025-02-27T00:56:00Z</dcterms:created>
  <dcterms:modified xsi:type="dcterms:W3CDTF">2025-02-27T00:56:00Z</dcterms:modified>
</cp:coreProperties>
</file>